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028E" w:rsidRPr="0037028E" w:rsidRDefault="0037028E">
      <w:pPr>
        <w:pStyle w:val="Normal1"/>
        <w:jc w:val="right"/>
        <w:rPr>
          <w:rFonts w:ascii="Arial" w:eastAsia="Arial" w:hAnsi="Arial" w:cs="Arial"/>
          <w:b/>
          <w:sz w:val="36"/>
          <w:szCs w:val="36"/>
          <w:u w:val="single"/>
        </w:rPr>
      </w:pPr>
      <w:bookmarkStart w:id="0" w:name="_GoBack"/>
      <w:bookmarkEnd w:id="0"/>
      <w:r w:rsidRPr="0037028E">
        <w:rPr>
          <w:rFonts w:ascii="Arial" w:eastAsia="Arial" w:hAnsi="Arial" w:cs="Arial"/>
          <w:b/>
          <w:sz w:val="36"/>
          <w:szCs w:val="36"/>
          <w:u w:val="single"/>
        </w:rPr>
        <w:t>Original Research Article</w:t>
      </w:r>
    </w:p>
    <w:p w:rsidR="005D6A3E" w:rsidRPr="00D6518D" w:rsidRDefault="00D6518D">
      <w:pPr>
        <w:pStyle w:val="Normal1"/>
        <w:pBdr>
          <w:top w:val="nil"/>
          <w:left w:val="nil"/>
          <w:bottom w:val="nil"/>
          <w:right w:val="nil"/>
          <w:between w:val="nil"/>
        </w:pBdr>
        <w:spacing w:after="0" w:line="240" w:lineRule="auto"/>
        <w:jc w:val="right"/>
        <w:rPr>
          <w:rFonts w:ascii="Arial" w:hAnsi="Arial" w:cs="Arial"/>
          <w:sz w:val="36"/>
          <w:szCs w:val="36"/>
        </w:rPr>
      </w:pPr>
      <w:bookmarkStart w:id="1" w:name="_c4umfj56ynvl" w:colFirst="0" w:colLast="0"/>
      <w:bookmarkEnd w:id="1"/>
      <w:r w:rsidRPr="00D6518D">
        <w:rPr>
          <w:rFonts w:ascii="Arial" w:hAnsi="Arial" w:cs="Arial"/>
          <w:b/>
          <w:bCs/>
          <w:sz w:val="36"/>
          <w:szCs w:val="36"/>
          <w:lang w:val="en-GB"/>
        </w:rPr>
        <w:t xml:space="preserve">Fabrication and Characterization of Silver Nanoparticles Produced by the Supernatant of </w:t>
      </w:r>
      <w:proofErr w:type="spellStart"/>
      <w:r w:rsidRPr="00D6518D">
        <w:rPr>
          <w:rFonts w:ascii="Arial" w:hAnsi="Arial" w:cs="Arial"/>
          <w:b/>
          <w:bCs/>
          <w:i/>
          <w:sz w:val="36"/>
          <w:szCs w:val="36"/>
          <w:lang w:val="en-GB"/>
        </w:rPr>
        <w:t>LactobacillusGasseri</w:t>
      </w:r>
      <w:proofErr w:type="spellEnd"/>
      <w:r w:rsidRPr="00D6518D">
        <w:rPr>
          <w:rFonts w:ascii="Arial" w:hAnsi="Arial" w:cs="Arial"/>
          <w:b/>
          <w:bCs/>
          <w:sz w:val="36"/>
          <w:szCs w:val="36"/>
          <w:lang w:val="en-GB"/>
        </w:rPr>
        <w:t xml:space="preserve"> and Evaluation of Their Potential Biomedical Activity</w:t>
      </w:r>
    </w:p>
    <w:p w:rsidR="00DF4267" w:rsidRDefault="00404CBB">
      <w:pPr>
        <w:pStyle w:val="Normal1"/>
        <w:pBdr>
          <w:top w:val="nil"/>
          <w:left w:val="nil"/>
          <w:bottom w:val="nil"/>
          <w:right w:val="nil"/>
          <w:between w:val="nil"/>
        </w:pBdr>
        <w:spacing w:after="0" w:line="240" w:lineRule="auto"/>
        <w:jc w:val="right"/>
        <w:rPr>
          <w:rFonts w:ascii="Arial" w:eastAsia="Arial" w:hAnsi="Arial" w:cs="Arial"/>
          <w:i/>
          <w:color w:val="000000"/>
          <w:sz w:val="20"/>
          <w:szCs w:val="20"/>
        </w:rPr>
      </w:pPr>
      <w:r>
        <w:rPr>
          <w:noProof/>
          <w:lang w:eastAsia="en-IN" w:bidi="ml-IN"/>
        </w:rPr>
      </w:r>
      <w:r>
        <w:rPr>
          <w:noProof/>
          <w:lang w:eastAsia="en-IN" w:bidi="ml-IN"/>
        </w:rPr>
        <w:pict>
          <v:shapetype id="_x0000_t32" coordsize="21600,21600" o:spt="32" o:oned="t" path="m,l21600,21600e" filled="f">
            <v:path arrowok="t" fillok="f" o:connecttype="none"/>
            <o:lock v:ext="edit" shapetype="t"/>
          </v:shapetype>
          <v:shape id="Straight Arrow Connector 1" o:spid="_x0000_s1026" type="#_x0000_t32" style="width:417.6pt;height:0;visibility:visible;mso-left-percent:-10001;mso-top-percent:-10001;mso-position-horizontal:absolute;mso-position-horizontal-relative:char;mso-position-vertical:absolute;mso-position-vertical-relative:line;mso-left-percent:-10001;mso-top-percent:-10001" strokeweight="1.5pt">
            <w10:anchorlock/>
          </v:shape>
        </w:pict>
      </w:r>
    </w:p>
    <w:p w:rsidR="00DF4267" w:rsidRDefault="00DF4267">
      <w:pPr>
        <w:pStyle w:val="Normal1"/>
        <w:pBdr>
          <w:top w:val="nil"/>
          <w:left w:val="nil"/>
          <w:bottom w:val="nil"/>
          <w:right w:val="nil"/>
          <w:between w:val="nil"/>
        </w:pBdr>
        <w:spacing w:after="0" w:line="240" w:lineRule="auto"/>
        <w:jc w:val="both"/>
        <w:rPr>
          <w:rFonts w:ascii="Arial" w:eastAsia="Arial" w:hAnsi="Arial" w:cs="Arial"/>
          <w:color w:val="000000"/>
          <w:sz w:val="20"/>
          <w:szCs w:val="20"/>
        </w:rPr>
      </w:pPr>
    </w:p>
    <w:p w:rsidR="00DF4267" w:rsidRDefault="00A21A5F">
      <w:pPr>
        <w:pStyle w:val="Normal1"/>
        <w:jc w:val="both"/>
        <w:rPr>
          <w:rFonts w:ascii="Arial" w:eastAsia="Arial" w:hAnsi="Arial" w:cs="Arial"/>
          <w:b/>
          <w:sz w:val="24"/>
          <w:szCs w:val="24"/>
        </w:rPr>
      </w:pPr>
      <w:r>
        <w:rPr>
          <w:rFonts w:ascii="Arial" w:eastAsia="Arial" w:hAnsi="Arial" w:cs="Arial"/>
          <w:b/>
        </w:rPr>
        <w:t>ABSTRACT</w:t>
      </w:r>
    </w:p>
    <w:p w:rsidR="00DF4267" w:rsidRDefault="00A21A5F">
      <w:pPr>
        <w:pStyle w:val="Normal1"/>
        <w:jc w:val="both"/>
        <w:rPr>
          <w:rFonts w:ascii="Arial" w:eastAsia="Arial" w:hAnsi="Arial" w:cs="Arial"/>
          <w:sz w:val="20"/>
          <w:szCs w:val="20"/>
        </w:rPr>
      </w:pPr>
      <w:r>
        <w:rPr>
          <w:rFonts w:ascii="Arial" w:eastAsia="Arial" w:hAnsi="Arial" w:cs="Arial"/>
          <w:b/>
          <w:sz w:val="20"/>
          <w:szCs w:val="20"/>
        </w:rPr>
        <w:t>Aims:</w:t>
      </w:r>
      <w:r>
        <w:rPr>
          <w:rFonts w:ascii="Arial" w:eastAsia="Arial" w:hAnsi="Arial" w:cs="Arial"/>
          <w:sz w:val="20"/>
          <w:szCs w:val="20"/>
        </w:rPr>
        <w:t xml:space="preserve"> This study aimed to synthesize silver nanoparticles (</w:t>
      </w:r>
      <w:proofErr w:type="spellStart"/>
      <w:r>
        <w:rPr>
          <w:rFonts w:ascii="Arial" w:eastAsia="Arial" w:hAnsi="Arial" w:cs="Arial"/>
          <w:sz w:val="20"/>
          <w:szCs w:val="20"/>
        </w:rPr>
        <w:t>AgNPs</w:t>
      </w:r>
      <w:proofErr w:type="spellEnd"/>
      <w:r>
        <w:rPr>
          <w:rFonts w:ascii="Arial" w:eastAsia="Arial" w:hAnsi="Arial" w:cs="Arial"/>
          <w:sz w:val="20"/>
          <w:szCs w:val="20"/>
        </w:rPr>
        <w:t xml:space="preserve">) using </w:t>
      </w:r>
      <w:r>
        <w:rPr>
          <w:rFonts w:ascii="Arial" w:eastAsia="Arial" w:hAnsi="Arial" w:cs="Arial"/>
          <w:i/>
          <w:sz w:val="20"/>
          <w:szCs w:val="20"/>
        </w:rPr>
        <w:t xml:space="preserve">Lactobacillus </w:t>
      </w:r>
      <w:proofErr w:type="spellStart"/>
      <w:r>
        <w:rPr>
          <w:rFonts w:ascii="Arial" w:eastAsia="Arial" w:hAnsi="Arial" w:cs="Arial"/>
          <w:i/>
          <w:sz w:val="20"/>
          <w:szCs w:val="20"/>
        </w:rPr>
        <w:t>gasseri</w:t>
      </w:r>
      <w:proofErr w:type="spellEnd"/>
      <w:r>
        <w:rPr>
          <w:rFonts w:ascii="Arial" w:eastAsia="Arial" w:hAnsi="Arial" w:cs="Arial"/>
          <w:sz w:val="20"/>
          <w:szCs w:val="20"/>
        </w:rPr>
        <w:t xml:space="preserve"> and to evaluate their antimicrobial, anti-biofilm, and cytotoxic properties after formulation into a Carbopol-based </w:t>
      </w:r>
      <w:proofErr w:type="spellStart"/>
      <w:r>
        <w:rPr>
          <w:rFonts w:ascii="Arial" w:eastAsia="Arial" w:hAnsi="Arial" w:cs="Arial"/>
          <w:sz w:val="20"/>
          <w:szCs w:val="20"/>
        </w:rPr>
        <w:t>nanoemulsion</w:t>
      </w:r>
      <w:proofErr w:type="spellEnd"/>
      <w:r>
        <w:rPr>
          <w:rFonts w:ascii="Arial" w:eastAsia="Arial" w:hAnsi="Arial" w:cs="Arial"/>
          <w:sz w:val="20"/>
          <w:szCs w:val="20"/>
        </w:rPr>
        <w:t xml:space="preserve">. </w:t>
      </w:r>
    </w:p>
    <w:p w:rsidR="00DF4267" w:rsidRDefault="00A21A5F">
      <w:pPr>
        <w:pStyle w:val="Normal1"/>
        <w:jc w:val="both"/>
        <w:rPr>
          <w:rFonts w:ascii="Arial" w:eastAsia="Arial" w:hAnsi="Arial" w:cs="Arial"/>
          <w:sz w:val="20"/>
          <w:szCs w:val="20"/>
        </w:rPr>
      </w:pPr>
      <w:r>
        <w:rPr>
          <w:rFonts w:ascii="Arial" w:eastAsia="Arial" w:hAnsi="Arial" w:cs="Arial"/>
          <w:b/>
          <w:sz w:val="20"/>
          <w:szCs w:val="20"/>
        </w:rPr>
        <w:t>Study design:</w:t>
      </w:r>
      <w:r>
        <w:rPr>
          <w:rFonts w:ascii="Arial" w:eastAsia="Arial" w:hAnsi="Arial" w:cs="Arial"/>
          <w:sz w:val="20"/>
          <w:szCs w:val="20"/>
        </w:rPr>
        <w:t xml:space="preserve"> This was an experimental laboratory-based study involving synthesis, physicochemical characterization, and biological evaluation of silver nanoparticles.</w:t>
      </w:r>
    </w:p>
    <w:p w:rsidR="00DF4267" w:rsidRDefault="00A21A5F">
      <w:pPr>
        <w:pStyle w:val="Normal1"/>
        <w:jc w:val="both"/>
        <w:rPr>
          <w:rFonts w:ascii="Arial" w:eastAsia="Arial" w:hAnsi="Arial" w:cs="Arial"/>
          <w:sz w:val="20"/>
          <w:szCs w:val="20"/>
        </w:rPr>
      </w:pPr>
      <w:r>
        <w:rPr>
          <w:rFonts w:ascii="Arial" w:eastAsia="Arial" w:hAnsi="Arial" w:cs="Arial"/>
          <w:b/>
          <w:sz w:val="20"/>
          <w:szCs w:val="20"/>
        </w:rPr>
        <w:t>Place and Duration of Study:</w:t>
      </w:r>
      <w:r>
        <w:rPr>
          <w:rFonts w:ascii="Arial" w:eastAsia="Arial" w:hAnsi="Arial" w:cs="Arial"/>
          <w:sz w:val="20"/>
          <w:szCs w:val="20"/>
        </w:rPr>
        <w:t xml:space="preserve"> Conducted at the Department of Biotechnology, Centre for Bioscience and Nanoscience Research </w:t>
      </w:r>
      <w:r w:rsidRPr="00093A2C">
        <w:rPr>
          <w:rFonts w:ascii="Arial" w:eastAsia="Arial" w:hAnsi="Arial" w:cs="Arial"/>
          <w:sz w:val="20"/>
          <w:szCs w:val="20"/>
        </w:rPr>
        <w:t xml:space="preserve">from </w:t>
      </w:r>
      <w:r w:rsidR="00093A2C" w:rsidRPr="00093A2C">
        <w:rPr>
          <w:rFonts w:ascii="Arial" w:eastAsia="Arial" w:hAnsi="Arial" w:cs="Arial"/>
          <w:sz w:val="20"/>
          <w:szCs w:val="20"/>
        </w:rPr>
        <w:t xml:space="preserve">March to April </w:t>
      </w:r>
      <w:r w:rsidRPr="00093A2C">
        <w:rPr>
          <w:rFonts w:ascii="Arial" w:eastAsia="Arial" w:hAnsi="Arial" w:cs="Arial"/>
          <w:sz w:val="20"/>
          <w:szCs w:val="20"/>
        </w:rPr>
        <w:t>202</w:t>
      </w:r>
      <w:r w:rsidR="00093A2C" w:rsidRPr="00093A2C">
        <w:rPr>
          <w:rFonts w:ascii="Arial" w:eastAsia="Arial" w:hAnsi="Arial" w:cs="Arial"/>
          <w:sz w:val="20"/>
          <w:szCs w:val="20"/>
        </w:rPr>
        <w:t>5</w:t>
      </w:r>
      <w:r w:rsidRPr="00093A2C">
        <w:rPr>
          <w:rFonts w:ascii="Arial" w:eastAsia="Arial" w:hAnsi="Arial" w:cs="Arial"/>
          <w:sz w:val="20"/>
          <w:szCs w:val="20"/>
        </w:rPr>
        <w:t>.</w:t>
      </w:r>
    </w:p>
    <w:p w:rsidR="00DF4267" w:rsidRDefault="00A21A5F">
      <w:pPr>
        <w:pStyle w:val="Normal1"/>
        <w:jc w:val="both"/>
        <w:rPr>
          <w:rFonts w:ascii="Arial" w:eastAsia="Arial" w:hAnsi="Arial" w:cs="Arial"/>
          <w:sz w:val="20"/>
          <w:szCs w:val="20"/>
        </w:rPr>
      </w:pPr>
      <w:r>
        <w:rPr>
          <w:rFonts w:ascii="Arial" w:eastAsia="Arial" w:hAnsi="Arial" w:cs="Arial"/>
          <w:b/>
          <w:sz w:val="20"/>
          <w:szCs w:val="20"/>
        </w:rPr>
        <w:t>Methodology:</w:t>
      </w:r>
      <w:r w:rsidR="006D3CB0">
        <w:rPr>
          <w:rFonts w:ascii="Arial" w:eastAsia="Arial" w:hAnsi="Arial" w:cs="Arial"/>
          <w:b/>
          <w:sz w:val="20"/>
          <w:szCs w:val="20"/>
        </w:rPr>
        <w:t xml:space="preserve"> </w:t>
      </w:r>
      <w:r>
        <w:rPr>
          <w:rFonts w:ascii="Arial" w:eastAsia="Arial" w:hAnsi="Arial" w:cs="Arial"/>
          <w:sz w:val="20"/>
          <w:szCs w:val="20"/>
        </w:rPr>
        <w:t xml:space="preserve">Silver nanoparticles were synthesized using the probiotic strain </w:t>
      </w:r>
      <w:r>
        <w:rPr>
          <w:rFonts w:ascii="Arial" w:eastAsia="Arial" w:hAnsi="Arial" w:cs="Arial"/>
          <w:i/>
          <w:sz w:val="20"/>
          <w:szCs w:val="20"/>
        </w:rPr>
        <w:t xml:space="preserve">Lactobacillus </w:t>
      </w:r>
      <w:proofErr w:type="spellStart"/>
      <w:r>
        <w:rPr>
          <w:rFonts w:ascii="Arial" w:eastAsia="Arial" w:hAnsi="Arial" w:cs="Arial"/>
          <w:i/>
          <w:sz w:val="20"/>
          <w:szCs w:val="20"/>
        </w:rPr>
        <w:t>gasseri</w:t>
      </w:r>
      <w:proofErr w:type="spellEnd"/>
      <w:r>
        <w:rPr>
          <w:rFonts w:ascii="Arial" w:eastAsia="Arial" w:hAnsi="Arial" w:cs="Arial"/>
          <w:sz w:val="20"/>
          <w:szCs w:val="20"/>
        </w:rPr>
        <w:t xml:space="preserve"> through a green synthesis approach and embedded into Carbopol 940 hydrogel. Characterization was performed using UV-Visible spectroscopy (200–600 nm), FTIR spectroscopy (4000–400 cm</w:t>
      </w:r>
      <w:r>
        <w:rPr>
          <w:rFonts w:ascii="Cambria Math" w:eastAsia="Cambria Math" w:hAnsi="Cambria Math" w:cs="Cambria Math"/>
          <w:sz w:val="20"/>
          <w:szCs w:val="20"/>
        </w:rPr>
        <w:t>⁻</w:t>
      </w:r>
      <w:r>
        <w:rPr>
          <w:rFonts w:ascii="Arial" w:eastAsia="Arial" w:hAnsi="Arial" w:cs="Arial"/>
          <w:sz w:val="20"/>
          <w:szCs w:val="20"/>
        </w:rPr>
        <w:t>¹), and FESEM, confirming the formation of spherical nanoparticles ranging from 60 to 140 nm. Anti-biofilm activity was assessed via crystal violet assay against bacterial biofilms at varying nanoparticle concentrations (10–50 µg/mL). Cytotoxicity was tested using the MTT assay on mammalian cells across concentrations ranging from 2 to 10 µg/</w:t>
      </w:r>
      <w:proofErr w:type="spellStart"/>
      <w:r>
        <w:rPr>
          <w:rFonts w:ascii="Arial" w:eastAsia="Arial" w:hAnsi="Arial" w:cs="Arial"/>
          <w:sz w:val="20"/>
          <w:szCs w:val="20"/>
        </w:rPr>
        <w:t>mL.</w:t>
      </w:r>
      <w:proofErr w:type="spellEnd"/>
    </w:p>
    <w:p w:rsidR="00DF4267" w:rsidRDefault="00A21A5F">
      <w:pPr>
        <w:pStyle w:val="Normal1"/>
        <w:jc w:val="both"/>
        <w:rPr>
          <w:rFonts w:ascii="Arial" w:eastAsia="Arial" w:hAnsi="Arial" w:cs="Arial"/>
          <w:sz w:val="20"/>
          <w:szCs w:val="20"/>
          <w:rtl/>
        </w:rPr>
      </w:pPr>
      <w:r>
        <w:rPr>
          <w:rFonts w:ascii="Arial" w:eastAsia="Arial" w:hAnsi="Arial" w:cs="Arial"/>
          <w:b/>
          <w:sz w:val="20"/>
          <w:szCs w:val="20"/>
        </w:rPr>
        <w:t>Results:</w:t>
      </w:r>
      <w:r w:rsidR="006D3CB0">
        <w:rPr>
          <w:rFonts w:ascii="Arial" w:eastAsia="Arial" w:hAnsi="Arial" w:cs="Arial"/>
          <w:b/>
          <w:sz w:val="20"/>
          <w:szCs w:val="20"/>
        </w:rPr>
        <w:t xml:space="preserve"> </w:t>
      </w:r>
      <w:r>
        <w:rPr>
          <w:rFonts w:ascii="Arial" w:eastAsia="Arial" w:hAnsi="Arial" w:cs="Arial"/>
          <w:sz w:val="20"/>
          <w:szCs w:val="20"/>
        </w:rPr>
        <w:t>Biofilm inhibition increased in a dose-dependent manner, with maximum inhibition of 55.96% observed at 50 µg/mL (OD 0.181 vs. control OD 0.411). Cytotoxicity analysis revealed a mild reduction in cell viability, with values ranging from 11.26% to 19.56% as concentration increased from 2 µg/mL to 10 µg/</w:t>
      </w:r>
      <w:proofErr w:type="spellStart"/>
      <w:r>
        <w:rPr>
          <w:rFonts w:ascii="Arial" w:eastAsia="Arial" w:hAnsi="Arial" w:cs="Arial"/>
          <w:sz w:val="20"/>
          <w:szCs w:val="20"/>
        </w:rPr>
        <w:t>mL.</w:t>
      </w:r>
      <w:proofErr w:type="spellEnd"/>
      <w:r>
        <w:rPr>
          <w:rFonts w:ascii="Arial" w:eastAsia="Arial" w:hAnsi="Arial" w:cs="Arial"/>
          <w:sz w:val="20"/>
          <w:szCs w:val="20"/>
        </w:rPr>
        <w:t xml:space="preserve"> The results suggest that biosynthesized </w:t>
      </w:r>
      <w:proofErr w:type="spellStart"/>
      <w:r>
        <w:rPr>
          <w:rFonts w:ascii="Arial" w:eastAsia="Arial" w:hAnsi="Arial" w:cs="Arial"/>
          <w:sz w:val="20"/>
          <w:szCs w:val="20"/>
        </w:rPr>
        <w:t>AgNPs</w:t>
      </w:r>
      <w:proofErr w:type="spellEnd"/>
      <w:r>
        <w:rPr>
          <w:rFonts w:ascii="Arial" w:eastAsia="Arial" w:hAnsi="Arial" w:cs="Arial"/>
          <w:sz w:val="20"/>
          <w:szCs w:val="20"/>
        </w:rPr>
        <w:t xml:space="preserve"> are both biologically active and relatively safe at lower concentrations. Statistical analysis confirmed a significant inverse relationship between nanoparticle concentration and cell viability.</w:t>
      </w:r>
    </w:p>
    <w:p w:rsidR="00D6518D" w:rsidRDefault="00937CB6" w:rsidP="00937CB6">
      <w:pPr>
        <w:pStyle w:val="Normal1"/>
        <w:jc w:val="both"/>
        <w:rPr>
          <w:rFonts w:ascii="Arial" w:eastAsia="Arial" w:hAnsi="Arial" w:cs="Arial"/>
          <w:sz w:val="20"/>
          <w:szCs w:val="20"/>
        </w:rPr>
      </w:pPr>
      <w:r w:rsidRPr="00937CB6">
        <w:rPr>
          <w:rFonts w:ascii="Arial" w:eastAsia="Arial" w:hAnsi="Arial" w:cs="Arial"/>
          <w:b/>
          <w:bCs/>
          <w:sz w:val="20"/>
          <w:szCs w:val="20"/>
        </w:rPr>
        <w:t>Conclusion:</w:t>
      </w:r>
      <w:r w:rsidRPr="00937CB6">
        <w:rPr>
          <w:rFonts w:ascii="Arial" w:eastAsia="Arial" w:hAnsi="Arial" w:cs="Arial"/>
          <w:sz w:val="20"/>
          <w:szCs w:val="20"/>
        </w:rPr>
        <w:t xml:space="preserve"> The study demonstrates that </w:t>
      </w:r>
      <w:r w:rsidRPr="00937CB6">
        <w:rPr>
          <w:rFonts w:ascii="Arial" w:eastAsia="Arial" w:hAnsi="Arial" w:cs="Arial"/>
          <w:i/>
          <w:iCs/>
          <w:sz w:val="20"/>
          <w:szCs w:val="20"/>
        </w:rPr>
        <w:t xml:space="preserve">Lactobacillus </w:t>
      </w:r>
      <w:proofErr w:type="spellStart"/>
      <w:r w:rsidRPr="00937CB6">
        <w:rPr>
          <w:rFonts w:ascii="Arial" w:eastAsia="Arial" w:hAnsi="Arial" w:cs="Arial"/>
          <w:i/>
          <w:iCs/>
          <w:sz w:val="20"/>
          <w:szCs w:val="20"/>
        </w:rPr>
        <w:t>gasseri</w:t>
      </w:r>
      <w:proofErr w:type="spellEnd"/>
      <w:r w:rsidRPr="00937CB6">
        <w:rPr>
          <w:rFonts w:ascii="Arial" w:eastAsia="Arial" w:hAnsi="Arial" w:cs="Arial"/>
          <w:sz w:val="20"/>
          <w:szCs w:val="20"/>
        </w:rPr>
        <w:t xml:space="preserve">-mediated green synthesis of </w:t>
      </w:r>
      <w:proofErr w:type="spellStart"/>
      <w:r w:rsidRPr="00937CB6">
        <w:rPr>
          <w:rFonts w:ascii="Arial" w:eastAsia="Arial" w:hAnsi="Arial" w:cs="Arial"/>
          <w:sz w:val="20"/>
          <w:szCs w:val="20"/>
        </w:rPr>
        <w:t>AgNPs</w:t>
      </w:r>
      <w:proofErr w:type="spellEnd"/>
      <w:r w:rsidRPr="00937CB6">
        <w:rPr>
          <w:rFonts w:ascii="Arial" w:eastAsia="Arial" w:hAnsi="Arial" w:cs="Arial"/>
          <w:sz w:val="20"/>
          <w:szCs w:val="20"/>
        </w:rPr>
        <w:t>,</w:t>
      </w:r>
      <w:r w:rsidR="006D3CB0">
        <w:rPr>
          <w:rFonts w:ascii="Arial" w:eastAsia="Arial" w:hAnsi="Arial" w:cs="Arial"/>
          <w:sz w:val="20"/>
          <w:szCs w:val="20"/>
        </w:rPr>
        <w:t xml:space="preserve"> </w:t>
      </w:r>
      <w:r w:rsidRPr="00937CB6">
        <w:rPr>
          <w:rFonts w:ascii="Arial" w:eastAsia="Arial" w:hAnsi="Arial" w:cs="Arial"/>
          <w:sz w:val="20"/>
          <w:szCs w:val="20"/>
        </w:rPr>
        <w:t>followed by incorporation into a Carbopol-based Nano emulsion, yields a biocompatible formulation with</w:t>
      </w:r>
      <w:r w:rsidR="006D3CB0">
        <w:rPr>
          <w:rFonts w:ascii="Arial" w:eastAsia="Arial" w:hAnsi="Arial" w:cs="Arial"/>
          <w:sz w:val="20"/>
          <w:szCs w:val="20"/>
        </w:rPr>
        <w:t xml:space="preserve"> </w:t>
      </w:r>
      <w:r w:rsidRPr="00937CB6">
        <w:rPr>
          <w:rFonts w:ascii="Arial" w:eastAsia="Arial" w:hAnsi="Arial" w:cs="Arial"/>
          <w:sz w:val="20"/>
          <w:szCs w:val="20"/>
        </w:rPr>
        <w:t>promising antimicrobial and anti-biofilm efficacy. The moderate cytotoxicity observed at higher</w:t>
      </w:r>
      <w:r w:rsidR="006D3CB0">
        <w:rPr>
          <w:rFonts w:ascii="Arial" w:eastAsia="Arial" w:hAnsi="Arial" w:cs="Arial"/>
          <w:sz w:val="20"/>
          <w:szCs w:val="20"/>
        </w:rPr>
        <w:t xml:space="preserve"> </w:t>
      </w:r>
      <w:r w:rsidRPr="00937CB6">
        <w:rPr>
          <w:rFonts w:ascii="Arial" w:eastAsia="Arial" w:hAnsi="Arial" w:cs="Arial"/>
          <w:sz w:val="20"/>
          <w:szCs w:val="20"/>
        </w:rPr>
        <w:t xml:space="preserve">concentrations highlights the need for dose optimization to balance therapeutic benefits with </w:t>
      </w:r>
      <w:proofErr w:type="spellStart"/>
      <w:proofErr w:type="gramStart"/>
      <w:r w:rsidRPr="00937CB6">
        <w:rPr>
          <w:rFonts w:ascii="Arial" w:eastAsia="Arial" w:hAnsi="Arial" w:cs="Arial"/>
          <w:sz w:val="20"/>
          <w:szCs w:val="20"/>
        </w:rPr>
        <w:t>safety.These</w:t>
      </w:r>
      <w:proofErr w:type="spellEnd"/>
      <w:proofErr w:type="gramEnd"/>
      <w:r w:rsidRPr="00937CB6">
        <w:rPr>
          <w:rFonts w:ascii="Arial" w:eastAsia="Arial" w:hAnsi="Arial" w:cs="Arial"/>
          <w:sz w:val="20"/>
          <w:szCs w:val="20"/>
        </w:rPr>
        <w:t xml:space="preserve"> findings indicate that the developed </w:t>
      </w:r>
      <w:proofErr w:type="spellStart"/>
      <w:r w:rsidRPr="00937CB6">
        <w:rPr>
          <w:rFonts w:ascii="Arial" w:eastAsia="Arial" w:hAnsi="Arial" w:cs="Arial"/>
          <w:sz w:val="20"/>
          <w:szCs w:val="20"/>
        </w:rPr>
        <w:t>nanoemulsion</w:t>
      </w:r>
      <w:proofErr w:type="spellEnd"/>
      <w:r w:rsidRPr="00937CB6">
        <w:rPr>
          <w:rFonts w:ascii="Arial" w:eastAsia="Arial" w:hAnsi="Arial" w:cs="Arial"/>
          <w:sz w:val="20"/>
          <w:szCs w:val="20"/>
        </w:rPr>
        <w:t xml:space="preserve"> holds strong potential for biomedical</w:t>
      </w:r>
      <w:r w:rsidR="006D3CB0">
        <w:rPr>
          <w:rFonts w:ascii="Arial" w:eastAsia="Arial" w:hAnsi="Arial" w:cs="Arial"/>
          <w:sz w:val="20"/>
          <w:szCs w:val="20"/>
        </w:rPr>
        <w:t xml:space="preserve"> </w:t>
      </w:r>
      <w:r w:rsidRPr="00937CB6">
        <w:rPr>
          <w:rFonts w:ascii="Arial" w:eastAsia="Arial" w:hAnsi="Arial" w:cs="Arial"/>
          <w:sz w:val="20"/>
          <w:szCs w:val="20"/>
        </w:rPr>
        <w:t>applications such as wound healing and prevention of biofilm-associated infections on medical devices.</w:t>
      </w:r>
    </w:p>
    <w:p w:rsidR="00DF4267" w:rsidRDefault="00A21A5F">
      <w:pPr>
        <w:pStyle w:val="Normal1"/>
        <w:jc w:val="both"/>
        <w:rPr>
          <w:rFonts w:ascii="Arial" w:eastAsia="Arial" w:hAnsi="Arial" w:cs="Arial"/>
          <w:i/>
          <w:sz w:val="20"/>
          <w:szCs w:val="20"/>
        </w:rPr>
      </w:pPr>
      <w:r w:rsidRPr="00387A2F">
        <w:rPr>
          <w:rFonts w:ascii="Arial" w:eastAsia="Arial" w:hAnsi="Arial" w:cs="Arial"/>
          <w:b/>
          <w:i/>
          <w:sz w:val="20"/>
          <w:szCs w:val="20"/>
        </w:rPr>
        <w:t>Keywords</w:t>
      </w:r>
      <w:r>
        <w:rPr>
          <w:rFonts w:ascii="Arial" w:eastAsia="Arial" w:hAnsi="Arial" w:cs="Arial"/>
          <w:i/>
          <w:sz w:val="20"/>
          <w:szCs w:val="20"/>
        </w:rPr>
        <w:t xml:space="preserve">: </w:t>
      </w:r>
      <w:proofErr w:type="spellStart"/>
      <w:r>
        <w:rPr>
          <w:rFonts w:ascii="Arial" w:eastAsia="Arial" w:hAnsi="Arial" w:cs="Arial"/>
          <w:i/>
          <w:sz w:val="20"/>
          <w:szCs w:val="20"/>
        </w:rPr>
        <w:t>Nanoemulsion</w:t>
      </w:r>
      <w:proofErr w:type="spellEnd"/>
      <w:r>
        <w:rPr>
          <w:rFonts w:ascii="Arial" w:eastAsia="Arial" w:hAnsi="Arial" w:cs="Arial"/>
          <w:i/>
          <w:sz w:val="20"/>
          <w:szCs w:val="20"/>
        </w:rPr>
        <w:t xml:space="preserve">, Lactobacillus </w:t>
      </w:r>
      <w:proofErr w:type="spellStart"/>
      <w:r>
        <w:rPr>
          <w:rFonts w:ascii="Arial" w:eastAsia="Arial" w:hAnsi="Arial" w:cs="Arial"/>
          <w:i/>
          <w:sz w:val="20"/>
          <w:szCs w:val="20"/>
        </w:rPr>
        <w:t>gasseri</w:t>
      </w:r>
      <w:proofErr w:type="spellEnd"/>
      <w:r>
        <w:rPr>
          <w:rFonts w:ascii="Arial" w:eastAsia="Arial" w:hAnsi="Arial" w:cs="Arial"/>
          <w:i/>
          <w:sz w:val="20"/>
          <w:szCs w:val="20"/>
        </w:rPr>
        <w:t>, Antimicrobial activity, Anti-biofilm, Cell viability, Biocompatibility, Carbopol hydrogel</w:t>
      </w:r>
    </w:p>
    <w:p w:rsidR="00DF4267" w:rsidRDefault="00A21A5F">
      <w:pPr>
        <w:pStyle w:val="Normal1"/>
        <w:numPr>
          <w:ilvl w:val="0"/>
          <w:numId w:val="1"/>
        </w:numPr>
        <w:pBdr>
          <w:top w:val="nil"/>
          <w:left w:val="nil"/>
          <w:bottom w:val="nil"/>
          <w:right w:val="nil"/>
          <w:between w:val="nil"/>
        </w:pBdr>
        <w:ind w:left="360"/>
        <w:rPr>
          <w:rFonts w:ascii="Arial" w:eastAsia="Arial" w:hAnsi="Arial" w:cs="Arial"/>
          <w:b/>
          <w:color w:val="000000"/>
        </w:rPr>
      </w:pPr>
      <w:r>
        <w:rPr>
          <w:rFonts w:ascii="Arial" w:eastAsia="Arial" w:hAnsi="Arial" w:cs="Arial"/>
          <w:b/>
          <w:color w:val="000000"/>
        </w:rPr>
        <w:t>INTRODUCTION</w:t>
      </w:r>
    </w:p>
    <w:p w:rsidR="00DF4267" w:rsidRDefault="00A21A5F">
      <w:pPr>
        <w:pStyle w:val="Normal1"/>
        <w:jc w:val="both"/>
        <w:rPr>
          <w:rFonts w:ascii="Arial" w:eastAsia="Arial" w:hAnsi="Arial" w:cs="Arial"/>
          <w:sz w:val="20"/>
          <w:szCs w:val="20"/>
        </w:rPr>
      </w:pPr>
      <w:r>
        <w:rPr>
          <w:rFonts w:ascii="Arial" w:eastAsia="Arial" w:hAnsi="Arial" w:cs="Arial"/>
          <w:sz w:val="20"/>
          <w:szCs w:val="20"/>
        </w:rPr>
        <w:t>Green nanotechnology has evolved as a potential substitute to the traditional chemical and physical approaches in synthesis of nanoparticles, especially in developing the nanoparticles in biomedical applications in recent years</w:t>
      </w:r>
      <w:r w:rsidR="00D6518D">
        <w:rPr>
          <w:rFonts w:ascii="Arial" w:eastAsia="Arial" w:hAnsi="Arial" w:cs="Arial"/>
          <w:sz w:val="20"/>
          <w:szCs w:val="20"/>
        </w:rPr>
        <w:t xml:space="preserve"> (</w:t>
      </w:r>
      <w:proofErr w:type="spellStart"/>
      <w:r w:rsidR="00D6518D">
        <w:rPr>
          <w:rFonts w:ascii="Arial" w:eastAsia="Arial" w:hAnsi="Arial" w:cs="Arial"/>
          <w:color w:val="222222"/>
          <w:sz w:val="20"/>
          <w:szCs w:val="20"/>
          <w:highlight w:val="white"/>
        </w:rPr>
        <w:t>Umekar</w:t>
      </w:r>
      <w:proofErr w:type="spellEnd"/>
      <w:r w:rsidR="00D6518D">
        <w:rPr>
          <w:rFonts w:ascii="Arial" w:eastAsia="Arial" w:hAnsi="Arial" w:cs="Arial"/>
          <w:i/>
          <w:sz w:val="20"/>
          <w:szCs w:val="20"/>
        </w:rPr>
        <w:t xml:space="preserve"> et al</w:t>
      </w:r>
      <w:r w:rsidR="00D6518D">
        <w:rPr>
          <w:rFonts w:ascii="Arial" w:eastAsia="Arial" w:hAnsi="Arial" w:cs="Arial"/>
          <w:sz w:val="20"/>
          <w:szCs w:val="20"/>
        </w:rPr>
        <w:t xml:space="preserve"> 2025) S</w:t>
      </w:r>
      <w:r>
        <w:rPr>
          <w:rFonts w:ascii="Arial" w:eastAsia="Arial" w:hAnsi="Arial" w:cs="Arial"/>
          <w:sz w:val="20"/>
          <w:szCs w:val="20"/>
        </w:rPr>
        <w:t>ilver nanoparticles (</w:t>
      </w:r>
      <w:proofErr w:type="spellStart"/>
      <w:r>
        <w:rPr>
          <w:rFonts w:ascii="Arial" w:eastAsia="Arial" w:hAnsi="Arial" w:cs="Arial"/>
          <w:sz w:val="20"/>
          <w:szCs w:val="20"/>
        </w:rPr>
        <w:t>AgNPs</w:t>
      </w:r>
      <w:proofErr w:type="spellEnd"/>
      <w:r>
        <w:rPr>
          <w:rFonts w:ascii="Arial" w:eastAsia="Arial" w:hAnsi="Arial" w:cs="Arial"/>
          <w:sz w:val="20"/>
          <w:szCs w:val="20"/>
        </w:rPr>
        <w:t xml:space="preserve">) in particular, have received a lot of attention as they possess broad-spectrum of antimicrobial, antibiofilm, antioxidant, </w:t>
      </w:r>
      <w:r>
        <w:rPr>
          <w:rFonts w:ascii="Arial" w:eastAsia="Arial" w:hAnsi="Arial" w:cs="Arial"/>
          <w:sz w:val="20"/>
          <w:szCs w:val="20"/>
        </w:rPr>
        <w:lastRenderedPageBreak/>
        <w:t>and cytotoxic effects among many others besides the varied nanostructures (</w:t>
      </w:r>
      <w:proofErr w:type="spellStart"/>
      <w:r>
        <w:rPr>
          <w:rFonts w:ascii="Arial" w:eastAsia="Arial" w:hAnsi="Arial" w:cs="Arial"/>
          <w:sz w:val="20"/>
          <w:szCs w:val="20"/>
        </w:rPr>
        <w:t>Gunyakti</w:t>
      </w:r>
      <w:proofErr w:type="spellEnd"/>
      <w:r w:rsidR="006D3CB0">
        <w:rPr>
          <w:rFonts w:ascii="Arial" w:eastAsia="Arial" w:hAnsi="Arial" w:cs="Arial"/>
          <w:sz w:val="20"/>
          <w:szCs w:val="20"/>
        </w:rPr>
        <w:t xml:space="preserve"> </w:t>
      </w:r>
      <w:r w:rsidR="00D6518D">
        <w:rPr>
          <w:rFonts w:ascii="Arial" w:eastAsia="Arial" w:hAnsi="Arial" w:cs="Arial"/>
          <w:i/>
          <w:sz w:val="20"/>
          <w:szCs w:val="20"/>
        </w:rPr>
        <w:t xml:space="preserve">et al </w:t>
      </w:r>
      <w:r>
        <w:rPr>
          <w:rFonts w:ascii="Arial" w:eastAsia="Arial" w:hAnsi="Arial" w:cs="Arial"/>
          <w:sz w:val="20"/>
          <w:szCs w:val="20"/>
        </w:rPr>
        <w:t>2021). Nevertheless, conventional synthesis methods most of the time utilize toxic reagents and extreme reaction conditions that restrain their biocompatibility and clinical application</w:t>
      </w:r>
      <w:r w:rsidR="00937CB6">
        <w:rPr>
          <w:rFonts w:ascii="Arial" w:eastAsia="Arial" w:hAnsi="Arial" w:cs="Arial"/>
          <w:sz w:val="20"/>
          <w:szCs w:val="20"/>
        </w:rPr>
        <w:t xml:space="preserve"> (Wang </w:t>
      </w:r>
      <w:r w:rsidR="00937CB6">
        <w:rPr>
          <w:rFonts w:ascii="Arial" w:eastAsia="Arial" w:hAnsi="Arial" w:cs="Arial"/>
          <w:i/>
          <w:iCs/>
          <w:sz w:val="20"/>
          <w:szCs w:val="20"/>
        </w:rPr>
        <w:t xml:space="preserve">et al </w:t>
      </w:r>
      <w:r w:rsidR="00937CB6">
        <w:rPr>
          <w:rFonts w:ascii="Arial" w:eastAsia="Arial" w:hAnsi="Arial" w:cs="Arial"/>
          <w:sz w:val="20"/>
          <w:szCs w:val="20"/>
        </w:rPr>
        <w:t>2008)</w:t>
      </w:r>
      <w:r>
        <w:rPr>
          <w:rFonts w:ascii="Arial" w:eastAsia="Arial" w:hAnsi="Arial" w:cs="Arial"/>
          <w:sz w:val="20"/>
          <w:szCs w:val="20"/>
        </w:rPr>
        <w:t>. To counter these shortcomings biological synthesis by probiotic organisms has been increasingly considered, which can provide all benefits in terms of being environmentally sustainable, low cost and non-toxic production of nanoparticles</w:t>
      </w:r>
      <w:r w:rsidR="00937CB6">
        <w:rPr>
          <w:rFonts w:ascii="Arial" w:eastAsia="Arial" w:hAnsi="Arial" w:cs="Arial"/>
          <w:sz w:val="20"/>
          <w:szCs w:val="20"/>
        </w:rPr>
        <w:t xml:space="preserve"> (</w:t>
      </w:r>
      <w:proofErr w:type="spellStart"/>
      <w:proofErr w:type="gramStart"/>
      <w:r w:rsidR="00937CB6">
        <w:rPr>
          <w:rFonts w:ascii="Arial" w:eastAsia="Arial" w:hAnsi="Arial" w:cs="Arial"/>
          <w:sz w:val="20"/>
          <w:szCs w:val="20"/>
        </w:rPr>
        <w:t>Irvani</w:t>
      </w:r>
      <w:proofErr w:type="spellEnd"/>
      <w:r w:rsidR="00937CB6">
        <w:rPr>
          <w:rFonts w:ascii="Arial" w:eastAsia="Arial" w:hAnsi="Arial" w:cs="Arial"/>
          <w:sz w:val="20"/>
          <w:szCs w:val="20"/>
        </w:rPr>
        <w:t xml:space="preserve"> ,</w:t>
      </w:r>
      <w:proofErr w:type="gramEnd"/>
      <w:r w:rsidR="00937CB6">
        <w:rPr>
          <w:rFonts w:ascii="Arial" w:eastAsia="Arial" w:hAnsi="Arial" w:cs="Arial"/>
          <w:sz w:val="20"/>
          <w:szCs w:val="20"/>
        </w:rPr>
        <w:t xml:space="preserve"> 2011)</w:t>
      </w:r>
      <w:r>
        <w:rPr>
          <w:rFonts w:ascii="Arial" w:eastAsia="Arial" w:hAnsi="Arial" w:cs="Arial"/>
          <w:sz w:val="20"/>
          <w:szCs w:val="20"/>
        </w:rPr>
        <w:t>.</w:t>
      </w:r>
    </w:p>
    <w:p w:rsidR="00DF4267" w:rsidRDefault="00A21A5F">
      <w:pPr>
        <w:pStyle w:val="Normal1"/>
        <w:jc w:val="both"/>
        <w:rPr>
          <w:rFonts w:ascii="Arial" w:eastAsia="Arial" w:hAnsi="Arial" w:cs="Arial"/>
          <w:sz w:val="20"/>
          <w:szCs w:val="20"/>
        </w:rPr>
      </w:pPr>
      <w:r>
        <w:rPr>
          <w:rFonts w:ascii="Arial" w:eastAsia="Arial" w:hAnsi="Arial" w:cs="Arial"/>
          <w:i/>
          <w:sz w:val="20"/>
          <w:szCs w:val="20"/>
        </w:rPr>
        <w:t xml:space="preserve">Lactobacillus </w:t>
      </w:r>
      <w:proofErr w:type="spellStart"/>
      <w:r>
        <w:rPr>
          <w:rFonts w:ascii="Arial" w:eastAsia="Arial" w:hAnsi="Arial" w:cs="Arial"/>
          <w:i/>
          <w:sz w:val="20"/>
          <w:szCs w:val="20"/>
        </w:rPr>
        <w:t>gasseri</w:t>
      </w:r>
      <w:proofErr w:type="spellEnd"/>
      <w:r>
        <w:rPr>
          <w:rFonts w:ascii="Arial" w:eastAsia="Arial" w:hAnsi="Arial" w:cs="Arial"/>
          <w:sz w:val="20"/>
          <w:szCs w:val="20"/>
        </w:rPr>
        <w:t xml:space="preserve"> is a famous probiotic strain to be studied well regarding its health effects and production of secondary metabolites including peptides, organic acids, and exopolysaccharides. These natural bioactive chemicals may serve as reducing and stabilizing chemicals in reaction of metal nanoparticles (</w:t>
      </w:r>
      <w:proofErr w:type="spellStart"/>
      <w:r>
        <w:rPr>
          <w:rFonts w:ascii="Arial" w:eastAsia="Arial" w:hAnsi="Arial" w:cs="Arial"/>
          <w:color w:val="222222"/>
          <w:sz w:val="20"/>
          <w:szCs w:val="20"/>
          <w:highlight w:val="white"/>
        </w:rPr>
        <w:t>Umekar</w:t>
      </w:r>
      <w:proofErr w:type="spellEnd"/>
      <w:r>
        <w:rPr>
          <w:rFonts w:ascii="Arial" w:eastAsia="Arial" w:hAnsi="Arial" w:cs="Arial"/>
          <w:i/>
          <w:sz w:val="20"/>
          <w:szCs w:val="20"/>
        </w:rPr>
        <w:t xml:space="preserve"> et al</w:t>
      </w:r>
      <w:r>
        <w:rPr>
          <w:rFonts w:ascii="Arial" w:eastAsia="Arial" w:hAnsi="Arial" w:cs="Arial"/>
          <w:sz w:val="20"/>
          <w:szCs w:val="20"/>
        </w:rPr>
        <w:t xml:space="preserve"> 2025). The second technique involves the integration of the nanoparticles synthesized in a living system into </w:t>
      </w:r>
      <w:proofErr w:type="spellStart"/>
      <w:r>
        <w:rPr>
          <w:rFonts w:ascii="Arial" w:eastAsia="Arial" w:hAnsi="Arial" w:cs="Arial"/>
          <w:sz w:val="20"/>
          <w:szCs w:val="20"/>
        </w:rPr>
        <w:t>nanoemulsion</w:t>
      </w:r>
      <w:proofErr w:type="spellEnd"/>
      <w:r>
        <w:rPr>
          <w:rFonts w:ascii="Arial" w:eastAsia="Arial" w:hAnsi="Arial" w:cs="Arial"/>
          <w:sz w:val="20"/>
          <w:szCs w:val="20"/>
        </w:rPr>
        <w:t xml:space="preserve"> and causes even greater improvement of their rather poor solubility, dispersibility, and efficacy of therapeutic application (</w:t>
      </w:r>
      <w:r>
        <w:rPr>
          <w:rFonts w:ascii="Arial" w:eastAsia="Arial" w:hAnsi="Arial" w:cs="Arial"/>
          <w:color w:val="222222"/>
          <w:sz w:val="20"/>
          <w:szCs w:val="20"/>
          <w:highlight w:val="white"/>
        </w:rPr>
        <w:t xml:space="preserve">Srinivasan </w:t>
      </w:r>
      <w:r>
        <w:rPr>
          <w:rFonts w:ascii="Arial" w:eastAsia="Arial" w:hAnsi="Arial" w:cs="Arial"/>
          <w:i/>
          <w:color w:val="222222"/>
          <w:sz w:val="20"/>
          <w:szCs w:val="20"/>
          <w:highlight w:val="white"/>
        </w:rPr>
        <w:t>et al</w:t>
      </w:r>
      <w:r>
        <w:rPr>
          <w:rFonts w:ascii="Arial" w:eastAsia="Arial" w:hAnsi="Arial" w:cs="Arial"/>
          <w:color w:val="222222"/>
          <w:sz w:val="20"/>
          <w:szCs w:val="20"/>
          <w:highlight w:val="white"/>
        </w:rPr>
        <w:t xml:space="preserve"> 2023</w:t>
      </w:r>
      <w:r>
        <w:rPr>
          <w:rFonts w:ascii="Arial" w:eastAsia="Arial" w:hAnsi="Arial" w:cs="Arial"/>
          <w:sz w:val="20"/>
          <w:szCs w:val="20"/>
        </w:rPr>
        <w:t xml:space="preserve">). The high surface area and small droplet size will enable </w:t>
      </w:r>
      <w:proofErr w:type="spellStart"/>
      <w:r>
        <w:rPr>
          <w:rFonts w:ascii="Arial" w:eastAsia="Arial" w:hAnsi="Arial" w:cs="Arial"/>
          <w:sz w:val="20"/>
          <w:szCs w:val="20"/>
        </w:rPr>
        <w:t>nanoemulsions</w:t>
      </w:r>
      <w:proofErr w:type="spellEnd"/>
      <w:r>
        <w:rPr>
          <w:rFonts w:ascii="Arial" w:eastAsia="Arial" w:hAnsi="Arial" w:cs="Arial"/>
          <w:sz w:val="20"/>
          <w:szCs w:val="20"/>
        </w:rPr>
        <w:t xml:space="preserve"> to be used in drug delivery, as well as in antimicrobial applications and provide a desirable absorption, release, interaction with biological membranes.</w:t>
      </w:r>
    </w:p>
    <w:p w:rsidR="00DF4267" w:rsidRDefault="00A21A5F">
      <w:pPr>
        <w:pStyle w:val="Normal1"/>
        <w:jc w:val="both"/>
        <w:rPr>
          <w:rFonts w:ascii="Arial" w:eastAsia="Arial" w:hAnsi="Arial" w:cs="Arial"/>
          <w:sz w:val="20"/>
          <w:szCs w:val="20"/>
        </w:rPr>
      </w:pPr>
      <w:r>
        <w:rPr>
          <w:rFonts w:ascii="Arial" w:eastAsia="Arial" w:hAnsi="Arial" w:cs="Arial"/>
          <w:sz w:val="20"/>
          <w:szCs w:val="20"/>
        </w:rPr>
        <w:t xml:space="preserve">The silver </w:t>
      </w:r>
      <w:proofErr w:type="spellStart"/>
      <w:r>
        <w:rPr>
          <w:rFonts w:ascii="Arial" w:eastAsia="Arial" w:hAnsi="Arial" w:cs="Arial"/>
          <w:sz w:val="20"/>
          <w:szCs w:val="20"/>
        </w:rPr>
        <w:t>nanoemulsions</w:t>
      </w:r>
      <w:proofErr w:type="spellEnd"/>
      <w:r>
        <w:rPr>
          <w:rFonts w:ascii="Arial" w:eastAsia="Arial" w:hAnsi="Arial" w:cs="Arial"/>
          <w:sz w:val="20"/>
          <w:szCs w:val="20"/>
        </w:rPr>
        <w:t xml:space="preserve"> prepared by probiotic metabolites have a different value of biomedical relevance because of their multipurpose functionality. Besides this antimicrobial and antibiofilm ability, they can also be tested on their cytotoxicity that can be used in cancer treatment and in wound healing. Characterization of material should be done properly using techniques as UV-visible spectroscopy, FTIR, FESEM and this will provide evidence of synthesis process and the structural and chemical attributes of the </w:t>
      </w:r>
      <w:proofErr w:type="spellStart"/>
      <w:r>
        <w:rPr>
          <w:rFonts w:ascii="Arial" w:eastAsia="Arial" w:hAnsi="Arial" w:cs="Arial"/>
          <w:sz w:val="20"/>
          <w:szCs w:val="20"/>
        </w:rPr>
        <w:t>nanoemulsion</w:t>
      </w:r>
      <w:proofErr w:type="spellEnd"/>
      <w:r>
        <w:rPr>
          <w:rFonts w:ascii="Arial" w:eastAsia="Arial" w:hAnsi="Arial" w:cs="Arial"/>
          <w:sz w:val="20"/>
          <w:szCs w:val="20"/>
        </w:rPr>
        <w:t xml:space="preserve">. Moreover, in-vitro experiments involving mammalian cell lines, including an example of L929 fibroblasts, can give invaluable information regarding the biocompatibility and safety profile of the formulation (McClements, 2013). Thus, the purpose of the current study is to synthesize silver </w:t>
      </w:r>
      <w:proofErr w:type="spellStart"/>
      <w:r>
        <w:rPr>
          <w:rFonts w:ascii="Arial" w:eastAsia="Arial" w:hAnsi="Arial" w:cs="Arial"/>
          <w:sz w:val="20"/>
          <w:szCs w:val="20"/>
        </w:rPr>
        <w:t>nanoemulsion</w:t>
      </w:r>
      <w:proofErr w:type="spellEnd"/>
      <w:r>
        <w:rPr>
          <w:rFonts w:ascii="Arial" w:eastAsia="Arial" w:hAnsi="Arial" w:cs="Arial"/>
          <w:sz w:val="20"/>
          <w:szCs w:val="20"/>
        </w:rPr>
        <w:t xml:space="preserve"> with the cell-free extracts of </w:t>
      </w:r>
      <w:r>
        <w:rPr>
          <w:rFonts w:ascii="Arial" w:eastAsia="Arial" w:hAnsi="Arial" w:cs="Arial"/>
          <w:i/>
          <w:sz w:val="20"/>
          <w:szCs w:val="20"/>
        </w:rPr>
        <w:t xml:space="preserve">Lactobacillus </w:t>
      </w:r>
      <w:proofErr w:type="spellStart"/>
      <w:r>
        <w:rPr>
          <w:rFonts w:ascii="Arial" w:eastAsia="Arial" w:hAnsi="Arial" w:cs="Arial"/>
          <w:i/>
          <w:sz w:val="20"/>
          <w:szCs w:val="20"/>
        </w:rPr>
        <w:t>gasseri</w:t>
      </w:r>
      <w:proofErr w:type="spellEnd"/>
      <w:r>
        <w:rPr>
          <w:rFonts w:ascii="Arial" w:eastAsia="Arial" w:hAnsi="Arial" w:cs="Arial"/>
          <w:i/>
          <w:sz w:val="20"/>
          <w:szCs w:val="20"/>
        </w:rPr>
        <w:t>,</w:t>
      </w:r>
      <w:r>
        <w:rPr>
          <w:rFonts w:ascii="Arial" w:eastAsia="Arial" w:hAnsi="Arial" w:cs="Arial"/>
          <w:sz w:val="20"/>
          <w:szCs w:val="20"/>
        </w:rPr>
        <w:t xml:space="preserve"> characterize it by applying different physicochemical methods and determine its suitability in biomedical biomedicine such as antimicrobial, antibiofilm, and cytotoxic properties.</w:t>
      </w:r>
    </w:p>
    <w:p w:rsidR="00DF4267" w:rsidRDefault="00A21A5F">
      <w:pPr>
        <w:pStyle w:val="Normal1"/>
        <w:numPr>
          <w:ilvl w:val="0"/>
          <w:numId w:val="1"/>
        </w:numPr>
        <w:pBdr>
          <w:top w:val="nil"/>
          <w:left w:val="nil"/>
          <w:bottom w:val="nil"/>
          <w:right w:val="nil"/>
          <w:between w:val="nil"/>
        </w:pBdr>
        <w:spacing w:after="0"/>
        <w:ind w:left="360"/>
        <w:rPr>
          <w:rFonts w:ascii="Arial" w:eastAsia="Arial" w:hAnsi="Arial" w:cs="Arial"/>
          <w:b/>
          <w:color w:val="000000"/>
        </w:rPr>
      </w:pPr>
      <w:r>
        <w:rPr>
          <w:rFonts w:ascii="Arial" w:eastAsia="Arial" w:hAnsi="Arial" w:cs="Arial"/>
          <w:b/>
          <w:color w:val="000000"/>
        </w:rPr>
        <w:t>MATERIALS AND METHODS</w:t>
      </w:r>
    </w:p>
    <w:p w:rsidR="00DF4267" w:rsidRDefault="00A21A5F">
      <w:pPr>
        <w:pStyle w:val="Normal1"/>
        <w:numPr>
          <w:ilvl w:val="1"/>
          <w:numId w:val="1"/>
        </w:numPr>
        <w:pBdr>
          <w:top w:val="nil"/>
          <w:left w:val="nil"/>
          <w:bottom w:val="nil"/>
          <w:right w:val="nil"/>
          <w:between w:val="nil"/>
        </w:pBdr>
        <w:ind w:left="720"/>
        <w:rPr>
          <w:rFonts w:ascii="Arial" w:eastAsia="Arial" w:hAnsi="Arial" w:cs="Arial"/>
          <w:b/>
          <w:color w:val="000000"/>
        </w:rPr>
      </w:pPr>
      <w:r>
        <w:rPr>
          <w:rFonts w:ascii="Arial" w:eastAsia="Arial" w:hAnsi="Arial" w:cs="Arial"/>
          <w:b/>
          <w:color w:val="000000"/>
        </w:rPr>
        <w:t xml:space="preserve">Collection and Isolation of </w:t>
      </w:r>
      <w:r>
        <w:rPr>
          <w:rFonts w:ascii="Arial" w:eastAsia="Arial" w:hAnsi="Arial" w:cs="Arial"/>
          <w:b/>
          <w:i/>
          <w:color w:val="000000"/>
        </w:rPr>
        <w:t xml:space="preserve">Lactobacillus </w:t>
      </w:r>
    </w:p>
    <w:p w:rsidR="00DF4267" w:rsidRDefault="00A21A5F">
      <w:pPr>
        <w:pStyle w:val="Normal1"/>
        <w:jc w:val="both"/>
        <w:rPr>
          <w:rFonts w:ascii="Arial" w:eastAsia="Arial" w:hAnsi="Arial" w:cs="Arial"/>
          <w:sz w:val="20"/>
          <w:szCs w:val="20"/>
        </w:rPr>
      </w:pPr>
      <w:r>
        <w:rPr>
          <w:rFonts w:ascii="Arial" w:eastAsia="Arial" w:hAnsi="Arial" w:cs="Arial"/>
          <w:i/>
          <w:sz w:val="20"/>
          <w:szCs w:val="20"/>
        </w:rPr>
        <w:t xml:space="preserve">Lactobacillus </w:t>
      </w:r>
      <w:proofErr w:type="spellStart"/>
      <w:r>
        <w:rPr>
          <w:rFonts w:ascii="Arial" w:eastAsia="Arial" w:hAnsi="Arial" w:cs="Arial"/>
          <w:i/>
          <w:sz w:val="20"/>
          <w:szCs w:val="20"/>
        </w:rPr>
        <w:t>gasseri</w:t>
      </w:r>
      <w:proofErr w:type="spellEnd"/>
      <w:r>
        <w:rPr>
          <w:rFonts w:ascii="Arial" w:eastAsia="Arial" w:hAnsi="Arial" w:cs="Arial"/>
          <w:sz w:val="20"/>
          <w:szCs w:val="20"/>
        </w:rPr>
        <w:t xml:space="preserve"> strain employed in this study was obtained at </w:t>
      </w:r>
      <w:proofErr w:type="spellStart"/>
      <w:r>
        <w:rPr>
          <w:rFonts w:ascii="Arial" w:eastAsia="Arial" w:hAnsi="Arial" w:cs="Arial"/>
          <w:sz w:val="20"/>
          <w:szCs w:val="20"/>
        </w:rPr>
        <w:t>SykroMax</w:t>
      </w:r>
      <w:proofErr w:type="spellEnd"/>
      <w:r>
        <w:rPr>
          <w:rFonts w:ascii="Arial" w:eastAsia="Arial" w:hAnsi="Arial" w:cs="Arial"/>
          <w:sz w:val="20"/>
          <w:szCs w:val="20"/>
        </w:rPr>
        <w:t xml:space="preserve"> Biotech </w:t>
      </w:r>
      <w:proofErr w:type="spellStart"/>
      <w:r>
        <w:rPr>
          <w:rFonts w:ascii="Arial" w:eastAsia="Arial" w:hAnsi="Arial" w:cs="Arial"/>
          <w:sz w:val="20"/>
          <w:szCs w:val="20"/>
        </w:rPr>
        <w:t>Pvt.</w:t>
      </w:r>
      <w:proofErr w:type="spellEnd"/>
      <w:r>
        <w:rPr>
          <w:rFonts w:ascii="Arial" w:eastAsia="Arial" w:hAnsi="Arial" w:cs="Arial"/>
          <w:sz w:val="20"/>
          <w:szCs w:val="20"/>
        </w:rPr>
        <w:t xml:space="preserve"> Ltd., Chennai, India. The culture was serially diluted </w:t>
      </w:r>
      <w:proofErr w:type="spellStart"/>
      <w:r>
        <w:rPr>
          <w:rFonts w:ascii="Arial" w:eastAsia="Arial" w:hAnsi="Arial" w:cs="Arial"/>
          <w:sz w:val="20"/>
          <w:szCs w:val="20"/>
        </w:rPr>
        <w:t>upto</w:t>
      </w:r>
      <w:proofErr w:type="spellEnd"/>
      <w:r>
        <w:rPr>
          <w:rFonts w:ascii="Arial" w:eastAsia="Arial" w:hAnsi="Arial" w:cs="Arial"/>
          <w:sz w:val="20"/>
          <w:szCs w:val="20"/>
        </w:rPr>
        <w:t xml:space="preserve"> 10</w:t>
      </w:r>
      <w:r>
        <w:rPr>
          <w:rFonts w:ascii="Arial" w:eastAsia="Arial" w:hAnsi="Arial" w:cs="Arial"/>
          <w:sz w:val="20"/>
          <w:szCs w:val="20"/>
          <w:vertAlign w:val="superscript"/>
        </w:rPr>
        <w:t>-5</w:t>
      </w:r>
      <w:r>
        <w:rPr>
          <w:rFonts w:ascii="Arial" w:eastAsia="Arial" w:hAnsi="Arial" w:cs="Arial"/>
          <w:sz w:val="20"/>
          <w:szCs w:val="20"/>
        </w:rPr>
        <w:t xml:space="preserve">. Morphologically similar colonies of </w:t>
      </w:r>
      <w:r>
        <w:rPr>
          <w:rFonts w:ascii="Arial" w:eastAsia="Arial" w:hAnsi="Arial" w:cs="Arial"/>
          <w:i/>
          <w:sz w:val="20"/>
          <w:szCs w:val="20"/>
        </w:rPr>
        <w:t>Lactobacillus</w:t>
      </w:r>
      <w:r>
        <w:rPr>
          <w:rFonts w:ascii="Arial" w:eastAsia="Arial" w:hAnsi="Arial" w:cs="Arial"/>
          <w:sz w:val="20"/>
          <w:szCs w:val="20"/>
        </w:rPr>
        <w:t xml:space="preserve"> </w:t>
      </w:r>
      <w:proofErr w:type="gramStart"/>
      <w:r>
        <w:rPr>
          <w:rFonts w:ascii="Arial" w:eastAsia="Arial" w:hAnsi="Arial" w:cs="Arial"/>
          <w:sz w:val="20"/>
          <w:szCs w:val="20"/>
        </w:rPr>
        <w:t>was</w:t>
      </w:r>
      <w:proofErr w:type="gramEnd"/>
      <w:r>
        <w:rPr>
          <w:rFonts w:ascii="Arial" w:eastAsia="Arial" w:hAnsi="Arial" w:cs="Arial"/>
          <w:sz w:val="20"/>
          <w:szCs w:val="20"/>
        </w:rPr>
        <w:t xml:space="preserve"> inoculated in aseptic manner on to de Man, </w:t>
      </w:r>
      <w:proofErr w:type="spellStart"/>
      <w:r>
        <w:rPr>
          <w:rFonts w:ascii="Arial" w:eastAsia="Arial" w:hAnsi="Arial" w:cs="Arial"/>
          <w:sz w:val="20"/>
          <w:szCs w:val="20"/>
        </w:rPr>
        <w:t>Rogosa</w:t>
      </w:r>
      <w:proofErr w:type="spellEnd"/>
      <w:r>
        <w:rPr>
          <w:rFonts w:ascii="Arial" w:eastAsia="Arial" w:hAnsi="Arial" w:cs="Arial"/>
          <w:sz w:val="20"/>
          <w:szCs w:val="20"/>
        </w:rPr>
        <w:t>, and Sharpe agar plates (MRS) to confirm viability and purity by incubation of agar plates at 37</w:t>
      </w:r>
      <w:r>
        <w:rPr>
          <w:rFonts w:ascii="Arial" w:eastAsia="Arial" w:hAnsi="Arial" w:cs="Arial"/>
          <w:sz w:val="20"/>
          <w:szCs w:val="20"/>
          <w:vertAlign w:val="superscript"/>
        </w:rPr>
        <w:t>o</w:t>
      </w:r>
      <w:r>
        <w:rPr>
          <w:rFonts w:ascii="Arial" w:eastAsia="Arial" w:hAnsi="Arial" w:cs="Arial"/>
          <w:sz w:val="20"/>
          <w:szCs w:val="20"/>
        </w:rPr>
        <w:t xml:space="preserve"> C for 24 - 48 hours under anaerobic conditions. Clear colonies were picked and streaked into MRS broth to sub cultured and propagate further. The actively growing cultures were stored in MRS broth at 4</w:t>
      </w:r>
      <w:r>
        <w:rPr>
          <w:rFonts w:ascii="Arial" w:eastAsia="Arial" w:hAnsi="Arial" w:cs="Arial"/>
          <w:sz w:val="20"/>
          <w:szCs w:val="20"/>
          <w:vertAlign w:val="superscript"/>
        </w:rPr>
        <w:t>o</w:t>
      </w:r>
      <w:r>
        <w:rPr>
          <w:rFonts w:ascii="Arial" w:eastAsia="Arial" w:hAnsi="Arial" w:cs="Arial"/>
          <w:sz w:val="20"/>
          <w:szCs w:val="20"/>
        </w:rPr>
        <w:t xml:space="preserve"> C</w:t>
      </w:r>
    </w:p>
    <w:p w:rsidR="00DF4267" w:rsidRDefault="00A21A5F">
      <w:pPr>
        <w:pStyle w:val="Normal1"/>
        <w:numPr>
          <w:ilvl w:val="1"/>
          <w:numId w:val="1"/>
        </w:numPr>
        <w:pBdr>
          <w:top w:val="nil"/>
          <w:left w:val="nil"/>
          <w:bottom w:val="nil"/>
          <w:right w:val="nil"/>
          <w:between w:val="nil"/>
        </w:pBdr>
        <w:ind w:left="720"/>
        <w:jc w:val="both"/>
        <w:rPr>
          <w:rFonts w:ascii="Arial" w:eastAsia="Arial" w:hAnsi="Arial" w:cs="Arial"/>
          <w:b/>
          <w:color w:val="000000"/>
        </w:rPr>
      </w:pPr>
      <w:r>
        <w:rPr>
          <w:rFonts w:ascii="Arial" w:eastAsia="Arial" w:hAnsi="Arial" w:cs="Arial"/>
          <w:b/>
          <w:color w:val="000000"/>
        </w:rPr>
        <w:t xml:space="preserve">Silver </w:t>
      </w:r>
      <w:proofErr w:type="spellStart"/>
      <w:r>
        <w:rPr>
          <w:rFonts w:ascii="Arial" w:eastAsia="Arial" w:hAnsi="Arial" w:cs="Arial"/>
          <w:b/>
          <w:color w:val="000000"/>
        </w:rPr>
        <w:t>Nanoemulsion</w:t>
      </w:r>
      <w:proofErr w:type="spellEnd"/>
      <w:r>
        <w:rPr>
          <w:rFonts w:ascii="Arial" w:eastAsia="Arial" w:hAnsi="Arial" w:cs="Arial"/>
          <w:b/>
          <w:color w:val="000000"/>
        </w:rPr>
        <w:t xml:space="preserve"> Biosynthesis</w:t>
      </w:r>
    </w:p>
    <w:p w:rsidR="00DF4267" w:rsidRDefault="00A21A5F">
      <w:pPr>
        <w:pStyle w:val="Normal1"/>
        <w:jc w:val="both"/>
        <w:rPr>
          <w:rFonts w:ascii="Arial" w:eastAsia="Arial" w:hAnsi="Arial" w:cs="Arial"/>
          <w:sz w:val="20"/>
          <w:szCs w:val="20"/>
        </w:rPr>
      </w:pPr>
      <w:r>
        <w:rPr>
          <w:rFonts w:ascii="Arial" w:eastAsia="Arial" w:hAnsi="Arial" w:cs="Arial"/>
          <w:sz w:val="20"/>
          <w:szCs w:val="20"/>
        </w:rPr>
        <w:t xml:space="preserve">Fresh MRS broth was inoculated with an active culture of </w:t>
      </w:r>
      <w:r>
        <w:rPr>
          <w:rFonts w:ascii="Arial" w:eastAsia="Arial" w:hAnsi="Arial" w:cs="Arial"/>
          <w:i/>
          <w:sz w:val="20"/>
          <w:szCs w:val="20"/>
        </w:rPr>
        <w:t xml:space="preserve">Lactobacillus </w:t>
      </w:r>
      <w:proofErr w:type="spellStart"/>
      <w:r>
        <w:rPr>
          <w:rFonts w:ascii="Arial" w:eastAsia="Arial" w:hAnsi="Arial" w:cs="Arial"/>
          <w:i/>
          <w:sz w:val="20"/>
          <w:szCs w:val="20"/>
        </w:rPr>
        <w:t>gasseri</w:t>
      </w:r>
      <w:proofErr w:type="spellEnd"/>
      <w:r>
        <w:rPr>
          <w:rFonts w:ascii="Arial" w:eastAsia="Arial" w:hAnsi="Arial" w:cs="Arial"/>
          <w:sz w:val="20"/>
          <w:szCs w:val="20"/>
        </w:rPr>
        <w:t xml:space="preserve"> and incubated in a static environment at 37</w:t>
      </w:r>
      <w:r>
        <w:rPr>
          <w:rFonts w:ascii="Arial" w:eastAsia="Arial" w:hAnsi="Arial" w:cs="Arial"/>
          <w:sz w:val="20"/>
          <w:szCs w:val="20"/>
          <w:vertAlign w:val="superscript"/>
        </w:rPr>
        <w:t>o</w:t>
      </w:r>
      <w:r>
        <w:rPr>
          <w:rFonts w:ascii="Arial" w:eastAsia="Arial" w:hAnsi="Arial" w:cs="Arial"/>
          <w:sz w:val="20"/>
          <w:szCs w:val="20"/>
        </w:rPr>
        <w:t>C for 24 hours. Following incubation, cell-free extract was extracted by centrifuging the culture at 5000</w:t>
      </w:r>
      <w:r>
        <w:rPr>
          <w:rFonts w:ascii="Tahoma" w:eastAsia="Tahoma" w:hAnsi="Tahoma" w:cs="Tahoma"/>
          <w:sz w:val="20"/>
          <w:szCs w:val="20"/>
        </w:rPr>
        <w:t xml:space="preserve"> rpm for</w:t>
      </w:r>
      <w:r>
        <w:rPr>
          <w:rFonts w:ascii="Arial" w:eastAsia="Arial" w:hAnsi="Arial" w:cs="Arial"/>
          <w:sz w:val="20"/>
          <w:szCs w:val="20"/>
        </w:rPr>
        <w:t xml:space="preserve"> 5 minutes. The resulting supernatant, which comprised the extracellular metabolites, was retrieved gently and served as the biological reducing and stabilizing agent during nanoparticle synthesis.</w:t>
      </w:r>
    </w:p>
    <w:p w:rsidR="00DF4267" w:rsidRDefault="00A21A5F">
      <w:pPr>
        <w:pStyle w:val="Normal1"/>
        <w:jc w:val="both"/>
        <w:rPr>
          <w:rFonts w:ascii="Arial" w:eastAsia="Arial" w:hAnsi="Arial" w:cs="Arial"/>
          <w:sz w:val="20"/>
          <w:szCs w:val="20"/>
        </w:rPr>
      </w:pPr>
      <w:r>
        <w:rPr>
          <w:rFonts w:ascii="Arial" w:eastAsia="Arial" w:hAnsi="Arial" w:cs="Arial"/>
          <w:sz w:val="20"/>
          <w:szCs w:val="20"/>
        </w:rPr>
        <w:t>To biosynthesize silver nanoparticles, 10 mL of a 1 mM silver nitrate (AgNO</w:t>
      </w:r>
      <w:r>
        <w:rPr>
          <w:rFonts w:ascii="Arial" w:eastAsia="Arial" w:hAnsi="Arial" w:cs="Arial"/>
          <w:sz w:val="20"/>
          <w:szCs w:val="20"/>
          <w:vertAlign w:val="subscript"/>
        </w:rPr>
        <w:t>3</w:t>
      </w:r>
      <w:r>
        <w:rPr>
          <w:rFonts w:ascii="Arial" w:eastAsia="Arial" w:hAnsi="Arial" w:cs="Arial"/>
          <w:sz w:val="20"/>
          <w:szCs w:val="20"/>
        </w:rPr>
        <w:t xml:space="preserve">) solution was added to 10 mL of </w:t>
      </w:r>
      <w:r>
        <w:rPr>
          <w:rFonts w:ascii="Arial" w:eastAsia="Arial" w:hAnsi="Arial" w:cs="Arial"/>
          <w:i/>
          <w:sz w:val="20"/>
          <w:szCs w:val="20"/>
        </w:rPr>
        <w:t xml:space="preserve">L. </w:t>
      </w:r>
      <w:proofErr w:type="spellStart"/>
      <w:r>
        <w:rPr>
          <w:rFonts w:ascii="Arial" w:eastAsia="Arial" w:hAnsi="Arial" w:cs="Arial"/>
          <w:i/>
          <w:sz w:val="20"/>
          <w:szCs w:val="20"/>
        </w:rPr>
        <w:t>gasseri</w:t>
      </w:r>
      <w:proofErr w:type="spellEnd"/>
      <w:r>
        <w:rPr>
          <w:rFonts w:ascii="Arial" w:eastAsia="Arial" w:hAnsi="Arial" w:cs="Arial"/>
          <w:sz w:val="20"/>
          <w:szCs w:val="20"/>
        </w:rPr>
        <w:t xml:space="preserve"> supernatant to an equal volume and then incubated in the dark at room temperature. The presence of silver nanoparticles was determined by visual </w:t>
      </w:r>
      <w:proofErr w:type="spellStart"/>
      <w:r>
        <w:rPr>
          <w:rFonts w:ascii="Arial" w:eastAsia="Arial" w:hAnsi="Arial" w:cs="Arial"/>
          <w:sz w:val="20"/>
          <w:szCs w:val="20"/>
        </w:rPr>
        <w:t>color</w:t>
      </w:r>
      <w:proofErr w:type="spellEnd"/>
      <w:r>
        <w:rPr>
          <w:rFonts w:ascii="Arial" w:eastAsia="Arial" w:hAnsi="Arial" w:cs="Arial"/>
          <w:sz w:val="20"/>
          <w:szCs w:val="20"/>
        </w:rPr>
        <w:t xml:space="preserve"> change that occurred, where it was observed that the </w:t>
      </w:r>
      <w:proofErr w:type="spellStart"/>
      <w:r>
        <w:rPr>
          <w:rFonts w:ascii="Arial" w:eastAsia="Arial" w:hAnsi="Arial" w:cs="Arial"/>
          <w:sz w:val="20"/>
          <w:szCs w:val="20"/>
        </w:rPr>
        <w:t>color</w:t>
      </w:r>
      <w:proofErr w:type="spellEnd"/>
      <w:r>
        <w:rPr>
          <w:rFonts w:ascii="Arial" w:eastAsia="Arial" w:hAnsi="Arial" w:cs="Arial"/>
          <w:sz w:val="20"/>
          <w:szCs w:val="20"/>
        </w:rPr>
        <w:t xml:space="preserve"> of silver nanoparticles solution changed upon the reduction of silver ions through the microbial metabolites (</w:t>
      </w:r>
      <w:proofErr w:type="spellStart"/>
      <w:r>
        <w:rPr>
          <w:rFonts w:ascii="Arial" w:eastAsia="Arial" w:hAnsi="Arial" w:cs="Arial"/>
          <w:color w:val="222222"/>
          <w:sz w:val="20"/>
          <w:szCs w:val="20"/>
          <w:highlight w:val="white"/>
        </w:rPr>
        <w:t>Umekar</w:t>
      </w:r>
      <w:proofErr w:type="spellEnd"/>
      <w:r w:rsidR="006D3CB0">
        <w:rPr>
          <w:rFonts w:ascii="Arial" w:eastAsia="Arial" w:hAnsi="Arial" w:cs="Arial"/>
          <w:color w:val="222222"/>
          <w:sz w:val="20"/>
          <w:szCs w:val="20"/>
        </w:rPr>
        <w:t xml:space="preserve"> </w:t>
      </w:r>
      <w:r>
        <w:rPr>
          <w:rFonts w:ascii="Arial" w:eastAsia="Arial" w:hAnsi="Arial" w:cs="Arial"/>
          <w:i/>
          <w:sz w:val="20"/>
          <w:szCs w:val="20"/>
        </w:rPr>
        <w:t>et al</w:t>
      </w:r>
      <w:r>
        <w:rPr>
          <w:rFonts w:ascii="Arial" w:eastAsia="Arial" w:hAnsi="Arial" w:cs="Arial"/>
          <w:sz w:val="20"/>
          <w:szCs w:val="20"/>
        </w:rPr>
        <w:t xml:space="preserve"> 2025).</w:t>
      </w:r>
    </w:p>
    <w:p w:rsidR="00DF4267" w:rsidRDefault="00A21A5F">
      <w:pPr>
        <w:pStyle w:val="Normal1"/>
        <w:jc w:val="both"/>
        <w:rPr>
          <w:rFonts w:ascii="Arial" w:eastAsia="Arial" w:hAnsi="Arial" w:cs="Arial"/>
          <w:sz w:val="20"/>
          <w:szCs w:val="20"/>
        </w:rPr>
      </w:pPr>
      <w:r>
        <w:rPr>
          <w:rFonts w:ascii="Arial" w:eastAsia="Arial" w:hAnsi="Arial" w:cs="Arial"/>
          <w:sz w:val="20"/>
          <w:szCs w:val="20"/>
        </w:rPr>
        <w:lastRenderedPageBreak/>
        <w:t xml:space="preserve">To prepare the </w:t>
      </w:r>
      <w:proofErr w:type="spellStart"/>
      <w:r>
        <w:rPr>
          <w:rFonts w:ascii="Arial" w:eastAsia="Arial" w:hAnsi="Arial" w:cs="Arial"/>
          <w:sz w:val="20"/>
          <w:szCs w:val="20"/>
        </w:rPr>
        <w:t>nanoemulsion</w:t>
      </w:r>
      <w:proofErr w:type="spellEnd"/>
      <w:r>
        <w:rPr>
          <w:rFonts w:ascii="Arial" w:eastAsia="Arial" w:hAnsi="Arial" w:cs="Arial"/>
          <w:sz w:val="20"/>
          <w:szCs w:val="20"/>
        </w:rPr>
        <w:t xml:space="preserve">, 0.5% Carbopol 940 was added to the </w:t>
      </w:r>
      <w:proofErr w:type="spellStart"/>
      <w:r>
        <w:rPr>
          <w:rFonts w:ascii="Arial" w:eastAsia="Arial" w:hAnsi="Arial" w:cs="Arial"/>
          <w:sz w:val="20"/>
          <w:szCs w:val="20"/>
        </w:rPr>
        <w:t>AgNP</w:t>
      </w:r>
      <w:proofErr w:type="spellEnd"/>
      <w:r>
        <w:rPr>
          <w:rFonts w:ascii="Arial" w:eastAsia="Arial" w:hAnsi="Arial" w:cs="Arial"/>
          <w:sz w:val="20"/>
          <w:szCs w:val="20"/>
        </w:rPr>
        <w:t xml:space="preserve"> solution to enhance the viscosity, stability, and consistency of the mixture. Carbopol has been demonstrated to improve the </w:t>
      </w:r>
      <w:proofErr w:type="gramStart"/>
      <w:r>
        <w:rPr>
          <w:rFonts w:ascii="Arial" w:eastAsia="Arial" w:hAnsi="Arial" w:cs="Arial"/>
          <w:sz w:val="20"/>
          <w:szCs w:val="20"/>
        </w:rPr>
        <w:t>long term</w:t>
      </w:r>
      <w:proofErr w:type="gramEnd"/>
      <w:r>
        <w:rPr>
          <w:rFonts w:ascii="Arial" w:eastAsia="Arial" w:hAnsi="Arial" w:cs="Arial"/>
          <w:sz w:val="20"/>
          <w:szCs w:val="20"/>
        </w:rPr>
        <w:t xml:space="preserve"> stability and homogeneity of nanoparticle-based emulsions (</w:t>
      </w:r>
      <w:r>
        <w:rPr>
          <w:rFonts w:ascii="Arial" w:eastAsia="Arial" w:hAnsi="Arial" w:cs="Arial"/>
          <w:color w:val="222222"/>
          <w:sz w:val="20"/>
          <w:szCs w:val="20"/>
          <w:highlight w:val="white"/>
        </w:rPr>
        <w:t>McClements</w:t>
      </w:r>
      <w:r>
        <w:rPr>
          <w:rFonts w:ascii="Arial" w:eastAsia="Arial" w:hAnsi="Arial" w:cs="Arial"/>
          <w:sz w:val="20"/>
          <w:szCs w:val="20"/>
        </w:rPr>
        <w:t xml:space="preserve">, 2013). The mixture was continuously agitated till a homogenous silver </w:t>
      </w:r>
      <w:proofErr w:type="spellStart"/>
      <w:r>
        <w:rPr>
          <w:rFonts w:ascii="Arial" w:eastAsia="Arial" w:hAnsi="Arial" w:cs="Arial"/>
          <w:sz w:val="20"/>
          <w:szCs w:val="20"/>
        </w:rPr>
        <w:t>nanoemulsion</w:t>
      </w:r>
      <w:proofErr w:type="spellEnd"/>
      <w:r>
        <w:rPr>
          <w:rFonts w:ascii="Arial" w:eastAsia="Arial" w:hAnsi="Arial" w:cs="Arial"/>
          <w:sz w:val="20"/>
          <w:szCs w:val="20"/>
        </w:rPr>
        <w:t xml:space="preserve"> was attained. </w:t>
      </w:r>
    </w:p>
    <w:p w:rsidR="00DF4267" w:rsidRDefault="00A21A5F">
      <w:pPr>
        <w:pStyle w:val="Normal1"/>
        <w:numPr>
          <w:ilvl w:val="1"/>
          <w:numId w:val="1"/>
        </w:numPr>
        <w:pBdr>
          <w:top w:val="nil"/>
          <w:left w:val="nil"/>
          <w:bottom w:val="nil"/>
          <w:right w:val="nil"/>
          <w:between w:val="nil"/>
        </w:pBdr>
        <w:ind w:left="720"/>
        <w:jc w:val="both"/>
        <w:rPr>
          <w:rFonts w:ascii="Arial" w:eastAsia="Arial" w:hAnsi="Arial" w:cs="Arial"/>
          <w:b/>
          <w:color w:val="000000"/>
        </w:rPr>
      </w:pPr>
      <w:r>
        <w:rPr>
          <w:rFonts w:ascii="Arial" w:eastAsia="Arial" w:hAnsi="Arial" w:cs="Arial"/>
          <w:b/>
          <w:color w:val="000000"/>
        </w:rPr>
        <w:t xml:space="preserve">Characterization of Silver </w:t>
      </w:r>
      <w:proofErr w:type="spellStart"/>
      <w:r>
        <w:rPr>
          <w:rFonts w:ascii="Arial" w:eastAsia="Arial" w:hAnsi="Arial" w:cs="Arial"/>
          <w:b/>
          <w:color w:val="000000"/>
        </w:rPr>
        <w:t>Nanoemulsion</w:t>
      </w:r>
      <w:proofErr w:type="spellEnd"/>
    </w:p>
    <w:p w:rsidR="00DF4267" w:rsidRDefault="00A21A5F">
      <w:pPr>
        <w:pStyle w:val="Normal1"/>
        <w:jc w:val="both"/>
        <w:rPr>
          <w:rFonts w:ascii="Arial" w:eastAsia="Arial" w:hAnsi="Arial" w:cs="Arial"/>
          <w:b/>
          <w:sz w:val="20"/>
          <w:szCs w:val="20"/>
          <w:u w:val="single"/>
        </w:rPr>
      </w:pPr>
      <w:r>
        <w:rPr>
          <w:rFonts w:ascii="Arial" w:eastAsia="Arial" w:hAnsi="Arial" w:cs="Arial"/>
          <w:b/>
          <w:sz w:val="20"/>
          <w:szCs w:val="20"/>
          <w:u w:val="single"/>
        </w:rPr>
        <w:t xml:space="preserve">2.3.1 </w:t>
      </w:r>
      <w:proofErr w:type="gramStart"/>
      <w:r>
        <w:rPr>
          <w:rFonts w:ascii="Arial" w:eastAsia="Arial" w:hAnsi="Arial" w:cs="Arial"/>
          <w:b/>
          <w:sz w:val="20"/>
          <w:szCs w:val="20"/>
          <w:u w:val="single"/>
        </w:rPr>
        <w:t>U.V</w:t>
      </w:r>
      <w:proofErr w:type="gramEnd"/>
      <w:r>
        <w:rPr>
          <w:rFonts w:ascii="Arial" w:eastAsia="Arial" w:hAnsi="Arial" w:cs="Arial"/>
          <w:b/>
          <w:sz w:val="20"/>
          <w:szCs w:val="20"/>
          <w:u w:val="single"/>
        </w:rPr>
        <w:t>-Visible Spectroscopy</w:t>
      </w:r>
    </w:p>
    <w:p w:rsidR="00DF4267" w:rsidRDefault="00A21A5F">
      <w:pPr>
        <w:pStyle w:val="Normal1"/>
        <w:jc w:val="both"/>
        <w:rPr>
          <w:rFonts w:ascii="Arial" w:eastAsia="Arial" w:hAnsi="Arial" w:cs="Arial"/>
          <w:sz w:val="20"/>
          <w:szCs w:val="20"/>
        </w:rPr>
      </w:pPr>
      <w:r>
        <w:rPr>
          <w:rFonts w:ascii="Arial" w:eastAsia="Arial" w:hAnsi="Arial" w:cs="Arial"/>
          <w:sz w:val="20"/>
          <w:szCs w:val="20"/>
        </w:rPr>
        <w:t>UV Vis spectroscopy (</w:t>
      </w:r>
      <w:proofErr w:type="spellStart"/>
      <w:r>
        <w:rPr>
          <w:rFonts w:ascii="Arial" w:eastAsia="Arial" w:hAnsi="Arial" w:cs="Arial"/>
          <w:sz w:val="20"/>
          <w:szCs w:val="20"/>
        </w:rPr>
        <w:t>Labtronics</w:t>
      </w:r>
      <w:proofErr w:type="spellEnd"/>
      <w:r>
        <w:rPr>
          <w:rFonts w:ascii="Arial" w:eastAsia="Arial" w:hAnsi="Arial" w:cs="Arial"/>
          <w:sz w:val="20"/>
          <w:szCs w:val="20"/>
        </w:rPr>
        <w:t xml:space="preserve"> LT291 spectrophotometer) monitored the formation and optical stability of silver nanoparticles in the </w:t>
      </w:r>
      <w:proofErr w:type="spellStart"/>
      <w:r>
        <w:rPr>
          <w:rFonts w:ascii="Arial" w:eastAsia="Arial" w:hAnsi="Arial" w:cs="Arial"/>
          <w:sz w:val="20"/>
          <w:szCs w:val="20"/>
        </w:rPr>
        <w:t>nano</w:t>
      </w:r>
      <w:proofErr w:type="spellEnd"/>
      <w:r>
        <w:rPr>
          <w:rFonts w:ascii="Arial" w:eastAsia="Arial" w:hAnsi="Arial" w:cs="Arial"/>
          <w:sz w:val="20"/>
          <w:szCs w:val="20"/>
        </w:rPr>
        <w:t>-emulsion. The spectral scan was recorded between 200 and 600 nm to determine the surface plasmon resonance (SPR) wavelength peak that signals nanoparticle production (</w:t>
      </w:r>
      <w:proofErr w:type="spellStart"/>
      <w:r>
        <w:rPr>
          <w:rFonts w:ascii="Arial" w:eastAsia="Arial" w:hAnsi="Arial" w:cs="Arial"/>
          <w:color w:val="222222"/>
          <w:sz w:val="20"/>
          <w:szCs w:val="20"/>
          <w:highlight w:val="white"/>
        </w:rPr>
        <w:t>Alim</w:t>
      </w:r>
      <w:proofErr w:type="spellEnd"/>
      <w:r>
        <w:rPr>
          <w:rFonts w:ascii="Arial" w:eastAsia="Arial" w:hAnsi="Arial" w:cs="Arial"/>
          <w:color w:val="222222"/>
          <w:sz w:val="20"/>
          <w:szCs w:val="20"/>
          <w:highlight w:val="white"/>
        </w:rPr>
        <w:t>-Al-</w:t>
      </w:r>
      <w:proofErr w:type="spellStart"/>
      <w:r>
        <w:rPr>
          <w:rFonts w:ascii="Arial" w:eastAsia="Arial" w:hAnsi="Arial" w:cs="Arial"/>
          <w:color w:val="222222"/>
          <w:sz w:val="20"/>
          <w:szCs w:val="20"/>
          <w:highlight w:val="white"/>
        </w:rPr>
        <w:t>Razy</w:t>
      </w:r>
      <w:proofErr w:type="spellEnd"/>
      <w:r w:rsidR="000E5574">
        <w:rPr>
          <w:rFonts w:ascii="Arial" w:eastAsia="Arial" w:hAnsi="Arial" w:cs="Arial"/>
          <w:color w:val="222222"/>
          <w:sz w:val="20"/>
          <w:szCs w:val="20"/>
        </w:rPr>
        <w:t xml:space="preserve"> </w:t>
      </w:r>
      <w:r>
        <w:rPr>
          <w:rFonts w:ascii="Arial" w:eastAsia="Arial" w:hAnsi="Arial" w:cs="Arial"/>
          <w:i/>
          <w:sz w:val="20"/>
          <w:szCs w:val="20"/>
        </w:rPr>
        <w:t>et al</w:t>
      </w:r>
      <w:r>
        <w:rPr>
          <w:rFonts w:ascii="Arial" w:eastAsia="Arial" w:hAnsi="Arial" w:cs="Arial"/>
          <w:sz w:val="20"/>
          <w:szCs w:val="20"/>
        </w:rPr>
        <w:t xml:space="preserve"> 2020). The stability of nanoparticles in time was measured with the help of the absorbance intensity.</w:t>
      </w:r>
    </w:p>
    <w:p w:rsidR="00DF4267" w:rsidRDefault="00A21A5F">
      <w:pPr>
        <w:pStyle w:val="Normal1"/>
        <w:jc w:val="both"/>
        <w:rPr>
          <w:rFonts w:ascii="Arial" w:eastAsia="Arial" w:hAnsi="Arial" w:cs="Arial"/>
          <w:b/>
          <w:sz w:val="20"/>
          <w:szCs w:val="20"/>
          <w:u w:val="single"/>
        </w:rPr>
      </w:pPr>
      <w:r>
        <w:rPr>
          <w:rFonts w:ascii="Arial" w:eastAsia="Arial" w:hAnsi="Arial" w:cs="Arial"/>
          <w:b/>
          <w:sz w:val="20"/>
          <w:szCs w:val="20"/>
          <w:u w:val="single"/>
        </w:rPr>
        <w:t>2.3.2 Fourier Transform Infrared Spectroscopy (FTIR)</w:t>
      </w:r>
    </w:p>
    <w:p w:rsidR="00DF4267" w:rsidRDefault="00A21A5F">
      <w:pPr>
        <w:pStyle w:val="Normal1"/>
        <w:jc w:val="both"/>
        <w:rPr>
          <w:rFonts w:ascii="Arial" w:eastAsia="Arial" w:hAnsi="Arial" w:cs="Arial"/>
          <w:sz w:val="20"/>
          <w:szCs w:val="20"/>
        </w:rPr>
      </w:pPr>
      <w:r>
        <w:rPr>
          <w:rFonts w:ascii="Arial" w:eastAsia="Arial" w:hAnsi="Arial" w:cs="Arial"/>
          <w:sz w:val="20"/>
          <w:szCs w:val="20"/>
        </w:rPr>
        <w:t xml:space="preserve">The FTIR analysis was done to determine the functional groups in the cell-free extract and also identifying the biomolecules that reduced and stabilized silver nanoparticles. A SHIMADZU FTIR spectrometer was employed to record the spectra between 4000 and 400 cm </w:t>
      </w:r>
      <w:r>
        <w:rPr>
          <w:rFonts w:ascii="Arial" w:eastAsia="Arial" w:hAnsi="Arial" w:cs="Arial"/>
          <w:sz w:val="20"/>
          <w:szCs w:val="20"/>
          <w:vertAlign w:val="superscript"/>
        </w:rPr>
        <w:t>-1</w:t>
      </w:r>
      <w:r>
        <w:rPr>
          <w:rFonts w:ascii="Arial" w:eastAsia="Arial" w:hAnsi="Arial" w:cs="Arial"/>
          <w:sz w:val="20"/>
          <w:szCs w:val="20"/>
        </w:rPr>
        <w:t xml:space="preserve"> (Hu </w:t>
      </w:r>
      <w:r>
        <w:rPr>
          <w:rFonts w:ascii="Arial" w:eastAsia="Arial" w:hAnsi="Arial" w:cs="Arial"/>
          <w:i/>
          <w:sz w:val="20"/>
          <w:szCs w:val="20"/>
        </w:rPr>
        <w:t>et al</w:t>
      </w:r>
      <w:r>
        <w:rPr>
          <w:rFonts w:ascii="Arial" w:eastAsia="Arial" w:hAnsi="Arial" w:cs="Arial"/>
          <w:sz w:val="20"/>
          <w:szCs w:val="20"/>
        </w:rPr>
        <w:t xml:space="preserve"> 2020). These peaks were interpreted to estimate the occurrence of proteins, carbohydrates and other metabolites in the synthesis of nanoparticles.</w:t>
      </w:r>
    </w:p>
    <w:p w:rsidR="00DF4267" w:rsidRDefault="00A21A5F">
      <w:pPr>
        <w:pStyle w:val="Normal1"/>
        <w:jc w:val="both"/>
        <w:rPr>
          <w:rFonts w:ascii="Arial" w:eastAsia="Arial" w:hAnsi="Arial" w:cs="Arial"/>
          <w:b/>
          <w:sz w:val="20"/>
          <w:szCs w:val="20"/>
          <w:u w:val="single"/>
        </w:rPr>
      </w:pPr>
      <w:r>
        <w:rPr>
          <w:rFonts w:ascii="Arial" w:eastAsia="Arial" w:hAnsi="Arial" w:cs="Arial"/>
          <w:b/>
          <w:sz w:val="20"/>
          <w:szCs w:val="20"/>
          <w:u w:val="single"/>
        </w:rPr>
        <w:t>2.3.3 Field Emission Scanning Electron Microscope (FESEM)</w:t>
      </w:r>
    </w:p>
    <w:p w:rsidR="00DF4267" w:rsidRDefault="00A21A5F">
      <w:pPr>
        <w:pStyle w:val="Normal1"/>
        <w:jc w:val="both"/>
        <w:rPr>
          <w:rFonts w:ascii="Arial" w:eastAsia="Arial" w:hAnsi="Arial" w:cs="Arial"/>
          <w:sz w:val="20"/>
          <w:szCs w:val="20"/>
        </w:rPr>
      </w:pPr>
      <w:r>
        <w:rPr>
          <w:rFonts w:ascii="Arial" w:eastAsia="Arial" w:hAnsi="Arial" w:cs="Arial"/>
          <w:sz w:val="20"/>
          <w:szCs w:val="20"/>
        </w:rPr>
        <w:t xml:space="preserve">Field Emission Scanning Electron Microscopy (FESEM) was used to study morphological properties and surface structure of the synthesized silver </w:t>
      </w:r>
      <w:proofErr w:type="spellStart"/>
      <w:r>
        <w:rPr>
          <w:rFonts w:ascii="Arial" w:eastAsia="Arial" w:hAnsi="Arial" w:cs="Arial"/>
          <w:sz w:val="20"/>
          <w:szCs w:val="20"/>
        </w:rPr>
        <w:t>nanoemulsion</w:t>
      </w:r>
      <w:proofErr w:type="spellEnd"/>
      <w:r>
        <w:rPr>
          <w:rFonts w:ascii="Arial" w:eastAsia="Arial" w:hAnsi="Arial" w:cs="Arial"/>
          <w:sz w:val="20"/>
          <w:szCs w:val="20"/>
        </w:rPr>
        <w:t xml:space="preserve"> using ZEISS Sigma equipment. Gold coating was performed prior to imaging, and micrographs were taken at different magnifications to ascertain particle shape, surface texture, and aggregation patterns (</w:t>
      </w:r>
      <w:r>
        <w:rPr>
          <w:rFonts w:ascii="Arial" w:eastAsia="Arial" w:hAnsi="Arial" w:cs="Arial"/>
          <w:color w:val="222222"/>
          <w:sz w:val="20"/>
          <w:szCs w:val="20"/>
          <w:highlight w:val="white"/>
        </w:rPr>
        <w:t>Ang</w:t>
      </w:r>
      <w:r w:rsidR="002C7B4E">
        <w:rPr>
          <w:rFonts w:ascii="Arial" w:eastAsia="Arial" w:hAnsi="Arial" w:cs="Arial"/>
          <w:color w:val="222222"/>
          <w:sz w:val="20"/>
          <w:szCs w:val="20"/>
        </w:rPr>
        <w:t xml:space="preserve"> </w:t>
      </w:r>
      <w:r>
        <w:rPr>
          <w:rFonts w:ascii="Arial" w:eastAsia="Arial" w:hAnsi="Arial" w:cs="Arial"/>
          <w:i/>
          <w:sz w:val="20"/>
          <w:szCs w:val="20"/>
        </w:rPr>
        <w:t>et al</w:t>
      </w:r>
      <w:r>
        <w:rPr>
          <w:rFonts w:ascii="Arial" w:eastAsia="Arial" w:hAnsi="Arial" w:cs="Arial"/>
          <w:sz w:val="20"/>
          <w:szCs w:val="20"/>
        </w:rPr>
        <w:t xml:space="preserve"> 2013).</w:t>
      </w:r>
    </w:p>
    <w:p w:rsidR="00DF4267" w:rsidRDefault="00A21A5F">
      <w:pPr>
        <w:pStyle w:val="Normal1"/>
        <w:numPr>
          <w:ilvl w:val="1"/>
          <w:numId w:val="1"/>
        </w:numPr>
        <w:pBdr>
          <w:top w:val="nil"/>
          <w:left w:val="nil"/>
          <w:bottom w:val="nil"/>
          <w:right w:val="nil"/>
          <w:between w:val="nil"/>
        </w:pBdr>
        <w:ind w:left="720"/>
        <w:jc w:val="both"/>
        <w:rPr>
          <w:rFonts w:ascii="Arial" w:eastAsia="Arial" w:hAnsi="Arial" w:cs="Arial"/>
          <w:b/>
          <w:color w:val="000000"/>
        </w:rPr>
      </w:pPr>
      <w:r>
        <w:rPr>
          <w:rFonts w:ascii="Arial" w:eastAsia="Arial" w:hAnsi="Arial" w:cs="Arial"/>
          <w:b/>
          <w:color w:val="000000"/>
        </w:rPr>
        <w:t>Antibiofilm assay</w:t>
      </w:r>
    </w:p>
    <w:p w:rsidR="00DF4267" w:rsidRDefault="00A21A5F">
      <w:pPr>
        <w:pStyle w:val="Normal1"/>
        <w:jc w:val="both"/>
        <w:rPr>
          <w:rFonts w:ascii="Arial" w:eastAsia="Arial" w:hAnsi="Arial" w:cs="Arial"/>
          <w:sz w:val="20"/>
          <w:szCs w:val="20"/>
        </w:rPr>
      </w:pPr>
      <w:r>
        <w:rPr>
          <w:rFonts w:ascii="Arial" w:eastAsia="Arial" w:hAnsi="Arial" w:cs="Arial"/>
          <w:sz w:val="20"/>
          <w:szCs w:val="20"/>
        </w:rPr>
        <w:t xml:space="preserve">To assess the antibiofilm potential of the synthesized silver </w:t>
      </w:r>
      <w:proofErr w:type="spellStart"/>
      <w:r>
        <w:rPr>
          <w:rFonts w:ascii="Arial" w:eastAsia="Arial" w:hAnsi="Arial" w:cs="Arial"/>
          <w:sz w:val="20"/>
          <w:szCs w:val="20"/>
        </w:rPr>
        <w:t>nanoemulsion</w:t>
      </w:r>
      <w:proofErr w:type="spellEnd"/>
      <w:r>
        <w:rPr>
          <w:rFonts w:ascii="Arial" w:eastAsia="Arial" w:hAnsi="Arial" w:cs="Arial"/>
          <w:sz w:val="20"/>
          <w:szCs w:val="20"/>
        </w:rPr>
        <w:t xml:space="preserve"> on </w:t>
      </w:r>
      <w:r>
        <w:rPr>
          <w:rFonts w:ascii="Arial" w:eastAsia="Arial" w:hAnsi="Arial" w:cs="Arial"/>
          <w:i/>
          <w:sz w:val="20"/>
          <w:szCs w:val="20"/>
        </w:rPr>
        <w:t>Shigella</w:t>
      </w:r>
      <w:r w:rsidR="00D96080">
        <w:rPr>
          <w:rFonts w:ascii="Arial" w:eastAsia="Arial" w:hAnsi="Arial" w:cs="Arial"/>
          <w:i/>
          <w:sz w:val="20"/>
          <w:szCs w:val="20"/>
        </w:rPr>
        <w:t xml:space="preserve"> </w:t>
      </w:r>
      <w:proofErr w:type="spellStart"/>
      <w:r>
        <w:rPr>
          <w:rFonts w:ascii="Arial" w:eastAsia="Arial" w:hAnsi="Arial" w:cs="Arial"/>
          <w:i/>
          <w:sz w:val="20"/>
          <w:szCs w:val="20"/>
        </w:rPr>
        <w:t>dysenteriae</w:t>
      </w:r>
      <w:proofErr w:type="spellEnd"/>
      <w:r>
        <w:rPr>
          <w:rFonts w:ascii="Arial" w:eastAsia="Arial" w:hAnsi="Arial" w:cs="Arial"/>
          <w:sz w:val="20"/>
          <w:szCs w:val="20"/>
        </w:rPr>
        <w:t>, crystal violet microtiter plate assay was performed as already reported by (</w:t>
      </w:r>
      <w:proofErr w:type="spellStart"/>
      <w:r>
        <w:rPr>
          <w:rFonts w:ascii="Arial" w:eastAsia="Arial" w:hAnsi="Arial" w:cs="Arial"/>
          <w:color w:val="222222"/>
          <w:sz w:val="20"/>
          <w:szCs w:val="20"/>
          <w:highlight w:val="white"/>
        </w:rPr>
        <w:t>Haney</w:t>
      </w:r>
      <w:r>
        <w:rPr>
          <w:rFonts w:ascii="Arial" w:eastAsia="Arial" w:hAnsi="Arial" w:cs="Arial"/>
          <w:i/>
          <w:sz w:val="20"/>
          <w:szCs w:val="20"/>
        </w:rPr>
        <w:t>et</w:t>
      </w:r>
      <w:proofErr w:type="spellEnd"/>
      <w:r>
        <w:rPr>
          <w:rFonts w:ascii="Arial" w:eastAsia="Arial" w:hAnsi="Arial" w:cs="Arial"/>
          <w:i/>
          <w:sz w:val="20"/>
          <w:szCs w:val="20"/>
        </w:rPr>
        <w:t xml:space="preserve"> al</w:t>
      </w:r>
      <w:r>
        <w:rPr>
          <w:rFonts w:ascii="Arial" w:eastAsia="Arial" w:hAnsi="Arial" w:cs="Arial"/>
          <w:sz w:val="20"/>
          <w:szCs w:val="20"/>
        </w:rPr>
        <w:t xml:space="preserve"> 2021) with minor modifications. An overnight culture of </w:t>
      </w:r>
      <w:r>
        <w:rPr>
          <w:rFonts w:ascii="Arial" w:eastAsia="Arial" w:hAnsi="Arial" w:cs="Arial"/>
          <w:i/>
          <w:sz w:val="20"/>
          <w:szCs w:val="20"/>
        </w:rPr>
        <w:t xml:space="preserve">S. </w:t>
      </w:r>
      <w:proofErr w:type="spellStart"/>
      <w:r>
        <w:rPr>
          <w:rFonts w:ascii="Arial" w:eastAsia="Arial" w:hAnsi="Arial" w:cs="Arial"/>
          <w:i/>
          <w:sz w:val="20"/>
          <w:szCs w:val="20"/>
        </w:rPr>
        <w:t>dysenteriae</w:t>
      </w:r>
      <w:proofErr w:type="spellEnd"/>
      <w:r>
        <w:rPr>
          <w:rFonts w:ascii="Arial" w:eastAsia="Arial" w:hAnsi="Arial" w:cs="Arial"/>
          <w:sz w:val="20"/>
          <w:szCs w:val="20"/>
        </w:rPr>
        <w:t xml:space="preserve"> was incubated in Luria-Bertani (LB) broth at 37</w:t>
      </w:r>
      <w:r>
        <w:rPr>
          <w:rFonts w:ascii="Arial" w:eastAsia="Arial" w:hAnsi="Arial" w:cs="Arial"/>
          <w:sz w:val="20"/>
          <w:szCs w:val="20"/>
          <w:vertAlign w:val="superscript"/>
        </w:rPr>
        <w:t>o</w:t>
      </w:r>
      <w:r>
        <w:rPr>
          <w:rFonts w:ascii="Arial" w:eastAsia="Arial" w:hAnsi="Arial" w:cs="Arial"/>
          <w:sz w:val="20"/>
          <w:szCs w:val="20"/>
        </w:rPr>
        <w:t xml:space="preserve"> C with shaking. After washing, 100 </w:t>
      </w:r>
      <w:proofErr w:type="spellStart"/>
      <w:r>
        <w:rPr>
          <w:rFonts w:ascii="Arial" w:eastAsia="Arial" w:hAnsi="Arial" w:cs="Arial"/>
          <w:sz w:val="20"/>
          <w:szCs w:val="20"/>
        </w:rPr>
        <w:t>uL</w:t>
      </w:r>
      <w:proofErr w:type="spellEnd"/>
      <w:r>
        <w:rPr>
          <w:rFonts w:ascii="Arial" w:eastAsia="Arial" w:hAnsi="Arial" w:cs="Arial"/>
          <w:sz w:val="20"/>
          <w:szCs w:val="20"/>
        </w:rPr>
        <w:t xml:space="preserve"> of bacterial suspension was added to each well of a sterile flat-bottom 96-well microtiter plate and incubated at 37 degrees Celsius, for 24 hours under static conditions to facilitate biofilm development. After incubation, planktonic cells and media were carefully discarded to eliminate detached cells. The wells were subsequently stained with a 0.1% solution of crystal violet and incubated at room temperature for 10-15 minutes. The wells were then rinsed 3-4 times in ethanol to eliminate excess stain. This plate was inverted, blotted on absorbent paper towels to remove excess liquid and dried thoroughly at room temperature. Solubilisation of the retained crystal violet was performed by adding 125 µL of 30% acetic acid per well in the experiment to be quantified. The absorbance was determined by reading 550nm of the incubated solution with the use of micro plate reader after 10 to 15 minutes by </w:t>
      </w:r>
      <w:proofErr w:type="spellStart"/>
      <w:r>
        <w:rPr>
          <w:rFonts w:ascii="Arial" w:eastAsia="Arial" w:hAnsi="Arial" w:cs="Arial"/>
          <w:sz w:val="20"/>
          <w:szCs w:val="20"/>
        </w:rPr>
        <w:t>Robonik</w:t>
      </w:r>
      <w:proofErr w:type="spellEnd"/>
      <w:r>
        <w:rPr>
          <w:rFonts w:ascii="Arial" w:eastAsia="Arial" w:hAnsi="Arial" w:cs="Arial"/>
          <w:sz w:val="20"/>
          <w:szCs w:val="20"/>
        </w:rPr>
        <w:t xml:space="preserve">, India. The antibiofilm efficacy of the </w:t>
      </w:r>
      <w:proofErr w:type="spellStart"/>
      <w:r>
        <w:rPr>
          <w:rFonts w:ascii="Arial" w:eastAsia="Arial" w:hAnsi="Arial" w:cs="Arial"/>
          <w:sz w:val="20"/>
          <w:szCs w:val="20"/>
        </w:rPr>
        <w:t>nanoemulsion</w:t>
      </w:r>
      <w:proofErr w:type="spellEnd"/>
      <w:r>
        <w:rPr>
          <w:rFonts w:ascii="Arial" w:eastAsia="Arial" w:hAnsi="Arial" w:cs="Arial"/>
          <w:sz w:val="20"/>
          <w:szCs w:val="20"/>
        </w:rPr>
        <w:t xml:space="preserve"> was resolved by measuring the reduction in absorbance compared to controls that were untreated.</w:t>
      </w:r>
    </w:p>
    <w:p w:rsidR="00DF4267" w:rsidRDefault="00A21A5F">
      <w:pPr>
        <w:pStyle w:val="Normal1"/>
        <w:numPr>
          <w:ilvl w:val="1"/>
          <w:numId w:val="1"/>
        </w:numPr>
        <w:pBdr>
          <w:top w:val="nil"/>
          <w:left w:val="nil"/>
          <w:bottom w:val="nil"/>
          <w:right w:val="nil"/>
          <w:between w:val="nil"/>
        </w:pBdr>
        <w:ind w:left="720"/>
        <w:jc w:val="both"/>
        <w:rPr>
          <w:rFonts w:ascii="Arial" w:eastAsia="Arial" w:hAnsi="Arial" w:cs="Arial"/>
          <w:b/>
          <w:color w:val="000000"/>
        </w:rPr>
      </w:pPr>
      <w:r>
        <w:rPr>
          <w:rFonts w:ascii="Arial" w:eastAsia="Arial" w:hAnsi="Arial" w:cs="Arial"/>
          <w:b/>
          <w:color w:val="000000"/>
        </w:rPr>
        <w:t xml:space="preserve">Assessment of Biocompatibility on L929 Cells Using MTT Assay </w:t>
      </w:r>
    </w:p>
    <w:p w:rsidR="00DF4267" w:rsidRDefault="00A21A5F">
      <w:pPr>
        <w:pStyle w:val="Normal1"/>
        <w:jc w:val="both"/>
        <w:rPr>
          <w:rFonts w:ascii="Arial" w:eastAsia="Arial" w:hAnsi="Arial" w:cs="Arial"/>
          <w:sz w:val="20"/>
          <w:szCs w:val="20"/>
        </w:rPr>
      </w:pPr>
      <w:r>
        <w:rPr>
          <w:rFonts w:ascii="Arial" w:eastAsia="Arial" w:hAnsi="Arial" w:cs="Arial"/>
          <w:sz w:val="20"/>
          <w:szCs w:val="20"/>
        </w:rPr>
        <w:t xml:space="preserve">The cytotoxicity and biocompatibility of the synthesized silver </w:t>
      </w:r>
      <w:proofErr w:type="spellStart"/>
      <w:r>
        <w:rPr>
          <w:rFonts w:ascii="Arial" w:eastAsia="Arial" w:hAnsi="Arial" w:cs="Arial"/>
          <w:sz w:val="20"/>
          <w:szCs w:val="20"/>
        </w:rPr>
        <w:t>nanoemulsion</w:t>
      </w:r>
      <w:proofErr w:type="spellEnd"/>
      <w:r>
        <w:rPr>
          <w:rFonts w:ascii="Arial" w:eastAsia="Arial" w:hAnsi="Arial" w:cs="Arial"/>
          <w:sz w:val="20"/>
          <w:szCs w:val="20"/>
        </w:rPr>
        <w:t xml:space="preserve"> were evaluated using the MTT (3-(4,5-dimethylthiazol-2-yl)-2,5-diphenyltetrazolium bromide assay on L929 fibroblast cell lines (Rajesh </w:t>
      </w:r>
      <w:r w:rsidR="00DA6FEA">
        <w:rPr>
          <w:rFonts w:ascii="Arial" w:eastAsia="Arial" w:hAnsi="Arial" w:cs="Arial"/>
          <w:i/>
          <w:sz w:val="20"/>
          <w:szCs w:val="20"/>
        </w:rPr>
        <w:t>et al</w:t>
      </w:r>
      <w:r>
        <w:rPr>
          <w:rFonts w:ascii="Arial" w:eastAsia="Arial" w:hAnsi="Arial" w:cs="Arial"/>
          <w:sz w:val="20"/>
          <w:szCs w:val="20"/>
        </w:rPr>
        <w:t>2025</w:t>
      </w:r>
      <w:r w:rsidR="007A7807">
        <w:rPr>
          <w:rFonts w:ascii="Arial" w:eastAsia="Arial" w:hAnsi="Arial" w:cs="Arial"/>
          <w:sz w:val="20"/>
          <w:szCs w:val="20"/>
        </w:rPr>
        <w:t>)</w:t>
      </w:r>
      <w:r>
        <w:rPr>
          <w:rFonts w:ascii="Arial" w:eastAsia="Arial" w:hAnsi="Arial" w:cs="Arial"/>
          <w:sz w:val="20"/>
          <w:szCs w:val="20"/>
        </w:rPr>
        <w:t xml:space="preserve">. The L929 cell line was obtained from the National Centre for Cell Science (NCCS), Pune, India, and maintained at the Centre for Bioscience and Nanoscience Research Laboratory, </w:t>
      </w:r>
      <w:proofErr w:type="spellStart"/>
      <w:r>
        <w:rPr>
          <w:rFonts w:ascii="Arial" w:eastAsia="Arial" w:hAnsi="Arial" w:cs="Arial"/>
          <w:sz w:val="20"/>
          <w:szCs w:val="20"/>
        </w:rPr>
        <w:t>Eachanari</w:t>
      </w:r>
      <w:proofErr w:type="spellEnd"/>
      <w:r>
        <w:rPr>
          <w:rFonts w:ascii="Arial" w:eastAsia="Arial" w:hAnsi="Arial" w:cs="Arial"/>
          <w:sz w:val="20"/>
          <w:szCs w:val="20"/>
        </w:rPr>
        <w:t xml:space="preserve">, Coimbatore, Tamil Nadu. The cells were cultured in Dulbecco’s Modified </w:t>
      </w:r>
      <w:r>
        <w:rPr>
          <w:rFonts w:ascii="Arial" w:eastAsia="Arial" w:hAnsi="Arial" w:cs="Arial"/>
          <w:sz w:val="20"/>
          <w:szCs w:val="20"/>
        </w:rPr>
        <w:lastRenderedPageBreak/>
        <w:t>Eagle Medium (DMEM) supplemented with sodium carbonate, glucose, and 10% bovine serum albumin (BSA). Cultures were maintained in a CO</w:t>
      </w:r>
      <w:r>
        <w:rPr>
          <w:rFonts w:ascii="Cambria Math" w:eastAsia="Cambria Math" w:hAnsi="Cambria Math" w:cs="Cambria Math"/>
          <w:sz w:val="20"/>
          <w:szCs w:val="20"/>
        </w:rPr>
        <w:t>₂</w:t>
      </w:r>
      <w:r>
        <w:rPr>
          <w:rFonts w:ascii="Arial" w:eastAsia="Arial" w:hAnsi="Arial" w:cs="Arial"/>
          <w:sz w:val="20"/>
          <w:szCs w:val="20"/>
        </w:rPr>
        <w:t xml:space="preserve"> incubator under controlled conditions of pH 7.0–7.5, 37°C temperature, and 70–80% relative humidity. Cell growth and morphology were monitored regularly using an inverted phase-contrast microscope.</w:t>
      </w:r>
    </w:p>
    <w:p w:rsidR="00DF4267" w:rsidRDefault="00A21A5F">
      <w:pPr>
        <w:pStyle w:val="Normal1"/>
        <w:jc w:val="both"/>
        <w:rPr>
          <w:rFonts w:ascii="Arial" w:eastAsia="Arial" w:hAnsi="Arial" w:cs="Arial"/>
          <w:sz w:val="20"/>
          <w:szCs w:val="20"/>
        </w:rPr>
      </w:pPr>
      <w:r>
        <w:rPr>
          <w:rFonts w:ascii="Arial" w:eastAsia="Arial" w:hAnsi="Arial" w:cs="Arial"/>
          <w:sz w:val="20"/>
          <w:szCs w:val="20"/>
        </w:rPr>
        <w:t>For the MTT assay, cells were seeded into 96-well plates at a density sufficient to form a monolayer and allowed to adhere for 24 hours in a 5% CO</w:t>
      </w:r>
      <w:r>
        <w:rPr>
          <w:rFonts w:ascii="Cambria Math" w:eastAsia="Cambria Math" w:hAnsi="Cambria Math" w:cs="Cambria Math"/>
          <w:sz w:val="20"/>
          <w:szCs w:val="20"/>
        </w:rPr>
        <w:t>₂</w:t>
      </w:r>
      <w:r>
        <w:rPr>
          <w:rFonts w:ascii="Arial" w:eastAsia="Arial" w:hAnsi="Arial" w:cs="Arial"/>
          <w:sz w:val="20"/>
          <w:szCs w:val="20"/>
        </w:rPr>
        <w:t xml:space="preserve"> incubator. After adhesion, the cells were treated with varying concentrations of the silver </w:t>
      </w:r>
      <w:proofErr w:type="spellStart"/>
      <w:r>
        <w:rPr>
          <w:rFonts w:ascii="Arial" w:eastAsia="Arial" w:hAnsi="Arial" w:cs="Arial"/>
          <w:sz w:val="20"/>
          <w:szCs w:val="20"/>
        </w:rPr>
        <w:t>nanoemulsion</w:t>
      </w:r>
      <w:proofErr w:type="spellEnd"/>
      <w:r>
        <w:rPr>
          <w:rFonts w:ascii="Arial" w:eastAsia="Arial" w:hAnsi="Arial" w:cs="Arial"/>
          <w:sz w:val="20"/>
          <w:szCs w:val="20"/>
        </w:rPr>
        <w:t xml:space="preserve"> and incubated for an additional 24 hours. Experimental controls included untreated cells (negative control), DMSO (blank), and Doxorubicin at 12.5µg/mL as the standard positive control. Following treatment, the medium was removed, and 20µL of MTT solution (5mg/mL in PBS) was added to each well. The plate was gently mixed and incubated at 37°C for 4 hours to allow formazan crystal formation. After incubation, 100µL of DMSO was added to solubilize the crystals, and the absorbance was measured at 570nm using a microplate ELISA reader (</w:t>
      </w:r>
      <w:proofErr w:type="spellStart"/>
      <w:r>
        <w:rPr>
          <w:rFonts w:ascii="Arial" w:eastAsia="Arial" w:hAnsi="Arial" w:cs="Arial"/>
          <w:sz w:val="20"/>
          <w:szCs w:val="20"/>
        </w:rPr>
        <w:t>Robonik</w:t>
      </w:r>
      <w:proofErr w:type="spellEnd"/>
      <w:r>
        <w:rPr>
          <w:rFonts w:ascii="Arial" w:eastAsia="Arial" w:hAnsi="Arial" w:cs="Arial"/>
          <w:sz w:val="20"/>
          <w:szCs w:val="20"/>
        </w:rPr>
        <w:t>, India).</w:t>
      </w:r>
    </w:p>
    <w:p w:rsidR="00DF4267" w:rsidRDefault="00A21A5F">
      <w:pPr>
        <w:pStyle w:val="Normal1"/>
        <w:numPr>
          <w:ilvl w:val="0"/>
          <w:numId w:val="1"/>
        </w:numPr>
        <w:pBdr>
          <w:top w:val="nil"/>
          <w:left w:val="nil"/>
          <w:bottom w:val="nil"/>
          <w:right w:val="nil"/>
          <w:between w:val="nil"/>
        </w:pBdr>
        <w:spacing w:after="0"/>
        <w:ind w:left="360"/>
        <w:jc w:val="both"/>
        <w:rPr>
          <w:rFonts w:ascii="Arial" w:eastAsia="Arial" w:hAnsi="Arial" w:cs="Arial"/>
          <w:b/>
          <w:color w:val="000000"/>
        </w:rPr>
      </w:pPr>
      <w:r>
        <w:rPr>
          <w:rFonts w:ascii="Arial" w:eastAsia="Arial" w:hAnsi="Arial" w:cs="Arial"/>
          <w:b/>
          <w:color w:val="000000"/>
        </w:rPr>
        <w:t>RESULT AND DISCUSSION</w:t>
      </w:r>
    </w:p>
    <w:p w:rsidR="00DF4267" w:rsidRDefault="00A21A5F">
      <w:pPr>
        <w:pStyle w:val="Normal1"/>
        <w:numPr>
          <w:ilvl w:val="1"/>
          <w:numId w:val="1"/>
        </w:numPr>
        <w:pBdr>
          <w:top w:val="nil"/>
          <w:left w:val="nil"/>
          <w:bottom w:val="nil"/>
          <w:right w:val="nil"/>
          <w:between w:val="nil"/>
        </w:pBdr>
        <w:ind w:left="720"/>
        <w:jc w:val="both"/>
        <w:rPr>
          <w:rFonts w:ascii="Arial" w:eastAsia="Arial" w:hAnsi="Arial" w:cs="Arial"/>
          <w:b/>
          <w:color w:val="000000"/>
        </w:rPr>
      </w:pPr>
      <w:r>
        <w:rPr>
          <w:rFonts w:ascii="Arial" w:eastAsia="Arial" w:hAnsi="Arial" w:cs="Arial"/>
          <w:b/>
          <w:color w:val="000000"/>
        </w:rPr>
        <w:t xml:space="preserve">Sub culturing and Viability Assessment of </w:t>
      </w:r>
      <w:r>
        <w:rPr>
          <w:rFonts w:ascii="Arial" w:eastAsia="Arial" w:hAnsi="Arial" w:cs="Arial"/>
          <w:b/>
          <w:i/>
          <w:color w:val="000000"/>
        </w:rPr>
        <w:t xml:space="preserve">Lactobacillus </w:t>
      </w:r>
      <w:proofErr w:type="spellStart"/>
      <w:r>
        <w:rPr>
          <w:rFonts w:ascii="Arial" w:eastAsia="Arial" w:hAnsi="Arial" w:cs="Arial"/>
          <w:b/>
          <w:i/>
          <w:color w:val="000000"/>
        </w:rPr>
        <w:t>gasseri</w:t>
      </w:r>
      <w:proofErr w:type="spellEnd"/>
    </w:p>
    <w:p w:rsidR="00DF4267" w:rsidRPr="004D75C4" w:rsidRDefault="00A21A5F">
      <w:pPr>
        <w:pStyle w:val="Normal1"/>
        <w:jc w:val="both"/>
        <w:rPr>
          <w:rFonts w:ascii="Arial" w:eastAsia="Arial" w:hAnsi="Arial" w:cs="Arial"/>
          <w:sz w:val="20"/>
          <w:szCs w:val="20"/>
        </w:rPr>
      </w:pPr>
      <w:r w:rsidRPr="004D75C4">
        <w:rPr>
          <w:rFonts w:ascii="Arial" w:eastAsia="Arial" w:hAnsi="Arial" w:cs="Arial"/>
          <w:sz w:val="20"/>
          <w:szCs w:val="20"/>
        </w:rPr>
        <w:t xml:space="preserve">In this study, the strain </w:t>
      </w:r>
      <w:r w:rsidRPr="004D75C4">
        <w:rPr>
          <w:rFonts w:ascii="Arial" w:eastAsia="Arial" w:hAnsi="Arial" w:cs="Arial"/>
          <w:i/>
          <w:sz w:val="20"/>
          <w:szCs w:val="20"/>
        </w:rPr>
        <w:t xml:space="preserve">Lactobacillus </w:t>
      </w:r>
      <w:proofErr w:type="spellStart"/>
      <w:r w:rsidRPr="004D75C4">
        <w:rPr>
          <w:rFonts w:ascii="Arial" w:eastAsia="Arial" w:hAnsi="Arial" w:cs="Arial"/>
          <w:i/>
          <w:sz w:val="20"/>
          <w:szCs w:val="20"/>
        </w:rPr>
        <w:t>gasseri</w:t>
      </w:r>
      <w:proofErr w:type="spellEnd"/>
      <w:r w:rsidRPr="004D75C4">
        <w:rPr>
          <w:rFonts w:ascii="Arial" w:eastAsia="Arial" w:hAnsi="Arial" w:cs="Arial"/>
          <w:sz w:val="20"/>
          <w:szCs w:val="20"/>
        </w:rPr>
        <w:t xml:space="preserve"> was selected, which was supplied by </w:t>
      </w:r>
      <w:proofErr w:type="spellStart"/>
      <w:r w:rsidRPr="004D75C4">
        <w:rPr>
          <w:rFonts w:ascii="Arial" w:eastAsia="Arial" w:hAnsi="Arial" w:cs="Arial"/>
          <w:sz w:val="20"/>
          <w:szCs w:val="20"/>
        </w:rPr>
        <w:t>SykroMax</w:t>
      </w:r>
      <w:proofErr w:type="spellEnd"/>
      <w:r w:rsidRPr="004D75C4">
        <w:rPr>
          <w:rFonts w:ascii="Arial" w:eastAsia="Arial" w:hAnsi="Arial" w:cs="Arial"/>
          <w:sz w:val="20"/>
          <w:szCs w:val="20"/>
        </w:rPr>
        <w:t xml:space="preserve"> Biotech </w:t>
      </w:r>
      <w:proofErr w:type="spellStart"/>
      <w:r w:rsidRPr="004D75C4">
        <w:rPr>
          <w:rFonts w:ascii="Arial" w:eastAsia="Arial" w:hAnsi="Arial" w:cs="Arial"/>
          <w:sz w:val="20"/>
          <w:szCs w:val="20"/>
        </w:rPr>
        <w:t>Pvt.</w:t>
      </w:r>
      <w:proofErr w:type="spellEnd"/>
      <w:r w:rsidRPr="004D75C4">
        <w:rPr>
          <w:rFonts w:ascii="Arial" w:eastAsia="Arial" w:hAnsi="Arial" w:cs="Arial"/>
          <w:sz w:val="20"/>
          <w:szCs w:val="20"/>
        </w:rPr>
        <w:t xml:space="preserve"> Ltd., Chennai. The strain was plated to ensure its viability and suitability through the serial dilution method to be utilized further in probiotic applications. The cultured colonies on MRS agar were observed with visual inspection, displaying a unique round colony phenotype with off-white to cream pigmentation, which is characteristic in previous studies of lactic acid bacteria (Heeney </w:t>
      </w:r>
      <w:r w:rsidRPr="004D75C4">
        <w:rPr>
          <w:rFonts w:ascii="Arial" w:eastAsia="Arial" w:hAnsi="Arial" w:cs="Arial"/>
          <w:i/>
          <w:sz w:val="20"/>
          <w:szCs w:val="20"/>
        </w:rPr>
        <w:t>et al</w:t>
      </w:r>
      <w:r w:rsidRPr="004D75C4">
        <w:rPr>
          <w:rFonts w:ascii="Arial" w:eastAsia="Arial" w:hAnsi="Arial" w:cs="Arial"/>
          <w:sz w:val="20"/>
          <w:szCs w:val="20"/>
        </w:rPr>
        <w:t xml:space="preserve"> 2018) Out of the serial dilutions examined, the 10-2 dilution plate exhibited the best colony growth amounting to a countable number of colony-forming units, (CFUs) hence the choice to proceed with further subculture. There was a measure of stability in CFU/mL of replicate counts which demonstrated high microbial viability and cultural stability. This reproducibility is critical in probiotic formulation research, as noted by Wang </w:t>
      </w:r>
      <w:r w:rsidRPr="004D75C4">
        <w:rPr>
          <w:rFonts w:ascii="Arial" w:eastAsia="Arial" w:hAnsi="Arial" w:cs="Arial"/>
          <w:i/>
          <w:sz w:val="20"/>
          <w:szCs w:val="20"/>
        </w:rPr>
        <w:t>et al</w:t>
      </w:r>
      <w:r w:rsidRPr="004D75C4">
        <w:rPr>
          <w:rFonts w:ascii="Arial" w:eastAsia="Arial" w:hAnsi="Arial" w:cs="Arial"/>
          <w:sz w:val="20"/>
          <w:szCs w:val="20"/>
        </w:rPr>
        <w:t xml:space="preserve"> (2020), who pointed out that standardized mounts of microbes are needed to design effective probiotic products.</w:t>
      </w:r>
    </w:p>
    <w:p w:rsidR="00DF4267" w:rsidRPr="004D75C4" w:rsidRDefault="00A21A5F">
      <w:pPr>
        <w:pStyle w:val="Normal1"/>
        <w:jc w:val="both"/>
        <w:rPr>
          <w:rFonts w:ascii="Arial" w:eastAsia="Arial" w:hAnsi="Arial" w:cs="Arial"/>
          <w:sz w:val="20"/>
          <w:szCs w:val="20"/>
        </w:rPr>
      </w:pPr>
      <w:r w:rsidRPr="004D75C4">
        <w:rPr>
          <w:rFonts w:ascii="Arial" w:eastAsia="Arial" w:hAnsi="Arial" w:cs="Arial"/>
          <w:sz w:val="20"/>
          <w:szCs w:val="20"/>
        </w:rPr>
        <w:t xml:space="preserve">The effective cultivation of </w:t>
      </w:r>
      <w:r w:rsidRPr="004D75C4">
        <w:rPr>
          <w:rFonts w:ascii="Arial" w:eastAsia="Arial" w:hAnsi="Arial" w:cs="Arial"/>
          <w:i/>
          <w:sz w:val="20"/>
          <w:szCs w:val="20"/>
        </w:rPr>
        <w:t xml:space="preserve">L. </w:t>
      </w:r>
      <w:proofErr w:type="spellStart"/>
      <w:r w:rsidRPr="004D75C4">
        <w:rPr>
          <w:rFonts w:ascii="Arial" w:eastAsia="Arial" w:hAnsi="Arial" w:cs="Arial"/>
          <w:i/>
          <w:sz w:val="20"/>
          <w:szCs w:val="20"/>
        </w:rPr>
        <w:t>gasseri</w:t>
      </w:r>
      <w:proofErr w:type="spellEnd"/>
      <w:r w:rsidRPr="004D75C4">
        <w:rPr>
          <w:rFonts w:ascii="Arial" w:eastAsia="Arial" w:hAnsi="Arial" w:cs="Arial"/>
          <w:sz w:val="20"/>
          <w:szCs w:val="20"/>
        </w:rPr>
        <w:t xml:space="preserve"> at 37</w:t>
      </w:r>
      <w:r w:rsidRPr="004D75C4">
        <w:rPr>
          <w:rFonts w:ascii="Arial" w:eastAsia="Arial" w:hAnsi="Arial" w:cs="Arial"/>
          <w:sz w:val="20"/>
          <w:szCs w:val="20"/>
          <w:vertAlign w:val="superscript"/>
        </w:rPr>
        <w:t>O</w:t>
      </w:r>
      <w:r w:rsidRPr="004D75C4">
        <w:rPr>
          <w:rFonts w:ascii="Arial" w:eastAsia="Arial" w:hAnsi="Arial" w:cs="Arial"/>
          <w:sz w:val="20"/>
          <w:szCs w:val="20"/>
        </w:rPr>
        <w:t xml:space="preserve">C also confirmed that it is a mesophilic species capable of adapting to conditions resembling those in the gastrointestinal tract of humans. This temperature ensures not only the best growth but also preservation of some important physiological characteristics that are relevant to probiotic functionality, such as acid and bile salt tolerance (Mu </w:t>
      </w:r>
      <w:r w:rsidRPr="004D75C4">
        <w:rPr>
          <w:rFonts w:ascii="Arial" w:eastAsia="Arial" w:hAnsi="Arial" w:cs="Arial"/>
          <w:i/>
          <w:sz w:val="20"/>
          <w:szCs w:val="20"/>
        </w:rPr>
        <w:t>et al</w:t>
      </w:r>
      <w:r w:rsidRPr="004D75C4">
        <w:rPr>
          <w:rFonts w:ascii="Arial" w:eastAsia="Arial" w:hAnsi="Arial" w:cs="Arial"/>
          <w:sz w:val="20"/>
          <w:szCs w:val="20"/>
        </w:rPr>
        <w:t xml:space="preserve"> 2018). The results could confirm that the strain is still biologically active and phenotypically stable in customary laboratory conditions, which makes it an ideal prospect in downstream applications including </w:t>
      </w:r>
      <w:proofErr w:type="spellStart"/>
      <w:r w:rsidRPr="004D75C4">
        <w:rPr>
          <w:rFonts w:ascii="Arial" w:eastAsia="Arial" w:hAnsi="Arial" w:cs="Arial"/>
          <w:sz w:val="20"/>
          <w:szCs w:val="20"/>
        </w:rPr>
        <w:t>nanoemulsion</w:t>
      </w:r>
      <w:proofErr w:type="spellEnd"/>
      <w:r w:rsidRPr="004D75C4">
        <w:rPr>
          <w:rFonts w:ascii="Arial" w:eastAsia="Arial" w:hAnsi="Arial" w:cs="Arial"/>
          <w:sz w:val="20"/>
          <w:szCs w:val="20"/>
        </w:rPr>
        <w:t xml:space="preserve"> fabrication or biomedical analysis.</w:t>
      </w:r>
    </w:p>
    <w:p w:rsidR="00DF4267" w:rsidRDefault="00A21A5F">
      <w:pPr>
        <w:pStyle w:val="Normal1"/>
        <w:numPr>
          <w:ilvl w:val="1"/>
          <w:numId w:val="1"/>
        </w:numPr>
        <w:pBdr>
          <w:top w:val="nil"/>
          <w:left w:val="nil"/>
          <w:bottom w:val="nil"/>
          <w:right w:val="nil"/>
          <w:between w:val="nil"/>
        </w:pBdr>
        <w:ind w:left="720"/>
        <w:jc w:val="both"/>
        <w:rPr>
          <w:rFonts w:ascii="Arial" w:eastAsia="Arial" w:hAnsi="Arial" w:cs="Arial"/>
          <w:b/>
          <w:color w:val="000000"/>
        </w:rPr>
      </w:pPr>
      <w:r>
        <w:rPr>
          <w:rFonts w:ascii="Arial" w:eastAsia="Arial" w:hAnsi="Arial" w:cs="Arial"/>
          <w:b/>
          <w:color w:val="000000"/>
        </w:rPr>
        <w:t xml:space="preserve">Synthesis of silver </w:t>
      </w:r>
      <w:proofErr w:type="spellStart"/>
      <w:r>
        <w:rPr>
          <w:rFonts w:ascii="Arial" w:eastAsia="Arial" w:hAnsi="Arial" w:cs="Arial"/>
          <w:b/>
          <w:color w:val="000000"/>
        </w:rPr>
        <w:t>nanoemulsion</w:t>
      </w:r>
      <w:proofErr w:type="spellEnd"/>
    </w:p>
    <w:p w:rsidR="00DF4267" w:rsidRDefault="00A21A5F">
      <w:pPr>
        <w:pStyle w:val="Normal1"/>
        <w:jc w:val="both"/>
        <w:rPr>
          <w:rFonts w:ascii="Arial" w:eastAsia="Arial" w:hAnsi="Arial" w:cs="Arial"/>
          <w:sz w:val="20"/>
          <w:szCs w:val="20"/>
        </w:rPr>
      </w:pPr>
      <w:r>
        <w:rPr>
          <w:rFonts w:ascii="Arial" w:eastAsia="Arial" w:hAnsi="Arial" w:cs="Arial"/>
          <w:sz w:val="20"/>
          <w:szCs w:val="20"/>
        </w:rPr>
        <w:t>Silver nanoparticle synthesis (</w:t>
      </w:r>
      <w:proofErr w:type="spellStart"/>
      <w:r>
        <w:rPr>
          <w:rFonts w:ascii="Arial" w:eastAsia="Arial" w:hAnsi="Arial" w:cs="Arial"/>
          <w:sz w:val="20"/>
          <w:szCs w:val="20"/>
        </w:rPr>
        <w:t>AgNPs</w:t>
      </w:r>
      <w:proofErr w:type="spellEnd"/>
      <w:r>
        <w:rPr>
          <w:rFonts w:ascii="Arial" w:eastAsia="Arial" w:hAnsi="Arial" w:cs="Arial"/>
          <w:sz w:val="20"/>
          <w:szCs w:val="20"/>
        </w:rPr>
        <w:t xml:space="preserve">) was carried out through a cell-free supernatant of </w:t>
      </w:r>
      <w:r>
        <w:rPr>
          <w:rFonts w:ascii="Arial" w:eastAsia="Arial" w:hAnsi="Arial" w:cs="Arial"/>
          <w:i/>
          <w:sz w:val="20"/>
          <w:szCs w:val="20"/>
        </w:rPr>
        <w:t xml:space="preserve">Lactobacillus </w:t>
      </w:r>
      <w:proofErr w:type="spellStart"/>
      <w:r>
        <w:rPr>
          <w:rFonts w:ascii="Arial" w:eastAsia="Arial" w:hAnsi="Arial" w:cs="Arial"/>
          <w:i/>
          <w:sz w:val="20"/>
          <w:szCs w:val="20"/>
        </w:rPr>
        <w:t>gasseri</w:t>
      </w:r>
      <w:proofErr w:type="spellEnd"/>
      <w:r>
        <w:rPr>
          <w:rFonts w:ascii="Arial" w:eastAsia="Arial" w:hAnsi="Arial" w:cs="Arial"/>
          <w:sz w:val="20"/>
          <w:szCs w:val="20"/>
        </w:rPr>
        <w:t xml:space="preserve"> prepared in MRS broth at 37 </w:t>
      </w:r>
      <w:r w:rsidRPr="003F6DFE">
        <w:rPr>
          <w:rFonts w:ascii="Arial" w:eastAsia="Arial" w:hAnsi="Arial" w:cs="Arial"/>
          <w:sz w:val="20"/>
          <w:szCs w:val="20"/>
          <w:vertAlign w:val="superscript"/>
        </w:rPr>
        <w:t>o</w:t>
      </w:r>
      <w:r>
        <w:rPr>
          <w:rFonts w:ascii="Arial" w:eastAsia="Arial" w:hAnsi="Arial" w:cs="Arial"/>
          <w:sz w:val="20"/>
          <w:szCs w:val="20"/>
        </w:rPr>
        <w:t xml:space="preserve"> C in 24-48 hours. After incubation, the phosphate buffer was used to extract the bioactive metabolites that were centrifuged to obtain a clear supernatant. The bacteria cells and supernatant were dipped in 1mM silver nitrate (AgNO</w:t>
      </w:r>
      <w:r>
        <w:rPr>
          <w:rFonts w:ascii="Arial" w:eastAsia="Arial" w:hAnsi="Arial" w:cs="Arial"/>
          <w:sz w:val="20"/>
          <w:szCs w:val="20"/>
          <w:vertAlign w:val="subscript"/>
        </w:rPr>
        <w:t>3</w:t>
      </w:r>
      <w:r>
        <w:rPr>
          <w:rFonts w:ascii="Arial" w:eastAsia="Arial" w:hAnsi="Arial" w:cs="Arial"/>
          <w:sz w:val="20"/>
          <w:szCs w:val="20"/>
        </w:rPr>
        <w:t xml:space="preserve">) to provide nanoparticle formation. Examples of microbial-based studies of nanoparticles also confirmed that the visual darkening of the solution by changing to a pale yellow to brown </w:t>
      </w:r>
      <w:proofErr w:type="spellStart"/>
      <w:r>
        <w:rPr>
          <w:rFonts w:ascii="Arial" w:eastAsia="Arial" w:hAnsi="Arial" w:cs="Arial"/>
          <w:sz w:val="20"/>
          <w:szCs w:val="20"/>
        </w:rPr>
        <w:t>color</w:t>
      </w:r>
      <w:proofErr w:type="spellEnd"/>
      <w:r>
        <w:rPr>
          <w:rFonts w:ascii="Arial" w:eastAsia="Arial" w:hAnsi="Arial" w:cs="Arial"/>
          <w:sz w:val="20"/>
          <w:szCs w:val="20"/>
        </w:rPr>
        <w:t xml:space="preserve"> was an indication of successful transformation of Ag ions to silver nanoparticles (Ahmed </w:t>
      </w:r>
      <w:r>
        <w:rPr>
          <w:rFonts w:ascii="Arial" w:eastAsia="Arial" w:hAnsi="Arial" w:cs="Arial"/>
          <w:i/>
          <w:sz w:val="20"/>
          <w:szCs w:val="20"/>
        </w:rPr>
        <w:t>et al</w:t>
      </w:r>
      <w:r>
        <w:rPr>
          <w:rFonts w:ascii="Arial" w:eastAsia="Arial" w:hAnsi="Arial" w:cs="Arial"/>
          <w:sz w:val="20"/>
          <w:szCs w:val="20"/>
        </w:rPr>
        <w:t xml:space="preserve"> 2016; Singh </w:t>
      </w:r>
      <w:r>
        <w:rPr>
          <w:rFonts w:ascii="Arial" w:eastAsia="Arial" w:hAnsi="Arial" w:cs="Arial"/>
          <w:i/>
          <w:sz w:val="20"/>
          <w:szCs w:val="20"/>
        </w:rPr>
        <w:t>et al</w:t>
      </w:r>
      <w:r>
        <w:rPr>
          <w:rFonts w:ascii="Arial" w:eastAsia="Arial" w:hAnsi="Arial" w:cs="Arial"/>
          <w:sz w:val="20"/>
          <w:szCs w:val="20"/>
        </w:rPr>
        <w:t xml:space="preserve"> 2018). Such a metamorphosis is explained by microbial metabolites that play the roles of natural reducing and capping agents.</w:t>
      </w:r>
    </w:p>
    <w:p w:rsidR="003F6DFE" w:rsidRDefault="003F6DFE" w:rsidP="003F6DFE">
      <w:pPr>
        <w:pStyle w:val="Normal1"/>
        <w:jc w:val="center"/>
        <w:rPr>
          <w:rFonts w:ascii="Arial" w:eastAsia="Arial" w:hAnsi="Arial" w:cs="Arial"/>
          <w:sz w:val="20"/>
          <w:szCs w:val="20"/>
        </w:rPr>
      </w:pPr>
      <w:r w:rsidRPr="003F6DFE">
        <w:rPr>
          <w:rFonts w:ascii="Arial" w:eastAsia="Arial" w:hAnsi="Arial" w:cs="Arial"/>
          <w:noProof/>
          <w:sz w:val="20"/>
          <w:szCs w:val="20"/>
          <w:lang w:val="en-US"/>
        </w:rPr>
        <w:lastRenderedPageBreak/>
        <w:drawing>
          <wp:inline distT="0" distB="0" distL="0" distR="0">
            <wp:extent cx="1804086" cy="2624588"/>
            <wp:effectExtent l="19050" t="19050" r="5715" b="4445"/>
            <wp:docPr id="10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8">
                      <a:extLst>
                        <a:ext uri="{BEBA8EAE-BF5A-486C-A8C5-ECC9F3942E4B}">
                          <a14:imgProps xmlns:a14="http://schemas.microsoft.com/office/drawing/2010/main">
                            <a14:imgLayer r:embed="rId9">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805472" cy="2626604"/>
                    </a:xfrm>
                    <a:prstGeom prst="rect">
                      <a:avLst/>
                    </a:prstGeom>
                    <a:noFill/>
                    <a:ln w="6350">
                      <a:solidFill>
                        <a:schemeClr val="tx1"/>
                      </a:solidFill>
                    </a:ln>
                    <a:effectLst/>
                    <a:extLst/>
                  </pic:spPr>
                </pic:pic>
              </a:graphicData>
            </a:graphic>
          </wp:inline>
        </w:drawing>
      </w:r>
    </w:p>
    <w:p w:rsidR="003F6DFE" w:rsidRPr="003F6DFE" w:rsidRDefault="003F6DFE" w:rsidP="003F6DFE">
      <w:pPr>
        <w:pStyle w:val="Normal1"/>
        <w:jc w:val="center"/>
        <w:rPr>
          <w:rFonts w:ascii="Arial" w:eastAsia="Arial" w:hAnsi="Arial" w:cs="Arial"/>
          <w:b/>
          <w:bCs/>
          <w:sz w:val="20"/>
          <w:szCs w:val="20"/>
        </w:rPr>
      </w:pPr>
      <w:r>
        <w:rPr>
          <w:rFonts w:ascii="Arial" w:eastAsia="Arial" w:hAnsi="Arial" w:cs="Arial"/>
          <w:b/>
          <w:sz w:val="20"/>
          <w:szCs w:val="20"/>
        </w:rPr>
        <w:t>Fig.1</w:t>
      </w:r>
      <w:r w:rsidR="004F4038">
        <w:rPr>
          <w:rFonts w:ascii="Arial" w:eastAsia="Arial" w:hAnsi="Arial" w:cs="Arial"/>
          <w:b/>
          <w:sz w:val="20"/>
          <w:szCs w:val="20"/>
        </w:rPr>
        <w:t>.</w:t>
      </w:r>
      <w:r w:rsidR="00F44C00">
        <w:rPr>
          <w:rFonts w:ascii="Arial" w:eastAsia="Arial" w:hAnsi="Arial" w:cs="Arial"/>
          <w:b/>
          <w:sz w:val="20"/>
          <w:szCs w:val="20"/>
        </w:rPr>
        <w:t xml:space="preserve"> </w:t>
      </w:r>
      <w:r w:rsidRPr="003F6DFE">
        <w:rPr>
          <w:rFonts w:ascii="Arial" w:eastAsia="Arial" w:hAnsi="Arial" w:cs="Arial"/>
          <w:b/>
          <w:sz w:val="20"/>
          <w:szCs w:val="20"/>
        </w:rPr>
        <w:t xml:space="preserve">Carbopol-stabilized silver </w:t>
      </w:r>
      <w:proofErr w:type="spellStart"/>
      <w:r w:rsidRPr="003F6DFE">
        <w:rPr>
          <w:rFonts w:ascii="Arial" w:eastAsia="Arial" w:hAnsi="Arial" w:cs="Arial"/>
          <w:b/>
          <w:sz w:val="20"/>
          <w:szCs w:val="20"/>
        </w:rPr>
        <w:t>nanoemulsion</w:t>
      </w:r>
      <w:proofErr w:type="spellEnd"/>
      <w:r w:rsidRPr="003F6DFE">
        <w:rPr>
          <w:rFonts w:ascii="Arial" w:eastAsia="Arial" w:hAnsi="Arial" w:cs="Arial"/>
          <w:b/>
          <w:sz w:val="20"/>
          <w:szCs w:val="20"/>
        </w:rPr>
        <w:t xml:space="preserve"> of </w:t>
      </w:r>
      <w:r w:rsidRPr="003F6DFE">
        <w:rPr>
          <w:rFonts w:ascii="Arial" w:eastAsia="Arial" w:hAnsi="Arial" w:cs="Arial"/>
          <w:b/>
          <w:i/>
          <w:iCs/>
          <w:sz w:val="20"/>
          <w:szCs w:val="20"/>
        </w:rPr>
        <w:t xml:space="preserve">Lactobacillus </w:t>
      </w:r>
      <w:proofErr w:type="spellStart"/>
      <w:r w:rsidRPr="003F6DFE">
        <w:rPr>
          <w:rFonts w:ascii="Arial" w:eastAsia="Arial" w:hAnsi="Arial" w:cs="Arial"/>
          <w:b/>
          <w:i/>
          <w:iCs/>
          <w:sz w:val="20"/>
          <w:szCs w:val="20"/>
        </w:rPr>
        <w:t>gasseri</w:t>
      </w:r>
      <w:proofErr w:type="spellEnd"/>
      <w:r w:rsidRPr="003F6DFE">
        <w:rPr>
          <w:rFonts w:ascii="Arial" w:eastAsia="Arial" w:hAnsi="Arial" w:cs="Arial"/>
          <w:b/>
          <w:sz w:val="20"/>
          <w:szCs w:val="20"/>
        </w:rPr>
        <w:t xml:space="preserve"> extract</w:t>
      </w:r>
    </w:p>
    <w:p w:rsidR="00DF4267" w:rsidRDefault="00A21A5F">
      <w:pPr>
        <w:pStyle w:val="Normal1"/>
        <w:jc w:val="both"/>
        <w:rPr>
          <w:rFonts w:ascii="Arial" w:eastAsia="Arial" w:hAnsi="Arial" w:cs="Arial"/>
          <w:sz w:val="20"/>
          <w:szCs w:val="20"/>
        </w:rPr>
      </w:pPr>
      <w:r>
        <w:rPr>
          <w:rFonts w:ascii="Arial" w:eastAsia="Arial" w:hAnsi="Arial" w:cs="Arial"/>
          <w:sz w:val="20"/>
          <w:szCs w:val="20"/>
        </w:rPr>
        <w:t xml:space="preserve">In order to enhance the stability of the resulting formulation, Carbopol 940 (an appropriate stabilizer), weight 0.5% in the </w:t>
      </w:r>
      <w:proofErr w:type="spellStart"/>
      <w:r>
        <w:rPr>
          <w:rFonts w:ascii="Arial" w:eastAsia="Arial" w:hAnsi="Arial" w:cs="Arial"/>
          <w:sz w:val="20"/>
          <w:szCs w:val="20"/>
        </w:rPr>
        <w:t>AgNP</w:t>
      </w:r>
      <w:proofErr w:type="spellEnd"/>
      <w:r>
        <w:rPr>
          <w:rFonts w:ascii="Arial" w:eastAsia="Arial" w:hAnsi="Arial" w:cs="Arial"/>
          <w:sz w:val="20"/>
          <w:szCs w:val="20"/>
        </w:rPr>
        <w:t xml:space="preserve"> solution, was added to create a viscous silver </w:t>
      </w:r>
      <w:proofErr w:type="spellStart"/>
      <w:r>
        <w:rPr>
          <w:rFonts w:ascii="Arial" w:eastAsia="Arial" w:hAnsi="Arial" w:cs="Arial"/>
          <w:sz w:val="20"/>
          <w:szCs w:val="20"/>
        </w:rPr>
        <w:t>nanoemulsion</w:t>
      </w:r>
      <w:proofErr w:type="spellEnd"/>
      <w:r>
        <w:rPr>
          <w:rFonts w:ascii="Arial" w:eastAsia="Arial" w:hAnsi="Arial" w:cs="Arial"/>
          <w:sz w:val="20"/>
          <w:szCs w:val="20"/>
        </w:rPr>
        <w:t>. Stability of this gel-based approach was better than that of suspension of unmodified nanoparticles, which had evident sedimentation in 24 hours. Carbopol-stabilized emulsion exhibited the similar distribution of the particles due to the hydrogen bonding and the electrostatic forces between the chains of the polymer and the surface of the nanoparticle. Such interactions are reported to increase the formulation stability of biomedical gels (</w:t>
      </w:r>
      <w:proofErr w:type="spellStart"/>
      <w:r>
        <w:rPr>
          <w:rFonts w:ascii="Arial" w:eastAsia="Arial" w:hAnsi="Arial" w:cs="Arial"/>
          <w:sz w:val="20"/>
          <w:szCs w:val="20"/>
        </w:rPr>
        <w:t>Hajipour</w:t>
      </w:r>
      <w:proofErr w:type="spellEnd"/>
      <w:r w:rsidR="00F44C00">
        <w:rPr>
          <w:rFonts w:ascii="Arial" w:eastAsia="Arial" w:hAnsi="Arial" w:cs="Arial"/>
          <w:sz w:val="20"/>
          <w:szCs w:val="20"/>
        </w:rPr>
        <w:t xml:space="preserve"> </w:t>
      </w:r>
      <w:r>
        <w:rPr>
          <w:rFonts w:ascii="Arial" w:eastAsia="Arial" w:hAnsi="Arial" w:cs="Arial"/>
          <w:i/>
          <w:sz w:val="20"/>
          <w:szCs w:val="20"/>
        </w:rPr>
        <w:t>et al</w:t>
      </w:r>
      <w:r>
        <w:rPr>
          <w:rFonts w:ascii="Arial" w:eastAsia="Arial" w:hAnsi="Arial" w:cs="Arial"/>
          <w:sz w:val="20"/>
          <w:szCs w:val="20"/>
        </w:rPr>
        <w:t xml:space="preserve"> 2012). The control experiment, where Carbopol was dispersed in distilled water in absence of AgNO</w:t>
      </w:r>
      <w:r>
        <w:rPr>
          <w:rFonts w:ascii="Arial" w:eastAsia="Arial" w:hAnsi="Arial" w:cs="Arial"/>
          <w:sz w:val="20"/>
          <w:szCs w:val="20"/>
          <w:vertAlign w:val="subscript"/>
        </w:rPr>
        <w:t>3</w:t>
      </w:r>
      <w:r>
        <w:rPr>
          <w:rFonts w:ascii="Arial" w:eastAsia="Arial" w:hAnsi="Arial" w:cs="Arial"/>
          <w:sz w:val="20"/>
          <w:szCs w:val="20"/>
        </w:rPr>
        <w:t xml:space="preserve"> and </w:t>
      </w:r>
      <w:r>
        <w:rPr>
          <w:rFonts w:ascii="Arial" w:eastAsia="Arial" w:hAnsi="Arial" w:cs="Arial"/>
          <w:i/>
          <w:sz w:val="20"/>
          <w:szCs w:val="20"/>
        </w:rPr>
        <w:t xml:space="preserve">L. </w:t>
      </w:r>
      <w:proofErr w:type="spellStart"/>
      <w:r>
        <w:rPr>
          <w:rFonts w:ascii="Arial" w:eastAsia="Arial" w:hAnsi="Arial" w:cs="Arial"/>
          <w:i/>
          <w:sz w:val="20"/>
          <w:szCs w:val="20"/>
        </w:rPr>
        <w:t>gasseri</w:t>
      </w:r>
      <w:proofErr w:type="spellEnd"/>
      <w:r>
        <w:rPr>
          <w:rFonts w:ascii="Arial" w:eastAsia="Arial" w:hAnsi="Arial" w:cs="Arial"/>
          <w:sz w:val="20"/>
          <w:szCs w:val="20"/>
        </w:rPr>
        <w:t xml:space="preserve"> extracts did not change </w:t>
      </w:r>
      <w:proofErr w:type="spellStart"/>
      <w:r>
        <w:rPr>
          <w:rFonts w:ascii="Arial" w:eastAsia="Arial" w:hAnsi="Arial" w:cs="Arial"/>
          <w:sz w:val="20"/>
          <w:szCs w:val="20"/>
        </w:rPr>
        <w:t>color</w:t>
      </w:r>
      <w:proofErr w:type="spellEnd"/>
      <w:r>
        <w:rPr>
          <w:rFonts w:ascii="Arial" w:eastAsia="Arial" w:hAnsi="Arial" w:cs="Arial"/>
          <w:sz w:val="20"/>
          <w:szCs w:val="20"/>
        </w:rPr>
        <w:t xml:space="preserve"> or yield any nanoparticle reflects that the nanoparticle synthesis was of biological nature. It confirms that </w:t>
      </w:r>
      <w:r>
        <w:rPr>
          <w:rFonts w:ascii="Arial" w:eastAsia="Arial" w:hAnsi="Arial" w:cs="Arial"/>
          <w:i/>
          <w:sz w:val="20"/>
          <w:szCs w:val="20"/>
        </w:rPr>
        <w:t xml:space="preserve">L. </w:t>
      </w:r>
      <w:proofErr w:type="spellStart"/>
      <w:r>
        <w:rPr>
          <w:rFonts w:ascii="Arial" w:eastAsia="Arial" w:hAnsi="Arial" w:cs="Arial"/>
          <w:i/>
          <w:sz w:val="20"/>
          <w:szCs w:val="20"/>
        </w:rPr>
        <w:t>gasseri</w:t>
      </w:r>
      <w:proofErr w:type="spellEnd"/>
      <w:r>
        <w:rPr>
          <w:rFonts w:ascii="Arial" w:eastAsia="Arial" w:hAnsi="Arial" w:cs="Arial"/>
          <w:sz w:val="20"/>
          <w:szCs w:val="20"/>
        </w:rPr>
        <w:t xml:space="preserve"> metabolites play a key role in the reduction of silver ions and strengthens the ideology of this green synthesis method which is eco-friendly, as well as bio-compatible. The probiotics-mediated biosynthetic pathway is distinctive in that it is less toxic, environmentally friendly, and non-toxic to the body, aptitude mandatory to generate therapeutic products (Rai </w:t>
      </w:r>
      <w:r>
        <w:rPr>
          <w:rFonts w:ascii="Arial" w:eastAsia="Arial" w:hAnsi="Arial" w:cs="Arial"/>
          <w:i/>
          <w:sz w:val="20"/>
          <w:szCs w:val="20"/>
        </w:rPr>
        <w:t>et al</w:t>
      </w:r>
      <w:r>
        <w:rPr>
          <w:rFonts w:ascii="Arial" w:eastAsia="Arial" w:hAnsi="Arial" w:cs="Arial"/>
          <w:sz w:val="20"/>
          <w:szCs w:val="20"/>
        </w:rPr>
        <w:t xml:space="preserve"> 2016). Moreover, </w:t>
      </w:r>
      <w:r>
        <w:rPr>
          <w:rFonts w:ascii="Arial" w:eastAsia="Arial" w:hAnsi="Arial" w:cs="Arial"/>
          <w:i/>
          <w:sz w:val="20"/>
          <w:szCs w:val="20"/>
        </w:rPr>
        <w:t xml:space="preserve">L. </w:t>
      </w:r>
      <w:proofErr w:type="spellStart"/>
      <w:r>
        <w:rPr>
          <w:rFonts w:ascii="Arial" w:eastAsia="Arial" w:hAnsi="Arial" w:cs="Arial"/>
          <w:i/>
          <w:sz w:val="20"/>
          <w:szCs w:val="20"/>
        </w:rPr>
        <w:t>gasseri</w:t>
      </w:r>
      <w:proofErr w:type="spellEnd"/>
      <w:r>
        <w:rPr>
          <w:rFonts w:ascii="Arial" w:eastAsia="Arial" w:hAnsi="Arial" w:cs="Arial"/>
          <w:sz w:val="20"/>
          <w:szCs w:val="20"/>
        </w:rPr>
        <w:t xml:space="preserve"> species have been documented to produce bio-reductive compounds that can be used to generate nanoparticles at ambient conditions (</w:t>
      </w:r>
      <w:proofErr w:type="spellStart"/>
      <w:r>
        <w:rPr>
          <w:rFonts w:ascii="Arial" w:eastAsia="Arial" w:hAnsi="Arial" w:cs="Arial"/>
          <w:sz w:val="20"/>
          <w:szCs w:val="20"/>
        </w:rPr>
        <w:t>Hajipour</w:t>
      </w:r>
      <w:proofErr w:type="spellEnd"/>
      <w:r w:rsidR="004E2C93">
        <w:rPr>
          <w:rFonts w:ascii="Arial" w:eastAsia="Arial" w:hAnsi="Arial" w:cs="Arial"/>
          <w:sz w:val="20"/>
          <w:szCs w:val="20"/>
        </w:rPr>
        <w:t xml:space="preserve"> </w:t>
      </w:r>
      <w:r>
        <w:rPr>
          <w:rFonts w:ascii="Arial" w:eastAsia="Arial" w:hAnsi="Arial" w:cs="Arial"/>
          <w:i/>
          <w:sz w:val="20"/>
          <w:szCs w:val="20"/>
        </w:rPr>
        <w:t>et al</w:t>
      </w:r>
      <w:r>
        <w:rPr>
          <w:rFonts w:ascii="Arial" w:eastAsia="Arial" w:hAnsi="Arial" w:cs="Arial"/>
          <w:sz w:val="20"/>
          <w:szCs w:val="20"/>
        </w:rPr>
        <w:t xml:space="preserve"> 2012).</w:t>
      </w:r>
    </w:p>
    <w:p w:rsidR="00DF4267" w:rsidRDefault="00A21A5F">
      <w:pPr>
        <w:pStyle w:val="Normal1"/>
        <w:numPr>
          <w:ilvl w:val="1"/>
          <w:numId w:val="1"/>
        </w:numPr>
        <w:pBdr>
          <w:top w:val="nil"/>
          <w:left w:val="nil"/>
          <w:bottom w:val="nil"/>
          <w:right w:val="nil"/>
          <w:between w:val="nil"/>
        </w:pBdr>
        <w:ind w:left="720"/>
        <w:jc w:val="both"/>
        <w:rPr>
          <w:rFonts w:ascii="Arial" w:eastAsia="Arial" w:hAnsi="Arial" w:cs="Arial"/>
          <w:b/>
          <w:color w:val="000000"/>
        </w:rPr>
      </w:pPr>
      <w:r>
        <w:rPr>
          <w:rFonts w:ascii="Arial" w:eastAsia="Arial" w:hAnsi="Arial" w:cs="Arial"/>
          <w:b/>
          <w:color w:val="000000"/>
        </w:rPr>
        <w:t>Characterization of the synthesized silver nanocomposite</w:t>
      </w:r>
    </w:p>
    <w:p w:rsidR="00DF4267" w:rsidRDefault="00A21A5F">
      <w:pPr>
        <w:pStyle w:val="Normal1"/>
        <w:jc w:val="both"/>
        <w:rPr>
          <w:rFonts w:ascii="Arial" w:eastAsia="Arial" w:hAnsi="Arial" w:cs="Arial"/>
          <w:sz w:val="20"/>
          <w:szCs w:val="20"/>
        </w:rPr>
      </w:pPr>
      <w:r>
        <w:rPr>
          <w:rFonts w:ascii="Arial" w:eastAsia="Arial" w:hAnsi="Arial" w:cs="Arial"/>
          <w:sz w:val="20"/>
          <w:szCs w:val="20"/>
        </w:rPr>
        <w:t>The successful biosynthesis of silver nanoparticles (</w:t>
      </w:r>
      <w:proofErr w:type="spellStart"/>
      <w:r>
        <w:rPr>
          <w:rFonts w:ascii="Arial" w:eastAsia="Arial" w:hAnsi="Arial" w:cs="Arial"/>
          <w:sz w:val="20"/>
          <w:szCs w:val="20"/>
        </w:rPr>
        <w:t>AgNPs</w:t>
      </w:r>
      <w:proofErr w:type="spellEnd"/>
      <w:r>
        <w:rPr>
          <w:rFonts w:ascii="Arial" w:eastAsia="Arial" w:hAnsi="Arial" w:cs="Arial"/>
          <w:sz w:val="20"/>
          <w:szCs w:val="20"/>
        </w:rPr>
        <w:t xml:space="preserve">) was primarily confirmed through UV-Visible spectroscopy. The UV-Vis spectrum of the synthesized nanocomposite revealed a characteristic absorption peak in the range of 400–420 nm, corresponding to the surface plasmon resonance (SPR) of silver nanoparticles. This optical phenomenon arises due to the collective oscillation of conduction electrons on the nanoparticle surface when excited by light, and is a signature feature of </w:t>
      </w:r>
      <w:proofErr w:type="spellStart"/>
      <w:r>
        <w:rPr>
          <w:rFonts w:ascii="Arial" w:eastAsia="Arial" w:hAnsi="Arial" w:cs="Arial"/>
          <w:sz w:val="20"/>
          <w:szCs w:val="20"/>
        </w:rPr>
        <w:t>AgNP</w:t>
      </w:r>
      <w:proofErr w:type="spellEnd"/>
      <w:r>
        <w:rPr>
          <w:rFonts w:ascii="Arial" w:eastAsia="Arial" w:hAnsi="Arial" w:cs="Arial"/>
          <w:sz w:val="20"/>
          <w:szCs w:val="20"/>
        </w:rPr>
        <w:t xml:space="preserve"> formation. The broad nature of the SPR band indicated a degree of polydispersity in particle size, which is typical in biologically synthesized nanoparticles due to varying reducing and capping conditions. Additional minor absorption bands were noted in the 240–260nm range, which are commonly attributed to aromatic amino acids and proteins present in the </w:t>
      </w:r>
      <w:r>
        <w:rPr>
          <w:rFonts w:ascii="Arial" w:eastAsia="Arial" w:hAnsi="Arial" w:cs="Arial"/>
          <w:i/>
          <w:sz w:val="20"/>
          <w:szCs w:val="20"/>
        </w:rPr>
        <w:t xml:space="preserve">L. </w:t>
      </w:r>
      <w:proofErr w:type="spellStart"/>
      <w:r>
        <w:rPr>
          <w:rFonts w:ascii="Arial" w:eastAsia="Arial" w:hAnsi="Arial" w:cs="Arial"/>
          <w:i/>
          <w:sz w:val="20"/>
          <w:szCs w:val="20"/>
        </w:rPr>
        <w:t>gasseri</w:t>
      </w:r>
      <w:proofErr w:type="spellEnd"/>
      <w:r>
        <w:rPr>
          <w:rFonts w:ascii="Arial" w:eastAsia="Arial" w:hAnsi="Arial" w:cs="Arial"/>
          <w:sz w:val="20"/>
          <w:szCs w:val="20"/>
        </w:rPr>
        <w:t xml:space="preserve"> supernatant. These biomolecules likely acted as both reducing and capping agents, facilitating the transformation of Ag</w:t>
      </w:r>
      <w:r>
        <w:rPr>
          <w:rFonts w:ascii="Cambria Math" w:eastAsia="Cambria Math" w:hAnsi="Cambria Math" w:cs="Cambria Math"/>
          <w:sz w:val="20"/>
          <w:szCs w:val="20"/>
        </w:rPr>
        <w:t>⁺</w:t>
      </w:r>
      <w:r>
        <w:rPr>
          <w:rFonts w:ascii="Arial" w:eastAsia="Arial" w:hAnsi="Arial" w:cs="Arial"/>
          <w:sz w:val="20"/>
          <w:szCs w:val="20"/>
        </w:rPr>
        <w:t xml:space="preserve"> ions to metallic Ag⁰ and simultaneously stabilizing the nanoparticles (Ahmed </w:t>
      </w:r>
      <w:r>
        <w:rPr>
          <w:rFonts w:ascii="Arial" w:eastAsia="Arial" w:hAnsi="Arial" w:cs="Arial"/>
          <w:i/>
          <w:sz w:val="20"/>
          <w:szCs w:val="20"/>
        </w:rPr>
        <w:t>et al</w:t>
      </w:r>
      <w:r>
        <w:rPr>
          <w:rFonts w:ascii="Arial" w:eastAsia="Arial" w:hAnsi="Arial" w:cs="Arial"/>
          <w:sz w:val="20"/>
          <w:szCs w:val="20"/>
        </w:rPr>
        <w:t xml:space="preserve"> 2016; Song &amp; Kim, 2009). The incorporation of Carbopol 940, a high molecular weight cross-linked polyacrylic acid, significantly influenced the optical behaviour and physical stability of the nanocomposite. Notably, the SPR peak of the Carbopol-modified </w:t>
      </w:r>
      <w:proofErr w:type="spellStart"/>
      <w:r>
        <w:rPr>
          <w:rFonts w:ascii="Arial" w:eastAsia="Arial" w:hAnsi="Arial" w:cs="Arial"/>
          <w:sz w:val="20"/>
          <w:szCs w:val="20"/>
        </w:rPr>
        <w:t>AgNPs</w:t>
      </w:r>
      <w:proofErr w:type="spellEnd"/>
      <w:r>
        <w:rPr>
          <w:rFonts w:ascii="Arial" w:eastAsia="Arial" w:hAnsi="Arial" w:cs="Arial"/>
          <w:sz w:val="20"/>
          <w:szCs w:val="20"/>
        </w:rPr>
        <w:t xml:space="preserve"> showed a slight redshift and enhanced absorbance intensity, implying more efficient nanoparticle dispersion within the polymeric matrix. This shift is believed to result from strong interactions between silver nanoparticles and the </w:t>
      </w:r>
      <w:r>
        <w:rPr>
          <w:rFonts w:ascii="Arial" w:eastAsia="Arial" w:hAnsi="Arial" w:cs="Arial"/>
          <w:sz w:val="20"/>
          <w:szCs w:val="20"/>
        </w:rPr>
        <w:lastRenderedPageBreak/>
        <w:t>functional groups of Carbopol, particularly hydroxyl and carboxylic acid moieties. These groups can form hydrogen bonds and electrostatic interactions with the nanoparticle surface, thereby reducing aggregation and enhancing colloidal stability (Sarfraz</w:t>
      </w:r>
      <w:r w:rsidR="004E2C93">
        <w:rPr>
          <w:rFonts w:ascii="Arial" w:eastAsia="Arial" w:hAnsi="Arial" w:cs="Arial"/>
          <w:sz w:val="20"/>
          <w:szCs w:val="20"/>
        </w:rPr>
        <w:t xml:space="preserve"> </w:t>
      </w:r>
      <w:r>
        <w:rPr>
          <w:rFonts w:ascii="Arial" w:eastAsia="Arial" w:hAnsi="Arial" w:cs="Arial"/>
          <w:i/>
          <w:sz w:val="20"/>
          <w:szCs w:val="20"/>
        </w:rPr>
        <w:t>et al</w:t>
      </w:r>
      <w:r>
        <w:rPr>
          <w:rFonts w:ascii="Arial" w:eastAsia="Arial" w:hAnsi="Arial" w:cs="Arial"/>
          <w:sz w:val="20"/>
          <w:szCs w:val="20"/>
        </w:rPr>
        <w:t xml:space="preserve"> 2022). Moreover, the UV-Vis spectral profile remained stable over time, with no significant peak broadening or shift, confirming that the Carbopol matrix effectively preserved the optical integrity and dispersion state of the </w:t>
      </w:r>
      <w:proofErr w:type="spellStart"/>
      <w:r>
        <w:rPr>
          <w:rFonts w:ascii="Arial" w:eastAsia="Arial" w:hAnsi="Arial" w:cs="Arial"/>
          <w:sz w:val="20"/>
          <w:szCs w:val="20"/>
        </w:rPr>
        <w:t>AgNPs</w:t>
      </w:r>
      <w:proofErr w:type="spellEnd"/>
      <w:r>
        <w:rPr>
          <w:rFonts w:ascii="Arial" w:eastAsia="Arial" w:hAnsi="Arial" w:cs="Arial"/>
          <w:sz w:val="20"/>
          <w:szCs w:val="20"/>
        </w:rPr>
        <w:t xml:space="preserve"> over extended periods.</w:t>
      </w:r>
    </w:p>
    <w:p w:rsidR="00DF4267" w:rsidRDefault="00A21A5F">
      <w:pPr>
        <w:pStyle w:val="Normal1"/>
        <w:jc w:val="both"/>
        <w:rPr>
          <w:rFonts w:ascii="Arial" w:eastAsia="Arial" w:hAnsi="Arial" w:cs="Arial"/>
          <w:sz w:val="20"/>
          <w:szCs w:val="20"/>
        </w:rPr>
      </w:pPr>
      <w:r>
        <w:rPr>
          <w:rFonts w:ascii="Arial" w:eastAsia="Arial" w:hAnsi="Arial" w:cs="Arial"/>
          <w:sz w:val="20"/>
          <w:szCs w:val="20"/>
        </w:rPr>
        <w:t xml:space="preserve">Fourier Transform Infrared (FTIR) spectroscopy provided deeper insights into the functional groups involved in the biosynthesis and stabilization of </w:t>
      </w:r>
      <w:proofErr w:type="spellStart"/>
      <w:r>
        <w:rPr>
          <w:rFonts w:ascii="Arial" w:eastAsia="Arial" w:hAnsi="Arial" w:cs="Arial"/>
          <w:sz w:val="20"/>
          <w:szCs w:val="20"/>
        </w:rPr>
        <w:t>AgNPs</w:t>
      </w:r>
      <w:proofErr w:type="spellEnd"/>
      <w:r>
        <w:rPr>
          <w:rFonts w:ascii="Arial" w:eastAsia="Arial" w:hAnsi="Arial" w:cs="Arial"/>
          <w:sz w:val="20"/>
          <w:szCs w:val="20"/>
        </w:rPr>
        <w:t xml:space="preserve"> within the Carbopol matrix. The FTIR spectrum of the nanocomposite exhibited a strong and broad O–H stretching vibration at 3315.63cm</w:t>
      </w:r>
      <w:r>
        <w:rPr>
          <w:rFonts w:ascii="Cambria Math" w:eastAsia="Cambria Math" w:hAnsi="Cambria Math" w:cs="Cambria Math"/>
          <w:sz w:val="20"/>
          <w:szCs w:val="20"/>
        </w:rPr>
        <w:t>⁻</w:t>
      </w:r>
      <w:r>
        <w:rPr>
          <w:rFonts w:ascii="Arial" w:eastAsia="Arial" w:hAnsi="Arial" w:cs="Arial"/>
          <w:sz w:val="20"/>
          <w:szCs w:val="20"/>
        </w:rPr>
        <w:t xml:space="preserve">¹, indicative of hydroxyl groups </w:t>
      </w:r>
      <w:proofErr w:type="gramStart"/>
      <w:r>
        <w:rPr>
          <w:rFonts w:ascii="Arial" w:eastAsia="Arial" w:hAnsi="Arial" w:cs="Arial"/>
          <w:sz w:val="20"/>
          <w:szCs w:val="20"/>
        </w:rPr>
        <w:t>present</w:t>
      </w:r>
      <w:proofErr w:type="gramEnd"/>
      <w:r>
        <w:rPr>
          <w:rFonts w:ascii="Arial" w:eastAsia="Arial" w:hAnsi="Arial" w:cs="Arial"/>
          <w:sz w:val="20"/>
          <w:szCs w:val="20"/>
        </w:rPr>
        <w:t xml:space="preserve"> in alcohols, phenols, and the carboxylic groups of Carbopol. These hydroxyl groups likely played a critical role in nanoparticle stabilization via hydrogen bonding with the nanoparticle surface. A band at 2937.59cm</w:t>
      </w:r>
      <w:r>
        <w:rPr>
          <w:rFonts w:ascii="Cambria Math" w:eastAsia="Cambria Math" w:hAnsi="Cambria Math" w:cs="Cambria Math"/>
          <w:sz w:val="20"/>
          <w:szCs w:val="20"/>
        </w:rPr>
        <w:t>⁻</w:t>
      </w:r>
      <w:r>
        <w:rPr>
          <w:rFonts w:ascii="Arial" w:eastAsia="Arial" w:hAnsi="Arial" w:cs="Arial"/>
          <w:sz w:val="20"/>
          <w:szCs w:val="20"/>
        </w:rPr>
        <w:t>¹, corresponding to C–H stretching, confirmed the presence of aliphatic chains within the Carbopol backbone. Importantly, a sharp peak at 1726.29cm</w:t>
      </w:r>
      <w:r>
        <w:rPr>
          <w:rFonts w:ascii="Cambria Math" w:eastAsia="Cambria Math" w:hAnsi="Cambria Math" w:cs="Cambria Math"/>
          <w:sz w:val="20"/>
          <w:szCs w:val="20"/>
        </w:rPr>
        <w:t>⁻</w:t>
      </w:r>
      <w:r>
        <w:rPr>
          <w:rFonts w:ascii="Arial" w:eastAsia="Arial" w:hAnsi="Arial" w:cs="Arial"/>
          <w:sz w:val="20"/>
          <w:szCs w:val="20"/>
        </w:rPr>
        <w:t>¹ corresponded to C=O stretching vibrations from carboxylic acid groups, suggesting their involvement in silver ion coordination and reduction. In addition to polymeric interactions, evidence from FTIR data showed the involvement of microbial proteins in the formation and stabilization of silver nanoparticles. The amide I band observed at 1641.07cm</w:t>
      </w:r>
      <w:r>
        <w:rPr>
          <w:rFonts w:ascii="Cambria Math" w:eastAsia="Cambria Math" w:hAnsi="Cambria Math" w:cs="Cambria Math"/>
          <w:sz w:val="20"/>
          <w:szCs w:val="20"/>
        </w:rPr>
        <w:t>⁻</w:t>
      </w:r>
      <w:r>
        <w:rPr>
          <w:rFonts w:ascii="Arial" w:eastAsia="Arial" w:hAnsi="Arial" w:cs="Arial"/>
          <w:sz w:val="20"/>
          <w:szCs w:val="20"/>
        </w:rPr>
        <w:t xml:space="preserve">¹ is typically attributed to C=O stretching in the peptide backbone of proteins and indicates the presence of microbial secretions from </w:t>
      </w:r>
      <w:r>
        <w:rPr>
          <w:rFonts w:ascii="Arial" w:eastAsia="Arial" w:hAnsi="Arial" w:cs="Arial"/>
          <w:i/>
          <w:sz w:val="20"/>
          <w:szCs w:val="20"/>
        </w:rPr>
        <w:t xml:space="preserve">L. </w:t>
      </w:r>
      <w:proofErr w:type="spellStart"/>
      <w:r>
        <w:rPr>
          <w:rFonts w:ascii="Arial" w:eastAsia="Arial" w:hAnsi="Arial" w:cs="Arial"/>
          <w:i/>
          <w:sz w:val="20"/>
          <w:szCs w:val="20"/>
        </w:rPr>
        <w:t>gasseri</w:t>
      </w:r>
      <w:proofErr w:type="spellEnd"/>
      <w:r>
        <w:rPr>
          <w:rFonts w:ascii="Arial" w:eastAsia="Arial" w:hAnsi="Arial" w:cs="Arial"/>
          <w:sz w:val="20"/>
          <w:szCs w:val="20"/>
        </w:rPr>
        <w:t>. These proteins likely served as reducing and capping agents during biosynthesis, guiding nanoparticle formation while preventing aggregation (</w:t>
      </w:r>
      <w:proofErr w:type="spellStart"/>
      <w:r>
        <w:rPr>
          <w:rFonts w:ascii="Arial" w:eastAsia="Arial" w:hAnsi="Arial" w:cs="Arial"/>
          <w:sz w:val="20"/>
          <w:szCs w:val="20"/>
        </w:rPr>
        <w:t>Shameli</w:t>
      </w:r>
      <w:proofErr w:type="spellEnd"/>
      <w:r w:rsidR="004F4038">
        <w:rPr>
          <w:rFonts w:ascii="Arial" w:eastAsia="Arial" w:hAnsi="Arial" w:cs="Arial"/>
          <w:sz w:val="20"/>
          <w:szCs w:val="20"/>
        </w:rPr>
        <w:t xml:space="preserve"> </w:t>
      </w:r>
      <w:r>
        <w:rPr>
          <w:rFonts w:ascii="Arial" w:eastAsia="Arial" w:hAnsi="Arial" w:cs="Arial"/>
          <w:i/>
          <w:sz w:val="20"/>
          <w:szCs w:val="20"/>
        </w:rPr>
        <w:t>et al</w:t>
      </w:r>
      <w:r>
        <w:rPr>
          <w:rFonts w:ascii="Arial" w:eastAsia="Arial" w:hAnsi="Arial" w:cs="Arial"/>
          <w:sz w:val="20"/>
          <w:szCs w:val="20"/>
        </w:rPr>
        <w:t xml:space="preserve"> 2012). The C–O–C stretching vibration at 1244.09cm</w:t>
      </w:r>
      <w:r>
        <w:rPr>
          <w:rFonts w:ascii="Cambria Math" w:eastAsia="Cambria Math" w:hAnsi="Cambria Math" w:cs="Cambria Math"/>
          <w:sz w:val="20"/>
          <w:szCs w:val="20"/>
        </w:rPr>
        <w:t>⁻</w:t>
      </w:r>
      <w:r>
        <w:rPr>
          <w:rFonts w:ascii="Arial" w:eastAsia="Arial" w:hAnsi="Arial" w:cs="Arial"/>
          <w:sz w:val="20"/>
          <w:szCs w:val="20"/>
        </w:rPr>
        <w:t>¹ and the peaks at 1041.56, 981.77, and 704.02cm</w:t>
      </w:r>
      <w:r>
        <w:rPr>
          <w:rFonts w:ascii="Cambria Math" w:eastAsia="Cambria Math" w:hAnsi="Cambria Math" w:cs="Cambria Math"/>
          <w:sz w:val="20"/>
          <w:szCs w:val="20"/>
        </w:rPr>
        <w:t>⁻</w:t>
      </w:r>
      <w:r>
        <w:rPr>
          <w:rFonts w:ascii="Arial" w:eastAsia="Arial" w:hAnsi="Arial" w:cs="Arial"/>
          <w:sz w:val="20"/>
          <w:szCs w:val="20"/>
        </w:rPr>
        <w:t>¹ were attributed to Carbopol’s ether linkages and polymer skeletal vibrations, confirming that the polymer structure remained intact post-synthesis. Additionally, the minor peak at 925.83cm</w:t>
      </w:r>
      <w:r>
        <w:rPr>
          <w:rFonts w:ascii="Cambria Math" w:eastAsia="Cambria Math" w:hAnsi="Cambria Math" w:cs="Cambria Math"/>
          <w:sz w:val="20"/>
          <w:szCs w:val="20"/>
        </w:rPr>
        <w:t>⁻</w:t>
      </w:r>
      <w:r>
        <w:rPr>
          <w:rFonts w:ascii="Arial" w:eastAsia="Arial" w:hAnsi="Arial" w:cs="Arial"/>
          <w:sz w:val="20"/>
          <w:szCs w:val="20"/>
        </w:rPr>
        <w:t>¹ indicated out-of-plane bending motions, further supporting strong nanoparticle–polymer interactions.</w:t>
      </w:r>
    </w:p>
    <w:p w:rsidR="00DF4267" w:rsidRDefault="00394AF5" w:rsidP="00394AF5">
      <w:pPr>
        <w:pStyle w:val="Normal1"/>
        <w:jc w:val="center"/>
        <w:rPr>
          <w:rFonts w:ascii="Arial" w:eastAsia="Arial" w:hAnsi="Arial" w:cs="Arial"/>
          <w:sz w:val="20"/>
          <w:szCs w:val="20"/>
        </w:rPr>
      </w:pPr>
      <w:r>
        <w:rPr>
          <w:rFonts w:ascii="Arial" w:eastAsia="Arial" w:hAnsi="Arial" w:cs="Arial"/>
          <w:noProof/>
          <w:sz w:val="20"/>
          <w:szCs w:val="20"/>
          <w:lang w:val="en-US"/>
        </w:rPr>
        <w:drawing>
          <wp:inline distT="0" distB="0" distL="0" distR="0">
            <wp:extent cx="5428694" cy="3995697"/>
            <wp:effectExtent l="19050" t="19050" r="635" b="508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25119" cy="3993066"/>
                    </a:xfrm>
                    <a:prstGeom prst="rect">
                      <a:avLst/>
                    </a:prstGeom>
                    <a:noFill/>
                    <a:ln>
                      <a:solidFill>
                        <a:schemeClr val="tx1"/>
                      </a:solidFill>
                    </a:ln>
                  </pic:spPr>
                </pic:pic>
              </a:graphicData>
            </a:graphic>
          </wp:inline>
        </w:drawing>
      </w:r>
    </w:p>
    <w:p w:rsidR="00DF4267" w:rsidRDefault="00394AF5">
      <w:pPr>
        <w:pStyle w:val="Normal1"/>
        <w:jc w:val="center"/>
        <w:rPr>
          <w:rFonts w:ascii="Arial" w:eastAsia="Arial" w:hAnsi="Arial" w:cs="Arial"/>
          <w:b/>
          <w:sz w:val="20"/>
          <w:szCs w:val="20"/>
        </w:rPr>
      </w:pPr>
      <w:r>
        <w:rPr>
          <w:rFonts w:ascii="Arial" w:eastAsia="Arial" w:hAnsi="Arial" w:cs="Arial"/>
          <w:b/>
          <w:sz w:val="20"/>
          <w:szCs w:val="20"/>
        </w:rPr>
        <w:t xml:space="preserve">Fig.2. </w:t>
      </w:r>
      <w:r w:rsidRPr="00394AF5">
        <w:rPr>
          <w:rFonts w:ascii="Arial" w:eastAsia="Arial" w:hAnsi="Arial" w:cs="Arial"/>
          <w:b/>
          <w:sz w:val="20"/>
          <w:szCs w:val="20"/>
        </w:rPr>
        <w:t xml:space="preserve">Characterization of synthesized nanoparticles: (a) visual appearance of </w:t>
      </w:r>
      <w:proofErr w:type="spellStart"/>
      <w:r>
        <w:rPr>
          <w:rFonts w:ascii="Arial" w:eastAsia="Arial" w:hAnsi="Arial" w:cs="Arial"/>
          <w:b/>
          <w:sz w:val="20"/>
          <w:szCs w:val="20"/>
        </w:rPr>
        <w:t>carbopol</w:t>
      </w:r>
      <w:proofErr w:type="spellEnd"/>
      <w:r>
        <w:rPr>
          <w:rFonts w:ascii="Arial" w:eastAsia="Arial" w:hAnsi="Arial" w:cs="Arial"/>
          <w:b/>
          <w:sz w:val="20"/>
          <w:szCs w:val="20"/>
        </w:rPr>
        <w:t xml:space="preserve"> silver </w:t>
      </w:r>
      <w:proofErr w:type="spellStart"/>
      <w:r>
        <w:rPr>
          <w:rFonts w:ascii="Arial" w:eastAsia="Arial" w:hAnsi="Arial" w:cs="Arial"/>
          <w:b/>
          <w:sz w:val="20"/>
          <w:szCs w:val="20"/>
        </w:rPr>
        <w:t>nanoemulsion</w:t>
      </w:r>
      <w:proofErr w:type="spellEnd"/>
      <w:r>
        <w:rPr>
          <w:rFonts w:ascii="Arial" w:eastAsia="Arial" w:hAnsi="Arial" w:cs="Arial"/>
          <w:b/>
          <w:sz w:val="20"/>
          <w:szCs w:val="20"/>
        </w:rPr>
        <w:t xml:space="preserve"> </w:t>
      </w:r>
      <w:r w:rsidRPr="00394AF5">
        <w:rPr>
          <w:rFonts w:ascii="Arial" w:eastAsia="Arial" w:hAnsi="Arial" w:cs="Arial"/>
          <w:b/>
          <w:sz w:val="20"/>
          <w:szCs w:val="20"/>
        </w:rPr>
        <w:t xml:space="preserve">and supernatant after synthesis, (b) UV–Visible spectrum showing surface </w:t>
      </w:r>
      <w:r w:rsidRPr="00394AF5">
        <w:rPr>
          <w:rFonts w:ascii="Arial" w:eastAsia="Arial" w:hAnsi="Arial" w:cs="Arial"/>
          <w:b/>
          <w:sz w:val="20"/>
          <w:szCs w:val="20"/>
        </w:rPr>
        <w:lastRenderedPageBreak/>
        <w:t>plasmon resonance peak at 458 nm, (c) FTIR spectrum indicating functional groups responsible for stabilization, and (d) SEM image showing nanoparticle morphology.</w:t>
      </w:r>
    </w:p>
    <w:p w:rsidR="00DF4267" w:rsidRDefault="00A21A5F">
      <w:pPr>
        <w:pStyle w:val="Normal1"/>
        <w:jc w:val="both"/>
        <w:rPr>
          <w:rFonts w:ascii="Arial" w:eastAsia="Arial" w:hAnsi="Arial" w:cs="Arial"/>
          <w:sz w:val="20"/>
          <w:szCs w:val="20"/>
        </w:rPr>
      </w:pPr>
      <w:r>
        <w:rPr>
          <w:rFonts w:ascii="Arial" w:eastAsia="Arial" w:hAnsi="Arial" w:cs="Arial"/>
          <w:sz w:val="20"/>
          <w:szCs w:val="20"/>
        </w:rPr>
        <w:t xml:space="preserve">Scanning Electron Microscopy (SEM) was employed to visualize the morphological features and size distribution of the synthesized silver nanocomposites. SEM images revealed that the nanoparticles exhibited relatively uniform spherical morphology with diameters ranging between 60nm and 140nm. This uniformity in shape and size demonstrates the efficiency of both </w:t>
      </w:r>
      <w:r>
        <w:rPr>
          <w:rFonts w:ascii="Arial" w:eastAsia="Arial" w:hAnsi="Arial" w:cs="Arial"/>
          <w:i/>
          <w:sz w:val="20"/>
          <w:szCs w:val="20"/>
        </w:rPr>
        <w:t xml:space="preserve">L. </w:t>
      </w:r>
      <w:proofErr w:type="spellStart"/>
      <w:r>
        <w:rPr>
          <w:rFonts w:ascii="Arial" w:eastAsia="Arial" w:hAnsi="Arial" w:cs="Arial"/>
          <w:i/>
          <w:sz w:val="20"/>
          <w:szCs w:val="20"/>
        </w:rPr>
        <w:t>gasseri</w:t>
      </w:r>
      <w:proofErr w:type="spellEnd"/>
      <w:r>
        <w:rPr>
          <w:rFonts w:ascii="Arial" w:eastAsia="Arial" w:hAnsi="Arial" w:cs="Arial"/>
          <w:sz w:val="20"/>
          <w:szCs w:val="20"/>
        </w:rPr>
        <w:t xml:space="preserve"> metabolites and Carbopol in directing nanoparticle formation and stabilization. The images also showed that the nanoparticles were embedded within a smooth and clustered polymer matrix, likely formed due to the presence of biological macromolecules and Carbopol polymer chains. These structural attributes support their application in biomedical formulations where uniformity and nanoscale dimensions are essential for consistent biological activity and interaction. The biosynthesized Carbopol–silver nanocomposites present significant advantages in terms of stability, biocompatibility, and potential application scope. The presence of biomolecules such as proteins and polysaccharides from </w:t>
      </w:r>
      <w:r>
        <w:rPr>
          <w:rFonts w:ascii="Arial" w:eastAsia="Arial" w:hAnsi="Arial" w:cs="Arial"/>
          <w:i/>
          <w:sz w:val="20"/>
          <w:szCs w:val="20"/>
        </w:rPr>
        <w:t xml:space="preserve">L. </w:t>
      </w:r>
      <w:proofErr w:type="spellStart"/>
      <w:r>
        <w:rPr>
          <w:rFonts w:ascii="Arial" w:eastAsia="Arial" w:hAnsi="Arial" w:cs="Arial"/>
          <w:i/>
          <w:sz w:val="20"/>
          <w:szCs w:val="20"/>
        </w:rPr>
        <w:t>gasseri</w:t>
      </w:r>
      <w:proofErr w:type="spellEnd"/>
      <w:r>
        <w:rPr>
          <w:rFonts w:ascii="Arial" w:eastAsia="Arial" w:hAnsi="Arial" w:cs="Arial"/>
          <w:sz w:val="20"/>
          <w:szCs w:val="20"/>
        </w:rPr>
        <w:t xml:space="preserve"> provides an eco-friendly, non-toxic approach to nanoparticle production. Coupling this with Carbopol not only improves the rheological and structural properties of the system but also ensures sustained release and targeted delivery of silver nanoparticles. The small particle size, combined with the stability imparted by Carbopol and biological capping agents, results in a formulation that can be effectively used in antimicrobial gels, wound dressings, and cosmeceuticals. The antibacterial potential of </w:t>
      </w:r>
      <w:proofErr w:type="spellStart"/>
      <w:r>
        <w:rPr>
          <w:rFonts w:ascii="Arial" w:eastAsia="Arial" w:hAnsi="Arial" w:cs="Arial"/>
          <w:sz w:val="20"/>
          <w:szCs w:val="20"/>
        </w:rPr>
        <w:t>AgNPs</w:t>
      </w:r>
      <w:proofErr w:type="spellEnd"/>
      <w:r>
        <w:rPr>
          <w:rFonts w:ascii="Arial" w:eastAsia="Arial" w:hAnsi="Arial" w:cs="Arial"/>
          <w:sz w:val="20"/>
          <w:szCs w:val="20"/>
        </w:rPr>
        <w:t xml:space="preserve"> against both Gram-positive and Gram-negative pathogens, along with their synergistic action with biological carriers, opens new avenues for developing safe and efficient </w:t>
      </w:r>
      <w:proofErr w:type="spellStart"/>
      <w:r>
        <w:rPr>
          <w:rFonts w:ascii="Arial" w:eastAsia="Arial" w:hAnsi="Arial" w:cs="Arial"/>
          <w:sz w:val="20"/>
          <w:szCs w:val="20"/>
        </w:rPr>
        <w:t>nanoformulations</w:t>
      </w:r>
      <w:proofErr w:type="spellEnd"/>
      <w:r>
        <w:rPr>
          <w:rFonts w:ascii="Arial" w:eastAsia="Arial" w:hAnsi="Arial" w:cs="Arial"/>
          <w:sz w:val="20"/>
          <w:szCs w:val="20"/>
        </w:rPr>
        <w:t xml:space="preserve"> (Rai </w:t>
      </w:r>
      <w:r>
        <w:rPr>
          <w:rFonts w:ascii="Arial" w:eastAsia="Arial" w:hAnsi="Arial" w:cs="Arial"/>
          <w:i/>
          <w:sz w:val="20"/>
          <w:szCs w:val="20"/>
        </w:rPr>
        <w:t>et al</w:t>
      </w:r>
      <w:r>
        <w:rPr>
          <w:rFonts w:ascii="Arial" w:eastAsia="Arial" w:hAnsi="Arial" w:cs="Arial"/>
          <w:sz w:val="20"/>
          <w:szCs w:val="20"/>
        </w:rPr>
        <w:t xml:space="preserve"> 2016; </w:t>
      </w:r>
      <w:proofErr w:type="spellStart"/>
      <w:r>
        <w:rPr>
          <w:rFonts w:ascii="Arial" w:eastAsia="Arial" w:hAnsi="Arial" w:cs="Arial"/>
          <w:sz w:val="20"/>
          <w:szCs w:val="20"/>
        </w:rPr>
        <w:t>Franci</w:t>
      </w:r>
      <w:proofErr w:type="spellEnd"/>
      <w:r w:rsidR="004F4038">
        <w:rPr>
          <w:rFonts w:ascii="Arial" w:eastAsia="Arial" w:hAnsi="Arial" w:cs="Arial"/>
          <w:sz w:val="20"/>
          <w:szCs w:val="20"/>
        </w:rPr>
        <w:t xml:space="preserve"> </w:t>
      </w:r>
      <w:r>
        <w:rPr>
          <w:rFonts w:ascii="Arial" w:eastAsia="Arial" w:hAnsi="Arial" w:cs="Arial"/>
          <w:i/>
          <w:sz w:val="20"/>
          <w:szCs w:val="20"/>
        </w:rPr>
        <w:t>et al</w:t>
      </w:r>
      <w:r>
        <w:rPr>
          <w:rFonts w:ascii="Arial" w:eastAsia="Arial" w:hAnsi="Arial" w:cs="Arial"/>
          <w:sz w:val="20"/>
          <w:szCs w:val="20"/>
        </w:rPr>
        <w:t xml:space="preserve"> 2015; Singh </w:t>
      </w:r>
      <w:r>
        <w:rPr>
          <w:rFonts w:ascii="Arial" w:eastAsia="Arial" w:hAnsi="Arial" w:cs="Arial"/>
          <w:i/>
          <w:sz w:val="20"/>
          <w:szCs w:val="20"/>
        </w:rPr>
        <w:t>et al</w:t>
      </w:r>
      <w:r>
        <w:rPr>
          <w:rFonts w:ascii="Arial" w:eastAsia="Arial" w:hAnsi="Arial" w:cs="Arial"/>
          <w:sz w:val="20"/>
          <w:szCs w:val="20"/>
        </w:rPr>
        <w:t xml:space="preserve"> 2018).</w:t>
      </w:r>
    </w:p>
    <w:p w:rsidR="00DF4267" w:rsidRDefault="00A21A5F">
      <w:pPr>
        <w:pStyle w:val="Normal1"/>
        <w:numPr>
          <w:ilvl w:val="1"/>
          <w:numId w:val="1"/>
        </w:numPr>
        <w:pBdr>
          <w:top w:val="nil"/>
          <w:left w:val="nil"/>
          <w:bottom w:val="nil"/>
          <w:right w:val="nil"/>
          <w:between w:val="nil"/>
        </w:pBdr>
        <w:ind w:left="720"/>
        <w:jc w:val="both"/>
        <w:rPr>
          <w:rFonts w:ascii="Arial" w:eastAsia="Arial" w:hAnsi="Arial" w:cs="Arial"/>
          <w:b/>
          <w:color w:val="000000"/>
        </w:rPr>
      </w:pPr>
      <w:r>
        <w:rPr>
          <w:rFonts w:ascii="Arial" w:eastAsia="Arial" w:hAnsi="Arial" w:cs="Arial"/>
          <w:b/>
          <w:color w:val="000000"/>
        </w:rPr>
        <w:t>Anti- Biofilm Assay</w:t>
      </w:r>
    </w:p>
    <w:p w:rsidR="00DF4267" w:rsidRDefault="00A21A5F">
      <w:pPr>
        <w:pStyle w:val="Normal1"/>
        <w:jc w:val="both"/>
        <w:rPr>
          <w:rFonts w:ascii="Arial" w:eastAsia="Arial" w:hAnsi="Arial" w:cs="Arial"/>
          <w:sz w:val="20"/>
          <w:szCs w:val="20"/>
        </w:rPr>
      </w:pPr>
      <w:r>
        <w:rPr>
          <w:rFonts w:ascii="Arial" w:eastAsia="Arial" w:hAnsi="Arial" w:cs="Arial"/>
          <w:sz w:val="20"/>
          <w:szCs w:val="20"/>
        </w:rPr>
        <w:t>The anti-biofilm activity of silver nanoparticles (</w:t>
      </w:r>
      <w:proofErr w:type="spellStart"/>
      <w:r>
        <w:rPr>
          <w:rFonts w:ascii="Arial" w:eastAsia="Arial" w:hAnsi="Arial" w:cs="Arial"/>
          <w:sz w:val="20"/>
          <w:szCs w:val="20"/>
        </w:rPr>
        <w:t>AgNPs</w:t>
      </w:r>
      <w:proofErr w:type="spellEnd"/>
      <w:r>
        <w:rPr>
          <w:rFonts w:ascii="Arial" w:eastAsia="Arial" w:hAnsi="Arial" w:cs="Arial"/>
          <w:sz w:val="20"/>
          <w:szCs w:val="20"/>
        </w:rPr>
        <w:t xml:space="preserve">) synthesized using </w:t>
      </w:r>
      <w:r>
        <w:rPr>
          <w:rFonts w:ascii="Arial" w:eastAsia="Arial" w:hAnsi="Arial" w:cs="Arial"/>
          <w:i/>
          <w:sz w:val="20"/>
          <w:szCs w:val="20"/>
        </w:rPr>
        <w:t xml:space="preserve">Lactobacillus </w:t>
      </w:r>
      <w:proofErr w:type="spellStart"/>
      <w:r>
        <w:rPr>
          <w:rFonts w:ascii="Arial" w:eastAsia="Arial" w:hAnsi="Arial" w:cs="Arial"/>
          <w:i/>
          <w:sz w:val="20"/>
          <w:szCs w:val="20"/>
        </w:rPr>
        <w:t>gasseri</w:t>
      </w:r>
      <w:proofErr w:type="spellEnd"/>
      <w:r>
        <w:rPr>
          <w:rFonts w:ascii="Arial" w:eastAsia="Arial" w:hAnsi="Arial" w:cs="Arial"/>
          <w:sz w:val="20"/>
          <w:szCs w:val="20"/>
        </w:rPr>
        <w:t xml:space="preserve"> was assessed using the crystal violet staining method, with absorbance readings taken at 530nm. To understand how different </w:t>
      </w:r>
      <w:proofErr w:type="gramStart"/>
      <w:r>
        <w:rPr>
          <w:rFonts w:ascii="Arial" w:eastAsia="Arial" w:hAnsi="Arial" w:cs="Arial"/>
          <w:sz w:val="20"/>
          <w:szCs w:val="20"/>
        </w:rPr>
        <w:t>doses</w:t>
      </w:r>
      <w:proofErr w:type="gramEnd"/>
      <w:r>
        <w:rPr>
          <w:rFonts w:ascii="Arial" w:eastAsia="Arial" w:hAnsi="Arial" w:cs="Arial"/>
          <w:sz w:val="20"/>
          <w:szCs w:val="20"/>
        </w:rPr>
        <w:t xml:space="preserve"> affect biofilm formation, the assay was performed using a range of </w:t>
      </w:r>
      <w:proofErr w:type="spellStart"/>
      <w:r>
        <w:rPr>
          <w:rFonts w:ascii="Arial" w:eastAsia="Arial" w:hAnsi="Arial" w:cs="Arial"/>
          <w:sz w:val="20"/>
          <w:szCs w:val="20"/>
        </w:rPr>
        <w:t>AgNP</w:t>
      </w:r>
      <w:proofErr w:type="spellEnd"/>
      <w:r>
        <w:rPr>
          <w:rFonts w:ascii="Arial" w:eastAsia="Arial" w:hAnsi="Arial" w:cs="Arial"/>
          <w:sz w:val="20"/>
          <w:szCs w:val="20"/>
        </w:rPr>
        <w:t xml:space="preserve"> concentrations from 10µg/mL to 50µg/</w:t>
      </w:r>
      <w:proofErr w:type="spellStart"/>
      <w:r>
        <w:rPr>
          <w:rFonts w:ascii="Arial" w:eastAsia="Arial" w:hAnsi="Arial" w:cs="Arial"/>
          <w:sz w:val="20"/>
          <w:szCs w:val="20"/>
        </w:rPr>
        <w:t>mL.</w:t>
      </w:r>
      <w:proofErr w:type="spellEnd"/>
      <w:r>
        <w:rPr>
          <w:rFonts w:ascii="Arial" w:eastAsia="Arial" w:hAnsi="Arial" w:cs="Arial"/>
          <w:sz w:val="20"/>
          <w:szCs w:val="20"/>
        </w:rPr>
        <w:t xml:space="preserve"> In the control group—where no nanoparticles were added—the optical density (OD) value was 0.411, indicating strong biofilm formation. This served as a baseline (0% inhibition) against which the effects of nanoparticle treatment could be compared. As the concentration of </w:t>
      </w:r>
      <w:proofErr w:type="spellStart"/>
      <w:r>
        <w:rPr>
          <w:rFonts w:ascii="Arial" w:eastAsia="Arial" w:hAnsi="Arial" w:cs="Arial"/>
          <w:sz w:val="20"/>
          <w:szCs w:val="20"/>
        </w:rPr>
        <w:t>AgNPs</w:t>
      </w:r>
      <w:proofErr w:type="spellEnd"/>
      <w:r>
        <w:rPr>
          <w:rFonts w:ascii="Arial" w:eastAsia="Arial" w:hAnsi="Arial" w:cs="Arial"/>
          <w:sz w:val="20"/>
          <w:szCs w:val="20"/>
        </w:rPr>
        <w:t xml:space="preserve"> increased, there was a noticeable and progressive reduction in OD values, clearly suggesting a dose-dependent inhibition of biofilm formation. At 10µg/mL, the OD value dropped to 0.364, corresponding to an inhibition of 11.43%. With each step up in concentration, the inhibition became more distinct; 25.79% at 20µg/mL, 40.14% at 30µg/mL, and 46.22% at 40µg/</w:t>
      </w:r>
      <w:proofErr w:type="spellStart"/>
      <w:r>
        <w:rPr>
          <w:rFonts w:ascii="Arial" w:eastAsia="Arial" w:hAnsi="Arial" w:cs="Arial"/>
          <w:sz w:val="20"/>
          <w:szCs w:val="20"/>
        </w:rPr>
        <w:t>mL.</w:t>
      </w:r>
      <w:proofErr w:type="spellEnd"/>
      <w:r>
        <w:rPr>
          <w:rFonts w:ascii="Arial" w:eastAsia="Arial" w:hAnsi="Arial" w:cs="Arial"/>
          <w:sz w:val="20"/>
          <w:szCs w:val="20"/>
        </w:rPr>
        <w:t xml:space="preserve"> The most significant reduction was seen at the highest concentration tested (50µg/mL), which brought the OD down to 0.181 and achieved an impressive 55.96% inhibition. </w:t>
      </w:r>
    </w:p>
    <w:p w:rsidR="00DF4267" w:rsidRDefault="00A21A5F">
      <w:pPr>
        <w:pStyle w:val="Normal1"/>
        <w:jc w:val="both"/>
        <w:rPr>
          <w:rFonts w:ascii="Arial" w:eastAsia="Arial" w:hAnsi="Arial" w:cs="Arial"/>
          <w:sz w:val="20"/>
          <w:szCs w:val="20"/>
        </w:rPr>
      </w:pPr>
      <w:r>
        <w:rPr>
          <w:rFonts w:ascii="Times New Roman" w:eastAsia="Times New Roman" w:hAnsi="Times New Roman" w:cs="Times New Roman"/>
          <w:noProof/>
          <w:sz w:val="24"/>
          <w:szCs w:val="24"/>
          <w:lang w:val="en-US"/>
        </w:rPr>
        <w:lastRenderedPageBreak/>
        <w:drawing>
          <wp:inline distT="0" distB="0" distL="0" distR="0">
            <wp:extent cx="5608115" cy="3100581"/>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5608115" cy="3100581"/>
                    </a:xfrm>
                    <a:prstGeom prst="rect">
                      <a:avLst/>
                    </a:prstGeom>
                    <a:ln/>
                  </pic:spPr>
                </pic:pic>
              </a:graphicData>
            </a:graphic>
          </wp:inline>
        </w:drawing>
      </w:r>
    </w:p>
    <w:p w:rsidR="00DF4267" w:rsidRDefault="00A21A5F">
      <w:pPr>
        <w:pStyle w:val="Normal1"/>
        <w:jc w:val="center"/>
        <w:rPr>
          <w:rFonts w:ascii="Arial" w:eastAsia="Arial" w:hAnsi="Arial" w:cs="Arial"/>
          <w:b/>
          <w:sz w:val="20"/>
          <w:szCs w:val="20"/>
        </w:rPr>
      </w:pPr>
      <w:r>
        <w:rPr>
          <w:rFonts w:ascii="Arial" w:eastAsia="Arial" w:hAnsi="Arial" w:cs="Arial"/>
          <w:b/>
          <w:sz w:val="20"/>
          <w:szCs w:val="20"/>
        </w:rPr>
        <w:t>Fig.</w:t>
      </w:r>
      <w:r w:rsidR="00696D55">
        <w:rPr>
          <w:rFonts w:ascii="Arial" w:eastAsia="Arial" w:hAnsi="Arial" w:cs="Arial"/>
          <w:b/>
          <w:sz w:val="20"/>
          <w:szCs w:val="20"/>
        </w:rPr>
        <w:t>3</w:t>
      </w:r>
      <w:r>
        <w:rPr>
          <w:rFonts w:ascii="Arial" w:eastAsia="Arial" w:hAnsi="Arial" w:cs="Arial"/>
          <w:b/>
          <w:sz w:val="20"/>
          <w:szCs w:val="20"/>
        </w:rPr>
        <w:t xml:space="preserve">. Graph showing the percentage of Biofilm inhibition against different concentrations of </w:t>
      </w:r>
      <w:proofErr w:type="spellStart"/>
      <w:r>
        <w:rPr>
          <w:rFonts w:ascii="Arial" w:eastAsia="Arial" w:hAnsi="Arial" w:cs="Arial"/>
          <w:b/>
          <w:sz w:val="20"/>
          <w:szCs w:val="20"/>
        </w:rPr>
        <w:t>nanoemulsions</w:t>
      </w:r>
      <w:proofErr w:type="spellEnd"/>
    </w:p>
    <w:p w:rsidR="00DF4267" w:rsidRDefault="00A21A5F">
      <w:pPr>
        <w:pStyle w:val="Normal1"/>
        <w:jc w:val="both"/>
        <w:rPr>
          <w:rFonts w:ascii="Arial" w:eastAsia="Arial" w:hAnsi="Arial" w:cs="Arial"/>
          <w:sz w:val="20"/>
          <w:szCs w:val="20"/>
        </w:rPr>
      </w:pPr>
      <w:r>
        <w:rPr>
          <w:rFonts w:ascii="Arial" w:eastAsia="Arial" w:hAnsi="Arial" w:cs="Arial"/>
          <w:sz w:val="20"/>
          <w:szCs w:val="20"/>
        </w:rPr>
        <w:t xml:space="preserve">This increasing inhibition trend can be explained by the known mechanisms of silver nanoparticles. </w:t>
      </w:r>
      <w:proofErr w:type="spellStart"/>
      <w:r>
        <w:rPr>
          <w:rFonts w:ascii="Arial" w:eastAsia="Arial" w:hAnsi="Arial" w:cs="Arial"/>
          <w:sz w:val="20"/>
          <w:szCs w:val="20"/>
        </w:rPr>
        <w:t>AgNPs</w:t>
      </w:r>
      <w:proofErr w:type="spellEnd"/>
      <w:r>
        <w:rPr>
          <w:rFonts w:ascii="Arial" w:eastAsia="Arial" w:hAnsi="Arial" w:cs="Arial"/>
          <w:sz w:val="20"/>
          <w:szCs w:val="20"/>
        </w:rPr>
        <w:t xml:space="preserve"> are effective at interfering with quorum sensing—the process by which bacteria communicate to form biofilms—and they also disrupt the production of extracellular polymeric substances (EPS), which provide structural support to the biofilm (Durán et al., 2016). Their ultra-small size and high surface area allow them to penetrate deep into biofilm layers, making them more effective at breaking them down (Rai </w:t>
      </w:r>
      <w:r w:rsidRPr="008D556E">
        <w:rPr>
          <w:rFonts w:ascii="Arial" w:eastAsia="Arial" w:hAnsi="Arial" w:cs="Arial"/>
          <w:i/>
          <w:sz w:val="20"/>
          <w:szCs w:val="20"/>
        </w:rPr>
        <w:t>et al</w:t>
      </w:r>
      <w:r>
        <w:rPr>
          <w:rFonts w:ascii="Arial" w:eastAsia="Arial" w:hAnsi="Arial" w:cs="Arial"/>
          <w:sz w:val="20"/>
          <w:szCs w:val="20"/>
        </w:rPr>
        <w:t xml:space="preserve"> 2016). In addition, as the concentration increases, the interaction between the nanoparticles and bacterial cells intensifies. This often leads to oxidative stress and damage to bacterial membranes, which can prevent the bacteria from adhering and maturing into a full biofilm. These results are consistent with earlier findings where biosynthesized silver nanoparticles exhibited strong anti-biofilm effects against a variety of pathogens (</w:t>
      </w:r>
      <w:proofErr w:type="spellStart"/>
      <w:r>
        <w:rPr>
          <w:rFonts w:ascii="Arial" w:eastAsia="Arial" w:hAnsi="Arial" w:cs="Arial"/>
          <w:sz w:val="20"/>
          <w:szCs w:val="20"/>
        </w:rPr>
        <w:t>Kalishwaralal</w:t>
      </w:r>
      <w:proofErr w:type="spellEnd"/>
      <w:r w:rsidR="004F4038">
        <w:rPr>
          <w:rFonts w:ascii="Arial" w:eastAsia="Arial" w:hAnsi="Arial" w:cs="Arial"/>
          <w:sz w:val="20"/>
          <w:szCs w:val="20"/>
        </w:rPr>
        <w:t xml:space="preserve"> </w:t>
      </w:r>
      <w:r w:rsidRPr="008D556E">
        <w:rPr>
          <w:rFonts w:ascii="Arial" w:eastAsia="Arial" w:hAnsi="Arial" w:cs="Arial"/>
          <w:i/>
          <w:sz w:val="20"/>
          <w:szCs w:val="20"/>
        </w:rPr>
        <w:t>et al</w:t>
      </w:r>
      <w:r>
        <w:rPr>
          <w:rFonts w:ascii="Arial" w:eastAsia="Arial" w:hAnsi="Arial" w:cs="Arial"/>
          <w:sz w:val="20"/>
          <w:szCs w:val="20"/>
        </w:rPr>
        <w:t xml:space="preserve"> 2010).</w:t>
      </w:r>
    </w:p>
    <w:p w:rsidR="00DF4267" w:rsidRDefault="00A21A5F">
      <w:pPr>
        <w:pStyle w:val="Normal1"/>
        <w:numPr>
          <w:ilvl w:val="1"/>
          <w:numId w:val="1"/>
        </w:numPr>
        <w:pBdr>
          <w:top w:val="nil"/>
          <w:left w:val="nil"/>
          <w:bottom w:val="nil"/>
          <w:right w:val="nil"/>
          <w:between w:val="nil"/>
        </w:pBdr>
        <w:ind w:left="720"/>
        <w:jc w:val="both"/>
        <w:rPr>
          <w:rFonts w:ascii="Arial" w:eastAsia="Arial" w:hAnsi="Arial" w:cs="Arial"/>
          <w:b/>
          <w:color w:val="000000"/>
        </w:rPr>
      </w:pPr>
      <w:r>
        <w:rPr>
          <w:rFonts w:ascii="Arial" w:eastAsia="Arial" w:hAnsi="Arial" w:cs="Arial"/>
          <w:b/>
          <w:color w:val="000000"/>
        </w:rPr>
        <w:t>Assessment of Cell Viability by MTT assay</w:t>
      </w:r>
    </w:p>
    <w:p w:rsidR="00DF4267" w:rsidRDefault="00A21A5F">
      <w:pPr>
        <w:pStyle w:val="Normal1"/>
        <w:jc w:val="both"/>
        <w:rPr>
          <w:rFonts w:ascii="Arial" w:eastAsia="Arial" w:hAnsi="Arial" w:cs="Arial"/>
          <w:sz w:val="20"/>
          <w:szCs w:val="20"/>
        </w:rPr>
      </w:pPr>
      <w:r>
        <w:rPr>
          <w:rFonts w:ascii="Arial" w:eastAsia="Arial" w:hAnsi="Arial" w:cs="Arial"/>
          <w:sz w:val="20"/>
          <w:szCs w:val="20"/>
        </w:rPr>
        <w:t>To assess the safety profile of silver nanoparticles (</w:t>
      </w:r>
      <w:proofErr w:type="spellStart"/>
      <w:r>
        <w:rPr>
          <w:rFonts w:ascii="Arial" w:eastAsia="Arial" w:hAnsi="Arial" w:cs="Arial"/>
          <w:sz w:val="20"/>
          <w:szCs w:val="20"/>
        </w:rPr>
        <w:t>AgNPs</w:t>
      </w:r>
      <w:proofErr w:type="spellEnd"/>
      <w:r>
        <w:rPr>
          <w:rFonts w:ascii="Arial" w:eastAsia="Arial" w:hAnsi="Arial" w:cs="Arial"/>
          <w:sz w:val="20"/>
          <w:szCs w:val="20"/>
        </w:rPr>
        <w:t xml:space="preserve">) synthesized using </w:t>
      </w:r>
      <w:r>
        <w:rPr>
          <w:rFonts w:ascii="Arial" w:eastAsia="Arial" w:hAnsi="Arial" w:cs="Arial"/>
          <w:i/>
          <w:sz w:val="20"/>
          <w:szCs w:val="20"/>
        </w:rPr>
        <w:t xml:space="preserve">Lactobacillus </w:t>
      </w:r>
      <w:proofErr w:type="spellStart"/>
      <w:r>
        <w:rPr>
          <w:rFonts w:ascii="Arial" w:eastAsia="Arial" w:hAnsi="Arial" w:cs="Arial"/>
          <w:i/>
          <w:sz w:val="20"/>
          <w:szCs w:val="20"/>
        </w:rPr>
        <w:t>gasseri</w:t>
      </w:r>
      <w:proofErr w:type="spellEnd"/>
      <w:r>
        <w:rPr>
          <w:rFonts w:ascii="Arial" w:eastAsia="Arial" w:hAnsi="Arial" w:cs="Arial"/>
          <w:sz w:val="20"/>
          <w:szCs w:val="20"/>
        </w:rPr>
        <w:t xml:space="preserve">, a cell viability assay was conducted, with optical density (OD) readings taken at 570 nm. The results revealed a clear dose-dependent trend—higher concentrations of </w:t>
      </w:r>
      <w:proofErr w:type="spellStart"/>
      <w:r>
        <w:rPr>
          <w:rFonts w:ascii="Arial" w:eastAsia="Arial" w:hAnsi="Arial" w:cs="Arial"/>
          <w:sz w:val="20"/>
          <w:szCs w:val="20"/>
        </w:rPr>
        <w:t>AgNPs</w:t>
      </w:r>
      <w:proofErr w:type="spellEnd"/>
      <w:r>
        <w:rPr>
          <w:rFonts w:ascii="Arial" w:eastAsia="Arial" w:hAnsi="Arial" w:cs="Arial"/>
          <w:sz w:val="20"/>
          <w:szCs w:val="20"/>
        </w:rPr>
        <w:t xml:space="preserve"> led to lower OD values, indicating a gradual reduction in cell viability. The control group (untreated cells) showed the highest OD value of 0.506, confirming 100% cell viability and no cytotoxic effect. As the concentration of nanoparticles increased from 2 µg/mL to 10 µg/mL, OD values decreased from 0.449 to 0.407, corresponding to a viability reduction of approximately 11.26% to 19.56%. This slight decline in cell viability at lower nanoparticle concentrations suggests that the biosynthesized </w:t>
      </w:r>
      <w:proofErr w:type="spellStart"/>
      <w:r>
        <w:rPr>
          <w:rFonts w:ascii="Arial" w:eastAsia="Arial" w:hAnsi="Arial" w:cs="Arial"/>
          <w:sz w:val="20"/>
          <w:szCs w:val="20"/>
        </w:rPr>
        <w:t>AgNPs</w:t>
      </w:r>
      <w:proofErr w:type="spellEnd"/>
      <w:r>
        <w:rPr>
          <w:rFonts w:ascii="Arial" w:eastAsia="Arial" w:hAnsi="Arial" w:cs="Arial"/>
          <w:sz w:val="20"/>
          <w:szCs w:val="20"/>
        </w:rPr>
        <w:t xml:space="preserve"> are relatively biocompatible, especially when compared to their chemically synthesized counterparts. Previous research has shown that biologically derived </w:t>
      </w:r>
      <w:proofErr w:type="spellStart"/>
      <w:r>
        <w:rPr>
          <w:rFonts w:ascii="Arial" w:eastAsia="Arial" w:hAnsi="Arial" w:cs="Arial"/>
          <w:sz w:val="20"/>
          <w:szCs w:val="20"/>
        </w:rPr>
        <w:t>AgNPs</w:t>
      </w:r>
      <w:proofErr w:type="spellEnd"/>
      <w:r>
        <w:rPr>
          <w:rFonts w:ascii="Arial" w:eastAsia="Arial" w:hAnsi="Arial" w:cs="Arial"/>
          <w:sz w:val="20"/>
          <w:szCs w:val="20"/>
        </w:rPr>
        <w:t xml:space="preserve"> often have lower toxicity, largely due to the presence of natural capping agents such as proteins, enzymes, or other biomolecules from the microb</w:t>
      </w:r>
      <w:r w:rsidR="00A4178A">
        <w:rPr>
          <w:rFonts w:ascii="Arial" w:eastAsia="Arial" w:hAnsi="Arial" w:cs="Arial"/>
          <w:sz w:val="20"/>
          <w:szCs w:val="20"/>
        </w:rPr>
        <w:t>ial source (Agarwal et al</w:t>
      </w:r>
      <w:r>
        <w:rPr>
          <w:rFonts w:ascii="Arial" w:eastAsia="Arial" w:hAnsi="Arial" w:cs="Arial"/>
          <w:sz w:val="20"/>
          <w:szCs w:val="20"/>
        </w:rPr>
        <w:t xml:space="preserve"> 2017). In the case of </w:t>
      </w:r>
      <w:r>
        <w:rPr>
          <w:rFonts w:ascii="Arial" w:eastAsia="Arial" w:hAnsi="Arial" w:cs="Arial"/>
          <w:i/>
          <w:sz w:val="20"/>
          <w:szCs w:val="20"/>
        </w:rPr>
        <w:t xml:space="preserve">L. </w:t>
      </w:r>
      <w:proofErr w:type="spellStart"/>
      <w:r>
        <w:rPr>
          <w:rFonts w:ascii="Arial" w:eastAsia="Arial" w:hAnsi="Arial" w:cs="Arial"/>
          <w:i/>
          <w:sz w:val="20"/>
          <w:szCs w:val="20"/>
        </w:rPr>
        <w:t>gasseri</w:t>
      </w:r>
      <w:proofErr w:type="spellEnd"/>
      <w:r>
        <w:rPr>
          <w:rFonts w:ascii="Arial" w:eastAsia="Arial" w:hAnsi="Arial" w:cs="Arial"/>
          <w:sz w:val="20"/>
          <w:szCs w:val="20"/>
        </w:rPr>
        <w:t>, these organic molecules likely provide a protective layer around the nanoparticles, improving their compatibility with human cells.</w:t>
      </w:r>
    </w:p>
    <w:p w:rsidR="00DF4267" w:rsidRDefault="002C413A">
      <w:pPr>
        <w:pStyle w:val="Normal1"/>
        <w:jc w:val="center"/>
        <w:rPr>
          <w:rFonts w:ascii="Arial" w:eastAsia="Arial" w:hAnsi="Arial" w:cs="Arial"/>
          <w:sz w:val="20"/>
          <w:szCs w:val="20"/>
        </w:rPr>
      </w:pPr>
      <w:r>
        <w:rPr>
          <w:rFonts w:ascii="Arial" w:eastAsia="Arial" w:hAnsi="Arial" w:cs="Arial"/>
          <w:noProof/>
          <w:sz w:val="20"/>
          <w:szCs w:val="20"/>
          <w:lang w:val="en-US"/>
        </w:rPr>
        <w:lastRenderedPageBreak/>
        <w:drawing>
          <wp:inline distT="0" distB="0" distL="0" distR="0">
            <wp:extent cx="4894730" cy="2956128"/>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96351" cy="2957107"/>
                    </a:xfrm>
                    <a:prstGeom prst="rect">
                      <a:avLst/>
                    </a:prstGeom>
                    <a:noFill/>
                  </pic:spPr>
                </pic:pic>
              </a:graphicData>
            </a:graphic>
          </wp:inline>
        </w:drawing>
      </w:r>
    </w:p>
    <w:p w:rsidR="00DF4267" w:rsidRDefault="00A21A5F">
      <w:pPr>
        <w:pStyle w:val="Normal1"/>
        <w:jc w:val="center"/>
        <w:rPr>
          <w:rFonts w:ascii="Arial" w:eastAsia="Arial" w:hAnsi="Arial" w:cs="Arial"/>
          <w:b/>
          <w:sz w:val="20"/>
          <w:szCs w:val="20"/>
        </w:rPr>
      </w:pPr>
      <w:r>
        <w:rPr>
          <w:rFonts w:ascii="Arial" w:eastAsia="Arial" w:hAnsi="Arial" w:cs="Arial"/>
          <w:b/>
          <w:sz w:val="20"/>
          <w:szCs w:val="20"/>
        </w:rPr>
        <w:t>Fig.</w:t>
      </w:r>
      <w:r w:rsidR="00696D55">
        <w:rPr>
          <w:rFonts w:ascii="Arial" w:eastAsia="Arial" w:hAnsi="Arial" w:cs="Arial"/>
          <w:b/>
          <w:sz w:val="20"/>
          <w:szCs w:val="20"/>
        </w:rPr>
        <w:t>4</w:t>
      </w:r>
      <w:r>
        <w:rPr>
          <w:rFonts w:ascii="Arial" w:eastAsia="Arial" w:hAnsi="Arial" w:cs="Arial"/>
          <w:b/>
          <w:sz w:val="20"/>
          <w:szCs w:val="20"/>
        </w:rPr>
        <w:t xml:space="preserve">.Graph showing the </w:t>
      </w:r>
      <w:r w:rsidR="008B268E">
        <w:rPr>
          <w:rFonts w:ascii="Arial" w:eastAsia="Arial" w:hAnsi="Arial" w:cs="Arial"/>
          <w:b/>
          <w:sz w:val="20"/>
          <w:szCs w:val="20"/>
        </w:rPr>
        <w:t xml:space="preserve">effect of </w:t>
      </w:r>
      <w:proofErr w:type="spellStart"/>
      <w:r w:rsidR="008B268E">
        <w:rPr>
          <w:rFonts w:ascii="Arial" w:eastAsia="Arial" w:hAnsi="Arial" w:cs="Arial"/>
          <w:b/>
          <w:sz w:val="20"/>
          <w:szCs w:val="20"/>
        </w:rPr>
        <w:t>nanoemulsion</w:t>
      </w:r>
      <w:proofErr w:type="spellEnd"/>
      <w:r w:rsidR="008B268E">
        <w:rPr>
          <w:rFonts w:ascii="Arial" w:eastAsia="Arial" w:hAnsi="Arial" w:cs="Arial"/>
          <w:b/>
          <w:sz w:val="20"/>
          <w:szCs w:val="20"/>
        </w:rPr>
        <w:t xml:space="preserve"> concentration on cell v</w:t>
      </w:r>
      <w:r w:rsidR="008B268E" w:rsidRPr="008B268E">
        <w:rPr>
          <w:rFonts w:ascii="Arial" w:eastAsia="Arial" w:hAnsi="Arial" w:cs="Arial"/>
          <w:b/>
          <w:sz w:val="20"/>
          <w:szCs w:val="20"/>
        </w:rPr>
        <w:t>iability</w:t>
      </w:r>
    </w:p>
    <w:p w:rsidR="00DF4267" w:rsidRDefault="00A21A5F">
      <w:pPr>
        <w:pStyle w:val="Normal1"/>
        <w:jc w:val="both"/>
        <w:rPr>
          <w:rFonts w:ascii="Arial" w:eastAsia="Arial" w:hAnsi="Arial" w:cs="Arial"/>
          <w:sz w:val="20"/>
          <w:szCs w:val="20"/>
        </w:rPr>
      </w:pPr>
      <w:r>
        <w:rPr>
          <w:rFonts w:ascii="Arial" w:eastAsia="Arial" w:hAnsi="Arial" w:cs="Arial"/>
          <w:sz w:val="20"/>
          <w:szCs w:val="20"/>
        </w:rPr>
        <w:t xml:space="preserve">Additionally, the low cytotoxicity observed supports their potential use in biomedical applications, such as antimicrobial coatings, wound dressings, and drug delivery systems, where both safety and efficacy are critical. The mode of cytotoxicity commonly associated with </w:t>
      </w:r>
      <w:proofErr w:type="spellStart"/>
      <w:r>
        <w:rPr>
          <w:rFonts w:ascii="Arial" w:eastAsia="Arial" w:hAnsi="Arial" w:cs="Arial"/>
          <w:sz w:val="20"/>
          <w:szCs w:val="20"/>
        </w:rPr>
        <w:t>AgNPs</w:t>
      </w:r>
      <w:proofErr w:type="spellEnd"/>
      <w:r>
        <w:rPr>
          <w:rFonts w:ascii="Arial" w:eastAsia="Arial" w:hAnsi="Arial" w:cs="Arial"/>
          <w:sz w:val="20"/>
          <w:szCs w:val="20"/>
        </w:rPr>
        <w:t xml:space="preserve"> includes oxidative stress, damage to cell membranes, and interference with mitochondrial function. However, in this study, the nanoparticles remained well within safe biological limits up to a concentration of 10 µg/</w:t>
      </w:r>
      <w:proofErr w:type="spellStart"/>
      <w:r>
        <w:rPr>
          <w:rFonts w:ascii="Arial" w:eastAsia="Arial" w:hAnsi="Arial" w:cs="Arial"/>
          <w:sz w:val="20"/>
          <w:szCs w:val="20"/>
        </w:rPr>
        <w:t>mL.</w:t>
      </w:r>
      <w:proofErr w:type="spellEnd"/>
      <w:r>
        <w:rPr>
          <w:rFonts w:ascii="Arial" w:eastAsia="Arial" w:hAnsi="Arial" w:cs="Arial"/>
          <w:sz w:val="20"/>
          <w:szCs w:val="20"/>
        </w:rPr>
        <w:t xml:space="preserve"> These findings highlight the advantages of green synthesis methods in producing nanoparticles with controlled toxicity. The biogenic approach not only ensures better compatibility with living tissues but also aligns with environmentally sustainable practices. Importantly, the moderate cytotoxic effect observed here does not compromise the therapeutic potential of these </w:t>
      </w:r>
      <w:proofErr w:type="spellStart"/>
      <w:r>
        <w:rPr>
          <w:rFonts w:ascii="Arial" w:eastAsia="Arial" w:hAnsi="Arial" w:cs="Arial"/>
          <w:sz w:val="20"/>
          <w:szCs w:val="20"/>
        </w:rPr>
        <w:t>AgNPs</w:t>
      </w:r>
      <w:proofErr w:type="spellEnd"/>
      <w:r>
        <w:rPr>
          <w:rFonts w:ascii="Arial" w:eastAsia="Arial" w:hAnsi="Arial" w:cs="Arial"/>
          <w:sz w:val="20"/>
          <w:szCs w:val="20"/>
        </w:rPr>
        <w:t xml:space="preserve">, particularly at lower concentrations. In conclusion, silver nanoparticles synthesized from </w:t>
      </w:r>
      <w:r>
        <w:rPr>
          <w:rFonts w:ascii="Arial" w:eastAsia="Arial" w:hAnsi="Arial" w:cs="Arial"/>
          <w:i/>
          <w:sz w:val="20"/>
          <w:szCs w:val="20"/>
        </w:rPr>
        <w:t xml:space="preserve">Lactobacillus </w:t>
      </w:r>
      <w:proofErr w:type="spellStart"/>
      <w:r>
        <w:rPr>
          <w:rFonts w:ascii="Arial" w:eastAsia="Arial" w:hAnsi="Arial" w:cs="Arial"/>
          <w:i/>
          <w:sz w:val="20"/>
          <w:szCs w:val="20"/>
        </w:rPr>
        <w:t>gasseri</w:t>
      </w:r>
      <w:proofErr w:type="spellEnd"/>
      <w:r>
        <w:rPr>
          <w:rFonts w:ascii="Arial" w:eastAsia="Arial" w:hAnsi="Arial" w:cs="Arial"/>
          <w:sz w:val="20"/>
          <w:szCs w:val="20"/>
        </w:rPr>
        <w:t xml:space="preserve"> display acceptable cytotoxicity profiles and hold strong promise for further in vivo studies. Their </w:t>
      </w:r>
      <w:proofErr w:type="spellStart"/>
      <w:r>
        <w:rPr>
          <w:rFonts w:ascii="Arial" w:eastAsia="Arial" w:hAnsi="Arial" w:cs="Arial"/>
          <w:sz w:val="20"/>
          <w:szCs w:val="20"/>
        </w:rPr>
        <w:t>favorable</w:t>
      </w:r>
      <w:proofErr w:type="spellEnd"/>
      <w:r>
        <w:rPr>
          <w:rFonts w:ascii="Arial" w:eastAsia="Arial" w:hAnsi="Arial" w:cs="Arial"/>
          <w:sz w:val="20"/>
          <w:szCs w:val="20"/>
        </w:rPr>
        <w:t xml:space="preserve"> safety margin at lower doses makes them excellent candidates for developing next-generation antimicrobial and therapeutic agents with minimal adverse effects on host tissues.</w:t>
      </w:r>
    </w:p>
    <w:p w:rsidR="00DF4267" w:rsidRDefault="00A21A5F">
      <w:pPr>
        <w:pStyle w:val="Normal1"/>
        <w:keepNext/>
        <w:numPr>
          <w:ilvl w:val="0"/>
          <w:numId w:val="1"/>
        </w:numPr>
        <w:pBdr>
          <w:top w:val="nil"/>
          <w:left w:val="nil"/>
          <w:bottom w:val="nil"/>
          <w:right w:val="nil"/>
          <w:between w:val="nil"/>
        </w:pBdr>
        <w:spacing w:after="0" w:line="240" w:lineRule="auto"/>
        <w:ind w:left="360"/>
        <w:jc w:val="both"/>
        <w:rPr>
          <w:rFonts w:ascii="Arial" w:eastAsia="Arial" w:hAnsi="Arial" w:cs="Arial"/>
          <w:b/>
          <w:smallCaps/>
          <w:color w:val="000000"/>
        </w:rPr>
      </w:pPr>
      <w:r>
        <w:rPr>
          <w:rFonts w:ascii="Arial" w:eastAsia="Arial" w:hAnsi="Arial" w:cs="Arial"/>
          <w:b/>
          <w:smallCaps/>
          <w:color w:val="000000"/>
        </w:rPr>
        <w:t>Conclusion</w:t>
      </w:r>
    </w:p>
    <w:p w:rsidR="00DF4267" w:rsidRDefault="00DF4267">
      <w:pPr>
        <w:pStyle w:val="Normal1"/>
        <w:keepNext/>
        <w:pBdr>
          <w:top w:val="nil"/>
          <w:left w:val="nil"/>
          <w:bottom w:val="nil"/>
          <w:right w:val="nil"/>
          <w:between w:val="nil"/>
        </w:pBdr>
        <w:spacing w:after="0" w:line="240" w:lineRule="auto"/>
        <w:jc w:val="both"/>
        <w:rPr>
          <w:rFonts w:ascii="Arial" w:eastAsia="Arial" w:hAnsi="Arial" w:cs="Arial"/>
          <w:b/>
          <w:smallCaps/>
          <w:color w:val="000000"/>
        </w:rPr>
      </w:pPr>
    </w:p>
    <w:p w:rsidR="00DF4267" w:rsidRDefault="00A21A5F">
      <w:pPr>
        <w:pStyle w:val="Normal1"/>
        <w:jc w:val="both"/>
        <w:rPr>
          <w:rFonts w:ascii="Arial" w:eastAsia="Arial" w:hAnsi="Arial" w:cs="Arial"/>
          <w:sz w:val="20"/>
          <w:szCs w:val="20"/>
        </w:rPr>
      </w:pPr>
      <w:r>
        <w:rPr>
          <w:rFonts w:ascii="Arial" w:eastAsia="Arial" w:hAnsi="Arial" w:cs="Arial"/>
          <w:sz w:val="20"/>
          <w:szCs w:val="20"/>
        </w:rPr>
        <w:t>The current work proves that silver nanoparticles (</w:t>
      </w:r>
      <w:proofErr w:type="spellStart"/>
      <w:r>
        <w:rPr>
          <w:rFonts w:ascii="Arial" w:eastAsia="Arial" w:hAnsi="Arial" w:cs="Arial"/>
          <w:sz w:val="20"/>
          <w:szCs w:val="20"/>
        </w:rPr>
        <w:t>AgNPs</w:t>
      </w:r>
      <w:proofErr w:type="spellEnd"/>
      <w:r>
        <w:rPr>
          <w:rFonts w:ascii="Arial" w:eastAsia="Arial" w:hAnsi="Arial" w:cs="Arial"/>
          <w:sz w:val="20"/>
          <w:szCs w:val="20"/>
        </w:rPr>
        <w:t xml:space="preserve">) can be biosynthesized efficiently by using </w:t>
      </w:r>
      <w:r>
        <w:rPr>
          <w:rFonts w:ascii="Arial" w:eastAsia="Arial" w:hAnsi="Arial" w:cs="Arial"/>
          <w:i/>
          <w:sz w:val="20"/>
          <w:szCs w:val="20"/>
        </w:rPr>
        <w:t xml:space="preserve">Lactobacillus </w:t>
      </w:r>
      <w:proofErr w:type="spellStart"/>
      <w:r>
        <w:rPr>
          <w:rFonts w:ascii="Arial" w:eastAsia="Arial" w:hAnsi="Arial" w:cs="Arial"/>
          <w:i/>
          <w:sz w:val="20"/>
          <w:szCs w:val="20"/>
        </w:rPr>
        <w:t>gasseri</w:t>
      </w:r>
      <w:proofErr w:type="spellEnd"/>
      <w:r>
        <w:rPr>
          <w:rFonts w:ascii="Arial" w:eastAsia="Arial" w:hAnsi="Arial" w:cs="Arial"/>
          <w:sz w:val="20"/>
          <w:szCs w:val="20"/>
        </w:rPr>
        <w:t xml:space="preserve"> and can be successfully added into a polymer matrix of Carbopol 940 to obtain a stable nanocomposite. UV-Vis, FTIR, and SEM characterization confirmed the formation and stability of the synthesized </w:t>
      </w:r>
      <w:proofErr w:type="spellStart"/>
      <w:r>
        <w:rPr>
          <w:rFonts w:ascii="Arial" w:eastAsia="Arial" w:hAnsi="Arial" w:cs="Arial"/>
          <w:sz w:val="20"/>
          <w:szCs w:val="20"/>
        </w:rPr>
        <w:t>AgNPs</w:t>
      </w:r>
      <w:proofErr w:type="spellEnd"/>
      <w:r>
        <w:rPr>
          <w:rFonts w:ascii="Arial" w:eastAsia="Arial" w:hAnsi="Arial" w:cs="Arial"/>
          <w:sz w:val="20"/>
          <w:szCs w:val="20"/>
        </w:rPr>
        <w:t xml:space="preserve"> along with morphology. Acceptable anti-biofilm potential was found in nanocomposites, as a dose-dependent inhibition was observed against the microbial biofilms. Moreover, in the cell viability test, the biosynthesized </w:t>
      </w:r>
      <w:proofErr w:type="spellStart"/>
      <w:r>
        <w:rPr>
          <w:rFonts w:ascii="Arial" w:eastAsia="Arial" w:hAnsi="Arial" w:cs="Arial"/>
          <w:sz w:val="20"/>
          <w:szCs w:val="20"/>
        </w:rPr>
        <w:t>AgNPs</w:t>
      </w:r>
      <w:proofErr w:type="spellEnd"/>
      <w:r>
        <w:rPr>
          <w:rFonts w:ascii="Arial" w:eastAsia="Arial" w:hAnsi="Arial" w:cs="Arial"/>
          <w:sz w:val="20"/>
          <w:szCs w:val="20"/>
        </w:rPr>
        <w:t xml:space="preserve"> were shown to be biocompatible up to concentrations of 50, 100, and 150 which fall in line with their potential use in biomedical applications. Overall, the present findings indicate that stabilized in a Carbopol matrix, </w:t>
      </w:r>
      <w:r>
        <w:rPr>
          <w:rFonts w:ascii="Arial" w:eastAsia="Arial" w:hAnsi="Arial" w:cs="Arial"/>
          <w:i/>
          <w:sz w:val="20"/>
          <w:szCs w:val="20"/>
        </w:rPr>
        <w:t xml:space="preserve">L. </w:t>
      </w:r>
      <w:proofErr w:type="spellStart"/>
      <w:r>
        <w:rPr>
          <w:rFonts w:ascii="Arial" w:eastAsia="Arial" w:hAnsi="Arial" w:cs="Arial"/>
          <w:i/>
          <w:sz w:val="20"/>
          <w:szCs w:val="20"/>
        </w:rPr>
        <w:t>gasseri</w:t>
      </w:r>
      <w:proofErr w:type="spellEnd"/>
      <w:r>
        <w:rPr>
          <w:rFonts w:ascii="Arial" w:eastAsia="Arial" w:hAnsi="Arial" w:cs="Arial"/>
          <w:sz w:val="20"/>
          <w:szCs w:val="20"/>
        </w:rPr>
        <w:t xml:space="preserve"> derived </w:t>
      </w:r>
      <w:proofErr w:type="spellStart"/>
      <w:r>
        <w:rPr>
          <w:rFonts w:ascii="Arial" w:eastAsia="Arial" w:hAnsi="Arial" w:cs="Arial"/>
          <w:sz w:val="20"/>
          <w:szCs w:val="20"/>
        </w:rPr>
        <w:t>AgNPs</w:t>
      </w:r>
      <w:proofErr w:type="spellEnd"/>
      <w:r>
        <w:rPr>
          <w:rFonts w:ascii="Arial" w:eastAsia="Arial" w:hAnsi="Arial" w:cs="Arial"/>
          <w:sz w:val="20"/>
          <w:szCs w:val="20"/>
        </w:rPr>
        <w:t xml:space="preserve"> can emerge as efficient and safe products used in medical devices, wound healing formulations, and antimicrobial treatment. To truly confirm their clinical viability, future studies ought to aim at conducting in vivo tests as well as long-term stability.</w:t>
      </w:r>
    </w:p>
    <w:p w:rsidR="00DF4267" w:rsidRDefault="00DF4267">
      <w:pPr>
        <w:pStyle w:val="Normal1"/>
        <w:keepNext/>
        <w:pBdr>
          <w:top w:val="nil"/>
          <w:left w:val="nil"/>
          <w:bottom w:val="nil"/>
          <w:right w:val="nil"/>
          <w:between w:val="nil"/>
        </w:pBdr>
        <w:spacing w:after="0" w:line="240" w:lineRule="auto"/>
        <w:jc w:val="both"/>
        <w:rPr>
          <w:rFonts w:ascii="Arial" w:eastAsia="Arial" w:hAnsi="Arial" w:cs="Arial"/>
          <w:smallCaps/>
          <w:color w:val="000000"/>
          <w:sz w:val="20"/>
          <w:szCs w:val="20"/>
        </w:rPr>
      </w:pPr>
    </w:p>
    <w:p w:rsidR="00DF4267" w:rsidRDefault="00A21A5F">
      <w:pPr>
        <w:pStyle w:val="Normal1"/>
        <w:jc w:val="both"/>
        <w:rPr>
          <w:rFonts w:ascii="Arial" w:eastAsia="Arial" w:hAnsi="Arial" w:cs="Arial"/>
          <w:b/>
          <w:sz w:val="20"/>
          <w:szCs w:val="20"/>
        </w:rPr>
      </w:pPr>
      <w:r>
        <w:rPr>
          <w:rFonts w:ascii="Arial" w:eastAsia="Arial" w:hAnsi="Arial" w:cs="Arial"/>
          <w:b/>
          <w:sz w:val="20"/>
          <w:szCs w:val="20"/>
        </w:rPr>
        <w:t>DISCLAIMER (ARTIFICIAL INTELLIGENCE)</w:t>
      </w:r>
    </w:p>
    <w:p w:rsidR="00DF4267" w:rsidRDefault="00A21A5F">
      <w:pPr>
        <w:pStyle w:val="Normal1"/>
        <w:jc w:val="both"/>
        <w:rPr>
          <w:rFonts w:ascii="Arial" w:eastAsia="Arial" w:hAnsi="Arial" w:cs="Arial"/>
          <w:sz w:val="20"/>
          <w:szCs w:val="20"/>
        </w:rPr>
      </w:pPr>
      <w:r>
        <w:rPr>
          <w:rFonts w:ascii="Arial" w:eastAsia="Arial" w:hAnsi="Arial" w:cs="Arial"/>
          <w:sz w:val="20"/>
          <w:szCs w:val="20"/>
        </w:rPr>
        <w:lastRenderedPageBreak/>
        <w:t>Author(</w:t>
      </w:r>
      <w:proofErr w:type="gramStart"/>
      <w:r>
        <w:rPr>
          <w:rFonts w:ascii="Arial" w:eastAsia="Arial" w:hAnsi="Arial" w:cs="Arial"/>
          <w:sz w:val="20"/>
          <w:szCs w:val="20"/>
        </w:rPr>
        <w:t>s)  hereby</w:t>
      </w:r>
      <w:proofErr w:type="gramEnd"/>
      <w:r>
        <w:rPr>
          <w:rFonts w:ascii="Arial" w:eastAsia="Arial" w:hAnsi="Arial" w:cs="Arial"/>
          <w:sz w:val="20"/>
          <w:szCs w:val="20"/>
        </w:rPr>
        <w:t xml:space="preserve">  declare  that  NO  generative  AI technologies  such  as  Large  Language  Models (</w:t>
      </w:r>
      <w:proofErr w:type="spellStart"/>
      <w:r>
        <w:rPr>
          <w:rFonts w:ascii="Arial" w:eastAsia="Arial" w:hAnsi="Arial" w:cs="Arial"/>
          <w:sz w:val="20"/>
          <w:szCs w:val="20"/>
        </w:rPr>
        <w:t>ChatGPT</w:t>
      </w:r>
      <w:proofErr w:type="spellEnd"/>
      <w:r>
        <w:rPr>
          <w:rFonts w:ascii="Arial" w:eastAsia="Arial" w:hAnsi="Arial" w:cs="Arial"/>
          <w:sz w:val="20"/>
          <w:szCs w:val="20"/>
        </w:rPr>
        <w:t xml:space="preserve">,   COPILOT,   etc.)   and   text-to-image generators have been used during </w:t>
      </w:r>
      <w:proofErr w:type="gramStart"/>
      <w:r>
        <w:rPr>
          <w:rFonts w:ascii="Arial" w:eastAsia="Arial" w:hAnsi="Arial" w:cs="Arial"/>
          <w:sz w:val="20"/>
          <w:szCs w:val="20"/>
        </w:rPr>
        <w:t>the  writing</w:t>
      </w:r>
      <w:proofErr w:type="gramEnd"/>
      <w:r>
        <w:rPr>
          <w:rFonts w:ascii="Arial" w:eastAsia="Arial" w:hAnsi="Arial" w:cs="Arial"/>
          <w:sz w:val="20"/>
          <w:szCs w:val="20"/>
        </w:rPr>
        <w:t xml:space="preserve"> or editing of this manuscript.</w:t>
      </w:r>
    </w:p>
    <w:p w:rsidR="00DF4267" w:rsidRDefault="00A21A5F">
      <w:pPr>
        <w:pStyle w:val="Normal1"/>
        <w:spacing w:line="240" w:lineRule="auto"/>
        <w:jc w:val="both"/>
        <w:rPr>
          <w:rFonts w:ascii="Arial" w:eastAsia="Arial" w:hAnsi="Arial" w:cs="Arial"/>
          <w:b/>
        </w:rPr>
      </w:pPr>
      <w:r>
        <w:rPr>
          <w:rFonts w:ascii="Arial" w:eastAsia="Arial" w:hAnsi="Arial" w:cs="Arial"/>
          <w:b/>
        </w:rPr>
        <w:t>CONFLICTS OF INTEREST</w:t>
      </w:r>
    </w:p>
    <w:p w:rsidR="00DF4267" w:rsidRDefault="00A21A5F">
      <w:pPr>
        <w:pStyle w:val="Normal1"/>
        <w:spacing w:line="240" w:lineRule="auto"/>
        <w:jc w:val="both"/>
        <w:rPr>
          <w:rFonts w:ascii="Arial" w:eastAsia="Arial" w:hAnsi="Arial" w:cs="Arial"/>
          <w:sz w:val="20"/>
          <w:szCs w:val="20"/>
        </w:rPr>
      </w:pPr>
      <w:r>
        <w:rPr>
          <w:rFonts w:ascii="Arial" w:eastAsia="Arial" w:hAnsi="Arial" w:cs="Arial"/>
          <w:sz w:val="20"/>
          <w:szCs w:val="20"/>
        </w:rPr>
        <w:t xml:space="preserve"> The authors declare that there is no conflict of interest.</w:t>
      </w:r>
    </w:p>
    <w:p w:rsidR="00E05FBA" w:rsidRDefault="00E05FBA">
      <w:pPr>
        <w:pStyle w:val="Normal1"/>
        <w:spacing w:line="240" w:lineRule="auto"/>
        <w:jc w:val="both"/>
        <w:rPr>
          <w:rFonts w:ascii="Arial" w:eastAsia="Arial" w:hAnsi="Arial" w:cs="Arial"/>
          <w:sz w:val="20"/>
          <w:szCs w:val="20"/>
        </w:rPr>
      </w:pPr>
    </w:p>
    <w:p w:rsidR="00E05FBA" w:rsidRPr="00E05FBA" w:rsidRDefault="00E05FBA" w:rsidP="00E05FBA">
      <w:pPr>
        <w:pStyle w:val="Normal1"/>
        <w:spacing w:line="240" w:lineRule="auto"/>
        <w:jc w:val="both"/>
        <w:rPr>
          <w:rFonts w:ascii="Arial" w:eastAsia="Arial" w:hAnsi="Arial" w:cs="Arial"/>
          <w:sz w:val="20"/>
          <w:szCs w:val="20"/>
        </w:rPr>
      </w:pPr>
      <w:r w:rsidRPr="00E05FBA">
        <w:rPr>
          <w:rFonts w:ascii="Arial" w:eastAsia="Arial" w:hAnsi="Arial" w:cs="Arial"/>
          <w:sz w:val="20"/>
          <w:szCs w:val="20"/>
        </w:rPr>
        <w:t>COMPETING INTERESTS DISCLAIMER:</w:t>
      </w:r>
    </w:p>
    <w:p w:rsidR="00E05FBA" w:rsidRDefault="00E05FBA" w:rsidP="00E05FBA">
      <w:pPr>
        <w:pStyle w:val="Normal1"/>
        <w:spacing w:line="240" w:lineRule="auto"/>
        <w:jc w:val="both"/>
        <w:rPr>
          <w:rFonts w:ascii="Arial" w:eastAsia="Arial" w:hAnsi="Arial" w:cs="Arial"/>
          <w:sz w:val="20"/>
          <w:szCs w:val="20"/>
        </w:rPr>
      </w:pPr>
      <w:r w:rsidRPr="00E05FBA">
        <w:rPr>
          <w:rFonts w:ascii="Arial" w:eastAsia="Arial" w:hAnsi="Arial" w:cs="Arial"/>
          <w:sz w:val="20"/>
          <w:szCs w:val="20"/>
        </w:rPr>
        <w:t>Authors have declared that they have no known competing financial interests OR non-financial interests OR personal relationships that could have appeared to influence the work reported in this paper.</w:t>
      </w:r>
    </w:p>
    <w:p w:rsidR="00E05FBA" w:rsidRDefault="00E05FBA">
      <w:pPr>
        <w:pStyle w:val="Normal1"/>
        <w:spacing w:line="240" w:lineRule="auto"/>
        <w:jc w:val="both"/>
        <w:rPr>
          <w:rFonts w:ascii="Arial" w:eastAsia="Arial" w:hAnsi="Arial" w:cs="Arial"/>
          <w:sz w:val="20"/>
          <w:szCs w:val="20"/>
        </w:rPr>
      </w:pPr>
    </w:p>
    <w:p w:rsidR="00DF4267" w:rsidRDefault="00A21A5F">
      <w:pPr>
        <w:pStyle w:val="Normal1"/>
        <w:jc w:val="both"/>
        <w:rPr>
          <w:rFonts w:ascii="Arial" w:eastAsia="Arial" w:hAnsi="Arial" w:cs="Arial"/>
          <w:b/>
        </w:rPr>
      </w:pPr>
      <w:r>
        <w:rPr>
          <w:rFonts w:ascii="Arial" w:eastAsia="Arial" w:hAnsi="Arial" w:cs="Arial"/>
          <w:b/>
        </w:rPr>
        <w:t>REFERENCES</w:t>
      </w:r>
    </w:p>
    <w:p w:rsidR="00DF4267" w:rsidRDefault="00A21A5F">
      <w:pPr>
        <w:pStyle w:val="Normal1"/>
        <w:jc w:val="both"/>
        <w:rPr>
          <w:rFonts w:ascii="Arial" w:eastAsia="Arial" w:hAnsi="Arial" w:cs="Arial"/>
          <w:sz w:val="20"/>
          <w:szCs w:val="20"/>
        </w:rPr>
      </w:pPr>
      <w:r>
        <w:rPr>
          <w:rFonts w:ascii="Arial" w:eastAsia="Arial" w:hAnsi="Arial" w:cs="Arial"/>
          <w:sz w:val="20"/>
          <w:szCs w:val="20"/>
        </w:rPr>
        <w:t xml:space="preserve">Srinivasan, S., Jayaraman, A., Ramasamy, A., </w:t>
      </w:r>
      <w:proofErr w:type="spellStart"/>
      <w:r>
        <w:rPr>
          <w:rFonts w:ascii="Arial" w:eastAsia="Arial" w:hAnsi="Arial" w:cs="Arial"/>
          <w:sz w:val="20"/>
          <w:szCs w:val="20"/>
        </w:rPr>
        <w:t>Mohanraj</w:t>
      </w:r>
      <w:proofErr w:type="spellEnd"/>
      <w:r>
        <w:rPr>
          <w:rFonts w:ascii="Arial" w:eastAsia="Arial" w:hAnsi="Arial" w:cs="Arial"/>
          <w:sz w:val="20"/>
          <w:szCs w:val="20"/>
        </w:rPr>
        <w:t xml:space="preserve">, K., Raja, M. R. C., &amp;Mahapatra, S. K. (2023). Isolation and characterization of glycoprotein (CNP) isolated from </w:t>
      </w:r>
      <w:r>
        <w:rPr>
          <w:rFonts w:ascii="Arial" w:eastAsia="Arial" w:hAnsi="Arial" w:cs="Arial"/>
          <w:i/>
          <w:sz w:val="20"/>
          <w:szCs w:val="20"/>
        </w:rPr>
        <w:t>Cocos nucifera</w:t>
      </w:r>
      <w:r>
        <w:rPr>
          <w:rFonts w:ascii="Arial" w:eastAsia="Arial" w:hAnsi="Arial" w:cs="Arial"/>
          <w:sz w:val="20"/>
          <w:szCs w:val="20"/>
        </w:rPr>
        <w:t xml:space="preserve"> L. nutshell and its immunomodulatory role on macrophage activation. </w:t>
      </w:r>
      <w:r>
        <w:rPr>
          <w:rFonts w:ascii="Arial" w:eastAsia="Arial" w:hAnsi="Arial" w:cs="Arial"/>
          <w:i/>
          <w:sz w:val="20"/>
          <w:szCs w:val="20"/>
        </w:rPr>
        <w:t>Journal of Functional Foods</w:t>
      </w:r>
      <w:r>
        <w:rPr>
          <w:rFonts w:ascii="Arial" w:eastAsia="Arial" w:hAnsi="Arial" w:cs="Arial"/>
          <w:sz w:val="20"/>
          <w:szCs w:val="20"/>
        </w:rPr>
        <w:t xml:space="preserve">, </w:t>
      </w:r>
      <w:r>
        <w:rPr>
          <w:rFonts w:ascii="Arial" w:eastAsia="Arial" w:hAnsi="Arial" w:cs="Arial"/>
          <w:i/>
          <w:sz w:val="20"/>
          <w:szCs w:val="20"/>
        </w:rPr>
        <w:t>100</w:t>
      </w:r>
      <w:r>
        <w:rPr>
          <w:rFonts w:ascii="Arial" w:eastAsia="Arial" w:hAnsi="Arial" w:cs="Arial"/>
          <w:sz w:val="20"/>
          <w:szCs w:val="20"/>
        </w:rPr>
        <w:t>, 105380.</w:t>
      </w:r>
      <w:hyperlink r:id="rId13">
        <w:r>
          <w:rPr>
            <w:rFonts w:ascii="Arial" w:eastAsia="Arial" w:hAnsi="Arial" w:cs="Arial"/>
            <w:color w:val="0000FF"/>
            <w:sz w:val="20"/>
            <w:szCs w:val="20"/>
            <w:u w:val="single"/>
          </w:rPr>
          <w:t>https://doi.org/10.1016/j.jff.2022.105380</w:t>
        </w:r>
      </w:hyperlink>
    </w:p>
    <w:p w:rsidR="00DF4267" w:rsidRDefault="00A21A5F">
      <w:pPr>
        <w:pStyle w:val="Normal1"/>
        <w:jc w:val="both"/>
        <w:rPr>
          <w:rFonts w:ascii="Arial" w:eastAsia="Arial" w:hAnsi="Arial" w:cs="Arial"/>
          <w:color w:val="0000FF"/>
          <w:sz w:val="20"/>
          <w:szCs w:val="20"/>
          <w:u w:val="single"/>
        </w:rPr>
      </w:pPr>
      <w:proofErr w:type="spellStart"/>
      <w:r>
        <w:rPr>
          <w:rFonts w:ascii="Arial" w:eastAsia="Arial" w:hAnsi="Arial" w:cs="Arial"/>
          <w:sz w:val="20"/>
          <w:szCs w:val="20"/>
        </w:rPr>
        <w:t>Gunyakti</w:t>
      </w:r>
      <w:proofErr w:type="spellEnd"/>
      <w:r>
        <w:rPr>
          <w:rFonts w:ascii="Arial" w:eastAsia="Arial" w:hAnsi="Arial" w:cs="Arial"/>
          <w:sz w:val="20"/>
          <w:szCs w:val="20"/>
        </w:rPr>
        <w:t>, A., &amp;</w:t>
      </w:r>
      <w:r w:rsidR="00366B94">
        <w:rPr>
          <w:rFonts w:ascii="Arial" w:eastAsia="Arial" w:hAnsi="Arial" w:cs="Arial"/>
          <w:sz w:val="20"/>
          <w:szCs w:val="20"/>
        </w:rPr>
        <w:t xml:space="preserve"> </w:t>
      </w:r>
      <w:proofErr w:type="spellStart"/>
      <w:r>
        <w:rPr>
          <w:rFonts w:ascii="Arial" w:eastAsia="Arial" w:hAnsi="Arial" w:cs="Arial"/>
          <w:sz w:val="20"/>
          <w:szCs w:val="20"/>
        </w:rPr>
        <w:t>Asan-Ozusaglam</w:t>
      </w:r>
      <w:proofErr w:type="spellEnd"/>
      <w:r>
        <w:rPr>
          <w:rFonts w:ascii="Arial" w:eastAsia="Arial" w:hAnsi="Arial" w:cs="Arial"/>
          <w:sz w:val="20"/>
          <w:szCs w:val="20"/>
        </w:rPr>
        <w:t>, M. (2019</w:t>
      </w:r>
      <w:proofErr w:type="gramStart"/>
      <w:r>
        <w:rPr>
          <w:rFonts w:ascii="Arial" w:eastAsia="Arial" w:hAnsi="Arial" w:cs="Arial"/>
          <w:sz w:val="20"/>
          <w:szCs w:val="20"/>
        </w:rPr>
        <w:t>).</w:t>
      </w:r>
      <w:r>
        <w:rPr>
          <w:rFonts w:ascii="Arial" w:eastAsia="Arial" w:hAnsi="Arial" w:cs="Arial"/>
          <w:i/>
          <w:sz w:val="20"/>
          <w:szCs w:val="20"/>
        </w:rPr>
        <w:t>Lactobacillus</w:t>
      </w:r>
      <w:proofErr w:type="gramEnd"/>
      <w:r>
        <w:rPr>
          <w:rFonts w:ascii="Arial" w:eastAsia="Arial" w:hAnsi="Arial" w:cs="Arial"/>
          <w:i/>
          <w:sz w:val="20"/>
          <w:szCs w:val="20"/>
        </w:rPr>
        <w:t xml:space="preserve"> </w:t>
      </w:r>
      <w:proofErr w:type="spellStart"/>
      <w:r>
        <w:rPr>
          <w:rFonts w:ascii="Arial" w:eastAsia="Arial" w:hAnsi="Arial" w:cs="Arial"/>
          <w:i/>
          <w:sz w:val="20"/>
          <w:szCs w:val="20"/>
        </w:rPr>
        <w:t>gasseri</w:t>
      </w:r>
      <w:proofErr w:type="spellEnd"/>
      <w:r>
        <w:rPr>
          <w:rFonts w:ascii="Arial" w:eastAsia="Arial" w:hAnsi="Arial" w:cs="Arial"/>
          <w:sz w:val="20"/>
          <w:szCs w:val="20"/>
        </w:rPr>
        <w:t xml:space="preserve"> from human milk with probiotic potential and some technological properties.</w:t>
      </w:r>
      <w:r w:rsidR="00366B94">
        <w:rPr>
          <w:rFonts w:ascii="Arial" w:eastAsia="Arial" w:hAnsi="Arial" w:cs="Arial"/>
          <w:sz w:val="20"/>
          <w:szCs w:val="20"/>
        </w:rPr>
        <w:t xml:space="preserve"> </w:t>
      </w:r>
      <w:r>
        <w:rPr>
          <w:rFonts w:ascii="Arial" w:eastAsia="Arial" w:hAnsi="Arial" w:cs="Arial"/>
          <w:i/>
          <w:sz w:val="20"/>
          <w:szCs w:val="20"/>
        </w:rPr>
        <w:t>LWT</w:t>
      </w:r>
      <w:r>
        <w:rPr>
          <w:rFonts w:ascii="Arial" w:eastAsia="Arial" w:hAnsi="Arial" w:cs="Arial"/>
          <w:sz w:val="20"/>
          <w:szCs w:val="20"/>
        </w:rPr>
        <w:t xml:space="preserve">, </w:t>
      </w:r>
      <w:r>
        <w:rPr>
          <w:rFonts w:ascii="Arial" w:eastAsia="Arial" w:hAnsi="Arial" w:cs="Arial"/>
          <w:i/>
          <w:sz w:val="20"/>
          <w:szCs w:val="20"/>
        </w:rPr>
        <w:t>109</w:t>
      </w:r>
      <w:r>
        <w:rPr>
          <w:rFonts w:ascii="Arial" w:eastAsia="Arial" w:hAnsi="Arial" w:cs="Arial"/>
          <w:sz w:val="20"/>
          <w:szCs w:val="20"/>
        </w:rPr>
        <w:t xml:space="preserve">, 261–269. </w:t>
      </w:r>
      <w:hyperlink r:id="rId14">
        <w:r>
          <w:rPr>
            <w:rFonts w:ascii="Arial" w:eastAsia="Arial" w:hAnsi="Arial" w:cs="Arial"/>
            <w:color w:val="0000FF"/>
            <w:sz w:val="20"/>
            <w:szCs w:val="20"/>
            <w:u w:val="single"/>
          </w:rPr>
          <w:t>https://doi.org/10.1016/j.lwt.2019.04.043</w:t>
        </w:r>
      </w:hyperlink>
    </w:p>
    <w:p w:rsidR="00937CB6" w:rsidRDefault="00937CB6" w:rsidP="00937CB6">
      <w:pPr>
        <w:pStyle w:val="Normal1"/>
        <w:jc w:val="both"/>
        <w:rPr>
          <w:rFonts w:ascii="Arial" w:hAnsi="Arial" w:cs="Arial"/>
          <w:color w:val="0D0D0D" w:themeColor="text1" w:themeTint="F2"/>
          <w:sz w:val="20"/>
          <w:szCs w:val="20"/>
          <w:shd w:val="clear" w:color="auto" w:fill="FFFFFF"/>
        </w:rPr>
      </w:pPr>
      <w:r w:rsidRPr="00937CB6">
        <w:rPr>
          <w:rFonts w:ascii="Arial" w:hAnsi="Arial" w:cs="Arial"/>
          <w:color w:val="0D0D0D" w:themeColor="text1" w:themeTint="F2"/>
          <w:sz w:val="20"/>
          <w:szCs w:val="20"/>
          <w:shd w:val="clear" w:color="auto" w:fill="FFFFFF"/>
        </w:rPr>
        <w:t xml:space="preserve">Wang, S., Lu, W., </w:t>
      </w:r>
      <w:proofErr w:type="spellStart"/>
      <w:r w:rsidRPr="00937CB6">
        <w:rPr>
          <w:rFonts w:ascii="Arial" w:hAnsi="Arial" w:cs="Arial"/>
          <w:color w:val="0D0D0D" w:themeColor="text1" w:themeTint="F2"/>
          <w:sz w:val="20"/>
          <w:szCs w:val="20"/>
          <w:shd w:val="clear" w:color="auto" w:fill="FFFFFF"/>
        </w:rPr>
        <w:t>Tovmachenko</w:t>
      </w:r>
      <w:proofErr w:type="spellEnd"/>
      <w:r w:rsidRPr="00937CB6">
        <w:rPr>
          <w:rFonts w:ascii="Arial" w:hAnsi="Arial" w:cs="Arial"/>
          <w:color w:val="0D0D0D" w:themeColor="text1" w:themeTint="F2"/>
          <w:sz w:val="20"/>
          <w:szCs w:val="20"/>
          <w:shd w:val="clear" w:color="auto" w:fill="FFFFFF"/>
        </w:rPr>
        <w:t>, O., Rai, U. S., Yu, H., &amp; Ray, P. C. (2008). Challenge in understanding size and shape dependent toxicity of gold nanomaterials in human skin keratinocytes. </w:t>
      </w:r>
      <w:r w:rsidRPr="00937CB6">
        <w:rPr>
          <w:rFonts w:ascii="Arial" w:hAnsi="Arial" w:cs="Arial"/>
          <w:i/>
          <w:iCs/>
          <w:color w:val="0D0D0D" w:themeColor="text1" w:themeTint="F2"/>
          <w:sz w:val="20"/>
          <w:szCs w:val="20"/>
          <w:shd w:val="clear" w:color="auto" w:fill="FFFFFF"/>
        </w:rPr>
        <w:t>Chemical physics letters</w:t>
      </w:r>
      <w:r w:rsidRPr="00937CB6">
        <w:rPr>
          <w:rFonts w:ascii="Arial" w:hAnsi="Arial" w:cs="Arial"/>
          <w:color w:val="0D0D0D" w:themeColor="text1" w:themeTint="F2"/>
          <w:sz w:val="20"/>
          <w:szCs w:val="20"/>
          <w:shd w:val="clear" w:color="auto" w:fill="FFFFFF"/>
        </w:rPr>
        <w:t>, </w:t>
      </w:r>
      <w:r w:rsidRPr="00937CB6">
        <w:rPr>
          <w:rFonts w:ascii="Arial" w:hAnsi="Arial" w:cs="Arial"/>
          <w:i/>
          <w:iCs/>
          <w:color w:val="0D0D0D" w:themeColor="text1" w:themeTint="F2"/>
          <w:sz w:val="20"/>
          <w:szCs w:val="20"/>
          <w:shd w:val="clear" w:color="auto" w:fill="FFFFFF"/>
        </w:rPr>
        <w:t>463</w:t>
      </w:r>
      <w:r w:rsidRPr="00937CB6">
        <w:rPr>
          <w:rFonts w:ascii="Arial" w:hAnsi="Arial" w:cs="Arial"/>
          <w:color w:val="0D0D0D" w:themeColor="text1" w:themeTint="F2"/>
          <w:sz w:val="20"/>
          <w:szCs w:val="20"/>
          <w:shd w:val="clear" w:color="auto" w:fill="FFFFFF"/>
        </w:rPr>
        <w:t>(1-3), 145-149.</w:t>
      </w:r>
    </w:p>
    <w:p w:rsidR="00937CB6" w:rsidRPr="00937CB6" w:rsidRDefault="00404CBB" w:rsidP="00937CB6">
      <w:pPr>
        <w:pStyle w:val="Normal1"/>
        <w:jc w:val="both"/>
        <w:rPr>
          <w:rFonts w:ascii="Arial" w:hAnsi="Arial" w:cs="Arial"/>
          <w:color w:val="0D0D0D" w:themeColor="text1" w:themeTint="F2"/>
          <w:sz w:val="20"/>
          <w:szCs w:val="20"/>
          <w:shd w:val="clear" w:color="auto" w:fill="FFFFFF"/>
        </w:rPr>
      </w:pPr>
      <w:hyperlink r:id="rId15" w:tgtFrame="_blank" w:tooltip="Persistent link using digital object identifier" w:history="1">
        <w:r w:rsidR="00937CB6" w:rsidRPr="00937CB6">
          <w:rPr>
            <w:rStyle w:val="Hyperlink"/>
            <w:rFonts w:ascii="Arial" w:hAnsi="Arial" w:cs="Arial"/>
            <w:sz w:val="20"/>
            <w:szCs w:val="20"/>
            <w:shd w:val="clear" w:color="auto" w:fill="FFFFFF"/>
          </w:rPr>
          <w:t>https://doi.org/10.1016/j.cplett.2008.08.039</w:t>
        </w:r>
      </w:hyperlink>
    </w:p>
    <w:p w:rsidR="00937CB6" w:rsidRPr="00937CB6" w:rsidRDefault="00937CB6" w:rsidP="00937CB6">
      <w:pPr>
        <w:pStyle w:val="Normal1"/>
        <w:jc w:val="both"/>
        <w:rPr>
          <w:rFonts w:ascii="Arial" w:hAnsi="Arial" w:cs="Arial"/>
          <w:color w:val="0D0D0D" w:themeColor="text1" w:themeTint="F2"/>
          <w:sz w:val="20"/>
          <w:szCs w:val="20"/>
          <w:shd w:val="clear" w:color="auto" w:fill="FFFFFF"/>
        </w:rPr>
      </w:pPr>
      <w:proofErr w:type="spellStart"/>
      <w:r w:rsidRPr="00937CB6">
        <w:rPr>
          <w:rFonts w:ascii="Arial" w:hAnsi="Arial" w:cs="Arial"/>
          <w:color w:val="0D0D0D" w:themeColor="text1" w:themeTint="F2"/>
          <w:sz w:val="20"/>
          <w:szCs w:val="20"/>
          <w:shd w:val="clear" w:color="auto" w:fill="FFFFFF"/>
        </w:rPr>
        <w:t>Iravani</w:t>
      </w:r>
      <w:proofErr w:type="spellEnd"/>
      <w:r w:rsidRPr="00937CB6">
        <w:rPr>
          <w:rFonts w:ascii="Arial" w:hAnsi="Arial" w:cs="Arial"/>
          <w:color w:val="0D0D0D" w:themeColor="text1" w:themeTint="F2"/>
          <w:sz w:val="20"/>
          <w:szCs w:val="20"/>
          <w:shd w:val="clear" w:color="auto" w:fill="FFFFFF"/>
        </w:rPr>
        <w:t>, S. (2011). Green synthesis of metal nanoparticles using plants. </w:t>
      </w:r>
      <w:r w:rsidRPr="00937CB6">
        <w:rPr>
          <w:rFonts w:ascii="Arial" w:hAnsi="Arial" w:cs="Arial"/>
          <w:i/>
          <w:iCs/>
          <w:color w:val="0D0D0D" w:themeColor="text1" w:themeTint="F2"/>
          <w:sz w:val="20"/>
          <w:szCs w:val="20"/>
          <w:shd w:val="clear" w:color="auto" w:fill="FFFFFF"/>
        </w:rPr>
        <w:t>Green chemistry</w:t>
      </w:r>
      <w:r w:rsidRPr="00937CB6">
        <w:rPr>
          <w:rFonts w:ascii="Arial" w:hAnsi="Arial" w:cs="Arial"/>
          <w:color w:val="0D0D0D" w:themeColor="text1" w:themeTint="F2"/>
          <w:sz w:val="20"/>
          <w:szCs w:val="20"/>
          <w:shd w:val="clear" w:color="auto" w:fill="FFFFFF"/>
        </w:rPr>
        <w:t>, </w:t>
      </w:r>
      <w:r w:rsidRPr="00937CB6">
        <w:rPr>
          <w:rFonts w:ascii="Arial" w:hAnsi="Arial" w:cs="Arial"/>
          <w:i/>
          <w:iCs/>
          <w:color w:val="0D0D0D" w:themeColor="text1" w:themeTint="F2"/>
          <w:sz w:val="20"/>
          <w:szCs w:val="20"/>
          <w:shd w:val="clear" w:color="auto" w:fill="FFFFFF"/>
        </w:rPr>
        <w:t>13</w:t>
      </w:r>
      <w:r w:rsidRPr="00937CB6">
        <w:rPr>
          <w:rFonts w:ascii="Arial" w:hAnsi="Arial" w:cs="Arial"/>
          <w:color w:val="0D0D0D" w:themeColor="text1" w:themeTint="F2"/>
          <w:sz w:val="20"/>
          <w:szCs w:val="20"/>
          <w:shd w:val="clear" w:color="auto" w:fill="FFFFFF"/>
        </w:rPr>
        <w:t>(10), 2638-2650.</w:t>
      </w:r>
    </w:p>
    <w:p w:rsidR="00937CB6" w:rsidRPr="00937CB6" w:rsidRDefault="00404CBB">
      <w:pPr>
        <w:pStyle w:val="Normal1"/>
        <w:jc w:val="both"/>
        <w:rPr>
          <w:rFonts w:ascii="Arial" w:hAnsi="Arial" w:cs="Arial"/>
          <w:color w:val="222222"/>
          <w:sz w:val="20"/>
          <w:szCs w:val="20"/>
          <w:shd w:val="clear" w:color="auto" w:fill="FFFFFF"/>
        </w:rPr>
      </w:pPr>
      <w:hyperlink r:id="rId16" w:tooltip="Link to landing page via DOI" w:history="1">
        <w:r w:rsidR="00937CB6" w:rsidRPr="00937CB6">
          <w:rPr>
            <w:rStyle w:val="Hyperlink"/>
            <w:rFonts w:ascii="Arial" w:eastAsia="Arial" w:hAnsi="Arial" w:cs="Arial"/>
            <w:sz w:val="20"/>
            <w:szCs w:val="20"/>
          </w:rPr>
          <w:t>https://doi.org/10.1039/C1GC15386B</w:t>
        </w:r>
      </w:hyperlink>
    </w:p>
    <w:p w:rsidR="00DF4267" w:rsidRDefault="00A21A5F">
      <w:pPr>
        <w:pStyle w:val="Normal1"/>
        <w:jc w:val="both"/>
        <w:rPr>
          <w:rFonts w:ascii="Arial" w:eastAsia="Arial" w:hAnsi="Arial" w:cs="Arial"/>
          <w:sz w:val="20"/>
          <w:szCs w:val="20"/>
        </w:rPr>
      </w:pPr>
      <w:proofErr w:type="spellStart"/>
      <w:r>
        <w:rPr>
          <w:rFonts w:ascii="Arial" w:eastAsia="Arial" w:hAnsi="Arial" w:cs="Arial"/>
          <w:sz w:val="20"/>
          <w:szCs w:val="20"/>
        </w:rPr>
        <w:t>Umekar</w:t>
      </w:r>
      <w:proofErr w:type="spellEnd"/>
      <w:r>
        <w:rPr>
          <w:rFonts w:ascii="Arial" w:eastAsia="Arial" w:hAnsi="Arial" w:cs="Arial"/>
          <w:sz w:val="20"/>
          <w:szCs w:val="20"/>
        </w:rPr>
        <w:t xml:space="preserve">, M., Chaudhary, A. A., </w:t>
      </w:r>
      <w:proofErr w:type="spellStart"/>
      <w:r>
        <w:rPr>
          <w:rFonts w:ascii="Arial" w:eastAsia="Arial" w:hAnsi="Arial" w:cs="Arial"/>
          <w:sz w:val="20"/>
          <w:szCs w:val="20"/>
        </w:rPr>
        <w:t>Manghani</w:t>
      </w:r>
      <w:proofErr w:type="spellEnd"/>
      <w:r>
        <w:rPr>
          <w:rFonts w:ascii="Arial" w:eastAsia="Arial" w:hAnsi="Arial" w:cs="Arial"/>
          <w:sz w:val="20"/>
          <w:szCs w:val="20"/>
        </w:rPr>
        <w:t xml:space="preserve">, M., </w:t>
      </w:r>
      <w:proofErr w:type="spellStart"/>
      <w:r>
        <w:rPr>
          <w:rFonts w:ascii="Arial" w:eastAsia="Arial" w:hAnsi="Arial" w:cs="Arial"/>
          <w:sz w:val="20"/>
          <w:szCs w:val="20"/>
        </w:rPr>
        <w:t>Shidhaye</w:t>
      </w:r>
      <w:proofErr w:type="spellEnd"/>
      <w:r>
        <w:rPr>
          <w:rFonts w:ascii="Arial" w:eastAsia="Arial" w:hAnsi="Arial" w:cs="Arial"/>
          <w:sz w:val="20"/>
          <w:szCs w:val="20"/>
        </w:rPr>
        <w:t xml:space="preserve">, S., </w:t>
      </w:r>
      <w:proofErr w:type="spellStart"/>
      <w:r>
        <w:rPr>
          <w:rFonts w:ascii="Arial" w:eastAsia="Arial" w:hAnsi="Arial" w:cs="Arial"/>
          <w:sz w:val="20"/>
          <w:szCs w:val="20"/>
        </w:rPr>
        <w:t>Khajone</w:t>
      </w:r>
      <w:proofErr w:type="spellEnd"/>
      <w:r>
        <w:rPr>
          <w:rFonts w:ascii="Arial" w:eastAsia="Arial" w:hAnsi="Arial" w:cs="Arial"/>
          <w:sz w:val="20"/>
          <w:szCs w:val="20"/>
        </w:rPr>
        <w:t xml:space="preserve">, P., </w:t>
      </w:r>
      <w:proofErr w:type="spellStart"/>
      <w:r>
        <w:rPr>
          <w:rFonts w:ascii="Arial" w:eastAsia="Arial" w:hAnsi="Arial" w:cs="Arial"/>
          <w:sz w:val="20"/>
          <w:szCs w:val="20"/>
        </w:rPr>
        <w:t>Mahore</w:t>
      </w:r>
      <w:proofErr w:type="spellEnd"/>
      <w:r>
        <w:rPr>
          <w:rFonts w:ascii="Arial" w:eastAsia="Arial" w:hAnsi="Arial" w:cs="Arial"/>
          <w:sz w:val="20"/>
          <w:szCs w:val="20"/>
        </w:rPr>
        <w:t xml:space="preserve">, J., ... Trivedi, R. (2025). Probiotics in nanotechnology-driven wound healing: From mechanistic insight to clinical promise. </w:t>
      </w:r>
      <w:r>
        <w:rPr>
          <w:rFonts w:ascii="Arial" w:eastAsia="Arial" w:hAnsi="Arial" w:cs="Arial"/>
          <w:i/>
          <w:sz w:val="20"/>
          <w:szCs w:val="20"/>
        </w:rPr>
        <w:t>Pharmaceutics</w:t>
      </w:r>
      <w:r>
        <w:rPr>
          <w:rFonts w:ascii="Arial" w:eastAsia="Arial" w:hAnsi="Arial" w:cs="Arial"/>
          <w:sz w:val="20"/>
          <w:szCs w:val="20"/>
        </w:rPr>
        <w:t xml:space="preserve">, </w:t>
      </w:r>
      <w:r>
        <w:rPr>
          <w:rFonts w:ascii="Arial" w:eastAsia="Arial" w:hAnsi="Arial" w:cs="Arial"/>
          <w:i/>
          <w:sz w:val="20"/>
          <w:szCs w:val="20"/>
        </w:rPr>
        <w:t>17</w:t>
      </w:r>
      <w:r>
        <w:rPr>
          <w:rFonts w:ascii="Arial" w:eastAsia="Arial" w:hAnsi="Arial" w:cs="Arial"/>
          <w:sz w:val="20"/>
          <w:szCs w:val="20"/>
        </w:rPr>
        <w:t>(7), 805.</w:t>
      </w:r>
    </w:p>
    <w:p w:rsidR="00DF4267" w:rsidRDefault="00404CBB">
      <w:pPr>
        <w:pStyle w:val="Normal1"/>
        <w:jc w:val="both"/>
        <w:rPr>
          <w:rFonts w:ascii="Arial" w:eastAsia="Arial" w:hAnsi="Arial" w:cs="Arial"/>
          <w:sz w:val="20"/>
          <w:szCs w:val="20"/>
        </w:rPr>
      </w:pPr>
      <w:hyperlink r:id="rId17">
        <w:r w:rsidR="00A21A5F">
          <w:rPr>
            <w:rFonts w:ascii="Arial" w:eastAsia="Arial" w:hAnsi="Arial" w:cs="Arial"/>
            <w:color w:val="0000FF"/>
            <w:sz w:val="20"/>
            <w:szCs w:val="20"/>
            <w:u w:val="single"/>
          </w:rPr>
          <w:t>https://doi.org/10.3390/pharmaceutics17070805</w:t>
        </w:r>
      </w:hyperlink>
    </w:p>
    <w:p w:rsidR="00DF4267" w:rsidRDefault="00A21A5F">
      <w:pPr>
        <w:pStyle w:val="Normal1"/>
        <w:jc w:val="both"/>
        <w:rPr>
          <w:rFonts w:ascii="Arial" w:eastAsia="Arial" w:hAnsi="Arial" w:cs="Arial"/>
          <w:sz w:val="20"/>
          <w:szCs w:val="20"/>
        </w:rPr>
      </w:pPr>
      <w:r>
        <w:rPr>
          <w:rFonts w:ascii="Arial" w:eastAsia="Arial" w:hAnsi="Arial" w:cs="Arial"/>
          <w:sz w:val="20"/>
          <w:szCs w:val="20"/>
        </w:rPr>
        <w:t>McClements, D. J. (2013</w:t>
      </w:r>
      <w:proofErr w:type="gramStart"/>
      <w:r>
        <w:rPr>
          <w:rFonts w:ascii="Arial" w:eastAsia="Arial" w:hAnsi="Arial" w:cs="Arial"/>
          <w:sz w:val="20"/>
          <w:szCs w:val="20"/>
        </w:rPr>
        <w:t>).</w:t>
      </w:r>
      <w:proofErr w:type="spellStart"/>
      <w:r>
        <w:rPr>
          <w:rFonts w:ascii="Arial" w:eastAsia="Arial" w:hAnsi="Arial" w:cs="Arial"/>
          <w:sz w:val="20"/>
          <w:szCs w:val="20"/>
        </w:rPr>
        <w:t>Nanoemulsion</w:t>
      </w:r>
      <w:proofErr w:type="spellEnd"/>
      <w:proofErr w:type="gramEnd"/>
      <w:r>
        <w:rPr>
          <w:rFonts w:ascii="Arial" w:eastAsia="Arial" w:hAnsi="Arial" w:cs="Arial"/>
          <w:sz w:val="20"/>
          <w:szCs w:val="20"/>
        </w:rPr>
        <w:t xml:space="preserve">-based oral delivery systems for lipophilic bioactive components: Nutraceuticals and pharmaceuticals. </w:t>
      </w:r>
      <w:r>
        <w:rPr>
          <w:rFonts w:ascii="Arial" w:eastAsia="Arial" w:hAnsi="Arial" w:cs="Arial"/>
          <w:i/>
          <w:sz w:val="20"/>
          <w:szCs w:val="20"/>
        </w:rPr>
        <w:t>Therapeutic Delivery</w:t>
      </w:r>
      <w:r>
        <w:rPr>
          <w:rFonts w:ascii="Arial" w:eastAsia="Arial" w:hAnsi="Arial" w:cs="Arial"/>
          <w:sz w:val="20"/>
          <w:szCs w:val="20"/>
        </w:rPr>
        <w:t xml:space="preserve">, </w:t>
      </w:r>
      <w:r>
        <w:rPr>
          <w:rFonts w:ascii="Arial" w:eastAsia="Arial" w:hAnsi="Arial" w:cs="Arial"/>
          <w:i/>
          <w:sz w:val="20"/>
          <w:szCs w:val="20"/>
        </w:rPr>
        <w:t>4</w:t>
      </w:r>
      <w:r>
        <w:rPr>
          <w:rFonts w:ascii="Arial" w:eastAsia="Arial" w:hAnsi="Arial" w:cs="Arial"/>
          <w:sz w:val="20"/>
          <w:szCs w:val="20"/>
        </w:rPr>
        <w:t xml:space="preserve">(7), 841–857. </w:t>
      </w:r>
      <w:hyperlink r:id="rId18">
        <w:r>
          <w:rPr>
            <w:rFonts w:ascii="Arial" w:eastAsia="Arial" w:hAnsi="Arial" w:cs="Arial"/>
            <w:color w:val="0000FF"/>
            <w:sz w:val="20"/>
            <w:szCs w:val="20"/>
            <w:u w:val="single"/>
          </w:rPr>
          <w:t>https://doi.org/10.4155/tde.13.46</w:t>
        </w:r>
      </w:hyperlink>
    </w:p>
    <w:p w:rsidR="00DF4267" w:rsidRDefault="00A21A5F">
      <w:pPr>
        <w:pStyle w:val="Normal1"/>
        <w:jc w:val="both"/>
        <w:rPr>
          <w:rFonts w:ascii="Arial" w:eastAsia="Arial" w:hAnsi="Arial" w:cs="Arial"/>
          <w:sz w:val="20"/>
          <w:szCs w:val="20"/>
        </w:rPr>
      </w:pPr>
      <w:proofErr w:type="spellStart"/>
      <w:r>
        <w:rPr>
          <w:rFonts w:ascii="Arial" w:eastAsia="Arial" w:hAnsi="Arial" w:cs="Arial"/>
          <w:sz w:val="20"/>
          <w:szCs w:val="20"/>
        </w:rPr>
        <w:t>Alim</w:t>
      </w:r>
      <w:proofErr w:type="spellEnd"/>
      <w:r>
        <w:rPr>
          <w:rFonts w:ascii="Arial" w:eastAsia="Arial" w:hAnsi="Arial" w:cs="Arial"/>
          <w:sz w:val="20"/>
          <w:szCs w:val="20"/>
        </w:rPr>
        <w:t>-Al-</w:t>
      </w:r>
      <w:proofErr w:type="spellStart"/>
      <w:r>
        <w:rPr>
          <w:rFonts w:ascii="Arial" w:eastAsia="Arial" w:hAnsi="Arial" w:cs="Arial"/>
          <w:sz w:val="20"/>
          <w:szCs w:val="20"/>
        </w:rPr>
        <w:t>Razy</w:t>
      </w:r>
      <w:proofErr w:type="spellEnd"/>
      <w:r>
        <w:rPr>
          <w:rFonts w:ascii="Arial" w:eastAsia="Arial" w:hAnsi="Arial" w:cs="Arial"/>
          <w:sz w:val="20"/>
          <w:szCs w:val="20"/>
        </w:rPr>
        <w:t xml:space="preserve">, M., </w:t>
      </w:r>
      <w:proofErr w:type="spellStart"/>
      <w:r>
        <w:rPr>
          <w:rFonts w:ascii="Arial" w:eastAsia="Arial" w:hAnsi="Arial" w:cs="Arial"/>
          <w:sz w:val="20"/>
          <w:szCs w:val="20"/>
        </w:rPr>
        <w:t>Bayazid</w:t>
      </w:r>
      <w:proofErr w:type="spellEnd"/>
      <w:r>
        <w:rPr>
          <w:rFonts w:ascii="Arial" w:eastAsia="Arial" w:hAnsi="Arial" w:cs="Arial"/>
          <w:sz w:val="20"/>
          <w:szCs w:val="20"/>
        </w:rPr>
        <w:t xml:space="preserve">, G. A., Rahman, R. U., </w:t>
      </w:r>
      <w:proofErr w:type="spellStart"/>
      <w:r>
        <w:rPr>
          <w:rFonts w:ascii="Arial" w:eastAsia="Arial" w:hAnsi="Arial" w:cs="Arial"/>
          <w:sz w:val="20"/>
          <w:szCs w:val="20"/>
        </w:rPr>
        <w:t>Bosu</w:t>
      </w:r>
      <w:proofErr w:type="spellEnd"/>
      <w:r>
        <w:rPr>
          <w:rFonts w:ascii="Arial" w:eastAsia="Arial" w:hAnsi="Arial" w:cs="Arial"/>
          <w:sz w:val="20"/>
          <w:szCs w:val="20"/>
        </w:rPr>
        <w:t>, R., &amp;</w:t>
      </w:r>
      <w:proofErr w:type="spellStart"/>
      <w:r>
        <w:rPr>
          <w:rFonts w:ascii="Arial" w:eastAsia="Arial" w:hAnsi="Arial" w:cs="Arial"/>
          <w:sz w:val="20"/>
          <w:szCs w:val="20"/>
        </w:rPr>
        <w:t>Shamma</w:t>
      </w:r>
      <w:proofErr w:type="spellEnd"/>
      <w:r>
        <w:rPr>
          <w:rFonts w:ascii="Arial" w:eastAsia="Arial" w:hAnsi="Arial" w:cs="Arial"/>
          <w:sz w:val="20"/>
          <w:szCs w:val="20"/>
        </w:rPr>
        <w:t xml:space="preserve">, S. S. (2020, December). Silver nanoparticle synthesis, UV-Vis spectroscopy to find particle size and measure resistance of colloidal solution. </w:t>
      </w:r>
      <w:r>
        <w:rPr>
          <w:rFonts w:ascii="Arial" w:eastAsia="Arial" w:hAnsi="Arial" w:cs="Arial"/>
          <w:i/>
          <w:sz w:val="20"/>
          <w:szCs w:val="20"/>
        </w:rPr>
        <w:t>Journal of Physics: Conference Series</w:t>
      </w:r>
      <w:r>
        <w:rPr>
          <w:rFonts w:ascii="Arial" w:eastAsia="Arial" w:hAnsi="Arial" w:cs="Arial"/>
          <w:sz w:val="20"/>
          <w:szCs w:val="20"/>
        </w:rPr>
        <w:t xml:space="preserve">, </w:t>
      </w:r>
      <w:r>
        <w:rPr>
          <w:rFonts w:ascii="Arial" w:eastAsia="Arial" w:hAnsi="Arial" w:cs="Arial"/>
          <w:i/>
          <w:sz w:val="20"/>
          <w:szCs w:val="20"/>
        </w:rPr>
        <w:t>1706</w:t>
      </w:r>
      <w:r>
        <w:rPr>
          <w:rFonts w:ascii="Arial" w:eastAsia="Arial" w:hAnsi="Arial" w:cs="Arial"/>
          <w:sz w:val="20"/>
          <w:szCs w:val="20"/>
        </w:rPr>
        <w:t xml:space="preserve">(1), 012020. </w:t>
      </w:r>
      <w:hyperlink r:id="rId19">
        <w:r>
          <w:rPr>
            <w:rFonts w:ascii="Arial" w:eastAsia="Arial" w:hAnsi="Arial" w:cs="Arial"/>
            <w:color w:val="0000FF"/>
            <w:sz w:val="20"/>
            <w:szCs w:val="20"/>
            <w:u w:val="single"/>
          </w:rPr>
          <w:t>https://doi.org/10.1088/1742-6596/1706/1/012020</w:t>
        </w:r>
      </w:hyperlink>
    </w:p>
    <w:p w:rsidR="00DF4267" w:rsidRDefault="00A21A5F">
      <w:pPr>
        <w:pStyle w:val="Normal1"/>
        <w:jc w:val="both"/>
        <w:rPr>
          <w:rFonts w:ascii="Arial" w:eastAsia="Arial" w:hAnsi="Arial" w:cs="Arial"/>
          <w:sz w:val="20"/>
          <w:szCs w:val="20"/>
        </w:rPr>
      </w:pPr>
      <w:r>
        <w:rPr>
          <w:rFonts w:ascii="Arial" w:eastAsia="Arial" w:hAnsi="Arial" w:cs="Arial"/>
          <w:sz w:val="20"/>
          <w:szCs w:val="20"/>
        </w:rPr>
        <w:t xml:space="preserve">Hu, D., Ogawa, K., </w:t>
      </w:r>
      <w:proofErr w:type="spellStart"/>
      <w:r>
        <w:rPr>
          <w:rFonts w:ascii="Arial" w:eastAsia="Arial" w:hAnsi="Arial" w:cs="Arial"/>
          <w:sz w:val="20"/>
          <w:szCs w:val="20"/>
        </w:rPr>
        <w:t>Kajiyama</w:t>
      </w:r>
      <w:proofErr w:type="spellEnd"/>
      <w:r>
        <w:rPr>
          <w:rFonts w:ascii="Arial" w:eastAsia="Arial" w:hAnsi="Arial" w:cs="Arial"/>
          <w:sz w:val="20"/>
          <w:szCs w:val="20"/>
        </w:rPr>
        <w:t>, M., &amp;</w:t>
      </w:r>
      <w:r w:rsidR="002D4A9E">
        <w:rPr>
          <w:rFonts w:ascii="Arial" w:eastAsia="Arial" w:hAnsi="Arial" w:cs="Arial"/>
          <w:sz w:val="20"/>
          <w:szCs w:val="20"/>
        </w:rPr>
        <w:t xml:space="preserve"> </w:t>
      </w:r>
      <w:proofErr w:type="spellStart"/>
      <w:r>
        <w:rPr>
          <w:rFonts w:ascii="Arial" w:eastAsia="Arial" w:hAnsi="Arial" w:cs="Arial"/>
          <w:sz w:val="20"/>
          <w:szCs w:val="20"/>
        </w:rPr>
        <w:t>Enomae</w:t>
      </w:r>
      <w:proofErr w:type="spellEnd"/>
      <w:r>
        <w:rPr>
          <w:rFonts w:ascii="Arial" w:eastAsia="Arial" w:hAnsi="Arial" w:cs="Arial"/>
          <w:sz w:val="20"/>
          <w:szCs w:val="20"/>
        </w:rPr>
        <w:t>, T. (2020</w:t>
      </w:r>
      <w:proofErr w:type="gramStart"/>
      <w:r>
        <w:rPr>
          <w:rFonts w:ascii="Arial" w:eastAsia="Arial" w:hAnsi="Arial" w:cs="Arial"/>
          <w:sz w:val="20"/>
          <w:szCs w:val="20"/>
        </w:rPr>
        <w:t>).Characterization</w:t>
      </w:r>
      <w:proofErr w:type="gramEnd"/>
      <w:r>
        <w:rPr>
          <w:rFonts w:ascii="Arial" w:eastAsia="Arial" w:hAnsi="Arial" w:cs="Arial"/>
          <w:sz w:val="20"/>
          <w:szCs w:val="20"/>
        </w:rPr>
        <w:t xml:space="preserve"> of self-assembled silver nanoparticle ink based on </w:t>
      </w:r>
      <w:proofErr w:type="spellStart"/>
      <w:r>
        <w:rPr>
          <w:rFonts w:ascii="Arial" w:eastAsia="Arial" w:hAnsi="Arial" w:cs="Arial"/>
          <w:sz w:val="20"/>
          <w:szCs w:val="20"/>
        </w:rPr>
        <w:t>nanoemulsion</w:t>
      </w:r>
      <w:proofErr w:type="spellEnd"/>
      <w:r>
        <w:rPr>
          <w:rFonts w:ascii="Arial" w:eastAsia="Arial" w:hAnsi="Arial" w:cs="Arial"/>
          <w:sz w:val="20"/>
          <w:szCs w:val="20"/>
        </w:rPr>
        <w:t xml:space="preserve"> method.</w:t>
      </w:r>
      <w:r w:rsidR="002D4A9E">
        <w:rPr>
          <w:rFonts w:ascii="Arial" w:eastAsia="Arial" w:hAnsi="Arial" w:cs="Arial"/>
          <w:sz w:val="20"/>
          <w:szCs w:val="20"/>
        </w:rPr>
        <w:t xml:space="preserve"> </w:t>
      </w:r>
      <w:r>
        <w:rPr>
          <w:rFonts w:ascii="Arial" w:eastAsia="Arial" w:hAnsi="Arial" w:cs="Arial"/>
          <w:i/>
          <w:sz w:val="20"/>
          <w:szCs w:val="20"/>
        </w:rPr>
        <w:t>Royal Society Open Science</w:t>
      </w:r>
      <w:r>
        <w:rPr>
          <w:rFonts w:ascii="Arial" w:eastAsia="Arial" w:hAnsi="Arial" w:cs="Arial"/>
          <w:sz w:val="20"/>
          <w:szCs w:val="20"/>
        </w:rPr>
        <w:t xml:space="preserve">, </w:t>
      </w:r>
      <w:r>
        <w:rPr>
          <w:rFonts w:ascii="Arial" w:eastAsia="Arial" w:hAnsi="Arial" w:cs="Arial"/>
          <w:i/>
          <w:sz w:val="20"/>
          <w:szCs w:val="20"/>
        </w:rPr>
        <w:t>7</w:t>
      </w:r>
      <w:r>
        <w:rPr>
          <w:rFonts w:ascii="Arial" w:eastAsia="Arial" w:hAnsi="Arial" w:cs="Arial"/>
          <w:sz w:val="20"/>
          <w:szCs w:val="20"/>
        </w:rPr>
        <w:t>(5), 200296.</w:t>
      </w:r>
      <w:hyperlink r:id="rId20">
        <w:r>
          <w:rPr>
            <w:rFonts w:ascii="Arial" w:eastAsia="Arial" w:hAnsi="Arial" w:cs="Arial"/>
            <w:color w:val="0000FF"/>
            <w:sz w:val="20"/>
            <w:szCs w:val="20"/>
            <w:u w:val="single"/>
          </w:rPr>
          <w:t>https://doi.org/10.1098/rsos.200296</w:t>
        </w:r>
      </w:hyperlink>
    </w:p>
    <w:p w:rsidR="00DF4267" w:rsidRDefault="00A21A5F">
      <w:pPr>
        <w:pStyle w:val="Normal1"/>
        <w:jc w:val="both"/>
        <w:rPr>
          <w:rFonts w:ascii="Arial" w:eastAsia="Arial" w:hAnsi="Arial" w:cs="Arial"/>
          <w:sz w:val="20"/>
          <w:szCs w:val="20"/>
        </w:rPr>
      </w:pPr>
      <w:r>
        <w:rPr>
          <w:rFonts w:ascii="Arial" w:eastAsia="Arial" w:hAnsi="Arial" w:cs="Arial"/>
          <w:sz w:val="20"/>
          <w:szCs w:val="20"/>
        </w:rPr>
        <w:lastRenderedPageBreak/>
        <w:t xml:space="preserve">Ang, B. C., </w:t>
      </w:r>
      <w:proofErr w:type="spellStart"/>
      <w:r>
        <w:rPr>
          <w:rFonts w:ascii="Arial" w:eastAsia="Arial" w:hAnsi="Arial" w:cs="Arial"/>
          <w:sz w:val="20"/>
          <w:szCs w:val="20"/>
        </w:rPr>
        <w:t>Yaacob</w:t>
      </w:r>
      <w:proofErr w:type="spellEnd"/>
      <w:r>
        <w:rPr>
          <w:rFonts w:ascii="Arial" w:eastAsia="Arial" w:hAnsi="Arial" w:cs="Arial"/>
          <w:sz w:val="20"/>
          <w:szCs w:val="20"/>
        </w:rPr>
        <w:t>, I. I., &amp;</w:t>
      </w:r>
      <w:proofErr w:type="spellStart"/>
      <w:r>
        <w:rPr>
          <w:rFonts w:ascii="Arial" w:eastAsia="Arial" w:hAnsi="Arial" w:cs="Arial"/>
          <w:sz w:val="20"/>
          <w:szCs w:val="20"/>
        </w:rPr>
        <w:t>Nurdin</w:t>
      </w:r>
      <w:proofErr w:type="spellEnd"/>
      <w:r>
        <w:rPr>
          <w:rFonts w:ascii="Arial" w:eastAsia="Arial" w:hAnsi="Arial" w:cs="Arial"/>
          <w:sz w:val="20"/>
          <w:szCs w:val="20"/>
        </w:rPr>
        <w:t>, I. (2013</w:t>
      </w:r>
      <w:proofErr w:type="gramStart"/>
      <w:r>
        <w:rPr>
          <w:rFonts w:ascii="Arial" w:eastAsia="Arial" w:hAnsi="Arial" w:cs="Arial"/>
          <w:sz w:val="20"/>
          <w:szCs w:val="20"/>
        </w:rPr>
        <w:t>).Investigation</w:t>
      </w:r>
      <w:proofErr w:type="gramEnd"/>
      <w:r>
        <w:rPr>
          <w:rFonts w:ascii="Arial" w:eastAsia="Arial" w:hAnsi="Arial" w:cs="Arial"/>
          <w:sz w:val="20"/>
          <w:szCs w:val="20"/>
        </w:rPr>
        <w:t xml:space="preserve"> of </w:t>
      </w:r>
      <w:proofErr w:type="spellStart"/>
      <w:r>
        <w:rPr>
          <w:rFonts w:ascii="Arial" w:eastAsia="Arial" w:hAnsi="Arial" w:cs="Arial"/>
          <w:sz w:val="20"/>
          <w:szCs w:val="20"/>
        </w:rPr>
        <w:t>Fe</w:t>
      </w:r>
      <w:r>
        <w:rPr>
          <w:rFonts w:ascii="Cambria Math" w:eastAsia="Cambria Math" w:hAnsi="Cambria Math" w:cs="Cambria Math"/>
          <w:sz w:val="20"/>
          <w:szCs w:val="20"/>
        </w:rPr>
        <w:t>₂</w:t>
      </w:r>
      <w:r>
        <w:rPr>
          <w:rFonts w:ascii="Arial" w:eastAsia="Arial" w:hAnsi="Arial" w:cs="Arial"/>
          <w:sz w:val="20"/>
          <w:szCs w:val="20"/>
        </w:rPr>
        <w:t>O</w:t>
      </w:r>
      <w:proofErr w:type="spellEnd"/>
      <w:r>
        <w:rPr>
          <w:rFonts w:ascii="Cambria Math" w:eastAsia="Cambria Math" w:hAnsi="Cambria Math" w:cs="Cambria Math"/>
          <w:sz w:val="20"/>
          <w:szCs w:val="20"/>
        </w:rPr>
        <w:t>₃</w:t>
      </w:r>
      <w:r>
        <w:rPr>
          <w:rFonts w:ascii="Arial" w:eastAsia="Arial" w:hAnsi="Arial" w:cs="Arial"/>
          <w:sz w:val="20"/>
          <w:szCs w:val="20"/>
        </w:rPr>
        <w:t>/</w:t>
      </w:r>
      <w:proofErr w:type="spellStart"/>
      <w:r>
        <w:rPr>
          <w:rFonts w:ascii="Arial" w:eastAsia="Arial" w:hAnsi="Arial" w:cs="Arial"/>
          <w:sz w:val="20"/>
          <w:szCs w:val="20"/>
        </w:rPr>
        <w:t>SiO</w:t>
      </w:r>
      <w:proofErr w:type="spellEnd"/>
      <w:r>
        <w:rPr>
          <w:rFonts w:ascii="Cambria Math" w:eastAsia="Cambria Math" w:hAnsi="Cambria Math" w:cs="Cambria Math"/>
          <w:sz w:val="20"/>
          <w:szCs w:val="20"/>
        </w:rPr>
        <w:t>₂</w:t>
      </w:r>
      <w:r>
        <w:rPr>
          <w:rFonts w:ascii="Arial" w:eastAsia="Arial" w:hAnsi="Arial" w:cs="Arial"/>
          <w:sz w:val="20"/>
          <w:szCs w:val="20"/>
        </w:rPr>
        <w:t xml:space="preserve"> nanocomposite by FESEM and </w:t>
      </w:r>
      <w:proofErr w:type="spellStart"/>
      <w:r>
        <w:rPr>
          <w:rFonts w:ascii="Arial" w:eastAsia="Arial" w:hAnsi="Arial" w:cs="Arial"/>
          <w:sz w:val="20"/>
          <w:szCs w:val="20"/>
        </w:rPr>
        <w:t>TEM.</w:t>
      </w:r>
      <w:r>
        <w:rPr>
          <w:rFonts w:ascii="Arial" w:eastAsia="Arial" w:hAnsi="Arial" w:cs="Arial"/>
          <w:i/>
          <w:sz w:val="20"/>
          <w:szCs w:val="20"/>
        </w:rPr>
        <w:t>Journal</w:t>
      </w:r>
      <w:proofErr w:type="spellEnd"/>
      <w:r>
        <w:rPr>
          <w:rFonts w:ascii="Arial" w:eastAsia="Arial" w:hAnsi="Arial" w:cs="Arial"/>
          <w:i/>
          <w:sz w:val="20"/>
          <w:szCs w:val="20"/>
        </w:rPr>
        <w:t xml:space="preserve"> of Nanomaterials</w:t>
      </w:r>
      <w:r>
        <w:rPr>
          <w:rFonts w:ascii="Arial" w:eastAsia="Arial" w:hAnsi="Arial" w:cs="Arial"/>
          <w:sz w:val="20"/>
          <w:szCs w:val="20"/>
        </w:rPr>
        <w:t xml:space="preserve">, </w:t>
      </w:r>
      <w:r>
        <w:rPr>
          <w:rFonts w:ascii="Arial" w:eastAsia="Arial" w:hAnsi="Arial" w:cs="Arial"/>
          <w:i/>
          <w:sz w:val="20"/>
          <w:szCs w:val="20"/>
        </w:rPr>
        <w:t>2013</w:t>
      </w:r>
      <w:r>
        <w:rPr>
          <w:rFonts w:ascii="Arial" w:eastAsia="Arial" w:hAnsi="Arial" w:cs="Arial"/>
          <w:sz w:val="20"/>
          <w:szCs w:val="20"/>
        </w:rPr>
        <w:t>(1), 980390.</w:t>
      </w:r>
    </w:p>
    <w:p w:rsidR="00DF4267" w:rsidRDefault="00404CBB">
      <w:pPr>
        <w:pStyle w:val="Normal1"/>
        <w:jc w:val="both"/>
        <w:rPr>
          <w:rFonts w:ascii="Arial" w:eastAsia="Arial" w:hAnsi="Arial" w:cs="Arial"/>
          <w:sz w:val="20"/>
          <w:szCs w:val="20"/>
        </w:rPr>
      </w:pPr>
      <w:hyperlink r:id="rId21">
        <w:r w:rsidR="00A21A5F">
          <w:rPr>
            <w:rFonts w:ascii="Arial" w:eastAsia="Arial" w:hAnsi="Arial" w:cs="Arial"/>
            <w:color w:val="0000FF"/>
            <w:sz w:val="20"/>
            <w:szCs w:val="20"/>
            <w:u w:val="single"/>
          </w:rPr>
          <w:t>https://doi.org/10.1155/2013/980390</w:t>
        </w:r>
      </w:hyperlink>
    </w:p>
    <w:p w:rsidR="00DF4267" w:rsidRDefault="00A4178A">
      <w:pPr>
        <w:pStyle w:val="Normal1"/>
        <w:jc w:val="both"/>
        <w:rPr>
          <w:rFonts w:ascii="Arial" w:eastAsia="Arial" w:hAnsi="Arial" w:cs="Arial"/>
          <w:sz w:val="20"/>
          <w:szCs w:val="20"/>
        </w:rPr>
      </w:pPr>
      <w:proofErr w:type="spellStart"/>
      <w:r w:rsidRPr="00A4178A">
        <w:rPr>
          <w:rFonts w:ascii="Arial" w:eastAsia="Arial" w:hAnsi="Arial" w:cs="Arial"/>
          <w:sz w:val="20"/>
          <w:szCs w:val="20"/>
        </w:rPr>
        <w:t>Jesteena</w:t>
      </w:r>
      <w:proofErr w:type="spellEnd"/>
      <w:r w:rsidR="002D4A9E">
        <w:rPr>
          <w:rFonts w:ascii="Arial" w:eastAsia="Arial" w:hAnsi="Arial" w:cs="Arial"/>
          <w:sz w:val="20"/>
          <w:szCs w:val="20"/>
        </w:rPr>
        <w:t xml:space="preserve"> </w:t>
      </w:r>
      <w:proofErr w:type="spellStart"/>
      <w:r w:rsidRPr="00A4178A">
        <w:rPr>
          <w:rFonts w:ascii="Arial" w:eastAsia="Arial" w:hAnsi="Arial" w:cs="Arial"/>
          <w:sz w:val="20"/>
          <w:szCs w:val="20"/>
        </w:rPr>
        <w:t>Johney</w:t>
      </w:r>
      <w:proofErr w:type="spellEnd"/>
      <w:r>
        <w:rPr>
          <w:rFonts w:ascii="Arial" w:eastAsia="Arial" w:hAnsi="Arial" w:cs="Arial"/>
          <w:sz w:val="20"/>
          <w:szCs w:val="20"/>
        </w:rPr>
        <w:t>.</w:t>
      </w:r>
      <w:r w:rsidRPr="00A4178A">
        <w:rPr>
          <w:rFonts w:ascii="Arial" w:eastAsia="Arial" w:hAnsi="Arial" w:cs="Arial"/>
          <w:sz w:val="20"/>
          <w:szCs w:val="20"/>
        </w:rPr>
        <w:t xml:space="preserve">, Kannan </w:t>
      </w:r>
      <w:proofErr w:type="spellStart"/>
      <w:r w:rsidRPr="00A4178A">
        <w:rPr>
          <w:rFonts w:ascii="Arial" w:eastAsia="Arial" w:hAnsi="Arial" w:cs="Arial"/>
          <w:sz w:val="20"/>
          <w:szCs w:val="20"/>
        </w:rPr>
        <w:t>Eagappan</w:t>
      </w:r>
      <w:proofErr w:type="spellEnd"/>
      <w:r w:rsidR="00A21A5F">
        <w:rPr>
          <w:rFonts w:ascii="Arial" w:eastAsia="Arial" w:hAnsi="Arial" w:cs="Arial"/>
          <w:sz w:val="20"/>
          <w:szCs w:val="20"/>
        </w:rPr>
        <w:t>., &amp;</w:t>
      </w:r>
      <w:proofErr w:type="spellStart"/>
      <w:r w:rsidR="00A21A5F">
        <w:rPr>
          <w:rFonts w:ascii="Arial" w:eastAsia="Arial" w:hAnsi="Arial" w:cs="Arial"/>
          <w:sz w:val="20"/>
          <w:szCs w:val="20"/>
        </w:rPr>
        <w:t>Ragunathan</w:t>
      </w:r>
      <w:proofErr w:type="spellEnd"/>
      <w:r w:rsidR="00A21A5F">
        <w:rPr>
          <w:rFonts w:ascii="Arial" w:eastAsia="Arial" w:hAnsi="Arial" w:cs="Arial"/>
          <w:sz w:val="20"/>
          <w:szCs w:val="20"/>
        </w:rPr>
        <w:t>, R. R. (2016</w:t>
      </w:r>
      <w:proofErr w:type="gramStart"/>
      <w:r w:rsidR="00A21A5F">
        <w:rPr>
          <w:rFonts w:ascii="Arial" w:eastAsia="Arial" w:hAnsi="Arial" w:cs="Arial"/>
          <w:sz w:val="20"/>
          <w:szCs w:val="20"/>
        </w:rPr>
        <w:t>).Microbial</w:t>
      </w:r>
      <w:proofErr w:type="gramEnd"/>
      <w:r w:rsidR="00A21A5F">
        <w:rPr>
          <w:rFonts w:ascii="Arial" w:eastAsia="Arial" w:hAnsi="Arial" w:cs="Arial"/>
          <w:sz w:val="20"/>
          <w:szCs w:val="20"/>
        </w:rPr>
        <w:t xml:space="preserve"> extraction of chitin and chitosan from </w:t>
      </w:r>
      <w:proofErr w:type="spellStart"/>
      <w:r w:rsidR="00A21A5F">
        <w:rPr>
          <w:rFonts w:ascii="Arial" w:eastAsia="Arial" w:hAnsi="Arial" w:cs="Arial"/>
          <w:i/>
          <w:sz w:val="20"/>
          <w:szCs w:val="20"/>
        </w:rPr>
        <w:t>Pleurotus</w:t>
      </w:r>
      <w:proofErr w:type="spellEnd"/>
      <w:r w:rsidR="00A21A5F">
        <w:rPr>
          <w:rFonts w:ascii="Arial" w:eastAsia="Arial" w:hAnsi="Arial" w:cs="Arial"/>
          <w:sz w:val="20"/>
          <w:szCs w:val="20"/>
        </w:rPr>
        <w:t xml:space="preserve"> spp., its characterization and antimicrobial </w:t>
      </w:r>
      <w:proofErr w:type="spellStart"/>
      <w:r w:rsidR="00A21A5F">
        <w:rPr>
          <w:rFonts w:ascii="Arial" w:eastAsia="Arial" w:hAnsi="Arial" w:cs="Arial"/>
          <w:sz w:val="20"/>
          <w:szCs w:val="20"/>
        </w:rPr>
        <w:t>activity.</w:t>
      </w:r>
      <w:r w:rsidR="00A21A5F">
        <w:rPr>
          <w:rFonts w:ascii="Arial" w:eastAsia="Arial" w:hAnsi="Arial" w:cs="Arial"/>
          <w:i/>
          <w:sz w:val="20"/>
          <w:szCs w:val="20"/>
        </w:rPr>
        <w:t>International</w:t>
      </w:r>
      <w:proofErr w:type="spellEnd"/>
      <w:r w:rsidR="00A21A5F">
        <w:rPr>
          <w:rFonts w:ascii="Arial" w:eastAsia="Arial" w:hAnsi="Arial" w:cs="Arial"/>
          <w:i/>
          <w:sz w:val="20"/>
          <w:szCs w:val="20"/>
        </w:rPr>
        <w:t xml:space="preserve"> Journal of Current Pharmaceutical Research</w:t>
      </w:r>
      <w:r w:rsidR="00A21A5F">
        <w:rPr>
          <w:rFonts w:ascii="Arial" w:eastAsia="Arial" w:hAnsi="Arial" w:cs="Arial"/>
          <w:sz w:val="20"/>
          <w:szCs w:val="20"/>
        </w:rPr>
        <w:t xml:space="preserve">, </w:t>
      </w:r>
      <w:r w:rsidR="00A21A5F">
        <w:rPr>
          <w:rFonts w:ascii="Arial" w:eastAsia="Arial" w:hAnsi="Arial" w:cs="Arial"/>
          <w:i/>
          <w:sz w:val="20"/>
          <w:szCs w:val="20"/>
        </w:rPr>
        <w:t>9</w:t>
      </w:r>
      <w:r w:rsidR="00A21A5F">
        <w:rPr>
          <w:rFonts w:ascii="Arial" w:eastAsia="Arial" w:hAnsi="Arial" w:cs="Arial"/>
          <w:sz w:val="20"/>
          <w:szCs w:val="20"/>
        </w:rPr>
        <w:t>(1), 88–93.</w:t>
      </w:r>
      <w:hyperlink r:id="rId22" w:history="1">
        <w:r w:rsidRPr="001451E5">
          <w:rPr>
            <w:rStyle w:val="Hyperlink"/>
            <w:rFonts w:ascii="Arial" w:eastAsia="Arial" w:hAnsi="Arial" w:cs="Arial"/>
            <w:sz w:val="20"/>
            <w:szCs w:val="20"/>
          </w:rPr>
          <w:t>https://doi.org/10.22159/ijcpr.2017v9i1.16623</w:t>
        </w:r>
      </w:hyperlink>
    </w:p>
    <w:p w:rsidR="00DF4267" w:rsidRDefault="00A21A5F">
      <w:pPr>
        <w:pStyle w:val="Normal1"/>
        <w:jc w:val="both"/>
        <w:rPr>
          <w:rFonts w:ascii="Arial" w:eastAsia="Arial" w:hAnsi="Arial" w:cs="Arial"/>
          <w:sz w:val="20"/>
          <w:szCs w:val="20"/>
        </w:rPr>
      </w:pPr>
      <w:r>
        <w:rPr>
          <w:rFonts w:ascii="Arial" w:eastAsia="Arial" w:hAnsi="Arial" w:cs="Arial"/>
          <w:sz w:val="20"/>
          <w:szCs w:val="20"/>
        </w:rPr>
        <w:t xml:space="preserve">Haney, E. F., Trimble, M. J., &amp; Hancock, R. E. (2021). Microtiter plate assays to assess antibiofilm activity against bacteria. </w:t>
      </w:r>
      <w:r>
        <w:rPr>
          <w:rFonts w:ascii="Arial" w:eastAsia="Arial" w:hAnsi="Arial" w:cs="Arial"/>
          <w:i/>
          <w:sz w:val="20"/>
          <w:szCs w:val="20"/>
        </w:rPr>
        <w:t>Nature Protocols</w:t>
      </w:r>
      <w:r>
        <w:rPr>
          <w:rFonts w:ascii="Arial" w:eastAsia="Arial" w:hAnsi="Arial" w:cs="Arial"/>
          <w:sz w:val="20"/>
          <w:szCs w:val="20"/>
        </w:rPr>
        <w:t xml:space="preserve">, </w:t>
      </w:r>
      <w:r>
        <w:rPr>
          <w:rFonts w:ascii="Arial" w:eastAsia="Arial" w:hAnsi="Arial" w:cs="Arial"/>
          <w:i/>
          <w:sz w:val="20"/>
          <w:szCs w:val="20"/>
        </w:rPr>
        <w:t>16</w:t>
      </w:r>
      <w:r>
        <w:rPr>
          <w:rFonts w:ascii="Arial" w:eastAsia="Arial" w:hAnsi="Arial" w:cs="Arial"/>
          <w:sz w:val="20"/>
          <w:szCs w:val="20"/>
        </w:rPr>
        <w:t>(5), 2615–2632.</w:t>
      </w:r>
      <w:hyperlink r:id="rId23">
        <w:r>
          <w:rPr>
            <w:rFonts w:ascii="Arial" w:eastAsia="Arial" w:hAnsi="Arial" w:cs="Arial"/>
            <w:color w:val="0000FF"/>
            <w:sz w:val="20"/>
            <w:szCs w:val="20"/>
            <w:u w:val="single"/>
          </w:rPr>
          <w:t>https://doi.org/10.1038/s41596-021-00515-3</w:t>
        </w:r>
      </w:hyperlink>
    </w:p>
    <w:p w:rsidR="00DF4267" w:rsidRDefault="00A21A5F">
      <w:pPr>
        <w:pStyle w:val="Normal1"/>
        <w:jc w:val="both"/>
        <w:rPr>
          <w:rFonts w:ascii="Arial" w:eastAsia="Arial" w:hAnsi="Arial" w:cs="Arial"/>
          <w:sz w:val="20"/>
          <w:szCs w:val="20"/>
        </w:rPr>
      </w:pPr>
      <w:r>
        <w:rPr>
          <w:rFonts w:ascii="Arial" w:eastAsia="Arial" w:hAnsi="Arial" w:cs="Arial"/>
          <w:sz w:val="20"/>
          <w:szCs w:val="20"/>
        </w:rPr>
        <w:t xml:space="preserve">Rajesh, G., </w:t>
      </w:r>
      <w:proofErr w:type="spellStart"/>
      <w:r>
        <w:rPr>
          <w:rFonts w:ascii="Arial" w:eastAsia="Arial" w:hAnsi="Arial" w:cs="Arial"/>
          <w:sz w:val="20"/>
          <w:szCs w:val="20"/>
        </w:rPr>
        <w:t>Ragunathan</w:t>
      </w:r>
      <w:proofErr w:type="spellEnd"/>
      <w:r>
        <w:rPr>
          <w:rFonts w:ascii="Arial" w:eastAsia="Arial" w:hAnsi="Arial" w:cs="Arial"/>
          <w:sz w:val="20"/>
          <w:szCs w:val="20"/>
        </w:rPr>
        <w:t>, R., &amp;</w:t>
      </w:r>
      <w:proofErr w:type="spellStart"/>
      <w:r>
        <w:rPr>
          <w:rFonts w:ascii="Arial" w:eastAsia="Arial" w:hAnsi="Arial" w:cs="Arial"/>
          <w:sz w:val="20"/>
          <w:szCs w:val="20"/>
        </w:rPr>
        <w:t>Johney</w:t>
      </w:r>
      <w:proofErr w:type="spellEnd"/>
      <w:r>
        <w:rPr>
          <w:rFonts w:ascii="Arial" w:eastAsia="Arial" w:hAnsi="Arial" w:cs="Arial"/>
          <w:sz w:val="20"/>
          <w:szCs w:val="20"/>
        </w:rPr>
        <w:t xml:space="preserve">, J. (2025). Assessment of antimicrobial and cytotoxicity effect of GABA extracted from </w:t>
      </w:r>
      <w:proofErr w:type="spellStart"/>
      <w:r>
        <w:rPr>
          <w:rFonts w:ascii="Arial" w:eastAsia="Arial" w:hAnsi="Arial" w:cs="Arial"/>
          <w:i/>
          <w:sz w:val="20"/>
          <w:szCs w:val="20"/>
        </w:rPr>
        <w:t>Lactiplantibacillus</w:t>
      </w:r>
      <w:proofErr w:type="spellEnd"/>
      <w:r w:rsidR="002D4A9E">
        <w:rPr>
          <w:rFonts w:ascii="Arial" w:eastAsia="Arial" w:hAnsi="Arial" w:cs="Arial"/>
          <w:i/>
          <w:sz w:val="20"/>
          <w:szCs w:val="20"/>
        </w:rPr>
        <w:t xml:space="preserve"> </w:t>
      </w:r>
      <w:r>
        <w:rPr>
          <w:rFonts w:ascii="Arial" w:eastAsia="Arial" w:hAnsi="Arial" w:cs="Arial"/>
          <w:i/>
          <w:sz w:val="20"/>
          <w:szCs w:val="20"/>
        </w:rPr>
        <w:t>plantarum</w:t>
      </w:r>
      <w:r>
        <w:rPr>
          <w:rFonts w:ascii="Arial" w:eastAsia="Arial" w:hAnsi="Arial" w:cs="Arial"/>
          <w:sz w:val="20"/>
          <w:szCs w:val="20"/>
        </w:rPr>
        <w:t xml:space="preserve">. </w:t>
      </w:r>
      <w:r>
        <w:rPr>
          <w:rFonts w:ascii="Arial" w:eastAsia="Arial" w:hAnsi="Arial" w:cs="Arial"/>
          <w:i/>
          <w:sz w:val="20"/>
          <w:szCs w:val="20"/>
        </w:rPr>
        <w:t>Biosciences Biotechnology Research Asia</w:t>
      </w:r>
      <w:r>
        <w:rPr>
          <w:rFonts w:ascii="Arial" w:eastAsia="Arial" w:hAnsi="Arial" w:cs="Arial"/>
          <w:sz w:val="20"/>
          <w:szCs w:val="20"/>
        </w:rPr>
        <w:t xml:space="preserve">, </w:t>
      </w:r>
      <w:r>
        <w:rPr>
          <w:rFonts w:ascii="Arial" w:eastAsia="Arial" w:hAnsi="Arial" w:cs="Arial"/>
          <w:i/>
          <w:sz w:val="20"/>
          <w:szCs w:val="20"/>
        </w:rPr>
        <w:t>22</w:t>
      </w:r>
      <w:r>
        <w:rPr>
          <w:rFonts w:ascii="Arial" w:eastAsia="Arial" w:hAnsi="Arial" w:cs="Arial"/>
          <w:sz w:val="20"/>
          <w:szCs w:val="20"/>
        </w:rPr>
        <w:t>(2), 699.</w:t>
      </w:r>
    </w:p>
    <w:p w:rsidR="00DF4267" w:rsidRDefault="00404CBB">
      <w:pPr>
        <w:pStyle w:val="Normal1"/>
        <w:jc w:val="both"/>
        <w:rPr>
          <w:rFonts w:ascii="Arial" w:eastAsia="Arial" w:hAnsi="Arial" w:cs="Arial"/>
          <w:sz w:val="20"/>
          <w:szCs w:val="20"/>
        </w:rPr>
      </w:pPr>
      <w:hyperlink r:id="rId24">
        <w:r w:rsidR="00A21A5F">
          <w:rPr>
            <w:rFonts w:ascii="Arial" w:eastAsia="Arial" w:hAnsi="Arial" w:cs="Arial"/>
            <w:color w:val="0000FF"/>
            <w:sz w:val="20"/>
            <w:szCs w:val="20"/>
            <w:u w:val="single"/>
          </w:rPr>
          <w:t>https://doi.org/10.13005/bbra/3395</w:t>
        </w:r>
      </w:hyperlink>
    </w:p>
    <w:p w:rsidR="00DF4267" w:rsidRDefault="00A21A5F">
      <w:pPr>
        <w:pStyle w:val="Normal1"/>
        <w:jc w:val="both"/>
        <w:rPr>
          <w:rFonts w:ascii="Arial" w:eastAsia="Arial" w:hAnsi="Arial" w:cs="Arial"/>
          <w:sz w:val="20"/>
          <w:szCs w:val="20"/>
        </w:rPr>
      </w:pPr>
      <w:r>
        <w:rPr>
          <w:rFonts w:ascii="Arial" w:eastAsia="Arial" w:hAnsi="Arial" w:cs="Arial"/>
          <w:sz w:val="20"/>
          <w:szCs w:val="20"/>
        </w:rPr>
        <w:t xml:space="preserve">Ahmed, S., Ahmad, M., Swami, B. L., &amp;Ikram, S. (2016). A review on plant extract mediated synthesis of silver nanoparticles for antimicrobial applications: A green expertise. </w:t>
      </w:r>
      <w:r>
        <w:rPr>
          <w:rFonts w:ascii="Arial" w:eastAsia="Arial" w:hAnsi="Arial" w:cs="Arial"/>
          <w:i/>
          <w:sz w:val="20"/>
          <w:szCs w:val="20"/>
        </w:rPr>
        <w:t>Journal of Advanced Research</w:t>
      </w:r>
      <w:r>
        <w:rPr>
          <w:rFonts w:ascii="Arial" w:eastAsia="Arial" w:hAnsi="Arial" w:cs="Arial"/>
          <w:sz w:val="20"/>
          <w:szCs w:val="20"/>
        </w:rPr>
        <w:t xml:space="preserve">, </w:t>
      </w:r>
      <w:r>
        <w:rPr>
          <w:rFonts w:ascii="Arial" w:eastAsia="Arial" w:hAnsi="Arial" w:cs="Arial"/>
          <w:i/>
          <w:sz w:val="20"/>
          <w:szCs w:val="20"/>
        </w:rPr>
        <w:t>7</w:t>
      </w:r>
      <w:r>
        <w:rPr>
          <w:rFonts w:ascii="Arial" w:eastAsia="Arial" w:hAnsi="Arial" w:cs="Arial"/>
          <w:sz w:val="20"/>
          <w:szCs w:val="20"/>
        </w:rPr>
        <w:t xml:space="preserve">(1), 17–28. </w:t>
      </w:r>
    </w:p>
    <w:p w:rsidR="00DF4267" w:rsidRDefault="00404CBB">
      <w:pPr>
        <w:pStyle w:val="Normal1"/>
        <w:jc w:val="both"/>
        <w:rPr>
          <w:rFonts w:ascii="Arial" w:eastAsia="Arial" w:hAnsi="Arial" w:cs="Arial"/>
          <w:sz w:val="20"/>
          <w:szCs w:val="20"/>
        </w:rPr>
      </w:pPr>
      <w:hyperlink r:id="rId25">
        <w:r w:rsidR="00A21A5F">
          <w:rPr>
            <w:rFonts w:ascii="Arial" w:eastAsia="Arial" w:hAnsi="Arial" w:cs="Arial"/>
            <w:color w:val="0000FF"/>
            <w:sz w:val="20"/>
            <w:szCs w:val="20"/>
            <w:u w:val="single"/>
          </w:rPr>
          <w:t>https://doi.org/10.1016/j.jare.2015.02.007</w:t>
        </w:r>
      </w:hyperlink>
    </w:p>
    <w:p w:rsidR="00DF4267" w:rsidRDefault="00A21A5F">
      <w:pPr>
        <w:pStyle w:val="Normal1"/>
        <w:jc w:val="both"/>
        <w:rPr>
          <w:rFonts w:ascii="Arial" w:eastAsia="Arial" w:hAnsi="Arial" w:cs="Arial"/>
          <w:sz w:val="20"/>
          <w:szCs w:val="20"/>
        </w:rPr>
      </w:pPr>
      <w:proofErr w:type="spellStart"/>
      <w:r>
        <w:rPr>
          <w:rFonts w:ascii="Arial" w:eastAsia="Arial" w:hAnsi="Arial" w:cs="Arial"/>
          <w:sz w:val="20"/>
          <w:szCs w:val="20"/>
        </w:rPr>
        <w:t>Franci</w:t>
      </w:r>
      <w:proofErr w:type="spellEnd"/>
      <w:r>
        <w:rPr>
          <w:rFonts w:ascii="Arial" w:eastAsia="Arial" w:hAnsi="Arial" w:cs="Arial"/>
          <w:sz w:val="20"/>
          <w:szCs w:val="20"/>
        </w:rPr>
        <w:t xml:space="preserve">, G., </w:t>
      </w:r>
      <w:proofErr w:type="spellStart"/>
      <w:r>
        <w:rPr>
          <w:rFonts w:ascii="Arial" w:eastAsia="Arial" w:hAnsi="Arial" w:cs="Arial"/>
          <w:sz w:val="20"/>
          <w:szCs w:val="20"/>
        </w:rPr>
        <w:t>Falanga</w:t>
      </w:r>
      <w:proofErr w:type="spellEnd"/>
      <w:r>
        <w:rPr>
          <w:rFonts w:ascii="Arial" w:eastAsia="Arial" w:hAnsi="Arial" w:cs="Arial"/>
          <w:sz w:val="20"/>
          <w:szCs w:val="20"/>
        </w:rPr>
        <w:t xml:space="preserve">, A., </w:t>
      </w:r>
      <w:proofErr w:type="spellStart"/>
      <w:r>
        <w:rPr>
          <w:rFonts w:ascii="Arial" w:eastAsia="Arial" w:hAnsi="Arial" w:cs="Arial"/>
          <w:sz w:val="20"/>
          <w:szCs w:val="20"/>
        </w:rPr>
        <w:t>Galdiero</w:t>
      </w:r>
      <w:proofErr w:type="spellEnd"/>
      <w:r>
        <w:rPr>
          <w:rFonts w:ascii="Arial" w:eastAsia="Arial" w:hAnsi="Arial" w:cs="Arial"/>
          <w:sz w:val="20"/>
          <w:szCs w:val="20"/>
        </w:rPr>
        <w:t xml:space="preserve">, S., </w:t>
      </w:r>
      <w:proofErr w:type="spellStart"/>
      <w:r>
        <w:rPr>
          <w:rFonts w:ascii="Arial" w:eastAsia="Arial" w:hAnsi="Arial" w:cs="Arial"/>
          <w:sz w:val="20"/>
          <w:szCs w:val="20"/>
        </w:rPr>
        <w:t>Palomba</w:t>
      </w:r>
      <w:proofErr w:type="spellEnd"/>
      <w:r>
        <w:rPr>
          <w:rFonts w:ascii="Arial" w:eastAsia="Arial" w:hAnsi="Arial" w:cs="Arial"/>
          <w:sz w:val="20"/>
          <w:szCs w:val="20"/>
        </w:rPr>
        <w:t>, L., Rai, M., Morelli, G., &amp;</w:t>
      </w:r>
      <w:proofErr w:type="spellStart"/>
      <w:r>
        <w:rPr>
          <w:rFonts w:ascii="Arial" w:eastAsia="Arial" w:hAnsi="Arial" w:cs="Arial"/>
          <w:sz w:val="20"/>
          <w:szCs w:val="20"/>
        </w:rPr>
        <w:t>Galdiero</w:t>
      </w:r>
      <w:proofErr w:type="spellEnd"/>
      <w:r>
        <w:rPr>
          <w:rFonts w:ascii="Arial" w:eastAsia="Arial" w:hAnsi="Arial" w:cs="Arial"/>
          <w:sz w:val="20"/>
          <w:szCs w:val="20"/>
        </w:rPr>
        <w:t>, M. (2015</w:t>
      </w:r>
      <w:proofErr w:type="gramStart"/>
      <w:r>
        <w:rPr>
          <w:rFonts w:ascii="Arial" w:eastAsia="Arial" w:hAnsi="Arial" w:cs="Arial"/>
          <w:sz w:val="20"/>
          <w:szCs w:val="20"/>
        </w:rPr>
        <w:t>).Silver</w:t>
      </w:r>
      <w:proofErr w:type="gramEnd"/>
      <w:r>
        <w:rPr>
          <w:rFonts w:ascii="Arial" w:eastAsia="Arial" w:hAnsi="Arial" w:cs="Arial"/>
          <w:sz w:val="20"/>
          <w:szCs w:val="20"/>
        </w:rPr>
        <w:t xml:space="preserve"> nanoparticles as potential antibacterial agents.</w:t>
      </w:r>
      <w:r w:rsidR="002D4A9E">
        <w:rPr>
          <w:rFonts w:ascii="Arial" w:eastAsia="Arial" w:hAnsi="Arial" w:cs="Arial"/>
          <w:sz w:val="20"/>
          <w:szCs w:val="20"/>
        </w:rPr>
        <w:t xml:space="preserve"> </w:t>
      </w:r>
      <w:r>
        <w:rPr>
          <w:rFonts w:ascii="Arial" w:eastAsia="Arial" w:hAnsi="Arial" w:cs="Arial"/>
          <w:i/>
          <w:sz w:val="20"/>
          <w:szCs w:val="20"/>
        </w:rPr>
        <w:t>Molecules</w:t>
      </w:r>
      <w:r>
        <w:rPr>
          <w:rFonts w:ascii="Arial" w:eastAsia="Arial" w:hAnsi="Arial" w:cs="Arial"/>
          <w:sz w:val="20"/>
          <w:szCs w:val="20"/>
        </w:rPr>
        <w:t xml:space="preserve">, </w:t>
      </w:r>
      <w:r>
        <w:rPr>
          <w:rFonts w:ascii="Arial" w:eastAsia="Arial" w:hAnsi="Arial" w:cs="Arial"/>
          <w:i/>
          <w:sz w:val="20"/>
          <w:szCs w:val="20"/>
        </w:rPr>
        <w:t>20</w:t>
      </w:r>
      <w:r>
        <w:rPr>
          <w:rFonts w:ascii="Arial" w:eastAsia="Arial" w:hAnsi="Arial" w:cs="Arial"/>
          <w:sz w:val="20"/>
          <w:szCs w:val="20"/>
        </w:rPr>
        <w:t>(5), 8856–8874.</w:t>
      </w:r>
      <w:hyperlink r:id="rId26">
        <w:r>
          <w:rPr>
            <w:rFonts w:ascii="Arial" w:eastAsia="Arial" w:hAnsi="Arial" w:cs="Arial"/>
            <w:color w:val="0000FF"/>
            <w:sz w:val="20"/>
            <w:szCs w:val="20"/>
            <w:u w:val="single"/>
          </w:rPr>
          <w:t>https://doi.org/10.3390/molecules20058856</w:t>
        </w:r>
      </w:hyperlink>
    </w:p>
    <w:p w:rsidR="00DF4267" w:rsidRDefault="00A21A5F">
      <w:pPr>
        <w:pStyle w:val="Normal1"/>
        <w:jc w:val="both"/>
        <w:rPr>
          <w:rFonts w:ascii="Arial" w:eastAsia="Arial" w:hAnsi="Arial" w:cs="Arial"/>
          <w:sz w:val="20"/>
          <w:szCs w:val="20"/>
        </w:rPr>
      </w:pPr>
      <w:proofErr w:type="spellStart"/>
      <w:r>
        <w:rPr>
          <w:rFonts w:ascii="Arial" w:eastAsia="Arial" w:hAnsi="Arial" w:cs="Arial"/>
          <w:sz w:val="20"/>
          <w:szCs w:val="20"/>
        </w:rPr>
        <w:t>Hajipour</w:t>
      </w:r>
      <w:proofErr w:type="spellEnd"/>
      <w:r>
        <w:rPr>
          <w:rFonts w:ascii="Arial" w:eastAsia="Arial" w:hAnsi="Arial" w:cs="Arial"/>
          <w:sz w:val="20"/>
          <w:szCs w:val="20"/>
        </w:rPr>
        <w:t xml:space="preserve">, M. J., Fromm, K. M., </w:t>
      </w:r>
      <w:proofErr w:type="spellStart"/>
      <w:r>
        <w:rPr>
          <w:rFonts w:ascii="Arial" w:eastAsia="Arial" w:hAnsi="Arial" w:cs="Arial"/>
          <w:sz w:val="20"/>
          <w:szCs w:val="20"/>
        </w:rPr>
        <w:t>Ashkarran</w:t>
      </w:r>
      <w:proofErr w:type="spellEnd"/>
      <w:r>
        <w:rPr>
          <w:rFonts w:ascii="Arial" w:eastAsia="Arial" w:hAnsi="Arial" w:cs="Arial"/>
          <w:sz w:val="20"/>
          <w:szCs w:val="20"/>
        </w:rPr>
        <w:t xml:space="preserve">, A. A., de </w:t>
      </w:r>
      <w:proofErr w:type="spellStart"/>
      <w:r>
        <w:rPr>
          <w:rFonts w:ascii="Arial" w:eastAsia="Arial" w:hAnsi="Arial" w:cs="Arial"/>
          <w:sz w:val="20"/>
          <w:szCs w:val="20"/>
        </w:rPr>
        <w:t>Aberasturi</w:t>
      </w:r>
      <w:proofErr w:type="spellEnd"/>
      <w:r>
        <w:rPr>
          <w:rFonts w:ascii="Arial" w:eastAsia="Arial" w:hAnsi="Arial" w:cs="Arial"/>
          <w:sz w:val="20"/>
          <w:szCs w:val="20"/>
        </w:rPr>
        <w:t xml:space="preserve">, D. J., de </w:t>
      </w:r>
      <w:proofErr w:type="spellStart"/>
      <w:r>
        <w:rPr>
          <w:rFonts w:ascii="Arial" w:eastAsia="Arial" w:hAnsi="Arial" w:cs="Arial"/>
          <w:sz w:val="20"/>
          <w:szCs w:val="20"/>
        </w:rPr>
        <w:t>Larramendi</w:t>
      </w:r>
      <w:proofErr w:type="spellEnd"/>
      <w:r>
        <w:rPr>
          <w:rFonts w:ascii="Arial" w:eastAsia="Arial" w:hAnsi="Arial" w:cs="Arial"/>
          <w:sz w:val="20"/>
          <w:szCs w:val="20"/>
        </w:rPr>
        <w:t xml:space="preserve">, I. R., </w:t>
      </w:r>
      <w:proofErr w:type="spellStart"/>
      <w:r>
        <w:rPr>
          <w:rFonts w:ascii="Arial" w:eastAsia="Arial" w:hAnsi="Arial" w:cs="Arial"/>
          <w:sz w:val="20"/>
          <w:szCs w:val="20"/>
        </w:rPr>
        <w:t>Rojo</w:t>
      </w:r>
      <w:proofErr w:type="spellEnd"/>
      <w:r>
        <w:rPr>
          <w:rFonts w:ascii="Arial" w:eastAsia="Arial" w:hAnsi="Arial" w:cs="Arial"/>
          <w:sz w:val="20"/>
          <w:szCs w:val="20"/>
        </w:rPr>
        <w:t xml:space="preserve">, T., ... </w:t>
      </w:r>
      <w:proofErr w:type="spellStart"/>
      <w:r>
        <w:rPr>
          <w:rFonts w:ascii="Arial" w:eastAsia="Arial" w:hAnsi="Arial" w:cs="Arial"/>
          <w:sz w:val="20"/>
          <w:szCs w:val="20"/>
        </w:rPr>
        <w:t>Parak</w:t>
      </w:r>
      <w:proofErr w:type="spellEnd"/>
      <w:r>
        <w:rPr>
          <w:rFonts w:ascii="Arial" w:eastAsia="Arial" w:hAnsi="Arial" w:cs="Arial"/>
          <w:sz w:val="20"/>
          <w:szCs w:val="20"/>
        </w:rPr>
        <w:t xml:space="preserve">, W. J. (2012). Antibacterial properties of </w:t>
      </w:r>
      <w:proofErr w:type="spellStart"/>
      <w:proofErr w:type="gramStart"/>
      <w:r>
        <w:rPr>
          <w:rFonts w:ascii="Arial" w:eastAsia="Arial" w:hAnsi="Arial" w:cs="Arial"/>
          <w:sz w:val="20"/>
          <w:szCs w:val="20"/>
        </w:rPr>
        <w:t>nanoparticles.</w:t>
      </w:r>
      <w:r>
        <w:rPr>
          <w:rFonts w:ascii="Arial" w:eastAsia="Arial" w:hAnsi="Arial" w:cs="Arial"/>
          <w:i/>
          <w:sz w:val="20"/>
          <w:szCs w:val="20"/>
        </w:rPr>
        <w:t>Trends</w:t>
      </w:r>
      <w:proofErr w:type="spellEnd"/>
      <w:proofErr w:type="gramEnd"/>
      <w:r>
        <w:rPr>
          <w:rFonts w:ascii="Arial" w:eastAsia="Arial" w:hAnsi="Arial" w:cs="Arial"/>
          <w:i/>
          <w:sz w:val="20"/>
          <w:szCs w:val="20"/>
        </w:rPr>
        <w:t xml:space="preserve"> in Biotechnology</w:t>
      </w:r>
      <w:r>
        <w:rPr>
          <w:rFonts w:ascii="Arial" w:eastAsia="Arial" w:hAnsi="Arial" w:cs="Arial"/>
          <w:sz w:val="20"/>
          <w:szCs w:val="20"/>
        </w:rPr>
        <w:t xml:space="preserve">, </w:t>
      </w:r>
      <w:r>
        <w:rPr>
          <w:rFonts w:ascii="Arial" w:eastAsia="Arial" w:hAnsi="Arial" w:cs="Arial"/>
          <w:i/>
          <w:sz w:val="20"/>
          <w:szCs w:val="20"/>
        </w:rPr>
        <w:t>30</w:t>
      </w:r>
      <w:r>
        <w:rPr>
          <w:rFonts w:ascii="Arial" w:eastAsia="Arial" w:hAnsi="Arial" w:cs="Arial"/>
          <w:sz w:val="20"/>
          <w:szCs w:val="20"/>
        </w:rPr>
        <w:t xml:space="preserve">(10), 499–511. </w:t>
      </w:r>
      <w:hyperlink r:id="rId27">
        <w:r>
          <w:rPr>
            <w:rFonts w:ascii="Arial" w:eastAsia="Arial" w:hAnsi="Arial" w:cs="Arial"/>
            <w:color w:val="0000FF"/>
            <w:sz w:val="20"/>
            <w:szCs w:val="20"/>
            <w:u w:val="single"/>
          </w:rPr>
          <w:t>https://doi.org/10.1016/j.tibtech.2012.06.004</w:t>
        </w:r>
      </w:hyperlink>
    </w:p>
    <w:p w:rsidR="00DF4267" w:rsidRDefault="00A21A5F">
      <w:pPr>
        <w:pStyle w:val="Normal1"/>
        <w:jc w:val="both"/>
        <w:rPr>
          <w:rFonts w:ascii="Arial" w:eastAsia="Arial" w:hAnsi="Arial" w:cs="Arial"/>
          <w:sz w:val="20"/>
          <w:szCs w:val="20"/>
        </w:rPr>
      </w:pPr>
      <w:r>
        <w:rPr>
          <w:rFonts w:ascii="Arial" w:eastAsia="Arial" w:hAnsi="Arial" w:cs="Arial"/>
          <w:sz w:val="20"/>
          <w:szCs w:val="20"/>
        </w:rPr>
        <w:t>Rai, M., Deshmukh, S. D., Ingle, A. P., &amp;</w:t>
      </w:r>
      <w:proofErr w:type="spellStart"/>
      <w:r>
        <w:rPr>
          <w:rFonts w:ascii="Arial" w:eastAsia="Arial" w:hAnsi="Arial" w:cs="Arial"/>
          <w:sz w:val="20"/>
          <w:szCs w:val="20"/>
        </w:rPr>
        <w:t>Gade</w:t>
      </w:r>
      <w:proofErr w:type="spellEnd"/>
      <w:r>
        <w:rPr>
          <w:rFonts w:ascii="Arial" w:eastAsia="Arial" w:hAnsi="Arial" w:cs="Arial"/>
          <w:sz w:val="20"/>
          <w:szCs w:val="20"/>
        </w:rPr>
        <w:t xml:space="preserve">, A. K. (2016). Silver nanoparticles: The powerful </w:t>
      </w:r>
      <w:proofErr w:type="spellStart"/>
      <w:r>
        <w:rPr>
          <w:rFonts w:ascii="Arial" w:eastAsia="Arial" w:hAnsi="Arial" w:cs="Arial"/>
          <w:sz w:val="20"/>
          <w:szCs w:val="20"/>
        </w:rPr>
        <w:t>nanoweapon</w:t>
      </w:r>
      <w:proofErr w:type="spellEnd"/>
      <w:r>
        <w:rPr>
          <w:rFonts w:ascii="Arial" w:eastAsia="Arial" w:hAnsi="Arial" w:cs="Arial"/>
          <w:sz w:val="20"/>
          <w:szCs w:val="20"/>
        </w:rPr>
        <w:t xml:space="preserve"> against multidrug</w:t>
      </w:r>
      <w:r>
        <w:rPr>
          <w:rFonts w:ascii="Cambria Math" w:eastAsia="Cambria Math" w:hAnsi="Cambria Math" w:cs="Cambria Math"/>
          <w:sz w:val="20"/>
          <w:szCs w:val="20"/>
        </w:rPr>
        <w:t>‐</w:t>
      </w:r>
      <w:r>
        <w:rPr>
          <w:rFonts w:ascii="Arial" w:eastAsia="Arial" w:hAnsi="Arial" w:cs="Arial"/>
          <w:sz w:val="20"/>
          <w:szCs w:val="20"/>
        </w:rPr>
        <w:t xml:space="preserve">resistant bacteria. </w:t>
      </w:r>
      <w:r>
        <w:rPr>
          <w:rFonts w:ascii="Arial" w:eastAsia="Arial" w:hAnsi="Arial" w:cs="Arial"/>
          <w:i/>
          <w:sz w:val="20"/>
          <w:szCs w:val="20"/>
        </w:rPr>
        <w:t>Journal of Applied Microbiology</w:t>
      </w:r>
      <w:r>
        <w:rPr>
          <w:rFonts w:ascii="Arial" w:eastAsia="Arial" w:hAnsi="Arial" w:cs="Arial"/>
          <w:sz w:val="20"/>
          <w:szCs w:val="20"/>
        </w:rPr>
        <w:t xml:space="preserve">, </w:t>
      </w:r>
      <w:r>
        <w:rPr>
          <w:rFonts w:ascii="Arial" w:eastAsia="Arial" w:hAnsi="Arial" w:cs="Arial"/>
          <w:i/>
          <w:sz w:val="20"/>
          <w:szCs w:val="20"/>
        </w:rPr>
        <w:t>112</w:t>
      </w:r>
      <w:r>
        <w:rPr>
          <w:rFonts w:ascii="Arial" w:eastAsia="Arial" w:hAnsi="Arial" w:cs="Arial"/>
          <w:sz w:val="20"/>
          <w:szCs w:val="20"/>
        </w:rPr>
        <w:t xml:space="preserve">(5), 841–852. </w:t>
      </w:r>
      <w:hyperlink r:id="rId28">
        <w:r>
          <w:rPr>
            <w:rFonts w:ascii="Arial" w:eastAsia="Arial" w:hAnsi="Arial" w:cs="Arial"/>
            <w:color w:val="0000FF"/>
            <w:sz w:val="20"/>
            <w:szCs w:val="20"/>
            <w:u w:val="single"/>
          </w:rPr>
          <w:t>https://doi.org/10.1111/j.1365-2672.2012.05253.x</w:t>
        </w:r>
      </w:hyperlink>
    </w:p>
    <w:p w:rsidR="00DF4267" w:rsidRDefault="00A21A5F">
      <w:pPr>
        <w:pStyle w:val="Normal1"/>
        <w:jc w:val="both"/>
        <w:rPr>
          <w:rFonts w:ascii="Arial" w:eastAsia="Arial" w:hAnsi="Arial" w:cs="Arial"/>
          <w:sz w:val="20"/>
          <w:szCs w:val="20"/>
        </w:rPr>
      </w:pPr>
      <w:r>
        <w:rPr>
          <w:rFonts w:ascii="Arial" w:eastAsia="Arial" w:hAnsi="Arial" w:cs="Arial"/>
          <w:sz w:val="20"/>
          <w:szCs w:val="20"/>
        </w:rPr>
        <w:t>Singh, P., Kim, Y. J., Zhang, D., &amp; Yang, D. C. (2018</w:t>
      </w:r>
      <w:proofErr w:type="gramStart"/>
      <w:r>
        <w:rPr>
          <w:rFonts w:ascii="Arial" w:eastAsia="Arial" w:hAnsi="Arial" w:cs="Arial"/>
          <w:sz w:val="20"/>
          <w:szCs w:val="20"/>
        </w:rPr>
        <w:t>).Biological</w:t>
      </w:r>
      <w:proofErr w:type="gramEnd"/>
      <w:r>
        <w:rPr>
          <w:rFonts w:ascii="Arial" w:eastAsia="Arial" w:hAnsi="Arial" w:cs="Arial"/>
          <w:sz w:val="20"/>
          <w:szCs w:val="20"/>
        </w:rPr>
        <w:t xml:space="preserve"> synthesis of nanoparticles from plants and </w:t>
      </w:r>
      <w:proofErr w:type="spellStart"/>
      <w:r>
        <w:rPr>
          <w:rFonts w:ascii="Arial" w:eastAsia="Arial" w:hAnsi="Arial" w:cs="Arial"/>
          <w:sz w:val="20"/>
          <w:szCs w:val="20"/>
        </w:rPr>
        <w:t>microorganisms.</w:t>
      </w:r>
      <w:r>
        <w:rPr>
          <w:rFonts w:ascii="Arial" w:eastAsia="Arial" w:hAnsi="Arial" w:cs="Arial"/>
          <w:i/>
          <w:sz w:val="20"/>
          <w:szCs w:val="20"/>
        </w:rPr>
        <w:t>Trends</w:t>
      </w:r>
      <w:proofErr w:type="spellEnd"/>
      <w:r>
        <w:rPr>
          <w:rFonts w:ascii="Arial" w:eastAsia="Arial" w:hAnsi="Arial" w:cs="Arial"/>
          <w:i/>
          <w:sz w:val="20"/>
          <w:szCs w:val="20"/>
        </w:rPr>
        <w:t xml:space="preserve"> in Biotechnology</w:t>
      </w:r>
      <w:r>
        <w:rPr>
          <w:rFonts w:ascii="Arial" w:eastAsia="Arial" w:hAnsi="Arial" w:cs="Arial"/>
          <w:sz w:val="20"/>
          <w:szCs w:val="20"/>
        </w:rPr>
        <w:t xml:space="preserve">, </w:t>
      </w:r>
      <w:r>
        <w:rPr>
          <w:rFonts w:ascii="Arial" w:eastAsia="Arial" w:hAnsi="Arial" w:cs="Arial"/>
          <w:i/>
          <w:sz w:val="20"/>
          <w:szCs w:val="20"/>
        </w:rPr>
        <w:t>34</w:t>
      </w:r>
      <w:r>
        <w:rPr>
          <w:rFonts w:ascii="Arial" w:eastAsia="Arial" w:hAnsi="Arial" w:cs="Arial"/>
          <w:sz w:val="20"/>
          <w:szCs w:val="20"/>
        </w:rPr>
        <w:t xml:space="preserve">(7), 588–599. </w:t>
      </w:r>
      <w:hyperlink r:id="rId29">
        <w:r>
          <w:rPr>
            <w:rFonts w:ascii="Arial" w:eastAsia="Arial" w:hAnsi="Arial" w:cs="Arial"/>
            <w:color w:val="0000FF"/>
            <w:sz w:val="20"/>
            <w:szCs w:val="20"/>
            <w:u w:val="single"/>
          </w:rPr>
          <w:t>https://doi.org/10.1016/j.tibtech.2016.02.006</w:t>
        </w:r>
      </w:hyperlink>
    </w:p>
    <w:p w:rsidR="00DF4267" w:rsidRDefault="00A21A5F">
      <w:pPr>
        <w:pStyle w:val="Normal1"/>
        <w:jc w:val="both"/>
        <w:rPr>
          <w:rFonts w:ascii="Arial" w:eastAsia="Arial" w:hAnsi="Arial" w:cs="Arial"/>
          <w:sz w:val="20"/>
          <w:szCs w:val="20"/>
        </w:rPr>
      </w:pPr>
      <w:r>
        <w:rPr>
          <w:rFonts w:ascii="Arial" w:eastAsia="Arial" w:hAnsi="Arial" w:cs="Arial"/>
          <w:sz w:val="20"/>
          <w:szCs w:val="20"/>
        </w:rPr>
        <w:t xml:space="preserve">Durán, N., Durán, M., de Jesus, M. B., </w:t>
      </w:r>
      <w:proofErr w:type="spellStart"/>
      <w:r>
        <w:rPr>
          <w:rFonts w:ascii="Arial" w:eastAsia="Arial" w:hAnsi="Arial" w:cs="Arial"/>
          <w:sz w:val="20"/>
          <w:szCs w:val="20"/>
        </w:rPr>
        <w:t>Seabra</w:t>
      </w:r>
      <w:proofErr w:type="spellEnd"/>
      <w:r>
        <w:rPr>
          <w:rFonts w:ascii="Arial" w:eastAsia="Arial" w:hAnsi="Arial" w:cs="Arial"/>
          <w:sz w:val="20"/>
          <w:szCs w:val="20"/>
        </w:rPr>
        <w:t xml:space="preserve">, A. B., </w:t>
      </w:r>
      <w:proofErr w:type="spellStart"/>
      <w:r>
        <w:rPr>
          <w:rFonts w:ascii="Arial" w:eastAsia="Arial" w:hAnsi="Arial" w:cs="Arial"/>
          <w:sz w:val="20"/>
          <w:szCs w:val="20"/>
        </w:rPr>
        <w:t>Fávaro</w:t>
      </w:r>
      <w:proofErr w:type="spellEnd"/>
      <w:r>
        <w:rPr>
          <w:rFonts w:ascii="Arial" w:eastAsia="Arial" w:hAnsi="Arial" w:cs="Arial"/>
          <w:sz w:val="20"/>
          <w:szCs w:val="20"/>
        </w:rPr>
        <w:t>, W. J., &amp;</w:t>
      </w:r>
      <w:proofErr w:type="spellStart"/>
      <w:r>
        <w:rPr>
          <w:rFonts w:ascii="Arial" w:eastAsia="Arial" w:hAnsi="Arial" w:cs="Arial"/>
          <w:sz w:val="20"/>
          <w:szCs w:val="20"/>
        </w:rPr>
        <w:t>Nakazato</w:t>
      </w:r>
      <w:proofErr w:type="spellEnd"/>
      <w:r>
        <w:rPr>
          <w:rFonts w:ascii="Arial" w:eastAsia="Arial" w:hAnsi="Arial" w:cs="Arial"/>
          <w:sz w:val="20"/>
          <w:szCs w:val="20"/>
        </w:rPr>
        <w:t xml:space="preserve">, G. (2016). Silver nanoparticles: A new view on mechanistic aspects on antimicrobial activity. </w:t>
      </w:r>
      <w:r>
        <w:rPr>
          <w:rFonts w:ascii="Arial" w:eastAsia="Arial" w:hAnsi="Arial" w:cs="Arial"/>
          <w:i/>
          <w:sz w:val="20"/>
          <w:szCs w:val="20"/>
        </w:rPr>
        <w:t>Nanomedicine</w:t>
      </w:r>
      <w:r>
        <w:rPr>
          <w:rFonts w:ascii="Arial" w:eastAsia="Arial" w:hAnsi="Arial" w:cs="Arial"/>
          <w:sz w:val="20"/>
          <w:szCs w:val="20"/>
        </w:rPr>
        <w:t xml:space="preserve">, </w:t>
      </w:r>
      <w:r>
        <w:rPr>
          <w:rFonts w:ascii="Arial" w:eastAsia="Arial" w:hAnsi="Arial" w:cs="Arial"/>
          <w:i/>
          <w:sz w:val="20"/>
          <w:szCs w:val="20"/>
        </w:rPr>
        <w:t>12</w:t>
      </w:r>
      <w:r>
        <w:rPr>
          <w:rFonts w:ascii="Arial" w:eastAsia="Arial" w:hAnsi="Arial" w:cs="Arial"/>
          <w:sz w:val="20"/>
          <w:szCs w:val="20"/>
        </w:rPr>
        <w:t xml:space="preserve">(3), 789–799. </w:t>
      </w:r>
      <w:hyperlink r:id="rId30">
        <w:r>
          <w:rPr>
            <w:rFonts w:ascii="Arial" w:eastAsia="Arial" w:hAnsi="Arial" w:cs="Arial"/>
            <w:color w:val="0000FF"/>
            <w:sz w:val="20"/>
            <w:szCs w:val="20"/>
            <w:u w:val="single"/>
          </w:rPr>
          <w:t>https://doi.org/10.1016/j.nano.2015.11.016</w:t>
        </w:r>
      </w:hyperlink>
    </w:p>
    <w:p w:rsidR="00DF4267" w:rsidRDefault="00A21A5F">
      <w:pPr>
        <w:pStyle w:val="Normal1"/>
        <w:jc w:val="both"/>
        <w:rPr>
          <w:rFonts w:ascii="Arial" w:eastAsia="Arial" w:hAnsi="Arial" w:cs="Arial"/>
          <w:sz w:val="20"/>
          <w:szCs w:val="20"/>
        </w:rPr>
      </w:pPr>
      <w:proofErr w:type="spellStart"/>
      <w:r>
        <w:rPr>
          <w:rFonts w:ascii="Arial" w:eastAsia="Arial" w:hAnsi="Arial" w:cs="Arial"/>
          <w:sz w:val="20"/>
          <w:szCs w:val="20"/>
        </w:rPr>
        <w:t>Kalishwaralal</w:t>
      </w:r>
      <w:proofErr w:type="spellEnd"/>
      <w:r>
        <w:rPr>
          <w:rFonts w:ascii="Arial" w:eastAsia="Arial" w:hAnsi="Arial" w:cs="Arial"/>
          <w:sz w:val="20"/>
          <w:szCs w:val="20"/>
        </w:rPr>
        <w:t xml:space="preserve">, K., </w:t>
      </w:r>
      <w:proofErr w:type="spellStart"/>
      <w:r>
        <w:rPr>
          <w:rFonts w:ascii="Arial" w:eastAsia="Arial" w:hAnsi="Arial" w:cs="Arial"/>
          <w:sz w:val="20"/>
          <w:szCs w:val="20"/>
        </w:rPr>
        <w:t>BarathManiKanth</w:t>
      </w:r>
      <w:proofErr w:type="spellEnd"/>
      <w:r>
        <w:rPr>
          <w:rFonts w:ascii="Arial" w:eastAsia="Arial" w:hAnsi="Arial" w:cs="Arial"/>
          <w:sz w:val="20"/>
          <w:szCs w:val="20"/>
        </w:rPr>
        <w:t>, S., Pandian, S. R. K., Deepak, V., &amp;</w:t>
      </w:r>
      <w:proofErr w:type="spellStart"/>
      <w:r>
        <w:rPr>
          <w:rFonts w:ascii="Arial" w:eastAsia="Arial" w:hAnsi="Arial" w:cs="Arial"/>
          <w:sz w:val="20"/>
          <w:szCs w:val="20"/>
        </w:rPr>
        <w:t>Gurunathan</w:t>
      </w:r>
      <w:proofErr w:type="spellEnd"/>
      <w:r>
        <w:rPr>
          <w:rFonts w:ascii="Arial" w:eastAsia="Arial" w:hAnsi="Arial" w:cs="Arial"/>
          <w:sz w:val="20"/>
          <w:szCs w:val="20"/>
        </w:rPr>
        <w:t xml:space="preserve">, S. (2010). Silver nanoparticles impede the biofilm formation by </w:t>
      </w:r>
      <w:r>
        <w:rPr>
          <w:rFonts w:ascii="Arial" w:eastAsia="Arial" w:hAnsi="Arial" w:cs="Arial"/>
          <w:i/>
          <w:sz w:val="20"/>
          <w:szCs w:val="20"/>
        </w:rPr>
        <w:t>Pseudomonas aeruginosa</w:t>
      </w:r>
      <w:r>
        <w:rPr>
          <w:rFonts w:ascii="Arial" w:eastAsia="Arial" w:hAnsi="Arial" w:cs="Arial"/>
          <w:sz w:val="20"/>
          <w:szCs w:val="20"/>
        </w:rPr>
        <w:t xml:space="preserve"> and </w:t>
      </w:r>
      <w:r>
        <w:rPr>
          <w:rFonts w:ascii="Arial" w:eastAsia="Arial" w:hAnsi="Arial" w:cs="Arial"/>
          <w:i/>
          <w:sz w:val="20"/>
          <w:szCs w:val="20"/>
        </w:rPr>
        <w:t>Staphylococcus epidermidis</w:t>
      </w:r>
      <w:r>
        <w:rPr>
          <w:rFonts w:ascii="Arial" w:eastAsia="Arial" w:hAnsi="Arial" w:cs="Arial"/>
          <w:sz w:val="20"/>
          <w:szCs w:val="20"/>
        </w:rPr>
        <w:t xml:space="preserve">. </w:t>
      </w:r>
      <w:r>
        <w:rPr>
          <w:rFonts w:ascii="Arial" w:eastAsia="Arial" w:hAnsi="Arial" w:cs="Arial"/>
          <w:i/>
          <w:sz w:val="20"/>
          <w:szCs w:val="20"/>
        </w:rPr>
        <w:t xml:space="preserve">Colloids and Surfaces B: </w:t>
      </w:r>
      <w:proofErr w:type="spellStart"/>
      <w:r>
        <w:rPr>
          <w:rFonts w:ascii="Arial" w:eastAsia="Arial" w:hAnsi="Arial" w:cs="Arial"/>
          <w:i/>
          <w:sz w:val="20"/>
          <w:szCs w:val="20"/>
        </w:rPr>
        <w:t>Biointerfaces</w:t>
      </w:r>
      <w:proofErr w:type="spellEnd"/>
      <w:r>
        <w:rPr>
          <w:rFonts w:ascii="Arial" w:eastAsia="Arial" w:hAnsi="Arial" w:cs="Arial"/>
          <w:sz w:val="20"/>
          <w:szCs w:val="20"/>
        </w:rPr>
        <w:t xml:space="preserve">, </w:t>
      </w:r>
      <w:r>
        <w:rPr>
          <w:rFonts w:ascii="Arial" w:eastAsia="Arial" w:hAnsi="Arial" w:cs="Arial"/>
          <w:i/>
          <w:sz w:val="20"/>
          <w:szCs w:val="20"/>
        </w:rPr>
        <w:t>79</w:t>
      </w:r>
      <w:r>
        <w:rPr>
          <w:rFonts w:ascii="Arial" w:eastAsia="Arial" w:hAnsi="Arial" w:cs="Arial"/>
          <w:sz w:val="20"/>
          <w:szCs w:val="20"/>
        </w:rPr>
        <w:t xml:space="preserve">(2), 340–344. </w:t>
      </w:r>
      <w:hyperlink r:id="rId31">
        <w:r>
          <w:rPr>
            <w:rFonts w:ascii="Arial" w:eastAsia="Arial" w:hAnsi="Arial" w:cs="Arial"/>
            <w:color w:val="0000FF"/>
            <w:sz w:val="20"/>
            <w:szCs w:val="20"/>
            <w:u w:val="single"/>
          </w:rPr>
          <w:t>https://doi.org/10.1016/j.colsurfb.2010.04.014</w:t>
        </w:r>
      </w:hyperlink>
    </w:p>
    <w:p w:rsidR="00DF4267" w:rsidRDefault="00A21A5F">
      <w:pPr>
        <w:pStyle w:val="Normal1"/>
        <w:jc w:val="both"/>
        <w:rPr>
          <w:rFonts w:ascii="Arial" w:eastAsia="Arial" w:hAnsi="Arial" w:cs="Arial"/>
          <w:sz w:val="20"/>
          <w:szCs w:val="20"/>
        </w:rPr>
      </w:pPr>
      <w:r>
        <w:rPr>
          <w:rFonts w:ascii="Arial" w:eastAsia="Arial" w:hAnsi="Arial" w:cs="Arial"/>
          <w:sz w:val="20"/>
          <w:szCs w:val="20"/>
        </w:rPr>
        <w:t>Sarfraz, M., Iqbal, R., Khan, K. U., &amp;Minhas, M. U. (2022</w:t>
      </w:r>
      <w:proofErr w:type="gramStart"/>
      <w:r>
        <w:rPr>
          <w:rFonts w:ascii="Arial" w:eastAsia="Arial" w:hAnsi="Arial" w:cs="Arial"/>
          <w:sz w:val="20"/>
          <w:szCs w:val="20"/>
        </w:rPr>
        <w:t>).Carbopol</w:t>
      </w:r>
      <w:proofErr w:type="gramEnd"/>
      <w:r>
        <w:rPr>
          <w:rFonts w:ascii="Arial" w:eastAsia="Arial" w:hAnsi="Arial" w:cs="Arial"/>
          <w:sz w:val="20"/>
          <w:szCs w:val="20"/>
        </w:rPr>
        <w:t xml:space="preserve"> based hydrogels for itopride hydrochloride delivery: Synthesis, characterization and comparative assessment with various monomers. </w:t>
      </w:r>
      <w:r>
        <w:rPr>
          <w:rFonts w:ascii="Arial" w:eastAsia="Arial" w:hAnsi="Arial" w:cs="Arial"/>
          <w:i/>
          <w:sz w:val="20"/>
          <w:szCs w:val="20"/>
        </w:rPr>
        <w:t>Journal of Functional Biomaterials</w:t>
      </w:r>
      <w:r>
        <w:rPr>
          <w:rFonts w:ascii="Arial" w:eastAsia="Arial" w:hAnsi="Arial" w:cs="Arial"/>
          <w:sz w:val="20"/>
          <w:szCs w:val="20"/>
        </w:rPr>
        <w:t xml:space="preserve">, </w:t>
      </w:r>
      <w:r>
        <w:rPr>
          <w:rFonts w:ascii="Arial" w:eastAsia="Arial" w:hAnsi="Arial" w:cs="Arial"/>
          <w:i/>
          <w:sz w:val="20"/>
          <w:szCs w:val="20"/>
        </w:rPr>
        <w:t>13</w:t>
      </w:r>
      <w:r>
        <w:rPr>
          <w:rFonts w:ascii="Arial" w:eastAsia="Arial" w:hAnsi="Arial" w:cs="Arial"/>
          <w:sz w:val="20"/>
          <w:szCs w:val="20"/>
        </w:rPr>
        <w:t>(4), 295.</w:t>
      </w:r>
      <w:hyperlink r:id="rId32">
        <w:r>
          <w:rPr>
            <w:rFonts w:ascii="Arial" w:eastAsia="Arial" w:hAnsi="Arial" w:cs="Arial"/>
            <w:color w:val="0000FF"/>
            <w:sz w:val="20"/>
            <w:szCs w:val="20"/>
            <w:u w:val="single"/>
          </w:rPr>
          <w:t>https://doi.org/10.3390/jfb13040295</w:t>
        </w:r>
      </w:hyperlink>
    </w:p>
    <w:p w:rsidR="00DF4267" w:rsidRDefault="00A21A5F">
      <w:pPr>
        <w:pStyle w:val="Normal1"/>
        <w:jc w:val="both"/>
        <w:rPr>
          <w:rFonts w:ascii="Arial" w:eastAsia="Arial" w:hAnsi="Arial" w:cs="Arial"/>
          <w:sz w:val="20"/>
          <w:szCs w:val="20"/>
        </w:rPr>
      </w:pPr>
      <w:proofErr w:type="spellStart"/>
      <w:r>
        <w:rPr>
          <w:rFonts w:ascii="Arial" w:eastAsia="Arial" w:hAnsi="Arial" w:cs="Arial"/>
          <w:sz w:val="20"/>
          <w:szCs w:val="20"/>
        </w:rPr>
        <w:lastRenderedPageBreak/>
        <w:t>Shameli</w:t>
      </w:r>
      <w:proofErr w:type="spellEnd"/>
      <w:r>
        <w:rPr>
          <w:rFonts w:ascii="Arial" w:eastAsia="Arial" w:hAnsi="Arial" w:cs="Arial"/>
          <w:sz w:val="20"/>
          <w:szCs w:val="20"/>
        </w:rPr>
        <w:t xml:space="preserve">, K., Ahmad, M. B., </w:t>
      </w:r>
      <w:proofErr w:type="spellStart"/>
      <w:r>
        <w:rPr>
          <w:rFonts w:ascii="Arial" w:eastAsia="Arial" w:hAnsi="Arial" w:cs="Arial"/>
          <w:sz w:val="20"/>
          <w:szCs w:val="20"/>
        </w:rPr>
        <w:t>Zargar</w:t>
      </w:r>
      <w:proofErr w:type="spellEnd"/>
      <w:r>
        <w:rPr>
          <w:rFonts w:ascii="Arial" w:eastAsia="Arial" w:hAnsi="Arial" w:cs="Arial"/>
          <w:sz w:val="20"/>
          <w:szCs w:val="20"/>
        </w:rPr>
        <w:t xml:space="preserve">, M., </w:t>
      </w:r>
      <w:proofErr w:type="spellStart"/>
      <w:r>
        <w:rPr>
          <w:rFonts w:ascii="Arial" w:eastAsia="Arial" w:hAnsi="Arial" w:cs="Arial"/>
          <w:sz w:val="20"/>
          <w:szCs w:val="20"/>
        </w:rPr>
        <w:t>Yunus</w:t>
      </w:r>
      <w:proofErr w:type="spellEnd"/>
      <w:r>
        <w:rPr>
          <w:rFonts w:ascii="Arial" w:eastAsia="Arial" w:hAnsi="Arial" w:cs="Arial"/>
          <w:sz w:val="20"/>
          <w:szCs w:val="20"/>
        </w:rPr>
        <w:t>, W. M. Z. W., &amp; Ibrahim, N. A. (2012</w:t>
      </w:r>
      <w:proofErr w:type="gramStart"/>
      <w:r>
        <w:rPr>
          <w:rFonts w:ascii="Arial" w:eastAsia="Arial" w:hAnsi="Arial" w:cs="Arial"/>
          <w:sz w:val="20"/>
          <w:szCs w:val="20"/>
        </w:rPr>
        <w:t>).Green</w:t>
      </w:r>
      <w:proofErr w:type="gramEnd"/>
      <w:r>
        <w:rPr>
          <w:rFonts w:ascii="Arial" w:eastAsia="Arial" w:hAnsi="Arial" w:cs="Arial"/>
          <w:sz w:val="20"/>
          <w:szCs w:val="20"/>
        </w:rPr>
        <w:t xml:space="preserve"> biosynthesis of silver nanoparticles using </w:t>
      </w:r>
      <w:r>
        <w:rPr>
          <w:rFonts w:ascii="Arial" w:eastAsia="Arial" w:hAnsi="Arial" w:cs="Arial"/>
          <w:i/>
          <w:sz w:val="20"/>
          <w:szCs w:val="20"/>
        </w:rPr>
        <w:t>Curcuma longa</w:t>
      </w:r>
      <w:r>
        <w:rPr>
          <w:rFonts w:ascii="Arial" w:eastAsia="Arial" w:hAnsi="Arial" w:cs="Arial"/>
          <w:sz w:val="20"/>
          <w:szCs w:val="20"/>
        </w:rPr>
        <w:t xml:space="preserve"> tuber powder.</w:t>
      </w:r>
      <w:r w:rsidR="002D4A9E">
        <w:rPr>
          <w:rFonts w:ascii="Arial" w:eastAsia="Arial" w:hAnsi="Arial" w:cs="Arial"/>
          <w:sz w:val="20"/>
          <w:szCs w:val="20"/>
        </w:rPr>
        <w:t xml:space="preserve"> </w:t>
      </w:r>
      <w:r>
        <w:rPr>
          <w:rFonts w:ascii="Arial" w:eastAsia="Arial" w:hAnsi="Arial" w:cs="Arial"/>
          <w:i/>
          <w:sz w:val="20"/>
          <w:szCs w:val="20"/>
        </w:rPr>
        <w:t>International Journal of Nanomedicine</w:t>
      </w:r>
      <w:r>
        <w:rPr>
          <w:rFonts w:ascii="Arial" w:eastAsia="Arial" w:hAnsi="Arial" w:cs="Arial"/>
          <w:sz w:val="20"/>
          <w:szCs w:val="20"/>
        </w:rPr>
        <w:t xml:space="preserve">, </w:t>
      </w:r>
      <w:r>
        <w:rPr>
          <w:rFonts w:ascii="Arial" w:eastAsia="Arial" w:hAnsi="Arial" w:cs="Arial"/>
          <w:i/>
          <w:sz w:val="20"/>
          <w:szCs w:val="20"/>
        </w:rPr>
        <w:t>7</w:t>
      </w:r>
      <w:r>
        <w:rPr>
          <w:rFonts w:ascii="Arial" w:eastAsia="Arial" w:hAnsi="Arial" w:cs="Arial"/>
          <w:sz w:val="20"/>
          <w:szCs w:val="20"/>
        </w:rPr>
        <w:t xml:space="preserve">, 5603–5610. </w:t>
      </w:r>
      <w:hyperlink r:id="rId33">
        <w:r>
          <w:rPr>
            <w:rFonts w:ascii="Arial" w:eastAsia="Arial" w:hAnsi="Arial" w:cs="Arial"/>
            <w:color w:val="0000FF"/>
            <w:sz w:val="20"/>
            <w:szCs w:val="20"/>
            <w:u w:val="single"/>
          </w:rPr>
          <w:t>https://doi.org/10.2147/IJN.S36868</w:t>
        </w:r>
      </w:hyperlink>
    </w:p>
    <w:p w:rsidR="00DF4267" w:rsidRDefault="00DF4267">
      <w:pPr>
        <w:pStyle w:val="Normal1"/>
        <w:jc w:val="both"/>
        <w:rPr>
          <w:rFonts w:ascii="Arial" w:eastAsia="Arial" w:hAnsi="Arial" w:cs="Arial"/>
          <w:sz w:val="20"/>
          <w:szCs w:val="20"/>
        </w:rPr>
      </w:pPr>
    </w:p>
    <w:p w:rsidR="00DF4267" w:rsidRDefault="00DF4267">
      <w:pPr>
        <w:pStyle w:val="Normal1"/>
        <w:jc w:val="both"/>
        <w:rPr>
          <w:rFonts w:ascii="Arial" w:eastAsia="Arial" w:hAnsi="Arial" w:cs="Arial"/>
          <w:sz w:val="20"/>
          <w:szCs w:val="20"/>
        </w:rPr>
      </w:pPr>
    </w:p>
    <w:p w:rsidR="00DF4267" w:rsidRDefault="00DF4267">
      <w:pPr>
        <w:pStyle w:val="Normal1"/>
        <w:jc w:val="both"/>
        <w:rPr>
          <w:rFonts w:ascii="Arial" w:eastAsia="Arial" w:hAnsi="Arial" w:cs="Arial"/>
          <w:sz w:val="20"/>
          <w:szCs w:val="20"/>
        </w:rPr>
      </w:pPr>
    </w:p>
    <w:p w:rsidR="00DF4267" w:rsidRDefault="00DF4267">
      <w:pPr>
        <w:pStyle w:val="Normal1"/>
        <w:jc w:val="both"/>
        <w:rPr>
          <w:rFonts w:ascii="Arial" w:eastAsia="Arial" w:hAnsi="Arial" w:cs="Arial"/>
          <w:sz w:val="20"/>
          <w:szCs w:val="20"/>
        </w:rPr>
      </w:pPr>
    </w:p>
    <w:p w:rsidR="00DF4267" w:rsidRDefault="00DF4267">
      <w:pPr>
        <w:pStyle w:val="Normal1"/>
        <w:jc w:val="both"/>
        <w:rPr>
          <w:rFonts w:ascii="Arial" w:eastAsia="Arial" w:hAnsi="Arial" w:cs="Arial"/>
          <w:sz w:val="20"/>
          <w:szCs w:val="20"/>
        </w:rPr>
      </w:pPr>
    </w:p>
    <w:p w:rsidR="00DF4267" w:rsidRDefault="00DF4267">
      <w:pPr>
        <w:pStyle w:val="Normal1"/>
        <w:jc w:val="both"/>
        <w:rPr>
          <w:rFonts w:ascii="Arial" w:eastAsia="Arial" w:hAnsi="Arial" w:cs="Arial"/>
          <w:sz w:val="20"/>
          <w:szCs w:val="20"/>
        </w:rPr>
      </w:pPr>
    </w:p>
    <w:p w:rsidR="00DF4267" w:rsidRDefault="00DF4267">
      <w:pPr>
        <w:pStyle w:val="Normal1"/>
        <w:jc w:val="both"/>
        <w:rPr>
          <w:rFonts w:ascii="Arial" w:eastAsia="Arial" w:hAnsi="Arial" w:cs="Arial"/>
          <w:sz w:val="20"/>
          <w:szCs w:val="20"/>
        </w:rPr>
      </w:pPr>
    </w:p>
    <w:sectPr w:rsidR="00DF4267" w:rsidSect="00DF4267">
      <w:headerReference w:type="even" r:id="rId34"/>
      <w:headerReference w:type="default" r:id="rId35"/>
      <w:footerReference w:type="even" r:id="rId36"/>
      <w:footerReference w:type="default" r:id="rId37"/>
      <w:headerReference w:type="first" r:id="rId38"/>
      <w:footerReference w:type="first" r:id="rId39"/>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4CBB" w:rsidRDefault="00404CBB" w:rsidP="00DF4267">
      <w:pPr>
        <w:spacing w:after="0" w:line="240" w:lineRule="auto"/>
      </w:pPr>
      <w:r>
        <w:separator/>
      </w:r>
    </w:p>
  </w:endnote>
  <w:endnote w:type="continuationSeparator" w:id="0">
    <w:p w:rsidR="00404CBB" w:rsidRDefault="00404CBB" w:rsidP="00DF42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6A3E" w:rsidRDefault="005D6A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4267" w:rsidRDefault="00DF4267">
    <w:pPr>
      <w:pStyle w:val="Normal1"/>
      <w:pBdr>
        <w:top w:val="nil"/>
        <w:left w:val="nil"/>
        <w:bottom w:val="nil"/>
        <w:right w:val="nil"/>
        <w:between w:val="nil"/>
      </w:pBdr>
      <w:tabs>
        <w:tab w:val="center" w:pos="4513"/>
        <w:tab w:val="right" w:pos="9026"/>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6A3E" w:rsidRDefault="005D6A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4CBB" w:rsidRDefault="00404CBB" w:rsidP="00DF4267">
      <w:pPr>
        <w:spacing w:after="0" w:line="240" w:lineRule="auto"/>
      </w:pPr>
      <w:r>
        <w:separator/>
      </w:r>
    </w:p>
  </w:footnote>
  <w:footnote w:type="continuationSeparator" w:id="0">
    <w:p w:rsidR="00404CBB" w:rsidRDefault="00404CBB" w:rsidP="00DF42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6A3E" w:rsidRDefault="00404CB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709563"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6A3E" w:rsidRDefault="00404CB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709564"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6A3E" w:rsidRDefault="00404CB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709562"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B7E0468"/>
    <w:multiLevelType w:val="multilevel"/>
    <w:tmpl w:val="88AE2478"/>
    <w:lvl w:ilvl="0">
      <w:start w:val="1"/>
      <w:numFmt w:val="decimal"/>
      <w:lvlText w:val="%1."/>
      <w:lvlJc w:val="left"/>
      <w:pPr>
        <w:ind w:left="720" w:hanging="360"/>
      </w:pPr>
    </w:lvl>
    <w:lvl w:ilvl="1">
      <w:start w:val="1"/>
      <w:numFmt w:val="decimal"/>
      <w:lvlText w:val="%1.%2."/>
      <w:lvlJc w:val="left"/>
      <w:pPr>
        <w:ind w:left="1080" w:hanging="720"/>
      </w:pPr>
      <w:rPr>
        <w:i w:val="0"/>
      </w:r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tDQwMTUzMTAztzA3tDRR0lEKTi0uzszPAykwrAUAGyBimiwAAAA="/>
  </w:docVars>
  <w:rsids>
    <w:rsidRoot w:val="00DF4267"/>
    <w:rsid w:val="00003605"/>
    <w:rsid w:val="00060448"/>
    <w:rsid w:val="00070CAF"/>
    <w:rsid w:val="00093A2C"/>
    <w:rsid w:val="000D1473"/>
    <w:rsid w:val="000E5574"/>
    <w:rsid w:val="00101D0A"/>
    <w:rsid w:val="0018171B"/>
    <w:rsid w:val="00193688"/>
    <w:rsid w:val="002C413A"/>
    <w:rsid w:val="002C7B4E"/>
    <w:rsid w:val="002D4A9E"/>
    <w:rsid w:val="00333E7E"/>
    <w:rsid w:val="00366B94"/>
    <w:rsid w:val="0037028E"/>
    <w:rsid w:val="00387A2F"/>
    <w:rsid w:val="00394AF5"/>
    <w:rsid w:val="003A502C"/>
    <w:rsid w:val="003C0ED8"/>
    <w:rsid w:val="003F6DFE"/>
    <w:rsid w:val="00404CBB"/>
    <w:rsid w:val="00411EBF"/>
    <w:rsid w:val="00426643"/>
    <w:rsid w:val="004A2DBB"/>
    <w:rsid w:val="004D0DED"/>
    <w:rsid w:val="004D75C4"/>
    <w:rsid w:val="004E2C93"/>
    <w:rsid w:val="004F4038"/>
    <w:rsid w:val="00513173"/>
    <w:rsid w:val="00550EC2"/>
    <w:rsid w:val="005C0DB8"/>
    <w:rsid w:val="005D6A3E"/>
    <w:rsid w:val="00667DDB"/>
    <w:rsid w:val="00696D55"/>
    <w:rsid w:val="006B38D2"/>
    <w:rsid w:val="006C6A99"/>
    <w:rsid w:val="006D3CB0"/>
    <w:rsid w:val="007A53BB"/>
    <w:rsid w:val="007A7807"/>
    <w:rsid w:val="0081309E"/>
    <w:rsid w:val="00864015"/>
    <w:rsid w:val="008B268E"/>
    <w:rsid w:val="008C2213"/>
    <w:rsid w:val="008D556E"/>
    <w:rsid w:val="00937CB6"/>
    <w:rsid w:val="009A0DCC"/>
    <w:rsid w:val="009B1BEE"/>
    <w:rsid w:val="009B41DB"/>
    <w:rsid w:val="00A21A5F"/>
    <w:rsid w:val="00A36536"/>
    <w:rsid w:val="00A4178A"/>
    <w:rsid w:val="00AA45E6"/>
    <w:rsid w:val="00B24FD6"/>
    <w:rsid w:val="00B618FD"/>
    <w:rsid w:val="00BF360B"/>
    <w:rsid w:val="00CB5AEC"/>
    <w:rsid w:val="00D036F1"/>
    <w:rsid w:val="00D43960"/>
    <w:rsid w:val="00D6344D"/>
    <w:rsid w:val="00D6518D"/>
    <w:rsid w:val="00D96080"/>
    <w:rsid w:val="00DA6FEA"/>
    <w:rsid w:val="00DF4267"/>
    <w:rsid w:val="00E05FBA"/>
    <w:rsid w:val="00E37D44"/>
    <w:rsid w:val="00EE04CD"/>
    <w:rsid w:val="00F078BE"/>
    <w:rsid w:val="00F32638"/>
    <w:rsid w:val="00F44C00"/>
    <w:rsid w:val="00F450AC"/>
    <w:rsid w:val="00FA4297"/>
    <w:rsid w:val="00FC5EC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rules v:ext="edit">
        <o:r id="V:Rule1" type="connector" idref="#Straight Arrow Connector 1"/>
      </o:rules>
    </o:shapelayout>
  </w:shapeDefaults>
  <w:decimalSymbol w:val="."/>
  <w:listSeparator w:val=","/>
  <w14:docId w14:val="3121D04D"/>
  <w15:docId w15:val="{83519E32-333D-4013-9E19-632D80827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I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A0DCC"/>
  </w:style>
  <w:style w:type="paragraph" w:styleId="Heading1">
    <w:name w:val="heading 1"/>
    <w:basedOn w:val="Normal1"/>
    <w:next w:val="Normal1"/>
    <w:rsid w:val="00DF4267"/>
    <w:pPr>
      <w:keepNext/>
      <w:keepLines/>
      <w:spacing w:before="480" w:after="120"/>
      <w:outlineLvl w:val="0"/>
    </w:pPr>
    <w:rPr>
      <w:b/>
      <w:sz w:val="48"/>
      <w:szCs w:val="48"/>
    </w:rPr>
  </w:style>
  <w:style w:type="paragraph" w:styleId="Heading2">
    <w:name w:val="heading 2"/>
    <w:basedOn w:val="Normal1"/>
    <w:next w:val="Normal1"/>
    <w:rsid w:val="00DF4267"/>
    <w:pPr>
      <w:keepNext/>
      <w:keepLines/>
      <w:spacing w:before="360" w:after="80"/>
      <w:outlineLvl w:val="1"/>
    </w:pPr>
    <w:rPr>
      <w:b/>
      <w:sz w:val="36"/>
      <w:szCs w:val="36"/>
    </w:rPr>
  </w:style>
  <w:style w:type="paragraph" w:styleId="Heading3">
    <w:name w:val="heading 3"/>
    <w:basedOn w:val="Normal1"/>
    <w:next w:val="Normal1"/>
    <w:rsid w:val="00DF4267"/>
    <w:pPr>
      <w:keepNext/>
      <w:keepLines/>
      <w:spacing w:before="280" w:after="80"/>
      <w:outlineLvl w:val="2"/>
    </w:pPr>
    <w:rPr>
      <w:b/>
      <w:sz w:val="28"/>
      <w:szCs w:val="28"/>
    </w:rPr>
  </w:style>
  <w:style w:type="paragraph" w:styleId="Heading4">
    <w:name w:val="heading 4"/>
    <w:basedOn w:val="Normal1"/>
    <w:next w:val="Normal1"/>
    <w:rsid w:val="00DF4267"/>
    <w:pPr>
      <w:keepNext/>
      <w:keepLines/>
      <w:spacing w:before="240" w:after="40"/>
      <w:outlineLvl w:val="3"/>
    </w:pPr>
    <w:rPr>
      <w:b/>
      <w:sz w:val="24"/>
      <w:szCs w:val="24"/>
    </w:rPr>
  </w:style>
  <w:style w:type="paragraph" w:styleId="Heading5">
    <w:name w:val="heading 5"/>
    <w:basedOn w:val="Normal1"/>
    <w:next w:val="Normal1"/>
    <w:rsid w:val="00DF4267"/>
    <w:pPr>
      <w:keepNext/>
      <w:keepLines/>
      <w:spacing w:before="220" w:after="40"/>
      <w:outlineLvl w:val="4"/>
    </w:pPr>
    <w:rPr>
      <w:b/>
    </w:rPr>
  </w:style>
  <w:style w:type="paragraph" w:styleId="Heading6">
    <w:name w:val="heading 6"/>
    <w:basedOn w:val="Normal1"/>
    <w:next w:val="Normal1"/>
    <w:rsid w:val="00DF4267"/>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DF4267"/>
  </w:style>
  <w:style w:type="table" w:customStyle="1" w:styleId="TableNormal0">
    <w:name w:val="TableNormal"/>
    <w:rsid w:val="00DF4267"/>
    <w:tblPr>
      <w:tblCellMar>
        <w:top w:w="0" w:type="dxa"/>
        <w:left w:w="0" w:type="dxa"/>
        <w:bottom w:w="0" w:type="dxa"/>
        <w:right w:w="0" w:type="dxa"/>
      </w:tblCellMar>
    </w:tblPr>
  </w:style>
  <w:style w:type="paragraph" w:styleId="Title">
    <w:name w:val="Title"/>
    <w:basedOn w:val="Normal1"/>
    <w:next w:val="Normal1"/>
    <w:rsid w:val="00DF4267"/>
    <w:pPr>
      <w:keepNext/>
      <w:keepLines/>
      <w:spacing w:before="480" w:after="120"/>
    </w:pPr>
    <w:rPr>
      <w:b/>
      <w:sz w:val="72"/>
      <w:szCs w:val="72"/>
    </w:rPr>
  </w:style>
  <w:style w:type="paragraph" w:styleId="Subtitle">
    <w:name w:val="Subtitle"/>
    <w:basedOn w:val="Normal1"/>
    <w:next w:val="Normal1"/>
    <w:rsid w:val="00DF4267"/>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333E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3E7E"/>
    <w:rPr>
      <w:rFonts w:ascii="Tahoma" w:hAnsi="Tahoma" w:cs="Tahoma"/>
      <w:sz w:val="16"/>
      <w:szCs w:val="16"/>
    </w:rPr>
  </w:style>
  <w:style w:type="paragraph" w:styleId="Header">
    <w:name w:val="header"/>
    <w:basedOn w:val="Normal"/>
    <w:link w:val="HeaderChar"/>
    <w:uiPriority w:val="99"/>
    <w:unhideWhenUsed/>
    <w:rsid w:val="00093A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3A2C"/>
  </w:style>
  <w:style w:type="paragraph" w:styleId="Footer">
    <w:name w:val="footer"/>
    <w:basedOn w:val="Normal"/>
    <w:link w:val="FooterChar"/>
    <w:uiPriority w:val="99"/>
    <w:unhideWhenUsed/>
    <w:rsid w:val="00093A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3A2C"/>
  </w:style>
  <w:style w:type="character" w:styleId="Hyperlink">
    <w:name w:val="Hyperlink"/>
    <w:basedOn w:val="DefaultParagraphFont"/>
    <w:uiPriority w:val="99"/>
    <w:unhideWhenUsed/>
    <w:rsid w:val="00A4178A"/>
    <w:rPr>
      <w:color w:val="0000FF" w:themeColor="hyperlink"/>
      <w:u w:val="single"/>
    </w:rPr>
  </w:style>
  <w:style w:type="character" w:customStyle="1" w:styleId="UnresolvedMention1">
    <w:name w:val="Unresolved Mention1"/>
    <w:basedOn w:val="DefaultParagraphFont"/>
    <w:uiPriority w:val="99"/>
    <w:semiHidden/>
    <w:unhideWhenUsed/>
    <w:rsid w:val="005C0DB8"/>
    <w:rPr>
      <w:color w:val="605E5C"/>
      <w:shd w:val="clear" w:color="auto" w:fill="E1DFDD"/>
    </w:rPr>
  </w:style>
  <w:style w:type="character" w:styleId="CommentReference">
    <w:name w:val="annotation reference"/>
    <w:basedOn w:val="DefaultParagraphFont"/>
    <w:uiPriority w:val="99"/>
    <w:semiHidden/>
    <w:unhideWhenUsed/>
    <w:rsid w:val="00EE04CD"/>
    <w:rPr>
      <w:sz w:val="16"/>
      <w:szCs w:val="16"/>
    </w:rPr>
  </w:style>
  <w:style w:type="paragraph" w:styleId="CommentText">
    <w:name w:val="annotation text"/>
    <w:basedOn w:val="Normal"/>
    <w:link w:val="CommentTextChar"/>
    <w:uiPriority w:val="99"/>
    <w:semiHidden/>
    <w:unhideWhenUsed/>
    <w:rsid w:val="00EE04CD"/>
    <w:pPr>
      <w:spacing w:line="240" w:lineRule="auto"/>
    </w:pPr>
    <w:rPr>
      <w:sz w:val="20"/>
      <w:szCs w:val="20"/>
    </w:rPr>
  </w:style>
  <w:style w:type="character" w:customStyle="1" w:styleId="CommentTextChar">
    <w:name w:val="Comment Text Char"/>
    <w:basedOn w:val="DefaultParagraphFont"/>
    <w:link w:val="CommentText"/>
    <w:uiPriority w:val="99"/>
    <w:semiHidden/>
    <w:rsid w:val="00EE04CD"/>
    <w:rPr>
      <w:sz w:val="20"/>
      <w:szCs w:val="20"/>
    </w:rPr>
  </w:style>
  <w:style w:type="paragraph" w:styleId="CommentSubject">
    <w:name w:val="annotation subject"/>
    <w:basedOn w:val="CommentText"/>
    <w:next w:val="CommentText"/>
    <w:link w:val="CommentSubjectChar"/>
    <w:uiPriority w:val="99"/>
    <w:semiHidden/>
    <w:unhideWhenUsed/>
    <w:rsid w:val="00EE04CD"/>
    <w:rPr>
      <w:b/>
      <w:bCs/>
    </w:rPr>
  </w:style>
  <w:style w:type="character" w:customStyle="1" w:styleId="CommentSubjectChar">
    <w:name w:val="Comment Subject Char"/>
    <w:basedOn w:val="CommentTextChar"/>
    <w:link w:val="CommentSubject"/>
    <w:uiPriority w:val="99"/>
    <w:semiHidden/>
    <w:rsid w:val="00EE04C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2701773">
      <w:bodyDiv w:val="1"/>
      <w:marLeft w:val="0"/>
      <w:marRight w:val="0"/>
      <w:marTop w:val="0"/>
      <w:marBottom w:val="0"/>
      <w:divBdr>
        <w:top w:val="none" w:sz="0" w:space="0" w:color="auto"/>
        <w:left w:val="none" w:sz="0" w:space="0" w:color="auto"/>
        <w:bottom w:val="none" w:sz="0" w:space="0" w:color="auto"/>
        <w:right w:val="none" w:sz="0" w:space="0" w:color="auto"/>
      </w:divBdr>
    </w:div>
    <w:div w:id="16045339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doi.org/10.1016/j.jff.2022.105380" TargetMode="External"/><Relationship Id="rId18" Type="http://schemas.openxmlformats.org/officeDocument/2006/relationships/hyperlink" Target="https://doi.org/10.4155/tde.13.46" TargetMode="External"/><Relationship Id="rId26" Type="http://schemas.openxmlformats.org/officeDocument/2006/relationships/hyperlink" Target="https://doi.org/10.3390/molecules20058856" TargetMode="External"/><Relationship Id="rId39" Type="http://schemas.openxmlformats.org/officeDocument/2006/relationships/footer" Target="footer3.xml"/><Relationship Id="rId21" Type="http://schemas.openxmlformats.org/officeDocument/2006/relationships/hyperlink" Target="https://doi.org/10.1155/2013/980390" TargetMode="External"/><Relationship Id="rId34"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i.org/10.1039/C1GC15386B" TargetMode="External"/><Relationship Id="rId20" Type="http://schemas.openxmlformats.org/officeDocument/2006/relationships/hyperlink" Target="https://doi.org/10.1098/rsos.200296" TargetMode="External"/><Relationship Id="rId29" Type="http://schemas.openxmlformats.org/officeDocument/2006/relationships/hyperlink" Target="https://doi.org/10.1016/j.tibtech.2016.02.006"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s://doi.org/10.13005/bbra/3395" TargetMode="External"/><Relationship Id="rId32" Type="http://schemas.openxmlformats.org/officeDocument/2006/relationships/hyperlink" Target="https://doi.org/10.3390/jfb13040295" TargetMode="External"/><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oi.org/10.1016/j.cplett.2008.08.039" TargetMode="External"/><Relationship Id="rId23" Type="http://schemas.openxmlformats.org/officeDocument/2006/relationships/hyperlink" Target="https://doi.org/10.1038/s41596-021-00515-3" TargetMode="External"/><Relationship Id="rId28" Type="http://schemas.openxmlformats.org/officeDocument/2006/relationships/hyperlink" Target="https://doi.org/10.1111/j.1365-2672.2012.05253.x" TargetMode="External"/><Relationship Id="rId36"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hyperlink" Target="https://doi.org/10.1088/1742-6596/1706/1/012020" TargetMode="External"/><Relationship Id="rId31" Type="http://schemas.openxmlformats.org/officeDocument/2006/relationships/hyperlink" Target="https://doi.org/10.1016/j.colsurfb.2010.04.014" TargetMode="Externa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hyperlink" Target="https://doi.org/10.1016/j.lwt.2019.04.043" TargetMode="External"/><Relationship Id="rId22" Type="http://schemas.openxmlformats.org/officeDocument/2006/relationships/hyperlink" Target="https://doi.org/10.22159/ijcpr.2017v9i1.16623" TargetMode="External"/><Relationship Id="rId27" Type="http://schemas.openxmlformats.org/officeDocument/2006/relationships/hyperlink" Target="https://doi.org/10.1016/j.tibtech.2012.06.004" TargetMode="External"/><Relationship Id="rId30" Type="http://schemas.openxmlformats.org/officeDocument/2006/relationships/hyperlink" Target="https://doi.org/10.1016/j.nano.2015.11.016" TargetMode="External"/><Relationship Id="rId35" Type="http://schemas.openxmlformats.org/officeDocument/2006/relationships/header" Target="header2.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image" Target="media/image4.png"/><Relationship Id="rId17" Type="http://schemas.openxmlformats.org/officeDocument/2006/relationships/hyperlink" Target="https://doi.org/10.3390/pharmaceutics17070805" TargetMode="External"/><Relationship Id="rId25" Type="http://schemas.openxmlformats.org/officeDocument/2006/relationships/hyperlink" Target="https://doi.org/10.1016/j.jare.2015.02.007" TargetMode="External"/><Relationship Id="rId33" Type="http://schemas.openxmlformats.org/officeDocument/2006/relationships/hyperlink" Target="https://doi.org/10.2147/IJN.S36868" TargetMode="External"/><Relationship Id="rId38"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5CAC89-3FE5-48F0-A124-6950B9F64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12</Pages>
  <Words>5280</Words>
  <Characters>30097</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CBNR-2</dc:creator>
  <cp:lastModifiedBy>SDI 1186</cp:lastModifiedBy>
  <cp:revision>18</cp:revision>
  <dcterms:created xsi:type="dcterms:W3CDTF">2025-08-12T03:28:00Z</dcterms:created>
  <dcterms:modified xsi:type="dcterms:W3CDTF">2025-08-12T06:41:00Z</dcterms:modified>
</cp:coreProperties>
</file>