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90D4" w14:textId="0021AE0C" w:rsidR="007C0EEF" w:rsidRPr="007C0EEF" w:rsidRDefault="007C0EEF" w:rsidP="007C0EEF">
      <w:pPr>
        <w:spacing w:before="100" w:beforeAutospacing="1" w:after="100" w:afterAutospacing="1" w:line="240" w:lineRule="auto"/>
        <w:jc w:val="center"/>
        <w:rPr>
          <w:rFonts w:ascii="Times New Roman" w:eastAsia="Times New Roman" w:hAnsi="Times New Roman" w:cs="Times New Roman"/>
          <w:color w:val="548DD4" w:themeColor="text2" w:themeTint="99"/>
          <w:sz w:val="36"/>
          <w:szCs w:val="36"/>
          <w:lang w:val="en-IN" w:eastAsia="en-IN"/>
        </w:rPr>
      </w:pPr>
      <w:r w:rsidRPr="007C0EEF">
        <w:rPr>
          <w:rFonts w:ascii="Times New Roman" w:eastAsia="Times New Roman" w:hAnsi="Times New Roman" w:cs="Times New Roman"/>
          <w:b/>
          <w:bCs/>
          <w:color w:val="548DD4" w:themeColor="text2" w:themeTint="99"/>
          <w:sz w:val="36"/>
          <w:szCs w:val="36"/>
          <w:lang w:val="en-IN" w:eastAsia="en-IN"/>
        </w:rPr>
        <w:t xml:space="preserve">Comparative Analysis of Wet Mount and Concentration Methods for Detecting Intestinal Parasites in </w:t>
      </w:r>
      <w:proofErr w:type="spellStart"/>
      <w:r w:rsidRPr="007C0EEF">
        <w:rPr>
          <w:rFonts w:ascii="Times New Roman" w:eastAsia="Times New Roman" w:hAnsi="Times New Roman" w:cs="Times New Roman"/>
          <w:b/>
          <w:bCs/>
          <w:color w:val="548DD4" w:themeColor="text2" w:themeTint="99"/>
          <w:sz w:val="36"/>
          <w:szCs w:val="36"/>
          <w:lang w:val="en-IN" w:eastAsia="en-IN"/>
        </w:rPr>
        <w:t>Fecal</w:t>
      </w:r>
      <w:proofErr w:type="spellEnd"/>
      <w:r w:rsidRPr="007C0EEF">
        <w:rPr>
          <w:rFonts w:ascii="Times New Roman" w:eastAsia="Times New Roman" w:hAnsi="Times New Roman" w:cs="Times New Roman"/>
          <w:b/>
          <w:bCs/>
          <w:color w:val="548DD4" w:themeColor="text2" w:themeTint="99"/>
          <w:sz w:val="36"/>
          <w:szCs w:val="36"/>
          <w:lang w:val="en-IN" w:eastAsia="en-IN"/>
        </w:rPr>
        <w:t xml:space="preserve"> Specimens</w:t>
      </w:r>
    </w:p>
    <w:p w14:paraId="6A2D3FD2" w14:textId="2782721A" w:rsidR="00574651" w:rsidRDefault="00574651">
      <w:pPr>
        <w:pStyle w:val="Title"/>
      </w:pPr>
    </w:p>
    <w:p w14:paraId="56580E07" w14:textId="77777777" w:rsidR="00574651" w:rsidRPr="00A02A4F" w:rsidRDefault="00A64B10" w:rsidP="00A02A4F">
      <w:pPr>
        <w:pStyle w:val="Heading1"/>
        <w:jc w:val="both"/>
        <w:rPr>
          <w:rFonts w:ascii="Times New Roman" w:hAnsi="Times New Roman" w:cs="Times New Roman"/>
          <w:sz w:val="20"/>
          <w:szCs w:val="20"/>
        </w:rPr>
      </w:pPr>
      <w:r w:rsidRPr="00A02A4F">
        <w:rPr>
          <w:rFonts w:ascii="Times New Roman" w:hAnsi="Times New Roman" w:cs="Times New Roman"/>
          <w:sz w:val="20"/>
          <w:szCs w:val="20"/>
        </w:rPr>
        <w:t>Abstract</w:t>
      </w:r>
    </w:p>
    <w:p w14:paraId="5BD248E4" w14:textId="1E5B690D" w:rsidR="007A1A59" w:rsidRPr="00A02A4F" w:rsidRDefault="00A64B10" w:rsidP="00A02A4F">
      <w:pPr>
        <w:pStyle w:val="NoSpacing"/>
        <w:rPr>
          <w:rFonts w:ascii="Times New Roman" w:hAnsi="Times New Roman" w:cs="Times New Roman"/>
        </w:rPr>
      </w:pPr>
      <w:r w:rsidRPr="00A02A4F">
        <w:rPr>
          <w:rFonts w:ascii="Times New Roman" w:hAnsi="Times New Roman" w:cs="Times New Roman"/>
        </w:rPr>
        <w:br/>
      </w:r>
      <w:r w:rsidRPr="00A02A4F">
        <w:rPr>
          <w:rFonts w:ascii="Times New Roman" w:hAnsi="Times New Roman" w:cs="Times New Roman"/>
          <w:b/>
        </w:rPr>
        <w:t>Background:</w:t>
      </w:r>
      <w:r w:rsidR="007A1A59" w:rsidRPr="00A02A4F">
        <w:rPr>
          <w:rFonts w:ascii="Times New Roman" w:hAnsi="Times New Roman" w:cs="Times New Roman"/>
        </w:rPr>
        <w:t xml:space="preserve"> Intestinal parasitic infections continue to pose a significant public health challenge, particularly in low-resource countries. Accurate laborato</w:t>
      </w:r>
      <w:r w:rsidR="00A02A4F" w:rsidRPr="00A02A4F">
        <w:rPr>
          <w:rFonts w:ascii="Times New Roman" w:hAnsi="Times New Roman" w:cs="Times New Roman"/>
        </w:rPr>
        <w:t xml:space="preserve">ry diagnosis plays a vital role </w:t>
      </w:r>
      <w:r w:rsidR="007A1A59" w:rsidRPr="00A02A4F">
        <w:rPr>
          <w:rFonts w:ascii="Times New Roman" w:hAnsi="Times New Roman" w:cs="Times New Roman"/>
        </w:rPr>
        <w:t>in initiating timely treatm</w:t>
      </w:r>
      <w:r w:rsidR="007C0EEF" w:rsidRPr="00A02A4F">
        <w:rPr>
          <w:rFonts w:ascii="Times New Roman" w:hAnsi="Times New Roman" w:cs="Times New Roman"/>
        </w:rPr>
        <w:t>ent and preventing transmission</w:t>
      </w:r>
      <w:r w:rsidRPr="00A02A4F">
        <w:rPr>
          <w:rFonts w:ascii="Times New Roman" w:hAnsi="Times New Roman" w:cs="Times New Roman"/>
        </w:rPr>
        <w:t>.</w:t>
      </w:r>
      <w:r w:rsidRPr="00A02A4F">
        <w:rPr>
          <w:rFonts w:ascii="Times New Roman" w:hAnsi="Times New Roman" w:cs="Times New Roman"/>
        </w:rPr>
        <w:br/>
      </w:r>
      <w:r w:rsidRPr="00A02A4F">
        <w:rPr>
          <w:rFonts w:ascii="Times New Roman" w:hAnsi="Times New Roman" w:cs="Times New Roman"/>
        </w:rPr>
        <w:br/>
      </w:r>
      <w:r w:rsidRPr="00A02A4F">
        <w:rPr>
          <w:rFonts w:ascii="Times New Roman" w:hAnsi="Times New Roman" w:cs="Times New Roman"/>
          <w:b/>
        </w:rPr>
        <w:t>Objective:</w:t>
      </w:r>
      <w:r w:rsidRPr="00A02A4F">
        <w:rPr>
          <w:rFonts w:ascii="Times New Roman" w:hAnsi="Times New Roman" w:cs="Times New Roman"/>
        </w:rPr>
        <w:t xml:space="preserve"> </w:t>
      </w:r>
      <w:r w:rsidR="007A1A59" w:rsidRPr="00A02A4F">
        <w:rPr>
          <w:rFonts w:ascii="Times New Roman" w:hAnsi="Times New Roman" w:cs="Times New Roman"/>
        </w:rPr>
        <w:t>This study aimed to assess and compare the diagnostic efficiency of direct saline/iodine wet mount and the Formol–Ether Concentration (FEC) method in stool examination.</w:t>
      </w:r>
    </w:p>
    <w:p w14:paraId="0B1F03A7" w14:textId="6A809170" w:rsidR="00574651" w:rsidRPr="00A02A4F" w:rsidRDefault="00A64B10" w:rsidP="00A02A4F">
      <w:pPr>
        <w:jc w:val="both"/>
        <w:rPr>
          <w:rFonts w:ascii="Times New Roman" w:hAnsi="Times New Roman" w:cs="Times New Roman"/>
          <w:sz w:val="20"/>
          <w:szCs w:val="20"/>
        </w:rPr>
      </w:pPr>
      <w:r w:rsidRPr="00A02A4F">
        <w:rPr>
          <w:rFonts w:ascii="Times New Roman" w:hAnsi="Times New Roman" w:cs="Times New Roman"/>
          <w:b/>
          <w:sz w:val="20"/>
          <w:szCs w:val="20"/>
        </w:rPr>
        <w:t>Methods:</w:t>
      </w:r>
      <w:r w:rsidRPr="00A02A4F">
        <w:rPr>
          <w:rFonts w:ascii="Times New Roman" w:hAnsi="Times New Roman" w:cs="Times New Roman"/>
          <w:sz w:val="20"/>
          <w:szCs w:val="20"/>
        </w:rPr>
        <w:t xml:space="preserve"> This 12-month</w:t>
      </w:r>
      <w:r w:rsidR="003913B1" w:rsidRPr="00A02A4F">
        <w:rPr>
          <w:rFonts w:ascii="Times New Roman" w:hAnsi="Times New Roman" w:cs="Times New Roman"/>
          <w:sz w:val="20"/>
          <w:szCs w:val="20"/>
        </w:rPr>
        <w:t>s 2022-2023</w:t>
      </w:r>
      <w:r w:rsidRPr="00A02A4F">
        <w:rPr>
          <w:rFonts w:ascii="Times New Roman" w:hAnsi="Times New Roman" w:cs="Times New Roman"/>
          <w:sz w:val="20"/>
          <w:szCs w:val="20"/>
        </w:rPr>
        <w:t xml:space="preserve"> observational study analyzed 350 stool samples using both saline/iodine wet mount and FEC methods at the Department of </w:t>
      </w:r>
      <w:proofErr w:type="spellStart"/>
      <w:r w:rsidR="003913B1" w:rsidRPr="00A02A4F">
        <w:rPr>
          <w:rFonts w:ascii="Times New Roman" w:hAnsi="Times New Roman" w:cs="Times New Roman"/>
          <w:sz w:val="20"/>
          <w:szCs w:val="20"/>
        </w:rPr>
        <w:t>Microbiology,School</w:t>
      </w:r>
      <w:proofErr w:type="spellEnd"/>
      <w:r w:rsidR="003913B1" w:rsidRPr="00A02A4F">
        <w:rPr>
          <w:rFonts w:ascii="Times New Roman" w:hAnsi="Times New Roman" w:cs="Times New Roman"/>
          <w:sz w:val="20"/>
          <w:szCs w:val="20"/>
        </w:rPr>
        <w:t xml:space="preserve"> of Medical Science $ Research, Sharda University, Greater Noida -201306 , Uttar </w:t>
      </w:r>
      <w:proofErr w:type="spellStart"/>
      <w:r w:rsidR="003913B1" w:rsidRPr="00A02A4F">
        <w:rPr>
          <w:rFonts w:ascii="Times New Roman" w:hAnsi="Times New Roman" w:cs="Times New Roman"/>
          <w:sz w:val="20"/>
          <w:szCs w:val="20"/>
        </w:rPr>
        <w:t>Pardesh</w:t>
      </w:r>
      <w:proofErr w:type="spellEnd"/>
      <w:r w:rsidR="003913B1" w:rsidRPr="00A02A4F">
        <w:rPr>
          <w:rFonts w:ascii="Times New Roman" w:hAnsi="Times New Roman" w:cs="Times New Roman"/>
          <w:sz w:val="20"/>
          <w:szCs w:val="20"/>
        </w:rPr>
        <w:t xml:space="preserve"> , India</w:t>
      </w:r>
      <w:r w:rsidRPr="00A02A4F">
        <w:rPr>
          <w:rFonts w:ascii="Times New Roman" w:hAnsi="Times New Roman" w:cs="Times New Roman"/>
          <w:sz w:val="20"/>
          <w:szCs w:val="20"/>
        </w:rPr>
        <w:br/>
      </w:r>
      <w:r w:rsidRPr="00A02A4F">
        <w:rPr>
          <w:rFonts w:ascii="Times New Roman" w:hAnsi="Times New Roman" w:cs="Times New Roman"/>
          <w:sz w:val="20"/>
          <w:szCs w:val="20"/>
        </w:rPr>
        <w:br/>
      </w:r>
      <w:r w:rsidRPr="00A02A4F">
        <w:rPr>
          <w:rFonts w:ascii="Times New Roman" w:hAnsi="Times New Roman" w:cs="Times New Roman"/>
          <w:b/>
          <w:sz w:val="20"/>
          <w:szCs w:val="20"/>
        </w:rPr>
        <w:t>Results</w:t>
      </w:r>
      <w:r w:rsidRPr="00A02A4F">
        <w:rPr>
          <w:rFonts w:ascii="Times New Roman" w:hAnsi="Times New Roman" w:cs="Times New Roman"/>
          <w:sz w:val="20"/>
          <w:szCs w:val="20"/>
        </w:rPr>
        <w:t>: Of the 350 samples, 41 (12%) tested positive. The FEC method detected all 41 cases, while the wet mount identified only 25 (61%). Giardia lamblia was the most prevalent parasite (61%). Infections were more frequent among males (73%) and peaked during monsoon season (June–August), especially in children aged 11–15 years.</w:t>
      </w:r>
      <w:r w:rsidRPr="00A02A4F">
        <w:rPr>
          <w:rFonts w:ascii="Times New Roman" w:hAnsi="Times New Roman" w:cs="Times New Roman"/>
          <w:sz w:val="20"/>
          <w:szCs w:val="20"/>
        </w:rPr>
        <w:br/>
      </w:r>
      <w:r w:rsidRPr="00A02A4F">
        <w:rPr>
          <w:rFonts w:ascii="Times New Roman" w:hAnsi="Times New Roman" w:cs="Times New Roman"/>
          <w:b/>
          <w:sz w:val="20"/>
          <w:szCs w:val="20"/>
        </w:rPr>
        <w:br/>
        <w:t>Conclusion</w:t>
      </w:r>
      <w:r w:rsidR="003913B1" w:rsidRPr="00A02A4F">
        <w:rPr>
          <w:rFonts w:ascii="Times New Roman" w:hAnsi="Times New Roman" w:cs="Times New Roman"/>
          <w:b/>
          <w:sz w:val="20"/>
          <w:szCs w:val="20"/>
        </w:rPr>
        <w:t>:</w:t>
      </w:r>
      <w:r w:rsidR="003913B1" w:rsidRPr="00A02A4F">
        <w:rPr>
          <w:rFonts w:ascii="Times New Roman" w:hAnsi="Times New Roman" w:cs="Times New Roman"/>
          <w:sz w:val="20"/>
          <w:szCs w:val="20"/>
        </w:rPr>
        <w:t xml:space="preserve"> The FEC method demonstrated higher sensitivity than direct wet mount. Routine use of FEC alongside wet mount microscopy can significantly improve the detection rate of intestinal parasites.</w:t>
      </w:r>
    </w:p>
    <w:p w14:paraId="3FDBE0BB" w14:textId="77777777" w:rsidR="00574651" w:rsidRPr="00A02A4F" w:rsidRDefault="00A64B10" w:rsidP="00A02A4F">
      <w:pPr>
        <w:pStyle w:val="Heading1"/>
        <w:jc w:val="both"/>
        <w:rPr>
          <w:rFonts w:ascii="Times New Roman" w:hAnsi="Times New Roman" w:cs="Times New Roman"/>
          <w:sz w:val="20"/>
          <w:szCs w:val="20"/>
        </w:rPr>
      </w:pPr>
      <w:r w:rsidRPr="00A02A4F">
        <w:rPr>
          <w:rFonts w:ascii="Times New Roman" w:hAnsi="Times New Roman" w:cs="Times New Roman"/>
          <w:sz w:val="20"/>
          <w:szCs w:val="20"/>
        </w:rPr>
        <w:t>Keywords</w:t>
      </w:r>
    </w:p>
    <w:p w14:paraId="71492F36" w14:textId="77777777" w:rsidR="00574651" w:rsidRPr="00A02A4F" w:rsidRDefault="00A64B10" w:rsidP="00A02A4F">
      <w:pPr>
        <w:jc w:val="both"/>
        <w:rPr>
          <w:rFonts w:ascii="Times New Roman" w:hAnsi="Times New Roman" w:cs="Times New Roman"/>
          <w:sz w:val="20"/>
          <w:szCs w:val="20"/>
        </w:rPr>
      </w:pPr>
      <w:r w:rsidRPr="00A02A4F">
        <w:rPr>
          <w:rFonts w:ascii="Times New Roman" w:hAnsi="Times New Roman" w:cs="Times New Roman"/>
          <w:sz w:val="20"/>
          <w:szCs w:val="20"/>
        </w:rPr>
        <w:t>Intestinal parasites, stool microscopy, wet mount, Formol-ether concentration, Giardia lamblia, diagnostic methods</w:t>
      </w:r>
    </w:p>
    <w:p w14:paraId="1FA51D2F" w14:textId="77777777" w:rsidR="00574651" w:rsidRPr="00A02A4F" w:rsidRDefault="00A64B10" w:rsidP="00A02A4F">
      <w:pPr>
        <w:pStyle w:val="Heading1"/>
        <w:jc w:val="both"/>
        <w:rPr>
          <w:rFonts w:ascii="Times New Roman" w:hAnsi="Times New Roman" w:cs="Times New Roman"/>
          <w:sz w:val="20"/>
          <w:szCs w:val="20"/>
        </w:rPr>
      </w:pPr>
      <w:r w:rsidRPr="00A02A4F">
        <w:rPr>
          <w:rFonts w:ascii="Times New Roman" w:hAnsi="Times New Roman" w:cs="Times New Roman"/>
          <w:sz w:val="20"/>
          <w:szCs w:val="20"/>
        </w:rPr>
        <w:t>1. Introduction</w:t>
      </w:r>
    </w:p>
    <w:p w14:paraId="1C5D6393" w14:textId="50595875" w:rsidR="00574651" w:rsidRPr="00A02A4F" w:rsidRDefault="00A64B10" w:rsidP="00A02A4F">
      <w:pPr>
        <w:pStyle w:val="NoSpacing"/>
        <w:jc w:val="both"/>
        <w:rPr>
          <w:rFonts w:ascii="Times New Roman" w:hAnsi="Times New Roman" w:cs="Times New Roman"/>
        </w:rPr>
      </w:pPr>
      <w:r w:rsidRPr="00A02A4F">
        <w:rPr>
          <w:rFonts w:ascii="Times New Roman" w:hAnsi="Times New Roman" w:cs="Times New Roman"/>
        </w:rPr>
        <w:br/>
      </w:r>
      <w:r w:rsidR="00F30D73" w:rsidRPr="00A02A4F">
        <w:rPr>
          <w:rFonts w:ascii="Times New Roman" w:hAnsi="Times New Roman" w:cs="Times New Roman"/>
        </w:rPr>
        <w:t xml:space="preserve">Parasitic diseases caused by intestinal parasites are a major public health issue in countries. Majority of these infections with parasites results from low standard of living associated with poor sanitary and socioeconomic conditions in tropical and subtropical climates area [1] </w:t>
      </w:r>
      <w:r w:rsidR="007A1A59" w:rsidRPr="00A02A4F">
        <w:rPr>
          <w:rFonts w:ascii="Times New Roman" w:hAnsi="Times New Roman" w:cs="Times New Roman"/>
        </w:rPr>
        <w:t>Global estimates suggest that more than 3.5 billion people are infected with one or more intestinal pa</w:t>
      </w:r>
      <w:r w:rsidR="007C0EEF" w:rsidRPr="00A02A4F">
        <w:rPr>
          <w:rFonts w:ascii="Times New Roman" w:hAnsi="Times New Roman" w:cs="Times New Roman"/>
        </w:rPr>
        <w:t>rasites, and nearly 450 million</w:t>
      </w:r>
      <w:r w:rsidR="00A02A4F" w:rsidRPr="00A02A4F">
        <w:rPr>
          <w:rFonts w:ascii="Times New Roman" w:hAnsi="Times New Roman" w:cs="Times New Roman"/>
        </w:rPr>
        <w:t xml:space="preserve"> </w:t>
      </w:r>
      <w:r w:rsidR="007A1A59" w:rsidRPr="00A02A4F">
        <w:rPr>
          <w:rFonts w:ascii="Times New Roman" w:hAnsi="Times New Roman" w:cs="Times New Roman"/>
        </w:rPr>
        <w:t>experience clinical illness as a result.</w:t>
      </w:r>
      <w:r w:rsidR="007A1A59" w:rsidRPr="00A02A4F">
        <w:rPr>
          <w:rFonts w:ascii="Times New Roman" w:hAnsi="Times New Roman" w:cs="Times New Roman"/>
        </w:rPr>
        <w:br/>
        <w:t>[</w:t>
      </w:r>
      <w:r w:rsidR="00F30D73" w:rsidRPr="00A02A4F">
        <w:rPr>
          <w:rFonts w:ascii="Times New Roman" w:hAnsi="Times New Roman" w:cs="Times New Roman"/>
        </w:rPr>
        <w:t xml:space="preserve">2] Organisms that live on other organism (host) and benefit from these organisms are called parasites (literally para - beside, </w:t>
      </w:r>
      <w:proofErr w:type="spellStart"/>
      <w:r w:rsidR="00F30D73" w:rsidRPr="00A02A4F">
        <w:rPr>
          <w:rFonts w:ascii="Times New Roman" w:hAnsi="Times New Roman" w:cs="Times New Roman"/>
        </w:rPr>
        <w:t>sitos</w:t>
      </w:r>
      <w:proofErr w:type="spellEnd"/>
      <w:r w:rsidR="00F30D73" w:rsidRPr="00A02A4F">
        <w:rPr>
          <w:rFonts w:ascii="Times New Roman" w:hAnsi="Times New Roman" w:cs="Times New Roman"/>
        </w:rPr>
        <w:t xml:space="preserve"> - food). It is obvious that the parasite can have no intention of doing harm to the host and that would not even be in the interest of the parasites </w:t>
      </w:r>
      <w:proofErr w:type="spellStart"/>
      <w:r w:rsidR="00F30D73" w:rsidRPr="00A02A4F">
        <w:rPr>
          <w:rFonts w:ascii="Times New Roman" w:hAnsi="Times New Roman" w:cs="Times New Roman"/>
        </w:rPr>
        <w:t>zitself</w:t>
      </w:r>
      <w:proofErr w:type="spellEnd"/>
      <w:r w:rsidR="00F30D73" w:rsidRPr="00A02A4F">
        <w:rPr>
          <w:rFonts w:ascii="Times New Roman" w:hAnsi="Times New Roman" w:cs="Times New Roman"/>
        </w:rPr>
        <w:t xml:space="preserve">. The damage is done accidentally especially if the number of the parasites becomes too large. Parasites may do harm to their host by absorbing food intended for the host example tape worm [3]. Blood or lymph could be sucked by parasites like hookworm. Parasites like ascaris feed on the tissue of </w:t>
      </w:r>
      <w:r w:rsidR="00F30D73" w:rsidRPr="00A02A4F">
        <w:rPr>
          <w:rFonts w:ascii="Times New Roman" w:hAnsi="Times New Roman" w:cs="Times New Roman"/>
        </w:rPr>
        <w:lastRenderedPageBreak/>
        <w:t>the host causing wound through which infections may enter [4]. Intestinal parasitic infections are among the major public and socio-economic concerns that adversely affect the well-being of the poor in developing countries (Christine and Christopher, 2000) and may even be more important than bacterial infections 2012) [5].</w:t>
      </w:r>
      <w:r w:rsidR="007A1A59" w:rsidRPr="00A02A4F">
        <w:rPr>
          <w:rFonts w:ascii="Times New Roman" w:hAnsi="Times New Roman" w:cs="Times New Roman"/>
        </w:rPr>
        <w:t xml:space="preserve"> Common species include Ascaris lumbricoides, hookworms, Trichuris </w:t>
      </w:r>
      <w:proofErr w:type="spellStart"/>
      <w:r w:rsidR="007A1A59" w:rsidRPr="00A02A4F">
        <w:rPr>
          <w:rFonts w:ascii="Times New Roman" w:hAnsi="Times New Roman" w:cs="Times New Roman"/>
        </w:rPr>
        <w:t>trichiura</w:t>
      </w:r>
      <w:proofErr w:type="spellEnd"/>
      <w:r w:rsidR="007A1A59" w:rsidRPr="00A02A4F">
        <w:rPr>
          <w:rFonts w:ascii="Times New Roman" w:hAnsi="Times New Roman" w:cs="Times New Roman"/>
        </w:rPr>
        <w:t xml:space="preserve">, Schistosoma species, Entamoeba histolytica, and Giardia lamblia, with infections affecting millions worldwide </w:t>
      </w:r>
      <w:r w:rsidR="00F30D73" w:rsidRPr="00A02A4F">
        <w:rPr>
          <w:rFonts w:ascii="Times New Roman" w:hAnsi="Times New Roman" w:cs="Times New Roman"/>
        </w:rPr>
        <w:t xml:space="preserve">Considering the importance of the harmful effects of these parasites, there is need for proper </w:t>
      </w:r>
      <w:proofErr w:type="gramStart"/>
      <w:r w:rsidR="00F30D73" w:rsidRPr="00A02A4F">
        <w:rPr>
          <w:rFonts w:ascii="Times New Roman" w:hAnsi="Times New Roman" w:cs="Times New Roman"/>
        </w:rPr>
        <w:t>diagnosis[</w:t>
      </w:r>
      <w:proofErr w:type="gramEnd"/>
      <w:r w:rsidR="00F30D73" w:rsidRPr="00A02A4F">
        <w:rPr>
          <w:rFonts w:ascii="Times New Roman" w:hAnsi="Times New Roman" w:cs="Times New Roman"/>
        </w:rPr>
        <w:t>6].</w:t>
      </w:r>
      <w:r w:rsidR="007A1A59" w:rsidRPr="00A02A4F">
        <w:rPr>
          <w:rFonts w:ascii="Times New Roman" w:hAnsi="Times New Roman" w:cs="Times New Roman"/>
        </w:rPr>
        <w:t xml:space="preserve"> These methods aim to enhance the likelihood of detecting infections. Parasite ova or cysts present in stool can be concentrated using various techniques</w:t>
      </w:r>
      <w:r w:rsidR="00F30D73" w:rsidRPr="00A02A4F">
        <w:rPr>
          <w:rFonts w:ascii="Times New Roman" w:hAnsi="Times New Roman" w:cs="Times New Roman"/>
        </w:rPr>
        <w:t xml:space="preserve">. All floatation methods depend upon mixing fecal sample with a liquid, the specific 10 gravity of which is greater than that of most of such forms yet less than the specific gravity of most of the fecal debris. Concentration of human intestinal parasites can also be achieved by sedimentation techniques which include Formol ether sedimentation and direct smear using saline and iodine preparation The difficulty in the storing, using and disposing of ether has made many laboratories to desire a concentration method that does not present the storage and disposal problems found with </w:t>
      </w:r>
      <w:proofErr w:type="gramStart"/>
      <w:r w:rsidR="00F30D73" w:rsidRPr="00A02A4F">
        <w:rPr>
          <w:rFonts w:ascii="Times New Roman" w:hAnsi="Times New Roman" w:cs="Times New Roman"/>
        </w:rPr>
        <w:t>ether[</w:t>
      </w:r>
      <w:proofErr w:type="gramEnd"/>
      <w:r w:rsidR="00F30D73" w:rsidRPr="00A02A4F">
        <w:rPr>
          <w:rFonts w:ascii="Times New Roman" w:hAnsi="Times New Roman" w:cs="Times New Roman"/>
        </w:rPr>
        <w:t>8]</w:t>
      </w:r>
      <w:r w:rsidR="007A1A59" w:rsidRPr="00A02A4F">
        <w:rPr>
          <w:rFonts w:ascii="Times New Roman" w:hAnsi="Times New Roman" w:cs="Times New Roman"/>
        </w:rPr>
        <w:t xml:space="preserve"> Using concentration methods helps improve the identification of intestinal parasites in stool samples. Parasite ova or cysts in fecal specimens can be collected and concentrated through different techniques</w:t>
      </w:r>
      <w:r w:rsidR="00F30D73" w:rsidRPr="00A02A4F">
        <w:rPr>
          <w:rFonts w:ascii="Times New Roman" w:hAnsi="Times New Roman" w:cs="Times New Roman"/>
        </w:rPr>
        <w:t>.[9]</w:t>
      </w:r>
    </w:p>
    <w:p w14:paraId="45C1CD87" w14:textId="77777777" w:rsidR="00F30D73" w:rsidRPr="00A02A4F" w:rsidRDefault="00F30D73" w:rsidP="00A02A4F">
      <w:pPr>
        <w:pStyle w:val="Heading1"/>
        <w:jc w:val="both"/>
        <w:rPr>
          <w:rFonts w:ascii="Times New Roman" w:hAnsi="Times New Roman" w:cs="Times New Roman"/>
          <w:sz w:val="20"/>
          <w:szCs w:val="20"/>
        </w:rPr>
      </w:pPr>
    </w:p>
    <w:p w14:paraId="36F686B1" w14:textId="77777777" w:rsidR="00574651" w:rsidRPr="00A02A4F" w:rsidRDefault="00A64B10" w:rsidP="00A02A4F">
      <w:pPr>
        <w:pStyle w:val="Heading1"/>
        <w:jc w:val="both"/>
        <w:rPr>
          <w:rFonts w:ascii="Times New Roman" w:hAnsi="Times New Roman" w:cs="Times New Roman"/>
          <w:sz w:val="20"/>
          <w:szCs w:val="20"/>
        </w:rPr>
      </w:pPr>
      <w:r w:rsidRPr="00A02A4F">
        <w:rPr>
          <w:rFonts w:ascii="Times New Roman" w:hAnsi="Times New Roman" w:cs="Times New Roman"/>
          <w:sz w:val="20"/>
          <w:szCs w:val="20"/>
        </w:rPr>
        <w:t>2. Materials and Methods</w:t>
      </w:r>
    </w:p>
    <w:p w14:paraId="73C4CC85" w14:textId="77777777" w:rsidR="003913B1" w:rsidRPr="00A02A4F" w:rsidRDefault="00A64B10" w:rsidP="00A02A4F">
      <w:pPr>
        <w:jc w:val="both"/>
        <w:rPr>
          <w:rFonts w:ascii="Times New Roman" w:hAnsi="Times New Roman" w:cs="Times New Roman"/>
          <w:sz w:val="20"/>
          <w:szCs w:val="20"/>
        </w:rPr>
      </w:pPr>
      <w:r w:rsidRPr="00A02A4F">
        <w:rPr>
          <w:rFonts w:ascii="Times New Roman" w:hAnsi="Times New Roman" w:cs="Times New Roman"/>
          <w:b/>
          <w:sz w:val="20"/>
          <w:szCs w:val="20"/>
        </w:rPr>
        <w:br/>
        <w:t>Study Design:</w:t>
      </w:r>
      <w:r w:rsidRPr="00A02A4F">
        <w:rPr>
          <w:rFonts w:ascii="Times New Roman" w:hAnsi="Times New Roman" w:cs="Times New Roman"/>
          <w:sz w:val="20"/>
          <w:szCs w:val="20"/>
        </w:rPr>
        <w:t xml:space="preserve"> Observational study</w:t>
      </w:r>
      <w:r w:rsidRPr="00A02A4F">
        <w:rPr>
          <w:rFonts w:ascii="Times New Roman" w:hAnsi="Times New Roman" w:cs="Times New Roman"/>
          <w:sz w:val="20"/>
          <w:szCs w:val="20"/>
        </w:rPr>
        <w:br/>
      </w:r>
      <w:proofErr w:type="spellStart"/>
      <w:r w:rsidRPr="00A02A4F">
        <w:rPr>
          <w:rFonts w:ascii="Times New Roman" w:hAnsi="Times New Roman" w:cs="Times New Roman"/>
          <w:b/>
          <w:sz w:val="20"/>
          <w:szCs w:val="20"/>
        </w:rPr>
        <w:t>Study</w:t>
      </w:r>
      <w:proofErr w:type="spellEnd"/>
      <w:r w:rsidRPr="00A02A4F">
        <w:rPr>
          <w:rFonts w:ascii="Times New Roman" w:hAnsi="Times New Roman" w:cs="Times New Roman"/>
          <w:b/>
          <w:sz w:val="20"/>
          <w:szCs w:val="20"/>
        </w:rPr>
        <w:t xml:space="preserve"> Site:</w:t>
      </w:r>
      <w:r w:rsidRPr="00A02A4F">
        <w:rPr>
          <w:rFonts w:ascii="Times New Roman" w:hAnsi="Times New Roman" w:cs="Times New Roman"/>
          <w:sz w:val="20"/>
          <w:szCs w:val="20"/>
        </w:rPr>
        <w:t xml:space="preserve"> Department of Microbiology, Sharda Hospital, Sharda University</w:t>
      </w:r>
      <w:r w:rsidRPr="00A02A4F">
        <w:rPr>
          <w:rFonts w:ascii="Times New Roman" w:hAnsi="Times New Roman" w:cs="Times New Roman"/>
          <w:sz w:val="20"/>
          <w:szCs w:val="20"/>
        </w:rPr>
        <w:br/>
      </w:r>
      <w:r w:rsidRPr="00A02A4F">
        <w:rPr>
          <w:rFonts w:ascii="Times New Roman" w:hAnsi="Times New Roman" w:cs="Times New Roman"/>
          <w:b/>
          <w:sz w:val="20"/>
          <w:szCs w:val="20"/>
        </w:rPr>
        <w:t>Duration:</w:t>
      </w:r>
      <w:r w:rsidRPr="00A02A4F">
        <w:rPr>
          <w:rFonts w:ascii="Times New Roman" w:hAnsi="Times New Roman" w:cs="Times New Roman"/>
          <w:sz w:val="20"/>
          <w:szCs w:val="20"/>
        </w:rPr>
        <w:t xml:space="preserve"> 12 months</w:t>
      </w:r>
      <w:r w:rsidRPr="00A02A4F">
        <w:rPr>
          <w:rFonts w:ascii="Times New Roman" w:hAnsi="Times New Roman" w:cs="Times New Roman"/>
          <w:sz w:val="20"/>
          <w:szCs w:val="20"/>
        </w:rPr>
        <w:br/>
      </w:r>
      <w:r w:rsidRPr="00A02A4F">
        <w:rPr>
          <w:rFonts w:ascii="Times New Roman" w:hAnsi="Times New Roman" w:cs="Times New Roman"/>
          <w:b/>
          <w:sz w:val="20"/>
          <w:szCs w:val="20"/>
        </w:rPr>
        <w:t>Sample Size:</w:t>
      </w:r>
      <w:r w:rsidRPr="00A02A4F">
        <w:rPr>
          <w:rFonts w:ascii="Times New Roman" w:hAnsi="Times New Roman" w:cs="Times New Roman"/>
          <w:sz w:val="20"/>
          <w:szCs w:val="20"/>
        </w:rPr>
        <w:t xml:space="preserve"> 350 stool samples</w:t>
      </w:r>
      <w:r w:rsidRPr="00A02A4F">
        <w:rPr>
          <w:rFonts w:ascii="Times New Roman" w:hAnsi="Times New Roman" w:cs="Times New Roman"/>
          <w:sz w:val="20"/>
          <w:szCs w:val="20"/>
        </w:rPr>
        <w:br/>
      </w:r>
      <w:r w:rsidRPr="00A02A4F">
        <w:rPr>
          <w:rFonts w:ascii="Times New Roman" w:hAnsi="Times New Roman" w:cs="Times New Roman"/>
          <w:b/>
          <w:sz w:val="20"/>
          <w:szCs w:val="20"/>
        </w:rPr>
        <w:br/>
        <w:t>Inclusion Criteria:</w:t>
      </w:r>
      <w:r w:rsidRPr="00A02A4F">
        <w:rPr>
          <w:rFonts w:ascii="Times New Roman" w:hAnsi="Times New Roman" w:cs="Times New Roman"/>
          <w:sz w:val="20"/>
          <w:szCs w:val="20"/>
        </w:rPr>
        <w:t xml:space="preserve"> Fresh stool samples submitted for routine parasitology examination.</w:t>
      </w:r>
      <w:r w:rsidRPr="00A02A4F">
        <w:rPr>
          <w:rFonts w:ascii="Times New Roman" w:hAnsi="Times New Roman" w:cs="Times New Roman"/>
          <w:sz w:val="20"/>
          <w:szCs w:val="20"/>
        </w:rPr>
        <w:br/>
      </w:r>
      <w:r w:rsidRPr="00A02A4F">
        <w:rPr>
          <w:rFonts w:ascii="Times New Roman" w:hAnsi="Times New Roman" w:cs="Times New Roman"/>
          <w:b/>
          <w:sz w:val="20"/>
          <w:szCs w:val="20"/>
        </w:rPr>
        <w:t>Exclusion Criteria:</w:t>
      </w:r>
      <w:r w:rsidRPr="00A02A4F">
        <w:rPr>
          <w:rFonts w:ascii="Times New Roman" w:hAnsi="Times New Roman" w:cs="Times New Roman"/>
          <w:sz w:val="20"/>
          <w:szCs w:val="20"/>
        </w:rPr>
        <w:t xml:space="preserve"> Samples submitted more than 2 hours post-collection or from patients receiving antiparasitic medication.</w:t>
      </w:r>
      <w:r w:rsidRPr="00A02A4F">
        <w:rPr>
          <w:rFonts w:ascii="Times New Roman" w:hAnsi="Times New Roman" w:cs="Times New Roman"/>
          <w:sz w:val="20"/>
          <w:szCs w:val="20"/>
        </w:rPr>
        <w:br/>
      </w:r>
      <w:r w:rsidRPr="00A02A4F">
        <w:rPr>
          <w:rFonts w:ascii="Times New Roman" w:hAnsi="Times New Roman" w:cs="Times New Roman"/>
          <w:sz w:val="20"/>
          <w:szCs w:val="20"/>
        </w:rPr>
        <w:br/>
        <w:t>Each stool sample was examined macroscopically and microscopically using two techniques:</w:t>
      </w:r>
      <w:r w:rsidRPr="00A02A4F">
        <w:rPr>
          <w:rFonts w:ascii="Times New Roman" w:hAnsi="Times New Roman" w:cs="Times New Roman"/>
          <w:sz w:val="20"/>
          <w:szCs w:val="20"/>
        </w:rPr>
        <w:br/>
      </w:r>
      <w:r w:rsidRPr="00A02A4F">
        <w:rPr>
          <w:rFonts w:ascii="Times New Roman" w:hAnsi="Times New Roman" w:cs="Times New Roman"/>
          <w:b/>
          <w:sz w:val="20"/>
          <w:szCs w:val="20"/>
        </w:rPr>
        <w:t>1. Direct Wet Mount (Saline/Iodine):</w:t>
      </w:r>
      <w:r w:rsidRPr="00A02A4F">
        <w:rPr>
          <w:rFonts w:ascii="Times New Roman" w:hAnsi="Times New Roman" w:cs="Times New Roman"/>
          <w:sz w:val="20"/>
          <w:szCs w:val="20"/>
        </w:rPr>
        <w:t xml:space="preserve"> Smears were examined under low and high power microscopy.</w:t>
      </w:r>
      <w:r w:rsidRPr="00A02A4F">
        <w:rPr>
          <w:rFonts w:ascii="Times New Roman" w:hAnsi="Times New Roman" w:cs="Times New Roman"/>
          <w:sz w:val="20"/>
          <w:szCs w:val="20"/>
        </w:rPr>
        <w:br/>
      </w:r>
      <w:r w:rsidRPr="00A02A4F">
        <w:rPr>
          <w:rFonts w:ascii="Times New Roman" w:hAnsi="Times New Roman" w:cs="Times New Roman"/>
          <w:b/>
          <w:sz w:val="20"/>
          <w:szCs w:val="20"/>
        </w:rPr>
        <w:t>2. Formol-Ether Concentration (FEC):</w:t>
      </w:r>
      <w:r w:rsidRPr="00A02A4F">
        <w:rPr>
          <w:rFonts w:ascii="Times New Roman" w:hAnsi="Times New Roman" w:cs="Times New Roman"/>
          <w:sz w:val="20"/>
          <w:szCs w:val="20"/>
        </w:rPr>
        <w:t xml:space="preserve"> Sedimentation technique involving formalin fixation, ether extraction, centrifugation, and examination of sediment under the microscope.</w:t>
      </w:r>
    </w:p>
    <w:p w14:paraId="5FE70C9D" w14:textId="77777777" w:rsidR="003913B1" w:rsidRPr="00A02A4F" w:rsidRDefault="003913B1" w:rsidP="00A02A4F">
      <w:pPr>
        <w:jc w:val="both"/>
        <w:rPr>
          <w:rFonts w:ascii="Times New Roman" w:eastAsia="Arial Unicode MS" w:hAnsi="Times New Roman" w:cs="Times New Roman"/>
          <w:bCs/>
          <w:sz w:val="20"/>
          <w:szCs w:val="20"/>
        </w:rPr>
      </w:pPr>
      <w:r w:rsidRPr="00A02A4F">
        <w:rPr>
          <w:rFonts w:ascii="Times New Roman" w:eastAsia="Arial Unicode MS" w:hAnsi="Times New Roman" w:cs="Times New Roman"/>
          <w:bCs/>
          <w:sz w:val="20"/>
          <w:szCs w:val="20"/>
        </w:rPr>
        <w:t xml:space="preserve">All stool samples were received in universal sterile container within 2hrs of collection. After receiving the stool samples the requisition </w:t>
      </w:r>
      <w:proofErr w:type="gramStart"/>
      <w:r w:rsidRPr="00A02A4F">
        <w:rPr>
          <w:rFonts w:ascii="Times New Roman" w:eastAsia="Arial Unicode MS" w:hAnsi="Times New Roman" w:cs="Times New Roman"/>
          <w:bCs/>
          <w:sz w:val="20"/>
          <w:szCs w:val="20"/>
        </w:rPr>
        <w:t>Id ,name</w:t>
      </w:r>
      <w:proofErr w:type="gramEnd"/>
      <w:r w:rsidRPr="00A02A4F">
        <w:rPr>
          <w:rFonts w:ascii="Times New Roman" w:eastAsia="Arial Unicode MS" w:hAnsi="Times New Roman" w:cs="Times New Roman"/>
          <w:bCs/>
          <w:sz w:val="20"/>
          <w:szCs w:val="20"/>
        </w:rPr>
        <w:t xml:space="preserve">, age, </w:t>
      </w:r>
      <w:proofErr w:type="gramStart"/>
      <w:r w:rsidRPr="00A02A4F">
        <w:rPr>
          <w:rFonts w:ascii="Times New Roman" w:eastAsia="Arial Unicode MS" w:hAnsi="Times New Roman" w:cs="Times New Roman"/>
          <w:bCs/>
          <w:sz w:val="20"/>
          <w:szCs w:val="20"/>
        </w:rPr>
        <w:t>sex  of</w:t>
      </w:r>
      <w:proofErr w:type="gramEnd"/>
      <w:r w:rsidRPr="00A02A4F">
        <w:rPr>
          <w:rFonts w:ascii="Times New Roman" w:eastAsia="Arial Unicode MS" w:hAnsi="Times New Roman" w:cs="Times New Roman"/>
          <w:bCs/>
          <w:sz w:val="20"/>
          <w:szCs w:val="20"/>
        </w:rPr>
        <w:t xml:space="preserve"> patient mentioned on container were matched with that mentioned on requisition form and if found ok were </w:t>
      </w:r>
      <w:proofErr w:type="gramStart"/>
      <w:r w:rsidRPr="00A02A4F">
        <w:rPr>
          <w:rFonts w:ascii="Times New Roman" w:eastAsia="Arial Unicode MS" w:hAnsi="Times New Roman" w:cs="Times New Roman"/>
          <w:bCs/>
          <w:sz w:val="20"/>
          <w:szCs w:val="20"/>
        </w:rPr>
        <w:t>accepted .</w:t>
      </w:r>
      <w:proofErr w:type="gramEnd"/>
    </w:p>
    <w:p w14:paraId="3DDBDE71" w14:textId="5EC9EA49" w:rsidR="003913B1" w:rsidRPr="00A02A4F" w:rsidRDefault="003913B1" w:rsidP="00A02A4F">
      <w:pPr>
        <w:jc w:val="both"/>
        <w:rPr>
          <w:rFonts w:ascii="Times New Roman" w:eastAsia="Arial Unicode MS" w:hAnsi="Times New Roman" w:cs="Times New Roman"/>
          <w:b/>
          <w:bCs/>
          <w:sz w:val="20"/>
          <w:szCs w:val="20"/>
        </w:rPr>
      </w:pPr>
      <w:r w:rsidRPr="00A02A4F">
        <w:rPr>
          <w:rFonts w:ascii="Times New Roman" w:eastAsia="Arial Unicode MS" w:hAnsi="Times New Roman" w:cs="Times New Roman"/>
          <w:b/>
          <w:bCs/>
          <w:sz w:val="20"/>
          <w:szCs w:val="20"/>
        </w:rPr>
        <w:t>METHO</w:t>
      </w:r>
      <w:r w:rsidR="00D71D92">
        <w:rPr>
          <w:rFonts w:ascii="Times New Roman" w:eastAsia="Arial Unicode MS" w:hAnsi="Times New Roman" w:cs="Times New Roman"/>
          <w:b/>
          <w:bCs/>
          <w:sz w:val="20"/>
          <w:szCs w:val="20"/>
        </w:rPr>
        <w:t>D</w:t>
      </w:r>
    </w:p>
    <w:p w14:paraId="36F1751C" w14:textId="77777777" w:rsidR="003913B1" w:rsidRPr="00A02A4F" w:rsidRDefault="003913B1" w:rsidP="00A02A4F">
      <w:pPr>
        <w:jc w:val="both"/>
        <w:rPr>
          <w:rFonts w:ascii="Times New Roman" w:eastAsia="Arial Unicode MS" w:hAnsi="Times New Roman" w:cs="Times New Roman"/>
          <w:bCs/>
          <w:sz w:val="20"/>
          <w:szCs w:val="20"/>
        </w:rPr>
      </w:pPr>
      <w:r w:rsidRPr="00A02A4F">
        <w:rPr>
          <w:rFonts w:ascii="Times New Roman" w:eastAsia="Arial Unicode MS" w:hAnsi="Times New Roman" w:cs="Times New Roman"/>
          <w:bCs/>
          <w:sz w:val="20"/>
          <w:szCs w:val="20"/>
        </w:rPr>
        <w:t xml:space="preserve">The accepted stool samples were </w:t>
      </w:r>
      <w:proofErr w:type="gramStart"/>
      <w:r w:rsidRPr="00A02A4F">
        <w:rPr>
          <w:rFonts w:ascii="Times New Roman" w:eastAsia="Arial Unicode MS" w:hAnsi="Times New Roman" w:cs="Times New Roman"/>
          <w:bCs/>
          <w:sz w:val="20"/>
          <w:szCs w:val="20"/>
        </w:rPr>
        <w:t>examined  for</w:t>
      </w:r>
      <w:proofErr w:type="gramEnd"/>
      <w:r w:rsidRPr="00A02A4F">
        <w:rPr>
          <w:rFonts w:ascii="Times New Roman" w:eastAsia="Arial Unicode MS" w:hAnsi="Times New Roman" w:cs="Times New Roman"/>
          <w:bCs/>
          <w:sz w:val="20"/>
          <w:szCs w:val="20"/>
        </w:rPr>
        <w:t xml:space="preserve"> both macroscopically and </w:t>
      </w:r>
      <w:proofErr w:type="gramStart"/>
      <w:r w:rsidRPr="00A02A4F">
        <w:rPr>
          <w:rFonts w:ascii="Times New Roman" w:eastAsia="Arial Unicode MS" w:hAnsi="Times New Roman" w:cs="Times New Roman"/>
          <w:bCs/>
          <w:sz w:val="20"/>
          <w:szCs w:val="20"/>
        </w:rPr>
        <w:t>microscopically .Macroscopically</w:t>
      </w:r>
      <w:proofErr w:type="gramEnd"/>
      <w:r w:rsidRPr="00A02A4F">
        <w:rPr>
          <w:rFonts w:ascii="Times New Roman" w:eastAsia="Arial Unicode MS" w:hAnsi="Times New Roman" w:cs="Times New Roman"/>
          <w:bCs/>
          <w:sz w:val="20"/>
          <w:szCs w:val="20"/>
        </w:rPr>
        <w:t xml:space="preserve"> stool was observed for </w:t>
      </w:r>
      <w:proofErr w:type="spellStart"/>
      <w:r w:rsidRPr="00A02A4F">
        <w:rPr>
          <w:rFonts w:ascii="Times New Roman" w:eastAsia="Arial Unicode MS" w:hAnsi="Times New Roman" w:cs="Times New Roman"/>
          <w:bCs/>
          <w:sz w:val="20"/>
          <w:szCs w:val="20"/>
        </w:rPr>
        <w:t>colour</w:t>
      </w:r>
      <w:proofErr w:type="spellEnd"/>
      <w:r w:rsidRPr="00A02A4F">
        <w:rPr>
          <w:rFonts w:ascii="Times New Roman" w:eastAsia="Arial Unicode MS" w:hAnsi="Times New Roman" w:cs="Times New Roman"/>
          <w:bCs/>
          <w:sz w:val="20"/>
          <w:szCs w:val="20"/>
        </w:rPr>
        <w:t xml:space="preserve">, consistency, presence </w:t>
      </w:r>
      <w:proofErr w:type="gramStart"/>
      <w:r w:rsidRPr="00A02A4F">
        <w:rPr>
          <w:rFonts w:ascii="Times New Roman" w:eastAsia="Arial Unicode MS" w:hAnsi="Times New Roman" w:cs="Times New Roman"/>
          <w:bCs/>
          <w:sz w:val="20"/>
          <w:szCs w:val="20"/>
        </w:rPr>
        <w:t>of  mucous</w:t>
      </w:r>
      <w:proofErr w:type="gramEnd"/>
      <w:r w:rsidRPr="00A02A4F">
        <w:rPr>
          <w:rFonts w:ascii="Times New Roman" w:eastAsia="Arial Unicode MS" w:hAnsi="Times New Roman" w:cs="Times New Roman"/>
          <w:bCs/>
          <w:sz w:val="20"/>
          <w:szCs w:val="20"/>
        </w:rPr>
        <w:t>, visible blood and worms if any.</w:t>
      </w:r>
    </w:p>
    <w:p w14:paraId="682687C4" w14:textId="77777777" w:rsidR="003913B1" w:rsidRPr="00A02A4F" w:rsidRDefault="003913B1" w:rsidP="00A02A4F">
      <w:pPr>
        <w:jc w:val="both"/>
        <w:rPr>
          <w:rFonts w:ascii="Times New Roman" w:eastAsia="Arial Unicode MS" w:hAnsi="Times New Roman" w:cs="Times New Roman"/>
          <w:bCs/>
          <w:sz w:val="20"/>
          <w:szCs w:val="20"/>
        </w:rPr>
      </w:pPr>
    </w:p>
    <w:p w14:paraId="293346D1" w14:textId="77777777" w:rsidR="003913B1" w:rsidRPr="00A02A4F" w:rsidRDefault="003913B1" w:rsidP="00A02A4F">
      <w:pPr>
        <w:jc w:val="both"/>
        <w:rPr>
          <w:rFonts w:ascii="Times New Roman" w:eastAsia="Arial Unicode MS" w:hAnsi="Times New Roman" w:cs="Times New Roman"/>
          <w:b/>
          <w:sz w:val="20"/>
          <w:szCs w:val="20"/>
        </w:rPr>
      </w:pPr>
    </w:p>
    <w:p w14:paraId="2F3086E2" w14:textId="77777777" w:rsidR="003913B1" w:rsidRPr="00A02A4F" w:rsidRDefault="003913B1" w:rsidP="00A02A4F">
      <w:pPr>
        <w:jc w:val="both"/>
        <w:rPr>
          <w:rFonts w:ascii="Times New Roman" w:eastAsia="Arial Unicode MS" w:hAnsi="Times New Roman" w:cs="Times New Roman"/>
          <w:b/>
          <w:sz w:val="20"/>
          <w:szCs w:val="20"/>
        </w:rPr>
      </w:pPr>
    </w:p>
    <w:p w14:paraId="73B36676" w14:textId="77777777" w:rsidR="003913B1" w:rsidRPr="00A02A4F" w:rsidRDefault="003913B1" w:rsidP="00A02A4F">
      <w:pPr>
        <w:jc w:val="both"/>
        <w:rPr>
          <w:rFonts w:ascii="Times New Roman" w:eastAsia="Arial Unicode MS" w:hAnsi="Times New Roman" w:cs="Times New Roman"/>
          <w:b/>
          <w:sz w:val="20"/>
          <w:szCs w:val="20"/>
        </w:rPr>
      </w:pPr>
    </w:p>
    <w:p w14:paraId="446EBF51" w14:textId="77777777" w:rsidR="003913B1" w:rsidRPr="00A02A4F" w:rsidRDefault="003913B1" w:rsidP="00A02A4F">
      <w:pPr>
        <w:jc w:val="both"/>
        <w:rPr>
          <w:rFonts w:ascii="Times New Roman" w:eastAsia="Arial Unicode MS" w:hAnsi="Times New Roman" w:cs="Times New Roman"/>
          <w:b/>
          <w:sz w:val="20"/>
          <w:szCs w:val="20"/>
        </w:rPr>
      </w:pPr>
    </w:p>
    <w:p w14:paraId="67AE6967" w14:textId="77777777" w:rsidR="003913B1" w:rsidRPr="00A02A4F" w:rsidRDefault="003913B1" w:rsidP="00A02A4F">
      <w:pPr>
        <w:jc w:val="both"/>
        <w:rPr>
          <w:rFonts w:ascii="Times New Roman" w:eastAsia="Arial Unicode MS" w:hAnsi="Times New Roman" w:cs="Times New Roman"/>
          <w:b/>
          <w:sz w:val="20"/>
          <w:szCs w:val="20"/>
        </w:rPr>
      </w:pPr>
      <w:r w:rsidRPr="00A02A4F">
        <w:rPr>
          <w:rFonts w:ascii="Times New Roman" w:eastAsia="Arial Unicode MS" w:hAnsi="Times New Roman" w:cs="Times New Roman"/>
          <w:b/>
          <w:sz w:val="20"/>
          <w:szCs w:val="20"/>
        </w:rPr>
        <w:t xml:space="preserve">                                  STOOL MICROSCOPY</w:t>
      </w:r>
    </w:p>
    <w:p w14:paraId="290E9299" w14:textId="77777777" w:rsidR="003913B1" w:rsidRPr="00A02A4F" w:rsidRDefault="003913B1" w:rsidP="00A02A4F">
      <w:pPr>
        <w:jc w:val="both"/>
        <w:rPr>
          <w:rFonts w:ascii="Times New Roman" w:eastAsia="Arial Unicode MS" w:hAnsi="Times New Roman" w:cs="Times New Roman"/>
          <w:b/>
          <w:sz w:val="20"/>
          <w:szCs w:val="20"/>
        </w:rPr>
      </w:pPr>
    </w:p>
    <w:p w14:paraId="2F1ACCED" w14:textId="77777777" w:rsidR="003913B1" w:rsidRPr="00A02A4F" w:rsidRDefault="003913B1" w:rsidP="00A02A4F">
      <w:pPr>
        <w:pStyle w:val="NormalWeb"/>
        <w:spacing w:line="360" w:lineRule="auto"/>
        <w:jc w:val="both"/>
        <w:rPr>
          <w:sz w:val="20"/>
          <w:szCs w:val="20"/>
        </w:rPr>
      </w:pPr>
      <w:r w:rsidRPr="00A02A4F">
        <w:rPr>
          <w:b/>
          <w:bCs/>
          <w:sz w:val="20"/>
          <w:szCs w:val="20"/>
        </w:rPr>
        <w:t>4.</w:t>
      </w:r>
      <w:proofErr w:type="gramStart"/>
      <w:r w:rsidRPr="00A02A4F">
        <w:rPr>
          <w:b/>
          <w:bCs/>
          <w:sz w:val="20"/>
          <w:szCs w:val="20"/>
        </w:rPr>
        <w:t>1.Saline</w:t>
      </w:r>
      <w:proofErr w:type="gramEnd"/>
      <w:r w:rsidRPr="00A02A4F">
        <w:rPr>
          <w:b/>
          <w:bCs/>
          <w:sz w:val="20"/>
          <w:szCs w:val="20"/>
        </w:rPr>
        <w:t xml:space="preserve"> wet mount:</w:t>
      </w:r>
      <w:r w:rsidRPr="00A02A4F">
        <w:rPr>
          <w:sz w:val="20"/>
          <w:szCs w:val="20"/>
        </w:rPr>
        <w:t xml:space="preserve"> </w:t>
      </w:r>
    </w:p>
    <w:p w14:paraId="323475AB" w14:textId="4D79CAFE" w:rsidR="003913B1" w:rsidRPr="00A02A4F" w:rsidRDefault="003913B1" w:rsidP="00A02A4F">
      <w:pPr>
        <w:pStyle w:val="NormalWeb"/>
        <w:spacing w:line="360" w:lineRule="auto"/>
        <w:jc w:val="both"/>
        <w:rPr>
          <w:sz w:val="20"/>
          <w:szCs w:val="20"/>
        </w:rPr>
      </w:pPr>
      <w:r w:rsidRPr="00A02A4F">
        <w:rPr>
          <w:sz w:val="20"/>
          <w:szCs w:val="20"/>
        </w:rPr>
        <w:t xml:space="preserve">Saline wet mount was prepared by mixing a small quantity (about 2 mg) of </w:t>
      </w:r>
      <w:proofErr w:type="spellStart"/>
      <w:r w:rsidRPr="00A02A4F">
        <w:rPr>
          <w:sz w:val="20"/>
          <w:szCs w:val="20"/>
        </w:rPr>
        <w:t>feces</w:t>
      </w:r>
      <w:proofErr w:type="spellEnd"/>
      <w:r w:rsidRPr="00A02A4F">
        <w:rPr>
          <w:sz w:val="20"/>
          <w:szCs w:val="20"/>
        </w:rPr>
        <w:t xml:space="preserve"> in a drop of saline by placing it on a clean glass slide and covered using coverslip but after removing any </w:t>
      </w:r>
      <w:proofErr w:type="spellStart"/>
      <w:r w:rsidRPr="00A02A4F">
        <w:rPr>
          <w:sz w:val="20"/>
          <w:szCs w:val="20"/>
        </w:rPr>
        <w:t>fiber</w:t>
      </w:r>
      <w:proofErr w:type="spellEnd"/>
      <w:r w:rsidRPr="00A02A4F">
        <w:rPr>
          <w:sz w:val="20"/>
          <w:szCs w:val="20"/>
        </w:rPr>
        <w:t xml:space="preserve"> or particle (if present). The smear examination was done under the microscope from one corner of smear, and systematically progressing to successive adjacent swat</w:t>
      </w:r>
      <w:r w:rsidR="007C0EEF" w:rsidRPr="00A02A4F">
        <w:rPr>
          <w:sz w:val="20"/>
          <w:szCs w:val="20"/>
        </w:rPr>
        <w:t xml:space="preserve">h under the low </w:t>
      </w:r>
      <w:proofErr w:type="gramStart"/>
      <w:r w:rsidR="007C0EEF" w:rsidRPr="00A02A4F">
        <w:rPr>
          <w:sz w:val="20"/>
          <w:szCs w:val="20"/>
        </w:rPr>
        <w:t>magnification[</w:t>
      </w:r>
      <w:proofErr w:type="gramEnd"/>
      <w:r w:rsidR="007C0EEF" w:rsidRPr="00A02A4F">
        <w:rPr>
          <w:sz w:val="20"/>
          <w:szCs w:val="20"/>
        </w:rPr>
        <w:t>10</w:t>
      </w:r>
      <w:r w:rsidRPr="00A02A4F">
        <w:rPr>
          <w:sz w:val="20"/>
          <w:szCs w:val="20"/>
        </w:rPr>
        <w:t xml:space="preserve">]. </w:t>
      </w:r>
    </w:p>
    <w:p w14:paraId="2192E53C" w14:textId="77777777" w:rsidR="003913B1" w:rsidRPr="00A02A4F" w:rsidRDefault="003913B1" w:rsidP="00A02A4F">
      <w:pPr>
        <w:pStyle w:val="NormalWeb"/>
        <w:spacing w:line="360" w:lineRule="auto"/>
        <w:jc w:val="both"/>
        <w:rPr>
          <w:sz w:val="20"/>
          <w:szCs w:val="20"/>
        </w:rPr>
      </w:pPr>
      <w:r w:rsidRPr="00A02A4F">
        <w:rPr>
          <w:sz w:val="20"/>
          <w:szCs w:val="20"/>
        </w:rPr>
        <w:t xml:space="preserve">When a parasite-like object or cell-like structure was found, it was examined properly and identified under higher magnification. The saline wet mount procedure was used for detection of Cysts, eggs, larva, trophozoites protozoan, as well as helminths </w:t>
      </w:r>
    </w:p>
    <w:p w14:paraId="1B70E68C" w14:textId="77777777" w:rsidR="003913B1" w:rsidRPr="00A02A4F" w:rsidRDefault="003913B1" w:rsidP="00A02A4F">
      <w:pPr>
        <w:pStyle w:val="NormalWeb"/>
        <w:spacing w:line="360" w:lineRule="auto"/>
        <w:jc w:val="both"/>
        <w:rPr>
          <w:sz w:val="20"/>
          <w:szCs w:val="20"/>
        </w:rPr>
      </w:pPr>
      <w:r w:rsidRPr="00A02A4F">
        <w:rPr>
          <w:b/>
          <w:bCs/>
          <w:sz w:val="20"/>
          <w:szCs w:val="20"/>
        </w:rPr>
        <w:t>4.</w:t>
      </w:r>
      <w:proofErr w:type="gramStart"/>
      <w:r w:rsidRPr="00A02A4F">
        <w:rPr>
          <w:b/>
          <w:bCs/>
          <w:sz w:val="20"/>
          <w:szCs w:val="20"/>
        </w:rPr>
        <w:t>2.Iodine</w:t>
      </w:r>
      <w:proofErr w:type="gramEnd"/>
      <w:r w:rsidRPr="00A02A4F">
        <w:rPr>
          <w:b/>
          <w:bCs/>
          <w:sz w:val="20"/>
          <w:szCs w:val="20"/>
        </w:rPr>
        <w:t xml:space="preserve"> wet mount:</w:t>
      </w:r>
      <w:r w:rsidRPr="00A02A4F">
        <w:rPr>
          <w:sz w:val="20"/>
          <w:szCs w:val="20"/>
        </w:rPr>
        <w:t xml:space="preserve"> </w:t>
      </w:r>
    </w:p>
    <w:p w14:paraId="554941BB" w14:textId="53CFF861" w:rsidR="003913B1" w:rsidRPr="00A02A4F" w:rsidRDefault="003913B1" w:rsidP="00A02A4F">
      <w:pPr>
        <w:pStyle w:val="NormalWeb"/>
        <w:spacing w:line="360" w:lineRule="auto"/>
        <w:jc w:val="both"/>
        <w:rPr>
          <w:sz w:val="20"/>
          <w:szCs w:val="20"/>
        </w:rPr>
      </w:pPr>
      <w:r w:rsidRPr="00A02A4F">
        <w:rPr>
          <w:sz w:val="20"/>
          <w:szCs w:val="20"/>
        </w:rPr>
        <w:t>For this technique, the stool was combined with five times diluted Lugol's iodine(</w:t>
      </w:r>
      <w:proofErr w:type="spellStart"/>
      <w:r w:rsidRPr="00A02A4F">
        <w:rPr>
          <w:sz w:val="20"/>
          <w:szCs w:val="20"/>
        </w:rPr>
        <w:t>HiMedia</w:t>
      </w:r>
      <w:proofErr w:type="spellEnd"/>
      <w:r w:rsidRPr="00A02A4F">
        <w:rPr>
          <w:sz w:val="20"/>
          <w:szCs w:val="20"/>
        </w:rPr>
        <w:t xml:space="preserve">) on a clean glass slide covered with a coverslip and observed under the microscope as mentioned above. Both saline and iodine wet mount </w:t>
      </w:r>
      <w:proofErr w:type="gramStart"/>
      <w:r w:rsidRPr="00A02A4F">
        <w:rPr>
          <w:sz w:val="20"/>
          <w:szCs w:val="20"/>
        </w:rPr>
        <w:t>was</w:t>
      </w:r>
      <w:r w:rsidR="007C0EEF" w:rsidRPr="00A02A4F">
        <w:rPr>
          <w:sz w:val="20"/>
          <w:szCs w:val="20"/>
        </w:rPr>
        <w:t xml:space="preserve">  prepared</w:t>
      </w:r>
      <w:proofErr w:type="gramEnd"/>
      <w:r w:rsidR="007C0EEF" w:rsidRPr="00A02A4F">
        <w:rPr>
          <w:sz w:val="20"/>
          <w:szCs w:val="20"/>
        </w:rPr>
        <w:t xml:space="preserve"> on the same slide [10</w:t>
      </w:r>
      <w:r w:rsidRPr="00A02A4F">
        <w:rPr>
          <w:sz w:val="20"/>
          <w:szCs w:val="20"/>
        </w:rPr>
        <w:t>]</w:t>
      </w:r>
    </w:p>
    <w:p w14:paraId="766B7799" w14:textId="77777777" w:rsidR="003913B1" w:rsidRPr="00A02A4F" w:rsidRDefault="003913B1" w:rsidP="00A02A4F">
      <w:pPr>
        <w:pStyle w:val="NormalWeb"/>
        <w:spacing w:line="360" w:lineRule="auto"/>
        <w:jc w:val="both"/>
        <w:rPr>
          <w:sz w:val="20"/>
          <w:szCs w:val="20"/>
        </w:rPr>
      </w:pPr>
    </w:p>
    <w:p w14:paraId="13D83287" w14:textId="77777777" w:rsidR="003913B1" w:rsidRPr="00A02A4F" w:rsidRDefault="003913B1" w:rsidP="00A02A4F">
      <w:pPr>
        <w:pStyle w:val="NormalWeb"/>
        <w:spacing w:line="360" w:lineRule="auto"/>
        <w:jc w:val="both"/>
        <w:rPr>
          <w:sz w:val="20"/>
          <w:szCs w:val="20"/>
        </w:rPr>
      </w:pPr>
      <w:r w:rsidRPr="00A02A4F">
        <w:rPr>
          <w:b/>
          <w:bCs/>
          <w:sz w:val="20"/>
          <w:szCs w:val="20"/>
        </w:rPr>
        <w:t xml:space="preserve">4.3. Formalin-ether concentration technique </w:t>
      </w:r>
    </w:p>
    <w:p w14:paraId="681727F4" w14:textId="77777777" w:rsidR="003913B1" w:rsidRPr="00A02A4F" w:rsidRDefault="003913B1" w:rsidP="00A02A4F">
      <w:pPr>
        <w:pStyle w:val="NormalWeb"/>
        <w:numPr>
          <w:ilvl w:val="0"/>
          <w:numId w:val="16"/>
        </w:numPr>
        <w:spacing w:line="360" w:lineRule="auto"/>
        <w:jc w:val="both"/>
        <w:rPr>
          <w:sz w:val="20"/>
          <w:szCs w:val="20"/>
        </w:rPr>
      </w:pPr>
      <w:r w:rsidRPr="00A02A4F">
        <w:rPr>
          <w:sz w:val="20"/>
          <w:szCs w:val="20"/>
        </w:rPr>
        <w:t xml:space="preserve">One gram of stool was put in a </w:t>
      </w:r>
      <w:proofErr w:type="spellStart"/>
      <w:r w:rsidRPr="00A02A4F">
        <w:rPr>
          <w:sz w:val="20"/>
          <w:szCs w:val="20"/>
        </w:rPr>
        <w:t>polypot</w:t>
      </w:r>
      <w:proofErr w:type="spellEnd"/>
      <w:r w:rsidRPr="00A02A4F">
        <w:rPr>
          <w:sz w:val="20"/>
          <w:szCs w:val="20"/>
        </w:rPr>
        <w:t xml:space="preserve"> and 7ml of 10% formal saline added and </w:t>
      </w:r>
      <w:proofErr w:type="gramStart"/>
      <w:r w:rsidRPr="00A02A4F">
        <w:rPr>
          <w:sz w:val="20"/>
          <w:szCs w:val="20"/>
        </w:rPr>
        <w:t>then  emulsified</w:t>
      </w:r>
      <w:proofErr w:type="gramEnd"/>
      <w:r w:rsidRPr="00A02A4F">
        <w:rPr>
          <w:sz w:val="20"/>
          <w:szCs w:val="20"/>
        </w:rPr>
        <w:t xml:space="preserve"> using applicator stick. T</w:t>
      </w:r>
    </w:p>
    <w:p w14:paraId="5B649D59" w14:textId="77777777" w:rsidR="003913B1" w:rsidRPr="00A02A4F" w:rsidRDefault="003913B1" w:rsidP="00A02A4F">
      <w:pPr>
        <w:pStyle w:val="NormalWeb"/>
        <w:numPr>
          <w:ilvl w:val="0"/>
          <w:numId w:val="16"/>
        </w:numPr>
        <w:spacing w:line="360" w:lineRule="auto"/>
        <w:jc w:val="both"/>
        <w:rPr>
          <w:sz w:val="20"/>
          <w:szCs w:val="20"/>
        </w:rPr>
      </w:pPr>
      <w:r w:rsidRPr="00A02A4F">
        <w:rPr>
          <w:sz w:val="20"/>
          <w:szCs w:val="20"/>
        </w:rPr>
        <w:t xml:space="preserve">The stool was then strained into a centrifuge tube by use of dump cotton gauze to remove the debris. </w:t>
      </w:r>
    </w:p>
    <w:p w14:paraId="3DF533C7" w14:textId="77777777" w:rsidR="003913B1" w:rsidRPr="00A02A4F" w:rsidRDefault="003913B1" w:rsidP="00A02A4F">
      <w:pPr>
        <w:pStyle w:val="NormalWeb"/>
        <w:numPr>
          <w:ilvl w:val="0"/>
          <w:numId w:val="16"/>
        </w:numPr>
        <w:spacing w:line="360" w:lineRule="auto"/>
        <w:jc w:val="both"/>
        <w:rPr>
          <w:sz w:val="20"/>
          <w:szCs w:val="20"/>
        </w:rPr>
      </w:pPr>
      <w:r w:rsidRPr="00A02A4F">
        <w:rPr>
          <w:sz w:val="20"/>
          <w:szCs w:val="20"/>
        </w:rPr>
        <w:t xml:space="preserve">Three ml of diethyl ether was added into the mixture then mixed thoroughly. </w:t>
      </w:r>
    </w:p>
    <w:p w14:paraId="02D027F9" w14:textId="77777777" w:rsidR="003913B1" w:rsidRPr="00A02A4F" w:rsidRDefault="003913B1" w:rsidP="00A02A4F">
      <w:pPr>
        <w:pStyle w:val="NormalWeb"/>
        <w:numPr>
          <w:ilvl w:val="0"/>
          <w:numId w:val="16"/>
        </w:numPr>
        <w:spacing w:line="360" w:lineRule="auto"/>
        <w:jc w:val="both"/>
        <w:rPr>
          <w:sz w:val="20"/>
          <w:szCs w:val="20"/>
        </w:rPr>
      </w:pPr>
      <w:r w:rsidRPr="00A02A4F">
        <w:rPr>
          <w:sz w:val="20"/>
          <w:szCs w:val="20"/>
        </w:rPr>
        <w:t xml:space="preserve">The tube was centrifuged at 2500 rpm for 2 minutes. After centrifugation, post </w:t>
      </w:r>
      <w:proofErr w:type="gramStart"/>
      <w:r w:rsidRPr="00A02A4F">
        <w:rPr>
          <w:sz w:val="20"/>
          <w:szCs w:val="20"/>
        </w:rPr>
        <w:t>centrifugation  four</w:t>
      </w:r>
      <w:proofErr w:type="gramEnd"/>
      <w:r w:rsidRPr="00A02A4F">
        <w:rPr>
          <w:sz w:val="20"/>
          <w:szCs w:val="20"/>
        </w:rPr>
        <w:t xml:space="preserve"> layers were formed in </w:t>
      </w:r>
      <w:proofErr w:type="gramStart"/>
      <w:r w:rsidRPr="00A02A4F">
        <w:rPr>
          <w:sz w:val="20"/>
          <w:szCs w:val="20"/>
        </w:rPr>
        <w:t>tubes  including</w:t>
      </w:r>
      <w:proofErr w:type="gramEnd"/>
      <w:r w:rsidRPr="00A02A4F">
        <w:rPr>
          <w:sz w:val="20"/>
          <w:szCs w:val="20"/>
        </w:rPr>
        <w:t xml:space="preserve"> (</w:t>
      </w:r>
      <w:proofErr w:type="spellStart"/>
      <w:r w:rsidRPr="00A02A4F">
        <w:rPr>
          <w:sz w:val="20"/>
          <w:szCs w:val="20"/>
        </w:rPr>
        <w:t>i</w:t>
      </w:r>
      <w:proofErr w:type="spellEnd"/>
      <w:r w:rsidRPr="00A02A4F">
        <w:rPr>
          <w:sz w:val="20"/>
          <w:szCs w:val="20"/>
        </w:rPr>
        <w:t xml:space="preserve">) The uppermost layer consisted of ether, (ii) the 2nd layer was debris plug, (iii) the 3rd layer was formalin saline, and (iv) the 4th layer consists of sediment. </w:t>
      </w:r>
    </w:p>
    <w:p w14:paraId="069A244C" w14:textId="77777777" w:rsidR="003913B1" w:rsidRPr="00A02A4F" w:rsidRDefault="003913B1" w:rsidP="00A02A4F">
      <w:pPr>
        <w:pStyle w:val="NormalWeb"/>
        <w:numPr>
          <w:ilvl w:val="0"/>
          <w:numId w:val="16"/>
        </w:numPr>
        <w:spacing w:line="360" w:lineRule="auto"/>
        <w:jc w:val="both"/>
        <w:rPr>
          <w:sz w:val="20"/>
          <w:szCs w:val="20"/>
        </w:rPr>
      </w:pPr>
      <w:r w:rsidRPr="00A02A4F">
        <w:rPr>
          <w:sz w:val="20"/>
          <w:szCs w:val="20"/>
        </w:rPr>
        <w:t>The removal of debris plug was done using a glass rod and by pouring the liquid from the side of the tube leaving traces of formalin saline for sediment suspension.</w:t>
      </w:r>
    </w:p>
    <w:p w14:paraId="626F2ADC" w14:textId="6FB4373E" w:rsidR="003913B1" w:rsidRPr="00A02A4F" w:rsidRDefault="003913B1" w:rsidP="00A02A4F">
      <w:pPr>
        <w:pStyle w:val="NormalWeb"/>
        <w:numPr>
          <w:ilvl w:val="0"/>
          <w:numId w:val="16"/>
        </w:numPr>
        <w:spacing w:line="360" w:lineRule="auto"/>
        <w:jc w:val="both"/>
        <w:rPr>
          <w:sz w:val="20"/>
          <w:szCs w:val="20"/>
        </w:rPr>
      </w:pPr>
      <w:r w:rsidRPr="00A02A4F">
        <w:rPr>
          <w:sz w:val="20"/>
          <w:szCs w:val="20"/>
        </w:rPr>
        <w:t>The sediment suspension was mounted by pouring on a glass slide, followed by exa</w:t>
      </w:r>
      <w:r w:rsidR="007C0EEF" w:rsidRPr="00A02A4F">
        <w:rPr>
          <w:sz w:val="20"/>
          <w:szCs w:val="20"/>
        </w:rPr>
        <w:t xml:space="preserve">mination under the </w:t>
      </w:r>
      <w:proofErr w:type="gramStart"/>
      <w:r w:rsidR="007C0EEF" w:rsidRPr="00A02A4F">
        <w:rPr>
          <w:sz w:val="20"/>
          <w:szCs w:val="20"/>
        </w:rPr>
        <w:t>microscope[</w:t>
      </w:r>
      <w:proofErr w:type="gramEnd"/>
      <w:r w:rsidR="007C0EEF" w:rsidRPr="00A02A4F">
        <w:rPr>
          <w:sz w:val="20"/>
          <w:szCs w:val="20"/>
        </w:rPr>
        <w:t>10</w:t>
      </w:r>
      <w:r w:rsidRPr="00A02A4F">
        <w:rPr>
          <w:sz w:val="20"/>
          <w:szCs w:val="20"/>
        </w:rPr>
        <w:t>]</w:t>
      </w:r>
    </w:p>
    <w:p w14:paraId="04E0F432" w14:textId="77777777" w:rsidR="00A02A4F" w:rsidRDefault="003913B1" w:rsidP="00A02A4F">
      <w:pPr>
        <w:pStyle w:val="NormalWeb"/>
        <w:numPr>
          <w:ilvl w:val="0"/>
          <w:numId w:val="16"/>
        </w:numPr>
        <w:spacing w:line="360" w:lineRule="auto"/>
        <w:jc w:val="both"/>
        <w:rPr>
          <w:sz w:val="20"/>
          <w:szCs w:val="20"/>
        </w:rPr>
      </w:pPr>
      <w:r w:rsidRPr="00A02A4F">
        <w:rPr>
          <w:sz w:val="20"/>
          <w:szCs w:val="20"/>
        </w:rPr>
        <w:lastRenderedPageBreak/>
        <w:t>The wet mount and iodine mount were made with sediment as described earlier and examined under low(10x) and high power(40x</w:t>
      </w:r>
      <w:proofErr w:type="gramStart"/>
      <w:r w:rsidRPr="00A02A4F">
        <w:rPr>
          <w:sz w:val="20"/>
          <w:szCs w:val="20"/>
        </w:rPr>
        <w:t>).Work</w:t>
      </w:r>
      <w:proofErr w:type="gramEnd"/>
      <w:r w:rsidRPr="00A02A4F">
        <w:rPr>
          <w:sz w:val="20"/>
          <w:szCs w:val="20"/>
        </w:rPr>
        <w:t xml:space="preserve"> flow of whole methodology is shown in figure</w:t>
      </w:r>
    </w:p>
    <w:p w14:paraId="24EBB368" w14:textId="0E16344C" w:rsidR="003913B1" w:rsidRPr="00A02A4F" w:rsidRDefault="003913B1" w:rsidP="00A02A4F">
      <w:pPr>
        <w:pStyle w:val="NormalWeb"/>
        <w:spacing w:line="360" w:lineRule="auto"/>
        <w:ind w:left="460"/>
        <w:jc w:val="both"/>
        <w:rPr>
          <w:sz w:val="20"/>
          <w:szCs w:val="20"/>
        </w:rPr>
      </w:pPr>
      <w:r w:rsidRPr="00A02A4F">
        <w:rPr>
          <w:b/>
          <w:bCs/>
          <w:sz w:val="20"/>
          <w:szCs w:val="20"/>
        </w:rPr>
        <w:t xml:space="preserve"> DATA ANALYSIS</w:t>
      </w:r>
    </w:p>
    <w:p w14:paraId="529C1CE1" w14:textId="77777777" w:rsidR="003913B1" w:rsidRPr="00A02A4F" w:rsidRDefault="003913B1" w:rsidP="00A02A4F">
      <w:pPr>
        <w:pStyle w:val="NormalWeb"/>
        <w:spacing w:line="360" w:lineRule="auto"/>
        <w:jc w:val="both"/>
        <w:rPr>
          <w:sz w:val="20"/>
          <w:szCs w:val="20"/>
          <w:lang w:val="en-US"/>
        </w:rPr>
      </w:pPr>
      <w:r w:rsidRPr="00A02A4F">
        <w:rPr>
          <w:sz w:val="20"/>
          <w:szCs w:val="20"/>
          <w:lang w:val="en-US"/>
        </w:rPr>
        <w:t>The data was entered in Microsoft Excel sheet and percentage of positive and negative findings were compared</w:t>
      </w:r>
    </w:p>
    <w:p w14:paraId="6F6017D0" w14:textId="6802E871" w:rsidR="00693FD8" w:rsidRPr="00A02A4F" w:rsidRDefault="00A64B10" w:rsidP="00A02A4F">
      <w:pPr>
        <w:pStyle w:val="NormalWeb"/>
        <w:spacing w:line="360" w:lineRule="auto"/>
        <w:jc w:val="both"/>
        <w:rPr>
          <w:sz w:val="20"/>
          <w:szCs w:val="20"/>
        </w:rPr>
      </w:pPr>
      <w:r w:rsidRPr="00A02A4F">
        <w:rPr>
          <w:b/>
          <w:color w:val="8DB3E2" w:themeColor="text2" w:themeTint="66"/>
          <w:sz w:val="20"/>
          <w:szCs w:val="20"/>
        </w:rPr>
        <w:t>3. Results</w:t>
      </w:r>
    </w:p>
    <w:p w14:paraId="547E7D8C" w14:textId="77777777" w:rsidR="00693FD8" w:rsidRPr="00A02A4F" w:rsidRDefault="00693FD8" w:rsidP="00A02A4F">
      <w:pPr>
        <w:pStyle w:val="NormalWeb"/>
        <w:spacing w:line="360" w:lineRule="auto"/>
        <w:jc w:val="both"/>
        <w:rPr>
          <w:sz w:val="20"/>
          <w:szCs w:val="20"/>
        </w:rPr>
      </w:pPr>
      <w:r w:rsidRPr="00A02A4F">
        <w:rPr>
          <w:sz w:val="20"/>
          <w:szCs w:val="20"/>
        </w:rPr>
        <w:t>A total of 350 stool samples were processed within the study period out of which 41 were positive by either of methods, Pie chart-1</w:t>
      </w:r>
    </w:p>
    <w:p w14:paraId="2F17D074" w14:textId="50C4E916" w:rsidR="005B4941" w:rsidRPr="00A02A4F" w:rsidRDefault="005B4941" w:rsidP="00A02A4F">
      <w:pPr>
        <w:pStyle w:val="NormalWeb"/>
        <w:spacing w:line="360" w:lineRule="auto"/>
        <w:jc w:val="both"/>
        <w:rPr>
          <w:sz w:val="20"/>
          <w:szCs w:val="20"/>
        </w:rPr>
      </w:pPr>
      <w:r w:rsidRPr="00A02A4F">
        <w:rPr>
          <w:sz w:val="20"/>
          <w:szCs w:val="20"/>
        </w:rPr>
        <w:t>Table 1-</w:t>
      </w:r>
      <w:r w:rsidR="008E2CA0" w:rsidRPr="00A02A4F">
        <w:rPr>
          <w:sz w:val="20"/>
          <w:szCs w:val="20"/>
        </w:rPr>
        <w:t xml:space="preserve"> An analysis of 350 stool samples </w:t>
      </w:r>
    </w:p>
    <w:tbl>
      <w:tblPr>
        <w:tblStyle w:val="TableGrid"/>
        <w:tblW w:w="0" w:type="auto"/>
        <w:tblLook w:val="04A0" w:firstRow="1" w:lastRow="0" w:firstColumn="1" w:lastColumn="0" w:noHBand="0" w:noVBand="1"/>
      </w:tblPr>
      <w:tblGrid>
        <w:gridCol w:w="2949"/>
        <w:gridCol w:w="2952"/>
        <w:gridCol w:w="2955"/>
      </w:tblGrid>
      <w:tr w:rsidR="00693FD8" w:rsidRPr="00A02A4F" w14:paraId="6F11B666" w14:textId="77777777" w:rsidTr="00693FD8">
        <w:tc>
          <w:tcPr>
            <w:tcW w:w="3003" w:type="dxa"/>
            <w:tcBorders>
              <w:top w:val="single" w:sz="4" w:space="0" w:color="auto"/>
              <w:left w:val="single" w:sz="4" w:space="0" w:color="auto"/>
              <w:bottom w:val="single" w:sz="4" w:space="0" w:color="auto"/>
              <w:right w:val="single" w:sz="4" w:space="0" w:color="auto"/>
            </w:tcBorders>
            <w:hideMark/>
          </w:tcPr>
          <w:p w14:paraId="13A34EC9"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Total sample</w:t>
            </w:r>
          </w:p>
        </w:tc>
        <w:tc>
          <w:tcPr>
            <w:tcW w:w="3003" w:type="dxa"/>
            <w:tcBorders>
              <w:top w:val="single" w:sz="4" w:space="0" w:color="auto"/>
              <w:left w:val="single" w:sz="4" w:space="0" w:color="auto"/>
              <w:bottom w:val="single" w:sz="4" w:space="0" w:color="auto"/>
              <w:right w:val="single" w:sz="4" w:space="0" w:color="auto"/>
            </w:tcBorders>
            <w:hideMark/>
          </w:tcPr>
          <w:p w14:paraId="7B123036"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Total positive</w:t>
            </w:r>
          </w:p>
        </w:tc>
        <w:tc>
          <w:tcPr>
            <w:tcW w:w="3004" w:type="dxa"/>
            <w:tcBorders>
              <w:top w:val="single" w:sz="4" w:space="0" w:color="auto"/>
              <w:left w:val="single" w:sz="4" w:space="0" w:color="auto"/>
              <w:bottom w:val="single" w:sz="4" w:space="0" w:color="auto"/>
              <w:right w:val="single" w:sz="4" w:space="0" w:color="auto"/>
            </w:tcBorders>
            <w:hideMark/>
          </w:tcPr>
          <w:p w14:paraId="03D0747E"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Total negative</w:t>
            </w:r>
          </w:p>
        </w:tc>
      </w:tr>
      <w:tr w:rsidR="00693FD8" w:rsidRPr="00A02A4F" w14:paraId="3B7553ED" w14:textId="77777777" w:rsidTr="00693FD8">
        <w:tc>
          <w:tcPr>
            <w:tcW w:w="3003" w:type="dxa"/>
            <w:tcBorders>
              <w:top w:val="single" w:sz="4" w:space="0" w:color="auto"/>
              <w:left w:val="single" w:sz="4" w:space="0" w:color="auto"/>
              <w:bottom w:val="single" w:sz="4" w:space="0" w:color="auto"/>
              <w:right w:val="single" w:sz="4" w:space="0" w:color="auto"/>
            </w:tcBorders>
            <w:hideMark/>
          </w:tcPr>
          <w:p w14:paraId="158F62D7"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350</w:t>
            </w:r>
          </w:p>
        </w:tc>
        <w:tc>
          <w:tcPr>
            <w:tcW w:w="3003" w:type="dxa"/>
            <w:tcBorders>
              <w:top w:val="single" w:sz="4" w:space="0" w:color="auto"/>
              <w:left w:val="single" w:sz="4" w:space="0" w:color="auto"/>
              <w:bottom w:val="single" w:sz="4" w:space="0" w:color="auto"/>
              <w:right w:val="single" w:sz="4" w:space="0" w:color="auto"/>
            </w:tcBorders>
            <w:hideMark/>
          </w:tcPr>
          <w:p w14:paraId="38CF8848"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41[12%]</w:t>
            </w:r>
          </w:p>
        </w:tc>
        <w:tc>
          <w:tcPr>
            <w:tcW w:w="3004" w:type="dxa"/>
            <w:tcBorders>
              <w:top w:val="single" w:sz="4" w:space="0" w:color="auto"/>
              <w:left w:val="single" w:sz="4" w:space="0" w:color="auto"/>
              <w:bottom w:val="single" w:sz="4" w:space="0" w:color="auto"/>
              <w:right w:val="single" w:sz="4" w:space="0" w:color="auto"/>
            </w:tcBorders>
            <w:hideMark/>
          </w:tcPr>
          <w:p w14:paraId="0CABF226"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309[88%]</w:t>
            </w:r>
          </w:p>
        </w:tc>
      </w:tr>
      <w:tr w:rsidR="00693FD8" w:rsidRPr="00A02A4F" w14:paraId="45F4295B" w14:textId="77777777" w:rsidTr="00693FD8">
        <w:tc>
          <w:tcPr>
            <w:tcW w:w="3003" w:type="dxa"/>
            <w:tcBorders>
              <w:top w:val="single" w:sz="4" w:space="0" w:color="auto"/>
              <w:left w:val="single" w:sz="4" w:space="0" w:color="auto"/>
              <w:bottom w:val="single" w:sz="4" w:space="0" w:color="auto"/>
              <w:right w:val="single" w:sz="4" w:space="0" w:color="auto"/>
            </w:tcBorders>
          </w:tcPr>
          <w:p w14:paraId="1F2186D0" w14:textId="77777777" w:rsidR="00693FD8" w:rsidRPr="00A02A4F" w:rsidRDefault="00693FD8" w:rsidP="00A02A4F">
            <w:pPr>
              <w:pStyle w:val="NormalWeb"/>
              <w:spacing w:line="360" w:lineRule="auto"/>
              <w:jc w:val="both"/>
              <w:rPr>
                <w:kern w:val="2"/>
                <w:sz w:val="20"/>
                <w:szCs w:val="20"/>
                <w14:ligatures w14:val="standardContextual"/>
              </w:rPr>
            </w:pPr>
          </w:p>
        </w:tc>
        <w:tc>
          <w:tcPr>
            <w:tcW w:w="3003" w:type="dxa"/>
            <w:tcBorders>
              <w:top w:val="single" w:sz="4" w:space="0" w:color="auto"/>
              <w:left w:val="single" w:sz="4" w:space="0" w:color="auto"/>
              <w:bottom w:val="single" w:sz="4" w:space="0" w:color="auto"/>
              <w:right w:val="single" w:sz="4" w:space="0" w:color="auto"/>
            </w:tcBorders>
          </w:tcPr>
          <w:p w14:paraId="643D99A0" w14:textId="77777777" w:rsidR="00693FD8" w:rsidRPr="00A02A4F" w:rsidRDefault="00693FD8" w:rsidP="00A02A4F">
            <w:pPr>
              <w:pStyle w:val="NormalWeb"/>
              <w:spacing w:line="360" w:lineRule="auto"/>
              <w:jc w:val="both"/>
              <w:rPr>
                <w:kern w:val="2"/>
                <w:sz w:val="20"/>
                <w:szCs w:val="20"/>
                <w14:ligatures w14:val="standardContextual"/>
              </w:rPr>
            </w:pPr>
          </w:p>
        </w:tc>
        <w:tc>
          <w:tcPr>
            <w:tcW w:w="3004" w:type="dxa"/>
            <w:tcBorders>
              <w:top w:val="single" w:sz="4" w:space="0" w:color="auto"/>
              <w:left w:val="single" w:sz="4" w:space="0" w:color="auto"/>
              <w:bottom w:val="single" w:sz="4" w:space="0" w:color="auto"/>
              <w:right w:val="single" w:sz="4" w:space="0" w:color="auto"/>
            </w:tcBorders>
          </w:tcPr>
          <w:p w14:paraId="2A3B7494" w14:textId="77777777" w:rsidR="00693FD8" w:rsidRPr="00A02A4F" w:rsidRDefault="00693FD8" w:rsidP="00A02A4F">
            <w:pPr>
              <w:pStyle w:val="NormalWeb"/>
              <w:spacing w:line="360" w:lineRule="auto"/>
              <w:jc w:val="both"/>
              <w:rPr>
                <w:kern w:val="2"/>
                <w:sz w:val="20"/>
                <w:szCs w:val="20"/>
                <w14:ligatures w14:val="standardContextual"/>
              </w:rPr>
            </w:pPr>
          </w:p>
        </w:tc>
      </w:tr>
    </w:tbl>
    <w:p w14:paraId="42E36EDC" w14:textId="77777777" w:rsidR="00693FD8" w:rsidRPr="00A02A4F" w:rsidRDefault="00693FD8" w:rsidP="00A02A4F">
      <w:pPr>
        <w:pStyle w:val="NormalWeb"/>
        <w:spacing w:line="360" w:lineRule="auto"/>
        <w:jc w:val="both"/>
        <w:rPr>
          <w:sz w:val="20"/>
          <w:szCs w:val="20"/>
        </w:rPr>
      </w:pPr>
    </w:p>
    <w:p w14:paraId="72CC504E" w14:textId="7E70805F" w:rsidR="00693FD8" w:rsidRPr="00A02A4F" w:rsidRDefault="00693FD8" w:rsidP="00A02A4F">
      <w:pPr>
        <w:pStyle w:val="NormalWeb"/>
        <w:spacing w:line="360" w:lineRule="auto"/>
        <w:jc w:val="both"/>
        <w:rPr>
          <w:sz w:val="20"/>
          <w:szCs w:val="20"/>
        </w:rPr>
      </w:pPr>
      <w:r w:rsidRPr="00A02A4F">
        <w:rPr>
          <w:sz w:val="20"/>
          <w:szCs w:val="20"/>
        </w:rPr>
        <w:t>chart -1</w:t>
      </w:r>
      <w:r w:rsidR="002F7852" w:rsidRPr="00A02A4F">
        <w:rPr>
          <w:sz w:val="20"/>
          <w:szCs w:val="20"/>
        </w:rPr>
        <w:t>-</w:t>
      </w:r>
      <w:r w:rsidR="008E2CA0" w:rsidRPr="00A02A4F">
        <w:rPr>
          <w:sz w:val="20"/>
          <w:szCs w:val="20"/>
        </w:rPr>
        <w:t xml:space="preserve"> The pie chart shows the results of 350 stool samples </w:t>
      </w:r>
    </w:p>
    <w:p w14:paraId="2331B5C0" w14:textId="77777777" w:rsidR="00693FD8" w:rsidRPr="00A02A4F" w:rsidRDefault="00693FD8" w:rsidP="00A02A4F">
      <w:pPr>
        <w:pStyle w:val="NormalWeb"/>
        <w:spacing w:line="360" w:lineRule="auto"/>
        <w:jc w:val="both"/>
        <w:rPr>
          <w:sz w:val="20"/>
          <w:szCs w:val="20"/>
        </w:rPr>
      </w:pPr>
      <w:r w:rsidRPr="00A02A4F">
        <w:rPr>
          <w:noProof/>
          <w:sz w:val="20"/>
          <w:szCs w:val="20"/>
          <w:lang w:eastAsia="en-IN"/>
        </w:rPr>
        <w:drawing>
          <wp:inline distT="0" distB="0" distL="0" distR="0" wp14:anchorId="22919BB9" wp14:editId="470FBB88">
            <wp:extent cx="3571875" cy="2550160"/>
            <wp:effectExtent l="0" t="0" r="9525" b="25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165281" w14:textId="77777777" w:rsidR="00693FD8" w:rsidRPr="00A02A4F" w:rsidRDefault="00693FD8" w:rsidP="00A02A4F">
      <w:pPr>
        <w:pStyle w:val="NormalWeb"/>
        <w:spacing w:line="360" w:lineRule="auto"/>
        <w:jc w:val="both"/>
        <w:rPr>
          <w:sz w:val="20"/>
          <w:szCs w:val="20"/>
        </w:rPr>
      </w:pPr>
      <w:r w:rsidRPr="00A02A4F">
        <w:rPr>
          <w:sz w:val="20"/>
          <w:szCs w:val="20"/>
        </w:rPr>
        <w:t xml:space="preserve">Out of 41 positive stool microscopy patients, majority came to hospital on </w:t>
      </w:r>
      <w:proofErr w:type="gramStart"/>
      <w:r w:rsidRPr="00A02A4F">
        <w:rPr>
          <w:sz w:val="20"/>
          <w:szCs w:val="20"/>
        </w:rPr>
        <w:t>OPD[</w:t>
      </w:r>
      <w:proofErr w:type="gramEnd"/>
      <w:r w:rsidRPr="00A02A4F">
        <w:rPr>
          <w:sz w:val="20"/>
          <w:szCs w:val="20"/>
        </w:rPr>
        <w:t>56</w:t>
      </w:r>
      <w:proofErr w:type="gramStart"/>
      <w:r w:rsidRPr="00A02A4F">
        <w:rPr>
          <w:sz w:val="20"/>
          <w:szCs w:val="20"/>
        </w:rPr>
        <w:t>%]basis</w:t>
      </w:r>
      <w:proofErr w:type="gramEnd"/>
      <w:r w:rsidRPr="00A02A4F">
        <w:rPr>
          <w:sz w:val="20"/>
          <w:szCs w:val="20"/>
        </w:rPr>
        <w:t xml:space="preserve"> rest </w:t>
      </w:r>
      <w:proofErr w:type="gramStart"/>
      <w:r w:rsidRPr="00A02A4F">
        <w:rPr>
          <w:sz w:val="20"/>
          <w:szCs w:val="20"/>
        </w:rPr>
        <w:t>all[</w:t>
      </w:r>
      <w:proofErr w:type="gramEnd"/>
      <w:r w:rsidRPr="00A02A4F">
        <w:rPr>
          <w:sz w:val="20"/>
          <w:szCs w:val="20"/>
        </w:rPr>
        <w:t xml:space="preserve">44%] were IPD </w:t>
      </w:r>
      <w:proofErr w:type="gramStart"/>
      <w:r w:rsidRPr="00A02A4F">
        <w:rPr>
          <w:sz w:val="20"/>
          <w:szCs w:val="20"/>
        </w:rPr>
        <w:t>samples ,Pie</w:t>
      </w:r>
      <w:proofErr w:type="gramEnd"/>
      <w:r w:rsidRPr="00A02A4F">
        <w:rPr>
          <w:sz w:val="20"/>
          <w:szCs w:val="20"/>
        </w:rPr>
        <w:t xml:space="preserve"> chart-2</w:t>
      </w:r>
    </w:p>
    <w:p w14:paraId="0467EAD8" w14:textId="3EC2000A" w:rsidR="00693FD8" w:rsidRPr="00A02A4F" w:rsidRDefault="002F7852" w:rsidP="00A02A4F">
      <w:pPr>
        <w:pStyle w:val="NormalWeb"/>
        <w:spacing w:line="360" w:lineRule="auto"/>
        <w:jc w:val="both"/>
        <w:rPr>
          <w:sz w:val="20"/>
          <w:szCs w:val="20"/>
        </w:rPr>
      </w:pPr>
      <w:r w:rsidRPr="00A02A4F">
        <w:rPr>
          <w:sz w:val="20"/>
          <w:szCs w:val="20"/>
        </w:rPr>
        <w:lastRenderedPageBreak/>
        <w:t>Table 2-</w:t>
      </w:r>
      <w:r w:rsidR="008E2CA0" w:rsidRPr="00A02A4F">
        <w:rPr>
          <w:sz w:val="20"/>
          <w:szCs w:val="20"/>
        </w:rPr>
        <w:t xml:space="preserve"> Out of 41 positive stool microscopy patients, the majority are in OPD, and the rest are IPD</w:t>
      </w:r>
    </w:p>
    <w:tbl>
      <w:tblPr>
        <w:tblStyle w:val="TableGrid"/>
        <w:tblW w:w="0" w:type="auto"/>
        <w:tblLook w:val="04A0" w:firstRow="1" w:lastRow="0" w:firstColumn="1" w:lastColumn="0" w:noHBand="0" w:noVBand="1"/>
      </w:tblPr>
      <w:tblGrid>
        <w:gridCol w:w="2951"/>
        <w:gridCol w:w="2952"/>
        <w:gridCol w:w="2953"/>
      </w:tblGrid>
      <w:tr w:rsidR="00693FD8" w:rsidRPr="00A02A4F" w14:paraId="148B2277" w14:textId="77777777" w:rsidTr="00693FD8">
        <w:tc>
          <w:tcPr>
            <w:tcW w:w="3003" w:type="dxa"/>
            <w:tcBorders>
              <w:top w:val="single" w:sz="4" w:space="0" w:color="auto"/>
              <w:left w:val="single" w:sz="4" w:space="0" w:color="auto"/>
              <w:bottom w:val="single" w:sz="4" w:space="0" w:color="auto"/>
              <w:right w:val="single" w:sz="4" w:space="0" w:color="auto"/>
            </w:tcBorders>
            <w:hideMark/>
          </w:tcPr>
          <w:p w14:paraId="21A91AFD"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Total positive</w:t>
            </w:r>
          </w:p>
        </w:tc>
        <w:tc>
          <w:tcPr>
            <w:tcW w:w="3003" w:type="dxa"/>
            <w:tcBorders>
              <w:top w:val="single" w:sz="4" w:space="0" w:color="auto"/>
              <w:left w:val="single" w:sz="4" w:space="0" w:color="auto"/>
              <w:bottom w:val="single" w:sz="4" w:space="0" w:color="auto"/>
              <w:right w:val="single" w:sz="4" w:space="0" w:color="auto"/>
            </w:tcBorders>
            <w:hideMark/>
          </w:tcPr>
          <w:p w14:paraId="6F7D306D"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OPD</w:t>
            </w:r>
          </w:p>
        </w:tc>
        <w:tc>
          <w:tcPr>
            <w:tcW w:w="3004" w:type="dxa"/>
            <w:tcBorders>
              <w:top w:val="single" w:sz="4" w:space="0" w:color="auto"/>
              <w:left w:val="single" w:sz="4" w:space="0" w:color="auto"/>
              <w:bottom w:val="single" w:sz="4" w:space="0" w:color="auto"/>
              <w:right w:val="single" w:sz="4" w:space="0" w:color="auto"/>
            </w:tcBorders>
            <w:hideMark/>
          </w:tcPr>
          <w:p w14:paraId="30B7C19B"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IPD</w:t>
            </w:r>
          </w:p>
        </w:tc>
      </w:tr>
      <w:tr w:rsidR="00693FD8" w:rsidRPr="00A02A4F" w14:paraId="1B58D467" w14:textId="77777777" w:rsidTr="00693FD8">
        <w:tc>
          <w:tcPr>
            <w:tcW w:w="3003" w:type="dxa"/>
            <w:tcBorders>
              <w:top w:val="single" w:sz="4" w:space="0" w:color="auto"/>
              <w:left w:val="single" w:sz="4" w:space="0" w:color="auto"/>
              <w:bottom w:val="single" w:sz="4" w:space="0" w:color="auto"/>
              <w:right w:val="single" w:sz="4" w:space="0" w:color="auto"/>
            </w:tcBorders>
            <w:hideMark/>
          </w:tcPr>
          <w:p w14:paraId="38B5E9D3"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41</w:t>
            </w:r>
          </w:p>
        </w:tc>
        <w:tc>
          <w:tcPr>
            <w:tcW w:w="3003" w:type="dxa"/>
            <w:tcBorders>
              <w:top w:val="single" w:sz="4" w:space="0" w:color="auto"/>
              <w:left w:val="single" w:sz="4" w:space="0" w:color="auto"/>
              <w:bottom w:val="single" w:sz="4" w:space="0" w:color="auto"/>
              <w:right w:val="single" w:sz="4" w:space="0" w:color="auto"/>
            </w:tcBorders>
            <w:hideMark/>
          </w:tcPr>
          <w:p w14:paraId="35D81F24"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23[56%]</w:t>
            </w:r>
          </w:p>
        </w:tc>
        <w:tc>
          <w:tcPr>
            <w:tcW w:w="3004" w:type="dxa"/>
            <w:tcBorders>
              <w:top w:val="single" w:sz="4" w:space="0" w:color="auto"/>
              <w:left w:val="single" w:sz="4" w:space="0" w:color="auto"/>
              <w:bottom w:val="single" w:sz="4" w:space="0" w:color="auto"/>
              <w:right w:val="single" w:sz="4" w:space="0" w:color="auto"/>
            </w:tcBorders>
            <w:hideMark/>
          </w:tcPr>
          <w:p w14:paraId="3F2F799A"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18[44%]</w:t>
            </w:r>
          </w:p>
        </w:tc>
      </w:tr>
    </w:tbl>
    <w:p w14:paraId="3370BC1C" w14:textId="77777777" w:rsidR="001A7762" w:rsidRPr="00A02A4F" w:rsidRDefault="001A7762" w:rsidP="00A02A4F">
      <w:pPr>
        <w:pStyle w:val="NormalWeb"/>
        <w:spacing w:line="360" w:lineRule="auto"/>
        <w:jc w:val="both"/>
        <w:rPr>
          <w:sz w:val="20"/>
          <w:szCs w:val="20"/>
        </w:rPr>
      </w:pPr>
    </w:p>
    <w:p w14:paraId="39D92386" w14:textId="2EF9CD61" w:rsidR="00693FD8" w:rsidRPr="00A02A4F" w:rsidRDefault="00693FD8" w:rsidP="00A02A4F">
      <w:pPr>
        <w:pStyle w:val="NormalWeb"/>
        <w:spacing w:line="360" w:lineRule="auto"/>
        <w:jc w:val="both"/>
        <w:rPr>
          <w:sz w:val="20"/>
          <w:szCs w:val="20"/>
        </w:rPr>
      </w:pPr>
      <w:r w:rsidRPr="00A02A4F">
        <w:rPr>
          <w:noProof/>
          <w:sz w:val="20"/>
          <w:szCs w:val="20"/>
          <w:lang w:eastAsia="en-IN"/>
        </w:rPr>
        <w:drawing>
          <wp:inline distT="0" distB="0" distL="0" distR="0" wp14:anchorId="419A3A81" wp14:editId="54C3487E">
            <wp:extent cx="3495675" cy="22955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3496AE" w14:textId="3FBDF3DC" w:rsidR="00693FD8" w:rsidRPr="00A02A4F" w:rsidRDefault="002F7852" w:rsidP="00A02A4F">
      <w:pPr>
        <w:pStyle w:val="NormalWeb"/>
        <w:spacing w:line="360" w:lineRule="auto"/>
        <w:jc w:val="both"/>
        <w:rPr>
          <w:sz w:val="20"/>
          <w:szCs w:val="20"/>
        </w:rPr>
      </w:pPr>
      <w:r w:rsidRPr="00A02A4F">
        <w:rPr>
          <w:sz w:val="20"/>
          <w:szCs w:val="20"/>
        </w:rPr>
        <w:t xml:space="preserve">chart-2- </w:t>
      </w:r>
      <w:r w:rsidR="008E2CA0" w:rsidRPr="00A02A4F">
        <w:rPr>
          <w:sz w:val="20"/>
          <w:szCs w:val="20"/>
        </w:rPr>
        <w:t>Out of 41 positive stool microscopy patients, 44% are IPD and 56% are OPD</w:t>
      </w:r>
    </w:p>
    <w:p w14:paraId="543C850E" w14:textId="77777777" w:rsidR="00A02A4F" w:rsidRDefault="00A02A4F" w:rsidP="00A02A4F">
      <w:pPr>
        <w:pStyle w:val="NormalWeb"/>
        <w:spacing w:line="360" w:lineRule="auto"/>
        <w:jc w:val="both"/>
        <w:rPr>
          <w:sz w:val="20"/>
          <w:szCs w:val="20"/>
        </w:rPr>
      </w:pPr>
    </w:p>
    <w:p w14:paraId="2E858A99" w14:textId="3CF9BFB6" w:rsidR="00693FD8" w:rsidRPr="00A02A4F" w:rsidRDefault="00693FD8" w:rsidP="00A02A4F">
      <w:pPr>
        <w:pStyle w:val="NormalWeb"/>
        <w:spacing w:line="360" w:lineRule="auto"/>
        <w:jc w:val="both"/>
        <w:rPr>
          <w:sz w:val="20"/>
          <w:szCs w:val="20"/>
        </w:rPr>
      </w:pPr>
      <w:r w:rsidRPr="00A02A4F">
        <w:rPr>
          <w:sz w:val="20"/>
          <w:szCs w:val="20"/>
        </w:rPr>
        <w:t>Out of 41 positives,</w:t>
      </w:r>
      <w:r w:rsidR="005F296A" w:rsidRPr="00A02A4F">
        <w:rPr>
          <w:sz w:val="20"/>
          <w:szCs w:val="20"/>
        </w:rPr>
        <w:t xml:space="preserve"> the </w:t>
      </w:r>
      <w:r w:rsidRPr="00A02A4F">
        <w:rPr>
          <w:sz w:val="20"/>
          <w:szCs w:val="20"/>
        </w:rPr>
        <w:t>majority were males</w:t>
      </w:r>
      <w:r w:rsidR="005F296A" w:rsidRPr="00A02A4F">
        <w:rPr>
          <w:sz w:val="20"/>
          <w:szCs w:val="20"/>
        </w:rPr>
        <w:t>,</w:t>
      </w:r>
      <w:r w:rsidRPr="00A02A4F">
        <w:rPr>
          <w:sz w:val="20"/>
          <w:szCs w:val="20"/>
        </w:rPr>
        <w:t xml:space="preserve"> </w:t>
      </w:r>
      <w:proofErr w:type="spellStart"/>
      <w:r w:rsidRPr="00A02A4F">
        <w:rPr>
          <w:sz w:val="20"/>
          <w:szCs w:val="20"/>
        </w:rPr>
        <w:t>i.e</w:t>
      </w:r>
      <w:proofErr w:type="spellEnd"/>
      <w:r w:rsidRPr="00A02A4F">
        <w:rPr>
          <w:sz w:val="20"/>
          <w:szCs w:val="20"/>
        </w:rPr>
        <w:t xml:space="preserve"> 30</w:t>
      </w:r>
      <w:r w:rsidR="005F296A" w:rsidRPr="00A02A4F">
        <w:rPr>
          <w:sz w:val="20"/>
          <w:szCs w:val="20"/>
        </w:rPr>
        <w:t>,</w:t>
      </w:r>
      <w:r w:rsidRPr="00A02A4F">
        <w:rPr>
          <w:sz w:val="20"/>
          <w:szCs w:val="20"/>
        </w:rPr>
        <w:t xml:space="preserve"> and </w:t>
      </w:r>
      <w:r w:rsidR="005F296A" w:rsidRPr="00A02A4F">
        <w:rPr>
          <w:sz w:val="20"/>
          <w:szCs w:val="20"/>
        </w:rPr>
        <w:t xml:space="preserve">the </w:t>
      </w:r>
      <w:r w:rsidRPr="00A02A4F">
        <w:rPr>
          <w:sz w:val="20"/>
          <w:szCs w:val="20"/>
        </w:rPr>
        <w:t xml:space="preserve">rest </w:t>
      </w:r>
      <w:r w:rsidR="005F296A" w:rsidRPr="00A02A4F">
        <w:rPr>
          <w:sz w:val="20"/>
          <w:szCs w:val="20"/>
        </w:rPr>
        <w:t>were all</w:t>
      </w:r>
      <w:r w:rsidRPr="00A02A4F">
        <w:rPr>
          <w:sz w:val="20"/>
          <w:szCs w:val="20"/>
        </w:rPr>
        <w:t xml:space="preserve"> females. Pie chart-3</w:t>
      </w:r>
    </w:p>
    <w:p w14:paraId="5246ADA5" w14:textId="0B26D221" w:rsidR="002F7852" w:rsidRPr="00A02A4F" w:rsidRDefault="002F7852" w:rsidP="00A02A4F">
      <w:pPr>
        <w:pStyle w:val="NormalWeb"/>
        <w:spacing w:line="360" w:lineRule="auto"/>
        <w:jc w:val="both"/>
        <w:rPr>
          <w:sz w:val="20"/>
          <w:szCs w:val="20"/>
        </w:rPr>
      </w:pPr>
      <w:r w:rsidRPr="00A02A4F">
        <w:rPr>
          <w:sz w:val="20"/>
          <w:szCs w:val="20"/>
        </w:rPr>
        <w:t>Table 3-</w:t>
      </w:r>
      <w:r w:rsidR="008E2CA0" w:rsidRPr="00A02A4F">
        <w:rPr>
          <w:sz w:val="20"/>
          <w:szCs w:val="20"/>
        </w:rPr>
        <w:t xml:space="preserve"> Out of 41 positives,</w:t>
      </w:r>
      <w:r w:rsidR="005F296A" w:rsidRPr="00A02A4F">
        <w:rPr>
          <w:sz w:val="20"/>
          <w:szCs w:val="20"/>
        </w:rPr>
        <w:t xml:space="preserve"> the </w:t>
      </w:r>
      <w:r w:rsidR="008E2CA0" w:rsidRPr="00A02A4F">
        <w:rPr>
          <w:sz w:val="20"/>
          <w:szCs w:val="20"/>
        </w:rPr>
        <w:t>majority were males (30)</w:t>
      </w:r>
      <w:r w:rsidR="005F296A" w:rsidRPr="00A02A4F">
        <w:rPr>
          <w:sz w:val="20"/>
          <w:szCs w:val="20"/>
        </w:rPr>
        <w:t>, and the rest were females</w:t>
      </w:r>
    </w:p>
    <w:tbl>
      <w:tblPr>
        <w:tblStyle w:val="TableGrid"/>
        <w:tblW w:w="0" w:type="auto"/>
        <w:tblLook w:val="04A0" w:firstRow="1" w:lastRow="0" w:firstColumn="1" w:lastColumn="0" w:noHBand="0" w:noVBand="1"/>
      </w:tblPr>
      <w:tblGrid>
        <w:gridCol w:w="3003"/>
        <w:gridCol w:w="3003"/>
        <w:gridCol w:w="2778"/>
      </w:tblGrid>
      <w:tr w:rsidR="00693FD8" w:rsidRPr="00A02A4F" w14:paraId="4FF51DA8" w14:textId="77777777" w:rsidTr="00693FD8">
        <w:tc>
          <w:tcPr>
            <w:tcW w:w="3003" w:type="dxa"/>
            <w:tcBorders>
              <w:top w:val="single" w:sz="4" w:space="0" w:color="auto"/>
              <w:left w:val="single" w:sz="4" w:space="0" w:color="auto"/>
              <w:bottom w:val="single" w:sz="4" w:space="0" w:color="auto"/>
              <w:right w:val="single" w:sz="4" w:space="0" w:color="auto"/>
            </w:tcBorders>
            <w:hideMark/>
          </w:tcPr>
          <w:p w14:paraId="5422CCF3"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Total positives</w:t>
            </w:r>
          </w:p>
        </w:tc>
        <w:tc>
          <w:tcPr>
            <w:tcW w:w="3003" w:type="dxa"/>
            <w:tcBorders>
              <w:top w:val="single" w:sz="4" w:space="0" w:color="auto"/>
              <w:left w:val="single" w:sz="4" w:space="0" w:color="auto"/>
              <w:bottom w:val="single" w:sz="4" w:space="0" w:color="auto"/>
              <w:right w:val="single" w:sz="4" w:space="0" w:color="auto"/>
            </w:tcBorders>
            <w:hideMark/>
          </w:tcPr>
          <w:p w14:paraId="561D570D"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Males</w:t>
            </w:r>
          </w:p>
        </w:tc>
        <w:tc>
          <w:tcPr>
            <w:tcW w:w="2778" w:type="dxa"/>
            <w:tcBorders>
              <w:top w:val="single" w:sz="4" w:space="0" w:color="auto"/>
              <w:left w:val="single" w:sz="4" w:space="0" w:color="auto"/>
              <w:bottom w:val="single" w:sz="4" w:space="0" w:color="auto"/>
              <w:right w:val="single" w:sz="4" w:space="0" w:color="auto"/>
            </w:tcBorders>
            <w:hideMark/>
          </w:tcPr>
          <w:p w14:paraId="3EA16038"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Females</w:t>
            </w:r>
          </w:p>
        </w:tc>
      </w:tr>
      <w:tr w:rsidR="00693FD8" w:rsidRPr="00A02A4F" w14:paraId="1D90F87D" w14:textId="77777777" w:rsidTr="00693FD8">
        <w:tc>
          <w:tcPr>
            <w:tcW w:w="3003" w:type="dxa"/>
            <w:tcBorders>
              <w:top w:val="single" w:sz="4" w:space="0" w:color="auto"/>
              <w:left w:val="single" w:sz="4" w:space="0" w:color="auto"/>
              <w:bottom w:val="single" w:sz="4" w:space="0" w:color="auto"/>
              <w:right w:val="single" w:sz="4" w:space="0" w:color="auto"/>
            </w:tcBorders>
            <w:hideMark/>
          </w:tcPr>
          <w:p w14:paraId="097FA3A8"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41</w:t>
            </w:r>
          </w:p>
        </w:tc>
        <w:tc>
          <w:tcPr>
            <w:tcW w:w="3003" w:type="dxa"/>
            <w:tcBorders>
              <w:top w:val="single" w:sz="4" w:space="0" w:color="auto"/>
              <w:left w:val="single" w:sz="4" w:space="0" w:color="auto"/>
              <w:bottom w:val="single" w:sz="4" w:space="0" w:color="auto"/>
              <w:right w:val="single" w:sz="4" w:space="0" w:color="auto"/>
            </w:tcBorders>
            <w:hideMark/>
          </w:tcPr>
          <w:p w14:paraId="00B60D8C"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30[73%]</w:t>
            </w:r>
          </w:p>
        </w:tc>
        <w:tc>
          <w:tcPr>
            <w:tcW w:w="2778" w:type="dxa"/>
            <w:tcBorders>
              <w:top w:val="single" w:sz="4" w:space="0" w:color="auto"/>
              <w:left w:val="single" w:sz="4" w:space="0" w:color="auto"/>
              <w:bottom w:val="single" w:sz="4" w:space="0" w:color="auto"/>
              <w:right w:val="single" w:sz="4" w:space="0" w:color="auto"/>
            </w:tcBorders>
            <w:hideMark/>
          </w:tcPr>
          <w:p w14:paraId="63325919"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11[27%]</w:t>
            </w:r>
          </w:p>
        </w:tc>
      </w:tr>
      <w:tr w:rsidR="00693FD8" w:rsidRPr="00A02A4F" w14:paraId="06130E6D" w14:textId="77777777" w:rsidTr="00693FD8">
        <w:tc>
          <w:tcPr>
            <w:tcW w:w="3003" w:type="dxa"/>
            <w:tcBorders>
              <w:top w:val="single" w:sz="4" w:space="0" w:color="auto"/>
              <w:left w:val="single" w:sz="4" w:space="0" w:color="auto"/>
              <w:bottom w:val="single" w:sz="4" w:space="0" w:color="auto"/>
              <w:right w:val="single" w:sz="4" w:space="0" w:color="auto"/>
            </w:tcBorders>
          </w:tcPr>
          <w:p w14:paraId="5D99A1A2" w14:textId="77777777" w:rsidR="00693FD8" w:rsidRPr="00A02A4F" w:rsidRDefault="00693FD8" w:rsidP="00A02A4F">
            <w:pPr>
              <w:pStyle w:val="NormalWeb"/>
              <w:spacing w:line="360" w:lineRule="auto"/>
              <w:jc w:val="both"/>
              <w:rPr>
                <w:kern w:val="2"/>
                <w:sz w:val="20"/>
                <w:szCs w:val="20"/>
                <w14:ligatures w14:val="standardContextual"/>
              </w:rPr>
            </w:pPr>
          </w:p>
        </w:tc>
        <w:tc>
          <w:tcPr>
            <w:tcW w:w="3003" w:type="dxa"/>
            <w:tcBorders>
              <w:top w:val="single" w:sz="4" w:space="0" w:color="auto"/>
              <w:left w:val="single" w:sz="4" w:space="0" w:color="auto"/>
              <w:bottom w:val="single" w:sz="4" w:space="0" w:color="auto"/>
              <w:right w:val="single" w:sz="4" w:space="0" w:color="auto"/>
            </w:tcBorders>
          </w:tcPr>
          <w:p w14:paraId="69DAB5F7" w14:textId="77777777" w:rsidR="00693FD8" w:rsidRPr="00A02A4F" w:rsidRDefault="00693FD8" w:rsidP="00A02A4F">
            <w:pPr>
              <w:pStyle w:val="NormalWeb"/>
              <w:spacing w:line="360" w:lineRule="auto"/>
              <w:jc w:val="both"/>
              <w:rPr>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0683B713" w14:textId="77777777" w:rsidR="00693FD8" w:rsidRPr="00A02A4F" w:rsidRDefault="00693FD8" w:rsidP="00A02A4F">
            <w:pPr>
              <w:pStyle w:val="NormalWeb"/>
              <w:spacing w:line="360" w:lineRule="auto"/>
              <w:jc w:val="both"/>
              <w:rPr>
                <w:kern w:val="2"/>
                <w:sz w:val="20"/>
                <w:szCs w:val="20"/>
                <w14:ligatures w14:val="standardContextual"/>
              </w:rPr>
            </w:pPr>
          </w:p>
        </w:tc>
      </w:tr>
    </w:tbl>
    <w:p w14:paraId="241D19C1" w14:textId="6C90A564" w:rsidR="00693FD8" w:rsidRPr="00A02A4F" w:rsidRDefault="00693FD8" w:rsidP="00A02A4F">
      <w:pPr>
        <w:pStyle w:val="NormalWeb"/>
        <w:spacing w:line="360" w:lineRule="auto"/>
        <w:jc w:val="both"/>
        <w:rPr>
          <w:sz w:val="20"/>
          <w:szCs w:val="20"/>
        </w:rPr>
      </w:pPr>
      <w:r w:rsidRPr="00A02A4F">
        <w:rPr>
          <w:noProof/>
          <w:sz w:val="20"/>
          <w:szCs w:val="20"/>
          <w:lang w:eastAsia="en-IN"/>
        </w:rPr>
        <w:lastRenderedPageBreak/>
        <w:drawing>
          <wp:inline distT="0" distB="0" distL="0" distR="0" wp14:anchorId="62C0FD9C" wp14:editId="20CE42D5">
            <wp:extent cx="3371850" cy="18097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21F739" w14:textId="490E682E" w:rsidR="002F7852" w:rsidRPr="00A02A4F" w:rsidRDefault="002F7852" w:rsidP="00A02A4F">
      <w:pPr>
        <w:pStyle w:val="NormalWeb"/>
        <w:spacing w:line="360" w:lineRule="auto"/>
        <w:jc w:val="both"/>
        <w:rPr>
          <w:sz w:val="20"/>
          <w:szCs w:val="20"/>
        </w:rPr>
      </w:pPr>
      <w:r w:rsidRPr="00A02A4F">
        <w:rPr>
          <w:sz w:val="20"/>
          <w:szCs w:val="20"/>
        </w:rPr>
        <w:t>chart-</w:t>
      </w:r>
      <w:proofErr w:type="gramStart"/>
      <w:r w:rsidRPr="00A02A4F">
        <w:rPr>
          <w:sz w:val="20"/>
          <w:szCs w:val="20"/>
        </w:rPr>
        <w:t>3  -</w:t>
      </w:r>
      <w:proofErr w:type="gramEnd"/>
      <w:r w:rsidRPr="00A02A4F">
        <w:rPr>
          <w:sz w:val="20"/>
          <w:szCs w:val="20"/>
        </w:rPr>
        <w:t xml:space="preserve"> </w:t>
      </w:r>
      <w:r w:rsidR="005F296A" w:rsidRPr="00A02A4F">
        <w:rPr>
          <w:sz w:val="20"/>
          <w:szCs w:val="20"/>
        </w:rPr>
        <w:t>Out of 41 positives, the majority were males, and the rest were females</w:t>
      </w:r>
    </w:p>
    <w:p w14:paraId="0B71D6C3" w14:textId="77777777" w:rsidR="00693FD8" w:rsidRPr="00A02A4F" w:rsidRDefault="00693FD8" w:rsidP="00A02A4F">
      <w:pPr>
        <w:pStyle w:val="NormalWeb"/>
        <w:spacing w:line="360" w:lineRule="auto"/>
        <w:jc w:val="both"/>
        <w:rPr>
          <w:sz w:val="20"/>
          <w:szCs w:val="20"/>
        </w:rPr>
      </w:pPr>
    </w:p>
    <w:p w14:paraId="29489B8E" w14:textId="77777777" w:rsidR="00693FD8" w:rsidRPr="00A02A4F" w:rsidRDefault="00693FD8" w:rsidP="00A02A4F">
      <w:pPr>
        <w:pStyle w:val="NormalWeb"/>
        <w:spacing w:line="360" w:lineRule="auto"/>
        <w:jc w:val="both"/>
        <w:rPr>
          <w:sz w:val="20"/>
          <w:szCs w:val="20"/>
        </w:rPr>
      </w:pPr>
      <w:r w:rsidRPr="00A02A4F">
        <w:rPr>
          <w:sz w:val="20"/>
          <w:szCs w:val="20"/>
        </w:rPr>
        <w:t xml:space="preserve">Out of 41 </w:t>
      </w:r>
      <w:proofErr w:type="gramStart"/>
      <w:r w:rsidRPr="00A02A4F">
        <w:rPr>
          <w:sz w:val="20"/>
          <w:szCs w:val="20"/>
        </w:rPr>
        <w:t>positive  stool</w:t>
      </w:r>
      <w:proofErr w:type="gramEnd"/>
      <w:r w:rsidRPr="00A02A4F">
        <w:rPr>
          <w:sz w:val="20"/>
          <w:szCs w:val="20"/>
        </w:rPr>
        <w:t xml:space="preserve"> samples, majority of patients were in age group of </w:t>
      </w:r>
      <w:proofErr w:type="gramStart"/>
      <w:r w:rsidRPr="00A02A4F">
        <w:rPr>
          <w:sz w:val="20"/>
          <w:szCs w:val="20"/>
        </w:rPr>
        <w:t>11-15 year</w:t>
      </w:r>
      <w:proofErr w:type="gramEnd"/>
      <w:r w:rsidRPr="00A02A4F">
        <w:rPr>
          <w:sz w:val="20"/>
          <w:szCs w:val="20"/>
        </w:rPr>
        <w:t xml:space="preserve"> age group followed by 41-45</w:t>
      </w:r>
      <w:proofErr w:type="gramStart"/>
      <w:r w:rsidRPr="00A02A4F">
        <w:rPr>
          <w:sz w:val="20"/>
          <w:szCs w:val="20"/>
        </w:rPr>
        <w:t>Yyears ,Graph</w:t>
      </w:r>
      <w:proofErr w:type="gramEnd"/>
      <w:r w:rsidRPr="00A02A4F">
        <w:rPr>
          <w:sz w:val="20"/>
          <w:szCs w:val="20"/>
        </w:rPr>
        <w:t>-1</w:t>
      </w:r>
    </w:p>
    <w:p w14:paraId="61847093" w14:textId="77777777" w:rsidR="00693FD8" w:rsidRPr="00A02A4F" w:rsidRDefault="00693FD8" w:rsidP="00A02A4F">
      <w:pPr>
        <w:pStyle w:val="NormalWeb"/>
        <w:spacing w:line="360" w:lineRule="auto"/>
        <w:jc w:val="both"/>
        <w:rPr>
          <w:b/>
          <w:bCs/>
          <w:sz w:val="20"/>
          <w:szCs w:val="20"/>
        </w:rPr>
      </w:pPr>
      <w:r w:rsidRPr="00A02A4F">
        <w:rPr>
          <w:b/>
          <w:bCs/>
          <w:sz w:val="20"/>
          <w:szCs w:val="20"/>
        </w:rPr>
        <w:t xml:space="preserve">                </w:t>
      </w:r>
      <w:proofErr w:type="gramStart"/>
      <w:r w:rsidRPr="00A02A4F">
        <w:rPr>
          <w:b/>
          <w:bCs/>
          <w:sz w:val="20"/>
          <w:szCs w:val="20"/>
        </w:rPr>
        <w:t>AGE  WISE</w:t>
      </w:r>
      <w:proofErr w:type="gramEnd"/>
      <w:r w:rsidRPr="00A02A4F">
        <w:rPr>
          <w:b/>
          <w:bCs/>
          <w:sz w:val="20"/>
          <w:szCs w:val="20"/>
        </w:rPr>
        <w:t xml:space="preserve"> DISTRIBUTION OF POSITIVE FINDINGS</w:t>
      </w:r>
    </w:p>
    <w:tbl>
      <w:tblPr>
        <w:tblStyle w:val="TableGrid"/>
        <w:tblW w:w="9498" w:type="dxa"/>
        <w:tblInd w:w="-289" w:type="dxa"/>
        <w:tblLook w:val="04A0" w:firstRow="1" w:lastRow="0" w:firstColumn="1" w:lastColumn="0" w:noHBand="0" w:noVBand="1"/>
      </w:tblPr>
      <w:tblGrid>
        <w:gridCol w:w="836"/>
        <w:gridCol w:w="981"/>
        <w:gridCol w:w="892"/>
        <w:gridCol w:w="809"/>
        <w:gridCol w:w="809"/>
        <w:gridCol w:w="809"/>
        <w:gridCol w:w="809"/>
        <w:gridCol w:w="809"/>
        <w:gridCol w:w="809"/>
        <w:gridCol w:w="809"/>
        <w:gridCol w:w="1126"/>
      </w:tblGrid>
      <w:tr w:rsidR="00693FD8" w:rsidRPr="00A02A4F" w14:paraId="6821B03B" w14:textId="77777777" w:rsidTr="00693FD8">
        <w:trPr>
          <w:trHeight w:val="754"/>
        </w:trPr>
        <w:tc>
          <w:tcPr>
            <w:tcW w:w="836" w:type="dxa"/>
            <w:tcBorders>
              <w:top w:val="single" w:sz="4" w:space="0" w:color="auto"/>
              <w:left w:val="single" w:sz="4" w:space="0" w:color="auto"/>
              <w:bottom w:val="single" w:sz="4" w:space="0" w:color="auto"/>
              <w:right w:val="single" w:sz="4" w:space="0" w:color="auto"/>
            </w:tcBorders>
            <w:hideMark/>
          </w:tcPr>
          <w:p w14:paraId="30DF9703"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0-5Y</w:t>
            </w:r>
          </w:p>
        </w:tc>
        <w:tc>
          <w:tcPr>
            <w:tcW w:w="981" w:type="dxa"/>
            <w:tcBorders>
              <w:top w:val="single" w:sz="4" w:space="0" w:color="auto"/>
              <w:left w:val="single" w:sz="4" w:space="0" w:color="auto"/>
              <w:bottom w:val="single" w:sz="4" w:space="0" w:color="auto"/>
              <w:right w:val="single" w:sz="4" w:space="0" w:color="auto"/>
            </w:tcBorders>
            <w:hideMark/>
          </w:tcPr>
          <w:p w14:paraId="0CB11F3E"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6-10Y</w:t>
            </w:r>
          </w:p>
        </w:tc>
        <w:tc>
          <w:tcPr>
            <w:tcW w:w="892" w:type="dxa"/>
            <w:tcBorders>
              <w:top w:val="single" w:sz="4" w:space="0" w:color="auto"/>
              <w:left w:val="single" w:sz="4" w:space="0" w:color="auto"/>
              <w:bottom w:val="single" w:sz="4" w:space="0" w:color="auto"/>
              <w:right w:val="single" w:sz="4" w:space="0" w:color="auto"/>
            </w:tcBorders>
            <w:hideMark/>
          </w:tcPr>
          <w:p w14:paraId="02083624"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11-15Y</w:t>
            </w:r>
          </w:p>
        </w:tc>
        <w:tc>
          <w:tcPr>
            <w:tcW w:w="809" w:type="dxa"/>
            <w:tcBorders>
              <w:top w:val="single" w:sz="4" w:space="0" w:color="auto"/>
              <w:left w:val="single" w:sz="4" w:space="0" w:color="auto"/>
              <w:bottom w:val="single" w:sz="4" w:space="0" w:color="auto"/>
              <w:right w:val="single" w:sz="4" w:space="0" w:color="auto"/>
            </w:tcBorders>
            <w:hideMark/>
          </w:tcPr>
          <w:p w14:paraId="1011A16D"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16-20Y</w:t>
            </w:r>
          </w:p>
        </w:tc>
        <w:tc>
          <w:tcPr>
            <w:tcW w:w="809" w:type="dxa"/>
            <w:tcBorders>
              <w:top w:val="single" w:sz="4" w:space="0" w:color="auto"/>
              <w:left w:val="single" w:sz="4" w:space="0" w:color="auto"/>
              <w:bottom w:val="single" w:sz="4" w:space="0" w:color="auto"/>
              <w:right w:val="single" w:sz="4" w:space="0" w:color="auto"/>
            </w:tcBorders>
            <w:hideMark/>
          </w:tcPr>
          <w:p w14:paraId="0F6A9BBC"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21-25Y</w:t>
            </w:r>
          </w:p>
        </w:tc>
        <w:tc>
          <w:tcPr>
            <w:tcW w:w="809" w:type="dxa"/>
            <w:tcBorders>
              <w:top w:val="single" w:sz="4" w:space="0" w:color="auto"/>
              <w:left w:val="single" w:sz="4" w:space="0" w:color="auto"/>
              <w:bottom w:val="single" w:sz="4" w:space="0" w:color="auto"/>
              <w:right w:val="single" w:sz="4" w:space="0" w:color="auto"/>
            </w:tcBorders>
            <w:hideMark/>
          </w:tcPr>
          <w:p w14:paraId="07E52A35"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26-30Y</w:t>
            </w:r>
          </w:p>
        </w:tc>
        <w:tc>
          <w:tcPr>
            <w:tcW w:w="809" w:type="dxa"/>
            <w:tcBorders>
              <w:top w:val="single" w:sz="4" w:space="0" w:color="auto"/>
              <w:left w:val="single" w:sz="4" w:space="0" w:color="auto"/>
              <w:bottom w:val="single" w:sz="4" w:space="0" w:color="auto"/>
              <w:right w:val="single" w:sz="4" w:space="0" w:color="auto"/>
            </w:tcBorders>
            <w:hideMark/>
          </w:tcPr>
          <w:p w14:paraId="7D90DB7D"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31-35Y</w:t>
            </w:r>
          </w:p>
        </w:tc>
        <w:tc>
          <w:tcPr>
            <w:tcW w:w="809" w:type="dxa"/>
            <w:tcBorders>
              <w:top w:val="single" w:sz="4" w:space="0" w:color="auto"/>
              <w:left w:val="single" w:sz="4" w:space="0" w:color="auto"/>
              <w:bottom w:val="single" w:sz="4" w:space="0" w:color="auto"/>
              <w:right w:val="single" w:sz="4" w:space="0" w:color="auto"/>
            </w:tcBorders>
            <w:hideMark/>
          </w:tcPr>
          <w:p w14:paraId="39413901"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36-40Y</w:t>
            </w:r>
          </w:p>
        </w:tc>
        <w:tc>
          <w:tcPr>
            <w:tcW w:w="809" w:type="dxa"/>
            <w:tcBorders>
              <w:top w:val="single" w:sz="4" w:space="0" w:color="auto"/>
              <w:left w:val="single" w:sz="4" w:space="0" w:color="auto"/>
              <w:bottom w:val="single" w:sz="4" w:space="0" w:color="auto"/>
              <w:right w:val="single" w:sz="4" w:space="0" w:color="auto"/>
            </w:tcBorders>
            <w:hideMark/>
          </w:tcPr>
          <w:p w14:paraId="1634B91A"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41-45Y</w:t>
            </w:r>
          </w:p>
        </w:tc>
        <w:tc>
          <w:tcPr>
            <w:tcW w:w="809" w:type="dxa"/>
            <w:tcBorders>
              <w:top w:val="single" w:sz="4" w:space="0" w:color="auto"/>
              <w:left w:val="single" w:sz="4" w:space="0" w:color="auto"/>
              <w:bottom w:val="single" w:sz="4" w:space="0" w:color="auto"/>
              <w:right w:val="single" w:sz="4" w:space="0" w:color="auto"/>
            </w:tcBorders>
            <w:hideMark/>
          </w:tcPr>
          <w:p w14:paraId="7FADD6D5"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46-50Y</w:t>
            </w:r>
          </w:p>
        </w:tc>
        <w:tc>
          <w:tcPr>
            <w:tcW w:w="1126" w:type="dxa"/>
            <w:tcBorders>
              <w:top w:val="single" w:sz="4" w:space="0" w:color="auto"/>
              <w:left w:val="single" w:sz="4" w:space="0" w:color="auto"/>
              <w:bottom w:val="single" w:sz="4" w:space="0" w:color="auto"/>
              <w:right w:val="single" w:sz="4" w:space="0" w:color="auto"/>
            </w:tcBorders>
            <w:hideMark/>
          </w:tcPr>
          <w:p w14:paraId="4B17B904"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51-55Y</w:t>
            </w:r>
          </w:p>
        </w:tc>
      </w:tr>
      <w:tr w:rsidR="00693FD8" w:rsidRPr="00A02A4F" w14:paraId="76C74F0B" w14:textId="77777777" w:rsidTr="00693FD8">
        <w:trPr>
          <w:trHeight w:val="1640"/>
        </w:trPr>
        <w:tc>
          <w:tcPr>
            <w:tcW w:w="836" w:type="dxa"/>
            <w:tcBorders>
              <w:top w:val="single" w:sz="4" w:space="0" w:color="auto"/>
              <w:left w:val="single" w:sz="4" w:space="0" w:color="auto"/>
              <w:bottom w:val="single" w:sz="4" w:space="0" w:color="auto"/>
              <w:right w:val="single" w:sz="4" w:space="0" w:color="auto"/>
            </w:tcBorders>
            <w:hideMark/>
          </w:tcPr>
          <w:p w14:paraId="6F72C935"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2</w:t>
            </w:r>
          </w:p>
        </w:tc>
        <w:tc>
          <w:tcPr>
            <w:tcW w:w="981" w:type="dxa"/>
            <w:tcBorders>
              <w:top w:val="single" w:sz="4" w:space="0" w:color="auto"/>
              <w:left w:val="single" w:sz="4" w:space="0" w:color="auto"/>
              <w:bottom w:val="single" w:sz="4" w:space="0" w:color="auto"/>
              <w:right w:val="single" w:sz="4" w:space="0" w:color="auto"/>
            </w:tcBorders>
            <w:hideMark/>
          </w:tcPr>
          <w:p w14:paraId="219DE72C"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2</w:t>
            </w:r>
          </w:p>
        </w:tc>
        <w:tc>
          <w:tcPr>
            <w:tcW w:w="892" w:type="dxa"/>
            <w:tcBorders>
              <w:top w:val="single" w:sz="4" w:space="0" w:color="auto"/>
              <w:left w:val="single" w:sz="4" w:space="0" w:color="auto"/>
              <w:bottom w:val="single" w:sz="4" w:space="0" w:color="auto"/>
              <w:right w:val="single" w:sz="4" w:space="0" w:color="auto"/>
            </w:tcBorders>
            <w:hideMark/>
          </w:tcPr>
          <w:p w14:paraId="41BA52A2"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7</w:t>
            </w:r>
          </w:p>
        </w:tc>
        <w:tc>
          <w:tcPr>
            <w:tcW w:w="809" w:type="dxa"/>
            <w:tcBorders>
              <w:top w:val="single" w:sz="4" w:space="0" w:color="auto"/>
              <w:left w:val="single" w:sz="4" w:space="0" w:color="auto"/>
              <w:bottom w:val="single" w:sz="4" w:space="0" w:color="auto"/>
              <w:right w:val="single" w:sz="4" w:space="0" w:color="auto"/>
            </w:tcBorders>
            <w:hideMark/>
          </w:tcPr>
          <w:p w14:paraId="2400EDEA"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2</w:t>
            </w:r>
          </w:p>
        </w:tc>
        <w:tc>
          <w:tcPr>
            <w:tcW w:w="809" w:type="dxa"/>
            <w:tcBorders>
              <w:top w:val="single" w:sz="4" w:space="0" w:color="auto"/>
              <w:left w:val="single" w:sz="4" w:space="0" w:color="auto"/>
              <w:bottom w:val="single" w:sz="4" w:space="0" w:color="auto"/>
              <w:right w:val="single" w:sz="4" w:space="0" w:color="auto"/>
            </w:tcBorders>
            <w:hideMark/>
          </w:tcPr>
          <w:p w14:paraId="52B3F469"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1</w:t>
            </w:r>
          </w:p>
        </w:tc>
        <w:tc>
          <w:tcPr>
            <w:tcW w:w="809" w:type="dxa"/>
            <w:tcBorders>
              <w:top w:val="single" w:sz="4" w:space="0" w:color="auto"/>
              <w:left w:val="single" w:sz="4" w:space="0" w:color="auto"/>
              <w:bottom w:val="single" w:sz="4" w:space="0" w:color="auto"/>
              <w:right w:val="single" w:sz="4" w:space="0" w:color="auto"/>
            </w:tcBorders>
            <w:hideMark/>
          </w:tcPr>
          <w:p w14:paraId="5CB44825"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2</w:t>
            </w:r>
          </w:p>
        </w:tc>
        <w:tc>
          <w:tcPr>
            <w:tcW w:w="809" w:type="dxa"/>
            <w:tcBorders>
              <w:top w:val="single" w:sz="4" w:space="0" w:color="auto"/>
              <w:left w:val="single" w:sz="4" w:space="0" w:color="auto"/>
              <w:bottom w:val="single" w:sz="4" w:space="0" w:color="auto"/>
              <w:right w:val="single" w:sz="4" w:space="0" w:color="auto"/>
            </w:tcBorders>
            <w:hideMark/>
          </w:tcPr>
          <w:p w14:paraId="0B4091C8"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5</w:t>
            </w:r>
          </w:p>
        </w:tc>
        <w:tc>
          <w:tcPr>
            <w:tcW w:w="809" w:type="dxa"/>
            <w:tcBorders>
              <w:top w:val="single" w:sz="4" w:space="0" w:color="auto"/>
              <w:left w:val="single" w:sz="4" w:space="0" w:color="auto"/>
              <w:bottom w:val="single" w:sz="4" w:space="0" w:color="auto"/>
              <w:right w:val="single" w:sz="4" w:space="0" w:color="auto"/>
            </w:tcBorders>
            <w:hideMark/>
          </w:tcPr>
          <w:p w14:paraId="47254D12"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4</w:t>
            </w:r>
          </w:p>
        </w:tc>
        <w:tc>
          <w:tcPr>
            <w:tcW w:w="809" w:type="dxa"/>
            <w:tcBorders>
              <w:top w:val="single" w:sz="4" w:space="0" w:color="auto"/>
              <w:left w:val="single" w:sz="4" w:space="0" w:color="auto"/>
              <w:bottom w:val="single" w:sz="4" w:space="0" w:color="auto"/>
              <w:right w:val="single" w:sz="4" w:space="0" w:color="auto"/>
            </w:tcBorders>
            <w:hideMark/>
          </w:tcPr>
          <w:p w14:paraId="7D0A73D7"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6</w:t>
            </w:r>
          </w:p>
        </w:tc>
        <w:tc>
          <w:tcPr>
            <w:tcW w:w="809" w:type="dxa"/>
            <w:tcBorders>
              <w:top w:val="single" w:sz="4" w:space="0" w:color="auto"/>
              <w:left w:val="single" w:sz="4" w:space="0" w:color="auto"/>
              <w:bottom w:val="single" w:sz="4" w:space="0" w:color="auto"/>
              <w:right w:val="single" w:sz="4" w:space="0" w:color="auto"/>
            </w:tcBorders>
            <w:hideMark/>
          </w:tcPr>
          <w:p w14:paraId="150B0A2D"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5</w:t>
            </w:r>
          </w:p>
        </w:tc>
        <w:tc>
          <w:tcPr>
            <w:tcW w:w="1126" w:type="dxa"/>
            <w:tcBorders>
              <w:top w:val="single" w:sz="4" w:space="0" w:color="auto"/>
              <w:left w:val="single" w:sz="4" w:space="0" w:color="auto"/>
              <w:bottom w:val="single" w:sz="4" w:space="0" w:color="auto"/>
              <w:right w:val="single" w:sz="4" w:space="0" w:color="auto"/>
            </w:tcBorders>
            <w:hideMark/>
          </w:tcPr>
          <w:p w14:paraId="6392189E" w14:textId="77777777" w:rsidR="00693FD8" w:rsidRPr="00A02A4F" w:rsidRDefault="00693FD8"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5</w:t>
            </w:r>
          </w:p>
        </w:tc>
      </w:tr>
    </w:tbl>
    <w:p w14:paraId="4544F152" w14:textId="6DF975CE" w:rsidR="00C74FFD" w:rsidRPr="00A02A4F" w:rsidRDefault="00C74FFD" w:rsidP="00A02A4F">
      <w:pPr>
        <w:pStyle w:val="NormalWeb"/>
        <w:spacing w:line="360" w:lineRule="auto"/>
        <w:jc w:val="both"/>
        <w:rPr>
          <w:sz w:val="20"/>
          <w:szCs w:val="20"/>
        </w:rPr>
      </w:pPr>
      <w:r w:rsidRPr="00A02A4F">
        <w:rPr>
          <w:sz w:val="20"/>
          <w:szCs w:val="20"/>
        </w:rPr>
        <w:t>Table 4-</w:t>
      </w:r>
      <w:r w:rsidR="005F296A" w:rsidRPr="00A02A4F">
        <w:rPr>
          <w:sz w:val="20"/>
          <w:szCs w:val="20"/>
        </w:rPr>
        <w:t xml:space="preserve"> Analysis of Age-Wise Distribution of Positive Findings</w:t>
      </w:r>
    </w:p>
    <w:p w14:paraId="57305D8B" w14:textId="228AE376" w:rsidR="00693FD8" w:rsidRPr="00A02A4F" w:rsidRDefault="00693FD8" w:rsidP="00A02A4F">
      <w:pPr>
        <w:pStyle w:val="NormalWeb"/>
        <w:spacing w:line="360" w:lineRule="auto"/>
        <w:jc w:val="both"/>
        <w:rPr>
          <w:sz w:val="20"/>
          <w:szCs w:val="20"/>
        </w:rPr>
      </w:pPr>
      <w:r w:rsidRPr="00A02A4F">
        <w:rPr>
          <w:noProof/>
          <w:sz w:val="20"/>
          <w:szCs w:val="20"/>
          <w:lang w:eastAsia="en-IN"/>
        </w:rPr>
        <w:lastRenderedPageBreak/>
        <w:drawing>
          <wp:inline distT="0" distB="0" distL="0" distR="0" wp14:anchorId="23E6B435" wp14:editId="07C6A180">
            <wp:extent cx="4762500" cy="3057525"/>
            <wp:effectExtent l="0" t="0" r="0" b="9525"/>
            <wp:docPr id="5" name="Chart 5">
              <a:extLst xmlns:a="http://schemas.openxmlformats.org/drawingml/2006/main">
                <a:ext uri="{FF2B5EF4-FFF2-40B4-BE49-F238E27FC236}">
                  <a16:creationId xmlns:a16="http://schemas.microsoft.com/office/drawing/2014/main" id="{77813BC1-2B24-152F-EFC9-85D867C2CD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1BDF9B" w14:textId="12E0275B" w:rsidR="002F7852" w:rsidRPr="00A02A4F" w:rsidRDefault="002F7852" w:rsidP="00A02A4F">
      <w:pPr>
        <w:pStyle w:val="NormalWeb"/>
        <w:spacing w:line="360" w:lineRule="auto"/>
        <w:jc w:val="both"/>
        <w:rPr>
          <w:sz w:val="20"/>
          <w:szCs w:val="20"/>
        </w:rPr>
      </w:pPr>
      <w:r w:rsidRPr="00A02A4F">
        <w:rPr>
          <w:sz w:val="20"/>
          <w:szCs w:val="20"/>
        </w:rPr>
        <w:t xml:space="preserve">- </w:t>
      </w:r>
      <w:r w:rsidR="005F296A" w:rsidRPr="00A02A4F">
        <w:rPr>
          <w:sz w:val="20"/>
          <w:szCs w:val="20"/>
        </w:rPr>
        <w:t xml:space="preserve">Parasite detection rate across various age </w:t>
      </w:r>
      <w:proofErr w:type="spellStart"/>
      <w:proofErr w:type="gramStart"/>
      <w:r w:rsidR="005F296A" w:rsidRPr="00A02A4F">
        <w:rPr>
          <w:sz w:val="20"/>
          <w:szCs w:val="20"/>
        </w:rPr>
        <w:t>groups,n</w:t>
      </w:r>
      <w:proofErr w:type="spellEnd"/>
      <w:proofErr w:type="gramEnd"/>
      <w:r w:rsidR="005F296A" w:rsidRPr="00A02A4F">
        <w:rPr>
          <w:sz w:val="20"/>
          <w:szCs w:val="20"/>
        </w:rPr>
        <w:t>=41</w:t>
      </w:r>
    </w:p>
    <w:p w14:paraId="758183C5" w14:textId="77777777" w:rsidR="00693FD8" w:rsidRPr="00A02A4F" w:rsidRDefault="00693FD8" w:rsidP="00A02A4F">
      <w:pPr>
        <w:pStyle w:val="NormalWeb"/>
        <w:spacing w:line="360" w:lineRule="auto"/>
        <w:jc w:val="both"/>
        <w:rPr>
          <w:sz w:val="20"/>
          <w:szCs w:val="20"/>
        </w:rPr>
      </w:pPr>
      <w:r w:rsidRPr="00A02A4F">
        <w:rPr>
          <w:sz w:val="20"/>
          <w:szCs w:val="20"/>
        </w:rPr>
        <w:t xml:space="preserve">The 41 positive stool were positive for single parasitic egg or cyst, polymicrobial parasitic infections were not seen. Graph-2 describes spectrum of parasitic eggs/cysts seen </w:t>
      </w:r>
    </w:p>
    <w:p w14:paraId="04A91A73" w14:textId="77777777" w:rsidR="00693FD8" w:rsidRPr="00A02A4F" w:rsidRDefault="00693FD8" w:rsidP="00A02A4F">
      <w:pPr>
        <w:pStyle w:val="NormalWeb"/>
        <w:spacing w:line="360" w:lineRule="auto"/>
        <w:jc w:val="both"/>
        <w:rPr>
          <w:sz w:val="20"/>
          <w:szCs w:val="20"/>
        </w:rPr>
      </w:pPr>
    </w:p>
    <w:p w14:paraId="6668673F" w14:textId="66B1CC1F" w:rsidR="00693FD8" w:rsidRPr="00A02A4F" w:rsidRDefault="00693FD8" w:rsidP="00A02A4F">
      <w:pPr>
        <w:pStyle w:val="NormalWeb"/>
        <w:spacing w:line="360" w:lineRule="auto"/>
        <w:jc w:val="both"/>
        <w:rPr>
          <w:sz w:val="20"/>
          <w:szCs w:val="20"/>
        </w:rPr>
      </w:pPr>
      <w:r w:rsidRPr="00A02A4F">
        <w:rPr>
          <w:noProof/>
          <w:sz w:val="20"/>
          <w:szCs w:val="20"/>
          <w:lang w:eastAsia="en-IN"/>
        </w:rPr>
        <w:drawing>
          <wp:inline distT="0" distB="0" distL="0" distR="0" wp14:anchorId="518639EA" wp14:editId="23B72285">
            <wp:extent cx="4495800" cy="2733675"/>
            <wp:effectExtent l="0" t="0" r="0" b="9525"/>
            <wp:docPr id="6" name="Chart 6">
              <a:extLst xmlns:a="http://schemas.openxmlformats.org/drawingml/2006/main">
                <a:ext uri="{FF2B5EF4-FFF2-40B4-BE49-F238E27FC236}">
                  <a16:creationId xmlns:a16="http://schemas.microsoft.com/office/drawing/2014/main" id="{8744C6EB-4D71-862F-08D0-0723B4B39B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4DC1F0" w14:textId="77777777" w:rsidR="00693FD8" w:rsidRPr="00A02A4F" w:rsidRDefault="00693FD8" w:rsidP="00A02A4F">
      <w:pPr>
        <w:pStyle w:val="NormalWeb"/>
        <w:spacing w:line="360" w:lineRule="auto"/>
        <w:jc w:val="both"/>
        <w:rPr>
          <w:sz w:val="20"/>
          <w:szCs w:val="20"/>
        </w:rPr>
      </w:pPr>
    </w:p>
    <w:p w14:paraId="1815FD2A" w14:textId="77777777" w:rsidR="00693FD8" w:rsidRPr="00A02A4F" w:rsidRDefault="00693FD8" w:rsidP="00A02A4F">
      <w:pPr>
        <w:pStyle w:val="NormalWeb"/>
        <w:spacing w:line="360" w:lineRule="auto"/>
        <w:jc w:val="both"/>
        <w:rPr>
          <w:sz w:val="20"/>
          <w:szCs w:val="20"/>
        </w:rPr>
      </w:pPr>
      <w:r w:rsidRPr="00A02A4F">
        <w:rPr>
          <w:sz w:val="20"/>
          <w:szCs w:val="20"/>
        </w:rPr>
        <w:lastRenderedPageBreak/>
        <w:t xml:space="preserve">The Formal-ether sedimentation technique revealed 41 positive stool samples whereas out of these 41 samples direct wet-mount was positive in 25 only and negative in 16 samples. All </w:t>
      </w:r>
      <w:proofErr w:type="gramStart"/>
      <w:r w:rsidRPr="00A02A4F">
        <w:rPr>
          <w:sz w:val="20"/>
          <w:szCs w:val="20"/>
        </w:rPr>
        <w:t>25  direct</w:t>
      </w:r>
      <w:proofErr w:type="gramEnd"/>
      <w:r w:rsidRPr="00A02A4F">
        <w:rPr>
          <w:sz w:val="20"/>
          <w:szCs w:val="20"/>
        </w:rPr>
        <w:t xml:space="preserve"> wet mount positive were positive by Formol-ether concentration </w:t>
      </w:r>
      <w:proofErr w:type="gramStart"/>
      <w:r w:rsidRPr="00A02A4F">
        <w:rPr>
          <w:sz w:val="20"/>
          <w:szCs w:val="20"/>
        </w:rPr>
        <w:t>technique(</w:t>
      </w:r>
      <w:proofErr w:type="gramEnd"/>
      <w:r w:rsidRPr="00A02A4F">
        <w:rPr>
          <w:sz w:val="20"/>
          <w:szCs w:val="20"/>
        </w:rPr>
        <w:t>Graph-3)</w:t>
      </w:r>
    </w:p>
    <w:p w14:paraId="1E9DFA18" w14:textId="5DBB74FB" w:rsidR="00693FD8" w:rsidRPr="00A02A4F" w:rsidRDefault="00693FD8" w:rsidP="00A02A4F">
      <w:pPr>
        <w:pStyle w:val="NormalWeb"/>
        <w:spacing w:line="360" w:lineRule="auto"/>
        <w:jc w:val="both"/>
        <w:rPr>
          <w:sz w:val="20"/>
          <w:szCs w:val="20"/>
        </w:rPr>
      </w:pPr>
      <w:r w:rsidRPr="00A02A4F">
        <w:rPr>
          <w:noProof/>
          <w:sz w:val="20"/>
          <w:szCs w:val="20"/>
          <w:lang w:eastAsia="en-IN"/>
        </w:rPr>
        <w:drawing>
          <wp:inline distT="0" distB="0" distL="0" distR="0" wp14:anchorId="3B4A482D" wp14:editId="7244C59B">
            <wp:extent cx="4610100" cy="2019300"/>
            <wp:effectExtent l="0" t="0" r="0" b="0"/>
            <wp:docPr id="7" name="Chart 7">
              <a:extLst xmlns:a="http://schemas.openxmlformats.org/drawingml/2006/main">
                <a:ext uri="{FF2B5EF4-FFF2-40B4-BE49-F238E27FC236}">
                  <a16:creationId xmlns:a16="http://schemas.microsoft.com/office/drawing/2014/main" id="{ECA7543D-1825-1C8C-2E7E-1D49604F7C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902949" w14:textId="77777777" w:rsidR="0058344F" w:rsidRPr="00A02A4F" w:rsidRDefault="0058344F" w:rsidP="00A02A4F">
      <w:pPr>
        <w:pStyle w:val="NormalWeb"/>
        <w:spacing w:line="360" w:lineRule="auto"/>
        <w:jc w:val="both"/>
        <w:rPr>
          <w:b/>
          <w:bCs/>
          <w:sz w:val="20"/>
          <w:szCs w:val="20"/>
        </w:rPr>
      </w:pPr>
      <w:r w:rsidRPr="00A02A4F">
        <w:rPr>
          <w:b/>
          <w:bCs/>
          <w:sz w:val="20"/>
          <w:szCs w:val="20"/>
        </w:rPr>
        <w:t>Seasonal trends</w:t>
      </w:r>
    </w:p>
    <w:p w14:paraId="0E8CA2B3" w14:textId="77777777" w:rsidR="0058344F" w:rsidRPr="00A02A4F" w:rsidRDefault="0058344F" w:rsidP="00A02A4F">
      <w:pPr>
        <w:pStyle w:val="NormalWeb"/>
        <w:spacing w:line="360" w:lineRule="auto"/>
        <w:jc w:val="both"/>
        <w:rPr>
          <w:sz w:val="20"/>
          <w:szCs w:val="20"/>
        </w:rPr>
      </w:pPr>
      <w:r w:rsidRPr="00A02A4F">
        <w:rPr>
          <w:sz w:val="20"/>
          <w:szCs w:val="20"/>
        </w:rPr>
        <w:t xml:space="preserve">During the study period of one year out of 41 positive stool </w:t>
      </w:r>
      <w:proofErr w:type="gramStart"/>
      <w:r w:rsidRPr="00A02A4F">
        <w:rPr>
          <w:sz w:val="20"/>
          <w:szCs w:val="20"/>
        </w:rPr>
        <w:t>microscopy  maximum</w:t>
      </w:r>
      <w:proofErr w:type="gramEnd"/>
      <w:r w:rsidRPr="00A02A4F">
        <w:rPr>
          <w:sz w:val="20"/>
          <w:szCs w:val="20"/>
        </w:rPr>
        <w:t xml:space="preserve"> number of positive samples were seen in month of </w:t>
      </w:r>
      <w:proofErr w:type="gramStart"/>
      <w:r w:rsidRPr="00A02A4F">
        <w:rPr>
          <w:sz w:val="20"/>
          <w:szCs w:val="20"/>
        </w:rPr>
        <w:t>June ,July</w:t>
      </w:r>
      <w:proofErr w:type="gramEnd"/>
      <w:r w:rsidRPr="00A02A4F">
        <w:rPr>
          <w:sz w:val="20"/>
          <w:szCs w:val="20"/>
        </w:rPr>
        <w:t xml:space="preserve"> and August whereas least number of positive samples were seen in January and </w:t>
      </w:r>
      <w:proofErr w:type="gramStart"/>
      <w:r w:rsidRPr="00A02A4F">
        <w:rPr>
          <w:sz w:val="20"/>
          <w:szCs w:val="20"/>
        </w:rPr>
        <w:t>February(</w:t>
      </w:r>
      <w:proofErr w:type="gramEnd"/>
      <w:r w:rsidRPr="00A02A4F">
        <w:rPr>
          <w:sz w:val="20"/>
          <w:szCs w:val="20"/>
        </w:rPr>
        <w:t>Graph-4)</w:t>
      </w:r>
    </w:p>
    <w:p w14:paraId="444A63F3" w14:textId="27D3FE60" w:rsidR="0058344F" w:rsidRPr="00A02A4F" w:rsidRDefault="00B921F3" w:rsidP="00A02A4F">
      <w:pPr>
        <w:pStyle w:val="NormalWeb"/>
        <w:spacing w:line="360" w:lineRule="auto"/>
        <w:jc w:val="both"/>
        <w:rPr>
          <w:sz w:val="20"/>
          <w:szCs w:val="20"/>
        </w:rPr>
      </w:pPr>
      <w:r w:rsidRPr="00A02A4F">
        <w:rPr>
          <w:sz w:val="20"/>
          <w:szCs w:val="20"/>
        </w:rPr>
        <w:t>Table 5-</w:t>
      </w:r>
      <w:r w:rsidR="005F296A" w:rsidRPr="00A02A4F">
        <w:rPr>
          <w:sz w:val="20"/>
          <w:szCs w:val="20"/>
        </w:rPr>
        <w:t xml:space="preserve"> During the study period of one year out of 41 positive stool microscopy  </w:t>
      </w:r>
    </w:p>
    <w:tbl>
      <w:tblPr>
        <w:tblStyle w:val="TableGrid"/>
        <w:tblW w:w="0" w:type="auto"/>
        <w:tblInd w:w="-5" w:type="dxa"/>
        <w:tblLook w:val="04A0" w:firstRow="1" w:lastRow="0" w:firstColumn="1" w:lastColumn="0" w:noHBand="0" w:noVBand="1"/>
      </w:tblPr>
      <w:tblGrid>
        <w:gridCol w:w="1004"/>
        <w:gridCol w:w="849"/>
        <w:gridCol w:w="766"/>
        <w:gridCol w:w="766"/>
        <w:gridCol w:w="716"/>
        <w:gridCol w:w="733"/>
        <w:gridCol w:w="665"/>
        <w:gridCol w:w="649"/>
        <w:gridCol w:w="733"/>
        <w:gridCol w:w="699"/>
        <w:gridCol w:w="616"/>
        <w:gridCol w:w="665"/>
      </w:tblGrid>
      <w:tr w:rsidR="0058344F" w:rsidRPr="00A02A4F" w14:paraId="124AD75E" w14:textId="77777777" w:rsidTr="0058344F">
        <w:tc>
          <w:tcPr>
            <w:tcW w:w="1023" w:type="dxa"/>
            <w:tcBorders>
              <w:top w:val="single" w:sz="4" w:space="0" w:color="auto"/>
              <w:left w:val="single" w:sz="4" w:space="0" w:color="auto"/>
              <w:bottom w:val="single" w:sz="4" w:space="0" w:color="auto"/>
              <w:right w:val="single" w:sz="4" w:space="0" w:color="auto"/>
            </w:tcBorders>
            <w:hideMark/>
          </w:tcPr>
          <w:p w14:paraId="74E94095" w14:textId="77777777" w:rsidR="0058344F" w:rsidRPr="00A02A4F" w:rsidRDefault="0058344F"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March</w:t>
            </w:r>
          </w:p>
        </w:tc>
        <w:tc>
          <w:tcPr>
            <w:tcW w:w="865" w:type="dxa"/>
            <w:tcBorders>
              <w:top w:val="single" w:sz="4" w:space="0" w:color="auto"/>
              <w:left w:val="single" w:sz="4" w:space="0" w:color="auto"/>
              <w:bottom w:val="single" w:sz="4" w:space="0" w:color="auto"/>
              <w:right w:val="single" w:sz="4" w:space="0" w:color="auto"/>
            </w:tcBorders>
            <w:hideMark/>
          </w:tcPr>
          <w:p w14:paraId="335F9621" w14:textId="77777777" w:rsidR="0058344F" w:rsidRPr="00A02A4F" w:rsidRDefault="0058344F"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April</w:t>
            </w:r>
          </w:p>
        </w:tc>
        <w:tc>
          <w:tcPr>
            <w:tcW w:w="779" w:type="dxa"/>
            <w:tcBorders>
              <w:top w:val="single" w:sz="4" w:space="0" w:color="auto"/>
              <w:left w:val="single" w:sz="4" w:space="0" w:color="auto"/>
              <w:bottom w:val="single" w:sz="4" w:space="0" w:color="auto"/>
              <w:right w:val="single" w:sz="4" w:space="0" w:color="auto"/>
            </w:tcBorders>
            <w:hideMark/>
          </w:tcPr>
          <w:p w14:paraId="750F4F85" w14:textId="77777777" w:rsidR="0058344F" w:rsidRPr="00A02A4F" w:rsidRDefault="0058344F"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May</w:t>
            </w:r>
          </w:p>
        </w:tc>
        <w:tc>
          <w:tcPr>
            <w:tcW w:w="779" w:type="dxa"/>
            <w:tcBorders>
              <w:top w:val="single" w:sz="4" w:space="0" w:color="auto"/>
              <w:left w:val="single" w:sz="4" w:space="0" w:color="auto"/>
              <w:bottom w:val="single" w:sz="4" w:space="0" w:color="auto"/>
              <w:right w:val="single" w:sz="4" w:space="0" w:color="auto"/>
            </w:tcBorders>
            <w:hideMark/>
          </w:tcPr>
          <w:p w14:paraId="676A91DB" w14:textId="77777777" w:rsidR="0058344F" w:rsidRPr="00A02A4F" w:rsidRDefault="0058344F"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June</w:t>
            </w:r>
          </w:p>
        </w:tc>
        <w:tc>
          <w:tcPr>
            <w:tcW w:w="728" w:type="dxa"/>
            <w:tcBorders>
              <w:top w:val="single" w:sz="4" w:space="0" w:color="auto"/>
              <w:left w:val="single" w:sz="4" w:space="0" w:color="auto"/>
              <w:bottom w:val="single" w:sz="4" w:space="0" w:color="auto"/>
              <w:right w:val="single" w:sz="4" w:space="0" w:color="auto"/>
            </w:tcBorders>
            <w:hideMark/>
          </w:tcPr>
          <w:p w14:paraId="7E6A782A" w14:textId="77777777" w:rsidR="0058344F" w:rsidRPr="00A02A4F" w:rsidRDefault="0058344F"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July</w:t>
            </w:r>
          </w:p>
        </w:tc>
        <w:tc>
          <w:tcPr>
            <w:tcW w:w="746" w:type="dxa"/>
            <w:tcBorders>
              <w:top w:val="single" w:sz="4" w:space="0" w:color="auto"/>
              <w:left w:val="single" w:sz="4" w:space="0" w:color="auto"/>
              <w:bottom w:val="single" w:sz="4" w:space="0" w:color="auto"/>
              <w:right w:val="single" w:sz="4" w:space="0" w:color="auto"/>
            </w:tcBorders>
            <w:hideMark/>
          </w:tcPr>
          <w:p w14:paraId="5590DBE4" w14:textId="77777777" w:rsidR="0058344F" w:rsidRPr="00A02A4F" w:rsidRDefault="0058344F"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Aug</w:t>
            </w:r>
          </w:p>
        </w:tc>
        <w:tc>
          <w:tcPr>
            <w:tcW w:w="676" w:type="dxa"/>
            <w:tcBorders>
              <w:top w:val="single" w:sz="4" w:space="0" w:color="auto"/>
              <w:left w:val="single" w:sz="4" w:space="0" w:color="auto"/>
              <w:bottom w:val="single" w:sz="4" w:space="0" w:color="auto"/>
              <w:right w:val="single" w:sz="4" w:space="0" w:color="auto"/>
            </w:tcBorders>
            <w:hideMark/>
          </w:tcPr>
          <w:p w14:paraId="3150A4C1" w14:textId="77777777" w:rsidR="0058344F" w:rsidRPr="00A02A4F" w:rsidRDefault="0058344F"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Sep</w:t>
            </w:r>
          </w:p>
        </w:tc>
        <w:tc>
          <w:tcPr>
            <w:tcW w:w="660" w:type="dxa"/>
            <w:tcBorders>
              <w:top w:val="single" w:sz="4" w:space="0" w:color="auto"/>
              <w:left w:val="single" w:sz="4" w:space="0" w:color="auto"/>
              <w:bottom w:val="single" w:sz="4" w:space="0" w:color="auto"/>
              <w:right w:val="single" w:sz="4" w:space="0" w:color="auto"/>
            </w:tcBorders>
            <w:hideMark/>
          </w:tcPr>
          <w:p w14:paraId="7DCD3B4E" w14:textId="77777777" w:rsidR="0058344F" w:rsidRPr="00A02A4F" w:rsidRDefault="0058344F"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Oct</w:t>
            </w:r>
          </w:p>
        </w:tc>
        <w:tc>
          <w:tcPr>
            <w:tcW w:w="746" w:type="dxa"/>
            <w:tcBorders>
              <w:top w:val="single" w:sz="4" w:space="0" w:color="auto"/>
              <w:left w:val="single" w:sz="4" w:space="0" w:color="auto"/>
              <w:bottom w:val="single" w:sz="4" w:space="0" w:color="auto"/>
              <w:right w:val="single" w:sz="4" w:space="0" w:color="auto"/>
            </w:tcBorders>
            <w:hideMark/>
          </w:tcPr>
          <w:p w14:paraId="45690C35" w14:textId="77777777" w:rsidR="0058344F" w:rsidRPr="00A02A4F" w:rsidRDefault="0058344F"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Nov</w:t>
            </w:r>
          </w:p>
        </w:tc>
        <w:tc>
          <w:tcPr>
            <w:tcW w:w="711" w:type="dxa"/>
            <w:tcBorders>
              <w:top w:val="single" w:sz="4" w:space="0" w:color="auto"/>
              <w:left w:val="single" w:sz="4" w:space="0" w:color="auto"/>
              <w:bottom w:val="single" w:sz="4" w:space="0" w:color="auto"/>
              <w:right w:val="single" w:sz="4" w:space="0" w:color="auto"/>
            </w:tcBorders>
            <w:hideMark/>
          </w:tcPr>
          <w:p w14:paraId="6A06243E" w14:textId="77777777" w:rsidR="0058344F" w:rsidRPr="00A02A4F" w:rsidRDefault="0058344F"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Dec</w:t>
            </w:r>
          </w:p>
        </w:tc>
        <w:tc>
          <w:tcPr>
            <w:tcW w:w="626" w:type="dxa"/>
            <w:tcBorders>
              <w:top w:val="single" w:sz="4" w:space="0" w:color="auto"/>
              <w:left w:val="single" w:sz="4" w:space="0" w:color="auto"/>
              <w:bottom w:val="single" w:sz="4" w:space="0" w:color="auto"/>
              <w:right w:val="single" w:sz="4" w:space="0" w:color="auto"/>
            </w:tcBorders>
            <w:hideMark/>
          </w:tcPr>
          <w:p w14:paraId="08A95A4F" w14:textId="77777777" w:rsidR="0058344F" w:rsidRPr="00A02A4F" w:rsidRDefault="0058344F"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 xml:space="preserve">Jan </w:t>
            </w:r>
          </w:p>
        </w:tc>
        <w:tc>
          <w:tcPr>
            <w:tcW w:w="676" w:type="dxa"/>
            <w:tcBorders>
              <w:top w:val="single" w:sz="4" w:space="0" w:color="auto"/>
              <w:left w:val="single" w:sz="4" w:space="0" w:color="auto"/>
              <w:bottom w:val="single" w:sz="4" w:space="0" w:color="auto"/>
              <w:right w:val="single" w:sz="4" w:space="0" w:color="auto"/>
            </w:tcBorders>
            <w:hideMark/>
          </w:tcPr>
          <w:p w14:paraId="63FA3EDF" w14:textId="77777777" w:rsidR="0058344F" w:rsidRPr="00A02A4F" w:rsidRDefault="0058344F"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Feb</w:t>
            </w:r>
          </w:p>
        </w:tc>
      </w:tr>
      <w:tr w:rsidR="0058344F" w:rsidRPr="00A02A4F" w14:paraId="77037349" w14:textId="77777777" w:rsidTr="0058344F">
        <w:trPr>
          <w:trHeight w:val="1232"/>
        </w:trPr>
        <w:tc>
          <w:tcPr>
            <w:tcW w:w="1023" w:type="dxa"/>
            <w:tcBorders>
              <w:top w:val="single" w:sz="4" w:space="0" w:color="auto"/>
              <w:left w:val="single" w:sz="4" w:space="0" w:color="auto"/>
              <w:bottom w:val="single" w:sz="4" w:space="0" w:color="auto"/>
              <w:right w:val="single" w:sz="4" w:space="0" w:color="auto"/>
            </w:tcBorders>
            <w:hideMark/>
          </w:tcPr>
          <w:p w14:paraId="5C34E945" w14:textId="77777777" w:rsidR="0058344F" w:rsidRPr="00A02A4F" w:rsidRDefault="0058344F"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3</w:t>
            </w:r>
          </w:p>
        </w:tc>
        <w:tc>
          <w:tcPr>
            <w:tcW w:w="865" w:type="dxa"/>
            <w:tcBorders>
              <w:top w:val="single" w:sz="4" w:space="0" w:color="auto"/>
              <w:left w:val="single" w:sz="4" w:space="0" w:color="auto"/>
              <w:bottom w:val="single" w:sz="4" w:space="0" w:color="auto"/>
              <w:right w:val="single" w:sz="4" w:space="0" w:color="auto"/>
            </w:tcBorders>
            <w:hideMark/>
          </w:tcPr>
          <w:p w14:paraId="74E5D7C7" w14:textId="77777777" w:rsidR="0058344F" w:rsidRPr="00A02A4F" w:rsidRDefault="0058344F"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3</w:t>
            </w:r>
          </w:p>
        </w:tc>
        <w:tc>
          <w:tcPr>
            <w:tcW w:w="779" w:type="dxa"/>
            <w:tcBorders>
              <w:top w:val="single" w:sz="4" w:space="0" w:color="auto"/>
              <w:left w:val="single" w:sz="4" w:space="0" w:color="auto"/>
              <w:bottom w:val="single" w:sz="4" w:space="0" w:color="auto"/>
              <w:right w:val="single" w:sz="4" w:space="0" w:color="auto"/>
            </w:tcBorders>
            <w:hideMark/>
          </w:tcPr>
          <w:p w14:paraId="3093D3B9" w14:textId="77777777" w:rsidR="0058344F" w:rsidRPr="00A02A4F" w:rsidRDefault="0058344F"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2</w:t>
            </w:r>
          </w:p>
        </w:tc>
        <w:tc>
          <w:tcPr>
            <w:tcW w:w="779" w:type="dxa"/>
            <w:tcBorders>
              <w:top w:val="single" w:sz="4" w:space="0" w:color="auto"/>
              <w:left w:val="single" w:sz="4" w:space="0" w:color="auto"/>
              <w:bottom w:val="single" w:sz="4" w:space="0" w:color="auto"/>
              <w:right w:val="single" w:sz="4" w:space="0" w:color="auto"/>
            </w:tcBorders>
            <w:hideMark/>
          </w:tcPr>
          <w:p w14:paraId="322E1F5F" w14:textId="77777777" w:rsidR="0058344F" w:rsidRPr="00A02A4F" w:rsidRDefault="0058344F"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6</w:t>
            </w:r>
          </w:p>
        </w:tc>
        <w:tc>
          <w:tcPr>
            <w:tcW w:w="728" w:type="dxa"/>
            <w:tcBorders>
              <w:top w:val="single" w:sz="4" w:space="0" w:color="auto"/>
              <w:left w:val="single" w:sz="4" w:space="0" w:color="auto"/>
              <w:bottom w:val="single" w:sz="4" w:space="0" w:color="auto"/>
              <w:right w:val="single" w:sz="4" w:space="0" w:color="auto"/>
            </w:tcBorders>
            <w:hideMark/>
          </w:tcPr>
          <w:p w14:paraId="2E765E13" w14:textId="77777777" w:rsidR="0058344F" w:rsidRPr="00A02A4F" w:rsidRDefault="0058344F"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5</w:t>
            </w:r>
          </w:p>
        </w:tc>
        <w:tc>
          <w:tcPr>
            <w:tcW w:w="746" w:type="dxa"/>
            <w:tcBorders>
              <w:top w:val="single" w:sz="4" w:space="0" w:color="auto"/>
              <w:left w:val="single" w:sz="4" w:space="0" w:color="auto"/>
              <w:bottom w:val="single" w:sz="4" w:space="0" w:color="auto"/>
              <w:right w:val="single" w:sz="4" w:space="0" w:color="auto"/>
            </w:tcBorders>
            <w:hideMark/>
          </w:tcPr>
          <w:p w14:paraId="0E03BB39" w14:textId="77777777" w:rsidR="0058344F" w:rsidRPr="00A02A4F" w:rsidRDefault="0058344F"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6</w:t>
            </w:r>
          </w:p>
        </w:tc>
        <w:tc>
          <w:tcPr>
            <w:tcW w:w="676" w:type="dxa"/>
            <w:tcBorders>
              <w:top w:val="single" w:sz="4" w:space="0" w:color="auto"/>
              <w:left w:val="single" w:sz="4" w:space="0" w:color="auto"/>
              <w:bottom w:val="single" w:sz="4" w:space="0" w:color="auto"/>
              <w:right w:val="single" w:sz="4" w:space="0" w:color="auto"/>
            </w:tcBorders>
            <w:hideMark/>
          </w:tcPr>
          <w:p w14:paraId="403235A6" w14:textId="77777777" w:rsidR="0058344F" w:rsidRPr="00A02A4F" w:rsidRDefault="0058344F"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4</w:t>
            </w:r>
          </w:p>
        </w:tc>
        <w:tc>
          <w:tcPr>
            <w:tcW w:w="660" w:type="dxa"/>
            <w:tcBorders>
              <w:top w:val="single" w:sz="4" w:space="0" w:color="auto"/>
              <w:left w:val="single" w:sz="4" w:space="0" w:color="auto"/>
              <w:bottom w:val="single" w:sz="4" w:space="0" w:color="auto"/>
              <w:right w:val="single" w:sz="4" w:space="0" w:color="auto"/>
            </w:tcBorders>
            <w:hideMark/>
          </w:tcPr>
          <w:p w14:paraId="61410721" w14:textId="77777777" w:rsidR="0058344F" w:rsidRPr="00A02A4F" w:rsidRDefault="0058344F"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3</w:t>
            </w:r>
          </w:p>
        </w:tc>
        <w:tc>
          <w:tcPr>
            <w:tcW w:w="746" w:type="dxa"/>
            <w:tcBorders>
              <w:top w:val="single" w:sz="4" w:space="0" w:color="auto"/>
              <w:left w:val="single" w:sz="4" w:space="0" w:color="auto"/>
              <w:bottom w:val="single" w:sz="4" w:space="0" w:color="auto"/>
              <w:right w:val="single" w:sz="4" w:space="0" w:color="auto"/>
            </w:tcBorders>
            <w:hideMark/>
          </w:tcPr>
          <w:p w14:paraId="16BB776D" w14:textId="77777777" w:rsidR="0058344F" w:rsidRPr="00A02A4F" w:rsidRDefault="0058344F"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4</w:t>
            </w:r>
          </w:p>
        </w:tc>
        <w:tc>
          <w:tcPr>
            <w:tcW w:w="711" w:type="dxa"/>
            <w:tcBorders>
              <w:top w:val="single" w:sz="4" w:space="0" w:color="auto"/>
              <w:left w:val="single" w:sz="4" w:space="0" w:color="auto"/>
              <w:bottom w:val="single" w:sz="4" w:space="0" w:color="auto"/>
              <w:right w:val="single" w:sz="4" w:space="0" w:color="auto"/>
            </w:tcBorders>
            <w:hideMark/>
          </w:tcPr>
          <w:p w14:paraId="30E13C6F" w14:textId="77777777" w:rsidR="0058344F" w:rsidRPr="00A02A4F" w:rsidRDefault="0058344F"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3</w:t>
            </w:r>
          </w:p>
        </w:tc>
        <w:tc>
          <w:tcPr>
            <w:tcW w:w="626" w:type="dxa"/>
            <w:tcBorders>
              <w:top w:val="single" w:sz="4" w:space="0" w:color="auto"/>
              <w:left w:val="single" w:sz="4" w:space="0" w:color="auto"/>
              <w:bottom w:val="single" w:sz="4" w:space="0" w:color="auto"/>
              <w:right w:val="single" w:sz="4" w:space="0" w:color="auto"/>
            </w:tcBorders>
            <w:hideMark/>
          </w:tcPr>
          <w:p w14:paraId="4BD82BC4" w14:textId="77777777" w:rsidR="0058344F" w:rsidRPr="00A02A4F" w:rsidRDefault="0058344F"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0</w:t>
            </w:r>
          </w:p>
        </w:tc>
        <w:tc>
          <w:tcPr>
            <w:tcW w:w="676" w:type="dxa"/>
            <w:tcBorders>
              <w:top w:val="single" w:sz="4" w:space="0" w:color="auto"/>
              <w:left w:val="single" w:sz="4" w:space="0" w:color="auto"/>
              <w:bottom w:val="single" w:sz="4" w:space="0" w:color="auto"/>
              <w:right w:val="single" w:sz="4" w:space="0" w:color="auto"/>
            </w:tcBorders>
            <w:hideMark/>
          </w:tcPr>
          <w:p w14:paraId="3F13D5F2" w14:textId="77777777" w:rsidR="0058344F" w:rsidRPr="00A02A4F" w:rsidRDefault="0058344F" w:rsidP="00A02A4F">
            <w:pPr>
              <w:pStyle w:val="NormalWeb"/>
              <w:spacing w:line="360" w:lineRule="auto"/>
              <w:jc w:val="both"/>
              <w:rPr>
                <w:kern w:val="2"/>
                <w:sz w:val="20"/>
                <w:szCs w:val="20"/>
                <w14:ligatures w14:val="standardContextual"/>
              </w:rPr>
            </w:pPr>
            <w:r w:rsidRPr="00A02A4F">
              <w:rPr>
                <w:kern w:val="2"/>
                <w:sz w:val="20"/>
                <w:szCs w:val="20"/>
                <w14:ligatures w14:val="standardContextual"/>
              </w:rPr>
              <w:t>2</w:t>
            </w:r>
          </w:p>
        </w:tc>
      </w:tr>
    </w:tbl>
    <w:p w14:paraId="5A6AB792" w14:textId="49F5B49E" w:rsidR="0058344F" w:rsidRPr="00A02A4F" w:rsidRDefault="0058344F" w:rsidP="00A02A4F">
      <w:pPr>
        <w:pStyle w:val="NormalWeb"/>
        <w:spacing w:line="360" w:lineRule="auto"/>
        <w:jc w:val="both"/>
        <w:rPr>
          <w:sz w:val="20"/>
          <w:szCs w:val="20"/>
        </w:rPr>
      </w:pPr>
      <w:r w:rsidRPr="00A02A4F">
        <w:rPr>
          <w:sz w:val="20"/>
          <w:szCs w:val="20"/>
        </w:rPr>
        <w:t xml:space="preserve">    </w:t>
      </w:r>
      <w:r w:rsidRPr="00A02A4F">
        <w:rPr>
          <w:noProof/>
          <w:sz w:val="20"/>
          <w:szCs w:val="20"/>
          <w:lang w:eastAsia="en-IN"/>
        </w:rPr>
        <w:drawing>
          <wp:inline distT="0" distB="0" distL="0" distR="0" wp14:anchorId="73E6DE02" wp14:editId="7ADFD94D">
            <wp:extent cx="4400550" cy="2095500"/>
            <wp:effectExtent l="0" t="0" r="0" b="0"/>
            <wp:docPr id="8" name="Chart 8">
              <a:extLst xmlns:a="http://schemas.openxmlformats.org/drawingml/2006/main">
                <a:ext uri="{FF2B5EF4-FFF2-40B4-BE49-F238E27FC236}">
                  <a16:creationId xmlns:a16="http://schemas.microsoft.com/office/drawing/2014/main" id="{E60109CC-C5E6-920F-C246-2AA97168F5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B114636" w14:textId="17E8DE62" w:rsidR="00693FD8" w:rsidRPr="00A02A4F" w:rsidRDefault="00B921F3" w:rsidP="00A02A4F">
      <w:pPr>
        <w:pStyle w:val="NormalWeb"/>
        <w:spacing w:line="360" w:lineRule="auto"/>
        <w:jc w:val="both"/>
        <w:rPr>
          <w:sz w:val="20"/>
          <w:szCs w:val="20"/>
        </w:rPr>
      </w:pPr>
      <w:r w:rsidRPr="00A02A4F">
        <w:rPr>
          <w:sz w:val="20"/>
          <w:szCs w:val="20"/>
        </w:rPr>
        <w:lastRenderedPageBreak/>
        <w:t>Graph-4- Monthly distribution</w:t>
      </w:r>
    </w:p>
    <w:p w14:paraId="70BF6E37" w14:textId="77777777" w:rsidR="00693FD8" w:rsidRPr="00A02A4F" w:rsidRDefault="00693FD8" w:rsidP="00A02A4F">
      <w:pPr>
        <w:jc w:val="both"/>
        <w:rPr>
          <w:rFonts w:ascii="Times New Roman" w:hAnsi="Times New Roman" w:cs="Times New Roman"/>
          <w:sz w:val="20"/>
          <w:szCs w:val="20"/>
        </w:rPr>
      </w:pPr>
    </w:p>
    <w:p w14:paraId="030A5D47" w14:textId="1A54CDF5" w:rsidR="0058344F" w:rsidRPr="00A02A4F" w:rsidRDefault="00C95066" w:rsidP="00A02A4F">
      <w:pPr>
        <w:pStyle w:val="Heading1"/>
        <w:jc w:val="both"/>
        <w:rPr>
          <w:rFonts w:ascii="Times New Roman" w:hAnsi="Times New Roman" w:cs="Times New Roman"/>
          <w:sz w:val="20"/>
          <w:szCs w:val="20"/>
        </w:rPr>
      </w:pPr>
      <w:r w:rsidRPr="00A02A4F">
        <w:rPr>
          <w:rFonts w:ascii="Times New Roman" w:hAnsi="Times New Roman" w:cs="Times New Roman"/>
          <w:sz w:val="20"/>
          <w:szCs w:val="20"/>
        </w:rPr>
        <w:t>4. Discussion</w:t>
      </w:r>
    </w:p>
    <w:p w14:paraId="3FA918C7" w14:textId="77777777" w:rsidR="0058344F" w:rsidRPr="00A02A4F" w:rsidRDefault="0058344F" w:rsidP="00A02A4F">
      <w:pPr>
        <w:pStyle w:val="NormalWeb"/>
        <w:spacing w:line="360" w:lineRule="auto"/>
        <w:jc w:val="both"/>
        <w:rPr>
          <w:sz w:val="20"/>
          <w:szCs w:val="20"/>
        </w:rPr>
      </w:pPr>
      <w:r w:rsidRPr="00A02A4F">
        <w:rPr>
          <w:sz w:val="20"/>
          <w:szCs w:val="20"/>
        </w:rPr>
        <w:t>In our study</w:t>
      </w:r>
      <w:r w:rsidRPr="00A02A4F">
        <w:rPr>
          <w:b/>
          <w:bCs/>
          <w:sz w:val="20"/>
          <w:szCs w:val="20"/>
        </w:rPr>
        <w:t xml:space="preserve"> </w:t>
      </w:r>
      <w:r w:rsidRPr="00A02A4F">
        <w:rPr>
          <w:sz w:val="20"/>
          <w:szCs w:val="20"/>
        </w:rPr>
        <w:t xml:space="preserve">two methods for stool parasite examination were compared </w:t>
      </w:r>
      <w:proofErr w:type="spellStart"/>
      <w:r w:rsidRPr="00A02A4F">
        <w:rPr>
          <w:sz w:val="20"/>
          <w:szCs w:val="20"/>
        </w:rPr>
        <w:t>i.e</w:t>
      </w:r>
      <w:proofErr w:type="spellEnd"/>
      <w:r w:rsidRPr="00A02A4F">
        <w:rPr>
          <w:sz w:val="20"/>
          <w:szCs w:val="20"/>
        </w:rPr>
        <w:t xml:space="preserve"> Direct mount and Formol ether sedimentation technique. A total of 350 samples were received from which 41 were positive in total for parasitic eggs/cysts, various parasitic eggs /cysts were seen like cyst of Giardia cysts of Entamoeba coli/dispar, Eggs of </w:t>
      </w:r>
      <w:proofErr w:type="spellStart"/>
      <w:proofErr w:type="gramStart"/>
      <w:r w:rsidRPr="00A02A4F">
        <w:rPr>
          <w:sz w:val="20"/>
          <w:szCs w:val="20"/>
        </w:rPr>
        <w:t>H.nana</w:t>
      </w:r>
      <w:proofErr w:type="spellEnd"/>
      <w:proofErr w:type="gramEnd"/>
      <w:r w:rsidRPr="00A02A4F">
        <w:rPr>
          <w:sz w:val="20"/>
          <w:szCs w:val="20"/>
        </w:rPr>
        <w:t xml:space="preserve"> and Ascaris lumbricoides etc.</w:t>
      </w:r>
    </w:p>
    <w:p w14:paraId="552855AC" w14:textId="77777777" w:rsidR="0058344F" w:rsidRPr="00A02A4F" w:rsidRDefault="0058344F" w:rsidP="00A02A4F">
      <w:pPr>
        <w:pStyle w:val="NormalWeb"/>
        <w:spacing w:line="360" w:lineRule="auto"/>
        <w:jc w:val="both"/>
        <w:rPr>
          <w:sz w:val="20"/>
          <w:szCs w:val="20"/>
        </w:rPr>
      </w:pPr>
      <w:r w:rsidRPr="00A02A4F">
        <w:rPr>
          <w:sz w:val="20"/>
          <w:szCs w:val="20"/>
        </w:rPr>
        <w:t>Total positivity rate found in our study was 12%(</w:t>
      </w:r>
      <w:proofErr w:type="spellStart"/>
      <w:r w:rsidRPr="00A02A4F">
        <w:rPr>
          <w:sz w:val="20"/>
          <w:szCs w:val="20"/>
        </w:rPr>
        <w:t>i.e</w:t>
      </w:r>
      <w:proofErr w:type="spellEnd"/>
      <w:r w:rsidRPr="00A02A4F">
        <w:rPr>
          <w:sz w:val="20"/>
          <w:szCs w:val="20"/>
        </w:rPr>
        <w:t xml:space="preserve"> 41/350), Previous studies from South India have shown that the prevalence rate of individual GI parasitic infections in In</w:t>
      </w:r>
      <w:r w:rsidR="001F02EC" w:rsidRPr="00A02A4F">
        <w:rPr>
          <w:sz w:val="20"/>
          <w:szCs w:val="20"/>
        </w:rPr>
        <w:t>dia ranges from 12.5% to 66% [11</w:t>
      </w:r>
      <w:r w:rsidRPr="00A02A4F">
        <w:rPr>
          <w:sz w:val="20"/>
          <w:szCs w:val="20"/>
        </w:rPr>
        <w:t>].</w:t>
      </w:r>
    </w:p>
    <w:p w14:paraId="076B8DFD" w14:textId="77777777" w:rsidR="0058344F" w:rsidRPr="00A02A4F" w:rsidRDefault="0058344F" w:rsidP="00A02A4F">
      <w:pPr>
        <w:pStyle w:val="NormalWeb"/>
        <w:spacing w:line="360" w:lineRule="auto"/>
        <w:jc w:val="both"/>
        <w:rPr>
          <w:sz w:val="20"/>
          <w:szCs w:val="20"/>
        </w:rPr>
      </w:pPr>
      <w:r w:rsidRPr="00A02A4F">
        <w:rPr>
          <w:sz w:val="20"/>
          <w:szCs w:val="20"/>
        </w:rPr>
        <w:t xml:space="preserve">Among the 41 positive stool samples in our study,25(61%) </w:t>
      </w:r>
      <w:proofErr w:type="gramStart"/>
      <w:r w:rsidRPr="00A02A4F">
        <w:rPr>
          <w:sz w:val="20"/>
          <w:szCs w:val="20"/>
        </w:rPr>
        <w:t>were</w:t>
      </w:r>
      <w:proofErr w:type="gramEnd"/>
      <w:r w:rsidRPr="00A02A4F">
        <w:rPr>
          <w:sz w:val="20"/>
          <w:szCs w:val="20"/>
        </w:rPr>
        <w:t xml:space="preserve"> positive for cyst of Giardia lamblia which was found to be highest, similar findings were observe</w:t>
      </w:r>
      <w:r w:rsidR="001F02EC" w:rsidRPr="00A02A4F">
        <w:rPr>
          <w:sz w:val="20"/>
          <w:szCs w:val="20"/>
        </w:rPr>
        <w:t xml:space="preserve">d in a study from south </w:t>
      </w:r>
      <w:proofErr w:type="gramStart"/>
      <w:r w:rsidR="001F02EC" w:rsidRPr="00A02A4F">
        <w:rPr>
          <w:sz w:val="20"/>
          <w:szCs w:val="20"/>
        </w:rPr>
        <w:t>India[</w:t>
      </w:r>
      <w:proofErr w:type="gramEnd"/>
      <w:r w:rsidR="001F02EC" w:rsidRPr="00A02A4F">
        <w:rPr>
          <w:sz w:val="20"/>
          <w:szCs w:val="20"/>
        </w:rPr>
        <w:t>12</w:t>
      </w:r>
      <w:r w:rsidRPr="00A02A4F">
        <w:rPr>
          <w:sz w:val="20"/>
          <w:szCs w:val="20"/>
        </w:rPr>
        <w:t xml:space="preserve">]. In a study in Thailand, </w:t>
      </w:r>
      <w:r w:rsidRPr="00A02A4F">
        <w:rPr>
          <w:i/>
          <w:iCs/>
          <w:sz w:val="20"/>
          <w:szCs w:val="20"/>
        </w:rPr>
        <w:t xml:space="preserve">G. lamblia </w:t>
      </w:r>
      <w:r w:rsidRPr="00A02A4F">
        <w:rPr>
          <w:sz w:val="20"/>
          <w:szCs w:val="20"/>
        </w:rPr>
        <w:t>was the mo</w:t>
      </w:r>
      <w:r w:rsidR="001F02EC" w:rsidRPr="00A02A4F">
        <w:rPr>
          <w:sz w:val="20"/>
          <w:szCs w:val="20"/>
        </w:rPr>
        <w:t>st frequent parasite (18.4%).[12</w:t>
      </w:r>
      <w:r w:rsidRPr="00A02A4F">
        <w:rPr>
          <w:sz w:val="20"/>
          <w:szCs w:val="20"/>
        </w:rPr>
        <w:t xml:space="preserve">] Furthermore, it was more common in the asymptomatic population than the symptomatic ones. </w:t>
      </w:r>
    </w:p>
    <w:p w14:paraId="4432E8F8" w14:textId="77777777" w:rsidR="0058344F" w:rsidRPr="00A02A4F" w:rsidRDefault="0058344F" w:rsidP="00A02A4F">
      <w:pPr>
        <w:pStyle w:val="NormalWeb"/>
        <w:spacing w:line="360" w:lineRule="auto"/>
        <w:jc w:val="both"/>
        <w:rPr>
          <w:sz w:val="20"/>
          <w:szCs w:val="20"/>
        </w:rPr>
      </w:pPr>
      <w:r w:rsidRPr="00A02A4F">
        <w:rPr>
          <w:sz w:val="20"/>
          <w:szCs w:val="20"/>
        </w:rPr>
        <w:t>Among the STH, hookworm is by far the most common in India, as also in our study (7.31%), leading to intractable anaemia in rural people who are accustomed to walking barefoot in contaminated soil. However, the prevalence of hookworm infestation is now grossly decreased in our country compared to that in the 1980s. Pu</w:t>
      </w:r>
      <w:r w:rsidR="001F02EC" w:rsidRPr="00A02A4F">
        <w:rPr>
          <w:sz w:val="20"/>
          <w:szCs w:val="20"/>
        </w:rPr>
        <w:t>ducherry study in 2016 (8.7</w:t>
      </w:r>
      <w:proofErr w:type="gramStart"/>
      <w:r w:rsidR="001F02EC" w:rsidRPr="00A02A4F">
        <w:rPr>
          <w:sz w:val="20"/>
          <w:szCs w:val="20"/>
        </w:rPr>
        <w:t>%)[</w:t>
      </w:r>
      <w:proofErr w:type="gramEnd"/>
      <w:r w:rsidR="001F02EC" w:rsidRPr="00A02A4F">
        <w:rPr>
          <w:sz w:val="20"/>
          <w:szCs w:val="20"/>
        </w:rPr>
        <w:t>13</w:t>
      </w:r>
      <w:r w:rsidRPr="00A02A4F">
        <w:rPr>
          <w:sz w:val="20"/>
          <w:szCs w:val="20"/>
        </w:rPr>
        <w:t>] compared to study by Parija and R</w:t>
      </w:r>
      <w:r w:rsidR="001F02EC" w:rsidRPr="00A02A4F">
        <w:rPr>
          <w:sz w:val="20"/>
          <w:szCs w:val="20"/>
        </w:rPr>
        <w:t>ao in 1987 where it was 10.5</w:t>
      </w:r>
      <w:proofErr w:type="gramStart"/>
      <w:r w:rsidR="001F02EC" w:rsidRPr="00A02A4F">
        <w:rPr>
          <w:sz w:val="20"/>
          <w:szCs w:val="20"/>
        </w:rPr>
        <w:t>%[</w:t>
      </w:r>
      <w:proofErr w:type="gramEnd"/>
      <w:r w:rsidR="001F02EC" w:rsidRPr="00A02A4F">
        <w:rPr>
          <w:sz w:val="20"/>
          <w:szCs w:val="20"/>
        </w:rPr>
        <w:t>14</w:t>
      </w:r>
      <w:r w:rsidRPr="00A02A4F">
        <w:rPr>
          <w:sz w:val="20"/>
          <w:szCs w:val="20"/>
        </w:rPr>
        <w:t xml:space="preserve">]. This may be due to more use of footwear among farmers, laborers, and other common people in the present days and also gross improvement of sanitation and a commendably higher use of sanitary latrines in villages and among people of poor socioeconomic status due to vigorous campaigning, financial and technical helps by the government in recent years. </w:t>
      </w:r>
    </w:p>
    <w:p w14:paraId="21198C7E" w14:textId="19EDF120" w:rsidR="0058344F" w:rsidRPr="00A02A4F" w:rsidRDefault="00935794" w:rsidP="00A02A4F">
      <w:pPr>
        <w:pStyle w:val="NormalWeb"/>
        <w:spacing w:line="360" w:lineRule="auto"/>
        <w:jc w:val="both"/>
        <w:rPr>
          <w:sz w:val="20"/>
          <w:szCs w:val="20"/>
        </w:rPr>
      </w:pPr>
      <w:r w:rsidRPr="00A02A4F">
        <w:rPr>
          <w:rStyle w:val="Strong"/>
          <w:sz w:val="20"/>
          <w:szCs w:val="20"/>
        </w:rPr>
        <w:t>Age-related trends:</w:t>
      </w:r>
      <w:r w:rsidRPr="00A02A4F">
        <w:rPr>
          <w:sz w:val="20"/>
          <w:szCs w:val="20"/>
        </w:rPr>
        <w:t xml:space="preserve"> The highest occurrence of intestinal parasites was recorded in the 11–</w:t>
      </w:r>
      <w:proofErr w:type="gramStart"/>
      <w:r w:rsidRPr="00A02A4F">
        <w:rPr>
          <w:sz w:val="20"/>
          <w:szCs w:val="20"/>
        </w:rPr>
        <w:t>15 year</w:t>
      </w:r>
      <w:proofErr w:type="gramEnd"/>
      <w:r w:rsidRPr="00A02A4F">
        <w:rPr>
          <w:sz w:val="20"/>
          <w:szCs w:val="20"/>
        </w:rPr>
        <w:t xml:space="preserve"> age group (17.07%), while the lowest (2.4%) was seen in the 21–</w:t>
      </w:r>
      <w:proofErr w:type="gramStart"/>
      <w:r w:rsidRPr="00A02A4F">
        <w:rPr>
          <w:sz w:val="20"/>
          <w:szCs w:val="20"/>
        </w:rPr>
        <w:t>25 year</w:t>
      </w:r>
      <w:proofErr w:type="gramEnd"/>
      <w:r w:rsidRPr="00A02A4F">
        <w:rPr>
          <w:sz w:val="20"/>
          <w:szCs w:val="20"/>
        </w:rPr>
        <w:t xml:space="preserve"> group. For parasites with a prevalence above 0.1%, the proportion showed variation across age groups. Several studies have also highlighted that preschool and school-age children are more prone to intestinal parasitic infections. </w:t>
      </w:r>
      <w:r w:rsidR="001F02EC" w:rsidRPr="00A02A4F">
        <w:rPr>
          <w:sz w:val="20"/>
          <w:szCs w:val="20"/>
        </w:rPr>
        <w:t>[15</w:t>
      </w:r>
      <w:r w:rsidRPr="00A02A4F">
        <w:rPr>
          <w:sz w:val="20"/>
          <w:szCs w:val="20"/>
        </w:rPr>
        <w:t xml:space="preserve"> likely due to immature immunity, frequent outdoor activities, and poor hygiene habits. However, some authors have found a greater prevalence in older age groups, which may be linked to occupational exposure, dietary habits, or chronic health conditions that compromise immunity. </w:t>
      </w:r>
      <w:r w:rsidR="001F02EC" w:rsidRPr="00A02A4F">
        <w:rPr>
          <w:sz w:val="20"/>
          <w:szCs w:val="20"/>
        </w:rPr>
        <w:t>[16</w:t>
      </w:r>
      <w:r w:rsidR="0058344F" w:rsidRPr="00A02A4F">
        <w:rPr>
          <w:sz w:val="20"/>
          <w:szCs w:val="20"/>
        </w:rPr>
        <w:t xml:space="preserve">]. </w:t>
      </w:r>
    </w:p>
    <w:p w14:paraId="261B90A8" w14:textId="77777777" w:rsidR="002A5D37" w:rsidRPr="00A02A4F" w:rsidRDefault="00935794" w:rsidP="00A02A4F">
      <w:pPr>
        <w:pStyle w:val="NormalWeb"/>
        <w:jc w:val="both"/>
        <w:rPr>
          <w:sz w:val="20"/>
          <w:szCs w:val="20"/>
          <w:lang w:eastAsia="en-IN"/>
        </w:rPr>
      </w:pPr>
      <w:r w:rsidRPr="00A02A4F">
        <w:rPr>
          <w:sz w:val="20"/>
          <w:szCs w:val="20"/>
        </w:rPr>
        <w:t xml:space="preserve">In this study, a greater proportion of positive samples was observed in males (73%) compared to females (27%). Males are often reported to have a higher predisposition for intestinal parasitic infections, which may be related to greater outdoor exposure, occupational activities, and lower compliance with personal </w:t>
      </w:r>
      <w:r w:rsidRPr="00A02A4F">
        <w:rPr>
          <w:sz w:val="20"/>
          <w:szCs w:val="20"/>
        </w:rPr>
        <w:lastRenderedPageBreak/>
        <w:t xml:space="preserve">hygiene measures in certain settings </w:t>
      </w:r>
      <w:r w:rsidR="001F02EC" w:rsidRPr="00A02A4F">
        <w:rPr>
          <w:sz w:val="20"/>
          <w:szCs w:val="20"/>
        </w:rPr>
        <w:t>[17</w:t>
      </w:r>
      <w:r w:rsidR="0058344F" w:rsidRPr="00A02A4F">
        <w:rPr>
          <w:sz w:val="20"/>
          <w:szCs w:val="20"/>
        </w:rPr>
        <w:t xml:space="preserve">], </w:t>
      </w:r>
      <w:r w:rsidR="002A5D37" w:rsidRPr="00A02A4F">
        <w:rPr>
          <w:sz w:val="20"/>
          <w:szCs w:val="20"/>
          <w:lang w:eastAsia="en-IN"/>
        </w:rPr>
        <w:t>The variations seen in the reported prevalence of these infections are not consistently statistically significant [18].</w:t>
      </w:r>
    </w:p>
    <w:p w14:paraId="6C2F75E4" w14:textId="491DFF1A" w:rsidR="0058344F" w:rsidRPr="00A02A4F" w:rsidRDefault="002A5D37" w:rsidP="00A02A4F">
      <w:pPr>
        <w:pStyle w:val="NormalWeb"/>
        <w:jc w:val="both"/>
        <w:rPr>
          <w:sz w:val="20"/>
          <w:szCs w:val="20"/>
          <w:lang w:eastAsia="en-IN"/>
        </w:rPr>
      </w:pPr>
      <w:r w:rsidRPr="00A02A4F">
        <w:rPr>
          <w:sz w:val="20"/>
          <w:szCs w:val="20"/>
        </w:rPr>
        <w:t xml:space="preserve">This variation in the prevalence and intensity of parasitic infections has been linked to greater exposure among males due to occupational and outdoor activities, as well as biological factors. Hormonal and immune-related mechanisms, such as the immunomodulatory action of testosterone, may also enhance susceptibility to certain parasites in male </w:t>
      </w:r>
      <w:r w:rsidR="001F02EC" w:rsidRPr="00A02A4F">
        <w:rPr>
          <w:sz w:val="20"/>
          <w:szCs w:val="20"/>
        </w:rPr>
        <w:t>[19</w:t>
      </w:r>
      <w:r w:rsidR="0058344F" w:rsidRPr="00A02A4F">
        <w:rPr>
          <w:sz w:val="20"/>
          <w:szCs w:val="20"/>
        </w:rPr>
        <w:t>].</w:t>
      </w:r>
      <w:r w:rsidRPr="00A02A4F">
        <w:rPr>
          <w:sz w:val="20"/>
          <w:szCs w:val="20"/>
        </w:rPr>
        <w:t xml:space="preserve"> </w:t>
      </w:r>
      <w:r w:rsidRPr="00A02A4F">
        <w:rPr>
          <w:sz w:val="20"/>
          <w:szCs w:val="20"/>
          <w:lang w:eastAsia="en-IN"/>
        </w:rPr>
        <w:t>poor hygiene habits, and increased exposure through play and school environments. Conversely, some reports have documented higher prevalence rates among older individuals, possibly due to occupational exposure, dietary practices, or underlying health conditions that compromise immunity.</w:t>
      </w:r>
      <w:r w:rsidRPr="00A02A4F">
        <w:rPr>
          <w:sz w:val="20"/>
          <w:szCs w:val="20"/>
        </w:rPr>
        <w:t xml:space="preserve"> </w:t>
      </w:r>
      <w:r w:rsidRPr="00A02A4F">
        <w:rPr>
          <w:sz w:val="20"/>
          <w:szCs w:val="20"/>
          <w:lang w:eastAsia="en-IN"/>
        </w:rPr>
        <w:t>poor hygiene habits, and increased exposure through play and school environments. Conversely, some reports have documented higher prevalence rates among older individuals, possibly due to occupational exposure, dietary practices, or underlying health conditions that compromise immunity.</w:t>
      </w:r>
      <w:r w:rsidRPr="00A02A4F">
        <w:rPr>
          <w:sz w:val="20"/>
          <w:szCs w:val="20"/>
        </w:rPr>
        <w:t xml:space="preserve"> </w:t>
      </w:r>
      <w:r w:rsidR="001F02EC" w:rsidRPr="00A02A4F">
        <w:rPr>
          <w:sz w:val="20"/>
          <w:szCs w:val="20"/>
        </w:rPr>
        <w:t>[20</w:t>
      </w:r>
      <w:r w:rsidR="0058344F" w:rsidRPr="00A02A4F">
        <w:rPr>
          <w:sz w:val="20"/>
          <w:szCs w:val="20"/>
        </w:rPr>
        <w:t xml:space="preserve">]. </w:t>
      </w:r>
    </w:p>
    <w:p w14:paraId="73CAADE7" w14:textId="693BC241" w:rsidR="0058344F" w:rsidRPr="00A02A4F" w:rsidRDefault="002A5D37" w:rsidP="00A02A4F">
      <w:pPr>
        <w:pStyle w:val="NormalWeb"/>
        <w:spacing w:line="360" w:lineRule="auto"/>
        <w:jc w:val="both"/>
        <w:rPr>
          <w:sz w:val="20"/>
          <w:szCs w:val="20"/>
        </w:rPr>
      </w:pPr>
      <w:r w:rsidRPr="00A02A4F">
        <w:rPr>
          <w:sz w:val="20"/>
          <w:szCs w:val="20"/>
        </w:rPr>
        <w:t xml:space="preserve">Seasonal variation in intestinal parasite prevalence was also observed. For soil-transmitted helminth infections such as hookworm, as well as for </w:t>
      </w:r>
      <w:r w:rsidRPr="00A02A4F">
        <w:rPr>
          <w:rStyle w:val="Emphasis"/>
          <w:sz w:val="20"/>
          <w:szCs w:val="20"/>
        </w:rPr>
        <w:t>Giardia</w:t>
      </w:r>
      <w:r w:rsidRPr="00A02A4F">
        <w:rPr>
          <w:sz w:val="20"/>
          <w:szCs w:val="20"/>
        </w:rPr>
        <w:t xml:space="preserve"> species, the highest occurrence was recorded between June and August (41.4%), coinciding with periods of high humidity and rainfall in the study area. Although the data were collected from a hospital-based population, the pattern likely reflects trends in the surrounding community. Environmental factors such as temperature, humidity, and rainfall can influence parasite transmission and infection intensity, particularly for species with external larval stages that require soil development. High moisture levels create </w:t>
      </w:r>
      <w:proofErr w:type="spellStart"/>
      <w:r w:rsidRPr="00A02A4F">
        <w:rPr>
          <w:sz w:val="20"/>
          <w:szCs w:val="20"/>
        </w:rPr>
        <w:t>favorable</w:t>
      </w:r>
      <w:proofErr w:type="spellEnd"/>
      <w:r w:rsidRPr="00A02A4F">
        <w:rPr>
          <w:sz w:val="20"/>
          <w:szCs w:val="20"/>
        </w:rPr>
        <w:t xml:space="preserve"> conditions for the survival and maturation of infective stages in the environment, while increased surface water during the rainy season can enhance the spread of waterborne parasites like </w:t>
      </w:r>
      <w:r w:rsidRPr="00A02A4F">
        <w:rPr>
          <w:rStyle w:val="Emphasis"/>
          <w:sz w:val="20"/>
          <w:szCs w:val="20"/>
        </w:rPr>
        <w:t>Giardia</w:t>
      </w:r>
      <w:r w:rsidRPr="00A02A4F">
        <w:rPr>
          <w:sz w:val="20"/>
          <w:szCs w:val="20"/>
        </w:rPr>
        <w:t xml:space="preserve">. </w:t>
      </w:r>
      <w:r w:rsidR="001F02EC" w:rsidRPr="00A02A4F">
        <w:rPr>
          <w:sz w:val="20"/>
          <w:szCs w:val="20"/>
        </w:rPr>
        <w:t>[21</w:t>
      </w:r>
      <w:r w:rsidR="0058344F" w:rsidRPr="00A02A4F">
        <w:rPr>
          <w:sz w:val="20"/>
          <w:szCs w:val="20"/>
        </w:rPr>
        <w:t xml:space="preserve">]. </w:t>
      </w:r>
    </w:p>
    <w:p w14:paraId="417E5D58" w14:textId="77777777" w:rsidR="0058344F" w:rsidRPr="00A02A4F" w:rsidRDefault="0058344F" w:rsidP="00A02A4F">
      <w:pPr>
        <w:pStyle w:val="NormalWeb"/>
        <w:spacing w:line="360" w:lineRule="auto"/>
        <w:jc w:val="both"/>
        <w:rPr>
          <w:sz w:val="20"/>
          <w:szCs w:val="20"/>
        </w:rPr>
      </w:pPr>
      <w:r w:rsidRPr="00A02A4F">
        <w:rPr>
          <w:sz w:val="20"/>
          <w:szCs w:val="20"/>
        </w:rPr>
        <w:t xml:space="preserve">Among total 41 </w:t>
      </w:r>
      <w:proofErr w:type="gramStart"/>
      <w:r w:rsidRPr="00A02A4F">
        <w:rPr>
          <w:sz w:val="20"/>
          <w:szCs w:val="20"/>
        </w:rPr>
        <w:t>samples  positive</w:t>
      </w:r>
      <w:proofErr w:type="gramEnd"/>
      <w:r w:rsidRPr="00A02A4F">
        <w:rPr>
          <w:sz w:val="20"/>
          <w:szCs w:val="20"/>
        </w:rPr>
        <w:t xml:space="preserve"> by Formol ether concentration </w:t>
      </w:r>
      <w:proofErr w:type="gramStart"/>
      <w:r w:rsidRPr="00A02A4F">
        <w:rPr>
          <w:sz w:val="20"/>
          <w:szCs w:val="20"/>
        </w:rPr>
        <w:t>method ,only</w:t>
      </w:r>
      <w:proofErr w:type="gramEnd"/>
      <w:r w:rsidRPr="00A02A4F">
        <w:rPr>
          <w:sz w:val="20"/>
          <w:szCs w:val="20"/>
        </w:rPr>
        <w:t xml:space="preserve"> 25(60%) by direct stool microscopy. An additional 16(39.02%) samples were positive by Formol ether technique which were negative by direct wet mount. All samples positive by wet mount were positive by Formol ether technique </w:t>
      </w:r>
      <w:proofErr w:type="spellStart"/>
      <w:r w:rsidRPr="00A02A4F">
        <w:rPr>
          <w:sz w:val="20"/>
          <w:szCs w:val="20"/>
        </w:rPr>
        <w:t>aswell</w:t>
      </w:r>
      <w:proofErr w:type="spellEnd"/>
    </w:p>
    <w:p w14:paraId="27CFDE80" w14:textId="77777777" w:rsidR="0058344F" w:rsidRPr="00A02A4F" w:rsidRDefault="0058344F" w:rsidP="00A02A4F">
      <w:pPr>
        <w:pStyle w:val="NormalWeb"/>
        <w:spacing w:line="360" w:lineRule="auto"/>
        <w:jc w:val="both"/>
        <w:rPr>
          <w:sz w:val="20"/>
          <w:szCs w:val="20"/>
        </w:rPr>
      </w:pPr>
      <w:r w:rsidRPr="00A02A4F">
        <w:rPr>
          <w:sz w:val="20"/>
          <w:szCs w:val="20"/>
        </w:rPr>
        <w:t>The present study findings were in agreement with the fin</w:t>
      </w:r>
      <w:r w:rsidR="001F02EC" w:rsidRPr="00A02A4F">
        <w:rPr>
          <w:sz w:val="20"/>
          <w:szCs w:val="20"/>
        </w:rPr>
        <w:t>dings of Khyati Jain et al.,[22</w:t>
      </w:r>
      <w:r w:rsidRPr="00A02A4F">
        <w:rPr>
          <w:sz w:val="20"/>
          <w:szCs w:val="20"/>
        </w:rPr>
        <w:t xml:space="preserve">] and </w:t>
      </w:r>
      <w:proofErr w:type="spellStart"/>
      <w:r w:rsidRPr="00A02A4F">
        <w:rPr>
          <w:sz w:val="20"/>
          <w:szCs w:val="20"/>
        </w:rPr>
        <w:t>Parameshwarappa</w:t>
      </w:r>
      <w:proofErr w:type="spellEnd"/>
      <w:r w:rsidRPr="00A02A4F">
        <w:rPr>
          <w:sz w:val="20"/>
          <w:szCs w:val="20"/>
        </w:rPr>
        <w:t xml:space="preserve"> KD et al.,[101]. In their studies 23% parasites were found by direct wet mount while it increased to 36% after concentration of stool sample and 38% parasites were found by direct wet mount which increased to 64.8% after concentration of stool sample respectively </w:t>
      </w:r>
    </w:p>
    <w:p w14:paraId="6A436F52" w14:textId="38129B92" w:rsidR="003508A1" w:rsidRPr="00A02A4F" w:rsidRDefault="002A5D37" w:rsidP="00A02A4F">
      <w:pPr>
        <w:pStyle w:val="NormalWeb"/>
        <w:jc w:val="both"/>
        <w:rPr>
          <w:sz w:val="20"/>
          <w:szCs w:val="20"/>
        </w:rPr>
      </w:pPr>
      <w:r w:rsidRPr="00A02A4F">
        <w:rPr>
          <w:sz w:val="20"/>
          <w:szCs w:val="20"/>
        </w:rPr>
        <w:t xml:space="preserve">Similar observations have been reported in previous studies from Ethiopia involving pregnant women </w:t>
      </w:r>
      <w:r w:rsidR="001F02EC" w:rsidRPr="00A02A4F">
        <w:rPr>
          <w:sz w:val="20"/>
          <w:szCs w:val="20"/>
        </w:rPr>
        <w:t>[24</w:t>
      </w:r>
      <w:r w:rsidR="0058344F" w:rsidRPr="00A02A4F">
        <w:rPr>
          <w:sz w:val="20"/>
          <w:szCs w:val="20"/>
        </w:rPr>
        <w:t>].</w:t>
      </w:r>
      <w:r w:rsidR="003508A1" w:rsidRPr="00A02A4F">
        <w:rPr>
          <w:sz w:val="20"/>
          <w:szCs w:val="20"/>
        </w:rPr>
        <w:t xml:space="preserve"> These findings support the importance of using the Formalin-Ether Concentration (FEC) technique in routine stool examinations for improved detection of intestinal parasites and better management of related infections. In pregnant women, intestinal parasitic infections can contribute to </w:t>
      </w:r>
      <w:proofErr w:type="spellStart"/>
      <w:r w:rsidR="003508A1" w:rsidRPr="00A02A4F">
        <w:rPr>
          <w:sz w:val="20"/>
          <w:szCs w:val="20"/>
        </w:rPr>
        <w:t>anemia</w:t>
      </w:r>
      <w:proofErr w:type="spellEnd"/>
      <w:r w:rsidR="003508A1" w:rsidRPr="00A02A4F">
        <w:rPr>
          <w:sz w:val="20"/>
          <w:szCs w:val="20"/>
        </w:rPr>
        <w:t>, which in turn may result in low birth weight in infants. In our study, the direct wet mount method showed considerably lower positivity rates compared to the FEC technique, a result consistent with findings from other studies</w:t>
      </w:r>
      <w:r w:rsidR="001F02EC" w:rsidRPr="00A02A4F">
        <w:rPr>
          <w:sz w:val="20"/>
          <w:szCs w:val="20"/>
        </w:rPr>
        <w:t>.[</w:t>
      </w:r>
      <w:proofErr w:type="gramStart"/>
      <w:r w:rsidR="001F02EC" w:rsidRPr="00A02A4F">
        <w:rPr>
          <w:sz w:val="20"/>
          <w:szCs w:val="20"/>
        </w:rPr>
        <w:t>25</w:t>
      </w:r>
      <w:r w:rsidR="003508A1" w:rsidRPr="00A02A4F">
        <w:rPr>
          <w:sz w:val="20"/>
          <w:szCs w:val="20"/>
        </w:rPr>
        <w:t>]These</w:t>
      </w:r>
      <w:proofErr w:type="gramEnd"/>
      <w:r w:rsidR="003508A1" w:rsidRPr="00A02A4F">
        <w:rPr>
          <w:sz w:val="20"/>
          <w:szCs w:val="20"/>
        </w:rPr>
        <w:t xml:space="preserve"> findings highlight the importance of incorporating the Formalin-Ether Concentration (FEC) technique into routine stool examinations to enhance the detection of intestinal parasites and improve the management of related infections. In our study, the direct wet mount method demonstrated substantially lower positivity rates compared to the FEC technique, a pattern also reported in other studies [ref]. The superior performance of the FEC method may be attributed to its ability to concentrate ova, cysts, and larvae, thereby increasing the likelihood of detection even when parasite load is low. This indicates that </w:t>
      </w:r>
      <w:r w:rsidR="003508A1" w:rsidRPr="00A02A4F">
        <w:rPr>
          <w:sz w:val="20"/>
          <w:szCs w:val="20"/>
        </w:rPr>
        <w:lastRenderedPageBreak/>
        <w:t>relying solely on the direct wet mount method for identifying intestinal parasitic infections is inadequate and may result in false-negative findings.</w:t>
      </w:r>
    </w:p>
    <w:p w14:paraId="710BF159" w14:textId="4CDFA870" w:rsidR="00574651" w:rsidRPr="00A02A4F" w:rsidRDefault="00574651" w:rsidP="00A02A4F">
      <w:pPr>
        <w:pStyle w:val="NormalWeb"/>
        <w:spacing w:line="360" w:lineRule="auto"/>
        <w:jc w:val="both"/>
        <w:rPr>
          <w:sz w:val="20"/>
          <w:szCs w:val="20"/>
        </w:rPr>
      </w:pPr>
    </w:p>
    <w:p w14:paraId="7236D020" w14:textId="77777777" w:rsidR="00574651" w:rsidRPr="00A02A4F" w:rsidRDefault="00A64B10" w:rsidP="00A02A4F">
      <w:pPr>
        <w:pStyle w:val="Heading1"/>
        <w:jc w:val="both"/>
        <w:rPr>
          <w:rFonts w:ascii="Times New Roman" w:hAnsi="Times New Roman" w:cs="Times New Roman"/>
          <w:sz w:val="20"/>
          <w:szCs w:val="20"/>
        </w:rPr>
      </w:pPr>
      <w:r w:rsidRPr="00A02A4F">
        <w:rPr>
          <w:rFonts w:ascii="Times New Roman" w:hAnsi="Times New Roman" w:cs="Times New Roman"/>
          <w:sz w:val="20"/>
          <w:szCs w:val="20"/>
        </w:rPr>
        <w:t>5. Conclusion</w:t>
      </w:r>
    </w:p>
    <w:p w14:paraId="6E6730EB" w14:textId="77777777" w:rsidR="003508A1" w:rsidRPr="00A02A4F" w:rsidRDefault="00A64B10" w:rsidP="00A02A4F">
      <w:pPr>
        <w:pStyle w:val="NormalWeb"/>
        <w:jc w:val="both"/>
        <w:rPr>
          <w:sz w:val="20"/>
          <w:szCs w:val="20"/>
        </w:rPr>
      </w:pPr>
      <w:r w:rsidRPr="00A02A4F">
        <w:rPr>
          <w:sz w:val="20"/>
          <w:szCs w:val="20"/>
        </w:rPr>
        <w:br/>
      </w:r>
      <w:r w:rsidR="003508A1" w:rsidRPr="00A02A4F">
        <w:rPr>
          <w:sz w:val="20"/>
          <w:szCs w:val="20"/>
        </w:rPr>
        <w:t>Our findings demonstrate that direct wet mount microscopy, although rapid and simple, fails to detect a substantial proportion of intestinal parasite infections. The Formol–Ether Concentration method significantly improves diagnostic sensitivity and should be adopted alongside wet mount as part of routine laboratory practice, particularly in endemic areas.</w:t>
      </w:r>
    </w:p>
    <w:p w14:paraId="07CC9D3D" w14:textId="77777777" w:rsidR="003508A1" w:rsidRPr="00A02A4F" w:rsidRDefault="003508A1" w:rsidP="00A02A4F">
      <w:pPr>
        <w:pStyle w:val="NormalWeb"/>
        <w:jc w:val="both"/>
        <w:rPr>
          <w:sz w:val="20"/>
          <w:szCs w:val="20"/>
        </w:rPr>
      </w:pPr>
      <w:r w:rsidRPr="00A02A4F">
        <w:rPr>
          <w:sz w:val="20"/>
          <w:szCs w:val="20"/>
        </w:rPr>
        <w:t>In addition, performing stool examination on at least three separate samples per patient is recommended to increase detection rates, as intermittent shedding of parasite stages can lead to false negatives in single-sample testing. Public health programs should consider seasonal peaks and demographic trends when planning deworming initiatives and health education campaigns, especially targeting school-aged children and high-risk occupational groups.</w:t>
      </w:r>
    </w:p>
    <w:p w14:paraId="4FB8D5FF" w14:textId="77777777" w:rsidR="003508A1" w:rsidRPr="00A02A4F" w:rsidRDefault="003508A1" w:rsidP="00A02A4F">
      <w:pPr>
        <w:pStyle w:val="NormalWeb"/>
        <w:jc w:val="both"/>
        <w:rPr>
          <w:sz w:val="20"/>
          <w:szCs w:val="20"/>
        </w:rPr>
      </w:pPr>
      <w:r w:rsidRPr="00A02A4F">
        <w:rPr>
          <w:sz w:val="20"/>
          <w:szCs w:val="20"/>
        </w:rPr>
        <w:t>Implementing a combination of reliable diagnostic methods, improving sanitation, and enhancing community awareness can collectively reduce the burden of intestinal parasitic infections. Given the continued public health relevance of these infections in low-resource settings, strengthening laboratory diagnostic capacity is essential for early detection, timely treatment, and prevention of reinfection.</w:t>
      </w:r>
    </w:p>
    <w:p w14:paraId="3BDB51F0" w14:textId="02A17A63" w:rsidR="0058344F" w:rsidRPr="00A02A4F" w:rsidRDefault="0058344F" w:rsidP="00A02A4F">
      <w:pPr>
        <w:pStyle w:val="NormalWeb"/>
        <w:spacing w:line="360" w:lineRule="auto"/>
        <w:jc w:val="both"/>
        <w:rPr>
          <w:sz w:val="20"/>
          <w:szCs w:val="20"/>
        </w:rPr>
      </w:pPr>
    </w:p>
    <w:p w14:paraId="34593853" w14:textId="77777777" w:rsidR="004048E5" w:rsidRDefault="004048E5" w:rsidP="004048E5">
      <w:r>
        <w:t>Disclaimer (Artificial intelligence)</w:t>
      </w:r>
    </w:p>
    <w:p w14:paraId="5DD2958D" w14:textId="77777777" w:rsidR="004048E5" w:rsidRDefault="004048E5" w:rsidP="004048E5">
      <w:r>
        <w:t xml:space="preserve">Option 1: </w:t>
      </w:r>
    </w:p>
    <w:p w14:paraId="72C03469" w14:textId="77777777" w:rsidR="004048E5" w:rsidRDefault="004048E5" w:rsidP="004048E5">
      <w:r>
        <w:t xml:space="preserve">Author(s) hereby declare that NO generative AI technologies such as Large Language Models (ChatGPT, COPILOT, etc.) and text-to-image generators have been used during the writing or editing of this manuscript. </w:t>
      </w:r>
    </w:p>
    <w:p w14:paraId="52A79974" w14:textId="77777777" w:rsidR="004048E5" w:rsidRDefault="004048E5" w:rsidP="004048E5">
      <w:r>
        <w:t xml:space="preserve">Option 2: </w:t>
      </w:r>
    </w:p>
    <w:p w14:paraId="02B6D3FB" w14:textId="77777777" w:rsidR="004048E5" w:rsidRDefault="004048E5" w:rsidP="004048E5">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AEEF9AF" w14:textId="77777777" w:rsidR="004048E5" w:rsidRDefault="004048E5" w:rsidP="004048E5">
      <w:r>
        <w:t>Details of the AI usage are given below:</w:t>
      </w:r>
    </w:p>
    <w:p w14:paraId="7CED7C93" w14:textId="77777777" w:rsidR="004048E5" w:rsidRDefault="004048E5" w:rsidP="004048E5">
      <w:r>
        <w:t>1.</w:t>
      </w:r>
    </w:p>
    <w:p w14:paraId="3DD1079E" w14:textId="77777777" w:rsidR="004048E5" w:rsidRDefault="004048E5" w:rsidP="004048E5">
      <w:r>
        <w:t>2.</w:t>
      </w:r>
    </w:p>
    <w:p w14:paraId="171E07C0" w14:textId="77777777" w:rsidR="004048E5" w:rsidRPr="00D047BB" w:rsidRDefault="004048E5" w:rsidP="004048E5">
      <w:r>
        <w:t>3.</w:t>
      </w:r>
    </w:p>
    <w:p w14:paraId="761C11EF" w14:textId="77777777" w:rsidR="004048E5" w:rsidRPr="0063354D" w:rsidRDefault="004048E5" w:rsidP="004048E5"/>
    <w:p w14:paraId="2DE8FF14" w14:textId="77777777" w:rsidR="004048E5" w:rsidRPr="00F7241A" w:rsidRDefault="004048E5" w:rsidP="004048E5"/>
    <w:p w14:paraId="67E336D5" w14:textId="77777777" w:rsidR="00574651" w:rsidRPr="00A02A4F" w:rsidRDefault="00574651" w:rsidP="00A02A4F">
      <w:pPr>
        <w:jc w:val="both"/>
        <w:rPr>
          <w:rFonts w:ascii="Times New Roman" w:hAnsi="Times New Roman" w:cs="Times New Roman"/>
          <w:sz w:val="20"/>
          <w:szCs w:val="20"/>
        </w:rPr>
      </w:pPr>
    </w:p>
    <w:p w14:paraId="12BB70A2" w14:textId="77777777" w:rsidR="00B63ADF" w:rsidRPr="00A02A4F" w:rsidRDefault="00A64B10" w:rsidP="00A02A4F">
      <w:pPr>
        <w:pStyle w:val="Heading1"/>
        <w:ind w:left="720"/>
        <w:jc w:val="both"/>
        <w:rPr>
          <w:rFonts w:ascii="Times New Roman" w:hAnsi="Times New Roman" w:cs="Times New Roman"/>
          <w:sz w:val="20"/>
          <w:szCs w:val="20"/>
        </w:rPr>
      </w:pPr>
      <w:r w:rsidRPr="00A02A4F">
        <w:rPr>
          <w:rFonts w:ascii="Times New Roman" w:hAnsi="Times New Roman" w:cs="Times New Roman"/>
          <w:sz w:val="20"/>
          <w:szCs w:val="20"/>
        </w:rPr>
        <w:t>6. References</w:t>
      </w:r>
    </w:p>
    <w:p w14:paraId="3BDCB5DE" w14:textId="77777777" w:rsidR="00B63ADF" w:rsidRPr="00A02A4F" w:rsidRDefault="00B63ADF" w:rsidP="00A02A4F">
      <w:pPr>
        <w:pStyle w:val="ListParagraph"/>
        <w:numPr>
          <w:ilvl w:val="0"/>
          <w:numId w:val="15"/>
        </w:numPr>
        <w:jc w:val="both"/>
        <w:rPr>
          <w:rFonts w:ascii="Times New Roman" w:hAnsi="Times New Roman" w:cs="Times New Roman"/>
          <w:sz w:val="20"/>
          <w:szCs w:val="20"/>
        </w:rPr>
      </w:pPr>
      <w:r w:rsidRPr="00A02A4F">
        <w:rPr>
          <w:rFonts w:ascii="Times New Roman" w:hAnsi="Times New Roman" w:cs="Times New Roman"/>
          <w:sz w:val="20"/>
          <w:szCs w:val="20"/>
        </w:rPr>
        <w:t xml:space="preserve">V. M. </w:t>
      </w:r>
      <w:proofErr w:type="spellStart"/>
      <w:r w:rsidRPr="00A02A4F">
        <w:rPr>
          <w:rFonts w:ascii="Times New Roman" w:hAnsi="Times New Roman" w:cs="Times New Roman"/>
          <w:sz w:val="20"/>
          <w:szCs w:val="20"/>
        </w:rPr>
        <w:t>Oguoma</w:t>
      </w:r>
      <w:proofErr w:type="spellEnd"/>
      <w:r w:rsidRPr="00A02A4F">
        <w:rPr>
          <w:rFonts w:ascii="Times New Roman" w:hAnsi="Times New Roman" w:cs="Times New Roman"/>
          <w:sz w:val="20"/>
          <w:szCs w:val="20"/>
        </w:rPr>
        <w:t xml:space="preserve">, C. A. </w:t>
      </w:r>
      <w:proofErr w:type="spellStart"/>
      <w:r w:rsidRPr="00A02A4F">
        <w:rPr>
          <w:rFonts w:ascii="Times New Roman" w:hAnsi="Times New Roman" w:cs="Times New Roman"/>
          <w:sz w:val="20"/>
          <w:szCs w:val="20"/>
        </w:rPr>
        <w:t>Ekwunife</w:t>
      </w:r>
      <w:proofErr w:type="spellEnd"/>
      <w:r w:rsidRPr="00A02A4F">
        <w:rPr>
          <w:rFonts w:ascii="Times New Roman" w:hAnsi="Times New Roman" w:cs="Times New Roman"/>
          <w:sz w:val="20"/>
          <w:szCs w:val="20"/>
        </w:rPr>
        <w:t xml:space="preserve">: The Need </w:t>
      </w:r>
      <w:proofErr w:type="gramStart"/>
      <w:r w:rsidRPr="00A02A4F">
        <w:rPr>
          <w:rFonts w:ascii="Times New Roman" w:hAnsi="Times New Roman" w:cs="Times New Roman"/>
          <w:sz w:val="20"/>
          <w:szCs w:val="20"/>
        </w:rPr>
        <w:t>For</w:t>
      </w:r>
      <w:proofErr w:type="gramEnd"/>
      <w:r w:rsidRPr="00A02A4F">
        <w:rPr>
          <w:rFonts w:ascii="Times New Roman" w:hAnsi="Times New Roman" w:cs="Times New Roman"/>
          <w:sz w:val="20"/>
          <w:szCs w:val="20"/>
        </w:rPr>
        <w:t xml:space="preserve"> </w:t>
      </w:r>
      <w:proofErr w:type="gramStart"/>
      <w:r w:rsidRPr="00A02A4F">
        <w:rPr>
          <w:rFonts w:ascii="Times New Roman" w:hAnsi="Times New Roman" w:cs="Times New Roman"/>
          <w:sz w:val="20"/>
          <w:szCs w:val="20"/>
        </w:rPr>
        <w:t>A</w:t>
      </w:r>
      <w:proofErr w:type="gramEnd"/>
      <w:r w:rsidRPr="00A02A4F">
        <w:rPr>
          <w:rFonts w:ascii="Times New Roman" w:hAnsi="Times New Roman" w:cs="Times New Roman"/>
          <w:sz w:val="20"/>
          <w:szCs w:val="20"/>
        </w:rPr>
        <w:t xml:space="preserve"> Better Method: Comparison </w:t>
      </w:r>
      <w:proofErr w:type="gramStart"/>
      <w:r w:rsidRPr="00A02A4F">
        <w:rPr>
          <w:rFonts w:ascii="Times New Roman" w:hAnsi="Times New Roman" w:cs="Times New Roman"/>
          <w:sz w:val="20"/>
          <w:szCs w:val="20"/>
        </w:rPr>
        <w:t>Of</w:t>
      </w:r>
      <w:proofErr w:type="gramEnd"/>
      <w:r w:rsidRPr="00A02A4F">
        <w:rPr>
          <w:rFonts w:ascii="Times New Roman" w:hAnsi="Times New Roman" w:cs="Times New Roman"/>
          <w:sz w:val="20"/>
          <w:szCs w:val="20"/>
        </w:rPr>
        <w:t xml:space="preserve"> Direct Smear </w:t>
      </w:r>
      <w:proofErr w:type="gramStart"/>
      <w:r w:rsidRPr="00A02A4F">
        <w:rPr>
          <w:rFonts w:ascii="Times New Roman" w:hAnsi="Times New Roman" w:cs="Times New Roman"/>
          <w:sz w:val="20"/>
          <w:szCs w:val="20"/>
        </w:rPr>
        <w:t>And</w:t>
      </w:r>
      <w:proofErr w:type="gramEnd"/>
      <w:r w:rsidRPr="00A02A4F">
        <w:rPr>
          <w:rFonts w:ascii="Times New Roman" w:hAnsi="Times New Roman" w:cs="Times New Roman"/>
          <w:sz w:val="20"/>
          <w:szCs w:val="20"/>
        </w:rPr>
        <w:t xml:space="preserve"> </w:t>
      </w:r>
      <w:proofErr w:type="spellStart"/>
      <w:r w:rsidRPr="00A02A4F">
        <w:rPr>
          <w:rFonts w:ascii="Times New Roman" w:hAnsi="Times New Roman" w:cs="Times New Roman"/>
          <w:sz w:val="20"/>
          <w:szCs w:val="20"/>
        </w:rPr>
        <w:t>FormolEther</w:t>
      </w:r>
      <w:proofErr w:type="spellEnd"/>
      <w:r w:rsidRPr="00A02A4F">
        <w:rPr>
          <w:rFonts w:ascii="Times New Roman" w:hAnsi="Times New Roman" w:cs="Times New Roman"/>
          <w:sz w:val="20"/>
          <w:szCs w:val="20"/>
        </w:rPr>
        <w:t xml:space="preserve"> Concentration Techniques </w:t>
      </w:r>
      <w:proofErr w:type="gramStart"/>
      <w:r w:rsidRPr="00A02A4F">
        <w:rPr>
          <w:rFonts w:ascii="Times New Roman" w:hAnsi="Times New Roman" w:cs="Times New Roman"/>
          <w:sz w:val="20"/>
          <w:szCs w:val="20"/>
        </w:rPr>
        <w:t>In</w:t>
      </w:r>
      <w:proofErr w:type="gramEnd"/>
      <w:r w:rsidRPr="00A02A4F">
        <w:rPr>
          <w:rFonts w:ascii="Times New Roman" w:hAnsi="Times New Roman" w:cs="Times New Roman"/>
          <w:sz w:val="20"/>
          <w:szCs w:val="20"/>
        </w:rPr>
        <w:t xml:space="preserve"> Diagnosing Intestinal Parasites. The Internet Journal of Tropical Medicine. 2007. Volume 3 Number</w:t>
      </w:r>
    </w:p>
    <w:p w14:paraId="1D39D646" w14:textId="77777777" w:rsidR="00B63ADF" w:rsidRPr="00A02A4F" w:rsidRDefault="00B63ADF" w:rsidP="00A02A4F">
      <w:pPr>
        <w:pStyle w:val="ListParagraph"/>
        <w:numPr>
          <w:ilvl w:val="0"/>
          <w:numId w:val="15"/>
        </w:numPr>
        <w:jc w:val="both"/>
        <w:rPr>
          <w:rFonts w:ascii="Times New Roman" w:hAnsi="Times New Roman" w:cs="Times New Roman"/>
          <w:sz w:val="20"/>
          <w:szCs w:val="20"/>
        </w:rPr>
      </w:pPr>
      <w:r w:rsidRPr="00A02A4F">
        <w:rPr>
          <w:rFonts w:ascii="Times New Roman" w:hAnsi="Times New Roman" w:cs="Times New Roman"/>
          <w:sz w:val="20"/>
          <w:szCs w:val="20"/>
        </w:rPr>
        <w:t xml:space="preserve">http://www.ispub.com/ostia/index.php?xmlFilePat </w:t>
      </w:r>
      <w:proofErr w:type="spellStart"/>
      <w:r w:rsidRPr="00A02A4F">
        <w:rPr>
          <w:rFonts w:ascii="Times New Roman" w:hAnsi="Times New Roman" w:cs="Times New Roman"/>
          <w:sz w:val="20"/>
          <w:szCs w:val="20"/>
        </w:rPr>
        <w:t>Daumerie</w:t>
      </w:r>
      <w:proofErr w:type="spellEnd"/>
      <w:r w:rsidRPr="00A02A4F">
        <w:rPr>
          <w:rFonts w:ascii="Times New Roman" w:hAnsi="Times New Roman" w:cs="Times New Roman"/>
          <w:sz w:val="20"/>
          <w:szCs w:val="20"/>
        </w:rPr>
        <w:t xml:space="preserve"> D, </w:t>
      </w:r>
      <w:proofErr w:type="spellStart"/>
      <w:r w:rsidRPr="00A02A4F">
        <w:rPr>
          <w:rFonts w:ascii="Times New Roman" w:hAnsi="Times New Roman" w:cs="Times New Roman"/>
          <w:sz w:val="20"/>
          <w:szCs w:val="20"/>
        </w:rPr>
        <w:t>Savioli</w:t>
      </w:r>
      <w:proofErr w:type="spellEnd"/>
      <w:r w:rsidRPr="00A02A4F">
        <w:rPr>
          <w:rFonts w:ascii="Times New Roman" w:hAnsi="Times New Roman" w:cs="Times New Roman"/>
          <w:sz w:val="20"/>
          <w:szCs w:val="20"/>
        </w:rPr>
        <w:t xml:space="preserve"> L. Working to Overcome the Global Impact of Neglected Tropical Diseases: First WHO Report on Neglected Tropical Diseases. Vol. 1. World Health Organization; 2010.</w:t>
      </w:r>
    </w:p>
    <w:p w14:paraId="4EDDFFFD" w14:textId="77777777" w:rsidR="00B63ADF" w:rsidRPr="00A02A4F" w:rsidRDefault="00B63ADF" w:rsidP="00A02A4F">
      <w:pPr>
        <w:pStyle w:val="ListParagraph"/>
        <w:numPr>
          <w:ilvl w:val="0"/>
          <w:numId w:val="15"/>
        </w:numPr>
        <w:jc w:val="both"/>
        <w:rPr>
          <w:rFonts w:ascii="Times New Roman" w:hAnsi="Times New Roman" w:cs="Times New Roman"/>
          <w:sz w:val="20"/>
          <w:szCs w:val="20"/>
        </w:rPr>
      </w:pPr>
      <w:r w:rsidRPr="00A02A4F">
        <w:rPr>
          <w:rFonts w:ascii="Times New Roman" w:hAnsi="Times New Roman" w:cs="Times New Roman"/>
          <w:sz w:val="20"/>
          <w:szCs w:val="20"/>
        </w:rPr>
        <w:t xml:space="preserve"> Comparison of Formol-Ether, Direct Smear and Nigrosine Methylene Blue for the Diagnosis of Human Intestinal Parasites </w:t>
      </w:r>
      <w:proofErr w:type="spellStart"/>
      <w:r w:rsidRPr="00A02A4F">
        <w:rPr>
          <w:rFonts w:ascii="Times New Roman" w:hAnsi="Times New Roman" w:cs="Times New Roman"/>
          <w:sz w:val="20"/>
          <w:szCs w:val="20"/>
        </w:rPr>
        <w:t>Sheyin</w:t>
      </w:r>
      <w:proofErr w:type="spellEnd"/>
      <w:r w:rsidRPr="00A02A4F">
        <w:rPr>
          <w:rFonts w:ascii="Times New Roman" w:hAnsi="Times New Roman" w:cs="Times New Roman"/>
          <w:sz w:val="20"/>
          <w:szCs w:val="20"/>
        </w:rPr>
        <w:t xml:space="preserve"> z1*., </w:t>
      </w:r>
      <w:proofErr w:type="spellStart"/>
      <w:r w:rsidRPr="00A02A4F">
        <w:rPr>
          <w:rFonts w:ascii="Times New Roman" w:hAnsi="Times New Roman" w:cs="Times New Roman"/>
          <w:sz w:val="20"/>
          <w:szCs w:val="20"/>
        </w:rPr>
        <w:t>Bigwan</w:t>
      </w:r>
      <w:proofErr w:type="spellEnd"/>
      <w:r w:rsidRPr="00A02A4F">
        <w:rPr>
          <w:rFonts w:ascii="Times New Roman" w:hAnsi="Times New Roman" w:cs="Times New Roman"/>
          <w:sz w:val="20"/>
          <w:szCs w:val="20"/>
        </w:rPr>
        <w:t xml:space="preserve"> EI</w:t>
      </w:r>
      <w:proofErr w:type="gramStart"/>
      <w:r w:rsidRPr="00A02A4F">
        <w:rPr>
          <w:rFonts w:ascii="Times New Roman" w:hAnsi="Times New Roman" w:cs="Times New Roman"/>
          <w:sz w:val="20"/>
          <w:szCs w:val="20"/>
        </w:rPr>
        <w:t>1 .</w:t>
      </w:r>
      <w:proofErr w:type="gramEnd"/>
      <w:r w:rsidRPr="00A02A4F">
        <w:rPr>
          <w:rFonts w:ascii="Times New Roman" w:hAnsi="Times New Roman" w:cs="Times New Roman"/>
          <w:sz w:val="20"/>
          <w:szCs w:val="20"/>
        </w:rPr>
        <w:t>, Galadima M</w:t>
      </w:r>
      <w:proofErr w:type="gramStart"/>
      <w:r w:rsidRPr="00A02A4F">
        <w:rPr>
          <w:rFonts w:ascii="Times New Roman" w:hAnsi="Times New Roman" w:cs="Times New Roman"/>
          <w:sz w:val="20"/>
          <w:szCs w:val="20"/>
        </w:rPr>
        <w:t>2 .</w:t>
      </w:r>
      <w:proofErr w:type="gramEnd"/>
      <w:r w:rsidRPr="00A02A4F">
        <w:rPr>
          <w:rFonts w:ascii="Times New Roman" w:hAnsi="Times New Roman" w:cs="Times New Roman"/>
          <w:sz w:val="20"/>
          <w:szCs w:val="20"/>
        </w:rPr>
        <w:t xml:space="preserve"> 1Department of Medical Laboratory science, University of Jos, Nigeria. 2 Federal University of Technology, Minna, Nigeria. E- mail for </w:t>
      </w:r>
      <w:proofErr w:type="spellStart"/>
      <w:proofErr w:type="gramStart"/>
      <w:r w:rsidRPr="00A02A4F">
        <w:rPr>
          <w:rFonts w:ascii="Times New Roman" w:hAnsi="Times New Roman" w:cs="Times New Roman"/>
          <w:sz w:val="20"/>
          <w:szCs w:val="20"/>
        </w:rPr>
        <w:t>Correspondence:Benesh</w:t>
      </w:r>
      <w:proofErr w:type="spellEnd"/>
      <w:proofErr w:type="gramEnd"/>
      <w:r w:rsidRPr="00A02A4F">
        <w:rPr>
          <w:rFonts w:ascii="Times New Roman" w:hAnsi="Times New Roman" w:cs="Times New Roman"/>
          <w:sz w:val="20"/>
          <w:szCs w:val="20"/>
        </w:rPr>
        <w:t xml:space="preserve"> DP (2013)</w:t>
      </w:r>
    </w:p>
    <w:p w14:paraId="35B26E78" w14:textId="77777777" w:rsidR="00B63ADF" w:rsidRPr="00A02A4F" w:rsidRDefault="00B63ADF" w:rsidP="00A02A4F">
      <w:pPr>
        <w:pStyle w:val="ListParagraph"/>
        <w:numPr>
          <w:ilvl w:val="0"/>
          <w:numId w:val="15"/>
        </w:numPr>
        <w:jc w:val="both"/>
        <w:rPr>
          <w:rFonts w:ascii="Times New Roman" w:hAnsi="Times New Roman" w:cs="Times New Roman"/>
          <w:sz w:val="20"/>
          <w:szCs w:val="20"/>
        </w:rPr>
      </w:pPr>
      <w:r w:rsidRPr="00A02A4F">
        <w:rPr>
          <w:rFonts w:ascii="Times New Roman" w:hAnsi="Times New Roman" w:cs="Times New Roman"/>
          <w:sz w:val="20"/>
          <w:szCs w:val="20"/>
        </w:rPr>
        <w:t xml:space="preserve">Parental effects on the larval performance of a tapeworm in its copepod first host. Journal of Evolutionary Biology. 26 (8): 1625-1633.3. </w:t>
      </w:r>
    </w:p>
    <w:p w14:paraId="1944B81B" w14:textId="77777777" w:rsidR="00B63ADF" w:rsidRPr="00A02A4F" w:rsidRDefault="00B63ADF" w:rsidP="00A02A4F">
      <w:pPr>
        <w:pStyle w:val="ListParagraph"/>
        <w:numPr>
          <w:ilvl w:val="0"/>
          <w:numId w:val="15"/>
        </w:numPr>
        <w:jc w:val="both"/>
        <w:rPr>
          <w:rFonts w:ascii="Times New Roman" w:hAnsi="Times New Roman" w:cs="Times New Roman"/>
          <w:sz w:val="20"/>
          <w:szCs w:val="20"/>
        </w:rPr>
      </w:pPr>
      <w:r w:rsidRPr="00A02A4F">
        <w:rPr>
          <w:rFonts w:ascii="Times New Roman" w:hAnsi="Times New Roman" w:cs="Times New Roman"/>
          <w:sz w:val="20"/>
          <w:szCs w:val="20"/>
        </w:rPr>
        <w:t>Christine AN and Chistopher S (2000). Definition of a parasite. British Medical Bulletin. 56 (1): 193-2018</w:t>
      </w:r>
    </w:p>
    <w:p w14:paraId="7C57945C" w14:textId="77777777" w:rsidR="00B63ADF" w:rsidRPr="00A02A4F" w:rsidRDefault="00B63ADF" w:rsidP="00A02A4F">
      <w:pPr>
        <w:pStyle w:val="ListParagraph"/>
        <w:numPr>
          <w:ilvl w:val="0"/>
          <w:numId w:val="15"/>
        </w:numPr>
        <w:jc w:val="both"/>
        <w:rPr>
          <w:rFonts w:ascii="Times New Roman" w:hAnsi="Times New Roman" w:cs="Times New Roman"/>
          <w:sz w:val="20"/>
          <w:szCs w:val="20"/>
        </w:rPr>
      </w:pPr>
      <w:r w:rsidRPr="00A02A4F">
        <w:rPr>
          <w:rFonts w:ascii="Times New Roman" w:hAnsi="Times New Roman" w:cs="Times New Roman"/>
          <w:sz w:val="20"/>
          <w:szCs w:val="20"/>
        </w:rPr>
        <w:t xml:space="preserve"> Liza AN., Mengistu L., Mulugeta B., Konjit T., </w:t>
      </w:r>
      <w:proofErr w:type="spellStart"/>
      <w:r w:rsidRPr="00A02A4F">
        <w:rPr>
          <w:rFonts w:ascii="Times New Roman" w:hAnsi="Times New Roman" w:cs="Times New Roman"/>
          <w:sz w:val="20"/>
          <w:szCs w:val="20"/>
        </w:rPr>
        <w:t>Kebreten</w:t>
      </w:r>
      <w:proofErr w:type="spellEnd"/>
      <w:r w:rsidRPr="00A02A4F">
        <w:rPr>
          <w:rFonts w:ascii="Times New Roman" w:hAnsi="Times New Roman" w:cs="Times New Roman"/>
          <w:sz w:val="20"/>
          <w:szCs w:val="20"/>
        </w:rPr>
        <w:t xml:space="preserve"> M and Chanda M (2011). Intestinal parasitic infections Among Under-Five Children </w:t>
      </w:r>
      <w:proofErr w:type="gramStart"/>
      <w:r w:rsidRPr="00A02A4F">
        <w:rPr>
          <w:rFonts w:ascii="Times New Roman" w:hAnsi="Times New Roman" w:cs="Times New Roman"/>
          <w:sz w:val="20"/>
          <w:szCs w:val="20"/>
        </w:rPr>
        <w:t>And</w:t>
      </w:r>
      <w:proofErr w:type="gramEnd"/>
      <w:r w:rsidRPr="00A02A4F">
        <w:rPr>
          <w:rFonts w:ascii="Times New Roman" w:hAnsi="Times New Roman" w:cs="Times New Roman"/>
          <w:sz w:val="20"/>
          <w:szCs w:val="20"/>
        </w:rPr>
        <w:t xml:space="preserve"> Maternal Awareness about the Infection in Shesha </w:t>
      </w:r>
      <w:proofErr w:type="spellStart"/>
      <w:r w:rsidRPr="00A02A4F">
        <w:rPr>
          <w:rFonts w:ascii="Times New Roman" w:hAnsi="Times New Roman" w:cs="Times New Roman"/>
          <w:sz w:val="20"/>
          <w:szCs w:val="20"/>
        </w:rPr>
        <w:t>Kekele</w:t>
      </w:r>
      <w:proofErr w:type="spellEnd"/>
      <w:r w:rsidRPr="00A02A4F">
        <w:rPr>
          <w:rFonts w:ascii="Times New Roman" w:hAnsi="Times New Roman" w:cs="Times New Roman"/>
          <w:sz w:val="20"/>
          <w:szCs w:val="20"/>
        </w:rPr>
        <w:t xml:space="preserve"> </w:t>
      </w:r>
      <w:proofErr w:type="spellStart"/>
      <w:r w:rsidRPr="00A02A4F">
        <w:rPr>
          <w:rFonts w:ascii="Times New Roman" w:hAnsi="Times New Roman" w:cs="Times New Roman"/>
          <w:sz w:val="20"/>
          <w:szCs w:val="20"/>
        </w:rPr>
        <w:t>Wondo</w:t>
      </w:r>
      <w:proofErr w:type="spellEnd"/>
      <w:r w:rsidRPr="00A02A4F">
        <w:rPr>
          <w:rFonts w:ascii="Times New Roman" w:hAnsi="Times New Roman" w:cs="Times New Roman"/>
          <w:sz w:val="20"/>
          <w:szCs w:val="20"/>
        </w:rPr>
        <w:t xml:space="preserve"> Genet Southern Ethiopia. Ethiop. J. Health Dev. 24 (3): 186-190 </w:t>
      </w:r>
    </w:p>
    <w:p w14:paraId="46E3823C" w14:textId="77777777" w:rsidR="00B63ADF" w:rsidRPr="00A02A4F" w:rsidRDefault="00B63ADF" w:rsidP="00A02A4F">
      <w:pPr>
        <w:pStyle w:val="ListParagraph"/>
        <w:numPr>
          <w:ilvl w:val="0"/>
          <w:numId w:val="15"/>
        </w:numPr>
        <w:jc w:val="both"/>
        <w:rPr>
          <w:rFonts w:ascii="Times New Roman" w:hAnsi="Times New Roman" w:cs="Times New Roman"/>
          <w:sz w:val="20"/>
          <w:szCs w:val="20"/>
        </w:rPr>
      </w:pPr>
      <w:proofErr w:type="spellStart"/>
      <w:r w:rsidRPr="00A02A4F">
        <w:rPr>
          <w:rFonts w:ascii="Times New Roman" w:hAnsi="Times New Roman" w:cs="Times New Roman"/>
          <w:sz w:val="20"/>
          <w:szCs w:val="20"/>
        </w:rPr>
        <w:t>Parameshwarappa</w:t>
      </w:r>
      <w:proofErr w:type="spellEnd"/>
      <w:r w:rsidRPr="00A02A4F">
        <w:rPr>
          <w:rFonts w:ascii="Times New Roman" w:hAnsi="Times New Roman" w:cs="Times New Roman"/>
          <w:sz w:val="20"/>
          <w:szCs w:val="20"/>
        </w:rPr>
        <w:t xml:space="preserve"> KD., Chandrakanth C and Sunil B (2012). The Prevalence of Intestinal Parasitic Infestations and the Evaluation of Different Concentration Techniques of the Stool </w:t>
      </w:r>
      <w:proofErr w:type="spellStart"/>
      <w:r w:rsidRPr="00A02A4F">
        <w:rPr>
          <w:rFonts w:ascii="Times New Roman" w:hAnsi="Times New Roman" w:cs="Times New Roman"/>
          <w:sz w:val="20"/>
          <w:szCs w:val="20"/>
        </w:rPr>
        <w:t>Examination.J</w:t>
      </w:r>
      <w:proofErr w:type="spellEnd"/>
      <w:r w:rsidRPr="00A02A4F">
        <w:rPr>
          <w:rFonts w:ascii="Times New Roman" w:hAnsi="Times New Roman" w:cs="Times New Roman"/>
          <w:sz w:val="20"/>
          <w:szCs w:val="20"/>
        </w:rPr>
        <w:t xml:space="preserve">. Clin. Diag. Res. 6(7): 1188-1191 Raina A., </w:t>
      </w:r>
      <w:proofErr w:type="spellStart"/>
      <w:r w:rsidRPr="00A02A4F">
        <w:rPr>
          <w:rFonts w:ascii="Times New Roman" w:hAnsi="Times New Roman" w:cs="Times New Roman"/>
          <w:sz w:val="20"/>
          <w:szCs w:val="20"/>
        </w:rPr>
        <w:t>Yattoo</w:t>
      </w:r>
      <w:proofErr w:type="spellEnd"/>
      <w:r w:rsidRPr="00A02A4F">
        <w:rPr>
          <w:rFonts w:ascii="Times New Roman" w:hAnsi="Times New Roman" w:cs="Times New Roman"/>
          <w:sz w:val="20"/>
          <w:szCs w:val="20"/>
        </w:rPr>
        <w:t xml:space="preserve"> GN., Wani FA., Para RA., </w:t>
      </w:r>
      <w:proofErr w:type="spellStart"/>
      <w:r w:rsidRPr="00A02A4F">
        <w:rPr>
          <w:rFonts w:ascii="Times New Roman" w:hAnsi="Times New Roman" w:cs="Times New Roman"/>
          <w:sz w:val="20"/>
          <w:szCs w:val="20"/>
        </w:rPr>
        <w:t>Changal</w:t>
      </w:r>
      <w:proofErr w:type="spellEnd"/>
      <w:r w:rsidRPr="00A02A4F">
        <w:rPr>
          <w:rFonts w:ascii="Times New Roman" w:hAnsi="Times New Roman" w:cs="Times New Roman"/>
          <w:sz w:val="20"/>
          <w:szCs w:val="20"/>
        </w:rPr>
        <w:t xml:space="preserve"> KA and Parry AH (2013). Pancreatitis secondary to ascaris lumbricoides: A case series analysis. Int J Med Res Health Sci. 2(3):673-677</w:t>
      </w:r>
    </w:p>
    <w:p w14:paraId="21081888" w14:textId="77777777" w:rsidR="00B63ADF" w:rsidRPr="00A02A4F" w:rsidRDefault="00B63ADF" w:rsidP="00A02A4F">
      <w:pPr>
        <w:pStyle w:val="ListParagraph"/>
        <w:numPr>
          <w:ilvl w:val="0"/>
          <w:numId w:val="15"/>
        </w:numPr>
        <w:jc w:val="both"/>
        <w:rPr>
          <w:rFonts w:ascii="Times New Roman" w:hAnsi="Times New Roman" w:cs="Times New Roman"/>
          <w:sz w:val="20"/>
          <w:szCs w:val="20"/>
        </w:rPr>
      </w:pPr>
      <w:r w:rsidRPr="00A02A4F">
        <w:rPr>
          <w:rFonts w:ascii="Times New Roman" w:hAnsi="Times New Roman" w:cs="Times New Roman"/>
          <w:sz w:val="20"/>
          <w:szCs w:val="20"/>
        </w:rPr>
        <w:t xml:space="preserve"> Moges F., </w:t>
      </w:r>
      <w:proofErr w:type="spellStart"/>
      <w:r w:rsidRPr="00A02A4F">
        <w:rPr>
          <w:rFonts w:ascii="Times New Roman" w:hAnsi="Times New Roman" w:cs="Times New Roman"/>
          <w:sz w:val="20"/>
          <w:szCs w:val="20"/>
        </w:rPr>
        <w:t>Belyhun</w:t>
      </w:r>
      <w:proofErr w:type="spellEnd"/>
      <w:r w:rsidRPr="00A02A4F">
        <w:rPr>
          <w:rFonts w:ascii="Times New Roman" w:hAnsi="Times New Roman" w:cs="Times New Roman"/>
          <w:sz w:val="20"/>
          <w:szCs w:val="20"/>
        </w:rPr>
        <w:t xml:space="preserve"> Y., Tiruneh M., Kebede Y., Mulu A and Kassu AV (2010). Comparison of the formol-acetone concentration method, the direct iodine preparation and formol-ether concentration methods for the examination of stool parasites. Ethiop J Health Dev. 24(2):148-51.</w:t>
      </w:r>
    </w:p>
    <w:p w14:paraId="4EA1DFFD" w14:textId="63EFE3AD" w:rsidR="00B63ADF" w:rsidRPr="00A02A4F" w:rsidRDefault="00B63ADF" w:rsidP="00A02A4F">
      <w:pPr>
        <w:pStyle w:val="ListParagraph"/>
        <w:numPr>
          <w:ilvl w:val="0"/>
          <w:numId w:val="15"/>
        </w:numPr>
        <w:jc w:val="both"/>
        <w:rPr>
          <w:rFonts w:ascii="Times New Roman" w:hAnsi="Times New Roman" w:cs="Times New Roman"/>
          <w:sz w:val="20"/>
          <w:szCs w:val="20"/>
        </w:rPr>
      </w:pPr>
      <w:r w:rsidRPr="00A02A4F">
        <w:rPr>
          <w:rFonts w:ascii="Times New Roman" w:hAnsi="Times New Roman" w:cs="Times New Roman"/>
          <w:sz w:val="20"/>
          <w:szCs w:val="20"/>
        </w:rPr>
        <w:t xml:space="preserve">Demeke G, Mengistu G, Abebaw A, Toru M, </w:t>
      </w:r>
      <w:proofErr w:type="spellStart"/>
      <w:r w:rsidRPr="00A02A4F">
        <w:rPr>
          <w:rFonts w:ascii="Times New Roman" w:hAnsi="Times New Roman" w:cs="Times New Roman"/>
          <w:sz w:val="20"/>
          <w:szCs w:val="20"/>
        </w:rPr>
        <w:t>Yigzaw</w:t>
      </w:r>
      <w:proofErr w:type="spellEnd"/>
      <w:r w:rsidRPr="00A02A4F">
        <w:rPr>
          <w:rFonts w:ascii="Times New Roman" w:hAnsi="Times New Roman" w:cs="Times New Roman"/>
          <w:sz w:val="20"/>
          <w:szCs w:val="20"/>
        </w:rPr>
        <w:t xml:space="preserve"> M, Shiferaw A, </w:t>
      </w:r>
      <w:proofErr w:type="spellStart"/>
      <w:r w:rsidRPr="00A02A4F">
        <w:rPr>
          <w:rFonts w:ascii="Times New Roman" w:hAnsi="Times New Roman" w:cs="Times New Roman"/>
          <w:sz w:val="20"/>
          <w:szCs w:val="20"/>
        </w:rPr>
        <w:t>Mengist</w:t>
      </w:r>
      <w:proofErr w:type="spellEnd"/>
      <w:r w:rsidRPr="00A02A4F">
        <w:rPr>
          <w:rFonts w:ascii="Times New Roman" w:hAnsi="Times New Roman" w:cs="Times New Roman"/>
          <w:sz w:val="20"/>
          <w:szCs w:val="20"/>
        </w:rPr>
        <w:t xml:space="preserve"> HM, </w:t>
      </w:r>
      <w:proofErr w:type="spellStart"/>
      <w:r w:rsidRPr="00A02A4F">
        <w:rPr>
          <w:rFonts w:ascii="Times New Roman" w:hAnsi="Times New Roman" w:cs="Times New Roman"/>
          <w:sz w:val="20"/>
          <w:szCs w:val="20"/>
        </w:rPr>
        <w:t>Dilnessa</w:t>
      </w:r>
      <w:proofErr w:type="spellEnd"/>
      <w:r w:rsidRPr="00A02A4F">
        <w:rPr>
          <w:rFonts w:ascii="Times New Roman" w:hAnsi="Times New Roman" w:cs="Times New Roman"/>
          <w:sz w:val="20"/>
          <w:szCs w:val="20"/>
        </w:rPr>
        <w:t xml:space="preserve"> T. 2018Wet Mount and Concentration Techniques of Stool Examination for Intestinal Parasites Identification specialized Hospital, Ethiopia</w:t>
      </w:r>
    </w:p>
    <w:p w14:paraId="04FE5FEF" w14:textId="560249B8" w:rsidR="007C0EEF" w:rsidRPr="00A02A4F" w:rsidRDefault="007C0EEF" w:rsidP="00A02A4F">
      <w:pPr>
        <w:pStyle w:val="ListParagraph"/>
        <w:numPr>
          <w:ilvl w:val="0"/>
          <w:numId w:val="15"/>
        </w:numPr>
        <w:jc w:val="both"/>
        <w:rPr>
          <w:rFonts w:ascii="Times New Roman" w:hAnsi="Times New Roman" w:cs="Times New Roman"/>
          <w:sz w:val="20"/>
          <w:szCs w:val="20"/>
        </w:rPr>
      </w:pPr>
      <w:r w:rsidRPr="00A02A4F">
        <w:rPr>
          <w:rFonts w:ascii="Times New Roman" w:hAnsi="Times New Roman" w:cs="Times New Roman"/>
          <w:sz w:val="20"/>
          <w:szCs w:val="20"/>
        </w:rPr>
        <w:t>Williams J. District Laboratory Practice in Tropical Countries. Part 1. Monica Cheesbrough. Doddington. Cambridgeshire: tropical Health Technology, 1998: viii+ 56 456pp. Price£ 10.90 (surface post) or£ 19.00 (airmail). ISBN 9507434-4-5 [Also available from Cambridge University Press (£ 35.00; ISBN 0-521-66547-7).]: Royal Society of Tropical Medicine and Hygiene; 2000.</w:t>
      </w:r>
    </w:p>
    <w:p w14:paraId="331ACACC" w14:textId="77777777" w:rsidR="00B63ADF" w:rsidRPr="00A02A4F" w:rsidRDefault="00B63ADF" w:rsidP="00A02A4F">
      <w:pPr>
        <w:pStyle w:val="ListParagraph"/>
        <w:numPr>
          <w:ilvl w:val="0"/>
          <w:numId w:val="15"/>
        </w:numPr>
        <w:jc w:val="both"/>
        <w:rPr>
          <w:rFonts w:ascii="Times New Roman" w:hAnsi="Times New Roman" w:cs="Times New Roman"/>
          <w:sz w:val="20"/>
          <w:szCs w:val="20"/>
        </w:rPr>
      </w:pPr>
      <w:r w:rsidRPr="00A02A4F">
        <w:rPr>
          <w:rFonts w:ascii="Times New Roman" w:hAnsi="Times New Roman" w:cs="Times New Roman"/>
          <w:sz w:val="20"/>
          <w:szCs w:val="20"/>
        </w:rPr>
        <w:t xml:space="preserve">Jayalakshmi S &amp; </w:t>
      </w:r>
      <w:proofErr w:type="spellStart"/>
      <w:r w:rsidRPr="00A02A4F">
        <w:rPr>
          <w:rFonts w:ascii="Times New Roman" w:hAnsi="Times New Roman" w:cs="Times New Roman"/>
          <w:sz w:val="20"/>
          <w:szCs w:val="20"/>
        </w:rPr>
        <w:t>Dharanidevi</w:t>
      </w:r>
      <w:proofErr w:type="spellEnd"/>
      <w:r w:rsidRPr="00A02A4F">
        <w:rPr>
          <w:rFonts w:ascii="Times New Roman" w:hAnsi="Times New Roman" w:cs="Times New Roman"/>
          <w:sz w:val="20"/>
          <w:szCs w:val="20"/>
        </w:rPr>
        <w:t xml:space="preserve"> </w:t>
      </w:r>
      <w:proofErr w:type="spellStart"/>
      <w:proofErr w:type="gramStart"/>
      <w:r w:rsidRPr="00A02A4F">
        <w:rPr>
          <w:rFonts w:ascii="Times New Roman" w:hAnsi="Times New Roman" w:cs="Times New Roman"/>
          <w:sz w:val="20"/>
          <w:szCs w:val="20"/>
        </w:rPr>
        <w:t>S.The</w:t>
      </w:r>
      <w:proofErr w:type="spellEnd"/>
      <w:proofErr w:type="gramEnd"/>
      <w:r w:rsidRPr="00A02A4F">
        <w:rPr>
          <w:rFonts w:ascii="Times New Roman" w:hAnsi="Times New Roman" w:cs="Times New Roman"/>
          <w:sz w:val="20"/>
          <w:szCs w:val="20"/>
        </w:rPr>
        <w:t xml:space="preserve"> Prevalence of Intestinal Parasitic Infections in a Tertiary Care Hospital in Southern India - A Retrospective Study. International Journal of Current Microbiology and Applied Science,2016 5(10): 718-723. 89.</w:t>
      </w:r>
    </w:p>
    <w:p w14:paraId="25E2BE71" w14:textId="77777777" w:rsidR="00B63ADF" w:rsidRPr="00A02A4F" w:rsidRDefault="00B63ADF" w:rsidP="00A02A4F">
      <w:pPr>
        <w:pStyle w:val="ListParagraph"/>
        <w:numPr>
          <w:ilvl w:val="0"/>
          <w:numId w:val="15"/>
        </w:numPr>
        <w:jc w:val="both"/>
        <w:rPr>
          <w:rFonts w:ascii="Times New Roman" w:hAnsi="Times New Roman" w:cs="Times New Roman"/>
          <w:sz w:val="20"/>
          <w:szCs w:val="20"/>
        </w:rPr>
      </w:pPr>
      <w:r w:rsidRPr="00A02A4F">
        <w:rPr>
          <w:rFonts w:ascii="Times New Roman" w:hAnsi="Times New Roman" w:cs="Times New Roman"/>
          <w:sz w:val="20"/>
          <w:szCs w:val="20"/>
        </w:rPr>
        <w:t xml:space="preserve">Nazer H, Greer W, Donnelly K, Mohamed AE, Yaish H, Kagalwalla A, </w:t>
      </w:r>
      <w:proofErr w:type="spellStart"/>
      <w:r w:rsidRPr="00A02A4F">
        <w:rPr>
          <w:rFonts w:ascii="Times New Roman" w:hAnsi="Times New Roman" w:cs="Times New Roman"/>
          <w:sz w:val="20"/>
          <w:szCs w:val="20"/>
        </w:rPr>
        <w:t>Pavillard</w:t>
      </w:r>
      <w:proofErr w:type="spellEnd"/>
      <w:r w:rsidRPr="00A02A4F">
        <w:rPr>
          <w:rFonts w:ascii="Times New Roman" w:hAnsi="Times New Roman" w:cs="Times New Roman"/>
          <w:sz w:val="20"/>
          <w:szCs w:val="20"/>
        </w:rPr>
        <w:t xml:space="preserve"> R. The need for three stool specimens in routine laboratory examinations for intestinal parasites. Br J Clin </w:t>
      </w:r>
      <w:proofErr w:type="spellStart"/>
      <w:r w:rsidRPr="00A02A4F">
        <w:rPr>
          <w:rFonts w:ascii="Times New Roman" w:hAnsi="Times New Roman" w:cs="Times New Roman"/>
          <w:sz w:val="20"/>
          <w:szCs w:val="20"/>
        </w:rPr>
        <w:t>Pract</w:t>
      </w:r>
      <w:proofErr w:type="spellEnd"/>
      <w:r w:rsidRPr="00A02A4F">
        <w:rPr>
          <w:rFonts w:ascii="Times New Roman" w:hAnsi="Times New Roman" w:cs="Times New Roman"/>
          <w:sz w:val="20"/>
          <w:szCs w:val="20"/>
        </w:rPr>
        <w:t xml:space="preserve">. 1993 Mar-Apr;47(2):76-8. PMID: 8334067 </w:t>
      </w:r>
    </w:p>
    <w:p w14:paraId="06B0AFB9" w14:textId="77777777" w:rsidR="00B63ADF" w:rsidRPr="00A02A4F" w:rsidRDefault="00B63ADF" w:rsidP="00A02A4F">
      <w:pPr>
        <w:pStyle w:val="ListParagraph"/>
        <w:numPr>
          <w:ilvl w:val="0"/>
          <w:numId w:val="15"/>
        </w:numPr>
        <w:jc w:val="both"/>
        <w:rPr>
          <w:rFonts w:ascii="Times New Roman" w:hAnsi="Times New Roman" w:cs="Times New Roman"/>
          <w:sz w:val="20"/>
          <w:szCs w:val="20"/>
        </w:rPr>
      </w:pPr>
      <w:r w:rsidRPr="00A02A4F">
        <w:rPr>
          <w:rFonts w:ascii="Times New Roman" w:hAnsi="Times New Roman" w:cs="Times New Roman"/>
          <w:sz w:val="20"/>
          <w:szCs w:val="20"/>
        </w:rPr>
        <w:t xml:space="preserve"> </w:t>
      </w:r>
      <w:proofErr w:type="spellStart"/>
      <w:r w:rsidRPr="00A02A4F">
        <w:rPr>
          <w:rFonts w:ascii="Times New Roman" w:hAnsi="Times New Roman" w:cs="Times New Roman"/>
          <w:sz w:val="20"/>
          <w:szCs w:val="20"/>
        </w:rPr>
        <w:t>Manochitra</w:t>
      </w:r>
      <w:proofErr w:type="spellEnd"/>
      <w:r w:rsidRPr="00A02A4F">
        <w:rPr>
          <w:rFonts w:ascii="Times New Roman" w:hAnsi="Times New Roman" w:cs="Times New Roman"/>
          <w:sz w:val="20"/>
          <w:szCs w:val="20"/>
        </w:rPr>
        <w:t xml:space="preserve"> K, Padukone S, </w:t>
      </w:r>
      <w:proofErr w:type="spellStart"/>
      <w:r w:rsidRPr="00A02A4F">
        <w:rPr>
          <w:rFonts w:ascii="Times New Roman" w:hAnsi="Times New Roman" w:cs="Times New Roman"/>
          <w:sz w:val="20"/>
          <w:szCs w:val="20"/>
        </w:rPr>
        <w:t>Selvaratthinam</w:t>
      </w:r>
      <w:proofErr w:type="spellEnd"/>
      <w:r w:rsidRPr="00A02A4F">
        <w:rPr>
          <w:rFonts w:ascii="Times New Roman" w:hAnsi="Times New Roman" w:cs="Times New Roman"/>
          <w:sz w:val="20"/>
          <w:szCs w:val="20"/>
        </w:rPr>
        <w:t xml:space="preserve"> AP, Philips A, Parija SC. Prevalence of intestinal parasites among patients attending a tertiary care </w:t>
      </w:r>
      <w:proofErr w:type="spellStart"/>
      <w:r w:rsidRPr="00A02A4F">
        <w:rPr>
          <w:rFonts w:ascii="Times New Roman" w:hAnsi="Times New Roman" w:cs="Times New Roman"/>
          <w:sz w:val="20"/>
          <w:szCs w:val="20"/>
        </w:rPr>
        <w:t>centre</w:t>
      </w:r>
      <w:proofErr w:type="spellEnd"/>
      <w:r w:rsidRPr="00A02A4F">
        <w:rPr>
          <w:rFonts w:ascii="Times New Roman" w:hAnsi="Times New Roman" w:cs="Times New Roman"/>
          <w:sz w:val="20"/>
          <w:szCs w:val="20"/>
        </w:rPr>
        <w:t xml:space="preserve"> in South India. Int J Curr </w:t>
      </w:r>
      <w:proofErr w:type="spellStart"/>
      <w:r w:rsidRPr="00A02A4F">
        <w:rPr>
          <w:rFonts w:ascii="Times New Roman" w:hAnsi="Times New Roman" w:cs="Times New Roman"/>
          <w:sz w:val="20"/>
          <w:szCs w:val="20"/>
        </w:rPr>
        <w:t>Microbiol</w:t>
      </w:r>
      <w:proofErr w:type="spellEnd"/>
      <w:r w:rsidRPr="00A02A4F">
        <w:rPr>
          <w:rFonts w:ascii="Times New Roman" w:hAnsi="Times New Roman" w:cs="Times New Roman"/>
          <w:sz w:val="20"/>
          <w:szCs w:val="20"/>
        </w:rPr>
        <w:t xml:space="preserve"> Appl Sci </w:t>
      </w:r>
      <w:proofErr w:type="gramStart"/>
      <w:r w:rsidRPr="00A02A4F">
        <w:rPr>
          <w:rFonts w:ascii="Times New Roman" w:hAnsi="Times New Roman" w:cs="Times New Roman"/>
          <w:sz w:val="20"/>
          <w:szCs w:val="20"/>
        </w:rPr>
        <w:t>2016;5:190</w:t>
      </w:r>
      <w:proofErr w:type="gramEnd"/>
      <w:r w:rsidRPr="00A02A4F">
        <w:rPr>
          <w:rFonts w:ascii="Times New Roman" w:hAnsi="Times New Roman" w:cs="Times New Roman"/>
          <w:sz w:val="20"/>
          <w:szCs w:val="20"/>
        </w:rPr>
        <w:t xml:space="preserve">-7. </w:t>
      </w:r>
    </w:p>
    <w:p w14:paraId="4352084D" w14:textId="77777777" w:rsidR="00B63ADF" w:rsidRPr="00A02A4F" w:rsidRDefault="00B63ADF" w:rsidP="00A02A4F">
      <w:pPr>
        <w:pStyle w:val="ListParagraph"/>
        <w:numPr>
          <w:ilvl w:val="0"/>
          <w:numId w:val="15"/>
        </w:numPr>
        <w:jc w:val="both"/>
        <w:rPr>
          <w:rFonts w:ascii="Times New Roman" w:hAnsi="Times New Roman" w:cs="Times New Roman"/>
          <w:sz w:val="20"/>
          <w:szCs w:val="20"/>
        </w:rPr>
      </w:pPr>
      <w:r w:rsidRPr="00A02A4F">
        <w:rPr>
          <w:rFonts w:ascii="Times New Roman" w:hAnsi="Times New Roman" w:cs="Times New Roman"/>
          <w:sz w:val="20"/>
          <w:szCs w:val="20"/>
        </w:rPr>
        <w:lastRenderedPageBreak/>
        <w:t xml:space="preserve"> </w:t>
      </w:r>
      <w:proofErr w:type="spellStart"/>
      <w:r w:rsidRPr="00A02A4F">
        <w:rPr>
          <w:rFonts w:ascii="Times New Roman" w:hAnsi="Times New Roman" w:cs="Times New Roman"/>
          <w:sz w:val="20"/>
          <w:szCs w:val="20"/>
        </w:rPr>
        <w:t>Wongstitwilairoong</w:t>
      </w:r>
      <w:proofErr w:type="spellEnd"/>
      <w:r w:rsidRPr="00A02A4F">
        <w:rPr>
          <w:rFonts w:ascii="Times New Roman" w:hAnsi="Times New Roman" w:cs="Times New Roman"/>
          <w:sz w:val="20"/>
          <w:szCs w:val="20"/>
        </w:rPr>
        <w:t xml:space="preserve"> B, Srijan A, </w:t>
      </w:r>
      <w:proofErr w:type="spellStart"/>
      <w:r w:rsidRPr="00A02A4F">
        <w:rPr>
          <w:rFonts w:ascii="Times New Roman" w:hAnsi="Times New Roman" w:cs="Times New Roman"/>
          <w:sz w:val="20"/>
          <w:szCs w:val="20"/>
        </w:rPr>
        <w:t>Serichantalergs</w:t>
      </w:r>
      <w:proofErr w:type="spellEnd"/>
      <w:r w:rsidRPr="00A02A4F">
        <w:rPr>
          <w:rFonts w:ascii="Times New Roman" w:hAnsi="Times New Roman" w:cs="Times New Roman"/>
          <w:sz w:val="20"/>
          <w:szCs w:val="20"/>
        </w:rPr>
        <w:t xml:space="preserve"> O, Fukuda CD, McDaniel P, </w:t>
      </w:r>
      <w:proofErr w:type="spellStart"/>
      <w:r w:rsidRPr="00A02A4F">
        <w:rPr>
          <w:rFonts w:ascii="Times New Roman" w:hAnsi="Times New Roman" w:cs="Times New Roman"/>
          <w:sz w:val="20"/>
          <w:szCs w:val="20"/>
        </w:rPr>
        <w:t>Bodhidatta</w:t>
      </w:r>
      <w:proofErr w:type="spellEnd"/>
      <w:r w:rsidRPr="00A02A4F">
        <w:rPr>
          <w:rFonts w:ascii="Times New Roman" w:hAnsi="Times New Roman" w:cs="Times New Roman"/>
          <w:sz w:val="20"/>
          <w:szCs w:val="20"/>
        </w:rPr>
        <w:t xml:space="preserve"> L, et al. Intestinal parasitic infections among preschool children in </w:t>
      </w:r>
      <w:proofErr w:type="spellStart"/>
      <w:r w:rsidRPr="00A02A4F">
        <w:rPr>
          <w:rFonts w:ascii="Times New Roman" w:hAnsi="Times New Roman" w:cs="Times New Roman"/>
          <w:sz w:val="20"/>
          <w:szCs w:val="20"/>
        </w:rPr>
        <w:t>Sangkhlaburi</w:t>
      </w:r>
      <w:proofErr w:type="spellEnd"/>
      <w:r w:rsidRPr="00A02A4F">
        <w:rPr>
          <w:rFonts w:ascii="Times New Roman" w:hAnsi="Times New Roman" w:cs="Times New Roman"/>
          <w:sz w:val="20"/>
          <w:szCs w:val="20"/>
        </w:rPr>
        <w:t xml:space="preserve">, Thailand. Am J Trop Med </w:t>
      </w:r>
      <w:proofErr w:type="spellStart"/>
      <w:r w:rsidRPr="00A02A4F">
        <w:rPr>
          <w:rFonts w:ascii="Times New Roman" w:hAnsi="Times New Roman" w:cs="Times New Roman"/>
          <w:sz w:val="20"/>
          <w:szCs w:val="20"/>
        </w:rPr>
        <w:t>Hyg</w:t>
      </w:r>
      <w:proofErr w:type="spellEnd"/>
      <w:r w:rsidRPr="00A02A4F">
        <w:rPr>
          <w:rFonts w:ascii="Times New Roman" w:hAnsi="Times New Roman" w:cs="Times New Roman"/>
          <w:sz w:val="20"/>
          <w:szCs w:val="20"/>
        </w:rPr>
        <w:t xml:space="preserve"> </w:t>
      </w:r>
      <w:proofErr w:type="gramStart"/>
      <w:r w:rsidRPr="00A02A4F">
        <w:rPr>
          <w:rFonts w:ascii="Times New Roman" w:hAnsi="Times New Roman" w:cs="Times New Roman"/>
          <w:sz w:val="20"/>
          <w:szCs w:val="20"/>
        </w:rPr>
        <w:t>2007;76:345</w:t>
      </w:r>
      <w:proofErr w:type="gramEnd"/>
      <w:r w:rsidRPr="00A02A4F">
        <w:rPr>
          <w:rFonts w:ascii="Times New Roman" w:hAnsi="Times New Roman" w:cs="Times New Roman"/>
          <w:sz w:val="20"/>
          <w:szCs w:val="20"/>
        </w:rPr>
        <w:t xml:space="preserve">-50. </w:t>
      </w:r>
    </w:p>
    <w:p w14:paraId="3D153F60" w14:textId="77777777" w:rsidR="00B63ADF" w:rsidRPr="00A02A4F" w:rsidRDefault="00B63ADF" w:rsidP="00A02A4F">
      <w:pPr>
        <w:pStyle w:val="ListParagraph"/>
        <w:numPr>
          <w:ilvl w:val="0"/>
          <w:numId w:val="15"/>
        </w:numPr>
        <w:jc w:val="both"/>
        <w:rPr>
          <w:rFonts w:ascii="Times New Roman" w:hAnsi="Times New Roman" w:cs="Times New Roman"/>
          <w:sz w:val="20"/>
          <w:szCs w:val="20"/>
        </w:rPr>
      </w:pPr>
      <w:r w:rsidRPr="00A02A4F">
        <w:rPr>
          <w:rFonts w:ascii="Times New Roman" w:hAnsi="Times New Roman" w:cs="Times New Roman"/>
          <w:sz w:val="20"/>
          <w:szCs w:val="20"/>
        </w:rPr>
        <w:t xml:space="preserve"> </w:t>
      </w:r>
      <w:proofErr w:type="spellStart"/>
      <w:r w:rsidRPr="00A02A4F">
        <w:rPr>
          <w:rFonts w:ascii="Times New Roman" w:hAnsi="Times New Roman" w:cs="Times New Roman"/>
          <w:sz w:val="20"/>
          <w:szCs w:val="20"/>
        </w:rPr>
        <w:t>Manochitra</w:t>
      </w:r>
      <w:proofErr w:type="spellEnd"/>
      <w:r w:rsidRPr="00A02A4F">
        <w:rPr>
          <w:rFonts w:ascii="Times New Roman" w:hAnsi="Times New Roman" w:cs="Times New Roman"/>
          <w:sz w:val="20"/>
          <w:szCs w:val="20"/>
        </w:rPr>
        <w:t xml:space="preserve"> K, Padukone S, </w:t>
      </w:r>
      <w:proofErr w:type="spellStart"/>
      <w:r w:rsidRPr="00A02A4F">
        <w:rPr>
          <w:rFonts w:ascii="Times New Roman" w:hAnsi="Times New Roman" w:cs="Times New Roman"/>
          <w:sz w:val="20"/>
          <w:szCs w:val="20"/>
        </w:rPr>
        <w:t>Selvaratthinam</w:t>
      </w:r>
      <w:proofErr w:type="spellEnd"/>
      <w:r w:rsidRPr="00A02A4F">
        <w:rPr>
          <w:rFonts w:ascii="Times New Roman" w:hAnsi="Times New Roman" w:cs="Times New Roman"/>
          <w:sz w:val="20"/>
          <w:szCs w:val="20"/>
        </w:rPr>
        <w:t xml:space="preserve"> AP, Philips A, Parija SC. Prevalence of intestinal parasites among patients attending a tertiary care </w:t>
      </w:r>
      <w:proofErr w:type="spellStart"/>
      <w:r w:rsidRPr="00A02A4F">
        <w:rPr>
          <w:rFonts w:ascii="Times New Roman" w:hAnsi="Times New Roman" w:cs="Times New Roman"/>
          <w:sz w:val="20"/>
          <w:szCs w:val="20"/>
        </w:rPr>
        <w:t>centre</w:t>
      </w:r>
      <w:proofErr w:type="spellEnd"/>
      <w:r w:rsidRPr="00A02A4F">
        <w:rPr>
          <w:rFonts w:ascii="Times New Roman" w:hAnsi="Times New Roman" w:cs="Times New Roman"/>
          <w:sz w:val="20"/>
          <w:szCs w:val="20"/>
        </w:rPr>
        <w:t xml:space="preserve"> in South India. Int J Curr </w:t>
      </w:r>
      <w:proofErr w:type="spellStart"/>
      <w:r w:rsidRPr="00A02A4F">
        <w:rPr>
          <w:rFonts w:ascii="Times New Roman" w:hAnsi="Times New Roman" w:cs="Times New Roman"/>
          <w:sz w:val="20"/>
          <w:szCs w:val="20"/>
        </w:rPr>
        <w:t>Microbiol</w:t>
      </w:r>
      <w:proofErr w:type="spellEnd"/>
      <w:r w:rsidRPr="00A02A4F">
        <w:rPr>
          <w:rFonts w:ascii="Times New Roman" w:hAnsi="Times New Roman" w:cs="Times New Roman"/>
          <w:sz w:val="20"/>
          <w:szCs w:val="20"/>
        </w:rPr>
        <w:t xml:space="preserve"> Appl  </w:t>
      </w:r>
    </w:p>
    <w:p w14:paraId="732D11B3" w14:textId="77777777" w:rsidR="00B63ADF" w:rsidRPr="00A02A4F" w:rsidRDefault="00B63ADF" w:rsidP="00A02A4F">
      <w:pPr>
        <w:pStyle w:val="ListParagraph"/>
        <w:numPr>
          <w:ilvl w:val="0"/>
          <w:numId w:val="15"/>
        </w:numPr>
        <w:jc w:val="both"/>
        <w:rPr>
          <w:rFonts w:ascii="Times New Roman" w:hAnsi="Times New Roman" w:cs="Times New Roman"/>
          <w:sz w:val="20"/>
          <w:szCs w:val="20"/>
        </w:rPr>
      </w:pPr>
      <w:r w:rsidRPr="00A02A4F">
        <w:rPr>
          <w:rFonts w:ascii="Times New Roman" w:hAnsi="Times New Roman" w:cs="Times New Roman"/>
          <w:sz w:val="20"/>
          <w:szCs w:val="20"/>
        </w:rPr>
        <w:t xml:space="preserve"> </w:t>
      </w:r>
      <w:proofErr w:type="spellStart"/>
      <w:r w:rsidRPr="00A02A4F">
        <w:rPr>
          <w:rFonts w:ascii="Times New Roman" w:hAnsi="Times New Roman" w:cs="Times New Roman"/>
          <w:sz w:val="20"/>
          <w:szCs w:val="20"/>
        </w:rPr>
        <w:t>Bogitsh</w:t>
      </w:r>
      <w:proofErr w:type="spellEnd"/>
      <w:r w:rsidRPr="00A02A4F">
        <w:rPr>
          <w:rFonts w:ascii="Times New Roman" w:hAnsi="Times New Roman" w:cs="Times New Roman"/>
          <w:sz w:val="20"/>
          <w:szCs w:val="20"/>
        </w:rPr>
        <w:t xml:space="preserve"> BJ, Carter CE, </w:t>
      </w:r>
      <w:proofErr w:type="spellStart"/>
      <w:r w:rsidRPr="00A02A4F">
        <w:rPr>
          <w:rFonts w:ascii="Times New Roman" w:hAnsi="Times New Roman" w:cs="Times New Roman"/>
          <w:sz w:val="20"/>
          <w:szCs w:val="20"/>
        </w:rPr>
        <w:t>Oeltmann</w:t>
      </w:r>
      <w:proofErr w:type="spellEnd"/>
      <w:r w:rsidRPr="00A02A4F">
        <w:rPr>
          <w:rFonts w:ascii="Times New Roman" w:hAnsi="Times New Roman" w:cs="Times New Roman"/>
          <w:sz w:val="20"/>
          <w:szCs w:val="20"/>
        </w:rPr>
        <w:t xml:space="preserve"> TN. Human Parasitology. 5th ed. London, UK: Elsevier; 2013.</w:t>
      </w:r>
    </w:p>
    <w:p w14:paraId="230CF957" w14:textId="77777777" w:rsidR="00B63ADF" w:rsidRPr="00A02A4F" w:rsidRDefault="00B63ADF" w:rsidP="00A02A4F">
      <w:pPr>
        <w:pStyle w:val="ListParagraph"/>
        <w:numPr>
          <w:ilvl w:val="0"/>
          <w:numId w:val="15"/>
        </w:numPr>
        <w:jc w:val="both"/>
        <w:rPr>
          <w:rFonts w:ascii="Times New Roman" w:hAnsi="Times New Roman" w:cs="Times New Roman"/>
          <w:sz w:val="20"/>
          <w:szCs w:val="20"/>
        </w:rPr>
      </w:pPr>
      <w:r w:rsidRPr="00A02A4F">
        <w:rPr>
          <w:rFonts w:ascii="Times New Roman" w:hAnsi="Times New Roman" w:cs="Times New Roman"/>
          <w:sz w:val="20"/>
          <w:szCs w:val="20"/>
        </w:rPr>
        <w:t xml:space="preserve"> Intestinal </w:t>
      </w:r>
      <w:proofErr w:type="gramStart"/>
      <w:r w:rsidRPr="00A02A4F">
        <w:rPr>
          <w:rFonts w:ascii="Times New Roman" w:hAnsi="Times New Roman" w:cs="Times New Roman"/>
          <w:sz w:val="20"/>
          <w:szCs w:val="20"/>
        </w:rPr>
        <w:t>Tapeworms;  Parija</w:t>
      </w:r>
      <w:proofErr w:type="gramEnd"/>
      <w:r w:rsidRPr="00A02A4F">
        <w:rPr>
          <w:rFonts w:ascii="Times New Roman" w:hAnsi="Times New Roman" w:cs="Times New Roman"/>
          <w:sz w:val="20"/>
          <w:szCs w:val="20"/>
        </w:rPr>
        <w:t xml:space="preserve"> SC, Rao RS. Prevalence of parasitic infections in Pondicherry. Indian J </w:t>
      </w:r>
      <w:proofErr w:type="spellStart"/>
      <w:r w:rsidRPr="00A02A4F">
        <w:rPr>
          <w:rFonts w:ascii="Times New Roman" w:hAnsi="Times New Roman" w:cs="Times New Roman"/>
          <w:sz w:val="20"/>
          <w:szCs w:val="20"/>
        </w:rPr>
        <w:t>Parasitol</w:t>
      </w:r>
      <w:proofErr w:type="spellEnd"/>
      <w:r w:rsidRPr="00A02A4F">
        <w:rPr>
          <w:rFonts w:ascii="Times New Roman" w:hAnsi="Times New Roman" w:cs="Times New Roman"/>
          <w:sz w:val="20"/>
          <w:szCs w:val="20"/>
        </w:rPr>
        <w:t xml:space="preserve"> 1987. </w:t>
      </w:r>
    </w:p>
    <w:p w14:paraId="43C63514" w14:textId="77777777" w:rsidR="00B63ADF" w:rsidRPr="00A02A4F" w:rsidRDefault="00B63ADF" w:rsidP="00A02A4F">
      <w:pPr>
        <w:pStyle w:val="ListParagraph"/>
        <w:numPr>
          <w:ilvl w:val="0"/>
          <w:numId w:val="15"/>
        </w:numPr>
        <w:jc w:val="both"/>
        <w:rPr>
          <w:rFonts w:ascii="Times New Roman" w:hAnsi="Times New Roman" w:cs="Times New Roman"/>
          <w:sz w:val="20"/>
          <w:szCs w:val="20"/>
        </w:rPr>
      </w:pPr>
      <w:r w:rsidRPr="00A02A4F">
        <w:rPr>
          <w:rFonts w:ascii="Times New Roman" w:hAnsi="Times New Roman" w:cs="Times New Roman"/>
          <w:sz w:val="20"/>
          <w:szCs w:val="20"/>
        </w:rPr>
        <w:t xml:space="preserve"> Bethony J, Brooker S, </w:t>
      </w:r>
      <w:proofErr w:type="spellStart"/>
      <w:r w:rsidRPr="00A02A4F">
        <w:rPr>
          <w:rFonts w:ascii="Times New Roman" w:hAnsi="Times New Roman" w:cs="Times New Roman"/>
          <w:sz w:val="20"/>
          <w:szCs w:val="20"/>
        </w:rPr>
        <w:t>Albonico</w:t>
      </w:r>
      <w:proofErr w:type="spellEnd"/>
      <w:r w:rsidRPr="00A02A4F">
        <w:rPr>
          <w:rFonts w:ascii="Times New Roman" w:hAnsi="Times New Roman" w:cs="Times New Roman"/>
          <w:sz w:val="20"/>
          <w:szCs w:val="20"/>
        </w:rPr>
        <w:t xml:space="preserve"> M, Geiger SM, Loukas A, </w:t>
      </w:r>
      <w:proofErr w:type="spellStart"/>
      <w:proofErr w:type="gramStart"/>
      <w:r w:rsidRPr="00A02A4F">
        <w:rPr>
          <w:rFonts w:ascii="Times New Roman" w:hAnsi="Times New Roman" w:cs="Times New Roman"/>
          <w:sz w:val="20"/>
          <w:szCs w:val="20"/>
        </w:rPr>
        <w:t>DiemertD,etal</w:t>
      </w:r>
      <w:proofErr w:type="gramEnd"/>
      <w:r w:rsidRPr="00A02A4F">
        <w:rPr>
          <w:rFonts w:ascii="Times New Roman" w:hAnsi="Times New Roman" w:cs="Times New Roman"/>
          <w:sz w:val="20"/>
          <w:szCs w:val="20"/>
        </w:rPr>
        <w:t>.Soil</w:t>
      </w:r>
      <w:proofErr w:type="spellEnd"/>
      <w:r w:rsidRPr="00A02A4F">
        <w:rPr>
          <w:rFonts w:ascii="Times New Roman" w:hAnsi="Times New Roman" w:cs="Times New Roman"/>
          <w:sz w:val="20"/>
          <w:szCs w:val="20"/>
        </w:rPr>
        <w:t xml:space="preserve"> transmitted </w:t>
      </w:r>
      <w:proofErr w:type="spellStart"/>
      <w:proofErr w:type="gramStart"/>
      <w:r w:rsidRPr="00A02A4F">
        <w:rPr>
          <w:rFonts w:ascii="Times New Roman" w:hAnsi="Times New Roman" w:cs="Times New Roman"/>
          <w:sz w:val="20"/>
          <w:szCs w:val="20"/>
        </w:rPr>
        <w:t>helminthinfections:Ascariasis</w:t>
      </w:r>
      <w:proofErr w:type="spellEnd"/>
      <w:proofErr w:type="gramEnd"/>
      <w:r w:rsidRPr="00A02A4F">
        <w:rPr>
          <w:rFonts w:ascii="Times New Roman" w:hAnsi="Times New Roman" w:cs="Times New Roman"/>
          <w:sz w:val="20"/>
          <w:szCs w:val="20"/>
        </w:rPr>
        <w:t xml:space="preserve">, </w:t>
      </w:r>
      <w:proofErr w:type="spellStart"/>
      <w:r w:rsidRPr="00A02A4F">
        <w:rPr>
          <w:rFonts w:ascii="Times New Roman" w:hAnsi="Times New Roman" w:cs="Times New Roman"/>
          <w:sz w:val="20"/>
          <w:szCs w:val="20"/>
        </w:rPr>
        <w:t>trichuriasis</w:t>
      </w:r>
      <w:proofErr w:type="spellEnd"/>
      <w:r w:rsidRPr="00A02A4F">
        <w:rPr>
          <w:rFonts w:ascii="Times New Roman" w:hAnsi="Times New Roman" w:cs="Times New Roman"/>
          <w:sz w:val="20"/>
          <w:szCs w:val="20"/>
        </w:rPr>
        <w:t xml:space="preserve">, and hookworm. Lancet 2006 </w:t>
      </w:r>
    </w:p>
    <w:p w14:paraId="25EF1C21" w14:textId="77777777" w:rsidR="00B63ADF" w:rsidRPr="00A02A4F" w:rsidRDefault="00B63ADF" w:rsidP="00A02A4F">
      <w:pPr>
        <w:pStyle w:val="ListParagraph"/>
        <w:numPr>
          <w:ilvl w:val="0"/>
          <w:numId w:val="15"/>
        </w:numPr>
        <w:jc w:val="both"/>
        <w:rPr>
          <w:rFonts w:ascii="Times New Roman" w:hAnsi="Times New Roman" w:cs="Times New Roman"/>
          <w:sz w:val="20"/>
          <w:szCs w:val="20"/>
        </w:rPr>
      </w:pPr>
      <w:r w:rsidRPr="00A02A4F">
        <w:rPr>
          <w:rFonts w:ascii="Times New Roman" w:hAnsi="Times New Roman" w:cs="Times New Roman"/>
          <w:sz w:val="20"/>
          <w:szCs w:val="20"/>
        </w:rPr>
        <w:t xml:space="preserve"> Abu-Madi MA, Behnke JM, Doiphode SH. Changing trends in intestinal parasitic infections among long-term-residents and settled immigrants in Qatar. </w:t>
      </w:r>
      <w:proofErr w:type="spellStart"/>
      <w:r w:rsidRPr="00A02A4F">
        <w:rPr>
          <w:rFonts w:ascii="Times New Roman" w:hAnsi="Times New Roman" w:cs="Times New Roman"/>
          <w:sz w:val="20"/>
          <w:szCs w:val="20"/>
        </w:rPr>
        <w:t>Parasit</w:t>
      </w:r>
      <w:proofErr w:type="spellEnd"/>
      <w:r w:rsidRPr="00A02A4F">
        <w:rPr>
          <w:rFonts w:ascii="Times New Roman" w:hAnsi="Times New Roman" w:cs="Times New Roman"/>
          <w:sz w:val="20"/>
          <w:szCs w:val="20"/>
        </w:rPr>
        <w:t xml:space="preserve"> Vectors 2010</w:t>
      </w:r>
    </w:p>
    <w:p w14:paraId="6116EBFD" w14:textId="77777777" w:rsidR="00B63ADF" w:rsidRPr="00A02A4F" w:rsidRDefault="00B63ADF" w:rsidP="00A02A4F">
      <w:pPr>
        <w:pStyle w:val="ListParagraph"/>
        <w:numPr>
          <w:ilvl w:val="0"/>
          <w:numId w:val="15"/>
        </w:numPr>
        <w:jc w:val="both"/>
        <w:rPr>
          <w:rFonts w:ascii="Times New Roman" w:hAnsi="Times New Roman" w:cs="Times New Roman"/>
          <w:sz w:val="20"/>
          <w:szCs w:val="20"/>
        </w:rPr>
      </w:pPr>
      <w:r w:rsidRPr="00A02A4F">
        <w:rPr>
          <w:rFonts w:ascii="Times New Roman" w:hAnsi="Times New Roman" w:cs="Times New Roman"/>
          <w:sz w:val="20"/>
          <w:szCs w:val="20"/>
        </w:rPr>
        <w:t xml:space="preserve">Lifson AR, Thai D, </w:t>
      </w:r>
      <w:proofErr w:type="gramStart"/>
      <w:r w:rsidRPr="00A02A4F">
        <w:rPr>
          <w:rFonts w:ascii="Times New Roman" w:hAnsi="Times New Roman" w:cs="Times New Roman"/>
          <w:sz w:val="20"/>
          <w:szCs w:val="20"/>
        </w:rPr>
        <w:t>O‘</w:t>
      </w:r>
      <w:proofErr w:type="gramEnd"/>
      <w:r w:rsidRPr="00A02A4F">
        <w:rPr>
          <w:rFonts w:ascii="Times New Roman" w:hAnsi="Times New Roman" w:cs="Times New Roman"/>
          <w:sz w:val="20"/>
          <w:szCs w:val="20"/>
        </w:rPr>
        <w:t>Fallon A, Mills WA, Hang K. Prevalence of tuberculosis, hepatitis B virus, and intestinal parasitic infections among refugees to Minnesota. Public Health Rep 2000</w:t>
      </w:r>
    </w:p>
    <w:p w14:paraId="4768261F" w14:textId="77777777" w:rsidR="00B63ADF" w:rsidRPr="00A02A4F" w:rsidRDefault="00B63ADF" w:rsidP="00A02A4F">
      <w:pPr>
        <w:pStyle w:val="ListParagraph"/>
        <w:numPr>
          <w:ilvl w:val="0"/>
          <w:numId w:val="15"/>
        </w:numPr>
        <w:jc w:val="both"/>
        <w:rPr>
          <w:rFonts w:ascii="Times New Roman" w:hAnsi="Times New Roman" w:cs="Times New Roman"/>
          <w:sz w:val="20"/>
          <w:szCs w:val="20"/>
        </w:rPr>
      </w:pPr>
      <w:r w:rsidRPr="00A02A4F">
        <w:rPr>
          <w:rFonts w:ascii="Times New Roman" w:hAnsi="Times New Roman" w:cs="Times New Roman"/>
          <w:sz w:val="20"/>
          <w:szCs w:val="20"/>
        </w:rPr>
        <w:t xml:space="preserve"> Smith H, </w:t>
      </w:r>
      <w:proofErr w:type="spellStart"/>
      <w:r w:rsidRPr="00A02A4F">
        <w:rPr>
          <w:rFonts w:ascii="Times New Roman" w:hAnsi="Times New Roman" w:cs="Times New Roman"/>
          <w:sz w:val="20"/>
          <w:szCs w:val="20"/>
        </w:rPr>
        <w:t>Dekaminsky</w:t>
      </w:r>
      <w:proofErr w:type="spellEnd"/>
      <w:r w:rsidRPr="00A02A4F">
        <w:rPr>
          <w:rFonts w:ascii="Times New Roman" w:hAnsi="Times New Roman" w:cs="Times New Roman"/>
          <w:sz w:val="20"/>
          <w:szCs w:val="20"/>
        </w:rPr>
        <w:t xml:space="preserve"> R, Niwas S, Soto R, Jolly P. Prevalence and intensity of infections of Ascaris lumbricoides and Trichuris </w:t>
      </w:r>
      <w:proofErr w:type="spellStart"/>
      <w:r w:rsidRPr="00A02A4F">
        <w:rPr>
          <w:rFonts w:ascii="Times New Roman" w:hAnsi="Times New Roman" w:cs="Times New Roman"/>
          <w:sz w:val="20"/>
          <w:szCs w:val="20"/>
        </w:rPr>
        <w:t>trichiura</w:t>
      </w:r>
      <w:proofErr w:type="spellEnd"/>
      <w:r w:rsidRPr="00A02A4F">
        <w:rPr>
          <w:rFonts w:ascii="Times New Roman" w:hAnsi="Times New Roman" w:cs="Times New Roman"/>
          <w:sz w:val="20"/>
          <w:szCs w:val="20"/>
        </w:rPr>
        <w:t xml:space="preserve"> and associated socio 57 demographic variables in four rural Honduran communities. Mem Inst Oswaldo Cruz 2001</w:t>
      </w:r>
    </w:p>
    <w:p w14:paraId="018B4B9B" w14:textId="77777777" w:rsidR="00B63ADF" w:rsidRPr="00A02A4F" w:rsidRDefault="00B63ADF" w:rsidP="00A02A4F">
      <w:pPr>
        <w:pStyle w:val="ListParagraph"/>
        <w:numPr>
          <w:ilvl w:val="0"/>
          <w:numId w:val="15"/>
        </w:numPr>
        <w:jc w:val="both"/>
        <w:rPr>
          <w:rFonts w:ascii="Times New Roman" w:hAnsi="Times New Roman" w:cs="Times New Roman"/>
          <w:sz w:val="20"/>
          <w:szCs w:val="20"/>
        </w:rPr>
      </w:pPr>
      <w:r w:rsidRPr="00A02A4F">
        <w:rPr>
          <w:rFonts w:ascii="Times New Roman" w:hAnsi="Times New Roman" w:cs="Times New Roman"/>
          <w:sz w:val="20"/>
          <w:szCs w:val="20"/>
        </w:rPr>
        <w:t xml:space="preserve"> Klein SL. Hormonal and immunological mechanisms mediating sex differences in parasite infection. Parasite Immunol 2004</w:t>
      </w:r>
    </w:p>
    <w:p w14:paraId="57E032B4" w14:textId="77777777" w:rsidR="00B63ADF" w:rsidRPr="00A02A4F" w:rsidRDefault="00B63ADF" w:rsidP="00A02A4F">
      <w:pPr>
        <w:pStyle w:val="ListParagraph"/>
        <w:numPr>
          <w:ilvl w:val="0"/>
          <w:numId w:val="15"/>
        </w:numPr>
        <w:jc w:val="both"/>
        <w:rPr>
          <w:rFonts w:ascii="Times New Roman" w:hAnsi="Times New Roman" w:cs="Times New Roman"/>
          <w:sz w:val="20"/>
          <w:szCs w:val="20"/>
        </w:rPr>
      </w:pPr>
      <w:r w:rsidRPr="00A02A4F">
        <w:rPr>
          <w:rFonts w:ascii="Times New Roman" w:hAnsi="Times New Roman" w:cs="Times New Roman"/>
          <w:sz w:val="20"/>
          <w:szCs w:val="20"/>
        </w:rPr>
        <w:t xml:space="preserve"> </w:t>
      </w:r>
      <w:proofErr w:type="spellStart"/>
      <w:r w:rsidRPr="00A02A4F">
        <w:rPr>
          <w:rFonts w:ascii="Times New Roman" w:hAnsi="Times New Roman" w:cs="Times New Roman"/>
          <w:sz w:val="20"/>
          <w:szCs w:val="20"/>
        </w:rPr>
        <w:t>Schuurs</w:t>
      </w:r>
      <w:proofErr w:type="spellEnd"/>
      <w:r w:rsidRPr="00A02A4F">
        <w:rPr>
          <w:rFonts w:ascii="Times New Roman" w:hAnsi="Times New Roman" w:cs="Times New Roman"/>
          <w:sz w:val="20"/>
          <w:szCs w:val="20"/>
        </w:rPr>
        <w:t xml:space="preserve"> AH, Verheul HA. Effects of gender and sex steroids on the immune response. J Steroid </w:t>
      </w:r>
      <w:proofErr w:type="spellStart"/>
      <w:r w:rsidRPr="00A02A4F">
        <w:rPr>
          <w:rFonts w:ascii="Times New Roman" w:hAnsi="Times New Roman" w:cs="Times New Roman"/>
          <w:sz w:val="20"/>
          <w:szCs w:val="20"/>
        </w:rPr>
        <w:t>Biochem</w:t>
      </w:r>
      <w:proofErr w:type="spellEnd"/>
      <w:r w:rsidRPr="00A02A4F">
        <w:rPr>
          <w:rFonts w:ascii="Times New Roman" w:hAnsi="Times New Roman" w:cs="Times New Roman"/>
          <w:sz w:val="20"/>
          <w:szCs w:val="20"/>
        </w:rPr>
        <w:t xml:space="preserve"> 1990</w:t>
      </w:r>
    </w:p>
    <w:p w14:paraId="4F06027A" w14:textId="77777777" w:rsidR="00B63ADF" w:rsidRPr="00A02A4F" w:rsidRDefault="00B63ADF" w:rsidP="00A02A4F">
      <w:pPr>
        <w:pStyle w:val="ListParagraph"/>
        <w:numPr>
          <w:ilvl w:val="0"/>
          <w:numId w:val="15"/>
        </w:numPr>
        <w:jc w:val="both"/>
        <w:rPr>
          <w:rFonts w:ascii="Times New Roman" w:hAnsi="Times New Roman" w:cs="Times New Roman"/>
          <w:sz w:val="20"/>
          <w:szCs w:val="20"/>
        </w:rPr>
      </w:pPr>
      <w:r w:rsidRPr="00A02A4F">
        <w:rPr>
          <w:rFonts w:ascii="Times New Roman" w:hAnsi="Times New Roman" w:cs="Times New Roman"/>
          <w:sz w:val="20"/>
          <w:szCs w:val="20"/>
        </w:rPr>
        <w:t xml:space="preserve"> Weaver HJ, Hawdon JM, Hoberg EP. Soil-transmitted helminthiases: Implications of climate change and human behavior. Trends </w:t>
      </w:r>
      <w:proofErr w:type="spellStart"/>
      <w:r w:rsidRPr="00A02A4F">
        <w:rPr>
          <w:rFonts w:ascii="Times New Roman" w:hAnsi="Times New Roman" w:cs="Times New Roman"/>
          <w:sz w:val="20"/>
          <w:szCs w:val="20"/>
        </w:rPr>
        <w:t>Parasitol</w:t>
      </w:r>
      <w:proofErr w:type="spellEnd"/>
      <w:r w:rsidRPr="00A02A4F">
        <w:rPr>
          <w:rFonts w:ascii="Times New Roman" w:hAnsi="Times New Roman" w:cs="Times New Roman"/>
          <w:sz w:val="20"/>
          <w:szCs w:val="20"/>
        </w:rPr>
        <w:t xml:space="preserve"> 2010</w:t>
      </w:r>
    </w:p>
    <w:p w14:paraId="3499D485" w14:textId="77777777" w:rsidR="00B63ADF" w:rsidRPr="00A02A4F" w:rsidRDefault="00B63ADF" w:rsidP="00A02A4F">
      <w:pPr>
        <w:pStyle w:val="ListParagraph"/>
        <w:numPr>
          <w:ilvl w:val="0"/>
          <w:numId w:val="15"/>
        </w:numPr>
        <w:jc w:val="both"/>
        <w:rPr>
          <w:rFonts w:ascii="Times New Roman" w:hAnsi="Times New Roman" w:cs="Times New Roman"/>
          <w:sz w:val="20"/>
          <w:szCs w:val="20"/>
        </w:rPr>
      </w:pPr>
      <w:r w:rsidRPr="00A02A4F">
        <w:rPr>
          <w:rFonts w:ascii="Times New Roman" w:hAnsi="Times New Roman" w:cs="Times New Roman"/>
          <w:sz w:val="20"/>
          <w:szCs w:val="20"/>
        </w:rPr>
        <w:t xml:space="preserve">Jain K, Arjun S. Gurjar and </w:t>
      </w:r>
      <w:proofErr w:type="spellStart"/>
      <w:r w:rsidRPr="00A02A4F">
        <w:rPr>
          <w:rFonts w:ascii="Times New Roman" w:hAnsi="Times New Roman" w:cs="Times New Roman"/>
          <w:sz w:val="20"/>
          <w:szCs w:val="20"/>
        </w:rPr>
        <w:t>Madhurendra</w:t>
      </w:r>
      <w:proofErr w:type="spellEnd"/>
      <w:r w:rsidRPr="00A02A4F">
        <w:rPr>
          <w:rFonts w:ascii="Times New Roman" w:hAnsi="Times New Roman" w:cs="Times New Roman"/>
          <w:sz w:val="20"/>
          <w:szCs w:val="20"/>
        </w:rPr>
        <w:t xml:space="preserve"> S. Rajput. A </w:t>
      </w:r>
      <w:proofErr w:type="gramStart"/>
      <w:r w:rsidRPr="00A02A4F">
        <w:rPr>
          <w:rFonts w:ascii="Times New Roman" w:hAnsi="Times New Roman" w:cs="Times New Roman"/>
          <w:sz w:val="20"/>
          <w:szCs w:val="20"/>
        </w:rPr>
        <w:t>cross sectional</w:t>
      </w:r>
      <w:proofErr w:type="gramEnd"/>
      <w:r w:rsidRPr="00A02A4F">
        <w:rPr>
          <w:rFonts w:ascii="Times New Roman" w:hAnsi="Times New Roman" w:cs="Times New Roman"/>
          <w:sz w:val="20"/>
          <w:szCs w:val="20"/>
        </w:rPr>
        <w:t xml:space="preserve"> study for prevalence of intestinal parasitic infestation by using saline, iodine, glycerol-iodine, KOH and LPCB wet Mount preparations of stool samples from patients attending AIIMS, </w:t>
      </w:r>
      <w:proofErr w:type="spellStart"/>
      <w:r w:rsidRPr="00A02A4F">
        <w:rPr>
          <w:rFonts w:ascii="Times New Roman" w:hAnsi="Times New Roman" w:cs="Times New Roman"/>
          <w:sz w:val="20"/>
          <w:szCs w:val="20"/>
        </w:rPr>
        <w:t>Dewas</w:t>
      </w:r>
      <w:proofErr w:type="spellEnd"/>
      <w:r w:rsidRPr="00A02A4F">
        <w:rPr>
          <w:rFonts w:ascii="Times New Roman" w:hAnsi="Times New Roman" w:cs="Times New Roman"/>
          <w:sz w:val="20"/>
          <w:szCs w:val="20"/>
        </w:rPr>
        <w:t xml:space="preserve"> </w:t>
      </w:r>
      <w:proofErr w:type="gramStart"/>
      <w:r w:rsidRPr="00A02A4F">
        <w:rPr>
          <w:rFonts w:ascii="Times New Roman" w:hAnsi="Times New Roman" w:cs="Times New Roman"/>
          <w:sz w:val="20"/>
          <w:szCs w:val="20"/>
        </w:rPr>
        <w:t>MP(</w:t>
      </w:r>
      <w:proofErr w:type="gramEnd"/>
      <w:r w:rsidRPr="00A02A4F">
        <w:rPr>
          <w:rFonts w:ascii="Times New Roman" w:hAnsi="Times New Roman" w:cs="Times New Roman"/>
          <w:sz w:val="20"/>
          <w:szCs w:val="20"/>
        </w:rPr>
        <w:t>2018)</w:t>
      </w:r>
    </w:p>
    <w:p w14:paraId="0C7AAFC3" w14:textId="77777777" w:rsidR="00B63ADF" w:rsidRPr="00A02A4F" w:rsidRDefault="00B63ADF" w:rsidP="00A02A4F">
      <w:pPr>
        <w:pStyle w:val="ListParagraph"/>
        <w:numPr>
          <w:ilvl w:val="0"/>
          <w:numId w:val="15"/>
        </w:numPr>
        <w:jc w:val="both"/>
        <w:rPr>
          <w:rFonts w:ascii="Times New Roman" w:hAnsi="Times New Roman" w:cs="Times New Roman"/>
          <w:sz w:val="20"/>
          <w:szCs w:val="20"/>
        </w:rPr>
      </w:pPr>
      <w:r w:rsidRPr="00A02A4F">
        <w:rPr>
          <w:rFonts w:ascii="Times New Roman" w:hAnsi="Times New Roman" w:cs="Times New Roman"/>
          <w:sz w:val="20"/>
          <w:szCs w:val="20"/>
        </w:rPr>
        <w:t xml:space="preserve"> </w:t>
      </w:r>
      <w:proofErr w:type="spellStart"/>
      <w:r w:rsidRPr="00A02A4F">
        <w:rPr>
          <w:rFonts w:ascii="Times New Roman" w:hAnsi="Times New Roman" w:cs="Times New Roman"/>
          <w:sz w:val="20"/>
          <w:szCs w:val="20"/>
        </w:rPr>
        <w:t>Parameshwarappa</w:t>
      </w:r>
      <w:proofErr w:type="spellEnd"/>
      <w:r w:rsidRPr="00A02A4F">
        <w:rPr>
          <w:rFonts w:ascii="Times New Roman" w:hAnsi="Times New Roman" w:cs="Times New Roman"/>
          <w:sz w:val="20"/>
          <w:szCs w:val="20"/>
        </w:rPr>
        <w:t xml:space="preserve"> K D, Chandrakanth C, Sunil B. ―The Prevalence of intestinal parasitic infestations and the evaluation of different concentration techniques of the stool examination. Journal of Clinical and Diagnostic Research, 2012 September (Suppl)</w:t>
      </w:r>
    </w:p>
    <w:p w14:paraId="59B57D37" w14:textId="77777777" w:rsidR="00B63ADF" w:rsidRPr="007C0EEF" w:rsidRDefault="00B63ADF" w:rsidP="00A02A4F">
      <w:pPr>
        <w:pStyle w:val="NoSpacing"/>
      </w:pPr>
    </w:p>
    <w:sectPr w:rsidR="00B63ADF" w:rsidRPr="007C0EEF" w:rsidSect="00034616">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5495D" w14:textId="77777777" w:rsidR="000A0AB7" w:rsidRDefault="000A0AB7" w:rsidP="00B63ADF">
      <w:pPr>
        <w:spacing w:after="0" w:line="240" w:lineRule="auto"/>
      </w:pPr>
      <w:r>
        <w:separator/>
      </w:r>
    </w:p>
  </w:endnote>
  <w:endnote w:type="continuationSeparator" w:id="0">
    <w:p w14:paraId="533991A6" w14:textId="77777777" w:rsidR="000A0AB7" w:rsidRDefault="000A0AB7" w:rsidP="00B63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A9B5" w14:textId="77777777" w:rsidR="004475C8" w:rsidRDefault="00447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9ABC" w14:textId="77777777" w:rsidR="004475C8" w:rsidRDefault="004475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E36A" w14:textId="77777777" w:rsidR="004475C8" w:rsidRDefault="00447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011B4" w14:textId="77777777" w:rsidR="000A0AB7" w:rsidRDefault="000A0AB7" w:rsidP="00B63ADF">
      <w:pPr>
        <w:spacing w:after="0" w:line="240" w:lineRule="auto"/>
      </w:pPr>
      <w:r>
        <w:separator/>
      </w:r>
    </w:p>
  </w:footnote>
  <w:footnote w:type="continuationSeparator" w:id="0">
    <w:p w14:paraId="488284C8" w14:textId="77777777" w:rsidR="000A0AB7" w:rsidRDefault="000A0AB7" w:rsidP="00B63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DCDC" w14:textId="2ED18F70" w:rsidR="004475C8" w:rsidRDefault="00000000">
    <w:pPr>
      <w:pStyle w:val="Header"/>
    </w:pPr>
    <w:r>
      <w:rPr>
        <w:noProof/>
      </w:rPr>
      <w:pict w14:anchorId="53C45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27657"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F7CB" w14:textId="30135D41" w:rsidR="004475C8" w:rsidRDefault="00000000">
    <w:pPr>
      <w:pStyle w:val="Header"/>
    </w:pPr>
    <w:r>
      <w:rPr>
        <w:noProof/>
      </w:rPr>
      <w:pict w14:anchorId="366DD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27658"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EF6D" w14:textId="46CA5661" w:rsidR="004475C8" w:rsidRDefault="00000000">
    <w:pPr>
      <w:pStyle w:val="Header"/>
    </w:pPr>
    <w:r>
      <w:rPr>
        <w:noProof/>
      </w:rPr>
      <w:pict w14:anchorId="5ABE0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27656"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14130D"/>
    <w:multiLevelType w:val="hybridMultilevel"/>
    <w:tmpl w:val="039600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23C0FFA"/>
    <w:multiLevelType w:val="hybridMultilevel"/>
    <w:tmpl w:val="273804F0"/>
    <w:lvl w:ilvl="0" w:tplc="4009000F">
      <w:start w:val="1"/>
      <w:numFmt w:val="decimal"/>
      <w:lvlText w:val="%1."/>
      <w:lvlJc w:val="left"/>
      <w:pPr>
        <w:ind w:left="765" w:hanging="360"/>
      </w:p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11" w15:restartNumberingAfterBreak="0">
    <w:nsid w:val="33FD30EB"/>
    <w:multiLevelType w:val="hybridMultilevel"/>
    <w:tmpl w:val="0DA85928"/>
    <w:lvl w:ilvl="0" w:tplc="ECEA59CC">
      <w:start w:val="1"/>
      <w:numFmt w:val="decimal"/>
      <w:lvlText w:val="%1."/>
      <w:lvlJc w:val="left"/>
      <w:pPr>
        <w:ind w:left="460" w:hanging="360"/>
      </w:pPr>
      <w:rPr>
        <w:rFonts w:hint="default"/>
        <w:b/>
        <w:bCs/>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4CDD74B7"/>
    <w:multiLevelType w:val="hybridMultilevel"/>
    <w:tmpl w:val="B73274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41B28AB"/>
    <w:multiLevelType w:val="hybridMultilevel"/>
    <w:tmpl w:val="AD8E91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4E13782"/>
    <w:multiLevelType w:val="hybridMultilevel"/>
    <w:tmpl w:val="61462C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7F7042F"/>
    <w:multiLevelType w:val="hybridMultilevel"/>
    <w:tmpl w:val="68D06C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76938763">
    <w:abstractNumId w:val="8"/>
  </w:num>
  <w:num w:numId="2" w16cid:durableId="1757940814">
    <w:abstractNumId w:val="6"/>
  </w:num>
  <w:num w:numId="3" w16cid:durableId="542518566">
    <w:abstractNumId w:val="5"/>
  </w:num>
  <w:num w:numId="4" w16cid:durableId="410197904">
    <w:abstractNumId w:val="4"/>
  </w:num>
  <w:num w:numId="5" w16cid:durableId="1091007225">
    <w:abstractNumId w:val="7"/>
  </w:num>
  <w:num w:numId="6" w16cid:durableId="1769891186">
    <w:abstractNumId w:val="3"/>
  </w:num>
  <w:num w:numId="7" w16cid:durableId="1028794730">
    <w:abstractNumId w:val="2"/>
  </w:num>
  <w:num w:numId="8" w16cid:durableId="476729062">
    <w:abstractNumId w:val="1"/>
  </w:num>
  <w:num w:numId="9" w16cid:durableId="1948541615">
    <w:abstractNumId w:val="0"/>
  </w:num>
  <w:num w:numId="10" w16cid:durableId="883981465">
    <w:abstractNumId w:val="14"/>
  </w:num>
  <w:num w:numId="11" w16cid:durableId="1017275417">
    <w:abstractNumId w:val="10"/>
  </w:num>
  <w:num w:numId="12" w16cid:durableId="263222755">
    <w:abstractNumId w:val="12"/>
  </w:num>
  <w:num w:numId="13" w16cid:durableId="301427832">
    <w:abstractNumId w:val="9"/>
  </w:num>
  <w:num w:numId="14" w16cid:durableId="855114992">
    <w:abstractNumId w:val="13"/>
  </w:num>
  <w:num w:numId="15" w16cid:durableId="347827451">
    <w:abstractNumId w:val="15"/>
  </w:num>
  <w:num w:numId="16" w16cid:durableId="20847214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0MjG3NDc0MTMwtjRQ0lEKTi0uzszPAykwrAUAYYqbTCwAAAA="/>
  </w:docVars>
  <w:rsids>
    <w:rsidRoot w:val="00B47730"/>
    <w:rsid w:val="00034616"/>
    <w:rsid w:val="0006063C"/>
    <w:rsid w:val="000A0AB7"/>
    <w:rsid w:val="000D3B3D"/>
    <w:rsid w:val="000F48E3"/>
    <w:rsid w:val="001167DF"/>
    <w:rsid w:val="0015074B"/>
    <w:rsid w:val="0017581B"/>
    <w:rsid w:val="001A32E2"/>
    <w:rsid w:val="001A7762"/>
    <w:rsid w:val="001F02EC"/>
    <w:rsid w:val="00206816"/>
    <w:rsid w:val="00237930"/>
    <w:rsid w:val="0029639D"/>
    <w:rsid w:val="002A5D37"/>
    <w:rsid w:val="002F7852"/>
    <w:rsid w:val="00313048"/>
    <w:rsid w:val="00326F90"/>
    <w:rsid w:val="003508A1"/>
    <w:rsid w:val="003913B1"/>
    <w:rsid w:val="004048E5"/>
    <w:rsid w:val="00414BB0"/>
    <w:rsid w:val="004475C8"/>
    <w:rsid w:val="00462AF0"/>
    <w:rsid w:val="00574651"/>
    <w:rsid w:val="0058344F"/>
    <w:rsid w:val="005B4941"/>
    <w:rsid w:val="005F296A"/>
    <w:rsid w:val="00671E7D"/>
    <w:rsid w:val="00693FD8"/>
    <w:rsid w:val="00736664"/>
    <w:rsid w:val="00742AD5"/>
    <w:rsid w:val="007A1A59"/>
    <w:rsid w:val="007C0EEF"/>
    <w:rsid w:val="007E627E"/>
    <w:rsid w:val="008E2CA0"/>
    <w:rsid w:val="00935794"/>
    <w:rsid w:val="00950725"/>
    <w:rsid w:val="00A02A4F"/>
    <w:rsid w:val="00A11F4B"/>
    <w:rsid w:val="00A64B10"/>
    <w:rsid w:val="00AA1D8D"/>
    <w:rsid w:val="00B47730"/>
    <w:rsid w:val="00B63ADF"/>
    <w:rsid w:val="00B921F3"/>
    <w:rsid w:val="00BB4F75"/>
    <w:rsid w:val="00C10F18"/>
    <w:rsid w:val="00C74FFD"/>
    <w:rsid w:val="00C95066"/>
    <w:rsid w:val="00CB0664"/>
    <w:rsid w:val="00D71D92"/>
    <w:rsid w:val="00E06965"/>
    <w:rsid w:val="00E474F5"/>
    <w:rsid w:val="00EB76E7"/>
    <w:rsid w:val="00F30D73"/>
    <w:rsid w:val="00FB74A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8625FA"/>
  <w14:defaultImageDpi w14:val="300"/>
  <w15:docId w15:val="{678A90E0-9A3A-42C0-B54D-615071A2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693FD8"/>
    <w:pPr>
      <w:spacing w:before="100" w:beforeAutospacing="1" w:after="100" w:afterAutospacing="1" w:line="240" w:lineRule="auto"/>
    </w:pPr>
    <w:rPr>
      <w:rFonts w:ascii="Times New Roman" w:eastAsia="Times New Roman" w:hAnsi="Times New Roman" w:cs="Times New Roman"/>
      <w:sz w:val="24"/>
      <w:szCs w:val="24"/>
      <w:lang w:val="en-IN" w:eastAsia="en-GB"/>
    </w:rPr>
  </w:style>
  <w:style w:type="character" w:styleId="Hyperlink">
    <w:name w:val="Hyperlink"/>
    <w:basedOn w:val="DefaultParagraphFont"/>
    <w:uiPriority w:val="99"/>
    <w:unhideWhenUsed/>
    <w:rsid w:val="00E474F5"/>
    <w:rPr>
      <w:color w:val="0000FF" w:themeColor="hyperlink"/>
      <w:u w:val="single"/>
    </w:rPr>
  </w:style>
  <w:style w:type="character" w:customStyle="1" w:styleId="UnresolvedMention1">
    <w:name w:val="Unresolved Mention1"/>
    <w:basedOn w:val="DefaultParagraphFont"/>
    <w:uiPriority w:val="99"/>
    <w:semiHidden/>
    <w:unhideWhenUsed/>
    <w:rsid w:val="00E474F5"/>
    <w:rPr>
      <w:color w:val="605E5C"/>
      <w:shd w:val="clear" w:color="auto" w:fill="E1DFDD"/>
    </w:rPr>
  </w:style>
  <w:style w:type="paragraph" w:styleId="Revision">
    <w:name w:val="Revision"/>
    <w:hidden/>
    <w:uiPriority w:val="99"/>
    <w:semiHidden/>
    <w:rsid w:val="008E2C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456">
      <w:bodyDiv w:val="1"/>
      <w:marLeft w:val="0"/>
      <w:marRight w:val="0"/>
      <w:marTop w:val="0"/>
      <w:marBottom w:val="0"/>
      <w:divBdr>
        <w:top w:val="none" w:sz="0" w:space="0" w:color="auto"/>
        <w:left w:val="none" w:sz="0" w:space="0" w:color="auto"/>
        <w:bottom w:val="none" w:sz="0" w:space="0" w:color="auto"/>
        <w:right w:val="none" w:sz="0" w:space="0" w:color="auto"/>
      </w:divBdr>
    </w:div>
    <w:div w:id="15619857">
      <w:bodyDiv w:val="1"/>
      <w:marLeft w:val="0"/>
      <w:marRight w:val="0"/>
      <w:marTop w:val="0"/>
      <w:marBottom w:val="0"/>
      <w:divBdr>
        <w:top w:val="none" w:sz="0" w:space="0" w:color="auto"/>
        <w:left w:val="none" w:sz="0" w:space="0" w:color="auto"/>
        <w:bottom w:val="none" w:sz="0" w:space="0" w:color="auto"/>
        <w:right w:val="none" w:sz="0" w:space="0" w:color="auto"/>
      </w:divBdr>
    </w:div>
    <w:div w:id="134838187">
      <w:bodyDiv w:val="1"/>
      <w:marLeft w:val="0"/>
      <w:marRight w:val="0"/>
      <w:marTop w:val="0"/>
      <w:marBottom w:val="0"/>
      <w:divBdr>
        <w:top w:val="none" w:sz="0" w:space="0" w:color="auto"/>
        <w:left w:val="none" w:sz="0" w:space="0" w:color="auto"/>
        <w:bottom w:val="none" w:sz="0" w:space="0" w:color="auto"/>
        <w:right w:val="none" w:sz="0" w:space="0" w:color="auto"/>
      </w:divBdr>
    </w:div>
    <w:div w:id="205996339">
      <w:bodyDiv w:val="1"/>
      <w:marLeft w:val="0"/>
      <w:marRight w:val="0"/>
      <w:marTop w:val="0"/>
      <w:marBottom w:val="0"/>
      <w:divBdr>
        <w:top w:val="none" w:sz="0" w:space="0" w:color="auto"/>
        <w:left w:val="none" w:sz="0" w:space="0" w:color="auto"/>
        <w:bottom w:val="none" w:sz="0" w:space="0" w:color="auto"/>
        <w:right w:val="none" w:sz="0" w:space="0" w:color="auto"/>
      </w:divBdr>
    </w:div>
    <w:div w:id="255747266">
      <w:bodyDiv w:val="1"/>
      <w:marLeft w:val="0"/>
      <w:marRight w:val="0"/>
      <w:marTop w:val="0"/>
      <w:marBottom w:val="0"/>
      <w:divBdr>
        <w:top w:val="none" w:sz="0" w:space="0" w:color="auto"/>
        <w:left w:val="none" w:sz="0" w:space="0" w:color="auto"/>
        <w:bottom w:val="none" w:sz="0" w:space="0" w:color="auto"/>
        <w:right w:val="none" w:sz="0" w:space="0" w:color="auto"/>
      </w:divBdr>
    </w:div>
    <w:div w:id="261452293">
      <w:bodyDiv w:val="1"/>
      <w:marLeft w:val="0"/>
      <w:marRight w:val="0"/>
      <w:marTop w:val="0"/>
      <w:marBottom w:val="0"/>
      <w:divBdr>
        <w:top w:val="none" w:sz="0" w:space="0" w:color="auto"/>
        <w:left w:val="none" w:sz="0" w:space="0" w:color="auto"/>
        <w:bottom w:val="none" w:sz="0" w:space="0" w:color="auto"/>
        <w:right w:val="none" w:sz="0" w:space="0" w:color="auto"/>
      </w:divBdr>
    </w:div>
    <w:div w:id="314915939">
      <w:bodyDiv w:val="1"/>
      <w:marLeft w:val="0"/>
      <w:marRight w:val="0"/>
      <w:marTop w:val="0"/>
      <w:marBottom w:val="0"/>
      <w:divBdr>
        <w:top w:val="none" w:sz="0" w:space="0" w:color="auto"/>
        <w:left w:val="none" w:sz="0" w:space="0" w:color="auto"/>
        <w:bottom w:val="none" w:sz="0" w:space="0" w:color="auto"/>
        <w:right w:val="none" w:sz="0" w:space="0" w:color="auto"/>
      </w:divBdr>
    </w:div>
    <w:div w:id="389814621">
      <w:bodyDiv w:val="1"/>
      <w:marLeft w:val="0"/>
      <w:marRight w:val="0"/>
      <w:marTop w:val="0"/>
      <w:marBottom w:val="0"/>
      <w:divBdr>
        <w:top w:val="none" w:sz="0" w:space="0" w:color="auto"/>
        <w:left w:val="none" w:sz="0" w:space="0" w:color="auto"/>
        <w:bottom w:val="none" w:sz="0" w:space="0" w:color="auto"/>
        <w:right w:val="none" w:sz="0" w:space="0" w:color="auto"/>
      </w:divBdr>
    </w:div>
    <w:div w:id="582571371">
      <w:bodyDiv w:val="1"/>
      <w:marLeft w:val="0"/>
      <w:marRight w:val="0"/>
      <w:marTop w:val="0"/>
      <w:marBottom w:val="0"/>
      <w:divBdr>
        <w:top w:val="none" w:sz="0" w:space="0" w:color="auto"/>
        <w:left w:val="none" w:sz="0" w:space="0" w:color="auto"/>
        <w:bottom w:val="none" w:sz="0" w:space="0" w:color="auto"/>
        <w:right w:val="none" w:sz="0" w:space="0" w:color="auto"/>
      </w:divBdr>
    </w:div>
    <w:div w:id="898171715">
      <w:bodyDiv w:val="1"/>
      <w:marLeft w:val="0"/>
      <w:marRight w:val="0"/>
      <w:marTop w:val="0"/>
      <w:marBottom w:val="0"/>
      <w:divBdr>
        <w:top w:val="none" w:sz="0" w:space="0" w:color="auto"/>
        <w:left w:val="none" w:sz="0" w:space="0" w:color="auto"/>
        <w:bottom w:val="none" w:sz="0" w:space="0" w:color="auto"/>
        <w:right w:val="none" w:sz="0" w:space="0" w:color="auto"/>
      </w:divBdr>
    </w:div>
    <w:div w:id="1051540858">
      <w:bodyDiv w:val="1"/>
      <w:marLeft w:val="0"/>
      <w:marRight w:val="0"/>
      <w:marTop w:val="0"/>
      <w:marBottom w:val="0"/>
      <w:divBdr>
        <w:top w:val="none" w:sz="0" w:space="0" w:color="auto"/>
        <w:left w:val="none" w:sz="0" w:space="0" w:color="auto"/>
        <w:bottom w:val="none" w:sz="0" w:space="0" w:color="auto"/>
        <w:right w:val="none" w:sz="0" w:space="0" w:color="auto"/>
      </w:divBdr>
    </w:div>
    <w:div w:id="1156455953">
      <w:bodyDiv w:val="1"/>
      <w:marLeft w:val="0"/>
      <w:marRight w:val="0"/>
      <w:marTop w:val="0"/>
      <w:marBottom w:val="0"/>
      <w:divBdr>
        <w:top w:val="none" w:sz="0" w:space="0" w:color="auto"/>
        <w:left w:val="none" w:sz="0" w:space="0" w:color="auto"/>
        <w:bottom w:val="none" w:sz="0" w:space="0" w:color="auto"/>
        <w:right w:val="none" w:sz="0" w:space="0" w:color="auto"/>
      </w:divBdr>
    </w:div>
    <w:div w:id="1219509465">
      <w:bodyDiv w:val="1"/>
      <w:marLeft w:val="0"/>
      <w:marRight w:val="0"/>
      <w:marTop w:val="0"/>
      <w:marBottom w:val="0"/>
      <w:divBdr>
        <w:top w:val="none" w:sz="0" w:space="0" w:color="auto"/>
        <w:left w:val="none" w:sz="0" w:space="0" w:color="auto"/>
        <w:bottom w:val="none" w:sz="0" w:space="0" w:color="auto"/>
        <w:right w:val="none" w:sz="0" w:space="0" w:color="auto"/>
      </w:divBdr>
    </w:div>
    <w:div w:id="1435318972">
      <w:bodyDiv w:val="1"/>
      <w:marLeft w:val="0"/>
      <w:marRight w:val="0"/>
      <w:marTop w:val="0"/>
      <w:marBottom w:val="0"/>
      <w:divBdr>
        <w:top w:val="none" w:sz="0" w:space="0" w:color="auto"/>
        <w:left w:val="none" w:sz="0" w:space="0" w:color="auto"/>
        <w:bottom w:val="none" w:sz="0" w:space="0" w:color="auto"/>
        <w:right w:val="none" w:sz="0" w:space="0" w:color="auto"/>
      </w:divBdr>
    </w:div>
    <w:div w:id="1489125689">
      <w:bodyDiv w:val="1"/>
      <w:marLeft w:val="0"/>
      <w:marRight w:val="0"/>
      <w:marTop w:val="0"/>
      <w:marBottom w:val="0"/>
      <w:divBdr>
        <w:top w:val="none" w:sz="0" w:space="0" w:color="auto"/>
        <w:left w:val="none" w:sz="0" w:space="0" w:color="auto"/>
        <w:bottom w:val="none" w:sz="0" w:space="0" w:color="auto"/>
        <w:right w:val="none" w:sz="0" w:space="0" w:color="auto"/>
      </w:divBdr>
    </w:div>
    <w:div w:id="1560046453">
      <w:bodyDiv w:val="1"/>
      <w:marLeft w:val="0"/>
      <w:marRight w:val="0"/>
      <w:marTop w:val="0"/>
      <w:marBottom w:val="0"/>
      <w:divBdr>
        <w:top w:val="none" w:sz="0" w:space="0" w:color="auto"/>
        <w:left w:val="none" w:sz="0" w:space="0" w:color="auto"/>
        <w:bottom w:val="none" w:sz="0" w:space="0" w:color="auto"/>
        <w:right w:val="none" w:sz="0" w:space="0" w:color="auto"/>
      </w:divBdr>
    </w:div>
    <w:div w:id="1907379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rishi370\Desktop\Book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Users\rishi370\Desktop\Book4.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Users\rishi370\Desktop\Book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rishi370\Desktop\seasonal.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n=350</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BE4-4C72-8F9D-E42E25BEAFD4}"/>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EBE4-4C72-8F9D-E42E25BEAFD4}"/>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EBE4-4C72-8F9D-E42E25BEAFD4}"/>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EBE4-4C72-8F9D-E42E25BEAFD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EBE4-4C72-8F9D-E42E25BEAFD4}"/>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EBE4-4C72-8F9D-E42E25BEAFD4}"/>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EBE4-4C72-8F9D-E42E25BEAFD4}"/>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EBE4-4C72-8F9D-E42E25BEAFD4}"/>
                </c:ext>
              </c:extLst>
            </c:dLbl>
            <c:spPr>
              <a:noFill/>
              <a:ln>
                <a:no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2"/>
                <c:pt idx="0">
                  <c:v>total neg</c:v>
                </c:pt>
                <c:pt idx="1">
                  <c:v>total positive</c:v>
                </c:pt>
              </c:strCache>
            </c:strRef>
          </c:cat>
          <c:val>
            <c:numRef>
              <c:f>Sheet1!$B$2:$B$5</c:f>
              <c:numCache>
                <c:formatCode>General</c:formatCode>
                <c:ptCount val="4"/>
                <c:pt idx="0">
                  <c:v>305</c:v>
                </c:pt>
                <c:pt idx="1">
                  <c:v>41</c:v>
                </c:pt>
              </c:numCache>
            </c:numRef>
          </c:val>
          <c:extLst>
            <c:ext xmlns:c16="http://schemas.microsoft.com/office/drawing/2014/chart" uri="{C3380CC4-5D6E-409C-BE32-E72D297353CC}">
              <c16:uniqueId val="{00000008-EBE4-4C72-8F9D-E42E25BEAFD4}"/>
            </c:ext>
          </c:extLst>
        </c:ser>
        <c:dLbls>
          <c:dLblPos val="outEnd"/>
          <c:showLegendKey val="0"/>
          <c:showVal val="0"/>
          <c:showCatName val="0"/>
          <c:showSerName val="0"/>
          <c:showPercent val="1"/>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3363134295713037"/>
          <c:y val="0.26201955575756242"/>
          <c:w val="0.5790336103820356"/>
          <c:h val="0.73668832185256772"/>
        </c:manualLayout>
      </c:layout>
      <c:pieChart>
        <c:varyColors val="1"/>
        <c:ser>
          <c:idx val="0"/>
          <c:order val="0"/>
          <c:tx>
            <c:strRef>
              <c:f>Sheet1!$B$1</c:f>
              <c:strCache>
                <c:ptCount val="1"/>
                <c:pt idx="0">
                  <c:v>n=41</c:v>
                </c:pt>
              </c:strCache>
            </c:strRef>
          </c:tx>
          <c:dPt>
            <c:idx val="0"/>
            <c:bubble3D val="0"/>
            <c:explosion val="1"/>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DF63-4286-BBA2-7C807EB7C323}"/>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DF63-4286-BBA2-7C807EB7C323}"/>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DF63-4286-BBA2-7C807EB7C323}"/>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DF63-4286-BBA2-7C807EB7C323}"/>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DF63-4286-BBA2-7C807EB7C323}"/>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DF63-4286-BBA2-7C807EB7C323}"/>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DF63-4286-BBA2-7C807EB7C323}"/>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DF63-4286-BBA2-7C807EB7C323}"/>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OPD</c:v>
                </c:pt>
                <c:pt idx="1">
                  <c:v>IPD</c:v>
                </c:pt>
              </c:strCache>
            </c:strRef>
          </c:cat>
          <c:val>
            <c:numRef>
              <c:f>Sheet1!$B$2:$B$5</c:f>
              <c:numCache>
                <c:formatCode>General</c:formatCode>
                <c:ptCount val="4"/>
                <c:pt idx="0">
                  <c:v>23</c:v>
                </c:pt>
                <c:pt idx="1">
                  <c:v>18</c:v>
                </c:pt>
              </c:numCache>
            </c:numRef>
          </c:val>
          <c:extLst>
            <c:ext xmlns:c16="http://schemas.microsoft.com/office/drawing/2014/chart" uri="{C3380CC4-5D6E-409C-BE32-E72D297353CC}">
              <c16:uniqueId val="{00000008-DF63-4286-BBA2-7C807EB7C323}"/>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n=41</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7DB9-4495-9D09-59027EBD5996}"/>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7DB9-4495-9D09-59027EBD5996}"/>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7DB9-4495-9D09-59027EBD5996}"/>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7DB9-4495-9D09-59027EBD5996}"/>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7DB9-4495-9D09-59027EBD599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7DB9-4495-9D09-59027EBD5996}"/>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7DB9-4495-9D09-59027EBD5996}"/>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7DB9-4495-9D09-59027EBD5996}"/>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7DB9-4495-9D09-59027EBD5996}"/>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7DB9-4495-9D09-59027EBD5996}"/>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2"/>
                <c:pt idx="0">
                  <c:v>Males</c:v>
                </c:pt>
                <c:pt idx="1">
                  <c:v>Females</c:v>
                </c:pt>
              </c:strCache>
            </c:strRef>
          </c:cat>
          <c:val>
            <c:numRef>
              <c:f>Sheet1!$B$2:$B$6</c:f>
              <c:numCache>
                <c:formatCode>General</c:formatCode>
                <c:ptCount val="5"/>
                <c:pt idx="0">
                  <c:v>30</c:v>
                </c:pt>
                <c:pt idx="1">
                  <c:v>11</c:v>
                </c:pt>
              </c:numCache>
            </c:numRef>
          </c:val>
          <c:extLst>
            <c:ext xmlns:c16="http://schemas.microsoft.com/office/drawing/2014/chart" uri="{C3380CC4-5D6E-409C-BE32-E72D297353CC}">
              <c16:uniqueId val="{0000000A-7DB9-4495-9D09-59027EBD5996}"/>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Graph-1 -</a:t>
            </a:r>
            <a:r>
              <a:rPr lang="en-GB"/>
              <a:t>Parasite</a:t>
            </a:r>
            <a:r>
              <a:rPr lang="en-GB" baseline="0"/>
              <a:t> detection rate across various age groups n=41</a:t>
            </a:r>
            <a:endParaRPr lang="en-GB"/>
          </a:p>
        </c:rich>
      </c:tx>
      <c:layout>
        <c:manualLayout>
          <c:xMode val="edge"/>
          <c:yMode val="edge"/>
          <c:x val="0.13863759041347298"/>
          <c:y val="3.743816018184249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6.2236001749781278E-2"/>
          <c:y val="0.17168999708369789"/>
          <c:w val="0.91554177602799647"/>
          <c:h val="0.72094889180519106"/>
        </c:manualLayout>
      </c:layout>
      <c:barChart>
        <c:barDir val="col"/>
        <c:grouping val="clustered"/>
        <c:varyColors val="0"/>
        <c:ser>
          <c:idx val="0"/>
          <c:order val="0"/>
          <c:spPr>
            <a:solidFill>
              <a:schemeClr val="accent1"/>
            </a:solidFill>
            <a:ln>
              <a:noFill/>
            </a:ln>
            <a:effectLst/>
          </c:spPr>
          <c:invertIfNegative val="0"/>
          <c:cat>
            <c:strRef>
              <c:f>Sheet1!$A$1:$A$11</c:f>
              <c:strCache>
                <c:ptCount val="11"/>
                <c:pt idx="0">
                  <c:v>0-5 y</c:v>
                </c:pt>
                <c:pt idx="1">
                  <c:v>6-10y</c:v>
                </c:pt>
                <c:pt idx="2">
                  <c:v>11-15y</c:v>
                </c:pt>
                <c:pt idx="3">
                  <c:v>16-20y</c:v>
                </c:pt>
                <c:pt idx="4">
                  <c:v>21-25y</c:v>
                </c:pt>
                <c:pt idx="5">
                  <c:v>26-30y</c:v>
                </c:pt>
                <c:pt idx="6">
                  <c:v>31-35y</c:v>
                </c:pt>
                <c:pt idx="7">
                  <c:v>36-40y</c:v>
                </c:pt>
                <c:pt idx="8">
                  <c:v>41-45y</c:v>
                </c:pt>
                <c:pt idx="9">
                  <c:v>46-50y</c:v>
                </c:pt>
                <c:pt idx="10">
                  <c:v>51-55y</c:v>
                </c:pt>
              </c:strCache>
            </c:strRef>
          </c:cat>
          <c:val>
            <c:numRef>
              <c:f>Sheet1!$B$1:$B$11</c:f>
              <c:numCache>
                <c:formatCode>General</c:formatCode>
                <c:ptCount val="11"/>
                <c:pt idx="0">
                  <c:v>2</c:v>
                </c:pt>
                <c:pt idx="1">
                  <c:v>2</c:v>
                </c:pt>
                <c:pt idx="2">
                  <c:v>7</c:v>
                </c:pt>
                <c:pt idx="3">
                  <c:v>2</c:v>
                </c:pt>
                <c:pt idx="4">
                  <c:v>1</c:v>
                </c:pt>
                <c:pt idx="5">
                  <c:v>2</c:v>
                </c:pt>
                <c:pt idx="6">
                  <c:v>5</c:v>
                </c:pt>
                <c:pt idx="7">
                  <c:v>4</c:v>
                </c:pt>
                <c:pt idx="8">
                  <c:v>6</c:v>
                </c:pt>
                <c:pt idx="9">
                  <c:v>5</c:v>
                </c:pt>
                <c:pt idx="10">
                  <c:v>5</c:v>
                </c:pt>
              </c:numCache>
            </c:numRef>
          </c:val>
          <c:extLst>
            <c:ext xmlns:c16="http://schemas.microsoft.com/office/drawing/2014/chart" uri="{C3380CC4-5D6E-409C-BE32-E72D297353CC}">
              <c16:uniqueId val="{00000000-7864-412D-A634-7003B0D5A3C6}"/>
            </c:ext>
          </c:extLst>
        </c:ser>
        <c:dLbls>
          <c:showLegendKey val="0"/>
          <c:showVal val="0"/>
          <c:showCatName val="0"/>
          <c:showSerName val="0"/>
          <c:showPercent val="0"/>
          <c:showBubbleSize val="0"/>
        </c:dLbls>
        <c:gapWidth val="219"/>
        <c:overlap val="-27"/>
        <c:axId val="469172112"/>
        <c:axId val="468840608"/>
      </c:barChart>
      <c:catAx>
        <c:axId val="46917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840608"/>
        <c:crosses val="autoZero"/>
        <c:auto val="1"/>
        <c:lblAlgn val="ctr"/>
        <c:lblOffset val="100"/>
        <c:noMultiLvlLbl val="0"/>
      </c:catAx>
      <c:valAx>
        <c:axId val="468840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172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GB"/>
              <a:t>graph 2-Individual</a:t>
            </a:r>
            <a:r>
              <a:rPr lang="en-GB" baseline="0"/>
              <a:t> parasite distribution across 41 positive</a:t>
            </a:r>
            <a:endParaRPr lang="en-GB"/>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Sheet1!$A$1:$A$6</c:f>
              <c:strCache>
                <c:ptCount val="6"/>
                <c:pt idx="0">
                  <c:v>Cyst-Giardia</c:v>
                </c:pt>
                <c:pt idx="1">
                  <c:v>Cyst-E.histolytica/dispar</c:v>
                </c:pt>
                <c:pt idx="2">
                  <c:v>Egg Ascaris lumbricoides</c:v>
                </c:pt>
                <c:pt idx="3">
                  <c:v>Egg H.nana</c:v>
                </c:pt>
                <c:pt idx="4">
                  <c:v>Egg hookworm</c:v>
                </c:pt>
                <c:pt idx="5">
                  <c:v>Egg Trichuris trhiura</c:v>
                </c:pt>
              </c:strCache>
            </c:strRef>
          </c:cat>
          <c:val>
            <c:numRef>
              <c:f>Sheet1!$B$1:$B$6</c:f>
              <c:numCache>
                <c:formatCode>General</c:formatCode>
                <c:ptCount val="6"/>
                <c:pt idx="0">
                  <c:v>25</c:v>
                </c:pt>
                <c:pt idx="1">
                  <c:v>2</c:v>
                </c:pt>
                <c:pt idx="2">
                  <c:v>4</c:v>
                </c:pt>
                <c:pt idx="3">
                  <c:v>6</c:v>
                </c:pt>
                <c:pt idx="4">
                  <c:v>3</c:v>
                </c:pt>
                <c:pt idx="5">
                  <c:v>1</c:v>
                </c:pt>
              </c:numCache>
            </c:numRef>
          </c:val>
          <c:extLst>
            <c:ext xmlns:c16="http://schemas.microsoft.com/office/drawing/2014/chart" uri="{C3380CC4-5D6E-409C-BE32-E72D297353CC}">
              <c16:uniqueId val="{00000000-4C27-43F8-85E3-73AE13E6A4E5}"/>
            </c:ext>
          </c:extLst>
        </c:ser>
        <c:dLbls>
          <c:dLblPos val="inEnd"/>
          <c:showLegendKey val="0"/>
          <c:showVal val="1"/>
          <c:showCatName val="0"/>
          <c:showSerName val="0"/>
          <c:showPercent val="0"/>
          <c:showBubbleSize val="0"/>
        </c:dLbls>
        <c:gapWidth val="115"/>
        <c:overlap val="-20"/>
        <c:axId val="494525520"/>
        <c:axId val="483007328"/>
      </c:barChart>
      <c:catAx>
        <c:axId val="49452552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007328"/>
        <c:crosses val="autoZero"/>
        <c:auto val="1"/>
        <c:lblAlgn val="ctr"/>
        <c:lblOffset val="100"/>
        <c:noMultiLvlLbl val="0"/>
      </c:catAx>
      <c:valAx>
        <c:axId val="4830073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525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spc="100" baseline="0">
                <a:solidFill>
                  <a:sysClr val="window" lastClr="FFFFFF">
                    <a:lumMod val="95000"/>
                  </a:sysClr>
                </a:solidFill>
                <a:effectLst>
                  <a:outerShdw blurRad="50800" dist="38100" dir="5400000" algn="t" rotWithShape="0">
                    <a:prstClr val="black">
                      <a:alpha val="40000"/>
                    </a:prstClr>
                  </a:outerShdw>
                </a:effectLst>
                <a:latin typeface="+mn-lt"/>
                <a:ea typeface="+mn-ea"/>
                <a:cs typeface="+mn-cs"/>
              </a:defRPr>
            </a:pPr>
            <a:r>
              <a:rPr lang="en-IN" sz="1800">
                <a:effectLst/>
              </a:rPr>
              <a:t>Graph-3     </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 lastClr="FFFFFF">
                    <a:lumMod val="95000"/>
                  </a:sysClr>
                </a:solidFill>
              </a:defRPr>
            </a:pPr>
            <a:r>
              <a:rPr lang="en-GB"/>
              <a:t>Comparision</a:t>
            </a:r>
            <a:r>
              <a:rPr lang="en-GB" baseline="0"/>
              <a:t> of both tests</a:t>
            </a: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spc="100" baseline="0">
              <a:solidFill>
                <a:sysClr val="window" lastClr="FFFFFF">
                  <a:lumMod val="95000"/>
                </a:sysClr>
              </a:solidFill>
              <a:effectLst>
                <a:outerShdw blurRad="50800" dist="38100" dir="5400000" algn="t" rotWithShape="0">
                  <a:prstClr val="black">
                    <a:alpha val="40000"/>
                  </a:prstClr>
                </a:outerShdw>
              </a:effectLst>
              <a:latin typeface="+mn-lt"/>
              <a:ea typeface="+mn-ea"/>
              <a:cs typeface="+mn-cs"/>
            </a:defRPr>
          </a:pPr>
          <a:endParaRPr lang="en-GB"/>
        </a:p>
      </c:txPr>
    </c:title>
    <c:autoTitleDeleted val="0"/>
    <c:plotArea>
      <c:layout/>
      <c:barChart>
        <c:barDir val="col"/>
        <c:grouping val="stack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Sheet1!$A$1:$A$5</c:f>
              <c:strCache>
                <c:ptCount val="5"/>
                <c:pt idx="0">
                  <c:v>Total positive</c:v>
                </c:pt>
                <c:pt idx="1">
                  <c:v>Direct wet mount</c:v>
                </c:pt>
                <c:pt idx="2">
                  <c:v>Formol-ether mount</c:v>
                </c:pt>
                <c:pt idx="3">
                  <c:v>Positive by both</c:v>
                </c:pt>
                <c:pt idx="4">
                  <c:v>Positive only by formol-ether but neg by direct</c:v>
                </c:pt>
              </c:strCache>
            </c:strRef>
          </c:cat>
          <c:val>
            <c:numRef>
              <c:f>Sheet1!$B$1:$B$5</c:f>
              <c:numCache>
                <c:formatCode>General</c:formatCode>
                <c:ptCount val="5"/>
                <c:pt idx="0">
                  <c:v>41</c:v>
                </c:pt>
                <c:pt idx="1">
                  <c:v>25</c:v>
                </c:pt>
                <c:pt idx="2">
                  <c:v>41</c:v>
                </c:pt>
                <c:pt idx="3">
                  <c:v>25</c:v>
                </c:pt>
                <c:pt idx="4">
                  <c:v>16</c:v>
                </c:pt>
              </c:numCache>
            </c:numRef>
          </c:val>
          <c:extLst>
            <c:ext xmlns:c16="http://schemas.microsoft.com/office/drawing/2014/chart" uri="{C3380CC4-5D6E-409C-BE32-E72D297353CC}">
              <c16:uniqueId val="{00000000-E6ED-468F-A343-BDF980CDD2BC}"/>
            </c:ext>
          </c:extLst>
        </c:ser>
        <c:dLbls>
          <c:dLblPos val="ctr"/>
          <c:showLegendKey val="0"/>
          <c:showVal val="1"/>
          <c:showCatName val="0"/>
          <c:showSerName val="0"/>
          <c:showPercent val="0"/>
          <c:showBubbleSize val="0"/>
        </c:dLbls>
        <c:gapWidth val="150"/>
        <c:overlap val="100"/>
        <c:axId val="492765120"/>
        <c:axId val="492601344"/>
      </c:barChart>
      <c:catAx>
        <c:axId val="49276512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92601344"/>
        <c:crosses val="autoZero"/>
        <c:auto val="1"/>
        <c:lblAlgn val="ctr"/>
        <c:lblOffset val="100"/>
        <c:noMultiLvlLbl val="0"/>
      </c:catAx>
      <c:valAx>
        <c:axId val="49260134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927651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r>
              <a:rPr lang="en-GB"/>
              <a:t>Monthly</a:t>
            </a:r>
            <a:r>
              <a:rPr lang="en-GB" baseline="0"/>
              <a:t> distribution n=41</a:t>
            </a:r>
            <a:endParaRPr lang="en-GB"/>
          </a:p>
        </c:rich>
      </c:tx>
      <c:overlay val="0"/>
      <c:spPr>
        <a:noFill/>
        <a:ln>
          <a:noFill/>
        </a:ln>
        <a:effectLst/>
      </c:spPr>
      <c:txPr>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8.9860805314027686E-4"/>
          <c:y val="0"/>
          <c:w val="0.95365982095839918"/>
          <c:h val="0.9506822013102020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baseline="0">
                    <a:solidFill>
                      <a:schemeClr val="tx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Sheet1!$A$1:$A$13</c:f>
              <c:strCache>
                <c:ptCount val="12"/>
                <c:pt idx="0">
                  <c:v>March</c:v>
                </c:pt>
                <c:pt idx="1">
                  <c:v>April</c:v>
                </c:pt>
                <c:pt idx="2">
                  <c:v>May</c:v>
                </c:pt>
                <c:pt idx="3">
                  <c:v>June</c:v>
                </c:pt>
                <c:pt idx="4">
                  <c:v>July</c:v>
                </c:pt>
                <c:pt idx="5">
                  <c:v>Aug</c:v>
                </c:pt>
                <c:pt idx="6">
                  <c:v>Sept</c:v>
                </c:pt>
                <c:pt idx="7">
                  <c:v>Oct</c:v>
                </c:pt>
                <c:pt idx="8">
                  <c:v>Nov</c:v>
                </c:pt>
                <c:pt idx="9">
                  <c:v>Dec</c:v>
                </c:pt>
                <c:pt idx="10">
                  <c:v>Jan</c:v>
                </c:pt>
                <c:pt idx="11">
                  <c:v>Feb</c:v>
                </c:pt>
              </c:strCache>
            </c:strRef>
          </c:cat>
          <c:val>
            <c:numRef>
              <c:f>Sheet1!$B$1:$B$13</c:f>
              <c:numCache>
                <c:formatCode>General</c:formatCode>
                <c:ptCount val="13"/>
                <c:pt idx="0">
                  <c:v>3</c:v>
                </c:pt>
                <c:pt idx="1">
                  <c:v>3</c:v>
                </c:pt>
                <c:pt idx="2">
                  <c:v>2</c:v>
                </c:pt>
                <c:pt idx="3">
                  <c:v>6</c:v>
                </c:pt>
                <c:pt idx="4">
                  <c:v>5</c:v>
                </c:pt>
                <c:pt idx="5">
                  <c:v>6</c:v>
                </c:pt>
                <c:pt idx="6">
                  <c:v>4</c:v>
                </c:pt>
                <c:pt idx="7">
                  <c:v>3</c:v>
                </c:pt>
                <c:pt idx="8">
                  <c:v>4</c:v>
                </c:pt>
                <c:pt idx="9">
                  <c:v>3</c:v>
                </c:pt>
                <c:pt idx="10">
                  <c:v>0</c:v>
                </c:pt>
                <c:pt idx="11">
                  <c:v>2</c:v>
                </c:pt>
                <c:pt idx="12">
                  <c:v>0</c:v>
                </c:pt>
              </c:numCache>
            </c:numRef>
          </c:val>
          <c:extLst>
            <c:ext xmlns:c16="http://schemas.microsoft.com/office/drawing/2014/chart" uri="{C3380CC4-5D6E-409C-BE32-E72D297353CC}">
              <c16:uniqueId val="{00000000-0639-4191-97AA-8D3CB14139B3}"/>
            </c:ext>
          </c:extLst>
        </c:ser>
        <c:dLbls>
          <c:showLegendKey val="0"/>
          <c:showVal val="1"/>
          <c:showCatName val="0"/>
          <c:showSerName val="0"/>
          <c:showPercent val="0"/>
          <c:showBubbleSize val="0"/>
        </c:dLbls>
        <c:gapWidth val="6"/>
        <c:axId val="786210432"/>
        <c:axId val="786212432"/>
      </c:barChart>
      <c:catAx>
        <c:axId val="786210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786212432"/>
        <c:crosses val="autoZero"/>
        <c:auto val="1"/>
        <c:lblAlgn val="ctr"/>
        <c:lblOffset val="100"/>
        <c:noMultiLvlLbl val="0"/>
      </c:catAx>
      <c:valAx>
        <c:axId val="78621243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7862104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8D4C8-13CE-47A9-B684-B217543E3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13</Pages>
  <Words>3608</Words>
  <Characters>20570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 GP 005</cp:lastModifiedBy>
  <cp:revision>31</cp:revision>
  <dcterms:created xsi:type="dcterms:W3CDTF">2013-12-23T23:15:00Z</dcterms:created>
  <dcterms:modified xsi:type="dcterms:W3CDTF">2025-08-20T05:31:00Z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56285078-cac8-4afe-905c-62aca8ef58a5</vt:lpwstr>
  </property>
</Properties>
</file>