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FD7CF" w14:textId="77777777" w:rsidR="00754C9A" w:rsidRDefault="00754C9A" w:rsidP="00441B6F">
      <w:pPr>
        <w:pStyle w:val="Title"/>
        <w:spacing w:after="0"/>
        <w:jc w:val="both"/>
        <w:rPr>
          <w:rFonts w:ascii="Arial" w:hAnsi="Arial" w:cs="Arial"/>
        </w:rPr>
      </w:pPr>
      <w:bookmarkStart w:id="0" w:name="_GoBack"/>
      <w:bookmarkEnd w:id="0"/>
    </w:p>
    <w:p w14:paraId="2614DA73" w14:textId="77777777" w:rsidR="00CB7C6B" w:rsidRPr="00CB7C6B" w:rsidRDefault="00CB7C6B" w:rsidP="00CB7C6B">
      <w:pPr>
        <w:pStyle w:val="Author"/>
        <w:rPr>
          <w:rFonts w:ascii="Arial" w:hAnsi="Arial" w:cs="Arial"/>
          <w:bCs/>
          <w:i/>
          <w:iCs/>
          <w:kern w:val="28"/>
          <w:sz w:val="20"/>
          <w:u w:val="single"/>
        </w:rPr>
      </w:pPr>
      <w:r w:rsidRPr="00CB7C6B">
        <w:rPr>
          <w:rFonts w:ascii="Arial" w:hAnsi="Arial" w:cs="Arial"/>
          <w:bCs/>
          <w:i/>
          <w:iCs/>
          <w:kern w:val="28"/>
          <w:sz w:val="20"/>
          <w:u w:val="single"/>
        </w:rPr>
        <w:t>Review Article</w:t>
      </w:r>
    </w:p>
    <w:p w14:paraId="6866E8F4" w14:textId="77777777" w:rsidR="00163BC4" w:rsidRPr="00163BC4" w:rsidRDefault="008E2EA4" w:rsidP="00441B6F">
      <w:pPr>
        <w:pStyle w:val="Author"/>
        <w:spacing w:line="240" w:lineRule="auto"/>
        <w:rPr>
          <w:rFonts w:ascii="Arial" w:hAnsi="Arial" w:cs="Arial"/>
          <w:bCs/>
          <w:iCs/>
          <w:kern w:val="28"/>
          <w:sz w:val="36"/>
        </w:rPr>
      </w:pPr>
      <w:r w:rsidRPr="008E2EA4">
        <w:rPr>
          <w:rFonts w:ascii="Arial" w:hAnsi="Arial" w:cs="Arial"/>
          <w:bCs/>
          <w:iCs/>
          <w:kern w:val="28"/>
          <w:sz w:val="36"/>
        </w:rPr>
        <w:t>The Role of Probiotic Supplementation in Silkworm (</w:t>
      </w:r>
      <w:r w:rsidRPr="008E2EA4">
        <w:rPr>
          <w:rFonts w:ascii="Arial" w:hAnsi="Arial" w:cs="Arial"/>
          <w:bCs/>
          <w:i/>
          <w:iCs/>
          <w:kern w:val="28"/>
          <w:sz w:val="36"/>
        </w:rPr>
        <w:t>Bombyx mori</w:t>
      </w:r>
      <w:r w:rsidRPr="008E2EA4">
        <w:rPr>
          <w:rFonts w:ascii="Arial" w:hAnsi="Arial" w:cs="Arial"/>
          <w:bCs/>
          <w:iCs/>
          <w:kern w:val="28"/>
          <w:sz w:val="36"/>
        </w:rPr>
        <w:t>) Biology: Current Insights and Future Perspectives</w:t>
      </w:r>
      <w:r w:rsidR="00231920">
        <w:rPr>
          <w:rFonts w:ascii="Arial" w:hAnsi="Arial" w:cs="Arial"/>
          <w:bCs/>
          <w:iCs/>
          <w:kern w:val="28"/>
          <w:sz w:val="36"/>
        </w:rPr>
        <w:t xml:space="preserve"> </w:t>
      </w:r>
    </w:p>
    <w:p w14:paraId="4F03C0CA" w14:textId="77777777" w:rsidR="00A258C3" w:rsidRPr="00790ADA" w:rsidRDefault="00A258C3" w:rsidP="00441B6F">
      <w:pPr>
        <w:pStyle w:val="Author"/>
        <w:spacing w:line="240" w:lineRule="auto"/>
        <w:jc w:val="both"/>
        <w:rPr>
          <w:rFonts w:ascii="Arial" w:hAnsi="Arial" w:cs="Arial"/>
          <w:sz w:val="36"/>
        </w:rPr>
      </w:pPr>
    </w:p>
    <w:p w14:paraId="63A91688" w14:textId="77777777" w:rsidR="002C57D2" w:rsidRPr="00FB3A86" w:rsidRDefault="002C57D2" w:rsidP="00441B6F">
      <w:pPr>
        <w:pStyle w:val="Affiliation"/>
        <w:spacing w:after="0" w:line="240" w:lineRule="auto"/>
        <w:jc w:val="both"/>
        <w:rPr>
          <w:rFonts w:ascii="Arial" w:hAnsi="Arial" w:cs="Arial"/>
        </w:rPr>
      </w:pPr>
    </w:p>
    <w:p w14:paraId="68D25484" w14:textId="77777777" w:rsidR="00B01FCD" w:rsidRPr="00FB3A86" w:rsidRDefault="00826B40" w:rsidP="00441B6F">
      <w:pPr>
        <w:pStyle w:val="Copyright"/>
        <w:spacing w:after="0" w:line="240" w:lineRule="auto"/>
        <w:jc w:val="both"/>
        <w:rPr>
          <w:rFonts w:ascii="Arial" w:hAnsi="Arial" w:cs="Arial"/>
        </w:rPr>
        <w:sectPr w:rsidR="00B01FCD" w:rsidRPr="00FB3A86" w:rsidSect="00CE610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C55AB37" wp14:editId="2D965F6F">
                <wp:extent cx="5303520" cy="0"/>
                <wp:effectExtent l="13335" t="18415" r="17145" b="10160"/>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941ADC1"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TlbHgIAADw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CBSTlb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6801487B"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1446928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33E5A5A" w14:textId="77777777" w:rsidTr="001E44FE">
        <w:tc>
          <w:tcPr>
            <w:tcW w:w="9576" w:type="dxa"/>
            <w:shd w:val="clear" w:color="auto" w:fill="F2F2F2"/>
          </w:tcPr>
          <w:p w14:paraId="72709BA3" w14:textId="4E69EB63" w:rsidR="008E5758" w:rsidRPr="008E5758" w:rsidRDefault="00ED2A76" w:rsidP="008E5758">
            <w:pPr>
              <w:pStyle w:val="Body"/>
              <w:spacing w:after="0"/>
              <w:rPr>
                <w:rFonts w:ascii="Arial" w:eastAsia="Calibri" w:hAnsi="Arial" w:cs="Arial"/>
                <w:szCs w:val="22"/>
              </w:rPr>
            </w:pPr>
            <w:r w:rsidRPr="007921A3">
              <w:rPr>
                <w:rFonts w:ascii="Arial" w:eastAsia="Calibri" w:hAnsi="Arial" w:cs="Arial"/>
                <w:szCs w:val="22"/>
                <w:highlight w:val="yellow"/>
              </w:rPr>
              <w:t>This review collectively underscores the potential of probiotic supplementation as a strategy to improve gut health and optimize economic traits in silkworms.</w:t>
            </w:r>
            <w:r>
              <w:rPr>
                <w:rFonts w:ascii="Arial" w:eastAsia="Calibri" w:hAnsi="Arial" w:cs="Arial"/>
                <w:szCs w:val="22"/>
              </w:rPr>
              <w:t xml:space="preserve"> </w:t>
            </w:r>
            <w:r w:rsidR="008E5758" w:rsidRPr="008E5758">
              <w:rPr>
                <w:rFonts w:ascii="Arial" w:eastAsia="Calibri" w:hAnsi="Arial" w:cs="Arial"/>
                <w:szCs w:val="22"/>
              </w:rPr>
              <w:t xml:space="preserve">Probiotic supplementation has emerged as a promising strategy to improve the health, growth, and silk productivity of </w:t>
            </w:r>
            <w:r w:rsidR="008E5758" w:rsidRPr="008E5758">
              <w:rPr>
                <w:rFonts w:ascii="Arial" w:eastAsia="Calibri" w:hAnsi="Arial" w:cs="Arial"/>
                <w:i/>
                <w:iCs/>
                <w:szCs w:val="22"/>
              </w:rPr>
              <w:t>Bombyx mori</w:t>
            </w:r>
            <w:r w:rsidR="008E5758" w:rsidRPr="008E5758">
              <w:rPr>
                <w:rFonts w:ascii="Arial" w:eastAsia="Calibri" w:hAnsi="Arial" w:cs="Arial"/>
                <w:szCs w:val="22"/>
              </w:rPr>
              <w:t xml:space="preserve">, the mulberry silkworm. Recent advancements in insect microbiome research have highlighted the functional significance of gut microbiota in nutrient assimilation, immune modulation, and physiological resilience. Studies indicate that incorporating beneficial microbes such as </w:t>
            </w:r>
            <w:r w:rsidR="008E5758" w:rsidRPr="008E5758">
              <w:rPr>
                <w:rFonts w:ascii="Arial" w:eastAsia="Calibri" w:hAnsi="Arial" w:cs="Arial"/>
                <w:i/>
                <w:iCs/>
                <w:szCs w:val="22"/>
              </w:rPr>
              <w:t>Lactobacillus</w:t>
            </w:r>
            <w:r w:rsidR="008E5758" w:rsidRPr="008E5758">
              <w:rPr>
                <w:rFonts w:ascii="Arial" w:eastAsia="Calibri" w:hAnsi="Arial" w:cs="Arial"/>
                <w:szCs w:val="22"/>
              </w:rPr>
              <w:t xml:space="preserve">, </w:t>
            </w:r>
            <w:r w:rsidR="008E5758" w:rsidRPr="008E5758">
              <w:rPr>
                <w:rFonts w:ascii="Arial" w:eastAsia="Calibri" w:hAnsi="Arial" w:cs="Arial"/>
                <w:i/>
                <w:iCs/>
                <w:szCs w:val="22"/>
              </w:rPr>
              <w:t>Bacillus</w:t>
            </w:r>
            <w:r w:rsidR="008E5758" w:rsidRPr="008E5758">
              <w:rPr>
                <w:rFonts w:ascii="Arial" w:eastAsia="Calibri" w:hAnsi="Arial" w:cs="Arial"/>
                <w:szCs w:val="22"/>
              </w:rPr>
              <w:t xml:space="preserve">, </w:t>
            </w:r>
            <w:r w:rsidR="008E5758" w:rsidRPr="008E5758">
              <w:rPr>
                <w:rFonts w:ascii="Arial" w:eastAsia="Calibri" w:hAnsi="Arial" w:cs="Arial"/>
                <w:i/>
                <w:iCs/>
                <w:szCs w:val="22"/>
              </w:rPr>
              <w:t>Saccharomyces</w:t>
            </w:r>
            <w:r w:rsidR="008E5758" w:rsidRPr="008E5758">
              <w:rPr>
                <w:rFonts w:ascii="Arial" w:eastAsia="Calibri" w:hAnsi="Arial" w:cs="Arial"/>
                <w:szCs w:val="22"/>
              </w:rPr>
              <w:t xml:space="preserve">, and </w:t>
            </w:r>
            <w:r w:rsidR="008E5758" w:rsidRPr="008E5758">
              <w:rPr>
                <w:rFonts w:ascii="Arial" w:eastAsia="Calibri" w:hAnsi="Arial" w:cs="Arial"/>
                <w:i/>
                <w:iCs/>
                <w:szCs w:val="22"/>
              </w:rPr>
              <w:t>Bifidobacterium</w:t>
            </w:r>
            <w:r w:rsidR="008E5758" w:rsidRPr="008E5758">
              <w:rPr>
                <w:rFonts w:ascii="Arial" w:eastAsia="Calibri" w:hAnsi="Arial" w:cs="Arial"/>
                <w:szCs w:val="22"/>
              </w:rPr>
              <w:t xml:space="preserve"> into the silkworm diet enhances digestive enzyme activity, silk gland protein content, and disease resistance. These probiotics not only improve larval and cocoon traits but also suppress pathogenic infections by modulating gut microbial balance and immune responses. The effectiveness of probiotic supplementation, however, is often strain- and dosage-dependent, emphasizing the need for targeted formulations. In addition, integration with prebiotics or botanical additives has shown synergistic benefits, opening avenues for developing biofortified sericultural feeds. Despite promising outcomes, the absence of standardized protocols and limited understanding of long-term probiotic-host interactions remain major challenges. Recent molecular approaches</w:t>
            </w:r>
            <w:r w:rsidR="00014E69">
              <w:rPr>
                <w:rFonts w:ascii="Arial" w:eastAsia="Calibri" w:hAnsi="Arial" w:cs="Arial"/>
                <w:szCs w:val="22"/>
              </w:rPr>
              <w:t>,</w:t>
            </w:r>
            <w:r w:rsidR="008E5758" w:rsidRPr="008E5758">
              <w:rPr>
                <w:rFonts w:ascii="Arial" w:eastAsia="Calibri" w:hAnsi="Arial" w:cs="Arial"/>
                <w:szCs w:val="22"/>
              </w:rPr>
              <w:t xml:space="preserve"> such as metagenomics and </w:t>
            </w:r>
            <w:r w:rsidR="008E5758" w:rsidRPr="007921A3">
              <w:rPr>
                <w:rFonts w:ascii="Arial" w:eastAsia="Calibri" w:hAnsi="Arial" w:cs="Arial"/>
                <w:szCs w:val="22"/>
                <w:highlight w:val="yellow"/>
              </w:rPr>
              <w:t>transcriptomics</w:t>
            </w:r>
            <w:r w:rsidR="00014E69" w:rsidRPr="007921A3">
              <w:rPr>
                <w:rFonts w:ascii="Arial" w:eastAsia="Calibri" w:hAnsi="Arial" w:cs="Arial"/>
                <w:szCs w:val="22"/>
                <w:highlight w:val="yellow"/>
              </w:rPr>
              <w:t>,</w:t>
            </w:r>
            <w:r w:rsidR="008E5758" w:rsidRPr="007921A3">
              <w:rPr>
                <w:rFonts w:ascii="Arial" w:eastAsia="Calibri" w:hAnsi="Arial" w:cs="Arial"/>
                <w:szCs w:val="22"/>
                <w:highlight w:val="yellow"/>
              </w:rPr>
              <w:t xml:space="preserve"> offer</w:t>
            </w:r>
            <w:r w:rsidR="008E5758" w:rsidRPr="008E5758">
              <w:rPr>
                <w:rFonts w:ascii="Arial" w:eastAsia="Calibri" w:hAnsi="Arial" w:cs="Arial"/>
                <w:szCs w:val="22"/>
              </w:rPr>
              <w:t xml:space="preserve"> new insights into the microbial dynamics within the silkworm gut, paving the way for precision probiotic applications. This review consolidates current knowledge on the functional roles of probiotics in silkworm biology and discusses their implications for sustainable, eco-friendly sericulture. The development of strain-specific, cost-effective probiotic interventions could significantly improve productivity while reducing dependence on chemical treatments, contributing to the resilience and profitability of the silk industry.</w:t>
            </w:r>
            <w:r w:rsidR="00315BA5">
              <w:rPr>
                <w:rFonts w:ascii="Arial" w:eastAsia="Calibri" w:hAnsi="Arial" w:cs="Arial"/>
                <w:szCs w:val="22"/>
              </w:rPr>
              <w:t xml:space="preserve"> </w:t>
            </w:r>
            <w:r w:rsidR="00315BA5" w:rsidRPr="007921A3">
              <w:rPr>
                <w:rFonts w:ascii="Arial" w:eastAsia="Calibri" w:hAnsi="Arial" w:cs="Arial"/>
                <w:szCs w:val="22"/>
                <w:highlight w:val="yellow"/>
              </w:rPr>
              <w:t>Probiotic supplementation offers a sustainable, eco-friendly, and economically viable approach to strengthening silkworm health and optimizing silk production. Continued interdisciplinary research and field validation will be critical in translating these insights into scalable solutions that support the long-term resilience and profitability of the sericulture industry.</w:t>
            </w:r>
          </w:p>
          <w:p w14:paraId="650F9E72" w14:textId="77777777" w:rsidR="00505F06" w:rsidRPr="00BA1B01" w:rsidRDefault="00505F06" w:rsidP="00441B6F">
            <w:pPr>
              <w:pStyle w:val="Body"/>
              <w:spacing w:after="0"/>
              <w:rPr>
                <w:rFonts w:ascii="Arial" w:eastAsia="Calibri" w:hAnsi="Arial" w:cs="Arial"/>
                <w:szCs w:val="22"/>
              </w:rPr>
            </w:pPr>
          </w:p>
        </w:tc>
      </w:tr>
    </w:tbl>
    <w:p w14:paraId="2A1CE77E" w14:textId="77777777" w:rsidR="00636EB2" w:rsidRDefault="00636EB2" w:rsidP="00441B6F">
      <w:pPr>
        <w:pStyle w:val="Body"/>
        <w:spacing w:after="0"/>
        <w:rPr>
          <w:rFonts w:ascii="Arial" w:hAnsi="Arial" w:cs="Arial"/>
          <w:i/>
        </w:rPr>
      </w:pPr>
    </w:p>
    <w:p w14:paraId="31E99A7A" w14:textId="77777777" w:rsidR="0024282C" w:rsidRPr="008E5758" w:rsidRDefault="008E5758" w:rsidP="008E5758">
      <w:pPr>
        <w:pStyle w:val="Body"/>
        <w:rPr>
          <w:rFonts w:ascii="Arial" w:hAnsi="Arial" w:cs="Arial"/>
          <w:b/>
          <w:i/>
        </w:rPr>
      </w:pPr>
      <w:r>
        <w:rPr>
          <w:rFonts w:ascii="Arial" w:hAnsi="Arial" w:cs="Arial"/>
          <w:i/>
        </w:rPr>
        <w:t xml:space="preserve">Keywords: </w:t>
      </w:r>
      <w:r w:rsidRPr="008E5758">
        <w:rPr>
          <w:rFonts w:ascii="Arial" w:hAnsi="Arial" w:cs="Arial"/>
          <w:i/>
        </w:rPr>
        <w:t>Bombyx mori, Probiotic supplementation, Silkworm gut microbiota, Sericulture productivity, Digestive enzymes, Immune modulation, Cocoon and silk yield, Microbial symbiosis</w:t>
      </w:r>
    </w:p>
    <w:p w14:paraId="69D7FBA8" w14:textId="77777777" w:rsidR="00505F06" w:rsidRPr="00A24E7E" w:rsidRDefault="00505F06" w:rsidP="00441B6F">
      <w:pPr>
        <w:pStyle w:val="Body"/>
        <w:spacing w:after="0"/>
        <w:rPr>
          <w:rFonts w:ascii="Arial" w:hAnsi="Arial" w:cs="Arial"/>
          <w:i/>
        </w:rPr>
      </w:pPr>
    </w:p>
    <w:p w14:paraId="1DDE44DC"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730463D1" w14:textId="77777777" w:rsidR="00790ADA" w:rsidRPr="00FB3A86" w:rsidRDefault="00790ADA" w:rsidP="00441B6F">
      <w:pPr>
        <w:pStyle w:val="AbstHead"/>
        <w:spacing w:after="0"/>
        <w:jc w:val="both"/>
        <w:rPr>
          <w:rFonts w:ascii="Arial" w:hAnsi="Arial" w:cs="Arial"/>
        </w:rPr>
      </w:pPr>
    </w:p>
    <w:p w14:paraId="0A76361A" w14:textId="575A82D5" w:rsidR="008E5758" w:rsidRPr="008E5758" w:rsidRDefault="008E5758" w:rsidP="00712E68">
      <w:pPr>
        <w:pStyle w:val="Body"/>
        <w:rPr>
          <w:rFonts w:ascii="Arial" w:hAnsi="Arial" w:cs="Arial"/>
        </w:rPr>
      </w:pPr>
      <w:r w:rsidRPr="008E5758">
        <w:rPr>
          <w:rFonts w:ascii="Arial" w:hAnsi="Arial" w:cs="Arial"/>
        </w:rPr>
        <w:t xml:space="preserve">Sericulture, the practice of rearing silkworms for silk production, represents a vital agro-based industry and source of livelihood, particularly in many Asian countries. Among the </w:t>
      </w:r>
      <w:r w:rsidRPr="008E5758">
        <w:rPr>
          <w:rFonts w:ascii="Arial" w:hAnsi="Arial" w:cs="Arial"/>
        </w:rPr>
        <w:lastRenderedPageBreak/>
        <w:t xml:space="preserve">domesticated silkworm species, </w:t>
      </w:r>
      <w:r w:rsidRPr="008E5758">
        <w:rPr>
          <w:rFonts w:ascii="Arial" w:hAnsi="Arial" w:cs="Arial"/>
          <w:i/>
          <w:iCs/>
        </w:rPr>
        <w:t>Bombyx mori</w:t>
      </w:r>
      <w:r w:rsidRPr="008E5758">
        <w:rPr>
          <w:rFonts w:ascii="Arial" w:hAnsi="Arial" w:cs="Arial"/>
        </w:rPr>
        <w:t xml:space="preserve"> L. (Lepidoptera: Bombycidae) holds the highest economic importance, contributing to over 90% of global raw silk production. This species is extensively utilized in commercial sericulture due to its remarkable ability to biosynthesize silk proteins through efficient nutrient conversion from mulberry leaves (</w:t>
      </w:r>
      <w:r w:rsidRPr="008E5758">
        <w:rPr>
          <w:rFonts w:ascii="Arial" w:hAnsi="Arial" w:cs="Arial"/>
          <w:i/>
          <w:iCs/>
        </w:rPr>
        <w:t>Morus</w:t>
      </w:r>
      <w:r w:rsidRPr="008E5758">
        <w:rPr>
          <w:rFonts w:ascii="Arial" w:hAnsi="Arial" w:cs="Arial"/>
        </w:rPr>
        <w:t xml:space="preserve"> spp., Family: Moraceae) </w:t>
      </w:r>
      <w:r w:rsidRPr="00864FCF">
        <w:rPr>
          <w:rFonts w:ascii="Arial" w:hAnsi="Arial" w:cs="Arial"/>
        </w:rPr>
        <w:t xml:space="preserve">(Yeruva </w:t>
      </w:r>
      <w:r w:rsidRPr="00864FCF">
        <w:rPr>
          <w:rFonts w:ascii="Arial" w:hAnsi="Arial" w:cs="Arial"/>
          <w:i/>
        </w:rPr>
        <w:t>et al.,</w:t>
      </w:r>
      <w:r w:rsidRPr="00864FCF">
        <w:rPr>
          <w:rFonts w:ascii="Arial" w:hAnsi="Arial" w:cs="Arial"/>
        </w:rPr>
        <w:t xml:space="preserve"> 2020; Hassan, 2020). Achieving</w:t>
      </w:r>
      <w:r w:rsidRPr="008E5758">
        <w:rPr>
          <w:rFonts w:ascii="Arial" w:hAnsi="Arial" w:cs="Arial"/>
        </w:rPr>
        <w:t xml:space="preserve"> optimal larval growth, enhanced disease resistance, and high silk yield is essential for improving both the economic viability and long-term sustainability of sericulture. Within this framework, nutrient assimilation efficiency and the maintenance of gut health emerge as critical determinants of silkworm performance.</w:t>
      </w:r>
      <w:r w:rsidR="00A80752">
        <w:rPr>
          <w:rFonts w:ascii="Arial" w:hAnsi="Arial" w:cs="Arial"/>
        </w:rPr>
        <w:t xml:space="preserve"> </w:t>
      </w:r>
      <w:r w:rsidR="00A80752" w:rsidRPr="007921A3">
        <w:rPr>
          <w:rFonts w:ascii="Arial" w:hAnsi="Arial" w:cs="Arial"/>
          <w:highlight w:val="yellow"/>
        </w:rPr>
        <w:t xml:space="preserve">Silkworm farming is one of the key economic drivers for farmers in Asia (90% of global silk production). In countries like Thailand, silk production is an important cottage industry that contributes significantly to the economy. Silk is not only used for making silk cloth, but also for other purposes: cosmetics, supplementary food, biological materials, and medical treatments. Waste and </w:t>
      </w:r>
      <w:proofErr w:type="spellStart"/>
      <w:r w:rsidR="00A80752" w:rsidRPr="007921A3">
        <w:rPr>
          <w:rFonts w:ascii="Arial" w:hAnsi="Arial" w:cs="Arial"/>
          <w:highlight w:val="yellow"/>
        </w:rPr>
        <w:t>frass</w:t>
      </w:r>
      <w:proofErr w:type="spellEnd"/>
      <w:r w:rsidR="00A80752" w:rsidRPr="007921A3">
        <w:rPr>
          <w:rFonts w:ascii="Arial" w:hAnsi="Arial" w:cs="Arial"/>
          <w:highlight w:val="yellow"/>
        </w:rPr>
        <w:t xml:space="preserve"> from silkworm rearing may also be used as fertilizer or for biogas production. However, the greatest challenge in silk production arises from microbial diseases caused by viruses, bacteria, microsporidia, or other fungi. Meanwhile, other microorganisms can serve as beneficial microbes, acting as biological control, and competing with harmful microorganisms</w:t>
      </w:r>
      <w:r w:rsidR="007A22EE">
        <w:rPr>
          <w:rFonts w:ascii="Arial" w:hAnsi="Arial" w:cs="Arial"/>
          <w:highlight w:val="yellow"/>
        </w:rPr>
        <w:t xml:space="preserve"> (</w:t>
      </w:r>
      <w:proofErr w:type="spellStart"/>
      <w:r w:rsidR="007A22EE" w:rsidRPr="007921A3">
        <w:rPr>
          <w:rFonts w:ascii="Arial" w:hAnsi="Arial" w:cs="Arial"/>
          <w:highlight w:val="yellow"/>
        </w:rPr>
        <w:t>Suraporn</w:t>
      </w:r>
      <w:proofErr w:type="spellEnd"/>
      <w:r w:rsidR="007A22EE" w:rsidRPr="007921A3">
        <w:rPr>
          <w:rFonts w:ascii="Arial" w:hAnsi="Arial" w:cs="Arial"/>
          <w:highlight w:val="yellow"/>
        </w:rPr>
        <w:t xml:space="preserve"> et al., 2025)</w:t>
      </w:r>
      <w:r w:rsidR="00A80752" w:rsidRPr="007921A3">
        <w:rPr>
          <w:rFonts w:ascii="Arial" w:hAnsi="Arial" w:cs="Arial"/>
          <w:highlight w:val="yellow"/>
        </w:rPr>
        <w:t>.</w:t>
      </w:r>
    </w:p>
    <w:p w14:paraId="74062995" w14:textId="77777777" w:rsidR="008E5758" w:rsidRPr="008E5758" w:rsidRDefault="008E5758" w:rsidP="00712E68">
      <w:pPr>
        <w:pStyle w:val="Body"/>
        <w:rPr>
          <w:rFonts w:ascii="Arial" w:hAnsi="Arial" w:cs="Arial"/>
        </w:rPr>
      </w:pPr>
      <w:r w:rsidRPr="008E5758">
        <w:rPr>
          <w:rFonts w:ascii="Arial" w:hAnsi="Arial" w:cs="Arial"/>
          <w:i/>
          <w:iCs/>
        </w:rPr>
        <w:t>Bombyx mori</w:t>
      </w:r>
      <w:r w:rsidRPr="008E5758">
        <w:rPr>
          <w:rFonts w:ascii="Arial" w:hAnsi="Arial" w:cs="Arial"/>
        </w:rPr>
        <w:t xml:space="preserve"> is a monophagous and host-specific insect, relying exclusively on mulberry leaves as its primary nutritional source. The quality of these leaves, which is significantly influenced by environmental factors, plays a central role in regulating larval growth, development, cocoon formation, and ultimately, </w:t>
      </w:r>
      <w:r w:rsidRPr="00C831D1">
        <w:rPr>
          <w:rFonts w:ascii="Arial" w:hAnsi="Arial" w:cs="Arial"/>
        </w:rPr>
        <w:t xml:space="preserve">silk quality (Gheorghe </w:t>
      </w:r>
      <w:r w:rsidRPr="00C831D1">
        <w:rPr>
          <w:rFonts w:ascii="Arial" w:hAnsi="Arial" w:cs="Arial"/>
          <w:i/>
        </w:rPr>
        <w:t>et al.,</w:t>
      </w:r>
      <w:r w:rsidRPr="00C831D1">
        <w:rPr>
          <w:rFonts w:ascii="Arial" w:hAnsi="Arial" w:cs="Arial"/>
        </w:rPr>
        <w:t xml:space="preserve"> 2024). Beyond</w:t>
      </w:r>
      <w:r w:rsidRPr="008E5758">
        <w:rPr>
          <w:rFonts w:ascii="Arial" w:hAnsi="Arial" w:cs="Arial"/>
        </w:rPr>
        <w:t xml:space="preserve"> the inherent nutrients in mulberry, various dietary supplements such as vitamins, amino acids, proteins, and probiotics have demonstrated potential in improving nutrient utilization and enhancing the biological and economic traits of </w:t>
      </w:r>
      <w:r w:rsidRPr="00C831D1">
        <w:rPr>
          <w:rFonts w:ascii="Arial" w:hAnsi="Arial" w:cs="Arial"/>
        </w:rPr>
        <w:t>silkworms (</w:t>
      </w:r>
      <w:r w:rsidR="00C831D1" w:rsidRPr="00C831D1">
        <w:rPr>
          <w:rFonts w:ascii="Arial" w:hAnsi="Arial" w:cs="Arial"/>
        </w:rPr>
        <w:t>Pachiappan</w:t>
      </w:r>
      <w:r w:rsidRPr="00C831D1">
        <w:rPr>
          <w:rFonts w:ascii="Arial" w:hAnsi="Arial" w:cs="Arial"/>
        </w:rPr>
        <w:t xml:space="preserve"> </w:t>
      </w:r>
      <w:r w:rsidRPr="00C831D1">
        <w:rPr>
          <w:rFonts w:ascii="Arial" w:hAnsi="Arial" w:cs="Arial"/>
          <w:i/>
        </w:rPr>
        <w:t>et al.,</w:t>
      </w:r>
      <w:r w:rsidRPr="00C831D1">
        <w:rPr>
          <w:rFonts w:ascii="Arial" w:hAnsi="Arial" w:cs="Arial"/>
        </w:rPr>
        <w:t xml:space="preserve"> 2021).</w:t>
      </w:r>
      <w:r w:rsidRPr="008E5758">
        <w:rPr>
          <w:rFonts w:ascii="Arial" w:hAnsi="Arial" w:cs="Arial"/>
        </w:rPr>
        <w:t xml:space="preserve"> Over the years, researchers have focused on enriching the nutritional profile of mulberry leaves through the incorporation of essential compounds like amino acids (e.g., glycine, asparagine, arginine, serine), vitamins (including B-complex and vitamin C), and minerals (such as calcium, phosphorus, zinc, magnesium, potassium, copper, and selenium), aiming to promote better larval health and </w:t>
      </w:r>
      <w:r w:rsidRPr="00C831D1">
        <w:rPr>
          <w:rFonts w:ascii="Arial" w:hAnsi="Arial" w:cs="Arial"/>
        </w:rPr>
        <w:t xml:space="preserve">productivity (Hassan </w:t>
      </w:r>
      <w:r w:rsidRPr="00C831D1">
        <w:rPr>
          <w:rFonts w:ascii="Arial" w:hAnsi="Arial" w:cs="Arial"/>
          <w:i/>
        </w:rPr>
        <w:t>et al.,</w:t>
      </w:r>
      <w:r w:rsidRPr="00C831D1">
        <w:rPr>
          <w:rFonts w:ascii="Arial" w:hAnsi="Arial" w:cs="Arial"/>
        </w:rPr>
        <w:t xml:space="preserve"> 2020).</w:t>
      </w:r>
    </w:p>
    <w:p w14:paraId="2B76246E" w14:textId="54D4026E" w:rsidR="008E5758" w:rsidRPr="008E5758" w:rsidRDefault="008E5758" w:rsidP="00712E68">
      <w:pPr>
        <w:pStyle w:val="Body"/>
        <w:rPr>
          <w:rFonts w:ascii="Arial" w:hAnsi="Arial" w:cs="Arial"/>
        </w:rPr>
      </w:pPr>
      <w:r w:rsidRPr="008E5758">
        <w:rPr>
          <w:rFonts w:ascii="Arial" w:hAnsi="Arial" w:cs="Arial"/>
        </w:rPr>
        <w:t xml:space="preserve">An increasingly recognized factor in silkworm health and productivity is the gut microbiota. The gut of </w:t>
      </w:r>
      <w:r w:rsidRPr="008E5758">
        <w:rPr>
          <w:rFonts w:ascii="Arial" w:hAnsi="Arial" w:cs="Arial"/>
          <w:i/>
          <w:iCs/>
        </w:rPr>
        <w:t>B. mori</w:t>
      </w:r>
      <w:r w:rsidRPr="008E5758">
        <w:rPr>
          <w:rFonts w:ascii="Arial" w:hAnsi="Arial" w:cs="Arial"/>
        </w:rPr>
        <w:t xml:space="preserve"> </w:t>
      </w:r>
      <w:proofErr w:type="spellStart"/>
      <w:r w:rsidRPr="008E5758">
        <w:rPr>
          <w:rFonts w:ascii="Arial" w:hAnsi="Arial" w:cs="Arial"/>
        </w:rPr>
        <w:t>har</w:t>
      </w:r>
      <w:r w:rsidRPr="007921A3">
        <w:rPr>
          <w:rFonts w:ascii="Arial" w:hAnsi="Arial" w:cs="Arial"/>
          <w:highlight w:val="yellow"/>
        </w:rPr>
        <w:t>bo</w:t>
      </w:r>
      <w:r w:rsidR="00CF4D29" w:rsidRPr="007921A3">
        <w:rPr>
          <w:rFonts w:ascii="Arial" w:hAnsi="Arial" w:cs="Arial"/>
          <w:highlight w:val="yellow"/>
        </w:rPr>
        <w:t>u</w:t>
      </w:r>
      <w:r w:rsidRPr="007921A3">
        <w:rPr>
          <w:rFonts w:ascii="Arial" w:hAnsi="Arial" w:cs="Arial"/>
          <w:highlight w:val="yellow"/>
        </w:rPr>
        <w:t>rs</w:t>
      </w:r>
      <w:proofErr w:type="spellEnd"/>
      <w:r w:rsidRPr="008E5758">
        <w:rPr>
          <w:rFonts w:ascii="Arial" w:hAnsi="Arial" w:cs="Arial"/>
        </w:rPr>
        <w:t xml:space="preserve"> a diverse microbial community that plays vital roles in digestion, immune function, and overall physiological regulation. These symbiotic microorganisms act as important metabolic allies, aiding in the breakdown and absorption of complex plant-derived compounds, supplementing the host with essential nutrients and digestive enzymes, and thereby enhancing larval survival and </w:t>
      </w:r>
      <w:r w:rsidRPr="00A95B8A">
        <w:rPr>
          <w:rFonts w:ascii="Arial" w:hAnsi="Arial" w:cs="Arial"/>
        </w:rPr>
        <w:t xml:space="preserve">fitness (Das </w:t>
      </w:r>
      <w:r w:rsidRPr="00A95B8A">
        <w:rPr>
          <w:rFonts w:ascii="Arial" w:hAnsi="Arial" w:cs="Arial"/>
          <w:i/>
        </w:rPr>
        <w:t>et al.,</w:t>
      </w:r>
      <w:r w:rsidRPr="00A95B8A">
        <w:rPr>
          <w:rFonts w:ascii="Arial" w:hAnsi="Arial" w:cs="Arial"/>
        </w:rPr>
        <w:t xml:space="preserve"> 2024). Arasakumar </w:t>
      </w:r>
      <w:r w:rsidRPr="00A95B8A">
        <w:rPr>
          <w:rFonts w:ascii="Arial" w:hAnsi="Arial" w:cs="Arial"/>
          <w:i/>
        </w:rPr>
        <w:t>et al.,</w:t>
      </w:r>
      <w:r w:rsidRPr="00A95B8A">
        <w:rPr>
          <w:rFonts w:ascii="Arial" w:hAnsi="Arial" w:cs="Arial"/>
        </w:rPr>
        <w:t xml:space="preserve"> (2023)</w:t>
      </w:r>
      <w:r w:rsidRPr="008E5758">
        <w:rPr>
          <w:rFonts w:ascii="Arial" w:hAnsi="Arial" w:cs="Arial"/>
        </w:rPr>
        <w:t xml:space="preserve"> emphasized that gut bacteria in silkworms contribute significantly to nutrient assimilation, defense against pathogens, and developmental processes. In light of these findings, manipulating gut microbiota through dietary supplementation, especially with probiotics, is emerging as a promising approach to improve silkworm health and silk production.</w:t>
      </w:r>
    </w:p>
    <w:p w14:paraId="6E6047A1" w14:textId="77777777" w:rsidR="008E5758" w:rsidRPr="008E5758" w:rsidRDefault="008E5758" w:rsidP="00712E68">
      <w:pPr>
        <w:pStyle w:val="Body"/>
        <w:rPr>
          <w:rFonts w:ascii="Arial" w:hAnsi="Arial" w:cs="Arial"/>
        </w:rPr>
      </w:pPr>
      <w:r w:rsidRPr="008E5758">
        <w:rPr>
          <w:rFonts w:ascii="Arial" w:hAnsi="Arial" w:cs="Arial"/>
        </w:rPr>
        <w:t xml:space="preserve">In recent years, numerous nutritional interventions have been investigated in sericulture, including the supplementation of proteins, carbohydrates, amino acids, vitamins, sterols, hormones, and antibiotics, all aimed at improving cocoon yield in terms of both quantity and </w:t>
      </w:r>
      <w:r w:rsidRPr="00A95B8A">
        <w:rPr>
          <w:rFonts w:ascii="Arial" w:hAnsi="Arial" w:cs="Arial"/>
        </w:rPr>
        <w:t xml:space="preserve">quality (Sannappa </w:t>
      </w:r>
      <w:r w:rsidRPr="00A95B8A">
        <w:rPr>
          <w:rFonts w:ascii="Arial" w:hAnsi="Arial" w:cs="Arial"/>
          <w:i/>
        </w:rPr>
        <w:t>et al.,</w:t>
      </w:r>
      <w:r w:rsidRPr="00A95B8A">
        <w:rPr>
          <w:rFonts w:ascii="Arial" w:hAnsi="Arial" w:cs="Arial"/>
        </w:rPr>
        <w:t xml:space="preserve"> 2002). Among</w:t>
      </w:r>
      <w:r w:rsidRPr="008E5758">
        <w:rPr>
          <w:rFonts w:ascii="Arial" w:hAnsi="Arial" w:cs="Arial"/>
        </w:rPr>
        <w:t xml:space="preserve"> these, probiotics have attracted considerable interest due to their eco-friendly nature and multifaceted benefits. Certain probiotic strains have demonstrated the ability to inhibit the growth of harmful microbes within the silkworm body, thereby reducing disease incidence. For instance, </w:t>
      </w:r>
      <w:r w:rsidRPr="008E5758">
        <w:rPr>
          <w:rFonts w:ascii="Arial" w:hAnsi="Arial" w:cs="Arial"/>
          <w:i/>
          <w:iCs/>
        </w:rPr>
        <w:t>Streptomyces noursei</w:t>
      </w:r>
      <w:r w:rsidRPr="008E5758">
        <w:rPr>
          <w:rFonts w:ascii="Arial" w:hAnsi="Arial" w:cs="Arial"/>
        </w:rPr>
        <w:t xml:space="preserve">, known for its antibacterial properties, has shown potential as a sustainable biocontrol agent in silkworm disease </w:t>
      </w:r>
      <w:r w:rsidRPr="002B58CC">
        <w:rPr>
          <w:rFonts w:ascii="Arial" w:hAnsi="Arial" w:cs="Arial"/>
        </w:rPr>
        <w:t xml:space="preserve">management (Subramanian </w:t>
      </w:r>
      <w:r w:rsidRPr="002B58CC">
        <w:rPr>
          <w:rFonts w:ascii="Arial" w:hAnsi="Arial" w:cs="Arial"/>
          <w:i/>
        </w:rPr>
        <w:t xml:space="preserve">et al., </w:t>
      </w:r>
      <w:r w:rsidR="002B58CC">
        <w:rPr>
          <w:rFonts w:ascii="Arial" w:hAnsi="Arial" w:cs="Arial"/>
        </w:rPr>
        <w:t>2010a</w:t>
      </w:r>
      <w:r w:rsidRPr="002B58CC">
        <w:rPr>
          <w:rFonts w:ascii="Arial" w:hAnsi="Arial" w:cs="Arial"/>
        </w:rPr>
        <w:t>). Furthermore</w:t>
      </w:r>
      <w:r w:rsidRPr="008E5758">
        <w:rPr>
          <w:rFonts w:ascii="Arial" w:hAnsi="Arial" w:cs="Arial"/>
        </w:rPr>
        <w:t xml:space="preserve">, oral supplementation of silkworm diets including both mulberry and </w:t>
      </w:r>
      <w:r w:rsidRPr="008E5758">
        <w:rPr>
          <w:rFonts w:ascii="Arial" w:hAnsi="Arial" w:cs="Arial"/>
          <w:i/>
          <w:iCs/>
        </w:rPr>
        <w:t>Samia ricini</w:t>
      </w:r>
      <w:r w:rsidRPr="008E5758">
        <w:rPr>
          <w:rFonts w:ascii="Arial" w:hAnsi="Arial" w:cs="Arial"/>
        </w:rPr>
        <w:t xml:space="preserve"> foliage with cyanobacteria has been reported to improve larval and shell weight, ultimately enhancing the commercial </w:t>
      </w:r>
      <w:r w:rsidRPr="008E5758">
        <w:rPr>
          <w:rFonts w:ascii="Arial" w:hAnsi="Arial" w:cs="Arial"/>
        </w:rPr>
        <w:lastRenderedPageBreak/>
        <w:t xml:space="preserve">characteristics of the </w:t>
      </w:r>
      <w:r w:rsidRPr="002B58CC">
        <w:rPr>
          <w:rFonts w:ascii="Arial" w:hAnsi="Arial" w:cs="Arial"/>
        </w:rPr>
        <w:t>cocoon (</w:t>
      </w:r>
      <w:r w:rsidR="002B58CC" w:rsidRPr="002B58CC">
        <w:rPr>
          <w:rFonts w:ascii="Arial" w:hAnsi="Arial" w:cs="Arial"/>
        </w:rPr>
        <w:t>Ramesha</w:t>
      </w:r>
      <w:r w:rsidRPr="002B58CC">
        <w:rPr>
          <w:rFonts w:ascii="Arial" w:hAnsi="Arial" w:cs="Arial"/>
        </w:rPr>
        <w:t xml:space="preserve"> </w:t>
      </w:r>
      <w:r w:rsidRPr="002B58CC">
        <w:rPr>
          <w:rFonts w:ascii="Arial" w:hAnsi="Arial" w:cs="Arial"/>
          <w:i/>
        </w:rPr>
        <w:t>et al.,</w:t>
      </w:r>
      <w:r w:rsidR="00C14283">
        <w:rPr>
          <w:rFonts w:ascii="Arial" w:hAnsi="Arial" w:cs="Arial"/>
        </w:rPr>
        <w:t xml:space="preserve"> 2010</w:t>
      </w:r>
      <w:r w:rsidR="00087C71">
        <w:rPr>
          <w:rFonts w:ascii="Arial" w:hAnsi="Arial" w:cs="Arial"/>
        </w:rPr>
        <w:t>a</w:t>
      </w:r>
      <w:r w:rsidRPr="002B58CC">
        <w:rPr>
          <w:rFonts w:ascii="Arial" w:hAnsi="Arial" w:cs="Arial"/>
        </w:rPr>
        <w:t xml:space="preserve">; Masthan </w:t>
      </w:r>
      <w:r w:rsidRPr="002B58CC">
        <w:rPr>
          <w:rFonts w:ascii="Arial" w:hAnsi="Arial" w:cs="Arial"/>
          <w:i/>
        </w:rPr>
        <w:t>et al.,</w:t>
      </w:r>
      <w:r w:rsidRPr="002B58CC">
        <w:rPr>
          <w:rFonts w:ascii="Arial" w:hAnsi="Arial" w:cs="Arial"/>
        </w:rPr>
        <w:t xml:space="preserve"> 2011). These</w:t>
      </w:r>
      <w:r w:rsidRPr="008E5758">
        <w:rPr>
          <w:rFonts w:ascii="Arial" w:hAnsi="Arial" w:cs="Arial"/>
        </w:rPr>
        <w:t xml:space="preserve"> findings</w:t>
      </w:r>
      <w:r w:rsidR="00C14283">
        <w:rPr>
          <w:rFonts w:ascii="Arial" w:hAnsi="Arial" w:cs="Arial"/>
        </w:rPr>
        <w:t xml:space="preserve"> </w:t>
      </w:r>
      <w:r w:rsidRPr="008E5758">
        <w:rPr>
          <w:rFonts w:ascii="Arial" w:hAnsi="Arial" w:cs="Arial"/>
        </w:rPr>
        <w:t>collectively underscore the potential of probiotic supplementation as a strategy to improve gut health and optimize economic traits in silkworms.</w:t>
      </w:r>
    </w:p>
    <w:p w14:paraId="7EA8EA1D" w14:textId="77777777" w:rsidR="008E5758" w:rsidRPr="008E5758" w:rsidRDefault="008E5758" w:rsidP="008E5758">
      <w:pPr>
        <w:pStyle w:val="Body"/>
        <w:spacing w:after="0"/>
        <w:rPr>
          <w:rFonts w:ascii="Arial" w:hAnsi="Arial" w:cs="Arial"/>
        </w:rPr>
      </w:pPr>
      <w:r w:rsidRPr="008E5758">
        <w:rPr>
          <w:rFonts w:ascii="Arial" w:hAnsi="Arial" w:cs="Arial"/>
        </w:rPr>
        <w:t xml:space="preserve">Despite a growing body of experimental evidence supporting the positive effects of probiotics in insect systems, a consolidated understanding of their mechanisms, efficacy, and potential limitations in </w:t>
      </w:r>
      <w:r w:rsidRPr="008E5758">
        <w:rPr>
          <w:rFonts w:ascii="Arial" w:hAnsi="Arial" w:cs="Arial"/>
          <w:i/>
          <w:iCs/>
        </w:rPr>
        <w:t>Bombyx mori</w:t>
      </w:r>
      <w:r w:rsidRPr="008E5758">
        <w:rPr>
          <w:rFonts w:ascii="Arial" w:hAnsi="Arial" w:cs="Arial"/>
        </w:rPr>
        <w:t xml:space="preserve"> remains limited. Therefore, this review aims to critically synthesize current research on probiotic supplementation in silkworm biology, focusing on its effects on gut microbiota modulation, nutrient utilization, immunity enhancement, disease resistance, and silk production. Additionally, emerging molecular insights, recent advances, and future prospects for integrating probiotics into sustainable sericulture practices are discussed to provide a comprehensive perspective for researchers and practitioners in the field.</w:t>
      </w:r>
    </w:p>
    <w:p w14:paraId="312A59D7" w14:textId="77777777" w:rsidR="00790ADA" w:rsidRPr="00FB3A86" w:rsidRDefault="00790ADA" w:rsidP="00441B6F">
      <w:pPr>
        <w:pStyle w:val="Body"/>
        <w:spacing w:after="0"/>
        <w:rPr>
          <w:rFonts w:ascii="Arial" w:hAnsi="Arial" w:cs="Arial"/>
        </w:rPr>
      </w:pPr>
    </w:p>
    <w:p w14:paraId="40C557F6" w14:textId="77777777" w:rsidR="007F7B32" w:rsidRDefault="00902823" w:rsidP="00441B6F">
      <w:pPr>
        <w:pStyle w:val="AbstHead"/>
        <w:spacing w:after="0"/>
        <w:jc w:val="both"/>
        <w:rPr>
          <w:rFonts w:ascii="Arial" w:hAnsi="Arial" w:cs="Arial"/>
        </w:rPr>
      </w:pPr>
      <w:r>
        <w:rPr>
          <w:rFonts w:ascii="Arial" w:hAnsi="Arial" w:cs="Arial"/>
        </w:rPr>
        <w:t xml:space="preserve">2. </w:t>
      </w:r>
      <w:r w:rsidR="00C04753" w:rsidRPr="00C04753">
        <w:rPr>
          <w:rFonts w:ascii="Arial" w:hAnsi="Arial" w:cs="Arial"/>
        </w:rPr>
        <w:t>An Overview of Probiotics: Definitions, Functional Characteristics, and Mechanisms of Action</w:t>
      </w:r>
    </w:p>
    <w:p w14:paraId="6DCC3D73" w14:textId="77777777" w:rsidR="00790ADA" w:rsidRPr="00FB3A86" w:rsidRDefault="00790ADA" w:rsidP="00441B6F">
      <w:pPr>
        <w:pStyle w:val="AbstHead"/>
        <w:spacing w:after="0"/>
        <w:jc w:val="both"/>
        <w:rPr>
          <w:rFonts w:ascii="Arial" w:hAnsi="Arial" w:cs="Arial"/>
        </w:rPr>
      </w:pPr>
    </w:p>
    <w:p w14:paraId="4F5E50C0" w14:textId="77777777" w:rsidR="00C04753" w:rsidRPr="00C04753" w:rsidRDefault="00C04753" w:rsidP="00C04753">
      <w:pPr>
        <w:pStyle w:val="Body"/>
        <w:spacing w:after="0"/>
        <w:rPr>
          <w:rFonts w:ascii="Arial" w:hAnsi="Arial" w:cs="Arial"/>
        </w:rPr>
      </w:pPr>
      <w:r w:rsidRPr="00C04753">
        <w:rPr>
          <w:rFonts w:ascii="Arial" w:hAnsi="Arial" w:cs="Arial"/>
        </w:rPr>
        <w:t xml:space="preserve">All organisms possess a microbial ecosystem that can positively influence their health, and the discovery of probiotics has opened new avenues for exploring the impact of introducing beneficial microbes into insect </w:t>
      </w:r>
      <w:r w:rsidRPr="00F10C30">
        <w:rPr>
          <w:rFonts w:ascii="Arial" w:hAnsi="Arial" w:cs="Arial"/>
        </w:rPr>
        <w:t xml:space="preserve">systems (Gheorghe </w:t>
      </w:r>
      <w:r w:rsidRPr="00F10C30">
        <w:rPr>
          <w:rFonts w:ascii="Arial" w:hAnsi="Arial" w:cs="Arial"/>
          <w:i/>
        </w:rPr>
        <w:t>et al.,</w:t>
      </w:r>
      <w:r w:rsidRPr="00F10C30">
        <w:rPr>
          <w:rFonts w:ascii="Arial" w:hAnsi="Arial" w:cs="Arial"/>
        </w:rPr>
        <w:t xml:space="preserve"> 2024). Specifically</w:t>
      </w:r>
      <w:r w:rsidRPr="00C04753">
        <w:rPr>
          <w:rFonts w:ascii="Arial" w:hAnsi="Arial" w:cs="Arial"/>
        </w:rPr>
        <w:t xml:space="preserve">, the influence of these microorganisms is assessed for their ability to promote growth, improve reproductive performance, and reduce </w:t>
      </w:r>
      <w:r w:rsidRPr="00F10C30">
        <w:rPr>
          <w:rFonts w:ascii="Arial" w:hAnsi="Arial" w:cs="Arial"/>
        </w:rPr>
        <w:t xml:space="preserve">disease incidence under the stressful conditions encountered during rearing (Savio </w:t>
      </w:r>
      <w:r w:rsidRPr="00F10C30">
        <w:rPr>
          <w:rFonts w:ascii="Arial" w:hAnsi="Arial" w:cs="Arial"/>
          <w:i/>
        </w:rPr>
        <w:t>et al.,</w:t>
      </w:r>
      <w:r w:rsidRPr="00F10C30">
        <w:rPr>
          <w:rFonts w:ascii="Arial" w:hAnsi="Arial" w:cs="Arial"/>
        </w:rPr>
        <w:t xml:space="preserve"> 2022). The term probiotics originates from the Latin word pro, meaning “for,” and the Greek word biotic, meaning “life,” collectively signifying “for life” (Kalokhe </w:t>
      </w:r>
      <w:r w:rsidRPr="00F10C30">
        <w:rPr>
          <w:rFonts w:ascii="Arial" w:hAnsi="Arial" w:cs="Arial"/>
          <w:i/>
        </w:rPr>
        <w:t>et al.,</w:t>
      </w:r>
      <w:r w:rsidRPr="00F10C30">
        <w:rPr>
          <w:rFonts w:ascii="Arial" w:hAnsi="Arial" w:cs="Arial"/>
        </w:rPr>
        <w:t xml:space="preserve"> 2024).  In other terms, probiotics can be defined as live microbial</w:t>
      </w:r>
      <w:r w:rsidRPr="00C04753">
        <w:rPr>
          <w:rFonts w:ascii="Arial" w:hAnsi="Arial" w:cs="Arial"/>
        </w:rPr>
        <w:t xml:space="preserve"> supplements that support host health by enhancing and maintaining a stable and balanced gut </w:t>
      </w:r>
      <w:r w:rsidRPr="00F10C30">
        <w:rPr>
          <w:rFonts w:ascii="Arial" w:hAnsi="Arial" w:cs="Arial"/>
        </w:rPr>
        <w:t xml:space="preserve">microbiota (Austin </w:t>
      </w:r>
      <w:r w:rsidRPr="00F10C30">
        <w:rPr>
          <w:rFonts w:ascii="Arial" w:hAnsi="Arial" w:cs="Arial"/>
          <w:i/>
        </w:rPr>
        <w:t>et al.,</w:t>
      </w:r>
      <w:r w:rsidRPr="00F10C30">
        <w:rPr>
          <w:rFonts w:ascii="Arial" w:hAnsi="Arial" w:cs="Arial"/>
        </w:rPr>
        <w:t xml:space="preserve"> 1995; Mohanraj </w:t>
      </w:r>
      <w:r w:rsidRPr="00F10C30">
        <w:rPr>
          <w:rFonts w:ascii="Arial" w:hAnsi="Arial" w:cs="Arial"/>
          <w:i/>
        </w:rPr>
        <w:t>et al.,</w:t>
      </w:r>
      <w:r w:rsidRPr="00F10C30">
        <w:rPr>
          <w:rFonts w:ascii="Arial" w:hAnsi="Arial" w:cs="Arial"/>
        </w:rPr>
        <w:t xml:space="preserve"> 2016). Numerous</w:t>
      </w:r>
      <w:r w:rsidRPr="00C04753">
        <w:rPr>
          <w:rFonts w:ascii="Arial" w:hAnsi="Arial" w:cs="Arial"/>
        </w:rPr>
        <w:t xml:space="preserve"> studies have highlighted the beneficial effects of probiotics in both humans </w:t>
      </w:r>
      <w:r w:rsidRPr="002E7EE4">
        <w:rPr>
          <w:rFonts w:ascii="Arial" w:hAnsi="Arial" w:cs="Arial"/>
        </w:rPr>
        <w:t xml:space="preserve">(Chan </w:t>
      </w:r>
      <w:r w:rsidRPr="002E7EE4">
        <w:rPr>
          <w:rFonts w:ascii="Arial" w:hAnsi="Arial" w:cs="Arial"/>
          <w:i/>
        </w:rPr>
        <w:t>et al.,</w:t>
      </w:r>
      <w:r w:rsidRPr="002E7EE4">
        <w:rPr>
          <w:rFonts w:ascii="Arial" w:hAnsi="Arial" w:cs="Arial"/>
        </w:rPr>
        <w:t xml:space="preserve"> 1985; Douillet &amp; Langton, 1994</w:t>
      </w:r>
      <w:r w:rsidRPr="00754D4B">
        <w:rPr>
          <w:rFonts w:ascii="Arial" w:hAnsi="Arial" w:cs="Arial"/>
        </w:rPr>
        <w:t xml:space="preserve">; Gildberg </w:t>
      </w:r>
      <w:r w:rsidRPr="00754D4B">
        <w:rPr>
          <w:rFonts w:ascii="Arial" w:hAnsi="Arial" w:cs="Arial"/>
          <w:i/>
        </w:rPr>
        <w:t xml:space="preserve">et al., </w:t>
      </w:r>
      <w:r w:rsidRPr="00754D4B">
        <w:rPr>
          <w:rFonts w:ascii="Arial" w:hAnsi="Arial" w:cs="Arial"/>
        </w:rPr>
        <w:t xml:space="preserve">1997; Brigidi </w:t>
      </w:r>
      <w:r w:rsidRPr="00754D4B">
        <w:rPr>
          <w:rFonts w:ascii="Arial" w:hAnsi="Arial" w:cs="Arial"/>
          <w:i/>
        </w:rPr>
        <w:t>et al.,</w:t>
      </w:r>
      <w:r w:rsidRPr="00754D4B">
        <w:rPr>
          <w:rFonts w:ascii="Arial" w:hAnsi="Arial" w:cs="Arial"/>
        </w:rPr>
        <w:t xml:space="preserve"> 2000; Brigidi </w:t>
      </w:r>
      <w:r w:rsidRPr="00754D4B">
        <w:rPr>
          <w:rFonts w:ascii="Arial" w:hAnsi="Arial" w:cs="Arial"/>
          <w:i/>
        </w:rPr>
        <w:t>et al.,</w:t>
      </w:r>
      <w:r w:rsidRPr="00754D4B">
        <w:rPr>
          <w:rFonts w:ascii="Arial" w:hAnsi="Arial" w:cs="Arial"/>
        </w:rPr>
        <w:t xml:space="preserve">  2001)</w:t>
      </w:r>
      <w:r w:rsidRPr="00C04753">
        <w:rPr>
          <w:rFonts w:ascii="Arial" w:hAnsi="Arial" w:cs="Arial"/>
        </w:rPr>
        <w:t xml:space="preserve"> and insects </w:t>
      </w:r>
      <w:r w:rsidRPr="00754D4B">
        <w:rPr>
          <w:rFonts w:ascii="Arial" w:hAnsi="Arial" w:cs="Arial"/>
        </w:rPr>
        <w:t>(Dillon &amp; Dillon, 2004), demonstrating</w:t>
      </w:r>
      <w:r w:rsidRPr="00C04753">
        <w:rPr>
          <w:rFonts w:ascii="Arial" w:hAnsi="Arial" w:cs="Arial"/>
        </w:rPr>
        <w:t xml:space="preserve"> their broad applicability across biological systems. As a result, probiotic-based products are gaining widespread attention, reflecting their growing significance and demand across various applications. The presence of diverse bacterial populations in the gut of the mulberry silkworm (</w:t>
      </w:r>
      <w:r w:rsidRPr="00C04753">
        <w:rPr>
          <w:rFonts w:ascii="Arial" w:hAnsi="Arial" w:cs="Arial"/>
          <w:i/>
          <w:iCs/>
        </w:rPr>
        <w:t>Bombyx mori</w:t>
      </w:r>
      <w:r w:rsidRPr="00C04753">
        <w:rPr>
          <w:rFonts w:ascii="Arial" w:hAnsi="Arial" w:cs="Arial"/>
        </w:rPr>
        <w:t xml:space="preserve">) has been well documented by many researchers. Among these, several species from the genus </w:t>
      </w:r>
      <w:r w:rsidRPr="00C04753">
        <w:rPr>
          <w:rFonts w:ascii="Arial" w:hAnsi="Arial" w:cs="Arial"/>
          <w:i/>
          <w:iCs/>
        </w:rPr>
        <w:t>Streptococcus</w:t>
      </w:r>
      <w:r w:rsidRPr="00C04753">
        <w:rPr>
          <w:rFonts w:ascii="Arial" w:hAnsi="Arial" w:cs="Arial"/>
        </w:rPr>
        <w:t xml:space="preserve"> have been identified as pathogenic to silkworm larvae, whereas </w:t>
      </w:r>
      <w:r w:rsidRPr="00C04753">
        <w:rPr>
          <w:rFonts w:ascii="Arial" w:hAnsi="Arial" w:cs="Arial"/>
          <w:i/>
          <w:iCs/>
        </w:rPr>
        <w:t>Lactobacillus</w:t>
      </w:r>
      <w:r w:rsidRPr="00C04753">
        <w:rPr>
          <w:rFonts w:ascii="Arial" w:hAnsi="Arial" w:cs="Arial"/>
        </w:rPr>
        <w:t xml:space="preserve"> species have not exhibited any harmful effects. Despite extensive studies, the exact mechanisms underlying the beneficial interactions between the host and its gut microflora, or among different bacterial strains, remain unclear (</w:t>
      </w:r>
      <w:r w:rsidRPr="00754D4B">
        <w:rPr>
          <w:rFonts w:ascii="Arial" w:hAnsi="Arial" w:cs="Arial"/>
        </w:rPr>
        <w:t>Steinhaus, 1949; Kodama, 2001). Various</w:t>
      </w:r>
      <w:r w:rsidRPr="00C04753">
        <w:rPr>
          <w:rFonts w:ascii="Arial" w:hAnsi="Arial" w:cs="Arial"/>
        </w:rPr>
        <w:t xml:space="preserve"> species of lactic acid bacteria have been investigated in detail and recognized for their probiotic potential (</w:t>
      </w:r>
      <w:r w:rsidRPr="00FE6CCA">
        <w:rPr>
          <w:rFonts w:ascii="Arial" w:hAnsi="Arial" w:cs="Arial"/>
        </w:rPr>
        <w:t xml:space="preserve">Bruno </w:t>
      </w:r>
      <w:r w:rsidRPr="00FE6CCA">
        <w:rPr>
          <w:rFonts w:ascii="Arial" w:hAnsi="Arial" w:cs="Arial"/>
          <w:i/>
        </w:rPr>
        <w:t>et al.,</w:t>
      </w:r>
      <w:r w:rsidRPr="00FE6CCA">
        <w:rPr>
          <w:rFonts w:ascii="Arial" w:hAnsi="Arial" w:cs="Arial"/>
        </w:rPr>
        <w:t xml:space="preserve"> 1993; Bernet-Camard </w:t>
      </w:r>
      <w:r w:rsidRPr="00FE6CCA">
        <w:rPr>
          <w:rFonts w:ascii="Arial" w:hAnsi="Arial" w:cs="Arial"/>
          <w:i/>
        </w:rPr>
        <w:t>et al.,</w:t>
      </w:r>
      <w:r w:rsidRPr="00FE6CCA">
        <w:rPr>
          <w:rFonts w:ascii="Arial" w:hAnsi="Arial" w:cs="Arial"/>
        </w:rPr>
        <w:t xml:space="preserve"> 1997; Fuller, 1991; Sakamoto </w:t>
      </w:r>
      <w:r w:rsidRPr="00FE6CCA">
        <w:rPr>
          <w:rFonts w:ascii="Arial" w:hAnsi="Arial" w:cs="Arial"/>
          <w:i/>
        </w:rPr>
        <w:t>et al.,</w:t>
      </w:r>
      <w:r w:rsidRPr="00FE6CCA">
        <w:rPr>
          <w:rFonts w:ascii="Arial" w:hAnsi="Arial" w:cs="Arial"/>
        </w:rPr>
        <w:t xml:space="preserve"> 2001).</w:t>
      </w:r>
      <w:r w:rsidRPr="00C04753">
        <w:rPr>
          <w:rFonts w:ascii="Arial" w:hAnsi="Arial" w:cs="Arial"/>
        </w:rPr>
        <w:t xml:space="preserve"> Experimental evidence indicates that probiotic supplementation in silkworms enhances larval growth, cocoon weight, shell weight, and pupation rates when fed with mulberry leaves treated with commercial probiotic formulations. In particular, beneficial effects have been observed from strains such as </w:t>
      </w:r>
      <w:r w:rsidRPr="00C04753">
        <w:rPr>
          <w:rFonts w:ascii="Arial" w:hAnsi="Arial" w:cs="Arial"/>
          <w:i/>
          <w:iCs/>
        </w:rPr>
        <w:t>Pediococcus</w:t>
      </w:r>
      <w:r w:rsidRPr="00C04753">
        <w:rPr>
          <w:rFonts w:ascii="Arial" w:hAnsi="Arial" w:cs="Arial"/>
        </w:rPr>
        <w:t xml:space="preserve">, members of the </w:t>
      </w:r>
      <w:r w:rsidRPr="00C04753">
        <w:rPr>
          <w:rFonts w:ascii="Arial" w:hAnsi="Arial" w:cs="Arial"/>
          <w:i/>
          <w:iCs/>
        </w:rPr>
        <w:t>Leuconostoc</w:t>
      </w:r>
      <w:r w:rsidRPr="00C04753">
        <w:rPr>
          <w:rFonts w:ascii="Arial" w:hAnsi="Arial" w:cs="Arial"/>
        </w:rPr>
        <w:t xml:space="preserve"> genus, and </w:t>
      </w:r>
      <w:r w:rsidRPr="00C04753">
        <w:rPr>
          <w:rFonts w:ascii="Arial" w:hAnsi="Arial" w:cs="Arial"/>
          <w:i/>
          <w:iCs/>
        </w:rPr>
        <w:t xml:space="preserve">Lactobacillus </w:t>
      </w:r>
      <w:r w:rsidRPr="00FE6CCA">
        <w:rPr>
          <w:rFonts w:ascii="Arial" w:hAnsi="Arial" w:cs="Arial"/>
          <w:i/>
          <w:iCs/>
        </w:rPr>
        <w:t>plantarum</w:t>
      </w:r>
      <w:r w:rsidRPr="00FE6CCA">
        <w:rPr>
          <w:rFonts w:ascii="Arial" w:hAnsi="Arial" w:cs="Arial"/>
        </w:rPr>
        <w:t xml:space="preserve"> (Singh </w:t>
      </w:r>
      <w:r w:rsidRPr="00FE6CCA">
        <w:rPr>
          <w:rFonts w:ascii="Arial" w:hAnsi="Arial" w:cs="Arial"/>
          <w:i/>
        </w:rPr>
        <w:t>et al.,</w:t>
      </w:r>
      <w:r w:rsidRPr="00FE6CCA">
        <w:rPr>
          <w:rFonts w:ascii="Arial" w:hAnsi="Arial" w:cs="Arial"/>
        </w:rPr>
        <w:t xml:space="preserve"> 2005). Choosing</w:t>
      </w:r>
      <w:r w:rsidRPr="00C04753">
        <w:rPr>
          <w:rFonts w:ascii="Arial" w:hAnsi="Arial" w:cs="Arial"/>
        </w:rPr>
        <w:t xml:space="preserve"> microorganisms for use as probiotics necessitates distinct traits or properties concerning their safety, functionality, and technological viability, as illustrated in Figure 1.</w:t>
      </w:r>
    </w:p>
    <w:p w14:paraId="704CA5D9" w14:textId="77777777" w:rsidR="00A03B96" w:rsidRDefault="00A03B96" w:rsidP="00441B6F">
      <w:pPr>
        <w:pStyle w:val="Body"/>
        <w:spacing w:after="0"/>
        <w:rPr>
          <w:rFonts w:ascii="Arial" w:hAnsi="Arial" w:cs="Arial"/>
        </w:rPr>
      </w:pPr>
    </w:p>
    <w:p w14:paraId="47835657" w14:textId="77777777" w:rsidR="00C04753" w:rsidRDefault="00C04753" w:rsidP="00441B6F">
      <w:pPr>
        <w:pStyle w:val="Body"/>
        <w:spacing w:after="0"/>
        <w:rPr>
          <w:rFonts w:ascii="Arial" w:hAnsi="Arial" w:cs="Arial"/>
        </w:rPr>
      </w:pPr>
      <w:r w:rsidRPr="00C04753">
        <w:rPr>
          <w:rFonts w:ascii="Calibri" w:eastAsia="Calibri" w:hAnsi="Calibri"/>
          <w:b/>
          <w:noProof/>
          <w:sz w:val="22"/>
          <w:szCs w:val="22"/>
        </w:rPr>
        <w:lastRenderedPageBreak/>
        <w:drawing>
          <wp:anchor distT="0" distB="0" distL="114300" distR="114300" simplePos="0" relativeHeight="251659264" behindDoc="1" locked="0" layoutInCell="1" allowOverlap="1" wp14:anchorId="7CD7E1F0" wp14:editId="0103B25F">
            <wp:simplePos x="0" y="0"/>
            <wp:positionH relativeFrom="margin">
              <wp:posOffset>0</wp:posOffset>
            </wp:positionH>
            <wp:positionV relativeFrom="paragraph">
              <wp:posOffset>142875</wp:posOffset>
            </wp:positionV>
            <wp:extent cx="5400675" cy="4476750"/>
            <wp:effectExtent l="0" t="0" r="9525" b="0"/>
            <wp:wrapTight wrapText="bothSides">
              <wp:wrapPolygon edited="0">
                <wp:start x="0" y="0"/>
                <wp:lineTo x="0" y="21508"/>
                <wp:lineTo x="21562" y="21508"/>
                <wp:lineTo x="21562" y="0"/>
                <wp:lineTo x="0" y="0"/>
              </wp:wrapPolygon>
            </wp:wrapTight>
            <wp:docPr id="1" name="Picture 1" descr="D:\Users\Pankaj\Downloads\Telegram Desktop\image_2025-07-27_03-02-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Pankaj\Downloads\Telegram Desktop\image_2025-07-27_03-02-1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675" cy="4476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941FA6" w14:textId="77777777" w:rsidR="00C04753" w:rsidRPr="00C04753" w:rsidRDefault="00C04753" w:rsidP="00C04753">
      <w:pPr>
        <w:pStyle w:val="Body"/>
        <w:rPr>
          <w:rFonts w:ascii="Arial" w:hAnsi="Arial" w:cs="Arial"/>
          <w:b/>
        </w:rPr>
      </w:pPr>
      <w:r w:rsidRPr="00AA7A4F">
        <w:rPr>
          <w:rFonts w:ascii="Arial" w:hAnsi="Arial" w:cs="Arial"/>
          <w:b/>
        </w:rPr>
        <w:t xml:space="preserve">Fig. 1 </w:t>
      </w:r>
      <w:r w:rsidRPr="00C04753">
        <w:rPr>
          <w:rFonts w:ascii="Arial" w:hAnsi="Arial" w:cs="Arial"/>
          <w:b/>
        </w:rPr>
        <w:t xml:space="preserve">Key properties of probiotic strains based on performance, safety, and technological aspects. </w:t>
      </w:r>
      <w:r w:rsidRPr="00F10C30">
        <w:rPr>
          <w:rFonts w:ascii="Arial" w:hAnsi="Arial" w:cs="Arial"/>
        </w:rPr>
        <w:t xml:space="preserve">(Source: </w:t>
      </w:r>
      <w:r w:rsidR="00F10C30" w:rsidRPr="00F10C30">
        <w:rPr>
          <w:rFonts w:ascii="Arial" w:hAnsi="Arial" w:cs="Arial"/>
        </w:rPr>
        <w:t xml:space="preserve">Pachiappan </w:t>
      </w:r>
      <w:r w:rsidR="00F10C30" w:rsidRPr="00F10C30">
        <w:rPr>
          <w:rFonts w:ascii="Arial" w:hAnsi="Arial" w:cs="Arial"/>
          <w:i/>
        </w:rPr>
        <w:t>et al.,</w:t>
      </w:r>
      <w:r w:rsidR="00F10C30" w:rsidRPr="00F10C30">
        <w:rPr>
          <w:rFonts w:ascii="Arial" w:hAnsi="Arial" w:cs="Arial"/>
        </w:rPr>
        <w:t xml:space="preserve"> 2021</w:t>
      </w:r>
      <w:r w:rsidRPr="00F10C30">
        <w:rPr>
          <w:rFonts w:ascii="Arial" w:hAnsi="Arial" w:cs="Arial"/>
        </w:rPr>
        <w:t>)</w:t>
      </w:r>
    </w:p>
    <w:p w14:paraId="118EE731" w14:textId="07FCAB6B" w:rsidR="006E20ED" w:rsidRDefault="006E20ED" w:rsidP="006E20ED">
      <w:pPr>
        <w:pStyle w:val="Body"/>
        <w:spacing w:after="0"/>
        <w:rPr>
          <w:rFonts w:ascii="Arial" w:hAnsi="Arial" w:cs="Arial"/>
        </w:rPr>
      </w:pPr>
      <w:r w:rsidRPr="006E20ED">
        <w:rPr>
          <w:rFonts w:ascii="Arial" w:hAnsi="Arial" w:cs="Arial"/>
        </w:rPr>
        <w:t xml:space="preserve">Probiotics influence host health through a range of well-documented mechanisms that contribute to gastrointestinal integrity and immunological stability. These mechanisms primarily include strengthening of the intestinal epithelial barrier, enhanced adhesion to the mucosal lining, and inhibition of pathogenic colonization. By competing for receptor sites and nutrients, probiotics effectively exclude harmful microbes and create an unfavorable environment for their survival. Additionally, probiotic strains produce antimicrobial substances such as short-chain fatty acids and bacteriocins that further suppress pathogen growth. Importantly, probiotics also modulate immune responses by interacting with various immune cells, thereby contributing to the host's </w:t>
      </w:r>
      <w:proofErr w:type="spellStart"/>
      <w:r w:rsidR="00810677" w:rsidRPr="007921A3">
        <w:rPr>
          <w:rFonts w:ascii="Arial" w:hAnsi="Arial" w:cs="Arial"/>
          <w:highlight w:val="yellow"/>
        </w:rPr>
        <w:t>defen</w:t>
      </w:r>
      <w:r w:rsidR="00810677" w:rsidRPr="007921A3">
        <w:rPr>
          <w:rFonts w:ascii="Arial" w:hAnsi="Arial" w:cs="Arial"/>
          <w:highlight w:val="yellow"/>
        </w:rPr>
        <w:t>c</w:t>
      </w:r>
      <w:r w:rsidR="00810677" w:rsidRPr="007921A3">
        <w:rPr>
          <w:rFonts w:ascii="Arial" w:hAnsi="Arial" w:cs="Arial"/>
          <w:highlight w:val="yellow"/>
        </w:rPr>
        <w:t>e</w:t>
      </w:r>
      <w:proofErr w:type="spellEnd"/>
      <w:r w:rsidR="00810677" w:rsidRPr="007921A3">
        <w:rPr>
          <w:rFonts w:ascii="Arial" w:hAnsi="Arial" w:cs="Arial"/>
          <w:highlight w:val="yellow"/>
        </w:rPr>
        <w:t xml:space="preserve"> </w:t>
      </w:r>
      <w:r w:rsidRPr="007921A3">
        <w:rPr>
          <w:rFonts w:ascii="Arial" w:hAnsi="Arial" w:cs="Arial"/>
          <w:highlight w:val="yellow"/>
        </w:rPr>
        <w:t>and</w:t>
      </w:r>
      <w:r w:rsidRPr="006E20ED">
        <w:rPr>
          <w:rFonts w:ascii="Arial" w:hAnsi="Arial" w:cs="Arial"/>
        </w:rPr>
        <w:t xml:space="preserve"> overall physiological resilience. The major mechanisms of probiotic action are summarized in Table 1.</w:t>
      </w:r>
    </w:p>
    <w:p w14:paraId="32480C02" w14:textId="77777777" w:rsidR="000D6E1D" w:rsidRDefault="000D6E1D" w:rsidP="006E20ED">
      <w:pPr>
        <w:pStyle w:val="Body"/>
        <w:spacing w:after="0"/>
        <w:rPr>
          <w:rFonts w:ascii="Arial" w:hAnsi="Arial" w:cs="Arial"/>
        </w:rPr>
      </w:pPr>
    </w:p>
    <w:p w14:paraId="11016DF7" w14:textId="77777777" w:rsidR="000D6E1D" w:rsidRDefault="000D6E1D" w:rsidP="006E20ED">
      <w:pPr>
        <w:pStyle w:val="Body"/>
        <w:spacing w:after="0"/>
        <w:rPr>
          <w:rFonts w:ascii="Arial" w:hAnsi="Arial" w:cs="Arial"/>
        </w:rPr>
      </w:pPr>
    </w:p>
    <w:p w14:paraId="7EE449E9" w14:textId="77777777" w:rsidR="000D6E1D" w:rsidRDefault="000D6E1D" w:rsidP="006E20ED">
      <w:pPr>
        <w:pStyle w:val="Body"/>
        <w:spacing w:after="0"/>
        <w:rPr>
          <w:rFonts w:ascii="Arial" w:hAnsi="Arial" w:cs="Arial"/>
        </w:rPr>
      </w:pPr>
    </w:p>
    <w:p w14:paraId="16F45DCB" w14:textId="77777777" w:rsidR="000D6E1D" w:rsidRDefault="000D6E1D" w:rsidP="006E20ED">
      <w:pPr>
        <w:pStyle w:val="Body"/>
        <w:spacing w:after="0"/>
        <w:rPr>
          <w:rFonts w:ascii="Arial" w:hAnsi="Arial" w:cs="Arial"/>
        </w:rPr>
      </w:pPr>
    </w:p>
    <w:p w14:paraId="37BEE8D2" w14:textId="77777777" w:rsidR="000D6E1D" w:rsidRDefault="000D6E1D" w:rsidP="006E20ED">
      <w:pPr>
        <w:pStyle w:val="Body"/>
        <w:spacing w:after="0"/>
        <w:rPr>
          <w:rFonts w:ascii="Arial" w:hAnsi="Arial" w:cs="Arial"/>
        </w:rPr>
      </w:pPr>
    </w:p>
    <w:p w14:paraId="31F6A358" w14:textId="77777777" w:rsidR="000D6E1D" w:rsidRPr="006E20ED" w:rsidRDefault="000D6E1D" w:rsidP="006E20ED">
      <w:pPr>
        <w:pStyle w:val="Body"/>
        <w:spacing w:after="0"/>
        <w:rPr>
          <w:rFonts w:ascii="Arial" w:hAnsi="Arial" w:cs="Arial"/>
        </w:rPr>
      </w:pPr>
    </w:p>
    <w:p w14:paraId="5DE545C0" w14:textId="77777777" w:rsidR="00C04753" w:rsidRDefault="00C04753" w:rsidP="00441B6F">
      <w:pPr>
        <w:pStyle w:val="Body"/>
        <w:spacing w:after="0"/>
        <w:rPr>
          <w:rFonts w:ascii="Arial" w:hAnsi="Arial" w:cs="Arial"/>
        </w:rPr>
      </w:pPr>
    </w:p>
    <w:p w14:paraId="3FB1CE56" w14:textId="77777777" w:rsidR="006E20ED" w:rsidRDefault="006E20ED" w:rsidP="006E20ED">
      <w:pPr>
        <w:tabs>
          <w:tab w:val="left" w:pos="1080"/>
        </w:tabs>
        <w:spacing w:after="240"/>
        <w:jc w:val="both"/>
        <w:rPr>
          <w:rFonts w:ascii="Arial" w:hAnsi="Arial"/>
          <w:b/>
        </w:rPr>
      </w:pPr>
      <w:r>
        <w:rPr>
          <w:rFonts w:ascii="Arial" w:hAnsi="Arial"/>
          <w:b/>
        </w:rPr>
        <w:lastRenderedPageBreak/>
        <w:t>Table 1.</w:t>
      </w:r>
      <w:r w:rsidRPr="006E20ED">
        <w:rPr>
          <w:rFonts w:ascii="Times New Roman" w:eastAsiaTheme="minorHAnsi" w:hAnsi="Times New Roman"/>
          <w:b/>
          <w:sz w:val="22"/>
          <w:szCs w:val="22"/>
        </w:rPr>
        <w:t xml:space="preserve"> </w:t>
      </w:r>
      <w:r w:rsidRPr="006E20ED">
        <w:rPr>
          <w:rFonts w:ascii="Arial" w:hAnsi="Arial"/>
          <w:b/>
        </w:rPr>
        <w:t>Mec</w:t>
      </w:r>
      <w:r>
        <w:rPr>
          <w:rFonts w:ascii="Arial" w:hAnsi="Arial"/>
          <w:b/>
        </w:rPr>
        <w:t>hanisms of action of probiotics</w:t>
      </w:r>
    </w:p>
    <w:tbl>
      <w:tblPr>
        <w:tblStyle w:val="TableGrid1"/>
        <w:tblW w:w="8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4230"/>
      </w:tblGrid>
      <w:tr w:rsidR="006E20ED" w:rsidRPr="006E20ED" w14:paraId="2469070D" w14:textId="77777777" w:rsidTr="000D6E1D">
        <w:tc>
          <w:tcPr>
            <w:tcW w:w="4068" w:type="dxa"/>
            <w:tcBorders>
              <w:top w:val="single" w:sz="4" w:space="0" w:color="auto"/>
              <w:bottom w:val="single" w:sz="4" w:space="0" w:color="auto"/>
            </w:tcBorders>
          </w:tcPr>
          <w:p w14:paraId="23458F30" w14:textId="77777777" w:rsidR="006E20ED" w:rsidRPr="006E20ED" w:rsidRDefault="006E20ED" w:rsidP="006E20ED">
            <w:pPr>
              <w:spacing w:after="200"/>
              <w:jc w:val="both"/>
              <w:rPr>
                <w:rFonts w:ascii="Arial" w:eastAsia="Calibri" w:hAnsi="Arial" w:cs="Arial"/>
                <w:b/>
                <w:sz w:val="20"/>
                <w:szCs w:val="20"/>
              </w:rPr>
            </w:pPr>
            <w:r w:rsidRPr="006E20ED">
              <w:rPr>
                <w:rFonts w:ascii="Arial" w:eastAsia="Calibri" w:hAnsi="Arial" w:cs="Arial"/>
                <w:b/>
                <w:sz w:val="20"/>
                <w:szCs w:val="20"/>
              </w:rPr>
              <w:t>Mechanisms</w:t>
            </w:r>
          </w:p>
        </w:tc>
        <w:tc>
          <w:tcPr>
            <w:tcW w:w="4230" w:type="dxa"/>
            <w:tcBorders>
              <w:top w:val="single" w:sz="4" w:space="0" w:color="auto"/>
              <w:bottom w:val="single" w:sz="4" w:space="0" w:color="auto"/>
            </w:tcBorders>
          </w:tcPr>
          <w:p w14:paraId="3E92E507" w14:textId="77777777" w:rsidR="006E20ED" w:rsidRPr="006E20ED" w:rsidRDefault="006E20ED" w:rsidP="006E20ED">
            <w:pPr>
              <w:spacing w:after="200"/>
              <w:jc w:val="both"/>
              <w:rPr>
                <w:rFonts w:ascii="Arial" w:eastAsia="Calibri" w:hAnsi="Arial" w:cs="Arial"/>
                <w:b/>
                <w:sz w:val="20"/>
                <w:szCs w:val="20"/>
              </w:rPr>
            </w:pPr>
            <w:r w:rsidRPr="006E20ED">
              <w:rPr>
                <w:rFonts w:ascii="Arial" w:eastAsia="Calibri" w:hAnsi="Arial" w:cs="Arial"/>
                <w:b/>
                <w:sz w:val="20"/>
                <w:szCs w:val="20"/>
              </w:rPr>
              <w:t>Description</w:t>
            </w:r>
          </w:p>
        </w:tc>
      </w:tr>
      <w:tr w:rsidR="006E20ED" w:rsidRPr="006E20ED" w14:paraId="3548F463" w14:textId="77777777" w:rsidTr="000D6E1D">
        <w:tc>
          <w:tcPr>
            <w:tcW w:w="4068" w:type="dxa"/>
            <w:tcBorders>
              <w:top w:val="single" w:sz="4" w:space="0" w:color="auto"/>
            </w:tcBorders>
          </w:tcPr>
          <w:p w14:paraId="6C403877" w14:textId="77777777" w:rsidR="006E20ED" w:rsidRPr="006E20ED" w:rsidRDefault="006E20ED" w:rsidP="006E20ED">
            <w:pPr>
              <w:spacing w:after="200"/>
              <w:jc w:val="both"/>
              <w:rPr>
                <w:rFonts w:ascii="Arial" w:eastAsia="Calibri" w:hAnsi="Arial" w:cs="Arial"/>
                <w:sz w:val="20"/>
                <w:szCs w:val="20"/>
              </w:rPr>
            </w:pPr>
            <w:r w:rsidRPr="006E20ED">
              <w:rPr>
                <w:rFonts w:ascii="Arial" w:eastAsia="Calibri" w:hAnsi="Arial" w:cs="Arial"/>
                <w:sz w:val="20"/>
                <w:szCs w:val="20"/>
              </w:rPr>
              <w:t>Enhancement of Epithelial Barrier Function</w:t>
            </w:r>
          </w:p>
        </w:tc>
        <w:tc>
          <w:tcPr>
            <w:tcW w:w="4230" w:type="dxa"/>
            <w:tcBorders>
              <w:top w:val="single" w:sz="4" w:space="0" w:color="auto"/>
            </w:tcBorders>
          </w:tcPr>
          <w:p w14:paraId="76C316A7" w14:textId="77777777" w:rsidR="006E20ED" w:rsidRPr="006E20ED" w:rsidRDefault="006E20ED" w:rsidP="006E20ED">
            <w:pPr>
              <w:spacing w:after="200"/>
              <w:jc w:val="both"/>
              <w:rPr>
                <w:rFonts w:ascii="Arial" w:eastAsia="Calibri" w:hAnsi="Arial" w:cs="Arial"/>
                <w:sz w:val="20"/>
                <w:szCs w:val="20"/>
              </w:rPr>
            </w:pPr>
            <w:r w:rsidRPr="006E20ED">
              <w:rPr>
                <w:rFonts w:ascii="Arial" w:eastAsia="Calibri" w:hAnsi="Arial" w:cs="Arial"/>
                <w:sz w:val="20"/>
                <w:szCs w:val="20"/>
              </w:rPr>
              <w:t>The intestinal barrier relies on a combination of defense components, including the mucous layer, antimicrobial peptides, secretory immunoglobulin A (IgA), and epithelial junctional complexes, all of which are essential for maintaining epithelial integrity and safeguarding the host.</w:t>
            </w:r>
          </w:p>
        </w:tc>
      </w:tr>
      <w:tr w:rsidR="006E20ED" w:rsidRPr="006E20ED" w14:paraId="7CE7093C" w14:textId="77777777" w:rsidTr="000D6E1D">
        <w:tc>
          <w:tcPr>
            <w:tcW w:w="4068" w:type="dxa"/>
          </w:tcPr>
          <w:p w14:paraId="4AD44D36" w14:textId="77777777" w:rsidR="006E20ED" w:rsidRPr="006E20ED" w:rsidRDefault="006E20ED" w:rsidP="006E20ED">
            <w:pPr>
              <w:spacing w:after="200"/>
              <w:jc w:val="both"/>
              <w:rPr>
                <w:rFonts w:ascii="Arial" w:eastAsia="Calibri" w:hAnsi="Arial" w:cs="Arial"/>
                <w:sz w:val="20"/>
                <w:szCs w:val="20"/>
              </w:rPr>
            </w:pPr>
            <w:r w:rsidRPr="006E20ED">
              <w:rPr>
                <w:rFonts w:ascii="Arial" w:eastAsia="Calibri" w:hAnsi="Arial" w:cs="Arial"/>
                <w:sz w:val="20"/>
                <w:szCs w:val="20"/>
              </w:rPr>
              <w:t>Enhanced adhesion to the intestinal mucosa</w:t>
            </w:r>
          </w:p>
        </w:tc>
        <w:tc>
          <w:tcPr>
            <w:tcW w:w="4230" w:type="dxa"/>
          </w:tcPr>
          <w:p w14:paraId="4DA2E2E3" w14:textId="77777777" w:rsidR="006E20ED" w:rsidRPr="006E20ED" w:rsidRDefault="006E20ED" w:rsidP="006E20ED">
            <w:pPr>
              <w:spacing w:after="200"/>
              <w:jc w:val="both"/>
              <w:rPr>
                <w:rFonts w:ascii="Arial" w:eastAsia="Calibri" w:hAnsi="Arial" w:cs="Arial"/>
                <w:sz w:val="20"/>
                <w:szCs w:val="20"/>
              </w:rPr>
            </w:pPr>
            <w:r w:rsidRPr="006E20ED">
              <w:rPr>
                <w:rFonts w:ascii="Arial" w:eastAsia="Calibri" w:hAnsi="Arial" w:cs="Arial"/>
                <w:sz w:val="20"/>
                <w:szCs w:val="20"/>
              </w:rPr>
              <w:t>The successful colonization of probiotic bacteria within the host gut largely relies on their ability to adhere to the intestinal mucosal surface. Surface-associated adhesins play a crucial role in facilitating interactions between lactic acid bacteria, intestinal epithelial cells, and the surrounding mucus layer.</w:t>
            </w:r>
          </w:p>
        </w:tc>
      </w:tr>
      <w:tr w:rsidR="006E20ED" w:rsidRPr="006E20ED" w14:paraId="7255D2F2" w14:textId="77777777" w:rsidTr="000D6E1D">
        <w:tc>
          <w:tcPr>
            <w:tcW w:w="4068" w:type="dxa"/>
          </w:tcPr>
          <w:p w14:paraId="465A3CC8" w14:textId="77777777" w:rsidR="006E20ED" w:rsidRPr="006E20ED" w:rsidRDefault="006E20ED" w:rsidP="006E20ED">
            <w:pPr>
              <w:spacing w:after="200"/>
              <w:jc w:val="both"/>
              <w:rPr>
                <w:rFonts w:ascii="Arial" w:eastAsia="Calibri" w:hAnsi="Arial" w:cs="Arial"/>
                <w:sz w:val="20"/>
                <w:szCs w:val="20"/>
              </w:rPr>
            </w:pPr>
            <w:r w:rsidRPr="006E20ED">
              <w:rPr>
                <w:rFonts w:ascii="Arial" w:eastAsia="Calibri" w:hAnsi="Arial" w:cs="Arial"/>
                <w:sz w:val="20"/>
                <w:szCs w:val="20"/>
              </w:rPr>
              <w:t>Suppression of Pathogenic Microbial Attachment to the Intestinal Mucosa</w:t>
            </w:r>
          </w:p>
        </w:tc>
        <w:tc>
          <w:tcPr>
            <w:tcW w:w="4230" w:type="dxa"/>
          </w:tcPr>
          <w:p w14:paraId="0EDA9369" w14:textId="77777777" w:rsidR="006E20ED" w:rsidRPr="006E20ED" w:rsidRDefault="006E20ED" w:rsidP="006E20ED">
            <w:pPr>
              <w:spacing w:after="200"/>
              <w:jc w:val="both"/>
              <w:rPr>
                <w:rFonts w:ascii="Arial" w:eastAsia="Calibri" w:hAnsi="Arial" w:cs="Arial"/>
                <w:sz w:val="20"/>
                <w:szCs w:val="20"/>
              </w:rPr>
            </w:pPr>
            <w:r w:rsidRPr="006E20ED">
              <w:rPr>
                <w:rFonts w:ascii="Arial" w:eastAsia="Calibri" w:hAnsi="Arial" w:cs="Arial"/>
                <w:sz w:val="20"/>
                <w:szCs w:val="20"/>
              </w:rPr>
              <w:t>Mucin, a complex glycoprotein secreted by intestinal epithelial cells and constituting the primary component of mucus, plays a crucial role in hindering the adherence of pathogenic microorganisms to the gut lining.</w:t>
            </w:r>
          </w:p>
        </w:tc>
      </w:tr>
      <w:tr w:rsidR="006E20ED" w:rsidRPr="006E20ED" w14:paraId="58FB2AA4" w14:textId="77777777" w:rsidTr="000D6E1D">
        <w:tc>
          <w:tcPr>
            <w:tcW w:w="4068" w:type="dxa"/>
          </w:tcPr>
          <w:p w14:paraId="618A89C5" w14:textId="77777777" w:rsidR="006E20ED" w:rsidRPr="006E20ED" w:rsidRDefault="006E20ED" w:rsidP="006E20ED">
            <w:pPr>
              <w:spacing w:after="200"/>
              <w:jc w:val="both"/>
              <w:rPr>
                <w:rFonts w:ascii="Arial" w:eastAsia="Calibri" w:hAnsi="Arial" w:cs="Arial"/>
                <w:sz w:val="20"/>
                <w:szCs w:val="20"/>
              </w:rPr>
            </w:pPr>
            <w:r w:rsidRPr="006E20ED">
              <w:rPr>
                <w:rFonts w:ascii="Arial" w:eastAsia="Calibri" w:hAnsi="Arial" w:cs="Arial"/>
                <w:sz w:val="20"/>
                <w:szCs w:val="20"/>
              </w:rPr>
              <w:t>Exclusion of Pathogens through Competitive Microbial Interactions</w:t>
            </w:r>
          </w:p>
        </w:tc>
        <w:tc>
          <w:tcPr>
            <w:tcW w:w="4230" w:type="dxa"/>
          </w:tcPr>
          <w:p w14:paraId="1AD42E26" w14:textId="77777777" w:rsidR="006E20ED" w:rsidRPr="006E20ED" w:rsidRDefault="006E20ED" w:rsidP="006E20ED">
            <w:pPr>
              <w:spacing w:after="200"/>
              <w:jc w:val="both"/>
              <w:rPr>
                <w:rFonts w:ascii="Arial" w:eastAsia="Calibri" w:hAnsi="Arial" w:cs="Arial"/>
                <w:sz w:val="20"/>
                <w:szCs w:val="20"/>
              </w:rPr>
            </w:pPr>
            <w:r w:rsidRPr="006E20ED">
              <w:rPr>
                <w:rFonts w:ascii="Arial" w:eastAsia="Calibri" w:hAnsi="Arial" w:cs="Arial"/>
                <w:sz w:val="20"/>
                <w:szCs w:val="20"/>
              </w:rPr>
              <w:t>Probiotic bacteria adhere effectively to intestinal receptor sites, thereby inhibiting the attachment of pathogenic microorganisms. By creating an unfavorable microenvironment, occupying binding sites, secreting antimicrobial agents and beneficial metabolites, and outcompeting pathogens for essential nutrients, they suppress the growth and colonization of harmful microbes.</w:t>
            </w:r>
          </w:p>
        </w:tc>
      </w:tr>
      <w:tr w:rsidR="000D6E1D" w:rsidRPr="006E20ED" w14:paraId="40D93D93" w14:textId="77777777" w:rsidTr="000D6E1D">
        <w:tc>
          <w:tcPr>
            <w:tcW w:w="4068" w:type="dxa"/>
          </w:tcPr>
          <w:p w14:paraId="369FB051" w14:textId="77777777" w:rsidR="006E20ED" w:rsidRPr="006E20ED" w:rsidRDefault="006E20ED" w:rsidP="006E20ED">
            <w:pPr>
              <w:spacing w:after="200"/>
              <w:jc w:val="both"/>
              <w:rPr>
                <w:rFonts w:ascii="Arial" w:eastAsia="Calibri" w:hAnsi="Arial" w:cs="Arial"/>
                <w:sz w:val="20"/>
                <w:szCs w:val="20"/>
              </w:rPr>
            </w:pPr>
            <w:r w:rsidRPr="006E20ED">
              <w:rPr>
                <w:rFonts w:ascii="Arial" w:eastAsia="Calibri" w:hAnsi="Arial" w:cs="Arial"/>
                <w:sz w:val="20"/>
                <w:szCs w:val="20"/>
              </w:rPr>
              <w:t>Biosynthesis of antimicrobial compounds</w:t>
            </w:r>
          </w:p>
        </w:tc>
        <w:tc>
          <w:tcPr>
            <w:tcW w:w="4230" w:type="dxa"/>
          </w:tcPr>
          <w:p w14:paraId="273BEBFE" w14:textId="77777777" w:rsidR="006E20ED" w:rsidRPr="006E20ED" w:rsidRDefault="006E20ED" w:rsidP="006E20ED">
            <w:pPr>
              <w:spacing w:after="200"/>
              <w:jc w:val="both"/>
              <w:rPr>
                <w:rFonts w:ascii="Arial" w:eastAsia="Calibri" w:hAnsi="Arial" w:cs="Arial"/>
                <w:sz w:val="20"/>
                <w:szCs w:val="20"/>
              </w:rPr>
            </w:pPr>
            <w:r w:rsidRPr="006E20ED">
              <w:rPr>
                <w:rFonts w:ascii="Arial" w:eastAsia="Calibri" w:hAnsi="Arial" w:cs="Arial"/>
                <w:sz w:val="20"/>
                <w:szCs w:val="20"/>
              </w:rPr>
              <w:t>Probiotic microorganisms synthesize short-chain fatty acids that reduce intracellular pH, thereby creating unfavorable conditions for pathogenic microbes. Additionally, many strains release antimicrobial peptides and bacteriocins such as lactacin, plantaricin, and nisin which exhibit selective activity against specific pathogens.</w:t>
            </w:r>
          </w:p>
        </w:tc>
      </w:tr>
      <w:tr w:rsidR="000D6E1D" w:rsidRPr="006E20ED" w14:paraId="7E8911F0" w14:textId="77777777" w:rsidTr="000D6E1D">
        <w:tc>
          <w:tcPr>
            <w:tcW w:w="4068" w:type="dxa"/>
            <w:tcBorders>
              <w:bottom w:val="single" w:sz="4" w:space="0" w:color="auto"/>
            </w:tcBorders>
          </w:tcPr>
          <w:p w14:paraId="691C031F" w14:textId="77777777" w:rsidR="006E20ED" w:rsidRPr="006E20ED" w:rsidRDefault="006E20ED" w:rsidP="006E20ED">
            <w:pPr>
              <w:spacing w:after="200"/>
              <w:jc w:val="both"/>
              <w:rPr>
                <w:rFonts w:ascii="Arial" w:eastAsia="Calibri" w:hAnsi="Arial" w:cs="Arial"/>
                <w:sz w:val="20"/>
                <w:szCs w:val="20"/>
              </w:rPr>
            </w:pPr>
            <w:r w:rsidRPr="006E20ED">
              <w:rPr>
                <w:rFonts w:ascii="Arial" w:eastAsia="Calibri" w:hAnsi="Arial" w:cs="Arial"/>
                <w:sz w:val="20"/>
                <w:szCs w:val="20"/>
              </w:rPr>
              <w:t>Modulation of host immunological activity</w:t>
            </w:r>
          </w:p>
        </w:tc>
        <w:tc>
          <w:tcPr>
            <w:tcW w:w="4230" w:type="dxa"/>
            <w:tcBorders>
              <w:bottom w:val="single" w:sz="4" w:space="0" w:color="auto"/>
            </w:tcBorders>
          </w:tcPr>
          <w:p w14:paraId="72B0AA7A" w14:textId="77777777" w:rsidR="006E20ED" w:rsidRPr="006E20ED" w:rsidRDefault="006E20ED" w:rsidP="006E20ED">
            <w:pPr>
              <w:spacing w:after="200"/>
              <w:jc w:val="both"/>
              <w:rPr>
                <w:rFonts w:ascii="Arial" w:eastAsia="Calibri" w:hAnsi="Arial" w:cs="Arial"/>
                <w:sz w:val="20"/>
                <w:szCs w:val="20"/>
              </w:rPr>
            </w:pPr>
            <w:r w:rsidRPr="006E20ED">
              <w:rPr>
                <w:rFonts w:ascii="Arial" w:eastAsia="Calibri" w:hAnsi="Arial" w:cs="Arial"/>
                <w:sz w:val="20"/>
                <w:szCs w:val="20"/>
              </w:rPr>
              <w:t>Probiotic microorganisms are capable of modulating immune functions by engaging with epithelial cells, dendritic cells, macrophages/monocytes, and lymphocytes, thereby influencing host immune responses.</w:t>
            </w:r>
          </w:p>
        </w:tc>
      </w:tr>
    </w:tbl>
    <w:p w14:paraId="6B821BB2" w14:textId="77777777" w:rsidR="006E20ED" w:rsidRDefault="006E20ED" w:rsidP="00441B6F">
      <w:pPr>
        <w:pStyle w:val="Body"/>
        <w:spacing w:after="0"/>
        <w:rPr>
          <w:rFonts w:ascii="Arial" w:hAnsi="Arial" w:cs="Arial"/>
        </w:rPr>
      </w:pPr>
    </w:p>
    <w:p w14:paraId="796D7113" w14:textId="77777777" w:rsidR="000D6E1D" w:rsidRPr="000D6E1D" w:rsidRDefault="000D6E1D" w:rsidP="000D6E1D">
      <w:pPr>
        <w:tabs>
          <w:tab w:val="left" w:pos="1080"/>
        </w:tabs>
        <w:jc w:val="both"/>
        <w:rPr>
          <w:rFonts w:ascii="Arial" w:hAnsi="Arial" w:cs="Arial"/>
        </w:rPr>
      </w:pPr>
      <w:r w:rsidRPr="00A91B9F">
        <w:rPr>
          <w:rFonts w:ascii="Arial" w:hAnsi="Arial" w:cs="Arial"/>
        </w:rPr>
        <w:t xml:space="preserve">Source: </w:t>
      </w:r>
      <w:r w:rsidRPr="00FE6CCA">
        <w:rPr>
          <w:rFonts w:ascii="Arial" w:hAnsi="Arial" w:cs="Arial"/>
        </w:rPr>
        <w:t xml:space="preserve">Bermudez-Brito </w:t>
      </w:r>
      <w:r w:rsidRPr="00FE6CCA">
        <w:rPr>
          <w:rFonts w:ascii="Arial" w:hAnsi="Arial" w:cs="Arial"/>
          <w:i/>
        </w:rPr>
        <w:t>et al.,</w:t>
      </w:r>
      <w:r w:rsidRPr="00FE6CCA">
        <w:rPr>
          <w:rFonts w:ascii="Arial" w:hAnsi="Arial" w:cs="Arial"/>
        </w:rPr>
        <w:t xml:space="preserve"> (2012); Gheorghe </w:t>
      </w:r>
      <w:r w:rsidRPr="00FE6CCA">
        <w:rPr>
          <w:rFonts w:ascii="Arial" w:hAnsi="Arial" w:cs="Arial"/>
          <w:i/>
        </w:rPr>
        <w:t xml:space="preserve">et al., </w:t>
      </w:r>
      <w:r w:rsidRPr="00FE6CCA">
        <w:rPr>
          <w:rFonts w:ascii="Arial" w:hAnsi="Arial" w:cs="Arial"/>
        </w:rPr>
        <w:t>(2024)</w:t>
      </w:r>
    </w:p>
    <w:p w14:paraId="7697D804" w14:textId="77777777" w:rsidR="000D6E1D" w:rsidRDefault="000D6E1D" w:rsidP="000D6E1D">
      <w:pPr>
        <w:tabs>
          <w:tab w:val="left" w:pos="1080"/>
        </w:tabs>
        <w:jc w:val="both"/>
        <w:rPr>
          <w:rFonts w:ascii="Arial" w:hAnsi="Arial" w:cs="Arial"/>
        </w:rPr>
      </w:pPr>
      <w:r w:rsidRPr="000D6E1D">
        <w:rPr>
          <w:rFonts w:ascii="Arial" w:hAnsi="Arial" w:cs="Arial"/>
        </w:rPr>
        <w:lastRenderedPageBreak/>
        <w:t xml:space="preserve">In addition to their primary functions, probiotic microbial communities within the host gastrointestinal tract can enhance nutrient assimilation and digestive efficiency, ultimately contributing to improved protein synthesis and utilization by </w:t>
      </w:r>
      <w:r w:rsidRPr="00FE6CCA">
        <w:rPr>
          <w:rFonts w:ascii="Arial" w:hAnsi="Arial" w:cs="Arial"/>
        </w:rPr>
        <w:t xml:space="preserve">the host (Rowland </w:t>
      </w:r>
      <w:r w:rsidRPr="00FE6CCA">
        <w:rPr>
          <w:rFonts w:ascii="Arial" w:hAnsi="Arial" w:cs="Arial"/>
          <w:i/>
        </w:rPr>
        <w:t>et al.,</w:t>
      </w:r>
      <w:r w:rsidRPr="00FE6CCA">
        <w:rPr>
          <w:rFonts w:ascii="Arial" w:hAnsi="Arial" w:cs="Arial"/>
        </w:rPr>
        <w:t xml:space="preserve"> 2018).</w:t>
      </w:r>
      <w:r w:rsidRPr="000D6E1D">
        <w:rPr>
          <w:rFonts w:ascii="Arial" w:hAnsi="Arial" w:cs="Arial"/>
        </w:rPr>
        <w:t xml:space="preserve"> Probiotics also facilitate the breakdown of easily absorbable compounds and are capable of synthesizing certain vitamins that support enhanced nutrient uptake. In line with the concept that a beneficial gut microbial ecosystem is essential for eukaryotic metabolism, insects depend on a diverse array of microbial enzymes within their gut to effectively digest feed components. These enzymes further contribute to the release of vital molecules such as fermentable sugars and amino acids, ultimately promoting the insect’s growth and </w:t>
      </w:r>
      <w:r w:rsidRPr="00F15C43">
        <w:rPr>
          <w:rFonts w:ascii="Arial" w:hAnsi="Arial" w:cs="Arial"/>
        </w:rPr>
        <w:t xml:space="preserve">development (Liang </w:t>
      </w:r>
      <w:r w:rsidRPr="00F15C43">
        <w:rPr>
          <w:rFonts w:ascii="Arial" w:hAnsi="Arial" w:cs="Arial"/>
          <w:i/>
        </w:rPr>
        <w:t>et al.,</w:t>
      </w:r>
      <w:r w:rsidRPr="00F15C43">
        <w:rPr>
          <w:rFonts w:ascii="Arial" w:hAnsi="Arial" w:cs="Arial"/>
        </w:rPr>
        <w:t xml:space="preserve"> 2015).</w:t>
      </w:r>
    </w:p>
    <w:p w14:paraId="3A4703DF" w14:textId="77777777" w:rsidR="000D6E1D" w:rsidRPr="000D6E1D" w:rsidRDefault="000D6E1D" w:rsidP="000D6E1D">
      <w:pPr>
        <w:tabs>
          <w:tab w:val="left" w:pos="1080"/>
        </w:tabs>
        <w:jc w:val="both"/>
        <w:rPr>
          <w:rFonts w:ascii="Arial" w:hAnsi="Arial" w:cs="Arial"/>
        </w:rPr>
      </w:pPr>
    </w:p>
    <w:p w14:paraId="516C4393" w14:textId="77777777" w:rsidR="000D6E1D" w:rsidRDefault="000D6E1D" w:rsidP="000D6E1D">
      <w:pPr>
        <w:pStyle w:val="AbstHead"/>
        <w:rPr>
          <w:rFonts w:ascii="Arial" w:hAnsi="Arial" w:cs="Arial"/>
        </w:rPr>
      </w:pPr>
      <w:r>
        <w:rPr>
          <w:rFonts w:ascii="Arial" w:hAnsi="Arial" w:cs="Arial"/>
        </w:rPr>
        <w:t xml:space="preserve">3. </w:t>
      </w:r>
      <w:r w:rsidRPr="000D6E1D">
        <w:rPr>
          <w:rFonts w:ascii="Arial" w:hAnsi="Arial" w:cs="Arial"/>
        </w:rPr>
        <w:t>Silkworm Gut Microbiota</w:t>
      </w:r>
    </w:p>
    <w:p w14:paraId="416935C5" w14:textId="68F794B0" w:rsidR="000D6E1D" w:rsidRPr="007921A3" w:rsidRDefault="000D6E1D" w:rsidP="00712E68">
      <w:pPr>
        <w:tabs>
          <w:tab w:val="left" w:pos="1080"/>
        </w:tabs>
        <w:spacing w:before="240"/>
        <w:jc w:val="both"/>
        <w:rPr>
          <w:rFonts w:ascii="Arial" w:hAnsi="Arial" w:cs="Arial"/>
          <w:highlight w:val="yellow"/>
        </w:rPr>
      </w:pPr>
      <w:r w:rsidRPr="000D6E1D">
        <w:rPr>
          <w:rFonts w:ascii="Arial" w:hAnsi="Arial" w:cs="Arial"/>
        </w:rPr>
        <w:t xml:space="preserve">To optimize the application of probiotics, it is essential to gain a comprehensive understanding of the microbial populations naturally associated with the gut of silkworm larvae. In addition to their critical role in maintaining innate immune defense, the gut microbiota also contributes significantly to protecting the host against a range of pathogens, including bacteria, fungi, viruses, and microsporidia. Although ingestion is the primary route for bacterial and viral infections, fungal pathogens can also invade through the insect cuticle </w:t>
      </w:r>
      <w:r w:rsidRPr="00F15C43">
        <w:rPr>
          <w:rFonts w:ascii="Arial" w:hAnsi="Arial" w:cs="Arial"/>
        </w:rPr>
        <w:t xml:space="preserve">(Hong </w:t>
      </w:r>
      <w:r w:rsidRPr="00F15C43">
        <w:rPr>
          <w:rFonts w:ascii="Arial" w:hAnsi="Arial" w:cs="Arial"/>
          <w:i/>
        </w:rPr>
        <w:t>et al.,</w:t>
      </w:r>
      <w:r w:rsidRPr="00F15C43">
        <w:rPr>
          <w:rFonts w:ascii="Arial" w:hAnsi="Arial" w:cs="Arial"/>
        </w:rPr>
        <w:t xml:space="preserve"> 2022). Notably</w:t>
      </w:r>
      <w:r w:rsidRPr="000D6E1D">
        <w:rPr>
          <w:rFonts w:ascii="Arial" w:hAnsi="Arial" w:cs="Arial"/>
        </w:rPr>
        <w:t xml:space="preserve">, ecto-microbiota shares the same environmental origin as gut </w:t>
      </w:r>
      <w:r w:rsidRPr="00B675D8">
        <w:rPr>
          <w:rFonts w:ascii="Arial" w:hAnsi="Arial" w:cs="Arial"/>
        </w:rPr>
        <w:t xml:space="preserve">microbiota (Hong </w:t>
      </w:r>
      <w:r w:rsidRPr="00B675D8">
        <w:rPr>
          <w:rFonts w:ascii="Arial" w:hAnsi="Arial" w:cs="Arial"/>
          <w:i/>
        </w:rPr>
        <w:t>et al.,</w:t>
      </w:r>
      <w:r w:rsidRPr="00B675D8">
        <w:rPr>
          <w:rFonts w:ascii="Arial" w:hAnsi="Arial" w:cs="Arial"/>
        </w:rPr>
        <w:t xml:space="preserve"> 2024) and is often established through exposure </w:t>
      </w:r>
      <w:r w:rsidRPr="007921A3">
        <w:rPr>
          <w:rFonts w:ascii="Arial" w:hAnsi="Arial" w:cs="Arial"/>
          <w:highlight w:val="yellow"/>
        </w:rPr>
        <w:t xml:space="preserve">to </w:t>
      </w:r>
      <w:proofErr w:type="spellStart"/>
      <w:r w:rsidRPr="007921A3">
        <w:rPr>
          <w:rFonts w:ascii="Arial" w:hAnsi="Arial" w:cs="Arial"/>
          <w:highlight w:val="yellow"/>
        </w:rPr>
        <w:t>f</w:t>
      </w:r>
      <w:r w:rsidR="00272667" w:rsidRPr="007921A3">
        <w:rPr>
          <w:rFonts w:ascii="Arial" w:hAnsi="Arial" w:cs="Arial"/>
          <w:highlight w:val="yellow"/>
        </w:rPr>
        <w:t>a</w:t>
      </w:r>
      <w:r w:rsidRPr="007921A3">
        <w:rPr>
          <w:rFonts w:ascii="Arial" w:hAnsi="Arial" w:cs="Arial"/>
          <w:highlight w:val="yellow"/>
        </w:rPr>
        <w:t>ecal</w:t>
      </w:r>
      <w:proofErr w:type="spellEnd"/>
      <w:r w:rsidRPr="007921A3">
        <w:rPr>
          <w:rFonts w:ascii="Arial" w:hAnsi="Arial" w:cs="Arial"/>
          <w:highlight w:val="yellow"/>
        </w:rPr>
        <w:t xml:space="preserve"> bacteria (Zhao </w:t>
      </w:r>
      <w:r w:rsidRPr="007921A3">
        <w:rPr>
          <w:rFonts w:ascii="Arial" w:hAnsi="Arial" w:cs="Arial"/>
          <w:i/>
          <w:highlight w:val="yellow"/>
        </w:rPr>
        <w:t>et al.,</w:t>
      </w:r>
      <w:r w:rsidRPr="007921A3">
        <w:rPr>
          <w:rFonts w:ascii="Arial" w:hAnsi="Arial" w:cs="Arial"/>
          <w:highlight w:val="yellow"/>
        </w:rPr>
        <w:t xml:space="preserve"> 2024). </w:t>
      </w:r>
    </w:p>
    <w:p w14:paraId="7C409876" w14:textId="77777777" w:rsidR="000D6E1D" w:rsidRPr="000D6E1D" w:rsidRDefault="000D6E1D" w:rsidP="00712E68">
      <w:pPr>
        <w:tabs>
          <w:tab w:val="left" w:pos="1080"/>
        </w:tabs>
        <w:spacing w:before="240"/>
        <w:jc w:val="both"/>
        <w:rPr>
          <w:rFonts w:ascii="Arial" w:hAnsi="Arial" w:cs="Arial"/>
        </w:rPr>
      </w:pPr>
      <w:r w:rsidRPr="007921A3">
        <w:rPr>
          <w:rFonts w:ascii="Arial" w:hAnsi="Arial" w:cs="Arial"/>
          <w:highlight w:val="yellow"/>
        </w:rPr>
        <w:t>The gastrointestinal tract of silkworms harbors a diverse array</w:t>
      </w:r>
      <w:r w:rsidRPr="000D6E1D">
        <w:rPr>
          <w:rFonts w:ascii="Arial" w:hAnsi="Arial" w:cs="Arial"/>
        </w:rPr>
        <w:t xml:space="preserve"> of microbial communities that play a crucial role in digestion, immunity, and overall physiological development. These gut-associated microorganisms can be broadly categorized into Gram-positive and Gram-negative bacteria, each contributing distinct metabolic and functional benefits to the host. Studies have consistently identified specific bacterial taxa that dominate the gut microbiota of </w:t>
      </w:r>
      <w:r w:rsidRPr="000D6E1D">
        <w:rPr>
          <w:rFonts w:ascii="Arial" w:hAnsi="Arial" w:cs="Arial"/>
          <w:i/>
          <w:iCs/>
        </w:rPr>
        <w:t>Bombyx mori</w:t>
      </w:r>
      <w:r w:rsidRPr="000D6E1D">
        <w:rPr>
          <w:rFonts w:ascii="Arial" w:hAnsi="Arial" w:cs="Arial"/>
        </w:rPr>
        <w:t>, reflecting their adaptability and potential probiotic value in si</w:t>
      </w:r>
      <w:r w:rsidR="00DB4A38">
        <w:rPr>
          <w:rFonts w:ascii="Arial" w:hAnsi="Arial" w:cs="Arial"/>
        </w:rPr>
        <w:t>lkworm rearing systems. Table 2</w:t>
      </w:r>
      <w:r w:rsidRPr="000D6E1D">
        <w:rPr>
          <w:rFonts w:ascii="Arial" w:hAnsi="Arial" w:cs="Arial"/>
        </w:rPr>
        <w:t xml:space="preserve"> summarizes the predominant bacterial species commonly reported in the gut environment of silkworm larvae.</w:t>
      </w:r>
    </w:p>
    <w:p w14:paraId="5525D529" w14:textId="77777777" w:rsidR="00C04753" w:rsidRDefault="00C04753" w:rsidP="000D6E1D">
      <w:pPr>
        <w:tabs>
          <w:tab w:val="left" w:pos="1080"/>
        </w:tabs>
        <w:jc w:val="both"/>
        <w:rPr>
          <w:rFonts w:ascii="Arial" w:hAnsi="Arial" w:cs="Arial"/>
        </w:rPr>
      </w:pPr>
    </w:p>
    <w:p w14:paraId="276F6E1F" w14:textId="77777777" w:rsidR="004C34B3" w:rsidRPr="007F6940" w:rsidRDefault="004C34B3" w:rsidP="004C34B3">
      <w:pPr>
        <w:tabs>
          <w:tab w:val="left" w:pos="1080"/>
        </w:tabs>
        <w:spacing w:after="240"/>
        <w:jc w:val="both"/>
        <w:rPr>
          <w:rFonts w:ascii="Arial" w:hAnsi="Arial"/>
          <w:b/>
        </w:rPr>
      </w:pPr>
      <w:r>
        <w:rPr>
          <w:rFonts w:ascii="Arial" w:hAnsi="Arial"/>
          <w:b/>
        </w:rPr>
        <w:t>Table 2.</w:t>
      </w:r>
      <w:r w:rsidRPr="004C34B3">
        <w:rPr>
          <w:rFonts w:asciiTheme="minorHAnsi" w:eastAsiaTheme="minorHAnsi" w:hAnsiTheme="minorHAnsi" w:cstheme="minorBidi"/>
          <w:b/>
          <w:sz w:val="22"/>
          <w:szCs w:val="22"/>
        </w:rPr>
        <w:t xml:space="preserve"> </w:t>
      </w:r>
      <w:r w:rsidRPr="004C34B3">
        <w:rPr>
          <w:rFonts w:ascii="Arial" w:hAnsi="Arial"/>
          <w:b/>
        </w:rPr>
        <w:t xml:space="preserve">Predominant Gram-Positive and Gram-Negative Bacterial Species Identified in the Gut Microbiota of </w:t>
      </w:r>
      <w:r w:rsidRPr="004C34B3">
        <w:rPr>
          <w:rFonts w:ascii="Arial" w:hAnsi="Arial"/>
          <w:b/>
          <w:i/>
          <w:iCs/>
        </w:rPr>
        <w:t>Bombyx mori</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3"/>
        <w:gridCol w:w="4025"/>
      </w:tblGrid>
      <w:tr w:rsidR="004C34B3" w:rsidRPr="004C34B3" w14:paraId="4F552147" w14:textId="77777777" w:rsidTr="004C34B3">
        <w:tc>
          <w:tcPr>
            <w:tcW w:w="4227" w:type="dxa"/>
            <w:tcBorders>
              <w:top w:val="single" w:sz="4" w:space="0" w:color="auto"/>
              <w:bottom w:val="single" w:sz="4" w:space="0" w:color="auto"/>
            </w:tcBorders>
          </w:tcPr>
          <w:p w14:paraId="78E06823" w14:textId="77777777" w:rsidR="004C34B3" w:rsidRPr="004C34B3" w:rsidRDefault="004C34B3" w:rsidP="004C34B3">
            <w:pPr>
              <w:spacing w:before="100" w:beforeAutospacing="1" w:after="100" w:afterAutospacing="1"/>
              <w:jc w:val="both"/>
              <w:rPr>
                <w:rFonts w:ascii="Arial" w:hAnsi="Arial" w:cs="Arial"/>
                <w:b/>
                <w:sz w:val="20"/>
                <w:szCs w:val="20"/>
              </w:rPr>
            </w:pPr>
            <w:r w:rsidRPr="004C34B3">
              <w:rPr>
                <w:rFonts w:ascii="Arial" w:hAnsi="Arial" w:cs="Arial"/>
                <w:b/>
                <w:sz w:val="20"/>
                <w:szCs w:val="20"/>
              </w:rPr>
              <w:t>Gram positive</w:t>
            </w:r>
          </w:p>
        </w:tc>
        <w:tc>
          <w:tcPr>
            <w:tcW w:w="4071" w:type="dxa"/>
            <w:tcBorders>
              <w:top w:val="single" w:sz="4" w:space="0" w:color="auto"/>
              <w:bottom w:val="single" w:sz="4" w:space="0" w:color="auto"/>
            </w:tcBorders>
          </w:tcPr>
          <w:p w14:paraId="5407EE7D" w14:textId="77777777" w:rsidR="004C34B3" w:rsidRPr="004C34B3" w:rsidRDefault="004C34B3" w:rsidP="004C34B3">
            <w:pPr>
              <w:spacing w:before="100" w:beforeAutospacing="1" w:after="100" w:afterAutospacing="1"/>
              <w:jc w:val="both"/>
              <w:rPr>
                <w:rFonts w:ascii="Arial" w:hAnsi="Arial" w:cs="Arial"/>
                <w:b/>
                <w:sz w:val="20"/>
                <w:szCs w:val="20"/>
              </w:rPr>
            </w:pPr>
            <w:r w:rsidRPr="004C34B3">
              <w:rPr>
                <w:rFonts w:ascii="Arial" w:hAnsi="Arial" w:cs="Arial"/>
                <w:b/>
                <w:sz w:val="20"/>
                <w:szCs w:val="20"/>
              </w:rPr>
              <w:t>Gram negative</w:t>
            </w:r>
          </w:p>
        </w:tc>
      </w:tr>
      <w:tr w:rsidR="004C34B3" w:rsidRPr="004C34B3" w14:paraId="63048F76" w14:textId="77777777" w:rsidTr="004C34B3">
        <w:tc>
          <w:tcPr>
            <w:tcW w:w="4227" w:type="dxa"/>
            <w:tcBorders>
              <w:top w:val="single" w:sz="4" w:space="0" w:color="auto"/>
            </w:tcBorders>
          </w:tcPr>
          <w:p w14:paraId="0FEA81E7" w14:textId="77777777" w:rsidR="004C34B3" w:rsidRPr="004C34B3" w:rsidRDefault="004C34B3" w:rsidP="004C34B3">
            <w:pPr>
              <w:spacing w:before="100" w:beforeAutospacing="1" w:after="100" w:afterAutospacing="1"/>
              <w:jc w:val="both"/>
              <w:rPr>
                <w:rFonts w:ascii="Arial" w:hAnsi="Arial" w:cs="Arial"/>
                <w:i/>
                <w:sz w:val="20"/>
                <w:szCs w:val="20"/>
              </w:rPr>
            </w:pPr>
            <w:r w:rsidRPr="004C34B3">
              <w:rPr>
                <w:rFonts w:ascii="Arial" w:hAnsi="Arial" w:cs="Arial"/>
                <w:i/>
                <w:sz w:val="20"/>
                <w:szCs w:val="20"/>
              </w:rPr>
              <w:t>Bacillus circulans</w:t>
            </w:r>
          </w:p>
        </w:tc>
        <w:tc>
          <w:tcPr>
            <w:tcW w:w="4071" w:type="dxa"/>
            <w:tcBorders>
              <w:top w:val="single" w:sz="4" w:space="0" w:color="auto"/>
            </w:tcBorders>
          </w:tcPr>
          <w:p w14:paraId="32863DFB" w14:textId="77777777" w:rsidR="004C34B3" w:rsidRPr="004C34B3" w:rsidRDefault="004C34B3" w:rsidP="004C34B3">
            <w:pPr>
              <w:spacing w:before="100" w:beforeAutospacing="1" w:after="100" w:afterAutospacing="1"/>
              <w:jc w:val="both"/>
              <w:rPr>
                <w:rFonts w:ascii="Arial" w:hAnsi="Arial" w:cs="Arial"/>
                <w:i/>
                <w:sz w:val="20"/>
                <w:szCs w:val="20"/>
              </w:rPr>
            </w:pPr>
            <w:r w:rsidRPr="004C34B3">
              <w:rPr>
                <w:rFonts w:ascii="Arial" w:hAnsi="Arial" w:cs="Arial"/>
                <w:i/>
                <w:sz w:val="20"/>
                <w:szCs w:val="20"/>
              </w:rPr>
              <w:t>Proteus vulgaris</w:t>
            </w:r>
          </w:p>
        </w:tc>
      </w:tr>
      <w:tr w:rsidR="004C34B3" w:rsidRPr="004C34B3" w14:paraId="3659CEE8" w14:textId="77777777" w:rsidTr="004C34B3">
        <w:tc>
          <w:tcPr>
            <w:tcW w:w="4227" w:type="dxa"/>
          </w:tcPr>
          <w:p w14:paraId="4100946F" w14:textId="77777777" w:rsidR="004C34B3" w:rsidRPr="004C34B3" w:rsidRDefault="004C34B3" w:rsidP="004C34B3">
            <w:pPr>
              <w:spacing w:before="100" w:beforeAutospacing="1" w:after="100" w:afterAutospacing="1"/>
              <w:jc w:val="both"/>
              <w:rPr>
                <w:rFonts w:ascii="Arial" w:hAnsi="Arial" w:cs="Arial"/>
                <w:i/>
                <w:sz w:val="20"/>
                <w:szCs w:val="20"/>
              </w:rPr>
            </w:pPr>
            <w:r w:rsidRPr="004C34B3">
              <w:rPr>
                <w:rFonts w:ascii="Arial" w:hAnsi="Arial" w:cs="Arial"/>
                <w:i/>
                <w:sz w:val="20"/>
                <w:szCs w:val="20"/>
              </w:rPr>
              <w:t>Bacillus subtilis</w:t>
            </w:r>
          </w:p>
        </w:tc>
        <w:tc>
          <w:tcPr>
            <w:tcW w:w="4071" w:type="dxa"/>
          </w:tcPr>
          <w:p w14:paraId="4E4B35BF" w14:textId="77777777" w:rsidR="004C34B3" w:rsidRPr="004C34B3" w:rsidRDefault="004C34B3" w:rsidP="004C34B3">
            <w:pPr>
              <w:spacing w:before="100" w:beforeAutospacing="1" w:after="100" w:afterAutospacing="1"/>
              <w:jc w:val="both"/>
              <w:rPr>
                <w:rFonts w:ascii="Arial" w:hAnsi="Arial" w:cs="Arial"/>
                <w:i/>
                <w:sz w:val="20"/>
                <w:szCs w:val="20"/>
              </w:rPr>
            </w:pPr>
            <w:r w:rsidRPr="004C34B3">
              <w:rPr>
                <w:rFonts w:ascii="Arial" w:hAnsi="Arial" w:cs="Arial"/>
                <w:i/>
                <w:sz w:val="20"/>
                <w:szCs w:val="20"/>
              </w:rPr>
              <w:t>Klebsiella pneumoniae</w:t>
            </w:r>
          </w:p>
        </w:tc>
      </w:tr>
      <w:tr w:rsidR="004C34B3" w:rsidRPr="004C34B3" w14:paraId="437FA6B2" w14:textId="77777777" w:rsidTr="004C34B3">
        <w:tc>
          <w:tcPr>
            <w:tcW w:w="4227" w:type="dxa"/>
          </w:tcPr>
          <w:p w14:paraId="2E63710D" w14:textId="77777777" w:rsidR="004C34B3" w:rsidRPr="004C34B3" w:rsidRDefault="004C34B3" w:rsidP="004C34B3">
            <w:pPr>
              <w:spacing w:before="100" w:beforeAutospacing="1" w:after="100" w:afterAutospacing="1"/>
              <w:jc w:val="both"/>
              <w:rPr>
                <w:rFonts w:ascii="Arial" w:hAnsi="Arial" w:cs="Arial"/>
                <w:i/>
                <w:sz w:val="20"/>
                <w:szCs w:val="20"/>
              </w:rPr>
            </w:pPr>
            <w:r w:rsidRPr="004C34B3">
              <w:rPr>
                <w:rFonts w:ascii="Arial" w:hAnsi="Arial" w:cs="Arial"/>
                <w:i/>
                <w:sz w:val="20"/>
                <w:szCs w:val="20"/>
              </w:rPr>
              <w:t>Enterococcus sp.</w:t>
            </w:r>
          </w:p>
        </w:tc>
        <w:tc>
          <w:tcPr>
            <w:tcW w:w="4071" w:type="dxa"/>
          </w:tcPr>
          <w:p w14:paraId="37F4C03D" w14:textId="77777777" w:rsidR="004C34B3" w:rsidRPr="004C34B3" w:rsidRDefault="004C34B3" w:rsidP="004C34B3">
            <w:pPr>
              <w:spacing w:before="100" w:beforeAutospacing="1" w:after="100" w:afterAutospacing="1"/>
              <w:jc w:val="both"/>
              <w:rPr>
                <w:rFonts w:ascii="Arial" w:hAnsi="Arial" w:cs="Arial"/>
                <w:i/>
                <w:sz w:val="20"/>
                <w:szCs w:val="20"/>
              </w:rPr>
            </w:pPr>
            <w:r w:rsidRPr="004C34B3">
              <w:rPr>
                <w:rFonts w:ascii="Arial" w:hAnsi="Arial" w:cs="Arial"/>
                <w:i/>
                <w:sz w:val="20"/>
                <w:szCs w:val="20"/>
              </w:rPr>
              <w:t>Escherichia coli</w:t>
            </w:r>
          </w:p>
        </w:tc>
      </w:tr>
      <w:tr w:rsidR="004C34B3" w:rsidRPr="004C34B3" w14:paraId="0C66828B" w14:textId="77777777" w:rsidTr="004C34B3">
        <w:tc>
          <w:tcPr>
            <w:tcW w:w="4227" w:type="dxa"/>
          </w:tcPr>
          <w:p w14:paraId="132ADFE5" w14:textId="77777777" w:rsidR="004C34B3" w:rsidRPr="004C34B3" w:rsidRDefault="004C34B3" w:rsidP="004C34B3">
            <w:pPr>
              <w:spacing w:before="100" w:beforeAutospacing="1" w:after="100" w:afterAutospacing="1"/>
              <w:jc w:val="both"/>
              <w:rPr>
                <w:rFonts w:ascii="Arial" w:hAnsi="Arial" w:cs="Arial"/>
                <w:i/>
                <w:sz w:val="20"/>
                <w:szCs w:val="20"/>
              </w:rPr>
            </w:pPr>
            <w:r w:rsidRPr="004C34B3">
              <w:rPr>
                <w:rFonts w:ascii="Arial" w:hAnsi="Arial" w:cs="Arial"/>
                <w:i/>
                <w:sz w:val="20"/>
                <w:szCs w:val="20"/>
              </w:rPr>
              <w:t>Staphylococcus aureus</w:t>
            </w:r>
          </w:p>
        </w:tc>
        <w:tc>
          <w:tcPr>
            <w:tcW w:w="4071" w:type="dxa"/>
          </w:tcPr>
          <w:p w14:paraId="6EDC16E0" w14:textId="77777777" w:rsidR="004C34B3" w:rsidRPr="004C34B3" w:rsidRDefault="004C34B3" w:rsidP="004C34B3">
            <w:pPr>
              <w:spacing w:before="100" w:beforeAutospacing="1" w:after="100" w:afterAutospacing="1"/>
              <w:jc w:val="both"/>
              <w:rPr>
                <w:rFonts w:ascii="Arial" w:hAnsi="Arial" w:cs="Arial"/>
                <w:i/>
                <w:sz w:val="20"/>
                <w:szCs w:val="20"/>
              </w:rPr>
            </w:pPr>
            <w:r w:rsidRPr="004C34B3">
              <w:rPr>
                <w:rFonts w:ascii="Arial" w:hAnsi="Arial" w:cs="Arial"/>
                <w:i/>
                <w:sz w:val="20"/>
                <w:szCs w:val="20"/>
              </w:rPr>
              <w:t>Enterobacter sp.</w:t>
            </w:r>
          </w:p>
        </w:tc>
      </w:tr>
      <w:tr w:rsidR="004C34B3" w:rsidRPr="004C34B3" w14:paraId="2BBD901A" w14:textId="77777777" w:rsidTr="004C34B3">
        <w:tc>
          <w:tcPr>
            <w:tcW w:w="4227" w:type="dxa"/>
          </w:tcPr>
          <w:p w14:paraId="53AAC904" w14:textId="77777777" w:rsidR="004C34B3" w:rsidRPr="004C34B3" w:rsidRDefault="004C34B3" w:rsidP="004C34B3">
            <w:pPr>
              <w:spacing w:before="100" w:beforeAutospacing="1" w:after="100" w:afterAutospacing="1"/>
              <w:jc w:val="both"/>
              <w:rPr>
                <w:rFonts w:ascii="Arial" w:hAnsi="Arial" w:cs="Arial"/>
                <w:i/>
                <w:sz w:val="20"/>
                <w:szCs w:val="20"/>
              </w:rPr>
            </w:pPr>
          </w:p>
        </w:tc>
        <w:tc>
          <w:tcPr>
            <w:tcW w:w="4071" w:type="dxa"/>
          </w:tcPr>
          <w:p w14:paraId="59EE72F9" w14:textId="77777777" w:rsidR="004C34B3" w:rsidRPr="004C34B3" w:rsidRDefault="004C34B3" w:rsidP="004C34B3">
            <w:pPr>
              <w:spacing w:before="100" w:beforeAutospacing="1" w:after="100" w:afterAutospacing="1"/>
              <w:jc w:val="both"/>
              <w:rPr>
                <w:rFonts w:ascii="Arial" w:hAnsi="Arial" w:cs="Arial"/>
                <w:i/>
                <w:sz w:val="20"/>
                <w:szCs w:val="20"/>
              </w:rPr>
            </w:pPr>
            <w:r w:rsidRPr="004C34B3">
              <w:rPr>
                <w:rFonts w:ascii="Arial" w:hAnsi="Arial" w:cs="Arial"/>
                <w:i/>
                <w:sz w:val="20"/>
                <w:szCs w:val="20"/>
              </w:rPr>
              <w:t>Serratia liquefaciens</w:t>
            </w:r>
          </w:p>
        </w:tc>
      </w:tr>
      <w:tr w:rsidR="004C34B3" w:rsidRPr="004C34B3" w14:paraId="5EAEF5BA" w14:textId="77777777" w:rsidTr="004C34B3">
        <w:tc>
          <w:tcPr>
            <w:tcW w:w="4227" w:type="dxa"/>
          </w:tcPr>
          <w:p w14:paraId="224E0087" w14:textId="77777777" w:rsidR="004C34B3" w:rsidRPr="004C34B3" w:rsidRDefault="004C34B3" w:rsidP="004C34B3">
            <w:pPr>
              <w:spacing w:before="100" w:beforeAutospacing="1" w:after="100" w:afterAutospacing="1"/>
              <w:jc w:val="both"/>
              <w:rPr>
                <w:rFonts w:ascii="Arial" w:hAnsi="Arial" w:cs="Arial"/>
                <w:i/>
                <w:sz w:val="20"/>
                <w:szCs w:val="20"/>
              </w:rPr>
            </w:pPr>
          </w:p>
        </w:tc>
        <w:tc>
          <w:tcPr>
            <w:tcW w:w="4071" w:type="dxa"/>
          </w:tcPr>
          <w:p w14:paraId="2576EEAC" w14:textId="77777777" w:rsidR="004C34B3" w:rsidRPr="004C34B3" w:rsidRDefault="004C34B3" w:rsidP="004C34B3">
            <w:pPr>
              <w:spacing w:before="100" w:beforeAutospacing="1" w:after="100" w:afterAutospacing="1"/>
              <w:jc w:val="both"/>
              <w:rPr>
                <w:rFonts w:ascii="Arial" w:hAnsi="Arial" w:cs="Arial"/>
                <w:i/>
                <w:sz w:val="20"/>
                <w:szCs w:val="20"/>
              </w:rPr>
            </w:pPr>
            <w:r w:rsidRPr="004C34B3">
              <w:rPr>
                <w:rFonts w:ascii="Arial" w:hAnsi="Arial" w:cs="Arial"/>
                <w:i/>
                <w:sz w:val="20"/>
                <w:szCs w:val="20"/>
              </w:rPr>
              <w:t>Aeromonas sp.</w:t>
            </w:r>
          </w:p>
        </w:tc>
      </w:tr>
      <w:tr w:rsidR="004C34B3" w:rsidRPr="004C34B3" w14:paraId="28C63B2B" w14:textId="77777777" w:rsidTr="004C34B3">
        <w:tc>
          <w:tcPr>
            <w:tcW w:w="4227" w:type="dxa"/>
            <w:tcBorders>
              <w:bottom w:val="single" w:sz="4" w:space="0" w:color="auto"/>
            </w:tcBorders>
          </w:tcPr>
          <w:p w14:paraId="7915D814" w14:textId="77777777" w:rsidR="004C34B3" w:rsidRPr="004C34B3" w:rsidRDefault="004C34B3" w:rsidP="004C34B3">
            <w:pPr>
              <w:spacing w:after="100" w:afterAutospacing="1"/>
              <w:jc w:val="both"/>
              <w:rPr>
                <w:rFonts w:ascii="Arial" w:hAnsi="Arial" w:cs="Arial"/>
                <w:i/>
                <w:sz w:val="20"/>
                <w:szCs w:val="20"/>
              </w:rPr>
            </w:pPr>
          </w:p>
        </w:tc>
        <w:tc>
          <w:tcPr>
            <w:tcW w:w="4071" w:type="dxa"/>
            <w:tcBorders>
              <w:bottom w:val="single" w:sz="4" w:space="0" w:color="auto"/>
            </w:tcBorders>
          </w:tcPr>
          <w:p w14:paraId="560F6C9A" w14:textId="77777777" w:rsidR="004C34B3" w:rsidRPr="004C34B3" w:rsidRDefault="004C34B3" w:rsidP="004C34B3">
            <w:pPr>
              <w:spacing w:after="100" w:afterAutospacing="1"/>
              <w:jc w:val="both"/>
              <w:rPr>
                <w:rFonts w:ascii="Arial" w:hAnsi="Arial" w:cs="Arial"/>
                <w:i/>
                <w:sz w:val="20"/>
                <w:szCs w:val="20"/>
              </w:rPr>
            </w:pPr>
            <w:r w:rsidRPr="004C34B3">
              <w:rPr>
                <w:rFonts w:ascii="Arial" w:hAnsi="Arial" w:cs="Arial"/>
                <w:i/>
                <w:sz w:val="20"/>
                <w:szCs w:val="20"/>
              </w:rPr>
              <w:t>Citrobacter freundii</w:t>
            </w:r>
          </w:p>
        </w:tc>
      </w:tr>
    </w:tbl>
    <w:p w14:paraId="57D8B7B0" w14:textId="77777777" w:rsidR="00C04753" w:rsidRDefault="00C04753" w:rsidP="00441B6F">
      <w:pPr>
        <w:pStyle w:val="Body"/>
        <w:spacing w:after="0"/>
        <w:rPr>
          <w:rFonts w:ascii="Arial" w:hAnsi="Arial" w:cs="Arial"/>
        </w:rPr>
      </w:pPr>
    </w:p>
    <w:p w14:paraId="300BB753" w14:textId="77777777" w:rsidR="004C34B3" w:rsidRDefault="004C34B3" w:rsidP="004C34B3">
      <w:pPr>
        <w:tabs>
          <w:tab w:val="left" w:pos="1080"/>
        </w:tabs>
        <w:jc w:val="both"/>
        <w:rPr>
          <w:rFonts w:ascii="Arial" w:hAnsi="Arial" w:cs="Arial"/>
        </w:rPr>
      </w:pPr>
      <w:r w:rsidRPr="00B675D8">
        <w:rPr>
          <w:rFonts w:ascii="Arial" w:hAnsi="Arial" w:cs="Arial"/>
        </w:rPr>
        <w:t xml:space="preserve">Source: Arasakumar </w:t>
      </w:r>
      <w:r w:rsidRPr="00B675D8">
        <w:rPr>
          <w:rFonts w:ascii="Arial" w:hAnsi="Arial" w:cs="Arial"/>
          <w:i/>
        </w:rPr>
        <w:t>et al.,</w:t>
      </w:r>
      <w:r w:rsidRPr="00B675D8">
        <w:rPr>
          <w:rFonts w:ascii="Arial" w:hAnsi="Arial" w:cs="Arial"/>
        </w:rPr>
        <w:t xml:space="preserve"> (2023)</w:t>
      </w:r>
    </w:p>
    <w:p w14:paraId="4C84C391" w14:textId="77777777" w:rsidR="004C34B3" w:rsidRPr="000D6E1D" w:rsidRDefault="004C34B3" w:rsidP="004C34B3">
      <w:pPr>
        <w:tabs>
          <w:tab w:val="left" w:pos="1080"/>
        </w:tabs>
        <w:jc w:val="both"/>
        <w:rPr>
          <w:rFonts w:ascii="Arial" w:hAnsi="Arial" w:cs="Arial"/>
        </w:rPr>
      </w:pPr>
    </w:p>
    <w:p w14:paraId="1C4F7868" w14:textId="77777777" w:rsidR="004C34B3" w:rsidRPr="004C34B3" w:rsidRDefault="004C34B3" w:rsidP="00712E68">
      <w:pPr>
        <w:pStyle w:val="Body"/>
        <w:rPr>
          <w:rFonts w:ascii="Arial" w:hAnsi="Arial" w:cs="Arial"/>
        </w:rPr>
      </w:pPr>
      <w:r w:rsidRPr="004C34B3">
        <w:rPr>
          <w:rFonts w:ascii="Arial" w:hAnsi="Arial" w:cs="Arial"/>
        </w:rPr>
        <w:t xml:space="preserve">Advancements in next-generation sequencing (NGS) have greatly enhanced our understanding of the presumed microbial communities within silkworm larvae, revealing shifts in their composition in response to dietary variations and environmental stressors. Among the molecular techniques available, sequencing of the 16S ribosomal DNA (rDNA) gene encoding the small ribosomal subunit in prokaryotes and measuring approximately 1.5 kilobases in length is most frequently employed for assessing microbial diversity </w:t>
      </w:r>
      <w:r w:rsidRPr="00B675D8">
        <w:rPr>
          <w:rFonts w:ascii="Arial" w:hAnsi="Arial" w:cs="Arial"/>
        </w:rPr>
        <w:t xml:space="preserve">(Ponnusamy </w:t>
      </w:r>
      <w:r w:rsidRPr="00B675D8">
        <w:rPr>
          <w:rFonts w:ascii="Arial" w:hAnsi="Arial" w:cs="Arial"/>
          <w:i/>
        </w:rPr>
        <w:t>et al.,</w:t>
      </w:r>
      <w:r w:rsidRPr="00B675D8">
        <w:rPr>
          <w:rFonts w:ascii="Arial" w:hAnsi="Arial" w:cs="Arial"/>
        </w:rPr>
        <w:t xml:space="preserve"> 2019). However</w:t>
      </w:r>
      <w:r w:rsidRPr="004C34B3">
        <w:rPr>
          <w:rFonts w:ascii="Arial" w:hAnsi="Arial" w:cs="Arial"/>
        </w:rPr>
        <w:t xml:space="preserve">, interpretation of these sequencing results must be approached with caution, as DNA-based approaches are unable to distinguish between viable and non-viable microbes, </w:t>
      </w:r>
      <w:r w:rsidRPr="004C34B3">
        <w:rPr>
          <w:rFonts w:ascii="Arial" w:hAnsi="Arial" w:cs="Arial"/>
        </w:rPr>
        <w:lastRenderedPageBreak/>
        <w:t xml:space="preserve">nor can they differentiate between metabolically active and dormant cells. This limitation may be addressed through RNA-based sequencing techniques, which offer more accurate insights into the active microbial </w:t>
      </w:r>
      <w:r w:rsidRPr="00B675D8">
        <w:rPr>
          <w:rFonts w:ascii="Arial" w:hAnsi="Arial" w:cs="Arial"/>
        </w:rPr>
        <w:t xml:space="preserve">population (Li </w:t>
      </w:r>
      <w:r w:rsidRPr="00B675D8">
        <w:rPr>
          <w:rFonts w:ascii="Arial" w:hAnsi="Arial" w:cs="Arial"/>
          <w:i/>
        </w:rPr>
        <w:t>et al.,</w:t>
      </w:r>
      <w:r w:rsidRPr="00B675D8">
        <w:rPr>
          <w:rFonts w:ascii="Arial" w:hAnsi="Arial" w:cs="Arial"/>
        </w:rPr>
        <w:t xml:space="preserve"> 2017). Despite this, RNA-based methods are seldom utilized in studies investigating the silkworm gut microbiota (Chen </w:t>
      </w:r>
      <w:r w:rsidRPr="00B675D8">
        <w:rPr>
          <w:rFonts w:ascii="Arial" w:hAnsi="Arial" w:cs="Arial"/>
          <w:i/>
        </w:rPr>
        <w:t>et al.,</w:t>
      </w:r>
      <w:r w:rsidRPr="00B675D8">
        <w:rPr>
          <w:rFonts w:ascii="Arial" w:hAnsi="Arial" w:cs="Arial"/>
        </w:rPr>
        <w:t xml:space="preserve"> 2018), and as a result, DNA-based analyses may lead to an</w:t>
      </w:r>
      <w:r w:rsidRPr="004C34B3">
        <w:rPr>
          <w:rFonts w:ascii="Arial" w:hAnsi="Arial" w:cs="Arial"/>
        </w:rPr>
        <w:t xml:space="preserve"> overestimation of microbial richness within the silkworm gastrointestinal tract.</w:t>
      </w:r>
    </w:p>
    <w:p w14:paraId="2FCAE262" w14:textId="13AE3589" w:rsidR="004C34B3" w:rsidRPr="004C34B3" w:rsidRDefault="004C34B3" w:rsidP="00712E68">
      <w:pPr>
        <w:pStyle w:val="Body"/>
        <w:rPr>
          <w:rFonts w:ascii="Arial" w:hAnsi="Arial" w:cs="Arial"/>
        </w:rPr>
      </w:pPr>
      <w:r w:rsidRPr="004C34B3">
        <w:rPr>
          <w:rFonts w:ascii="Arial" w:hAnsi="Arial" w:cs="Arial"/>
        </w:rPr>
        <w:t xml:space="preserve">Numerous bacterial species inhabit the midgut of </w:t>
      </w:r>
      <w:r w:rsidRPr="004C34B3">
        <w:rPr>
          <w:rFonts w:ascii="Arial" w:hAnsi="Arial" w:cs="Arial"/>
          <w:i/>
          <w:iCs/>
        </w:rPr>
        <w:t>Bombyx mori</w:t>
      </w:r>
      <w:r w:rsidRPr="004C34B3">
        <w:rPr>
          <w:rFonts w:ascii="Arial" w:hAnsi="Arial" w:cs="Arial"/>
        </w:rPr>
        <w:t xml:space="preserve">, playing vital roles in various metabolic processes. Despite their importance, current knowledge </w:t>
      </w:r>
      <w:r w:rsidRPr="00C34AB5">
        <w:rPr>
          <w:rFonts w:ascii="Arial" w:hAnsi="Arial" w:cs="Arial"/>
        </w:rPr>
        <w:t>regarding the diversity and characterization of these bacterial communities remains limited (Pandiarajan &amp; Krishnan, 2018),</w:t>
      </w:r>
      <w:r w:rsidRPr="004C34B3">
        <w:rPr>
          <w:rFonts w:ascii="Arial" w:hAnsi="Arial" w:cs="Arial"/>
        </w:rPr>
        <w:t xml:space="preserve"> as does our understanding of their specific contributions to the growth, development, and overall health of the </w:t>
      </w:r>
      <w:r w:rsidRPr="00C34AB5">
        <w:rPr>
          <w:rFonts w:ascii="Arial" w:hAnsi="Arial" w:cs="Arial"/>
        </w:rPr>
        <w:t xml:space="preserve">silkworm (Yeruva </w:t>
      </w:r>
      <w:r w:rsidRPr="00C34AB5">
        <w:rPr>
          <w:rFonts w:ascii="Arial" w:hAnsi="Arial" w:cs="Arial"/>
          <w:i/>
        </w:rPr>
        <w:t xml:space="preserve">et al., </w:t>
      </w:r>
      <w:r w:rsidRPr="00C34AB5">
        <w:rPr>
          <w:rFonts w:ascii="Arial" w:hAnsi="Arial" w:cs="Arial"/>
        </w:rPr>
        <w:t>2020</w:t>
      </w:r>
      <w:r w:rsidRPr="004C34B3">
        <w:rPr>
          <w:rFonts w:ascii="Arial" w:hAnsi="Arial" w:cs="Arial"/>
        </w:rPr>
        <w:t xml:space="preserve">). </w:t>
      </w:r>
      <w:r w:rsidRPr="00C34AB5">
        <w:rPr>
          <w:rFonts w:ascii="Arial" w:hAnsi="Arial" w:cs="Arial"/>
        </w:rPr>
        <w:t xml:space="preserve">Kalpana </w:t>
      </w:r>
      <w:r w:rsidRPr="00C34AB5">
        <w:rPr>
          <w:rFonts w:ascii="Arial" w:hAnsi="Arial" w:cs="Arial"/>
          <w:i/>
        </w:rPr>
        <w:t>et al.,</w:t>
      </w:r>
      <w:r w:rsidRPr="00C34AB5">
        <w:rPr>
          <w:rFonts w:ascii="Arial" w:hAnsi="Arial" w:cs="Arial"/>
        </w:rPr>
        <w:t xml:space="preserve"> (1994)</w:t>
      </w:r>
      <w:r w:rsidRPr="004C34B3">
        <w:rPr>
          <w:rFonts w:ascii="Arial" w:hAnsi="Arial" w:cs="Arial"/>
        </w:rPr>
        <w:t xml:space="preserve"> investigated the gut microbiota across the life cycle of </w:t>
      </w:r>
      <w:r w:rsidRPr="004C34B3">
        <w:rPr>
          <w:rFonts w:ascii="Arial" w:hAnsi="Arial" w:cs="Arial"/>
          <w:i/>
          <w:iCs/>
        </w:rPr>
        <w:t>Bombyx mori</w:t>
      </w:r>
      <w:r w:rsidRPr="004C34B3">
        <w:rPr>
          <w:rFonts w:ascii="Arial" w:hAnsi="Arial" w:cs="Arial"/>
        </w:rPr>
        <w:t xml:space="preserve"> and reported that the intestinal bacterial population was more abundant during the fourth and fifth larval instars, which correspond to the active feeding phases, thereby facilitating better nutrient digestion and </w:t>
      </w:r>
      <w:r w:rsidRPr="00C34AB5">
        <w:rPr>
          <w:rFonts w:ascii="Arial" w:hAnsi="Arial" w:cs="Arial"/>
        </w:rPr>
        <w:t xml:space="preserve">growth. Hui </w:t>
      </w:r>
      <w:r w:rsidRPr="00C34AB5">
        <w:rPr>
          <w:rFonts w:ascii="Arial" w:hAnsi="Arial" w:cs="Arial"/>
          <w:i/>
        </w:rPr>
        <w:t>et al.,</w:t>
      </w:r>
      <w:r w:rsidRPr="00C34AB5">
        <w:rPr>
          <w:rFonts w:ascii="Arial" w:hAnsi="Arial" w:cs="Arial"/>
        </w:rPr>
        <w:t xml:space="preserve"> (2010), utilizing</w:t>
      </w:r>
      <w:r w:rsidRPr="004C34B3">
        <w:rPr>
          <w:rFonts w:ascii="Arial" w:hAnsi="Arial" w:cs="Arial"/>
        </w:rPr>
        <w:t xml:space="preserve"> PCR/DGGE and 16S rDNA gene library analysis, identified 41 bacterial phylotypes present in the midgut of </w:t>
      </w:r>
      <w:r w:rsidRPr="004C34B3">
        <w:rPr>
          <w:rFonts w:ascii="Arial" w:hAnsi="Arial" w:cs="Arial"/>
          <w:i/>
          <w:iCs/>
        </w:rPr>
        <w:t>B. mori</w:t>
      </w:r>
      <w:r w:rsidRPr="004C34B3">
        <w:rPr>
          <w:rFonts w:ascii="Arial" w:hAnsi="Arial" w:cs="Arial"/>
        </w:rPr>
        <w:t xml:space="preserve"> larvae. In a similar </w:t>
      </w:r>
      <w:r w:rsidRPr="007207A7">
        <w:rPr>
          <w:rFonts w:ascii="Arial" w:hAnsi="Arial" w:cs="Arial"/>
        </w:rPr>
        <w:t xml:space="preserve">approach, Subramanian </w:t>
      </w:r>
      <w:r w:rsidRPr="007207A7">
        <w:rPr>
          <w:rFonts w:ascii="Arial" w:hAnsi="Arial" w:cs="Arial"/>
          <w:i/>
        </w:rPr>
        <w:t>et al.,</w:t>
      </w:r>
      <w:r w:rsidRPr="007207A7">
        <w:rPr>
          <w:rFonts w:ascii="Arial" w:hAnsi="Arial" w:cs="Arial"/>
        </w:rPr>
        <w:t xml:space="preserve"> (2010b) e</w:t>
      </w:r>
      <w:r w:rsidRPr="004C34B3">
        <w:rPr>
          <w:rFonts w:ascii="Arial" w:hAnsi="Arial" w:cs="Arial"/>
        </w:rPr>
        <w:t xml:space="preserve">mployed 16S rRNA-based techniques and confirmed the occurrence of </w:t>
      </w:r>
      <w:r w:rsidRPr="004C34B3">
        <w:rPr>
          <w:rFonts w:ascii="Arial" w:hAnsi="Arial" w:cs="Arial"/>
          <w:i/>
          <w:iCs/>
        </w:rPr>
        <w:t>Bacillus subtilis</w:t>
      </w:r>
      <w:r w:rsidRPr="004C34B3">
        <w:rPr>
          <w:rFonts w:ascii="Arial" w:hAnsi="Arial" w:cs="Arial"/>
        </w:rPr>
        <w:t xml:space="preserve">, </w:t>
      </w:r>
      <w:r w:rsidRPr="004C34B3">
        <w:rPr>
          <w:rFonts w:ascii="Arial" w:hAnsi="Arial" w:cs="Arial"/>
          <w:i/>
          <w:iCs/>
        </w:rPr>
        <w:t>Pseudomonas fluorescens</w:t>
      </w:r>
      <w:r w:rsidRPr="004C34B3">
        <w:rPr>
          <w:rFonts w:ascii="Arial" w:hAnsi="Arial" w:cs="Arial"/>
        </w:rPr>
        <w:t xml:space="preserve">, and </w:t>
      </w:r>
      <w:r w:rsidRPr="004C34B3">
        <w:rPr>
          <w:rFonts w:ascii="Arial" w:hAnsi="Arial" w:cs="Arial"/>
          <w:i/>
          <w:iCs/>
        </w:rPr>
        <w:t>Streptomyces noursei</w:t>
      </w:r>
      <w:r w:rsidRPr="004C34B3">
        <w:rPr>
          <w:rFonts w:ascii="Arial" w:hAnsi="Arial" w:cs="Arial"/>
        </w:rPr>
        <w:t xml:space="preserve"> as part of the silkworm’s intestinal </w:t>
      </w:r>
      <w:r w:rsidRPr="00EE6B53">
        <w:rPr>
          <w:rFonts w:ascii="Arial" w:hAnsi="Arial" w:cs="Arial"/>
        </w:rPr>
        <w:t xml:space="preserve">microflora. Prem Anand </w:t>
      </w:r>
      <w:r w:rsidRPr="00EE6B53">
        <w:rPr>
          <w:rFonts w:ascii="Arial" w:hAnsi="Arial" w:cs="Arial"/>
          <w:i/>
        </w:rPr>
        <w:t>et al.,</w:t>
      </w:r>
      <w:r w:rsidRPr="00EE6B53">
        <w:rPr>
          <w:rFonts w:ascii="Arial" w:hAnsi="Arial" w:cs="Arial"/>
        </w:rPr>
        <w:t xml:space="preserve"> (2010) observed</w:t>
      </w:r>
      <w:r w:rsidRPr="004C34B3">
        <w:rPr>
          <w:rFonts w:ascii="Arial" w:hAnsi="Arial" w:cs="Arial"/>
        </w:rPr>
        <w:t xml:space="preserve"> that by the fifth instar stage, the silkworm gut becomes colonized with 11 bacterial phylotypes that participate in the degradation of polysaccharides, thereby influencing nutrient uptake, digestion, and insect </w:t>
      </w:r>
      <w:r w:rsidRPr="00EE6B53">
        <w:rPr>
          <w:rFonts w:ascii="Arial" w:hAnsi="Arial" w:cs="Arial"/>
        </w:rPr>
        <w:t xml:space="preserve">development. Li </w:t>
      </w:r>
      <w:r w:rsidRPr="00EE6B53">
        <w:rPr>
          <w:rFonts w:ascii="Arial" w:hAnsi="Arial" w:cs="Arial"/>
          <w:i/>
        </w:rPr>
        <w:t>et al.,</w:t>
      </w:r>
      <w:r w:rsidRPr="00EE6B53">
        <w:rPr>
          <w:rFonts w:ascii="Arial" w:hAnsi="Arial" w:cs="Arial"/>
        </w:rPr>
        <w:t xml:space="preserve"> (2020) further</w:t>
      </w:r>
      <w:r w:rsidRPr="004C34B3">
        <w:rPr>
          <w:rFonts w:ascii="Arial" w:hAnsi="Arial" w:cs="Arial"/>
        </w:rPr>
        <w:t xml:space="preserve"> explored the gut bacterial composition of two silkworm strains using 16S rRNA gene sequencing and noted significant variation in their microbial </w:t>
      </w:r>
      <w:r w:rsidRPr="00D32C1D">
        <w:rPr>
          <w:rFonts w:ascii="Arial" w:hAnsi="Arial" w:cs="Arial"/>
        </w:rPr>
        <w:t xml:space="preserve">profiles. Yeruva </w:t>
      </w:r>
      <w:r w:rsidRPr="00D32C1D">
        <w:rPr>
          <w:rFonts w:ascii="Arial" w:hAnsi="Arial" w:cs="Arial"/>
          <w:i/>
        </w:rPr>
        <w:t>et al.,</w:t>
      </w:r>
      <w:r w:rsidRPr="00D32C1D">
        <w:rPr>
          <w:rFonts w:ascii="Arial" w:hAnsi="Arial" w:cs="Arial"/>
        </w:rPr>
        <w:t xml:space="preserve"> (2020) applied</w:t>
      </w:r>
      <w:r w:rsidRPr="004C34B3">
        <w:rPr>
          <w:rFonts w:ascii="Arial" w:hAnsi="Arial" w:cs="Arial"/>
        </w:rPr>
        <w:t xml:space="preserve"> a metagenomic approach to identify potential probiotic bacteria in the gut of </w:t>
      </w:r>
      <w:r w:rsidRPr="004C34B3">
        <w:rPr>
          <w:rFonts w:ascii="Arial" w:hAnsi="Arial" w:cs="Arial"/>
          <w:i/>
          <w:iCs/>
        </w:rPr>
        <w:t>B. mori</w:t>
      </w:r>
      <w:r w:rsidRPr="004C34B3">
        <w:rPr>
          <w:rFonts w:ascii="Arial" w:hAnsi="Arial" w:cs="Arial"/>
        </w:rPr>
        <w:t xml:space="preserve">, with </w:t>
      </w:r>
      <w:r w:rsidRPr="004C34B3">
        <w:rPr>
          <w:rFonts w:ascii="Arial" w:hAnsi="Arial" w:cs="Arial"/>
          <w:i/>
          <w:iCs/>
        </w:rPr>
        <w:t>Lactobacillus</w:t>
      </w:r>
      <w:r w:rsidRPr="004C34B3">
        <w:rPr>
          <w:rFonts w:ascii="Arial" w:hAnsi="Arial" w:cs="Arial"/>
        </w:rPr>
        <w:t xml:space="preserve"> em</w:t>
      </w:r>
      <w:r>
        <w:rPr>
          <w:rFonts w:ascii="Arial" w:hAnsi="Arial" w:cs="Arial"/>
        </w:rPr>
        <w:t>erging as the predominant genus</w:t>
      </w:r>
      <w:r w:rsidR="007921A3">
        <w:rPr>
          <w:rFonts w:ascii="Arial" w:hAnsi="Arial" w:cs="Arial"/>
        </w:rPr>
        <w:t>,</w:t>
      </w:r>
      <w:r>
        <w:rPr>
          <w:rFonts w:ascii="Arial" w:hAnsi="Arial" w:cs="Arial"/>
        </w:rPr>
        <w:t xml:space="preserve"> </w:t>
      </w:r>
      <w:r w:rsidRPr="007921A3">
        <w:rPr>
          <w:rFonts w:ascii="Arial" w:hAnsi="Arial" w:cs="Arial"/>
          <w:highlight w:val="yellow"/>
        </w:rPr>
        <w:t xml:space="preserve">particularly </w:t>
      </w:r>
      <w:r w:rsidRPr="007921A3">
        <w:rPr>
          <w:rFonts w:ascii="Arial" w:hAnsi="Arial" w:cs="Arial"/>
          <w:i/>
          <w:iCs/>
          <w:highlight w:val="yellow"/>
        </w:rPr>
        <w:t>L. plantarum</w:t>
      </w:r>
      <w:r w:rsidRPr="004C34B3">
        <w:rPr>
          <w:rFonts w:ascii="Arial" w:hAnsi="Arial" w:cs="Arial"/>
        </w:rPr>
        <w:t xml:space="preserve">, </w:t>
      </w:r>
      <w:r w:rsidRPr="004C34B3">
        <w:rPr>
          <w:rFonts w:ascii="Arial" w:hAnsi="Arial" w:cs="Arial"/>
          <w:i/>
          <w:iCs/>
        </w:rPr>
        <w:t>L. rhamnosus</w:t>
      </w:r>
      <w:r w:rsidRPr="004C34B3">
        <w:rPr>
          <w:rFonts w:ascii="Arial" w:hAnsi="Arial" w:cs="Arial"/>
        </w:rPr>
        <w:t xml:space="preserve">, </w:t>
      </w:r>
      <w:r w:rsidRPr="004C34B3">
        <w:rPr>
          <w:rFonts w:ascii="Arial" w:hAnsi="Arial" w:cs="Arial"/>
          <w:i/>
          <w:iCs/>
        </w:rPr>
        <w:t>L. paracasei</w:t>
      </w:r>
      <w:r w:rsidRPr="004C34B3">
        <w:rPr>
          <w:rFonts w:ascii="Arial" w:hAnsi="Arial" w:cs="Arial"/>
        </w:rPr>
        <w:t xml:space="preserve">, and </w:t>
      </w:r>
      <w:r w:rsidRPr="004C34B3">
        <w:rPr>
          <w:rFonts w:ascii="Arial" w:hAnsi="Arial" w:cs="Arial"/>
          <w:i/>
          <w:iCs/>
        </w:rPr>
        <w:t>L. acidophilus</w:t>
      </w:r>
      <w:r w:rsidRPr="004C34B3">
        <w:rPr>
          <w:rFonts w:ascii="Arial" w:hAnsi="Arial" w:cs="Arial"/>
        </w:rPr>
        <w:t xml:space="preserve"> followed by </w:t>
      </w:r>
      <w:r w:rsidRPr="004C34B3">
        <w:rPr>
          <w:rFonts w:ascii="Arial" w:hAnsi="Arial" w:cs="Arial"/>
          <w:i/>
          <w:iCs/>
        </w:rPr>
        <w:t>Enterococcus</w:t>
      </w:r>
      <w:r w:rsidRPr="004C34B3">
        <w:rPr>
          <w:rFonts w:ascii="Arial" w:hAnsi="Arial" w:cs="Arial"/>
        </w:rPr>
        <w:t xml:space="preserve"> and </w:t>
      </w:r>
      <w:r w:rsidRPr="004C34B3">
        <w:rPr>
          <w:rFonts w:ascii="Arial" w:hAnsi="Arial" w:cs="Arial"/>
          <w:i/>
          <w:iCs/>
        </w:rPr>
        <w:t>Bacillus</w:t>
      </w:r>
      <w:r w:rsidRPr="004C34B3">
        <w:rPr>
          <w:rFonts w:ascii="Arial" w:hAnsi="Arial" w:cs="Arial"/>
        </w:rPr>
        <w:t xml:space="preserve">. They proposed that both </w:t>
      </w:r>
      <w:r w:rsidRPr="004C34B3">
        <w:rPr>
          <w:rFonts w:ascii="Arial" w:hAnsi="Arial" w:cs="Arial"/>
          <w:i/>
          <w:iCs/>
        </w:rPr>
        <w:t>Lactobacillus</w:t>
      </w:r>
      <w:r w:rsidRPr="004C34B3">
        <w:rPr>
          <w:rFonts w:ascii="Arial" w:hAnsi="Arial" w:cs="Arial"/>
        </w:rPr>
        <w:t xml:space="preserve"> and </w:t>
      </w:r>
      <w:r w:rsidRPr="004C34B3">
        <w:rPr>
          <w:rFonts w:ascii="Arial" w:hAnsi="Arial" w:cs="Arial"/>
          <w:i/>
          <w:iCs/>
        </w:rPr>
        <w:t>Bacillus</w:t>
      </w:r>
      <w:r w:rsidRPr="004C34B3">
        <w:rPr>
          <w:rFonts w:ascii="Arial" w:hAnsi="Arial" w:cs="Arial"/>
        </w:rPr>
        <w:t xml:space="preserve"> spp. could be effectively incorporated as feed supplements with mulberry leaves to improve the economic traits of the silkworm. </w:t>
      </w:r>
      <w:r w:rsidRPr="00D32C1D">
        <w:rPr>
          <w:rFonts w:ascii="Arial" w:hAnsi="Arial" w:cs="Arial"/>
        </w:rPr>
        <w:t xml:space="preserve">Similarly, Saranya </w:t>
      </w:r>
      <w:r w:rsidRPr="00D32C1D">
        <w:rPr>
          <w:rFonts w:ascii="Arial" w:hAnsi="Arial" w:cs="Arial"/>
          <w:i/>
        </w:rPr>
        <w:t>et al.,</w:t>
      </w:r>
      <w:r w:rsidRPr="00D32C1D">
        <w:rPr>
          <w:rFonts w:ascii="Arial" w:hAnsi="Arial" w:cs="Arial"/>
        </w:rPr>
        <w:t xml:space="preserve"> (2019) also reported</w:t>
      </w:r>
      <w:r w:rsidRPr="004C34B3">
        <w:rPr>
          <w:rFonts w:ascii="Arial" w:hAnsi="Arial" w:cs="Arial"/>
        </w:rPr>
        <w:t xml:space="preserve"> the probiotic potential of indigenous lactic acid bacteria isolated from the intestinal tract of </w:t>
      </w:r>
      <w:r w:rsidRPr="004C34B3">
        <w:rPr>
          <w:rFonts w:ascii="Arial" w:hAnsi="Arial" w:cs="Arial"/>
          <w:i/>
          <w:iCs/>
        </w:rPr>
        <w:t>B. mori</w:t>
      </w:r>
      <w:r w:rsidRPr="004C34B3">
        <w:rPr>
          <w:rFonts w:ascii="Arial" w:hAnsi="Arial" w:cs="Arial"/>
        </w:rPr>
        <w:t>.</w:t>
      </w:r>
    </w:p>
    <w:p w14:paraId="155B90B6" w14:textId="7FA29C43" w:rsidR="004C34B3" w:rsidRPr="004C34B3" w:rsidRDefault="004C34B3" w:rsidP="00712E68">
      <w:pPr>
        <w:pStyle w:val="Body"/>
        <w:spacing w:before="240" w:after="0"/>
        <w:rPr>
          <w:rFonts w:ascii="Arial" w:hAnsi="Arial" w:cs="Arial"/>
        </w:rPr>
      </w:pPr>
      <w:r w:rsidRPr="004C34B3">
        <w:rPr>
          <w:rFonts w:ascii="Arial" w:hAnsi="Arial" w:cs="Arial"/>
        </w:rPr>
        <w:t xml:space="preserve">In addition to their metabolic roles, several studies have highlighted the protective effects of the silkworm gut microbiota against infectious </w:t>
      </w:r>
      <w:r w:rsidRPr="00D32C1D">
        <w:rPr>
          <w:rFonts w:ascii="Arial" w:hAnsi="Arial" w:cs="Arial"/>
        </w:rPr>
        <w:t xml:space="preserve">agents (Sun </w:t>
      </w:r>
      <w:r w:rsidRPr="00D32C1D">
        <w:rPr>
          <w:rFonts w:ascii="Arial" w:hAnsi="Arial" w:cs="Arial"/>
          <w:i/>
        </w:rPr>
        <w:t>et al.,</w:t>
      </w:r>
      <w:r w:rsidRPr="00D32C1D">
        <w:rPr>
          <w:rFonts w:ascii="Arial" w:hAnsi="Arial" w:cs="Arial"/>
        </w:rPr>
        <w:t xml:space="preserve"> 2013; Li </w:t>
      </w:r>
      <w:r w:rsidRPr="00D32C1D">
        <w:rPr>
          <w:rFonts w:ascii="Arial" w:hAnsi="Arial" w:cs="Arial"/>
          <w:i/>
        </w:rPr>
        <w:t>et al.,</w:t>
      </w:r>
      <w:r w:rsidRPr="00D32C1D">
        <w:rPr>
          <w:rFonts w:ascii="Arial" w:hAnsi="Arial" w:cs="Arial"/>
        </w:rPr>
        <w:t xml:space="preserve"> 2015; Sun </w:t>
      </w:r>
      <w:r w:rsidRPr="00D32C1D">
        <w:rPr>
          <w:rFonts w:ascii="Arial" w:hAnsi="Arial" w:cs="Arial"/>
          <w:i/>
        </w:rPr>
        <w:t>et al.,</w:t>
      </w:r>
      <w:r w:rsidRPr="00D32C1D">
        <w:rPr>
          <w:rFonts w:ascii="Arial" w:hAnsi="Arial" w:cs="Arial"/>
        </w:rPr>
        <w:t xml:space="preserve"> 2016).</w:t>
      </w:r>
      <w:r w:rsidRPr="004C34B3">
        <w:rPr>
          <w:rFonts w:ascii="Arial" w:hAnsi="Arial" w:cs="Arial"/>
        </w:rPr>
        <w:t xml:space="preserve"> </w:t>
      </w:r>
      <w:r w:rsidRPr="00D32C1D">
        <w:rPr>
          <w:rFonts w:ascii="Arial" w:hAnsi="Arial" w:cs="Arial"/>
        </w:rPr>
        <w:t>Recently, Dee Tan and Bautista (2022) explored</w:t>
      </w:r>
      <w:r w:rsidRPr="004C34B3">
        <w:rPr>
          <w:rFonts w:ascii="Arial" w:hAnsi="Arial" w:cs="Arial"/>
        </w:rPr>
        <w:t xml:space="preserve"> the bacterial diversity across four silkworm strains native to the Philippines using 16S rRNA gene amplicon sequencing. Their findings revealed the presence of five dominant bacterial </w:t>
      </w:r>
      <w:r w:rsidRPr="007921A3">
        <w:rPr>
          <w:rFonts w:ascii="Arial" w:hAnsi="Arial" w:cs="Arial"/>
          <w:highlight w:val="yellow"/>
        </w:rPr>
        <w:t>genera</w:t>
      </w:r>
      <w:r w:rsidR="007921A3" w:rsidRPr="007921A3">
        <w:rPr>
          <w:rFonts w:ascii="Arial" w:hAnsi="Arial" w:cs="Arial"/>
          <w:highlight w:val="yellow"/>
        </w:rPr>
        <w:t>,</w:t>
      </w:r>
      <w:r w:rsidRPr="007921A3">
        <w:rPr>
          <w:rFonts w:ascii="Arial" w:hAnsi="Arial" w:cs="Arial"/>
          <w:highlight w:val="yellow"/>
        </w:rPr>
        <w:t xml:space="preserve"> such as </w:t>
      </w:r>
      <w:r w:rsidRPr="007921A3">
        <w:rPr>
          <w:rFonts w:ascii="Arial" w:hAnsi="Arial" w:cs="Arial"/>
          <w:i/>
          <w:iCs/>
          <w:highlight w:val="yellow"/>
        </w:rPr>
        <w:t>Pseudomonas</w:t>
      </w:r>
      <w:r w:rsidRPr="007921A3">
        <w:rPr>
          <w:rFonts w:ascii="Arial" w:hAnsi="Arial" w:cs="Arial"/>
          <w:highlight w:val="yellow"/>
        </w:rPr>
        <w:t xml:space="preserve">, </w:t>
      </w:r>
      <w:r w:rsidRPr="007921A3">
        <w:rPr>
          <w:rFonts w:ascii="Arial" w:hAnsi="Arial" w:cs="Arial"/>
          <w:i/>
          <w:iCs/>
          <w:highlight w:val="yellow"/>
        </w:rPr>
        <w:t>Sphingomonas</w:t>
      </w:r>
      <w:r w:rsidRPr="007921A3">
        <w:rPr>
          <w:rFonts w:ascii="Arial" w:hAnsi="Arial" w:cs="Arial"/>
          <w:highlight w:val="yellow"/>
        </w:rPr>
        <w:t xml:space="preserve">, </w:t>
      </w:r>
      <w:proofErr w:type="spellStart"/>
      <w:r w:rsidRPr="007921A3">
        <w:rPr>
          <w:rFonts w:ascii="Arial" w:hAnsi="Arial" w:cs="Arial"/>
          <w:i/>
          <w:iCs/>
          <w:highlight w:val="yellow"/>
        </w:rPr>
        <w:t>Delftia</w:t>
      </w:r>
      <w:proofErr w:type="spellEnd"/>
      <w:r w:rsidRPr="007921A3">
        <w:rPr>
          <w:rFonts w:ascii="Arial" w:hAnsi="Arial" w:cs="Arial"/>
          <w:highlight w:val="yellow"/>
        </w:rPr>
        <w:t xml:space="preserve">, </w:t>
      </w:r>
      <w:proofErr w:type="spellStart"/>
      <w:r w:rsidRPr="007921A3">
        <w:rPr>
          <w:rFonts w:ascii="Arial" w:hAnsi="Arial" w:cs="Arial"/>
          <w:i/>
          <w:iCs/>
          <w:highlight w:val="yellow"/>
        </w:rPr>
        <w:t>Methylobacterium</w:t>
      </w:r>
      <w:proofErr w:type="spellEnd"/>
      <w:r w:rsidRPr="007921A3">
        <w:rPr>
          <w:rFonts w:ascii="Arial" w:hAnsi="Arial" w:cs="Arial"/>
          <w:highlight w:val="yellow"/>
        </w:rPr>
        <w:t xml:space="preserve">, and </w:t>
      </w:r>
      <w:r w:rsidRPr="007921A3">
        <w:rPr>
          <w:rFonts w:ascii="Arial" w:hAnsi="Arial" w:cs="Arial"/>
          <w:i/>
          <w:iCs/>
          <w:highlight w:val="yellow"/>
        </w:rPr>
        <w:t>Acinetobacter</w:t>
      </w:r>
      <w:r w:rsidR="007921A3" w:rsidRPr="007921A3">
        <w:rPr>
          <w:rFonts w:ascii="Arial" w:hAnsi="Arial" w:cs="Arial"/>
          <w:i/>
          <w:iCs/>
          <w:highlight w:val="yellow"/>
        </w:rPr>
        <w:t>,</w:t>
      </w:r>
      <w:r w:rsidRPr="007921A3">
        <w:rPr>
          <w:rFonts w:ascii="Arial" w:hAnsi="Arial" w:cs="Arial"/>
          <w:highlight w:val="yellow"/>
        </w:rPr>
        <w:t xml:space="preserve"> which</w:t>
      </w:r>
      <w:r w:rsidRPr="004C34B3">
        <w:rPr>
          <w:rFonts w:ascii="Arial" w:hAnsi="Arial" w:cs="Arial"/>
        </w:rPr>
        <w:t xml:space="preserve"> were consistent with those observed in other silkworm populations. Although much of the current research on silkworm microflora has focused on the bacterial communities within the gut, fungal components of the gut microbiome remain largely underexplored. However, </w:t>
      </w:r>
      <w:r w:rsidRPr="00D32C1D">
        <w:rPr>
          <w:rFonts w:ascii="Arial" w:hAnsi="Arial" w:cs="Arial"/>
        </w:rPr>
        <w:t xml:space="preserve">reports by Chen </w:t>
      </w:r>
      <w:r w:rsidRPr="00D32C1D">
        <w:rPr>
          <w:rFonts w:ascii="Arial" w:hAnsi="Arial" w:cs="Arial"/>
          <w:i/>
        </w:rPr>
        <w:t>et al.,</w:t>
      </w:r>
      <w:r w:rsidRPr="00D32C1D">
        <w:rPr>
          <w:rFonts w:ascii="Arial" w:hAnsi="Arial" w:cs="Arial"/>
        </w:rPr>
        <w:t xml:space="preserve"> (2018) and Mwchahary and Brahma (2023) have</w:t>
      </w:r>
      <w:r w:rsidRPr="004C34B3">
        <w:rPr>
          <w:rFonts w:ascii="Arial" w:hAnsi="Arial" w:cs="Arial"/>
        </w:rPr>
        <w:t xml:space="preserve"> documented the coexistence of bacterial phyla such as </w:t>
      </w:r>
      <w:r w:rsidRPr="004C34B3">
        <w:rPr>
          <w:rFonts w:ascii="Arial" w:hAnsi="Arial" w:cs="Arial"/>
          <w:i/>
          <w:iCs/>
        </w:rPr>
        <w:t>Proteobacteria</w:t>
      </w:r>
      <w:r w:rsidRPr="004C34B3">
        <w:rPr>
          <w:rFonts w:ascii="Arial" w:hAnsi="Arial" w:cs="Arial"/>
        </w:rPr>
        <w:t xml:space="preserve">, </w:t>
      </w:r>
      <w:r w:rsidRPr="004C34B3">
        <w:rPr>
          <w:rFonts w:ascii="Arial" w:hAnsi="Arial" w:cs="Arial"/>
          <w:i/>
          <w:iCs/>
        </w:rPr>
        <w:t>Firmicutes</w:t>
      </w:r>
      <w:r w:rsidRPr="004C34B3">
        <w:rPr>
          <w:rFonts w:ascii="Arial" w:hAnsi="Arial" w:cs="Arial"/>
        </w:rPr>
        <w:t xml:space="preserve">, </w:t>
      </w:r>
      <w:r w:rsidRPr="004C34B3">
        <w:rPr>
          <w:rFonts w:ascii="Arial" w:hAnsi="Arial" w:cs="Arial"/>
          <w:i/>
          <w:iCs/>
        </w:rPr>
        <w:t>Actinobacteria</w:t>
      </w:r>
      <w:r w:rsidRPr="004C34B3">
        <w:rPr>
          <w:rFonts w:ascii="Arial" w:hAnsi="Arial" w:cs="Arial"/>
        </w:rPr>
        <w:t xml:space="preserve">, and </w:t>
      </w:r>
      <w:r w:rsidRPr="004C34B3">
        <w:rPr>
          <w:rFonts w:ascii="Arial" w:hAnsi="Arial" w:cs="Arial"/>
          <w:i/>
          <w:iCs/>
        </w:rPr>
        <w:t>Bacteroidetes</w:t>
      </w:r>
      <w:r w:rsidRPr="004C34B3">
        <w:rPr>
          <w:rFonts w:ascii="Arial" w:hAnsi="Arial" w:cs="Arial"/>
        </w:rPr>
        <w:t xml:space="preserve"> alongside fungal members from the phyla </w:t>
      </w:r>
      <w:r w:rsidRPr="004C34B3">
        <w:rPr>
          <w:rFonts w:ascii="Arial" w:hAnsi="Arial" w:cs="Arial"/>
          <w:i/>
          <w:iCs/>
        </w:rPr>
        <w:t>Ascomycota</w:t>
      </w:r>
      <w:r w:rsidRPr="004C34B3">
        <w:rPr>
          <w:rFonts w:ascii="Arial" w:hAnsi="Arial" w:cs="Arial"/>
        </w:rPr>
        <w:t xml:space="preserve"> and </w:t>
      </w:r>
      <w:r w:rsidRPr="004C34B3">
        <w:rPr>
          <w:rFonts w:ascii="Arial" w:hAnsi="Arial" w:cs="Arial"/>
          <w:i/>
          <w:iCs/>
        </w:rPr>
        <w:t>Basidiomycota</w:t>
      </w:r>
      <w:r w:rsidRPr="004C34B3">
        <w:rPr>
          <w:rFonts w:ascii="Arial" w:hAnsi="Arial" w:cs="Arial"/>
        </w:rPr>
        <w:t xml:space="preserve">. Further investigations into the yeast microbiota of </w:t>
      </w:r>
      <w:r w:rsidRPr="004C34B3">
        <w:rPr>
          <w:rFonts w:ascii="Arial" w:hAnsi="Arial" w:cs="Arial"/>
          <w:i/>
          <w:iCs/>
        </w:rPr>
        <w:t>B. mori</w:t>
      </w:r>
      <w:r w:rsidRPr="004C34B3">
        <w:rPr>
          <w:rFonts w:ascii="Arial" w:hAnsi="Arial" w:cs="Arial"/>
        </w:rPr>
        <w:t xml:space="preserve"> have led to the identification of species like </w:t>
      </w:r>
      <w:r w:rsidRPr="004C34B3">
        <w:rPr>
          <w:rFonts w:ascii="Arial" w:hAnsi="Arial" w:cs="Arial"/>
          <w:i/>
          <w:iCs/>
        </w:rPr>
        <w:t>Cryptococcus rajasthanensis</w:t>
      </w:r>
      <w:r w:rsidRPr="004C34B3">
        <w:rPr>
          <w:rFonts w:ascii="Arial" w:hAnsi="Arial" w:cs="Arial"/>
        </w:rPr>
        <w:t xml:space="preserve"> and </w:t>
      </w:r>
      <w:r w:rsidRPr="004C34B3">
        <w:rPr>
          <w:rFonts w:ascii="Arial" w:hAnsi="Arial" w:cs="Arial"/>
          <w:i/>
          <w:iCs/>
        </w:rPr>
        <w:t>Blastobotrys bombycis</w:t>
      </w:r>
      <w:r w:rsidRPr="004C34B3">
        <w:rPr>
          <w:rFonts w:ascii="Arial" w:hAnsi="Arial" w:cs="Arial"/>
        </w:rPr>
        <w:t xml:space="preserve"> sp. (</w:t>
      </w:r>
      <w:r w:rsidRPr="00D32C1D">
        <w:rPr>
          <w:rFonts w:ascii="Arial" w:hAnsi="Arial" w:cs="Arial"/>
        </w:rPr>
        <w:t xml:space="preserve">Barretto </w:t>
      </w:r>
      <w:r w:rsidRPr="00D32C1D">
        <w:rPr>
          <w:rFonts w:ascii="Arial" w:hAnsi="Arial" w:cs="Arial"/>
          <w:i/>
        </w:rPr>
        <w:t>et al.,</w:t>
      </w:r>
      <w:r w:rsidRPr="00D32C1D">
        <w:rPr>
          <w:rFonts w:ascii="Arial" w:hAnsi="Arial" w:cs="Arial"/>
        </w:rPr>
        <w:t xml:space="preserve"> 2018; Barretto &amp; Vootla, 2020; Barretto </w:t>
      </w:r>
      <w:r w:rsidRPr="00D32C1D">
        <w:rPr>
          <w:rFonts w:ascii="Arial" w:hAnsi="Arial" w:cs="Arial"/>
          <w:i/>
        </w:rPr>
        <w:t>et al.,</w:t>
      </w:r>
      <w:r w:rsidRPr="00D32C1D">
        <w:rPr>
          <w:rFonts w:ascii="Arial" w:hAnsi="Arial" w:cs="Arial"/>
        </w:rPr>
        <w:t xml:space="preserve"> 2021). Importantly</w:t>
      </w:r>
      <w:r w:rsidRPr="004C34B3">
        <w:rPr>
          <w:rFonts w:ascii="Arial" w:hAnsi="Arial" w:cs="Arial"/>
        </w:rPr>
        <w:t xml:space="preserve">, the composition and abundance of the gut microbial community in silkworms are not static; they are modulated by several intrinsic and extrinsic factors, including the host’s genotype, diet, developmental stage, and surrounding environmental </w:t>
      </w:r>
      <w:r w:rsidRPr="00D32C1D">
        <w:rPr>
          <w:rFonts w:ascii="Arial" w:hAnsi="Arial" w:cs="Arial"/>
        </w:rPr>
        <w:t>conditions (Mwchahary and Brahma, 2023).</w:t>
      </w:r>
      <w:r w:rsidRPr="004C34B3">
        <w:rPr>
          <w:rFonts w:ascii="Arial" w:hAnsi="Arial" w:cs="Arial"/>
        </w:rPr>
        <w:t xml:space="preserve"> </w:t>
      </w:r>
    </w:p>
    <w:p w14:paraId="74CB580D" w14:textId="77777777" w:rsidR="004C34B3" w:rsidRPr="004C34B3" w:rsidRDefault="004C34B3" w:rsidP="00712E68">
      <w:pPr>
        <w:pStyle w:val="Body"/>
        <w:spacing w:before="240" w:after="0"/>
        <w:rPr>
          <w:rFonts w:ascii="Arial" w:hAnsi="Arial" w:cs="Arial"/>
        </w:rPr>
      </w:pPr>
      <w:r w:rsidRPr="004C34B3">
        <w:rPr>
          <w:rFonts w:ascii="Arial" w:hAnsi="Arial" w:cs="Arial"/>
        </w:rPr>
        <w:t xml:space="preserve">The gut microbiota of </w:t>
      </w:r>
      <w:r w:rsidRPr="004C34B3">
        <w:rPr>
          <w:rFonts w:ascii="Arial" w:hAnsi="Arial" w:cs="Arial"/>
          <w:i/>
          <w:iCs/>
        </w:rPr>
        <w:t>Bombyx mori</w:t>
      </w:r>
      <w:r w:rsidRPr="004C34B3">
        <w:rPr>
          <w:rFonts w:ascii="Arial" w:hAnsi="Arial" w:cs="Arial"/>
        </w:rPr>
        <w:t xml:space="preserve"> exhibits considerable diversity and functional relevance, influencing host metabolism, immunity, and disease resistance. While bacterial communities </w:t>
      </w:r>
      <w:r w:rsidRPr="004C34B3">
        <w:rPr>
          <w:rFonts w:ascii="Arial" w:hAnsi="Arial" w:cs="Arial"/>
        </w:rPr>
        <w:lastRenderedPageBreak/>
        <w:t>have been extensively studied, fungal populations remain underexplored. Variations in microbial composition are shaped by factors such as genotype, diet, developmental stage, and environmental conditions, underscoring the need for deeper functional analyses to fully exploit their potential in sericultural practices.</w:t>
      </w:r>
    </w:p>
    <w:p w14:paraId="37FDE4EE" w14:textId="77777777" w:rsidR="00C04753" w:rsidRDefault="00C04753" w:rsidP="00441B6F">
      <w:pPr>
        <w:pStyle w:val="Body"/>
        <w:spacing w:after="0"/>
        <w:rPr>
          <w:rFonts w:ascii="Arial" w:hAnsi="Arial" w:cs="Arial"/>
        </w:rPr>
      </w:pPr>
    </w:p>
    <w:p w14:paraId="22446231" w14:textId="77777777" w:rsidR="00DB4A38" w:rsidRDefault="00DB4A38" w:rsidP="00DB4A38">
      <w:pPr>
        <w:pStyle w:val="AbstHead"/>
        <w:rPr>
          <w:rFonts w:ascii="Arial" w:hAnsi="Arial" w:cs="Arial"/>
        </w:rPr>
      </w:pPr>
      <w:r>
        <w:rPr>
          <w:rFonts w:ascii="Arial" w:hAnsi="Arial" w:cs="Arial"/>
        </w:rPr>
        <w:t xml:space="preserve">4. </w:t>
      </w:r>
      <w:r w:rsidRPr="00DB4A38">
        <w:rPr>
          <w:rFonts w:ascii="Arial" w:hAnsi="Arial" w:cs="Arial"/>
        </w:rPr>
        <w:t>Functional Dynamics of Silkworm Gut Microbiota</w:t>
      </w:r>
    </w:p>
    <w:p w14:paraId="3477C293" w14:textId="77777777" w:rsidR="00DB4A38" w:rsidRPr="00DB4A38" w:rsidRDefault="00DB4A38" w:rsidP="00DB4A38">
      <w:pPr>
        <w:pStyle w:val="Body"/>
        <w:spacing w:after="0"/>
        <w:rPr>
          <w:rFonts w:ascii="Arial" w:hAnsi="Arial" w:cs="Arial"/>
        </w:rPr>
      </w:pPr>
      <w:r w:rsidRPr="00DB4A38">
        <w:rPr>
          <w:rFonts w:ascii="Arial" w:hAnsi="Arial" w:cs="Arial"/>
        </w:rPr>
        <w:t xml:space="preserve">The gut microbiota of </w:t>
      </w:r>
      <w:r w:rsidRPr="00DB4A38">
        <w:rPr>
          <w:rFonts w:ascii="Arial" w:hAnsi="Arial" w:cs="Arial"/>
          <w:i/>
        </w:rPr>
        <w:t>Bombyx mori</w:t>
      </w:r>
      <w:r w:rsidRPr="00DB4A38">
        <w:rPr>
          <w:rFonts w:ascii="Arial" w:hAnsi="Arial" w:cs="Arial"/>
        </w:rPr>
        <w:t xml:space="preserve"> represents a dynamic consortium of microorganisms that function synergistically with the host to maintain homeostasis and promote physiological performance. These microbial inhabitants exert profound effects on nutrient metabolism, detoxification of harmful compounds, biosynthesis of essential metabolites, and regulation of immune responses. The functional versatility of gut microbes also extends to influencing the host’s developmental signaling pathways and contributing to resilience under environmental stress. As such, elucidating the functional dynamics of these microbial communities is fundamental not only for understanding host-microbe interactions but also for developing targeted microbial interventions to enhance silkworm productivity and health.</w:t>
      </w:r>
    </w:p>
    <w:p w14:paraId="717053E5" w14:textId="77777777" w:rsidR="00C04753" w:rsidRDefault="00DB4A38" w:rsidP="00DB4A38">
      <w:pPr>
        <w:pStyle w:val="Body"/>
        <w:spacing w:after="0"/>
        <w:rPr>
          <w:rFonts w:ascii="Arial" w:hAnsi="Arial" w:cs="Arial"/>
        </w:rPr>
      </w:pPr>
      <w:r w:rsidRPr="00DB4A38">
        <w:rPr>
          <w:rFonts w:ascii="Arial" w:hAnsi="Arial" w:cs="Arial"/>
        </w:rPr>
        <w:t xml:space="preserve">In this context, gut microbiota serves as a critical regulatory element for maintaining intestinal </w:t>
      </w:r>
      <w:r w:rsidRPr="007E3425">
        <w:rPr>
          <w:rFonts w:ascii="Arial" w:hAnsi="Arial" w:cs="Arial"/>
        </w:rPr>
        <w:t xml:space="preserve">health (Qi </w:t>
      </w:r>
      <w:r w:rsidRPr="007E3425">
        <w:rPr>
          <w:rFonts w:ascii="Arial" w:hAnsi="Arial" w:cs="Arial"/>
          <w:i/>
        </w:rPr>
        <w:t>et al.,</w:t>
      </w:r>
      <w:r w:rsidRPr="007E3425">
        <w:rPr>
          <w:rFonts w:ascii="Arial" w:hAnsi="Arial" w:cs="Arial"/>
        </w:rPr>
        <w:t xml:space="preserve"> 2022), owing to their</w:t>
      </w:r>
      <w:r w:rsidRPr="00DB4A38">
        <w:rPr>
          <w:rFonts w:ascii="Arial" w:hAnsi="Arial" w:cs="Arial"/>
        </w:rPr>
        <w:t xml:space="preserve"> beneficial symbiotic attributes and physiological </w:t>
      </w:r>
      <w:r w:rsidRPr="007E3425">
        <w:rPr>
          <w:rFonts w:ascii="Arial" w:hAnsi="Arial" w:cs="Arial"/>
        </w:rPr>
        <w:t xml:space="preserve">contributions (Unban </w:t>
      </w:r>
      <w:r w:rsidRPr="007E3425">
        <w:rPr>
          <w:rFonts w:ascii="Arial" w:hAnsi="Arial" w:cs="Arial"/>
          <w:i/>
        </w:rPr>
        <w:t>et al.,</w:t>
      </w:r>
      <w:r w:rsidRPr="007E3425">
        <w:rPr>
          <w:rFonts w:ascii="Arial" w:hAnsi="Arial" w:cs="Arial"/>
        </w:rPr>
        <w:t xml:space="preserve"> 2022). Their enzymatic</w:t>
      </w:r>
      <w:r w:rsidRPr="00DB4A38">
        <w:rPr>
          <w:rFonts w:ascii="Arial" w:hAnsi="Arial" w:cs="Arial"/>
        </w:rPr>
        <w:t xml:space="preserve"> repertoire is essential for catalyzing </w:t>
      </w:r>
      <w:r w:rsidRPr="007E3425">
        <w:rPr>
          <w:rFonts w:ascii="Arial" w:hAnsi="Arial" w:cs="Arial"/>
        </w:rPr>
        <w:t xml:space="preserve">the degradation of complex substrates and liberating key nutrient molecules required by the host (Paniagua </w:t>
      </w:r>
      <w:r w:rsidRPr="007E3425">
        <w:rPr>
          <w:rFonts w:ascii="Arial" w:hAnsi="Arial" w:cs="Arial"/>
          <w:i/>
        </w:rPr>
        <w:t>et al.,</w:t>
      </w:r>
      <w:r w:rsidRPr="007E3425">
        <w:rPr>
          <w:rFonts w:ascii="Arial" w:hAnsi="Arial" w:cs="Arial"/>
        </w:rPr>
        <w:t xml:space="preserve"> 2018). Specifically</w:t>
      </w:r>
      <w:r w:rsidRPr="00DB4A38">
        <w:rPr>
          <w:rFonts w:ascii="Arial" w:hAnsi="Arial" w:cs="Arial"/>
        </w:rPr>
        <w:t xml:space="preserve">, the gut bacterial assemblages of the silkworm have been investigated for their ability to produce digestive enzymes that aid in breaking down leaf-derived </w:t>
      </w:r>
      <w:r w:rsidRPr="007E3425">
        <w:rPr>
          <w:rFonts w:ascii="Arial" w:hAnsi="Arial" w:cs="Arial"/>
        </w:rPr>
        <w:t>nutrients (Taha</w:t>
      </w:r>
      <w:r w:rsidR="007E3425" w:rsidRPr="007E3425">
        <w:rPr>
          <w:rFonts w:ascii="Arial" w:hAnsi="Arial" w:cs="Arial"/>
        </w:rPr>
        <w:t xml:space="preserve"> &amp; Kamel,</w:t>
      </w:r>
      <w:r w:rsidRPr="007E3425">
        <w:rPr>
          <w:rFonts w:ascii="Arial" w:hAnsi="Arial" w:cs="Arial"/>
        </w:rPr>
        <w:t xml:space="preserve"> 2017). Empirical</w:t>
      </w:r>
      <w:r w:rsidRPr="00DB4A38">
        <w:rPr>
          <w:rFonts w:ascii="Arial" w:hAnsi="Arial" w:cs="Arial"/>
        </w:rPr>
        <w:t xml:space="preserve"> evidence highlights multiple functional roles of these microbial communities, including participation in digestion, nutrient assimilation, detoxification, immune modulation, provision of growth-enhancing metabolites, antimicrobial compounds, and disease mitigation strategies (</w:t>
      </w:r>
      <w:r w:rsidRPr="007E3425">
        <w:rPr>
          <w:rFonts w:ascii="Arial" w:hAnsi="Arial" w:cs="Arial"/>
        </w:rPr>
        <w:t xml:space="preserve">Barretto </w:t>
      </w:r>
      <w:r w:rsidRPr="007E3425">
        <w:rPr>
          <w:rFonts w:ascii="Arial" w:hAnsi="Arial" w:cs="Arial"/>
          <w:i/>
        </w:rPr>
        <w:t>et al.,</w:t>
      </w:r>
      <w:r w:rsidRPr="007E3425">
        <w:rPr>
          <w:rFonts w:ascii="Arial" w:hAnsi="Arial" w:cs="Arial"/>
        </w:rPr>
        <w:t xml:space="preserve"> 2021; Sun </w:t>
      </w:r>
      <w:r w:rsidRPr="007E3425">
        <w:rPr>
          <w:rFonts w:ascii="Arial" w:hAnsi="Arial" w:cs="Arial"/>
          <w:i/>
        </w:rPr>
        <w:t>et al.,</w:t>
      </w:r>
      <w:r w:rsidRPr="007E3425">
        <w:rPr>
          <w:rFonts w:ascii="Arial" w:hAnsi="Arial" w:cs="Arial"/>
        </w:rPr>
        <w:t xml:space="preserve"> 2017; Liu </w:t>
      </w:r>
      <w:r w:rsidRPr="007E3425">
        <w:rPr>
          <w:rFonts w:ascii="Arial" w:hAnsi="Arial" w:cs="Arial"/>
          <w:i/>
        </w:rPr>
        <w:t xml:space="preserve">et </w:t>
      </w:r>
      <w:r w:rsidRPr="002E1616">
        <w:rPr>
          <w:rFonts w:ascii="Arial" w:hAnsi="Arial" w:cs="Arial"/>
          <w:i/>
        </w:rPr>
        <w:t>al.,</w:t>
      </w:r>
      <w:r w:rsidRPr="002E1616">
        <w:rPr>
          <w:rFonts w:ascii="Arial" w:hAnsi="Arial" w:cs="Arial"/>
        </w:rPr>
        <w:t xml:space="preserve"> 2018; Liang </w:t>
      </w:r>
      <w:r w:rsidRPr="002E1616">
        <w:rPr>
          <w:rFonts w:ascii="Arial" w:hAnsi="Arial" w:cs="Arial"/>
          <w:i/>
        </w:rPr>
        <w:t>et al.,</w:t>
      </w:r>
      <w:r w:rsidRPr="002E1616">
        <w:rPr>
          <w:rFonts w:ascii="Arial" w:hAnsi="Arial" w:cs="Arial"/>
        </w:rPr>
        <w:t xml:space="preserve"> 2022). Table 3</w:t>
      </w:r>
      <w:r w:rsidRPr="00DB4A38">
        <w:rPr>
          <w:rFonts w:ascii="Arial" w:hAnsi="Arial" w:cs="Arial"/>
        </w:rPr>
        <w:t xml:space="preserve"> outlines the major functional contributions of representative gut bacterial species in </w:t>
      </w:r>
      <w:r w:rsidRPr="00DB4A38">
        <w:rPr>
          <w:rFonts w:ascii="Arial" w:hAnsi="Arial" w:cs="Arial"/>
          <w:i/>
        </w:rPr>
        <w:t>B. mori</w:t>
      </w:r>
      <w:r w:rsidRPr="00DB4A38">
        <w:rPr>
          <w:rFonts w:ascii="Arial" w:hAnsi="Arial" w:cs="Arial"/>
        </w:rPr>
        <w:t>.</w:t>
      </w:r>
    </w:p>
    <w:p w14:paraId="7D4F77DE" w14:textId="77777777" w:rsidR="00C04753" w:rsidRDefault="00C04753" w:rsidP="00441B6F">
      <w:pPr>
        <w:pStyle w:val="Body"/>
        <w:spacing w:after="0"/>
        <w:rPr>
          <w:rFonts w:ascii="Arial" w:hAnsi="Arial" w:cs="Arial"/>
        </w:rPr>
      </w:pPr>
    </w:p>
    <w:p w14:paraId="6CB66D44" w14:textId="77777777" w:rsidR="00C04753" w:rsidRDefault="00DB4A38" w:rsidP="00DB4A38">
      <w:pPr>
        <w:tabs>
          <w:tab w:val="left" w:pos="1080"/>
        </w:tabs>
        <w:spacing w:after="240"/>
        <w:jc w:val="both"/>
        <w:rPr>
          <w:rFonts w:ascii="Arial" w:hAnsi="Arial" w:cs="Arial"/>
        </w:rPr>
      </w:pPr>
      <w:r>
        <w:rPr>
          <w:rFonts w:ascii="Arial" w:hAnsi="Arial"/>
          <w:b/>
        </w:rPr>
        <w:t>Table 3.</w:t>
      </w:r>
      <w:r w:rsidRPr="004C34B3">
        <w:rPr>
          <w:rFonts w:asciiTheme="minorHAnsi" w:eastAsiaTheme="minorHAnsi" w:hAnsiTheme="minorHAnsi" w:cstheme="minorBidi"/>
          <w:b/>
          <w:sz w:val="22"/>
          <w:szCs w:val="22"/>
        </w:rPr>
        <w:t xml:space="preserve"> </w:t>
      </w:r>
      <w:r w:rsidRPr="00DB4A38">
        <w:rPr>
          <w:rFonts w:ascii="Arial" w:hAnsi="Arial"/>
          <w:b/>
        </w:rPr>
        <w:t>Functional Roles of Gut Bacterial Species in Regulating the Physiological Processes of the Mulberry Silkworm (</w:t>
      </w:r>
      <w:r w:rsidRPr="00DB4A38">
        <w:rPr>
          <w:rFonts w:ascii="Arial" w:hAnsi="Arial"/>
          <w:b/>
          <w:i/>
        </w:rPr>
        <w:t>Bombyx mori</w:t>
      </w:r>
      <w:r w:rsidRPr="00DB4A38">
        <w:rPr>
          <w:rFonts w:ascii="Arial" w:hAnsi="Arial"/>
          <w:b/>
        </w:rPr>
        <w:t>)</w:t>
      </w:r>
    </w:p>
    <w:tbl>
      <w:tblPr>
        <w:tblStyle w:val="TableGrid3"/>
        <w:tblW w:w="8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3420"/>
        <w:gridCol w:w="2520"/>
      </w:tblGrid>
      <w:tr w:rsidR="00DB4A38" w:rsidRPr="00DB4A38" w14:paraId="2CC57C42" w14:textId="77777777" w:rsidTr="00D42346">
        <w:tc>
          <w:tcPr>
            <w:tcW w:w="2448" w:type="dxa"/>
            <w:tcBorders>
              <w:top w:val="single" w:sz="4" w:space="0" w:color="auto"/>
              <w:bottom w:val="single" w:sz="4" w:space="0" w:color="auto"/>
            </w:tcBorders>
          </w:tcPr>
          <w:p w14:paraId="2D8AC004" w14:textId="77777777" w:rsidR="00DB4A38" w:rsidRPr="00DB4A38" w:rsidRDefault="00DB4A38" w:rsidP="00D42346">
            <w:pPr>
              <w:jc w:val="both"/>
              <w:rPr>
                <w:rFonts w:ascii="Arial" w:hAnsi="Arial" w:cs="Arial"/>
                <w:b/>
                <w:sz w:val="20"/>
                <w:szCs w:val="20"/>
              </w:rPr>
            </w:pPr>
            <w:r w:rsidRPr="00DB4A38">
              <w:rPr>
                <w:rFonts w:ascii="Arial" w:hAnsi="Arial" w:cs="Arial"/>
                <w:b/>
                <w:sz w:val="20"/>
                <w:szCs w:val="20"/>
              </w:rPr>
              <w:t>Species</w:t>
            </w:r>
          </w:p>
        </w:tc>
        <w:tc>
          <w:tcPr>
            <w:tcW w:w="3420" w:type="dxa"/>
            <w:tcBorders>
              <w:top w:val="single" w:sz="4" w:space="0" w:color="auto"/>
              <w:bottom w:val="single" w:sz="4" w:space="0" w:color="auto"/>
            </w:tcBorders>
          </w:tcPr>
          <w:p w14:paraId="3EF52C19" w14:textId="77777777" w:rsidR="00DB4A38" w:rsidRPr="00DB4A38" w:rsidRDefault="00DB4A38" w:rsidP="00D42346">
            <w:pPr>
              <w:jc w:val="both"/>
              <w:rPr>
                <w:rFonts w:ascii="Arial" w:hAnsi="Arial" w:cs="Arial"/>
                <w:b/>
                <w:sz w:val="20"/>
                <w:szCs w:val="20"/>
              </w:rPr>
            </w:pPr>
            <w:r w:rsidRPr="00DB4A38">
              <w:rPr>
                <w:rFonts w:ascii="Arial" w:hAnsi="Arial" w:cs="Arial"/>
                <w:b/>
                <w:sz w:val="20"/>
                <w:szCs w:val="20"/>
              </w:rPr>
              <w:t>Functions</w:t>
            </w:r>
          </w:p>
        </w:tc>
        <w:tc>
          <w:tcPr>
            <w:tcW w:w="2520" w:type="dxa"/>
            <w:tcBorders>
              <w:top w:val="single" w:sz="4" w:space="0" w:color="auto"/>
              <w:bottom w:val="single" w:sz="4" w:space="0" w:color="auto"/>
            </w:tcBorders>
          </w:tcPr>
          <w:p w14:paraId="5EA9A255" w14:textId="77777777" w:rsidR="00DB4A38" w:rsidRPr="00DB4A38" w:rsidRDefault="00DB4A38" w:rsidP="00D42346">
            <w:pPr>
              <w:jc w:val="both"/>
              <w:rPr>
                <w:rFonts w:ascii="Arial" w:hAnsi="Arial" w:cs="Arial"/>
                <w:b/>
                <w:sz w:val="20"/>
                <w:szCs w:val="20"/>
              </w:rPr>
            </w:pPr>
            <w:r w:rsidRPr="00DB4A38">
              <w:rPr>
                <w:rFonts w:ascii="Arial" w:hAnsi="Arial" w:cs="Arial"/>
                <w:b/>
                <w:sz w:val="20"/>
                <w:szCs w:val="20"/>
              </w:rPr>
              <w:t>Reference</w:t>
            </w:r>
          </w:p>
        </w:tc>
      </w:tr>
      <w:tr w:rsidR="00DB4A38" w:rsidRPr="002E1616" w14:paraId="4DA0EBBE" w14:textId="77777777" w:rsidTr="00D42346">
        <w:tc>
          <w:tcPr>
            <w:tcW w:w="2448" w:type="dxa"/>
            <w:tcBorders>
              <w:top w:val="single" w:sz="4" w:space="0" w:color="auto"/>
            </w:tcBorders>
          </w:tcPr>
          <w:p w14:paraId="2F3CC09A" w14:textId="77777777" w:rsidR="00DB4A38" w:rsidRPr="00DB4A38" w:rsidRDefault="00DB4A38" w:rsidP="00D42346">
            <w:pPr>
              <w:rPr>
                <w:rFonts w:ascii="Arial" w:hAnsi="Arial" w:cs="Arial"/>
                <w:sz w:val="20"/>
                <w:szCs w:val="20"/>
              </w:rPr>
            </w:pPr>
            <w:r w:rsidRPr="00DB4A38">
              <w:rPr>
                <w:rFonts w:ascii="Arial" w:hAnsi="Arial" w:cs="Arial"/>
                <w:i/>
                <w:sz w:val="20"/>
                <w:szCs w:val="20"/>
              </w:rPr>
              <w:t>Proteus vulgaris</w:t>
            </w:r>
            <w:r w:rsidRPr="00DB4A38">
              <w:rPr>
                <w:rFonts w:ascii="Arial" w:hAnsi="Arial" w:cs="Arial"/>
                <w:sz w:val="20"/>
                <w:szCs w:val="20"/>
              </w:rPr>
              <w:t xml:space="preserve">, </w:t>
            </w:r>
            <w:r w:rsidRPr="00DB4A38">
              <w:rPr>
                <w:rFonts w:ascii="Arial" w:hAnsi="Arial" w:cs="Arial"/>
                <w:i/>
                <w:sz w:val="20"/>
                <w:szCs w:val="20"/>
              </w:rPr>
              <w:t>Klebsiella pneumoniae</w:t>
            </w:r>
            <w:r w:rsidRPr="00DB4A38">
              <w:rPr>
                <w:rFonts w:ascii="Arial" w:hAnsi="Arial" w:cs="Arial"/>
                <w:sz w:val="20"/>
                <w:szCs w:val="20"/>
              </w:rPr>
              <w:t xml:space="preserve">, </w:t>
            </w:r>
            <w:r w:rsidRPr="00DB4A38">
              <w:rPr>
                <w:rFonts w:ascii="Arial" w:hAnsi="Arial" w:cs="Arial"/>
                <w:i/>
                <w:sz w:val="20"/>
                <w:szCs w:val="20"/>
              </w:rPr>
              <w:t>Citrobacter freundii</w:t>
            </w:r>
            <w:r w:rsidRPr="00DB4A38">
              <w:rPr>
                <w:rFonts w:ascii="Arial" w:hAnsi="Arial" w:cs="Arial"/>
                <w:sz w:val="20"/>
                <w:szCs w:val="20"/>
              </w:rPr>
              <w:t xml:space="preserve">, </w:t>
            </w:r>
            <w:r w:rsidRPr="00DB4A38">
              <w:rPr>
                <w:rFonts w:ascii="Arial" w:hAnsi="Arial" w:cs="Arial"/>
                <w:i/>
                <w:sz w:val="20"/>
                <w:szCs w:val="20"/>
              </w:rPr>
              <w:t>Pseudomonas fluorescens</w:t>
            </w:r>
            <w:r w:rsidRPr="00DB4A38">
              <w:rPr>
                <w:rFonts w:ascii="Arial" w:hAnsi="Arial" w:cs="Arial"/>
                <w:sz w:val="20"/>
                <w:szCs w:val="20"/>
              </w:rPr>
              <w:t xml:space="preserve">, </w:t>
            </w:r>
            <w:r w:rsidRPr="00DB4A38">
              <w:rPr>
                <w:rFonts w:ascii="Arial" w:hAnsi="Arial" w:cs="Arial"/>
                <w:i/>
                <w:sz w:val="20"/>
                <w:szCs w:val="20"/>
              </w:rPr>
              <w:t>Erwinia sp.</w:t>
            </w:r>
            <w:r w:rsidRPr="00DB4A38">
              <w:rPr>
                <w:rFonts w:ascii="Arial" w:hAnsi="Arial" w:cs="Arial"/>
                <w:sz w:val="20"/>
                <w:szCs w:val="20"/>
              </w:rPr>
              <w:t xml:space="preserve">, </w:t>
            </w:r>
            <w:r w:rsidRPr="00DB4A38">
              <w:rPr>
                <w:rFonts w:ascii="Arial" w:hAnsi="Arial" w:cs="Arial"/>
                <w:i/>
                <w:sz w:val="20"/>
                <w:szCs w:val="20"/>
              </w:rPr>
              <w:t>Aeromonas sp</w:t>
            </w:r>
            <w:r w:rsidRPr="00DB4A38">
              <w:rPr>
                <w:rFonts w:ascii="Arial" w:hAnsi="Arial" w:cs="Arial"/>
                <w:sz w:val="20"/>
                <w:szCs w:val="20"/>
              </w:rPr>
              <w:t xml:space="preserve">., </w:t>
            </w:r>
            <w:r w:rsidRPr="00DB4A38">
              <w:rPr>
                <w:rFonts w:ascii="Arial" w:hAnsi="Arial" w:cs="Arial"/>
                <w:i/>
                <w:sz w:val="20"/>
                <w:szCs w:val="20"/>
              </w:rPr>
              <w:t>Serratia liquefaciens</w:t>
            </w:r>
          </w:p>
        </w:tc>
        <w:tc>
          <w:tcPr>
            <w:tcW w:w="3420" w:type="dxa"/>
            <w:tcBorders>
              <w:top w:val="single" w:sz="4" w:space="0" w:color="auto"/>
            </w:tcBorders>
          </w:tcPr>
          <w:p w14:paraId="48B59881" w14:textId="77777777" w:rsidR="00DB4A38" w:rsidRPr="00DB4A38" w:rsidRDefault="00DB4A38" w:rsidP="00D42346">
            <w:pPr>
              <w:rPr>
                <w:rFonts w:ascii="Arial" w:hAnsi="Arial" w:cs="Arial"/>
                <w:sz w:val="20"/>
                <w:szCs w:val="20"/>
              </w:rPr>
            </w:pPr>
            <w:r w:rsidRPr="00DB4A38">
              <w:rPr>
                <w:rFonts w:ascii="Arial" w:hAnsi="Arial" w:cs="Arial"/>
                <w:sz w:val="20"/>
                <w:szCs w:val="20"/>
              </w:rPr>
              <w:t>Synthesis of digestive enzymes</w:t>
            </w:r>
          </w:p>
        </w:tc>
        <w:tc>
          <w:tcPr>
            <w:tcW w:w="2520" w:type="dxa"/>
            <w:tcBorders>
              <w:top w:val="single" w:sz="4" w:space="0" w:color="auto"/>
            </w:tcBorders>
          </w:tcPr>
          <w:p w14:paraId="79A86E6B" w14:textId="77777777" w:rsidR="00DB4A38" w:rsidRPr="002E1616" w:rsidRDefault="00DB4A38" w:rsidP="00D42346">
            <w:pPr>
              <w:rPr>
                <w:rFonts w:ascii="Arial" w:hAnsi="Arial" w:cs="Arial"/>
                <w:sz w:val="20"/>
                <w:szCs w:val="20"/>
              </w:rPr>
            </w:pPr>
            <w:r w:rsidRPr="002E1616">
              <w:rPr>
                <w:rFonts w:ascii="Arial" w:hAnsi="Arial" w:cs="Arial"/>
                <w:sz w:val="20"/>
                <w:szCs w:val="20"/>
              </w:rPr>
              <w:t xml:space="preserve">Prem Anand </w:t>
            </w:r>
            <w:r w:rsidRPr="002E1616">
              <w:rPr>
                <w:rFonts w:ascii="Arial" w:hAnsi="Arial" w:cs="Arial"/>
                <w:i/>
                <w:sz w:val="20"/>
                <w:szCs w:val="20"/>
              </w:rPr>
              <w:t>et al.,</w:t>
            </w:r>
            <w:r w:rsidRPr="002E1616">
              <w:rPr>
                <w:rFonts w:ascii="Arial" w:hAnsi="Arial" w:cs="Arial"/>
                <w:sz w:val="20"/>
                <w:szCs w:val="20"/>
              </w:rPr>
              <w:t xml:space="preserve"> (2010)</w:t>
            </w:r>
          </w:p>
        </w:tc>
      </w:tr>
      <w:tr w:rsidR="00DB4A38" w:rsidRPr="00DB4A38" w14:paraId="50787536" w14:textId="77777777" w:rsidTr="00D42346">
        <w:tc>
          <w:tcPr>
            <w:tcW w:w="2448" w:type="dxa"/>
          </w:tcPr>
          <w:p w14:paraId="3180AF04" w14:textId="77777777" w:rsidR="00DB4A38" w:rsidRPr="00DB4A38" w:rsidRDefault="00DB4A38" w:rsidP="00D42346">
            <w:pPr>
              <w:rPr>
                <w:rFonts w:ascii="Arial" w:hAnsi="Arial" w:cs="Arial"/>
                <w:sz w:val="20"/>
                <w:szCs w:val="20"/>
              </w:rPr>
            </w:pPr>
            <w:r w:rsidRPr="00DB4A38">
              <w:rPr>
                <w:rFonts w:ascii="Arial" w:hAnsi="Arial" w:cs="Arial"/>
                <w:i/>
                <w:sz w:val="20"/>
                <w:szCs w:val="20"/>
              </w:rPr>
              <w:t>Bacillus sp.</w:t>
            </w:r>
            <w:r w:rsidRPr="00DB4A38">
              <w:rPr>
                <w:rFonts w:ascii="Arial" w:hAnsi="Arial" w:cs="Arial"/>
                <w:sz w:val="20"/>
                <w:szCs w:val="20"/>
              </w:rPr>
              <w:t xml:space="preserve">, </w:t>
            </w:r>
            <w:r w:rsidRPr="00DB4A38">
              <w:rPr>
                <w:rFonts w:ascii="Arial" w:hAnsi="Arial" w:cs="Arial"/>
                <w:i/>
                <w:sz w:val="20"/>
                <w:szCs w:val="20"/>
              </w:rPr>
              <w:t>Brevibacterium sp.</w:t>
            </w:r>
            <w:r w:rsidRPr="00DB4A38">
              <w:rPr>
                <w:rFonts w:ascii="Arial" w:hAnsi="Arial" w:cs="Arial"/>
                <w:sz w:val="20"/>
                <w:szCs w:val="20"/>
              </w:rPr>
              <w:t xml:space="preserve">, </w:t>
            </w:r>
            <w:r w:rsidRPr="00DB4A38">
              <w:rPr>
                <w:rFonts w:ascii="Arial" w:hAnsi="Arial" w:cs="Arial"/>
                <w:i/>
                <w:sz w:val="20"/>
                <w:szCs w:val="20"/>
              </w:rPr>
              <w:t>Cyanobacteria</w:t>
            </w:r>
            <w:r w:rsidRPr="00DB4A38">
              <w:rPr>
                <w:rFonts w:ascii="Arial" w:hAnsi="Arial" w:cs="Arial"/>
                <w:sz w:val="20"/>
                <w:szCs w:val="20"/>
              </w:rPr>
              <w:t xml:space="preserve">, </w:t>
            </w:r>
            <w:r w:rsidRPr="00DB4A38">
              <w:rPr>
                <w:rFonts w:ascii="Arial" w:hAnsi="Arial" w:cs="Arial"/>
                <w:i/>
                <w:sz w:val="20"/>
                <w:szCs w:val="20"/>
              </w:rPr>
              <w:t>Staphylococcus sp.</w:t>
            </w:r>
            <w:r w:rsidRPr="00DB4A38">
              <w:rPr>
                <w:rFonts w:ascii="Arial" w:hAnsi="Arial" w:cs="Arial"/>
                <w:sz w:val="20"/>
                <w:szCs w:val="20"/>
              </w:rPr>
              <w:t xml:space="preserve">, </w:t>
            </w:r>
            <w:r w:rsidRPr="00DB4A38">
              <w:rPr>
                <w:rFonts w:ascii="Arial" w:hAnsi="Arial" w:cs="Arial"/>
                <w:i/>
                <w:sz w:val="20"/>
                <w:szCs w:val="20"/>
              </w:rPr>
              <w:t>Klebsiella sp.</w:t>
            </w:r>
            <w:r w:rsidRPr="00DB4A38">
              <w:rPr>
                <w:rFonts w:ascii="Arial" w:hAnsi="Arial" w:cs="Arial"/>
                <w:sz w:val="20"/>
                <w:szCs w:val="20"/>
              </w:rPr>
              <w:t xml:space="preserve">, </w:t>
            </w:r>
            <w:r w:rsidRPr="00DB4A38">
              <w:rPr>
                <w:rFonts w:ascii="Arial" w:hAnsi="Arial" w:cs="Arial"/>
                <w:i/>
                <w:sz w:val="20"/>
                <w:szCs w:val="20"/>
              </w:rPr>
              <w:t>Stenotrophomonas sp.</w:t>
            </w:r>
          </w:p>
        </w:tc>
        <w:tc>
          <w:tcPr>
            <w:tcW w:w="3420" w:type="dxa"/>
          </w:tcPr>
          <w:p w14:paraId="30C701DF" w14:textId="77777777" w:rsidR="00DB4A38" w:rsidRPr="00DB4A38" w:rsidRDefault="00DB4A38" w:rsidP="00D42346">
            <w:pPr>
              <w:rPr>
                <w:rFonts w:ascii="Arial" w:hAnsi="Arial" w:cs="Arial"/>
                <w:sz w:val="20"/>
                <w:szCs w:val="20"/>
              </w:rPr>
            </w:pPr>
            <w:r w:rsidRPr="00DB4A38">
              <w:rPr>
                <w:rFonts w:ascii="Arial" w:hAnsi="Arial" w:cs="Arial"/>
                <w:sz w:val="20"/>
                <w:szCs w:val="20"/>
              </w:rPr>
              <w:t>Lipid hydrolysis and lipase synthesis</w:t>
            </w:r>
          </w:p>
        </w:tc>
        <w:tc>
          <w:tcPr>
            <w:tcW w:w="2520" w:type="dxa"/>
          </w:tcPr>
          <w:p w14:paraId="5D9FA48C" w14:textId="77777777" w:rsidR="00DB4A38" w:rsidRPr="00DB4A38" w:rsidRDefault="00DB4A38" w:rsidP="00D42346">
            <w:pPr>
              <w:rPr>
                <w:rFonts w:ascii="Arial" w:hAnsi="Arial" w:cs="Arial"/>
                <w:sz w:val="20"/>
                <w:szCs w:val="20"/>
              </w:rPr>
            </w:pPr>
            <w:r w:rsidRPr="002E1616">
              <w:rPr>
                <w:rFonts w:ascii="Arial" w:hAnsi="Arial" w:cs="Arial"/>
                <w:sz w:val="20"/>
                <w:szCs w:val="20"/>
              </w:rPr>
              <w:t xml:space="preserve">Feng </w:t>
            </w:r>
            <w:r w:rsidRPr="002E1616">
              <w:rPr>
                <w:rFonts w:ascii="Arial" w:hAnsi="Arial" w:cs="Arial"/>
                <w:i/>
                <w:sz w:val="20"/>
                <w:szCs w:val="20"/>
              </w:rPr>
              <w:t>et al.,</w:t>
            </w:r>
            <w:r w:rsidRPr="002E1616">
              <w:rPr>
                <w:rFonts w:ascii="Arial" w:hAnsi="Arial" w:cs="Arial"/>
                <w:sz w:val="20"/>
                <w:szCs w:val="20"/>
              </w:rPr>
              <w:t xml:space="preserve"> (2011)</w:t>
            </w:r>
          </w:p>
        </w:tc>
      </w:tr>
      <w:tr w:rsidR="00DB4A38" w:rsidRPr="00DB4A38" w14:paraId="4F8E4C88" w14:textId="77777777" w:rsidTr="00D42346">
        <w:tc>
          <w:tcPr>
            <w:tcW w:w="2448" w:type="dxa"/>
          </w:tcPr>
          <w:p w14:paraId="3835771A" w14:textId="77777777" w:rsidR="00DB4A38" w:rsidRPr="00DB4A38" w:rsidRDefault="00DB4A38" w:rsidP="00D42346">
            <w:pPr>
              <w:rPr>
                <w:rFonts w:ascii="Arial" w:hAnsi="Arial" w:cs="Arial"/>
                <w:i/>
                <w:sz w:val="20"/>
                <w:szCs w:val="20"/>
              </w:rPr>
            </w:pPr>
            <w:r w:rsidRPr="00DB4A38">
              <w:rPr>
                <w:rFonts w:ascii="Arial" w:hAnsi="Arial" w:cs="Arial"/>
                <w:i/>
                <w:sz w:val="20"/>
                <w:szCs w:val="20"/>
              </w:rPr>
              <w:t>Enterococcus casseliflavus</w:t>
            </w:r>
          </w:p>
        </w:tc>
        <w:tc>
          <w:tcPr>
            <w:tcW w:w="3420" w:type="dxa"/>
          </w:tcPr>
          <w:p w14:paraId="7626FC28" w14:textId="77777777" w:rsidR="00DB4A38" w:rsidRPr="00DB4A38" w:rsidRDefault="00DB4A38" w:rsidP="00D42346">
            <w:pPr>
              <w:rPr>
                <w:rFonts w:ascii="Arial" w:hAnsi="Arial" w:cs="Arial"/>
                <w:sz w:val="20"/>
                <w:szCs w:val="20"/>
              </w:rPr>
            </w:pPr>
            <w:r w:rsidRPr="00DB4A38">
              <w:rPr>
                <w:rFonts w:ascii="Arial" w:hAnsi="Arial" w:cs="Arial"/>
                <w:sz w:val="20"/>
                <w:szCs w:val="20"/>
              </w:rPr>
              <w:t>Promotion of growth and development through L-tryptophan biosynthesis</w:t>
            </w:r>
          </w:p>
        </w:tc>
        <w:tc>
          <w:tcPr>
            <w:tcW w:w="2520" w:type="dxa"/>
          </w:tcPr>
          <w:p w14:paraId="50A470F5" w14:textId="77777777" w:rsidR="00DB4A38" w:rsidRPr="00DB4A38" w:rsidRDefault="00DB4A38" w:rsidP="00D42346">
            <w:pPr>
              <w:rPr>
                <w:rFonts w:ascii="Arial" w:hAnsi="Arial" w:cs="Arial"/>
                <w:sz w:val="20"/>
                <w:szCs w:val="20"/>
              </w:rPr>
            </w:pPr>
            <w:r w:rsidRPr="002E1616">
              <w:rPr>
                <w:rFonts w:ascii="Arial" w:hAnsi="Arial" w:cs="Arial"/>
                <w:sz w:val="20"/>
                <w:szCs w:val="20"/>
              </w:rPr>
              <w:t xml:space="preserve">Liang </w:t>
            </w:r>
            <w:r w:rsidRPr="002E1616">
              <w:rPr>
                <w:rFonts w:ascii="Arial" w:hAnsi="Arial" w:cs="Arial"/>
                <w:i/>
                <w:sz w:val="20"/>
                <w:szCs w:val="20"/>
              </w:rPr>
              <w:t>et al.,</w:t>
            </w:r>
            <w:r w:rsidRPr="002E1616">
              <w:rPr>
                <w:rFonts w:ascii="Arial" w:hAnsi="Arial" w:cs="Arial"/>
                <w:sz w:val="20"/>
                <w:szCs w:val="20"/>
              </w:rPr>
              <w:t xml:space="preserve"> (2022)</w:t>
            </w:r>
          </w:p>
        </w:tc>
      </w:tr>
      <w:tr w:rsidR="00DB4A38" w:rsidRPr="00DB4A38" w14:paraId="2091649B" w14:textId="77777777" w:rsidTr="00D42346">
        <w:tc>
          <w:tcPr>
            <w:tcW w:w="2448" w:type="dxa"/>
          </w:tcPr>
          <w:p w14:paraId="211ADBF8" w14:textId="77777777" w:rsidR="00DB4A38" w:rsidRPr="00DB4A38" w:rsidRDefault="00DB4A38" w:rsidP="00D42346">
            <w:pPr>
              <w:rPr>
                <w:rFonts w:ascii="Arial" w:hAnsi="Arial" w:cs="Arial"/>
                <w:sz w:val="20"/>
                <w:szCs w:val="20"/>
              </w:rPr>
            </w:pPr>
            <w:r w:rsidRPr="00DB4A38">
              <w:rPr>
                <w:rFonts w:ascii="Arial" w:hAnsi="Arial" w:cs="Arial"/>
                <w:i/>
                <w:sz w:val="20"/>
                <w:szCs w:val="20"/>
              </w:rPr>
              <w:t xml:space="preserve">Lactobacillus </w:t>
            </w:r>
            <w:r w:rsidRPr="00DB4A38">
              <w:rPr>
                <w:rFonts w:ascii="Arial" w:hAnsi="Arial" w:cs="Arial"/>
                <w:sz w:val="20"/>
                <w:szCs w:val="20"/>
              </w:rPr>
              <w:t xml:space="preserve">and </w:t>
            </w:r>
            <w:r w:rsidRPr="00DB4A38">
              <w:rPr>
                <w:rFonts w:ascii="Arial" w:hAnsi="Arial" w:cs="Arial"/>
                <w:i/>
                <w:sz w:val="20"/>
                <w:szCs w:val="20"/>
              </w:rPr>
              <w:t>Bacillus</w:t>
            </w:r>
          </w:p>
        </w:tc>
        <w:tc>
          <w:tcPr>
            <w:tcW w:w="3420" w:type="dxa"/>
          </w:tcPr>
          <w:p w14:paraId="1E75756A" w14:textId="77777777" w:rsidR="00DB4A38" w:rsidRPr="00DB4A38" w:rsidRDefault="00DB4A38" w:rsidP="00D42346">
            <w:pPr>
              <w:rPr>
                <w:rFonts w:ascii="Arial" w:hAnsi="Arial" w:cs="Arial"/>
                <w:sz w:val="20"/>
                <w:szCs w:val="20"/>
              </w:rPr>
            </w:pPr>
            <w:r w:rsidRPr="00DB4A38">
              <w:rPr>
                <w:rFonts w:ascii="Arial" w:hAnsi="Arial" w:cs="Arial"/>
                <w:sz w:val="20"/>
                <w:szCs w:val="20"/>
              </w:rPr>
              <w:t>Optimization of traits contributing to economic yield</w:t>
            </w:r>
          </w:p>
        </w:tc>
        <w:tc>
          <w:tcPr>
            <w:tcW w:w="2520" w:type="dxa"/>
          </w:tcPr>
          <w:p w14:paraId="1B261F74" w14:textId="77777777" w:rsidR="00DB4A38" w:rsidRPr="00DB4A38" w:rsidRDefault="00DB4A38" w:rsidP="00D42346">
            <w:pPr>
              <w:rPr>
                <w:rFonts w:ascii="Arial" w:hAnsi="Arial" w:cs="Arial"/>
                <w:sz w:val="20"/>
                <w:szCs w:val="20"/>
              </w:rPr>
            </w:pPr>
            <w:r w:rsidRPr="002E1616">
              <w:rPr>
                <w:rFonts w:ascii="Arial" w:hAnsi="Arial" w:cs="Arial"/>
                <w:sz w:val="20"/>
                <w:szCs w:val="20"/>
              </w:rPr>
              <w:t xml:space="preserve">Yeruva </w:t>
            </w:r>
            <w:r w:rsidRPr="002E1616">
              <w:rPr>
                <w:rFonts w:ascii="Arial" w:hAnsi="Arial" w:cs="Arial"/>
                <w:i/>
                <w:sz w:val="20"/>
                <w:szCs w:val="20"/>
              </w:rPr>
              <w:t>et al.,</w:t>
            </w:r>
            <w:r w:rsidRPr="002E1616">
              <w:rPr>
                <w:rFonts w:ascii="Arial" w:hAnsi="Arial" w:cs="Arial"/>
                <w:sz w:val="20"/>
                <w:szCs w:val="20"/>
              </w:rPr>
              <w:t xml:space="preserve"> (2020)</w:t>
            </w:r>
          </w:p>
        </w:tc>
      </w:tr>
      <w:tr w:rsidR="00DB4A38" w:rsidRPr="00DB4A38" w14:paraId="08EBD4BC" w14:textId="77777777" w:rsidTr="00D42346">
        <w:tc>
          <w:tcPr>
            <w:tcW w:w="2448" w:type="dxa"/>
          </w:tcPr>
          <w:p w14:paraId="04CD6262" w14:textId="77777777" w:rsidR="00DB4A38" w:rsidRPr="00DB4A38" w:rsidRDefault="00DB4A38" w:rsidP="00D42346">
            <w:pPr>
              <w:rPr>
                <w:rFonts w:ascii="Arial" w:hAnsi="Arial" w:cs="Arial"/>
                <w:i/>
                <w:sz w:val="20"/>
                <w:szCs w:val="20"/>
              </w:rPr>
            </w:pPr>
            <w:r w:rsidRPr="00DB4A38">
              <w:rPr>
                <w:rFonts w:ascii="Arial" w:hAnsi="Arial" w:cs="Arial"/>
                <w:i/>
                <w:sz w:val="20"/>
                <w:szCs w:val="20"/>
              </w:rPr>
              <w:t>Bacillus licheniformis</w:t>
            </w:r>
          </w:p>
        </w:tc>
        <w:tc>
          <w:tcPr>
            <w:tcW w:w="3420" w:type="dxa"/>
          </w:tcPr>
          <w:p w14:paraId="5643F56F" w14:textId="77777777" w:rsidR="00DB4A38" w:rsidRPr="00DB4A38" w:rsidRDefault="00DB4A38" w:rsidP="00D42346">
            <w:pPr>
              <w:rPr>
                <w:rFonts w:ascii="Arial" w:hAnsi="Arial" w:cs="Arial"/>
                <w:sz w:val="20"/>
                <w:szCs w:val="20"/>
              </w:rPr>
            </w:pPr>
            <w:r w:rsidRPr="00DB4A38">
              <w:rPr>
                <w:rFonts w:ascii="Arial" w:hAnsi="Arial" w:cs="Arial"/>
                <w:sz w:val="20"/>
                <w:szCs w:val="20"/>
              </w:rPr>
              <w:t>Secretion of extracellular enzymatic compounds</w:t>
            </w:r>
          </w:p>
        </w:tc>
        <w:tc>
          <w:tcPr>
            <w:tcW w:w="2520" w:type="dxa"/>
          </w:tcPr>
          <w:p w14:paraId="082B8722" w14:textId="77777777" w:rsidR="00DB4A38" w:rsidRPr="00DB4A38" w:rsidRDefault="00DB4A38" w:rsidP="00D42346">
            <w:pPr>
              <w:rPr>
                <w:rFonts w:ascii="Arial" w:hAnsi="Arial" w:cs="Arial"/>
                <w:sz w:val="20"/>
                <w:szCs w:val="20"/>
              </w:rPr>
            </w:pPr>
            <w:r w:rsidRPr="002E1616">
              <w:rPr>
                <w:rFonts w:ascii="Arial" w:hAnsi="Arial" w:cs="Arial"/>
                <w:sz w:val="20"/>
                <w:szCs w:val="20"/>
              </w:rPr>
              <w:t>Mala and Vijila, (2018)</w:t>
            </w:r>
          </w:p>
        </w:tc>
      </w:tr>
      <w:tr w:rsidR="00DB4A38" w:rsidRPr="00DB4A38" w14:paraId="37366F72" w14:textId="77777777" w:rsidTr="00D42346">
        <w:tc>
          <w:tcPr>
            <w:tcW w:w="2448" w:type="dxa"/>
          </w:tcPr>
          <w:p w14:paraId="5A4CD84F" w14:textId="77777777" w:rsidR="00DB4A38" w:rsidRPr="00DB4A38" w:rsidRDefault="00DB4A38" w:rsidP="00D42346">
            <w:pPr>
              <w:rPr>
                <w:rFonts w:ascii="Arial" w:hAnsi="Arial" w:cs="Arial"/>
                <w:i/>
                <w:sz w:val="20"/>
                <w:szCs w:val="20"/>
              </w:rPr>
            </w:pPr>
            <w:r w:rsidRPr="00DB4A38">
              <w:rPr>
                <w:rFonts w:ascii="Arial" w:hAnsi="Arial" w:cs="Arial"/>
                <w:i/>
                <w:sz w:val="20"/>
                <w:szCs w:val="20"/>
              </w:rPr>
              <w:lastRenderedPageBreak/>
              <w:t>Streptomyces noursei</w:t>
            </w:r>
          </w:p>
        </w:tc>
        <w:tc>
          <w:tcPr>
            <w:tcW w:w="3420" w:type="dxa"/>
          </w:tcPr>
          <w:p w14:paraId="51132863" w14:textId="77777777" w:rsidR="00DB4A38" w:rsidRPr="00DB4A38" w:rsidRDefault="00DB4A38" w:rsidP="00D42346">
            <w:pPr>
              <w:rPr>
                <w:rFonts w:ascii="Arial" w:hAnsi="Arial" w:cs="Arial"/>
                <w:sz w:val="20"/>
                <w:szCs w:val="20"/>
              </w:rPr>
            </w:pPr>
            <w:r w:rsidRPr="00DB4A38">
              <w:rPr>
                <w:rFonts w:ascii="Arial" w:hAnsi="Arial" w:cs="Arial"/>
                <w:sz w:val="20"/>
                <w:szCs w:val="20"/>
              </w:rPr>
              <w:t>Disease mitigation via antimicrobial efficacy</w:t>
            </w:r>
          </w:p>
        </w:tc>
        <w:tc>
          <w:tcPr>
            <w:tcW w:w="2520" w:type="dxa"/>
          </w:tcPr>
          <w:p w14:paraId="67014810" w14:textId="77777777" w:rsidR="00DB4A38" w:rsidRPr="00DB4A38" w:rsidRDefault="00DB4A38" w:rsidP="00D42346">
            <w:pPr>
              <w:rPr>
                <w:rFonts w:ascii="Arial" w:hAnsi="Arial" w:cs="Arial"/>
                <w:sz w:val="20"/>
                <w:szCs w:val="20"/>
              </w:rPr>
            </w:pPr>
            <w:r w:rsidRPr="00C14283">
              <w:rPr>
                <w:rFonts w:ascii="Arial" w:hAnsi="Arial" w:cs="Arial"/>
                <w:sz w:val="20"/>
                <w:szCs w:val="20"/>
              </w:rPr>
              <w:t xml:space="preserve">Subramanian </w:t>
            </w:r>
            <w:r w:rsidRPr="00C14283">
              <w:rPr>
                <w:rFonts w:ascii="Arial" w:hAnsi="Arial" w:cs="Arial"/>
                <w:i/>
                <w:sz w:val="20"/>
                <w:szCs w:val="20"/>
              </w:rPr>
              <w:t>et al.,</w:t>
            </w:r>
            <w:r w:rsidRPr="00C14283">
              <w:rPr>
                <w:rFonts w:ascii="Arial" w:hAnsi="Arial" w:cs="Arial"/>
                <w:sz w:val="20"/>
                <w:szCs w:val="20"/>
              </w:rPr>
              <w:t xml:space="preserve"> (2010</w:t>
            </w:r>
            <w:r w:rsidR="00C14283">
              <w:rPr>
                <w:rFonts w:ascii="Arial" w:hAnsi="Arial" w:cs="Arial"/>
                <w:sz w:val="20"/>
                <w:szCs w:val="20"/>
              </w:rPr>
              <w:t>b</w:t>
            </w:r>
            <w:r w:rsidRPr="00C14283">
              <w:rPr>
                <w:rFonts w:ascii="Arial" w:hAnsi="Arial" w:cs="Arial"/>
                <w:sz w:val="20"/>
                <w:szCs w:val="20"/>
              </w:rPr>
              <w:t>); Mohanraj &amp; Subramanian, (2014)</w:t>
            </w:r>
          </w:p>
        </w:tc>
      </w:tr>
      <w:tr w:rsidR="00DB4A38" w:rsidRPr="00DB4A38" w14:paraId="392A9D6A" w14:textId="77777777" w:rsidTr="00D42346">
        <w:tc>
          <w:tcPr>
            <w:tcW w:w="2448" w:type="dxa"/>
          </w:tcPr>
          <w:p w14:paraId="3E5E35E4" w14:textId="77777777" w:rsidR="00DB4A38" w:rsidRPr="00DB4A38" w:rsidRDefault="00DB4A38" w:rsidP="00D42346">
            <w:pPr>
              <w:rPr>
                <w:rFonts w:ascii="Arial" w:hAnsi="Arial" w:cs="Arial"/>
                <w:i/>
                <w:sz w:val="20"/>
                <w:szCs w:val="20"/>
              </w:rPr>
            </w:pPr>
            <w:r w:rsidRPr="00DB4A38">
              <w:rPr>
                <w:rFonts w:ascii="Arial" w:hAnsi="Arial" w:cs="Arial"/>
                <w:i/>
                <w:sz w:val="20"/>
                <w:szCs w:val="20"/>
              </w:rPr>
              <w:t>Enterococcus faecalis</w:t>
            </w:r>
          </w:p>
        </w:tc>
        <w:tc>
          <w:tcPr>
            <w:tcW w:w="3420" w:type="dxa"/>
          </w:tcPr>
          <w:p w14:paraId="3F463EA0" w14:textId="77777777" w:rsidR="00DB4A38" w:rsidRPr="00DB4A38" w:rsidRDefault="00DB4A38" w:rsidP="00D42346">
            <w:pPr>
              <w:rPr>
                <w:rFonts w:ascii="Arial" w:hAnsi="Arial" w:cs="Arial"/>
                <w:sz w:val="20"/>
                <w:szCs w:val="20"/>
              </w:rPr>
            </w:pPr>
            <w:r w:rsidRPr="00DB4A38">
              <w:rPr>
                <w:rFonts w:ascii="Arial" w:hAnsi="Arial" w:cs="Arial"/>
                <w:sz w:val="20"/>
                <w:szCs w:val="20"/>
              </w:rPr>
              <w:t>Immunological protection from infectious agents</w:t>
            </w:r>
          </w:p>
        </w:tc>
        <w:tc>
          <w:tcPr>
            <w:tcW w:w="2520" w:type="dxa"/>
          </w:tcPr>
          <w:p w14:paraId="04DD4EF4" w14:textId="77777777" w:rsidR="00DB4A38" w:rsidRPr="00DB4A38" w:rsidRDefault="00DB4A38" w:rsidP="00D42346">
            <w:pPr>
              <w:rPr>
                <w:rFonts w:ascii="Arial" w:hAnsi="Arial" w:cs="Arial"/>
                <w:sz w:val="20"/>
                <w:szCs w:val="20"/>
              </w:rPr>
            </w:pPr>
            <w:r w:rsidRPr="00C14283">
              <w:rPr>
                <w:rFonts w:ascii="Arial" w:hAnsi="Arial" w:cs="Arial"/>
                <w:sz w:val="20"/>
                <w:szCs w:val="20"/>
              </w:rPr>
              <w:t xml:space="preserve">Zhang </w:t>
            </w:r>
            <w:r w:rsidRPr="00C14283">
              <w:rPr>
                <w:rFonts w:ascii="Arial" w:hAnsi="Arial" w:cs="Arial"/>
                <w:i/>
                <w:sz w:val="20"/>
                <w:szCs w:val="20"/>
              </w:rPr>
              <w:t>et al.,</w:t>
            </w:r>
            <w:r w:rsidRPr="00C14283">
              <w:rPr>
                <w:rFonts w:ascii="Arial" w:hAnsi="Arial" w:cs="Arial"/>
                <w:sz w:val="20"/>
                <w:szCs w:val="20"/>
              </w:rPr>
              <w:t xml:space="preserve"> (2022)</w:t>
            </w:r>
          </w:p>
        </w:tc>
      </w:tr>
      <w:tr w:rsidR="00DB4A38" w:rsidRPr="00DB4A38" w14:paraId="3683376D" w14:textId="77777777" w:rsidTr="00D42346">
        <w:tc>
          <w:tcPr>
            <w:tcW w:w="2448" w:type="dxa"/>
          </w:tcPr>
          <w:p w14:paraId="32E5BCE2" w14:textId="77777777" w:rsidR="00DB4A38" w:rsidRPr="00DB4A38" w:rsidRDefault="00DB4A38" w:rsidP="00D42346">
            <w:pPr>
              <w:rPr>
                <w:rFonts w:ascii="Arial" w:hAnsi="Arial" w:cs="Arial"/>
                <w:sz w:val="20"/>
                <w:szCs w:val="20"/>
              </w:rPr>
            </w:pPr>
            <w:r w:rsidRPr="00DB4A38">
              <w:rPr>
                <w:rFonts w:ascii="Arial" w:hAnsi="Arial" w:cs="Arial"/>
                <w:i/>
                <w:sz w:val="20"/>
                <w:szCs w:val="20"/>
              </w:rPr>
              <w:t>Enterobacter aerogenes, pneumoniae ssp. Pneumonia, Yersinia enterocolitica</w:t>
            </w:r>
          </w:p>
        </w:tc>
        <w:tc>
          <w:tcPr>
            <w:tcW w:w="3420" w:type="dxa"/>
          </w:tcPr>
          <w:p w14:paraId="328BE79E" w14:textId="77777777" w:rsidR="00DB4A38" w:rsidRPr="00DB4A38" w:rsidRDefault="00DB4A38" w:rsidP="00D42346">
            <w:pPr>
              <w:rPr>
                <w:rFonts w:ascii="Arial" w:hAnsi="Arial" w:cs="Arial"/>
                <w:sz w:val="20"/>
                <w:szCs w:val="20"/>
              </w:rPr>
            </w:pPr>
            <w:r w:rsidRPr="00DB4A38">
              <w:rPr>
                <w:rFonts w:ascii="Arial" w:hAnsi="Arial" w:cs="Arial"/>
                <w:sz w:val="20"/>
                <w:szCs w:val="20"/>
              </w:rPr>
              <w:t>Promotion of physiological growth and development, enhancement of host immune responses, biodegradation of insecticidal compounds, and antagonistic action against entomopathogenic organisms.</w:t>
            </w:r>
          </w:p>
        </w:tc>
        <w:tc>
          <w:tcPr>
            <w:tcW w:w="2520" w:type="dxa"/>
          </w:tcPr>
          <w:p w14:paraId="3C41771C" w14:textId="77777777" w:rsidR="00DB4A38" w:rsidRPr="00DB4A38" w:rsidRDefault="00DB4A38" w:rsidP="00D42346">
            <w:pPr>
              <w:rPr>
                <w:rFonts w:ascii="Arial" w:hAnsi="Arial" w:cs="Arial"/>
                <w:sz w:val="20"/>
                <w:szCs w:val="20"/>
              </w:rPr>
            </w:pPr>
            <w:r w:rsidRPr="00087C71">
              <w:rPr>
                <w:rFonts w:ascii="Arial" w:hAnsi="Arial" w:cs="Arial"/>
                <w:sz w:val="20"/>
                <w:szCs w:val="20"/>
              </w:rPr>
              <w:t xml:space="preserve">Ramesh </w:t>
            </w:r>
            <w:r w:rsidRPr="00087C71">
              <w:rPr>
                <w:rFonts w:ascii="Arial" w:hAnsi="Arial" w:cs="Arial"/>
                <w:i/>
                <w:sz w:val="20"/>
                <w:szCs w:val="20"/>
              </w:rPr>
              <w:t>et al.,</w:t>
            </w:r>
            <w:r w:rsidRPr="00087C71">
              <w:rPr>
                <w:rFonts w:ascii="Arial" w:hAnsi="Arial" w:cs="Arial"/>
                <w:sz w:val="20"/>
                <w:szCs w:val="20"/>
              </w:rPr>
              <w:t xml:space="preserve"> (2010</w:t>
            </w:r>
            <w:r w:rsidR="00087C71" w:rsidRPr="00087C71">
              <w:rPr>
                <w:rFonts w:ascii="Arial" w:hAnsi="Arial" w:cs="Arial"/>
                <w:sz w:val="20"/>
                <w:szCs w:val="20"/>
              </w:rPr>
              <w:t>b</w:t>
            </w:r>
            <w:r w:rsidRPr="00087C71">
              <w:rPr>
                <w:rFonts w:ascii="Arial" w:hAnsi="Arial" w:cs="Arial"/>
                <w:sz w:val="20"/>
                <w:szCs w:val="20"/>
              </w:rPr>
              <w:t>)</w:t>
            </w:r>
          </w:p>
        </w:tc>
      </w:tr>
      <w:tr w:rsidR="00DB4A38" w:rsidRPr="00DB4A38" w14:paraId="3A448066" w14:textId="77777777" w:rsidTr="00D42346">
        <w:tc>
          <w:tcPr>
            <w:tcW w:w="2448" w:type="dxa"/>
          </w:tcPr>
          <w:p w14:paraId="62F22AA9" w14:textId="77777777" w:rsidR="00DB4A38" w:rsidRPr="00DB4A38" w:rsidRDefault="00DB4A38" w:rsidP="00D42346">
            <w:pPr>
              <w:rPr>
                <w:rFonts w:ascii="Arial" w:hAnsi="Arial" w:cs="Arial"/>
                <w:sz w:val="20"/>
                <w:szCs w:val="20"/>
              </w:rPr>
            </w:pPr>
            <w:r w:rsidRPr="00DB4A38">
              <w:rPr>
                <w:rFonts w:ascii="Arial" w:hAnsi="Arial" w:cs="Arial"/>
                <w:i/>
                <w:sz w:val="20"/>
                <w:szCs w:val="20"/>
              </w:rPr>
              <w:t>Bacillus aryabhattai</w:t>
            </w:r>
            <w:r w:rsidRPr="00DB4A38">
              <w:rPr>
                <w:rFonts w:ascii="Arial" w:hAnsi="Arial" w:cs="Arial"/>
                <w:sz w:val="20"/>
                <w:szCs w:val="20"/>
              </w:rPr>
              <w:t xml:space="preserve"> and </w:t>
            </w:r>
            <w:r w:rsidRPr="00DB4A38">
              <w:rPr>
                <w:rFonts w:ascii="Arial" w:hAnsi="Arial" w:cs="Arial"/>
                <w:i/>
                <w:sz w:val="20"/>
                <w:szCs w:val="20"/>
              </w:rPr>
              <w:t>Bacillus sp.</w:t>
            </w:r>
          </w:p>
        </w:tc>
        <w:tc>
          <w:tcPr>
            <w:tcW w:w="3420" w:type="dxa"/>
          </w:tcPr>
          <w:p w14:paraId="7F5B7BF8" w14:textId="77777777" w:rsidR="00DB4A38" w:rsidRPr="00D64351" w:rsidRDefault="00DB4A38" w:rsidP="00D42346">
            <w:pPr>
              <w:rPr>
                <w:rFonts w:ascii="Arial" w:hAnsi="Arial" w:cs="Arial"/>
                <w:sz w:val="20"/>
                <w:szCs w:val="20"/>
              </w:rPr>
            </w:pPr>
            <w:r w:rsidRPr="00D64351">
              <w:rPr>
                <w:rFonts w:ascii="Arial" w:hAnsi="Arial" w:cs="Arial"/>
                <w:sz w:val="20"/>
                <w:szCs w:val="20"/>
              </w:rPr>
              <w:t>Cellulolytic activity</w:t>
            </w:r>
          </w:p>
        </w:tc>
        <w:tc>
          <w:tcPr>
            <w:tcW w:w="2520" w:type="dxa"/>
          </w:tcPr>
          <w:p w14:paraId="73AFCC7B" w14:textId="77777777" w:rsidR="00DB4A38" w:rsidRPr="00D64351" w:rsidRDefault="00DB4A38" w:rsidP="00D42346">
            <w:pPr>
              <w:rPr>
                <w:rFonts w:ascii="Arial" w:hAnsi="Arial" w:cs="Arial"/>
                <w:sz w:val="20"/>
                <w:szCs w:val="20"/>
              </w:rPr>
            </w:pPr>
            <w:r w:rsidRPr="00D64351">
              <w:rPr>
                <w:rFonts w:ascii="Arial" w:hAnsi="Arial" w:cs="Arial"/>
                <w:sz w:val="20"/>
                <w:szCs w:val="20"/>
              </w:rPr>
              <w:t>Pandiarajan &amp; Revathy, (2020)</w:t>
            </w:r>
          </w:p>
        </w:tc>
      </w:tr>
      <w:tr w:rsidR="00DB4A38" w:rsidRPr="00DB4A38" w14:paraId="3F674F62" w14:textId="77777777" w:rsidTr="00D42346">
        <w:tc>
          <w:tcPr>
            <w:tcW w:w="2448" w:type="dxa"/>
          </w:tcPr>
          <w:p w14:paraId="70FE8A51" w14:textId="77777777" w:rsidR="00DB4A38" w:rsidRPr="00DB4A38" w:rsidRDefault="00DB4A38" w:rsidP="00D42346">
            <w:pPr>
              <w:rPr>
                <w:rFonts w:ascii="Arial" w:hAnsi="Arial" w:cs="Arial"/>
                <w:i/>
                <w:sz w:val="20"/>
                <w:szCs w:val="20"/>
              </w:rPr>
            </w:pPr>
            <w:r w:rsidRPr="00DB4A38">
              <w:rPr>
                <w:rFonts w:ascii="Arial" w:hAnsi="Arial" w:cs="Arial"/>
                <w:i/>
                <w:sz w:val="20"/>
                <w:szCs w:val="20"/>
              </w:rPr>
              <w:t>Enterococcus mundtii</w:t>
            </w:r>
          </w:p>
        </w:tc>
        <w:tc>
          <w:tcPr>
            <w:tcW w:w="3420" w:type="dxa"/>
          </w:tcPr>
          <w:p w14:paraId="700D2748" w14:textId="77777777" w:rsidR="00DB4A38" w:rsidRPr="00D64351" w:rsidRDefault="00DB4A38" w:rsidP="00D42346">
            <w:pPr>
              <w:rPr>
                <w:rFonts w:ascii="Arial" w:hAnsi="Arial" w:cs="Arial"/>
                <w:sz w:val="20"/>
                <w:szCs w:val="20"/>
              </w:rPr>
            </w:pPr>
            <w:r w:rsidRPr="00D64351">
              <w:rPr>
                <w:rFonts w:ascii="Arial" w:hAnsi="Arial" w:cs="Arial"/>
                <w:sz w:val="20"/>
                <w:szCs w:val="20"/>
              </w:rPr>
              <w:t>Regulation of host metabolic processes through the synthesis of bioactive metabolites and lactic acid</w:t>
            </w:r>
          </w:p>
        </w:tc>
        <w:tc>
          <w:tcPr>
            <w:tcW w:w="2520" w:type="dxa"/>
          </w:tcPr>
          <w:p w14:paraId="43A8D7B0" w14:textId="77777777" w:rsidR="00DB4A38" w:rsidRPr="00D64351" w:rsidRDefault="00DB4A38" w:rsidP="00D42346">
            <w:pPr>
              <w:rPr>
                <w:rFonts w:ascii="Arial" w:hAnsi="Arial" w:cs="Arial"/>
                <w:sz w:val="20"/>
                <w:szCs w:val="20"/>
              </w:rPr>
            </w:pPr>
            <w:r w:rsidRPr="00D64351">
              <w:rPr>
                <w:rFonts w:ascii="Arial" w:hAnsi="Arial" w:cs="Arial"/>
                <w:sz w:val="20"/>
                <w:szCs w:val="20"/>
              </w:rPr>
              <w:t xml:space="preserve">Liang </w:t>
            </w:r>
            <w:r w:rsidRPr="00D64351">
              <w:rPr>
                <w:rFonts w:ascii="Arial" w:hAnsi="Arial" w:cs="Arial"/>
                <w:i/>
                <w:sz w:val="20"/>
                <w:szCs w:val="20"/>
              </w:rPr>
              <w:t>et al.,</w:t>
            </w:r>
            <w:r w:rsidRPr="00D64351">
              <w:rPr>
                <w:rFonts w:ascii="Arial" w:hAnsi="Arial" w:cs="Arial"/>
                <w:sz w:val="20"/>
                <w:szCs w:val="20"/>
              </w:rPr>
              <w:t xml:space="preserve"> (2018)</w:t>
            </w:r>
          </w:p>
        </w:tc>
      </w:tr>
      <w:tr w:rsidR="00DB4A38" w:rsidRPr="00DB4A38" w14:paraId="3DF2E377" w14:textId="77777777" w:rsidTr="00D42346">
        <w:tc>
          <w:tcPr>
            <w:tcW w:w="2448" w:type="dxa"/>
          </w:tcPr>
          <w:p w14:paraId="795D3146" w14:textId="77777777" w:rsidR="00DB4A38" w:rsidRPr="00DB4A38" w:rsidRDefault="00DB4A38" w:rsidP="00D42346">
            <w:pPr>
              <w:rPr>
                <w:rFonts w:ascii="Arial" w:hAnsi="Arial" w:cs="Arial"/>
                <w:i/>
                <w:sz w:val="20"/>
                <w:szCs w:val="20"/>
              </w:rPr>
            </w:pPr>
            <w:r w:rsidRPr="00DB4A38">
              <w:rPr>
                <w:rFonts w:ascii="Arial" w:hAnsi="Arial" w:cs="Arial"/>
                <w:i/>
                <w:sz w:val="20"/>
                <w:szCs w:val="20"/>
              </w:rPr>
              <w:t>Bacillus pumilus</w:t>
            </w:r>
          </w:p>
        </w:tc>
        <w:tc>
          <w:tcPr>
            <w:tcW w:w="3420" w:type="dxa"/>
          </w:tcPr>
          <w:p w14:paraId="07383FFF" w14:textId="77777777" w:rsidR="00DB4A38" w:rsidRPr="00DB4A38" w:rsidRDefault="00DB4A38" w:rsidP="00D42346">
            <w:pPr>
              <w:rPr>
                <w:rFonts w:ascii="Arial" w:hAnsi="Arial" w:cs="Arial"/>
                <w:sz w:val="20"/>
                <w:szCs w:val="20"/>
              </w:rPr>
            </w:pPr>
            <w:r w:rsidRPr="00DB4A38">
              <w:rPr>
                <w:rFonts w:ascii="Arial" w:hAnsi="Arial" w:cs="Arial"/>
                <w:sz w:val="20"/>
                <w:szCs w:val="20"/>
              </w:rPr>
              <w:t>Facilitation of digestion and defense against antiviral agents, specifically BmNPV</w:t>
            </w:r>
          </w:p>
        </w:tc>
        <w:tc>
          <w:tcPr>
            <w:tcW w:w="2520" w:type="dxa"/>
          </w:tcPr>
          <w:p w14:paraId="13FBCCF7" w14:textId="77777777" w:rsidR="00DB4A38" w:rsidRPr="00DB4A38" w:rsidRDefault="00DB4A38" w:rsidP="00D42346">
            <w:pPr>
              <w:rPr>
                <w:rFonts w:ascii="Arial" w:hAnsi="Arial" w:cs="Arial"/>
                <w:sz w:val="20"/>
                <w:szCs w:val="20"/>
              </w:rPr>
            </w:pPr>
            <w:r w:rsidRPr="00D64351">
              <w:rPr>
                <w:rFonts w:ascii="Arial" w:hAnsi="Arial" w:cs="Arial"/>
                <w:sz w:val="20"/>
                <w:szCs w:val="20"/>
              </w:rPr>
              <w:t xml:space="preserve">Liu </w:t>
            </w:r>
            <w:r w:rsidRPr="00D64351">
              <w:rPr>
                <w:rFonts w:ascii="Arial" w:hAnsi="Arial" w:cs="Arial"/>
                <w:i/>
                <w:sz w:val="20"/>
                <w:szCs w:val="20"/>
              </w:rPr>
              <w:t>et al.,</w:t>
            </w:r>
            <w:r w:rsidRPr="00D64351">
              <w:rPr>
                <w:rFonts w:ascii="Arial" w:hAnsi="Arial" w:cs="Arial"/>
                <w:sz w:val="20"/>
                <w:szCs w:val="20"/>
              </w:rPr>
              <w:t xml:space="preserve"> (2018)</w:t>
            </w:r>
          </w:p>
        </w:tc>
      </w:tr>
      <w:tr w:rsidR="00DB4A38" w:rsidRPr="00DB4A38" w14:paraId="7E039F09" w14:textId="77777777" w:rsidTr="00D42346">
        <w:tc>
          <w:tcPr>
            <w:tcW w:w="2448" w:type="dxa"/>
          </w:tcPr>
          <w:p w14:paraId="2A0D2DDD" w14:textId="77777777" w:rsidR="00DB4A38" w:rsidRPr="00DB4A38" w:rsidRDefault="00DB4A38" w:rsidP="00D42346">
            <w:pPr>
              <w:rPr>
                <w:rFonts w:ascii="Arial" w:hAnsi="Arial" w:cs="Arial"/>
                <w:i/>
                <w:sz w:val="20"/>
                <w:szCs w:val="20"/>
              </w:rPr>
            </w:pPr>
            <w:r w:rsidRPr="00DB4A38">
              <w:rPr>
                <w:rFonts w:ascii="Arial" w:hAnsi="Arial" w:cs="Arial"/>
                <w:i/>
                <w:sz w:val="20"/>
                <w:szCs w:val="20"/>
              </w:rPr>
              <w:t>Bifidobacterium</w:t>
            </w:r>
          </w:p>
        </w:tc>
        <w:tc>
          <w:tcPr>
            <w:tcW w:w="3420" w:type="dxa"/>
          </w:tcPr>
          <w:p w14:paraId="56A544C3" w14:textId="77777777" w:rsidR="00DB4A38" w:rsidRPr="00DB4A38" w:rsidRDefault="00DB4A38" w:rsidP="00D42346">
            <w:pPr>
              <w:rPr>
                <w:rFonts w:ascii="Arial" w:hAnsi="Arial" w:cs="Arial"/>
                <w:sz w:val="20"/>
                <w:szCs w:val="20"/>
              </w:rPr>
            </w:pPr>
            <w:r w:rsidRPr="00DB4A38">
              <w:rPr>
                <w:rFonts w:ascii="Arial" w:hAnsi="Arial" w:cs="Arial"/>
                <w:sz w:val="20"/>
                <w:szCs w:val="20"/>
              </w:rPr>
              <w:t>Stimulation of immune responses by enhancing the enzymatic activities of protease, amylase, and invertase, leading to increased raw silk production.</w:t>
            </w:r>
          </w:p>
        </w:tc>
        <w:tc>
          <w:tcPr>
            <w:tcW w:w="2520" w:type="dxa"/>
          </w:tcPr>
          <w:p w14:paraId="1D4BBFA3" w14:textId="77777777" w:rsidR="00DB4A38" w:rsidRPr="00DB4A38" w:rsidRDefault="00DB4A38" w:rsidP="00D42346">
            <w:pPr>
              <w:rPr>
                <w:rFonts w:ascii="Arial" w:hAnsi="Arial" w:cs="Arial"/>
                <w:sz w:val="20"/>
                <w:szCs w:val="20"/>
              </w:rPr>
            </w:pPr>
            <w:r w:rsidRPr="00D64351">
              <w:rPr>
                <w:rFonts w:ascii="Arial" w:hAnsi="Arial" w:cs="Arial"/>
                <w:sz w:val="20"/>
                <w:szCs w:val="20"/>
              </w:rPr>
              <w:t xml:space="preserve">Taha </w:t>
            </w:r>
            <w:r w:rsidRPr="00D64351">
              <w:rPr>
                <w:rFonts w:ascii="Arial" w:hAnsi="Arial" w:cs="Arial"/>
                <w:i/>
                <w:sz w:val="20"/>
                <w:szCs w:val="20"/>
              </w:rPr>
              <w:t>et al.,</w:t>
            </w:r>
            <w:r w:rsidRPr="00D64351">
              <w:rPr>
                <w:rFonts w:ascii="Arial" w:hAnsi="Arial" w:cs="Arial"/>
                <w:sz w:val="20"/>
                <w:szCs w:val="20"/>
              </w:rPr>
              <w:t xml:space="preserve"> (2017)</w:t>
            </w:r>
          </w:p>
        </w:tc>
      </w:tr>
      <w:tr w:rsidR="00DB4A38" w:rsidRPr="00DB4A38" w14:paraId="336B64A6" w14:textId="77777777" w:rsidTr="00D42346">
        <w:tc>
          <w:tcPr>
            <w:tcW w:w="2448" w:type="dxa"/>
          </w:tcPr>
          <w:p w14:paraId="6BF91FC4" w14:textId="77777777" w:rsidR="00DB4A38" w:rsidRPr="00DB4A38" w:rsidRDefault="00DB4A38" w:rsidP="00D42346">
            <w:pPr>
              <w:rPr>
                <w:rFonts w:ascii="Arial" w:hAnsi="Arial" w:cs="Arial"/>
                <w:i/>
                <w:sz w:val="20"/>
                <w:szCs w:val="20"/>
              </w:rPr>
            </w:pPr>
            <w:r w:rsidRPr="00DB4A38">
              <w:rPr>
                <w:rFonts w:ascii="Arial" w:hAnsi="Arial" w:cs="Arial"/>
                <w:i/>
                <w:sz w:val="20"/>
                <w:szCs w:val="20"/>
              </w:rPr>
              <w:t>Staphylococcus gallinarum</w:t>
            </w:r>
          </w:p>
        </w:tc>
        <w:tc>
          <w:tcPr>
            <w:tcW w:w="3420" w:type="dxa"/>
          </w:tcPr>
          <w:p w14:paraId="4F449A03" w14:textId="77777777" w:rsidR="00DB4A38" w:rsidRPr="00DB4A38" w:rsidRDefault="00DB4A38" w:rsidP="00D42346">
            <w:pPr>
              <w:rPr>
                <w:rFonts w:ascii="Arial" w:hAnsi="Arial" w:cs="Arial"/>
                <w:sz w:val="20"/>
                <w:szCs w:val="20"/>
              </w:rPr>
            </w:pPr>
            <w:r w:rsidRPr="00DB4A38">
              <w:rPr>
                <w:rFonts w:ascii="Arial" w:hAnsi="Arial" w:cs="Arial"/>
                <w:sz w:val="20"/>
                <w:szCs w:val="20"/>
              </w:rPr>
              <w:t>Biological defense mechanism</w:t>
            </w:r>
          </w:p>
        </w:tc>
        <w:tc>
          <w:tcPr>
            <w:tcW w:w="2520" w:type="dxa"/>
          </w:tcPr>
          <w:p w14:paraId="15D55004" w14:textId="77777777" w:rsidR="00DB4A38" w:rsidRPr="00DB4A38" w:rsidRDefault="00DB4A38" w:rsidP="00D42346">
            <w:pPr>
              <w:rPr>
                <w:rFonts w:ascii="Arial" w:hAnsi="Arial" w:cs="Arial"/>
                <w:sz w:val="20"/>
                <w:szCs w:val="20"/>
              </w:rPr>
            </w:pPr>
            <w:r w:rsidRPr="00D64351">
              <w:rPr>
                <w:rFonts w:ascii="Arial" w:hAnsi="Arial" w:cs="Arial"/>
                <w:sz w:val="20"/>
                <w:szCs w:val="20"/>
              </w:rPr>
              <w:t>Gibson &amp; Hunter, (2010)</w:t>
            </w:r>
          </w:p>
        </w:tc>
      </w:tr>
      <w:tr w:rsidR="00DB4A38" w:rsidRPr="00DB4A38" w14:paraId="5CD59602" w14:textId="77777777" w:rsidTr="00D42346">
        <w:tc>
          <w:tcPr>
            <w:tcW w:w="2448" w:type="dxa"/>
          </w:tcPr>
          <w:p w14:paraId="3A00FAD0" w14:textId="77777777" w:rsidR="00DB4A38" w:rsidRPr="00DB4A38" w:rsidRDefault="00DB4A38" w:rsidP="00D42346">
            <w:pPr>
              <w:rPr>
                <w:rFonts w:ascii="Arial" w:hAnsi="Arial" w:cs="Arial"/>
                <w:sz w:val="20"/>
                <w:szCs w:val="20"/>
              </w:rPr>
            </w:pPr>
            <w:r w:rsidRPr="00DB4A38">
              <w:rPr>
                <w:rFonts w:ascii="Arial" w:hAnsi="Arial" w:cs="Arial"/>
                <w:i/>
                <w:sz w:val="20"/>
                <w:szCs w:val="20"/>
              </w:rPr>
              <w:t>Enterococcus sp.</w:t>
            </w:r>
            <w:r w:rsidRPr="00DB4A38">
              <w:rPr>
                <w:rFonts w:ascii="Arial" w:hAnsi="Arial" w:cs="Arial"/>
                <w:sz w:val="20"/>
                <w:szCs w:val="20"/>
              </w:rPr>
              <w:t xml:space="preserve"> and </w:t>
            </w:r>
            <w:r w:rsidRPr="00DB4A38">
              <w:rPr>
                <w:rFonts w:ascii="Arial" w:hAnsi="Arial" w:cs="Arial"/>
                <w:i/>
                <w:sz w:val="20"/>
                <w:szCs w:val="20"/>
              </w:rPr>
              <w:t>Staphylococcus sp.</w:t>
            </w:r>
          </w:p>
        </w:tc>
        <w:tc>
          <w:tcPr>
            <w:tcW w:w="3420" w:type="dxa"/>
          </w:tcPr>
          <w:p w14:paraId="52A2D47A" w14:textId="77777777" w:rsidR="00DB4A38" w:rsidRPr="00DB4A38" w:rsidRDefault="00DB4A38" w:rsidP="00D42346">
            <w:pPr>
              <w:rPr>
                <w:rFonts w:ascii="Arial" w:hAnsi="Arial" w:cs="Arial"/>
                <w:sz w:val="20"/>
                <w:szCs w:val="20"/>
              </w:rPr>
            </w:pPr>
            <w:r w:rsidRPr="00DB4A38">
              <w:rPr>
                <w:rFonts w:ascii="Arial" w:hAnsi="Arial" w:cs="Arial"/>
                <w:sz w:val="20"/>
                <w:szCs w:val="20"/>
              </w:rPr>
              <w:t>Immunological defense against pathogenic invasion</w:t>
            </w:r>
          </w:p>
        </w:tc>
        <w:tc>
          <w:tcPr>
            <w:tcW w:w="2520" w:type="dxa"/>
          </w:tcPr>
          <w:p w14:paraId="4BBE4122" w14:textId="77777777" w:rsidR="00DB4A38" w:rsidRPr="00DE7BBE" w:rsidRDefault="00DB4A38" w:rsidP="00D42346">
            <w:pPr>
              <w:rPr>
                <w:rFonts w:ascii="Arial" w:hAnsi="Arial" w:cs="Arial"/>
                <w:sz w:val="20"/>
                <w:szCs w:val="20"/>
              </w:rPr>
            </w:pPr>
            <w:r w:rsidRPr="00DE7BBE">
              <w:rPr>
                <w:rFonts w:ascii="Arial" w:hAnsi="Arial" w:cs="Arial"/>
                <w:sz w:val="20"/>
                <w:szCs w:val="20"/>
              </w:rPr>
              <w:t xml:space="preserve">Sun </w:t>
            </w:r>
            <w:r w:rsidRPr="00DE7BBE">
              <w:rPr>
                <w:rFonts w:ascii="Arial" w:hAnsi="Arial" w:cs="Arial"/>
                <w:i/>
                <w:sz w:val="20"/>
                <w:szCs w:val="20"/>
              </w:rPr>
              <w:t xml:space="preserve">et al., </w:t>
            </w:r>
            <w:r w:rsidRPr="00DE7BBE">
              <w:rPr>
                <w:rFonts w:ascii="Arial" w:hAnsi="Arial" w:cs="Arial"/>
                <w:sz w:val="20"/>
                <w:szCs w:val="20"/>
              </w:rPr>
              <w:t>(2016)</w:t>
            </w:r>
          </w:p>
        </w:tc>
      </w:tr>
      <w:tr w:rsidR="00DB4A38" w:rsidRPr="00DB4A38" w14:paraId="49177B48" w14:textId="77777777" w:rsidTr="00DE7BBE">
        <w:tc>
          <w:tcPr>
            <w:tcW w:w="2448" w:type="dxa"/>
            <w:tcBorders>
              <w:bottom w:val="single" w:sz="4" w:space="0" w:color="auto"/>
            </w:tcBorders>
          </w:tcPr>
          <w:p w14:paraId="08E8B0B5" w14:textId="77777777" w:rsidR="00DB4A38" w:rsidRPr="00DB4A38" w:rsidRDefault="00DB4A38" w:rsidP="00D42346">
            <w:pPr>
              <w:rPr>
                <w:rFonts w:ascii="Arial" w:hAnsi="Arial" w:cs="Arial"/>
                <w:sz w:val="20"/>
                <w:szCs w:val="20"/>
              </w:rPr>
            </w:pPr>
            <w:r w:rsidRPr="00DB4A38">
              <w:rPr>
                <w:rFonts w:ascii="Arial" w:hAnsi="Arial" w:cs="Arial"/>
                <w:i/>
                <w:color w:val="000000"/>
                <w:sz w:val="20"/>
                <w:szCs w:val="20"/>
              </w:rPr>
              <w:t>Staphylococcus gallinarum SWGB 7</w:t>
            </w:r>
            <w:r w:rsidRPr="00DB4A38">
              <w:rPr>
                <w:rFonts w:ascii="Arial" w:hAnsi="Arial" w:cs="Arial"/>
                <w:color w:val="000000"/>
                <w:sz w:val="20"/>
                <w:szCs w:val="20"/>
              </w:rPr>
              <w:t xml:space="preserve"> and </w:t>
            </w:r>
            <w:r w:rsidRPr="00DB4A38">
              <w:rPr>
                <w:rFonts w:ascii="Arial" w:hAnsi="Arial" w:cs="Arial"/>
                <w:i/>
                <w:color w:val="000000"/>
                <w:sz w:val="20"/>
                <w:szCs w:val="20"/>
              </w:rPr>
              <w:t>Staphylococcus arlettae SWGB 16</w:t>
            </w:r>
          </w:p>
        </w:tc>
        <w:tc>
          <w:tcPr>
            <w:tcW w:w="3420" w:type="dxa"/>
            <w:tcBorders>
              <w:bottom w:val="single" w:sz="4" w:space="0" w:color="auto"/>
            </w:tcBorders>
          </w:tcPr>
          <w:p w14:paraId="61CFCB65" w14:textId="77777777" w:rsidR="00DB4A38" w:rsidRPr="00DB4A38" w:rsidRDefault="00DB4A38" w:rsidP="00D42346">
            <w:pPr>
              <w:rPr>
                <w:rFonts w:ascii="Arial" w:hAnsi="Arial" w:cs="Arial"/>
                <w:sz w:val="20"/>
                <w:szCs w:val="20"/>
              </w:rPr>
            </w:pPr>
            <w:r w:rsidRPr="00DB4A38">
              <w:rPr>
                <w:rFonts w:ascii="Arial" w:hAnsi="Arial" w:cs="Arial"/>
                <w:sz w:val="20"/>
                <w:szCs w:val="20"/>
              </w:rPr>
              <w:t>Enhanced growth performance, augmentation of economic traits, and strengthening of the immune system.</w:t>
            </w:r>
          </w:p>
        </w:tc>
        <w:tc>
          <w:tcPr>
            <w:tcW w:w="2520" w:type="dxa"/>
            <w:tcBorders>
              <w:bottom w:val="single" w:sz="4" w:space="0" w:color="auto"/>
            </w:tcBorders>
            <w:shd w:val="clear" w:color="auto" w:fill="auto"/>
          </w:tcPr>
          <w:p w14:paraId="7BBAD201" w14:textId="77777777" w:rsidR="00DB4A38" w:rsidRPr="00DB4A38" w:rsidRDefault="00DB4A38" w:rsidP="00D42346">
            <w:pPr>
              <w:rPr>
                <w:rFonts w:ascii="Arial" w:hAnsi="Arial" w:cs="Arial"/>
                <w:sz w:val="20"/>
                <w:szCs w:val="20"/>
                <w:highlight w:val="yellow"/>
              </w:rPr>
            </w:pPr>
            <w:r w:rsidRPr="00DE7BBE">
              <w:rPr>
                <w:rFonts w:ascii="Arial" w:hAnsi="Arial" w:cs="Arial"/>
                <w:sz w:val="20"/>
                <w:szCs w:val="20"/>
              </w:rPr>
              <w:t xml:space="preserve">Saranya </w:t>
            </w:r>
            <w:r w:rsidRPr="00DE7BBE">
              <w:rPr>
                <w:rFonts w:ascii="Arial" w:hAnsi="Arial" w:cs="Arial"/>
                <w:i/>
                <w:sz w:val="20"/>
                <w:szCs w:val="20"/>
              </w:rPr>
              <w:t>et al.,</w:t>
            </w:r>
            <w:r w:rsidRPr="00DE7BBE">
              <w:rPr>
                <w:rFonts w:ascii="Arial" w:hAnsi="Arial" w:cs="Arial"/>
                <w:sz w:val="20"/>
                <w:szCs w:val="20"/>
              </w:rPr>
              <w:t xml:space="preserve"> (2019)</w:t>
            </w:r>
          </w:p>
        </w:tc>
      </w:tr>
    </w:tbl>
    <w:p w14:paraId="24E14A01" w14:textId="77777777" w:rsidR="00C04753" w:rsidRDefault="00C04753" w:rsidP="00441B6F">
      <w:pPr>
        <w:pStyle w:val="Body"/>
        <w:spacing w:after="0"/>
        <w:rPr>
          <w:rFonts w:ascii="Arial" w:hAnsi="Arial" w:cs="Arial"/>
        </w:rPr>
      </w:pPr>
    </w:p>
    <w:p w14:paraId="71E0E1D3" w14:textId="77777777" w:rsidR="00C04753" w:rsidRDefault="00C04753" w:rsidP="00441B6F">
      <w:pPr>
        <w:pStyle w:val="Body"/>
        <w:spacing w:after="0"/>
        <w:rPr>
          <w:rFonts w:ascii="Arial" w:hAnsi="Arial" w:cs="Arial"/>
        </w:rPr>
      </w:pPr>
    </w:p>
    <w:p w14:paraId="5B445735" w14:textId="77777777" w:rsidR="00D42346" w:rsidRDefault="00D42346" w:rsidP="00D42346">
      <w:pPr>
        <w:pStyle w:val="AbstHead"/>
        <w:rPr>
          <w:rFonts w:ascii="Arial" w:hAnsi="Arial" w:cs="Arial"/>
        </w:rPr>
      </w:pPr>
      <w:r>
        <w:rPr>
          <w:rFonts w:ascii="Arial" w:hAnsi="Arial" w:cs="Arial"/>
        </w:rPr>
        <w:t xml:space="preserve">5. </w:t>
      </w:r>
      <w:r w:rsidRPr="00D42346">
        <w:rPr>
          <w:rFonts w:ascii="Arial" w:hAnsi="Arial" w:cs="Arial"/>
        </w:rPr>
        <w:t>Effect of Probiotic supplementation in Silkworm</w:t>
      </w:r>
    </w:p>
    <w:p w14:paraId="67D27A52" w14:textId="77777777" w:rsidR="00D42346" w:rsidRPr="00D42346" w:rsidRDefault="00D42346" w:rsidP="00712E68">
      <w:pPr>
        <w:pStyle w:val="Body"/>
        <w:rPr>
          <w:rFonts w:ascii="Arial" w:hAnsi="Arial" w:cs="Arial"/>
        </w:rPr>
      </w:pPr>
      <w:r w:rsidRPr="00D42346">
        <w:rPr>
          <w:rFonts w:ascii="Arial" w:hAnsi="Arial" w:cs="Arial"/>
        </w:rPr>
        <w:t xml:space="preserve">Probiotic supplementation has emerged as a promising strategy to enhance silkworm health, growth, and silk productivity. Recent studies have demonstrated that dietary inclusion of beneficial microbial strains such as </w:t>
      </w:r>
      <w:r w:rsidRPr="00D42346">
        <w:rPr>
          <w:rFonts w:ascii="Arial" w:hAnsi="Arial" w:cs="Arial"/>
          <w:i/>
          <w:iCs/>
        </w:rPr>
        <w:t>Lactobacillus</w:t>
      </w:r>
      <w:r w:rsidRPr="00D42346">
        <w:rPr>
          <w:rFonts w:ascii="Arial" w:hAnsi="Arial" w:cs="Arial"/>
        </w:rPr>
        <w:t xml:space="preserve">, </w:t>
      </w:r>
      <w:r w:rsidRPr="00D42346">
        <w:rPr>
          <w:rFonts w:ascii="Arial" w:hAnsi="Arial" w:cs="Arial"/>
          <w:i/>
          <w:iCs/>
        </w:rPr>
        <w:t>Bacillus</w:t>
      </w:r>
      <w:r w:rsidRPr="00D42346">
        <w:rPr>
          <w:rFonts w:ascii="Arial" w:hAnsi="Arial" w:cs="Arial"/>
        </w:rPr>
        <w:t xml:space="preserve">, and </w:t>
      </w:r>
      <w:r w:rsidRPr="00D42346">
        <w:rPr>
          <w:rFonts w:ascii="Arial" w:hAnsi="Arial" w:cs="Arial"/>
          <w:i/>
          <w:iCs/>
        </w:rPr>
        <w:t>Saccharomyces</w:t>
      </w:r>
      <w:r w:rsidRPr="00D42346">
        <w:rPr>
          <w:rFonts w:ascii="Arial" w:hAnsi="Arial" w:cs="Arial"/>
        </w:rPr>
        <w:t xml:space="preserve"> can significantly improve digestion, immune response, and larval development in </w:t>
      </w:r>
      <w:r w:rsidRPr="00D42346">
        <w:rPr>
          <w:rFonts w:ascii="Arial" w:hAnsi="Arial" w:cs="Arial"/>
          <w:i/>
          <w:iCs/>
        </w:rPr>
        <w:t>Bombyx mori</w:t>
      </w:r>
      <w:r w:rsidRPr="00D42346">
        <w:rPr>
          <w:rFonts w:ascii="Arial" w:hAnsi="Arial" w:cs="Arial"/>
        </w:rPr>
        <w:t>. These probiotics exert their influence by modulating gut microbiota composition, enhancing enzymatic activity, reducing pathogenic load, and promoting nutrient assimilation. The application of strain-specific probiotics has also been linked to improvements in cocoon quality, silk yield, and disease resistance. The effects of probiotic supplementation in silkworms, including their functional roles and practical implications in sericulture, are discussed below based on key findings from various researchers.</w:t>
      </w:r>
    </w:p>
    <w:p w14:paraId="10AB957A" w14:textId="77777777" w:rsidR="00D42346" w:rsidRPr="00D42346" w:rsidRDefault="00D42346" w:rsidP="00712E68">
      <w:pPr>
        <w:pStyle w:val="Body"/>
        <w:rPr>
          <w:rFonts w:ascii="Arial" w:hAnsi="Arial" w:cs="Arial"/>
        </w:rPr>
      </w:pPr>
      <w:r w:rsidRPr="00DE7BBE">
        <w:rPr>
          <w:rFonts w:ascii="Arial" w:hAnsi="Arial" w:cs="Arial"/>
          <w:bCs/>
        </w:rPr>
        <w:t xml:space="preserve">Esaivani </w:t>
      </w:r>
      <w:r w:rsidRPr="00DE7BBE">
        <w:rPr>
          <w:rFonts w:ascii="Arial" w:hAnsi="Arial" w:cs="Arial"/>
          <w:bCs/>
          <w:i/>
        </w:rPr>
        <w:t>et al.,</w:t>
      </w:r>
      <w:r w:rsidRPr="00DE7BBE">
        <w:rPr>
          <w:rFonts w:ascii="Arial" w:hAnsi="Arial" w:cs="Arial"/>
          <w:bCs/>
        </w:rPr>
        <w:t xml:space="preserve"> (2014)</w:t>
      </w:r>
      <w:r w:rsidRPr="00DE7BBE">
        <w:rPr>
          <w:rFonts w:ascii="Arial" w:hAnsi="Arial" w:cs="Arial"/>
        </w:rPr>
        <w:t xml:space="preserve"> investigated the</w:t>
      </w:r>
      <w:r w:rsidRPr="00D42346">
        <w:rPr>
          <w:rFonts w:ascii="Arial" w:hAnsi="Arial" w:cs="Arial"/>
        </w:rPr>
        <w:t xml:space="preserve"> effects of fortifying mulberry leaves with the probiotic microorganism </w:t>
      </w:r>
      <w:r w:rsidRPr="00D42346">
        <w:rPr>
          <w:rFonts w:ascii="Arial" w:hAnsi="Arial" w:cs="Arial"/>
          <w:i/>
          <w:iCs/>
        </w:rPr>
        <w:t>Saccharomyces cerevisiae</w:t>
      </w:r>
      <w:r w:rsidRPr="00D42346">
        <w:rPr>
          <w:rFonts w:ascii="Arial" w:hAnsi="Arial" w:cs="Arial"/>
        </w:rPr>
        <w:t xml:space="preserve"> on the enzymatic activity and economic traits of the silkworm </w:t>
      </w:r>
      <w:r w:rsidRPr="00D42346">
        <w:rPr>
          <w:rFonts w:ascii="Arial" w:hAnsi="Arial" w:cs="Arial"/>
          <w:i/>
          <w:iCs/>
        </w:rPr>
        <w:t>Bombyx mori</w:t>
      </w:r>
      <w:r w:rsidRPr="00D42346">
        <w:rPr>
          <w:rFonts w:ascii="Arial" w:hAnsi="Arial" w:cs="Arial"/>
        </w:rPr>
        <w:t xml:space="preserve">. Their findings revealed a significant elevation in the activity of digestive enzymes, particularly amylase and invertase, in probiotic-supplemented larvae compared to the control group. This enzymatic enhancement was associated with improved immunity and </w:t>
      </w:r>
      <w:r w:rsidRPr="00D42346">
        <w:rPr>
          <w:rFonts w:ascii="Arial" w:hAnsi="Arial" w:cs="Arial"/>
        </w:rPr>
        <w:lastRenderedPageBreak/>
        <w:t xml:space="preserve">better silk yield, underscoring the probiotic's potential in promoting silkworm health and productivity. Building upon the positive influence of probiotic supplementation, </w:t>
      </w:r>
      <w:r w:rsidRPr="004E1C1D">
        <w:rPr>
          <w:rFonts w:ascii="Arial" w:hAnsi="Arial" w:cs="Arial"/>
          <w:bCs/>
        </w:rPr>
        <w:t xml:space="preserve">Shruti </w:t>
      </w:r>
      <w:r w:rsidRPr="004E1C1D">
        <w:rPr>
          <w:rFonts w:ascii="Arial" w:hAnsi="Arial" w:cs="Arial"/>
          <w:bCs/>
          <w:i/>
        </w:rPr>
        <w:t>et al.,</w:t>
      </w:r>
      <w:r w:rsidRPr="004E1C1D">
        <w:rPr>
          <w:rFonts w:ascii="Arial" w:hAnsi="Arial" w:cs="Arial"/>
          <w:bCs/>
        </w:rPr>
        <w:t xml:space="preserve"> (2019)</w:t>
      </w:r>
      <w:r w:rsidRPr="004E1C1D">
        <w:rPr>
          <w:rFonts w:ascii="Arial" w:hAnsi="Arial" w:cs="Arial"/>
        </w:rPr>
        <w:t xml:space="preserve"> evaluated</w:t>
      </w:r>
      <w:r w:rsidRPr="00D42346">
        <w:rPr>
          <w:rFonts w:ascii="Arial" w:hAnsi="Arial" w:cs="Arial"/>
        </w:rPr>
        <w:t xml:space="preserve"> the effects of various probiotic feed additives such as </w:t>
      </w:r>
      <w:r w:rsidRPr="00D42346">
        <w:rPr>
          <w:rFonts w:ascii="Arial" w:hAnsi="Arial" w:cs="Arial"/>
          <w:i/>
          <w:iCs/>
        </w:rPr>
        <w:t>Spirulina</w:t>
      </w:r>
      <w:r w:rsidRPr="00D42346">
        <w:rPr>
          <w:rFonts w:ascii="Arial" w:hAnsi="Arial" w:cs="Arial"/>
        </w:rPr>
        <w:t xml:space="preserve">, </w:t>
      </w:r>
      <w:r w:rsidRPr="00D42346">
        <w:rPr>
          <w:rFonts w:ascii="Arial" w:hAnsi="Arial" w:cs="Arial"/>
          <w:i/>
          <w:iCs/>
        </w:rPr>
        <w:t>Azolla</w:t>
      </w:r>
      <w:r w:rsidRPr="00D42346">
        <w:rPr>
          <w:rFonts w:ascii="Arial" w:hAnsi="Arial" w:cs="Arial"/>
        </w:rPr>
        <w:t xml:space="preserve">, yeast, and soy milk, administered at five different concentrations (1%, 2%, 3%, 4%, and 5%) to </w:t>
      </w:r>
      <w:r w:rsidRPr="00D42346">
        <w:rPr>
          <w:rFonts w:ascii="Arial" w:hAnsi="Arial" w:cs="Arial"/>
          <w:i/>
          <w:iCs/>
        </w:rPr>
        <w:t>Bombyx mori</w:t>
      </w:r>
      <w:r w:rsidRPr="00D42346">
        <w:rPr>
          <w:rFonts w:ascii="Arial" w:hAnsi="Arial" w:cs="Arial"/>
        </w:rPr>
        <w:t xml:space="preserve"> hybrid PM × CSR-2 larvae from the fourth instar stage onward. These supplements were delivered once daily through mulberry leaves until the onset of spinning. Among the treatments, </w:t>
      </w:r>
      <w:r w:rsidRPr="00D42346">
        <w:rPr>
          <w:rFonts w:ascii="Arial" w:hAnsi="Arial" w:cs="Arial"/>
          <w:i/>
          <w:iCs/>
        </w:rPr>
        <w:t>Azolla</w:t>
      </w:r>
      <w:r w:rsidRPr="00D42346">
        <w:rPr>
          <w:rFonts w:ascii="Arial" w:hAnsi="Arial" w:cs="Arial"/>
        </w:rPr>
        <w:t xml:space="preserve"> demonstrated superior performance, significantly enhancing the effective rate of rearing and cocoon weight at 50% spinning, followed by soy milk and yeast, compared to the unsupplemented control group. This study reinforces the potential of probiotic-enriched diets in improving key biological and economic traits in silkworm rearing. </w:t>
      </w:r>
    </w:p>
    <w:p w14:paraId="21921C33" w14:textId="77777777" w:rsidR="00D42346" w:rsidRPr="00D42346" w:rsidRDefault="00D42346" w:rsidP="00712E68">
      <w:pPr>
        <w:pStyle w:val="Body"/>
        <w:rPr>
          <w:rFonts w:ascii="Arial" w:hAnsi="Arial" w:cs="Arial"/>
        </w:rPr>
      </w:pPr>
      <w:r w:rsidRPr="00D42346">
        <w:rPr>
          <w:rFonts w:ascii="Arial" w:hAnsi="Arial" w:cs="Arial"/>
        </w:rPr>
        <w:t xml:space="preserve">The </w:t>
      </w:r>
      <w:r w:rsidRPr="004E1C1D">
        <w:rPr>
          <w:rFonts w:ascii="Arial" w:hAnsi="Arial" w:cs="Arial"/>
        </w:rPr>
        <w:t xml:space="preserve">study by Kalokhe </w:t>
      </w:r>
      <w:r w:rsidRPr="004E1C1D">
        <w:rPr>
          <w:rFonts w:ascii="Arial" w:hAnsi="Arial" w:cs="Arial"/>
          <w:i/>
        </w:rPr>
        <w:t>et al.,</w:t>
      </w:r>
      <w:r w:rsidRPr="004E1C1D">
        <w:rPr>
          <w:rFonts w:ascii="Arial" w:hAnsi="Arial" w:cs="Arial"/>
        </w:rPr>
        <w:t xml:space="preserve"> (2024) investigated</w:t>
      </w:r>
      <w:r w:rsidRPr="00D42346">
        <w:rPr>
          <w:rFonts w:ascii="Arial" w:hAnsi="Arial" w:cs="Arial"/>
        </w:rPr>
        <w:t xml:space="preserve"> the impact of probiotics, specifically Spirulina and Baker’s yeast, on the economic traits of mulberry silkworms (</w:t>
      </w:r>
      <w:r w:rsidRPr="00D42346">
        <w:rPr>
          <w:rFonts w:ascii="Arial" w:hAnsi="Arial" w:cs="Arial"/>
          <w:i/>
          <w:iCs/>
        </w:rPr>
        <w:t>Bombyx mori</w:t>
      </w:r>
      <w:r w:rsidRPr="00D42346">
        <w:rPr>
          <w:rFonts w:ascii="Arial" w:hAnsi="Arial" w:cs="Arial"/>
        </w:rPr>
        <w:t> L.). The results demonstrated significant improvements in key parameters when probiotics were administered. The highest cocoon weight (1.84 g) was observed with a combination of Spirulina and Baker’s yeast at 1.5% concentration, while Baker’s yeast at 1% yielded the highest shell weight (0.440 g) and shell ratio (27.09%). Additionally, Baker’s yeast at 1% concentration produced the maximum filament length (1216.67 m), and Baker’s yeast at 1.5% resulted in the highest filament weight (0.363 g). Spirulina at 2% concentration showed the lowest denier value (2.44), indicating finer silk quality. The study concluded that probiotics, particularly Baker’s yeast, significantly enhance silkworm productivity and silk quality, making them a promising supplement for sericulture.</w:t>
      </w:r>
    </w:p>
    <w:p w14:paraId="7D5090D0" w14:textId="1C51C4EE" w:rsidR="00D42346" w:rsidRPr="00D42346" w:rsidRDefault="00D42346" w:rsidP="00712E68">
      <w:pPr>
        <w:pStyle w:val="Body"/>
        <w:rPr>
          <w:rFonts w:ascii="Arial" w:hAnsi="Arial" w:cs="Arial"/>
        </w:rPr>
      </w:pPr>
      <w:r w:rsidRPr="00D42346">
        <w:rPr>
          <w:rFonts w:ascii="Arial" w:hAnsi="Arial" w:cs="Arial"/>
        </w:rPr>
        <w:t xml:space="preserve">Based on the </w:t>
      </w:r>
      <w:r w:rsidRPr="004E1C1D">
        <w:rPr>
          <w:rFonts w:ascii="Arial" w:hAnsi="Arial" w:cs="Arial"/>
        </w:rPr>
        <w:t>findings of Starlin, (2022), probiotic</w:t>
      </w:r>
      <w:r w:rsidRPr="00D42346">
        <w:rPr>
          <w:rFonts w:ascii="Arial" w:hAnsi="Arial" w:cs="Arial"/>
        </w:rPr>
        <w:t xml:space="preserve"> and vitamin supplementation demonstrated a substantial influence on the physiological and economic parameters of </w:t>
      </w:r>
      <w:r w:rsidRPr="00D42346">
        <w:rPr>
          <w:rFonts w:ascii="Arial" w:hAnsi="Arial" w:cs="Arial"/>
          <w:i/>
          <w:iCs/>
        </w:rPr>
        <w:t>Bombyx mori</w:t>
      </w:r>
      <w:r w:rsidRPr="00D42346">
        <w:rPr>
          <w:rFonts w:ascii="Arial" w:hAnsi="Arial" w:cs="Arial"/>
        </w:rPr>
        <w:t xml:space="preserve">. Administration of probiotics such as Sporlac, in varying concentrations (2%, 4%, and 6%), significantly elevated the levels of total proteins, lipids, and carbohydrates across multiple larval tissues, including the silk gland, fat body, muscles, and haemolymph. Notably, larvae treated with 4% probiotic concentration exhibited superior outcomes in terms of larval weight, cocoon weight, shell weight, filament length, and protein content when compared to the control group. However, at higher concentrations (6%), a decline in several parameters was observed, indicating the importance of dosage optimization for probiotic and vitamin supplementation in silkworm </w:t>
      </w:r>
      <w:r w:rsidRPr="007921A3">
        <w:rPr>
          <w:rFonts w:ascii="Arial" w:hAnsi="Arial" w:cs="Arial"/>
          <w:highlight w:val="yellow"/>
        </w:rPr>
        <w:t>rearing</w:t>
      </w:r>
      <w:r w:rsidR="007921A3" w:rsidRPr="007921A3">
        <w:rPr>
          <w:rFonts w:ascii="Arial" w:hAnsi="Arial" w:cs="Arial"/>
          <w:highlight w:val="yellow"/>
        </w:rPr>
        <w:t>.</w:t>
      </w:r>
      <w:r w:rsidRPr="007921A3">
        <w:rPr>
          <w:rFonts w:ascii="Arial" w:hAnsi="Arial" w:cs="Arial"/>
          <w:highlight w:val="yellow"/>
        </w:rPr>
        <w:t xml:space="preserve"> These enhancements</w:t>
      </w:r>
      <w:r w:rsidRPr="00D42346">
        <w:rPr>
          <w:rFonts w:ascii="Arial" w:hAnsi="Arial" w:cs="Arial"/>
        </w:rPr>
        <w:t xml:space="preserve"> indicate that specific concentrations of probiotics and vitamins can positively modulate metabolic activity and silk production, underlining their potential as functional dietary additives in sericulture. </w:t>
      </w:r>
    </w:p>
    <w:p w14:paraId="16D075EC" w14:textId="77777777" w:rsidR="00D42346" w:rsidRPr="00D42346" w:rsidRDefault="00D42346" w:rsidP="00712E68">
      <w:pPr>
        <w:pStyle w:val="Body"/>
        <w:rPr>
          <w:rFonts w:ascii="Arial" w:hAnsi="Arial" w:cs="Arial"/>
        </w:rPr>
      </w:pPr>
      <w:r w:rsidRPr="00D42346">
        <w:rPr>
          <w:rFonts w:ascii="Arial" w:hAnsi="Arial" w:cs="Arial"/>
        </w:rPr>
        <w:t xml:space="preserve">Enhancing silk productivity through microbial intervention has emerged as a promising strategy in sericulture. A study conducted on the silkworm hybrid </w:t>
      </w:r>
      <w:r w:rsidRPr="00D42346">
        <w:rPr>
          <w:rFonts w:ascii="Arial" w:hAnsi="Arial" w:cs="Arial"/>
          <w:i/>
          <w:iCs/>
        </w:rPr>
        <w:t>Bombyx mori</w:t>
      </w:r>
      <w:r w:rsidRPr="00D42346">
        <w:rPr>
          <w:rFonts w:ascii="Arial" w:hAnsi="Arial" w:cs="Arial"/>
        </w:rPr>
        <w:t xml:space="preserve"> (L × CSR2) revealed that dietary supplementation with select probiotic strains significantly improved larval biochemistry and cocoon quality. Six microbial treatments, including </w:t>
      </w:r>
      <w:r w:rsidRPr="00D42346">
        <w:rPr>
          <w:rFonts w:ascii="Arial" w:hAnsi="Arial" w:cs="Arial"/>
          <w:i/>
          <w:iCs/>
        </w:rPr>
        <w:t>Bacillus cereus</w:t>
      </w:r>
      <w:r w:rsidRPr="00D42346">
        <w:rPr>
          <w:rFonts w:ascii="Arial" w:hAnsi="Arial" w:cs="Arial"/>
        </w:rPr>
        <w:t xml:space="preserve">, </w:t>
      </w:r>
      <w:r w:rsidRPr="00D42346">
        <w:rPr>
          <w:rFonts w:ascii="Arial" w:hAnsi="Arial" w:cs="Arial"/>
          <w:i/>
          <w:iCs/>
        </w:rPr>
        <w:t>B. subtilis</w:t>
      </w:r>
      <w:r w:rsidRPr="00D42346">
        <w:rPr>
          <w:rFonts w:ascii="Arial" w:hAnsi="Arial" w:cs="Arial"/>
        </w:rPr>
        <w:t xml:space="preserve">, </w:t>
      </w:r>
      <w:r w:rsidRPr="00D42346">
        <w:rPr>
          <w:rFonts w:ascii="Arial" w:hAnsi="Arial" w:cs="Arial"/>
          <w:i/>
          <w:iCs/>
        </w:rPr>
        <w:t>B. amyloliquefaciens</w:t>
      </w:r>
      <w:r w:rsidRPr="00D42346">
        <w:rPr>
          <w:rFonts w:ascii="Arial" w:hAnsi="Arial" w:cs="Arial"/>
        </w:rPr>
        <w:t xml:space="preserve">, </w:t>
      </w:r>
      <w:r w:rsidRPr="00D42346">
        <w:rPr>
          <w:rFonts w:ascii="Arial" w:hAnsi="Arial" w:cs="Arial"/>
          <w:i/>
          <w:iCs/>
        </w:rPr>
        <w:t>Lactobacillus casei</w:t>
      </w:r>
      <w:r w:rsidRPr="00D42346">
        <w:rPr>
          <w:rFonts w:ascii="Arial" w:hAnsi="Arial" w:cs="Arial"/>
        </w:rPr>
        <w:t xml:space="preserve">, </w:t>
      </w:r>
      <w:r w:rsidRPr="00D42346">
        <w:rPr>
          <w:rFonts w:ascii="Arial" w:hAnsi="Arial" w:cs="Arial"/>
          <w:i/>
          <w:iCs/>
        </w:rPr>
        <w:t>L. plantarum</w:t>
      </w:r>
      <w:r w:rsidRPr="00D42346">
        <w:rPr>
          <w:rFonts w:ascii="Arial" w:hAnsi="Arial" w:cs="Arial"/>
        </w:rPr>
        <w:t xml:space="preserve">, and a mixed culture enriched with soy flour, were administered via mulberry leaf fortification from the third instar onward. Among these, </w:t>
      </w:r>
      <w:r w:rsidRPr="00D42346">
        <w:rPr>
          <w:rFonts w:ascii="Arial" w:hAnsi="Arial" w:cs="Arial"/>
          <w:i/>
          <w:iCs/>
        </w:rPr>
        <w:t>B. amyloliquefaciens</w:t>
      </w:r>
      <w:r w:rsidRPr="00D42346">
        <w:rPr>
          <w:rFonts w:ascii="Arial" w:hAnsi="Arial" w:cs="Arial"/>
        </w:rPr>
        <w:t xml:space="preserve">, </w:t>
      </w:r>
      <w:r w:rsidRPr="00D42346">
        <w:rPr>
          <w:rFonts w:ascii="Arial" w:hAnsi="Arial" w:cs="Arial"/>
          <w:i/>
          <w:iCs/>
        </w:rPr>
        <w:t>L. casei</w:t>
      </w:r>
      <w:r w:rsidRPr="00D42346">
        <w:rPr>
          <w:rFonts w:ascii="Arial" w:hAnsi="Arial" w:cs="Arial"/>
        </w:rPr>
        <w:t xml:space="preserve">, and the mixed probiotic diet notably increased silk gland protein concentration, alongside elevated carbohydrate and lipid levels in the larvae. The fibroin content was maximized in the </w:t>
      </w:r>
      <w:r w:rsidRPr="00D42346">
        <w:rPr>
          <w:rFonts w:ascii="Arial" w:hAnsi="Arial" w:cs="Arial"/>
          <w:i/>
          <w:iCs/>
        </w:rPr>
        <w:t>B. amyloliquefaciens</w:t>
      </w:r>
      <w:r w:rsidRPr="00D42346">
        <w:rPr>
          <w:rFonts w:ascii="Arial" w:hAnsi="Arial" w:cs="Arial"/>
        </w:rPr>
        <w:t xml:space="preserve"> fed group, which recorded a yield of 0.310 g. Additionally, SDS-PAGE analysis demonstrated enhanced polypeptide expression at 30 kDa and 80 kDa, suggesting improved silk protein synthesis. These results highlight the functional benefits of probiotic-enriched diets in promoting larval health and enhancing silk yield in commercial silkworm rearing </w:t>
      </w:r>
      <w:r w:rsidRPr="004E1C1D">
        <w:rPr>
          <w:rFonts w:ascii="Arial" w:hAnsi="Arial" w:cs="Arial"/>
        </w:rPr>
        <w:t xml:space="preserve">systems (Sekar </w:t>
      </w:r>
      <w:r w:rsidRPr="004E1C1D">
        <w:rPr>
          <w:rFonts w:ascii="Arial" w:hAnsi="Arial" w:cs="Arial"/>
          <w:i/>
        </w:rPr>
        <w:t>et al.,</w:t>
      </w:r>
      <w:r w:rsidRPr="004E1C1D">
        <w:rPr>
          <w:rFonts w:ascii="Arial" w:hAnsi="Arial" w:cs="Arial"/>
        </w:rPr>
        <w:t xml:space="preserve"> 2016).</w:t>
      </w:r>
    </w:p>
    <w:p w14:paraId="5648AA09" w14:textId="77777777" w:rsidR="00D42346" w:rsidRPr="00D42346" w:rsidRDefault="00D42346" w:rsidP="00712E68">
      <w:pPr>
        <w:pStyle w:val="Body"/>
        <w:rPr>
          <w:rFonts w:ascii="Arial" w:hAnsi="Arial" w:cs="Arial"/>
        </w:rPr>
      </w:pPr>
      <w:r w:rsidRPr="00D42346">
        <w:rPr>
          <w:rFonts w:ascii="Arial" w:hAnsi="Arial" w:cs="Arial"/>
        </w:rPr>
        <w:t xml:space="preserve">In an effort to improve the commercial traits of the silkworm </w:t>
      </w:r>
      <w:r w:rsidRPr="005740FA">
        <w:rPr>
          <w:rFonts w:ascii="Arial" w:hAnsi="Arial" w:cs="Arial"/>
          <w:i/>
          <w:iCs/>
        </w:rPr>
        <w:t>Bombyx mori</w:t>
      </w:r>
      <w:r w:rsidRPr="005740FA">
        <w:rPr>
          <w:rFonts w:ascii="Arial" w:hAnsi="Arial" w:cs="Arial"/>
        </w:rPr>
        <w:t xml:space="preserve">, Anisha </w:t>
      </w:r>
      <w:r w:rsidRPr="005740FA">
        <w:rPr>
          <w:rFonts w:ascii="Arial" w:hAnsi="Arial" w:cs="Arial"/>
          <w:i/>
        </w:rPr>
        <w:t>et al.,</w:t>
      </w:r>
      <w:r w:rsidRPr="005740FA">
        <w:rPr>
          <w:rFonts w:ascii="Arial" w:hAnsi="Arial" w:cs="Arial"/>
        </w:rPr>
        <w:t xml:space="preserve"> (2022) evaluated the impact of probiotic-supplemented diets using Normagut, a commercial probiotic formulation containing </w:t>
      </w:r>
      <w:r w:rsidRPr="005740FA">
        <w:rPr>
          <w:rFonts w:ascii="Arial" w:hAnsi="Arial" w:cs="Arial"/>
          <w:i/>
          <w:iCs/>
        </w:rPr>
        <w:t>Saccharomyces boulardii</w:t>
      </w:r>
      <w:r w:rsidRPr="005740FA">
        <w:rPr>
          <w:rFonts w:ascii="Arial" w:hAnsi="Arial" w:cs="Arial"/>
        </w:rPr>
        <w:t xml:space="preserve">. The experiment involved foliar application of </w:t>
      </w:r>
      <w:r w:rsidRPr="005740FA">
        <w:rPr>
          <w:rFonts w:ascii="Arial" w:hAnsi="Arial" w:cs="Arial"/>
        </w:rPr>
        <w:lastRenderedPageBreak/>
        <w:t>Normagut at 1%, 2%, and 3% concentrations on mulberry leaves, which were then fed to larvae from the third instar onward. Remarkably, the 2% treatment yielded the most significant results. Biochemical analysis revealed elevated levels of fat body protein (31.18 µg/mg), glycogen (20.21 µg/mg), and lipid (255.31 µg/mg).</w:t>
      </w:r>
      <w:r w:rsidRPr="00D42346">
        <w:rPr>
          <w:rFonts w:ascii="Arial" w:hAnsi="Arial" w:cs="Arial"/>
        </w:rPr>
        <w:t xml:space="preserve"> Similarly, haemolymph analysis showed enhanced protein (58.12 µg/ml), trehalose (365.06 µg/ml), and lipid (41.06 µg/ml) content. In the silk gland, free amino acids (34.32 µg/ml), protein (64.43 µg/mg), and lipid (15.27 µg/mg) were maximally expressed under the 2% probiotic regime. Corresponding economic traits such as larval weight (3869.23 mg), cocoon weight (2231.36 mg), shell weight (463.13 mg), shell ratio (21.72%), and filament length (912.24 m) also demonstrated notable improvement. These results clearly demonstrate that probiotic supplementation, particularly at 2% concentration, substantially enhances both physiological and commercial parameters in </w:t>
      </w:r>
      <w:r w:rsidRPr="00D42346">
        <w:rPr>
          <w:rFonts w:ascii="Arial" w:hAnsi="Arial" w:cs="Arial"/>
          <w:i/>
          <w:iCs/>
        </w:rPr>
        <w:t>B. mori</w:t>
      </w:r>
      <w:r w:rsidRPr="00D42346">
        <w:rPr>
          <w:rFonts w:ascii="Arial" w:hAnsi="Arial" w:cs="Arial"/>
        </w:rPr>
        <w:t>, indicating its potential application in sericulture productivity enhancement.</w:t>
      </w:r>
    </w:p>
    <w:p w14:paraId="3CB00A2A" w14:textId="77777777" w:rsidR="00D42346" w:rsidRPr="00D42346" w:rsidRDefault="00D42346" w:rsidP="00712E68">
      <w:pPr>
        <w:pStyle w:val="Body"/>
        <w:rPr>
          <w:rFonts w:ascii="Arial" w:hAnsi="Arial" w:cs="Arial"/>
        </w:rPr>
      </w:pPr>
      <w:r w:rsidRPr="00D42346">
        <w:rPr>
          <w:rFonts w:ascii="Arial" w:hAnsi="Arial" w:cs="Arial"/>
        </w:rPr>
        <w:t xml:space="preserve">Fortification of mulberry leaves with probiotic strains significantly enhanced the biological performance and commercial traits of the bivoltine double hybrid silkworm (CSR6 × CSR26) × (CSR2 × CSR27). Among the treatments, supplementation with </w:t>
      </w:r>
      <w:r w:rsidRPr="00D42346">
        <w:rPr>
          <w:rFonts w:ascii="Arial" w:hAnsi="Arial" w:cs="Arial"/>
          <w:i/>
          <w:iCs/>
        </w:rPr>
        <w:t>Staphylococcus gallinarum</w:t>
      </w:r>
      <w:r w:rsidRPr="00D42346">
        <w:rPr>
          <w:rFonts w:ascii="Arial" w:hAnsi="Arial" w:cs="Arial"/>
        </w:rPr>
        <w:t xml:space="preserve"> strain SWGB 7 at a concentration of 10⁸ cfu/ml resulted in the highest improvements across multiple parameters, including larval weight (4.12 g), effective rate of rearing (96.36%), cocoon weight (1.97 g), shell weight (0.37 g), pupal weight (1.60 g), shell ratio (18.78%), silk productivity (4.81 g), filament </w:t>
      </w:r>
      <w:r w:rsidRPr="005740FA">
        <w:rPr>
          <w:rFonts w:ascii="Arial" w:hAnsi="Arial" w:cs="Arial"/>
        </w:rPr>
        <w:t xml:space="preserve">length (1170.84 m), filament weight (0.31 g), and a finer denier of 2.38. Moreover, larval mortality was reduced to 3.64%, indicating enhanced disease resistance. These findings demonstrate the beneficial role of probiotic supplementation in improving overall silkworm performance and silk yield. (Saranya </w:t>
      </w:r>
      <w:r w:rsidRPr="005740FA">
        <w:rPr>
          <w:rFonts w:ascii="Arial" w:hAnsi="Arial" w:cs="Arial"/>
          <w:i/>
        </w:rPr>
        <w:t>et al.,</w:t>
      </w:r>
      <w:r w:rsidRPr="005740FA">
        <w:rPr>
          <w:rFonts w:ascii="Arial" w:hAnsi="Arial" w:cs="Arial"/>
        </w:rPr>
        <w:t xml:space="preserve"> 2019).</w:t>
      </w:r>
    </w:p>
    <w:p w14:paraId="4882C081" w14:textId="77777777" w:rsidR="00D42346" w:rsidRPr="00D42346" w:rsidRDefault="00D42346" w:rsidP="00712E68">
      <w:pPr>
        <w:pStyle w:val="Body"/>
        <w:rPr>
          <w:rFonts w:ascii="Arial" w:hAnsi="Arial" w:cs="Arial"/>
        </w:rPr>
      </w:pPr>
      <w:r w:rsidRPr="00D42346">
        <w:rPr>
          <w:rFonts w:ascii="Arial" w:hAnsi="Arial" w:cs="Arial"/>
        </w:rPr>
        <w:t xml:space="preserve">The influence of </w:t>
      </w:r>
      <w:r w:rsidRPr="00D42346">
        <w:rPr>
          <w:rFonts w:ascii="Arial" w:hAnsi="Arial" w:cs="Arial"/>
          <w:i/>
          <w:iCs/>
        </w:rPr>
        <w:t>Lactobacillus acidophilus</w:t>
      </w:r>
      <w:r w:rsidRPr="00D42346">
        <w:rPr>
          <w:rFonts w:ascii="Arial" w:hAnsi="Arial" w:cs="Arial"/>
        </w:rPr>
        <w:t xml:space="preserve"> on the growth performance of two Thai silkworm strains, Nang Lai and Nang Lai × 108, demonstrated notable enhancements in biological and economic traits when administered through probiotic-enriched mulberry leaves. In the study, </w:t>
      </w:r>
      <w:r w:rsidRPr="00D42346">
        <w:rPr>
          <w:rFonts w:ascii="Arial" w:hAnsi="Arial" w:cs="Arial"/>
          <w:i/>
          <w:iCs/>
        </w:rPr>
        <w:t>L. acidophilus</w:t>
      </w:r>
      <w:r w:rsidRPr="00D42346">
        <w:rPr>
          <w:rFonts w:ascii="Arial" w:hAnsi="Arial" w:cs="Arial"/>
        </w:rPr>
        <w:t xml:space="preserve"> was applied at a concentration of 10⁸ cells/mL to leaves fed to larvae from the second to fifth instars. For Nang Lai, probiotic treatment resulted in a higher survival rate (92.66 ± 1.52%) compared to the control (84 ± 1.00%), along with improved larval weight in the fifth instar (1.26 ± 0.05 g vs. 1.18 ± 0.05 g), pupation ratio (91 ± 1.00% vs. 82.33 ± 1.52%), cocooning ratio (91.33 ± 1.52% vs. 85 ± 1.00%), cocoon weight (1.08 ± 0.09 g vs. 0.94 ± 0.07 g), and cocoon shell ratio (14.95 ± 0.06% vs. 12.78 ± 0.15%). Similarly, Nang Lai × 108 exhibited a survival rate of 91 ± 1.73% versus 80.33 ± 0.58% in the control, with significant improvements in larval weight (1.70 ± 0.09 g vs. 1.53 ± 0.05 g), pupation (90.33 ± 1.52% vs. 83 ± 1.00%), cocooning ratio (90.33 ± 0.57% vs. 81 ± 1.00%), cocoon weight (1.18 ± 0.01 g vs. 1.15 ± 0.00 g), and shell ratio (16.67 ± 0.51% vs. 16.01 ± 0.62%). These findings affirm the beneficial role of </w:t>
      </w:r>
      <w:r w:rsidRPr="00D42346">
        <w:rPr>
          <w:rFonts w:ascii="Arial" w:hAnsi="Arial" w:cs="Arial"/>
          <w:i/>
          <w:iCs/>
        </w:rPr>
        <w:t>L. acidophilus</w:t>
      </w:r>
      <w:r w:rsidRPr="00D42346">
        <w:rPr>
          <w:rFonts w:ascii="Arial" w:hAnsi="Arial" w:cs="Arial"/>
        </w:rPr>
        <w:t xml:space="preserve"> in promoting silkworm health, growth, and silk productivity through improved physiological effici</w:t>
      </w:r>
      <w:r w:rsidR="005740FA">
        <w:rPr>
          <w:rFonts w:ascii="Arial" w:hAnsi="Arial" w:cs="Arial"/>
        </w:rPr>
        <w:t xml:space="preserve">ency and nutrient </w:t>
      </w:r>
      <w:r w:rsidR="005740FA" w:rsidRPr="005740FA">
        <w:rPr>
          <w:rFonts w:ascii="Arial" w:hAnsi="Arial" w:cs="Arial"/>
        </w:rPr>
        <w:t xml:space="preserve">assimilation </w:t>
      </w:r>
      <w:r w:rsidRPr="005740FA">
        <w:rPr>
          <w:rFonts w:ascii="Arial" w:hAnsi="Arial" w:cs="Arial"/>
        </w:rPr>
        <w:t xml:space="preserve">(Suraporn </w:t>
      </w:r>
      <w:r w:rsidRPr="005740FA">
        <w:rPr>
          <w:rFonts w:ascii="Arial" w:hAnsi="Arial" w:cs="Arial"/>
          <w:i/>
        </w:rPr>
        <w:t>et al.,</w:t>
      </w:r>
      <w:r w:rsidRPr="005740FA">
        <w:rPr>
          <w:rFonts w:ascii="Arial" w:hAnsi="Arial" w:cs="Arial"/>
        </w:rPr>
        <w:t xml:space="preserve"> 2015).</w:t>
      </w:r>
    </w:p>
    <w:p w14:paraId="5B1FE722" w14:textId="77777777" w:rsidR="00D42346" w:rsidRPr="00D42346" w:rsidRDefault="00D42346" w:rsidP="00712E68">
      <w:pPr>
        <w:pStyle w:val="Body"/>
        <w:rPr>
          <w:rFonts w:ascii="Arial" w:hAnsi="Arial" w:cs="Arial"/>
        </w:rPr>
      </w:pPr>
      <w:r w:rsidRPr="00D42346">
        <w:rPr>
          <w:rFonts w:ascii="Arial" w:hAnsi="Arial" w:cs="Arial"/>
        </w:rPr>
        <w:t xml:space="preserve">A substantial enhancement in the enzymatic activity and economic performance of double hybrid silkworms was observed following dietary supplementation with selected probiotic strains. Among the tested probiotics </w:t>
      </w:r>
      <w:r w:rsidRPr="00D42346">
        <w:rPr>
          <w:rFonts w:ascii="Arial" w:hAnsi="Arial" w:cs="Arial"/>
          <w:i/>
        </w:rPr>
        <w:t>Lactobacillus rhamnosus</w:t>
      </w:r>
      <w:r w:rsidRPr="00D42346">
        <w:rPr>
          <w:rFonts w:ascii="Arial" w:hAnsi="Arial" w:cs="Arial"/>
        </w:rPr>
        <w:t xml:space="preserve">, </w:t>
      </w:r>
      <w:r w:rsidRPr="00D42346">
        <w:rPr>
          <w:rFonts w:ascii="Arial" w:hAnsi="Arial" w:cs="Arial"/>
          <w:i/>
        </w:rPr>
        <w:t>Saccharomyces boulardii</w:t>
      </w:r>
      <w:r w:rsidRPr="00D42346">
        <w:rPr>
          <w:rFonts w:ascii="Arial" w:hAnsi="Arial" w:cs="Arial"/>
        </w:rPr>
        <w:t xml:space="preserve">, and </w:t>
      </w:r>
      <w:r w:rsidRPr="00D42346">
        <w:rPr>
          <w:rFonts w:ascii="Arial" w:hAnsi="Arial" w:cs="Arial"/>
          <w:i/>
        </w:rPr>
        <w:t>Bifidobacterium longum</w:t>
      </w:r>
      <w:r w:rsidRPr="00D42346">
        <w:rPr>
          <w:rFonts w:ascii="Arial" w:hAnsi="Arial" w:cs="Arial"/>
        </w:rPr>
        <w:t xml:space="preserve"> feeding silkworm larvae with 3% </w:t>
      </w:r>
      <w:r w:rsidRPr="00D42346">
        <w:rPr>
          <w:rFonts w:ascii="Arial" w:hAnsi="Arial" w:cs="Arial"/>
          <w:i/>
        </w:rPr>
        <w:t>B. longum</w:t>
      </w:r>
      <w:r w:rsidRPr="00D42346">
        <w:rPr>
          <w:rFonts w:ascii="Arial" w:hAnsi="Arial" w:cs="Arial"/>
        </w:rPr>
        <w:t xml:space="preserve"> significantly elevated amylase (67.89 mg/g) and invertase (42.73 mg/g) activities compared to control values (23.63 mg/g and 22.34 mg/g, respectively). Additionally, supplementation with 3% </w:t>
      </w:r>
      <w:r w:rsidRPr="00D42346">
        <w:rPr>
          <w:rFonts w:ascii="Arial" w:hAnsi="Arial" w:cs="Arial"/>
          <w:i/>
        </w:rPr>
        <w:t>B. longum</w:t>
      </w:r>
      <w:r w:rsidRPr="00D42346">
        <w:rPr>
          <w:rFonts w:ascii="Arial" w:hAnsi="Arial" w:cs="Arial"/>
        </w:rPr>
        <w:t xml:space="preserve"> led to the highest improvements in key commercial traits: cocoon weight (1.88 g), pupal weight (1.25 g), shell weight (0.33 g), and shell ratio (26.40%), exceeding the control group's respective values of 1.46 g, 1.12 g, 0.26 g, and 23.21%. Similar enhancements were observed for </w:t>
      </w:r>
      <w:r w:rsidRPr="00D42346">
        <w:rPr>
          <w:rFonts w:ascii="Arial" w:hAnsi="Arial" w:cs="Arial"/>
          <w:i/>
        </w:rPr>
        <w:t>L. rhamnosus</w:t>
      </w:r>
      <w:r w:rsidRPr="00D42346">
        <w:rPr>
          <w:rFonts w:ascii="Arial" w:hAnsi="Arial" w:cs="Arial"/>
        </w:rPr>
        <w:t xml:space="preserve"> and </w:t>
      </w:r>
      <w:r w:rsidRPr="00D42346">
        <w:rPr>
          <w:rFonts w:ascii="Arial" w:hAnsi="Arial" w:cs="Arial"/>
          <w:i/>
        </w:rPr>
        <w:t>S. boulardii</w:t>
      </w:r>
      <w:r w:rsidRPr="00D42346">
        <w:rPr>
          <w:rFonts w:ascii="Arial" w:hAnsi="Arial" w:cs="Arial"/>
        </w:rPr>
        <w:t xml:space="preserve">, although to a lesser extent. These findings suggest that probiotic-enriched mulberry leaves can significantly boost silk yield and larval vigor by modulating gut enzymatic profiles and nutrient utilization efficiency, thus providing a promising biological tool in sericulture </w:t>
      </w:r>
      <w:r w:rsidRPr="005740FA">
        <w:rPr>
          <w:rFonts w:ascii="Arial" w:hAnsi="Arial" w:cs="Arial"/>
        </w:rPr>
        <w:t>enhancement strategies (</w:t>
      </w:r>
      <w:r w:rsidR="005740FA" w:rsidRPr="005740FA">
        <w:rPr>
          <w:rFonts w:ascii="Arial" w:hAnsi="Arial" w:cs="Arial"/>
        </w:rPr>
        <w:t xml:space="preserve">Pachiappan </w:t>
      </w:r>
      <w:r w:rsidR="005740FA" w:rsidRPr="005740FA">
        <w:rPr>
          <w:rFonts w:ascii="Arial" w:hAnsi="Arial" w:cs="Arial"/>
          <w:i/>
        </w:rPr>
        <w:t>et al.,</w:t>
      </w:r>
      <w:r w:rsidR="005740FA" w:rsidRPr="005740FA">
        <w:rPr>
          <w:rFonts w:ascii="Arial" w:hAnsi="Arial" w:cs="Arial"/>
        </w:rPr>
        <w:t xml:space="preserve"> 2021</w:t>
      </w:r>
      <w:r w:rsidRPr="005740FA">
        <w:rPr>
          <w:rFonts w:ascii="Arial" w:hAnsi="Arial" w:cs="Arial"/>
        </w:rPr>
        <w:t>).</w:t>
      </w:r>
    </w:p>
    <w:p w14:paraId="71F2EE1F" w14:textId="77777777" w:rsidR="00D42346" w:rsidRPr="005740FA" w:rsidRDefault="00D42346" w:rsidP="00712E68">
      <w:pPr>
        <w:pStyle w:val="Body"/>
        <w:rPr>
          <w:rFonts w:ascii="Arial" w:hAnsi="Arial" w:cs="Arial"/>
        </w:rPr>
      </w:pPr>
      <w:r w:rsidRPr="00D42346">
        <w:rPr>
          <w:rFonts w:ascii="Arial" w:hAnsi="Arial" w:cs="Arial"/>
        </w:rPr>
        <w:lastRenderedPageBreak/>
        <w:t xml:space="preserve">In addition to enhancing growth and silk productivity, probiotics have also shown promise in bolstering the immune defense mechanisms of silkworms. Notably, </w:t>
      </w:r>
      <w:r w:rsidRPr="00D42346">
        <w:rPr>
          <w:rFonts w:ascii="Arial" w:hAnsi="Arial" w:cs="Arial"/>
          <w:i/>
          <w:iCs/>
        </w:rPr>
        <w:t>Francisella tularensis</w:t>
      </w:r>
      <w:r w:rsidRPr="00D42346">
        <w:rPr>
          <w:rFonts w:ascii="Arial" w:hAnsi="Arial" w:cs="Arial"/>
        </w:rPr>
        <w:t xml:space="preserve"> established a symbiotic relationship with silkworms, where its presence in the hemolymph influenced host immunity. Following colonization, typical immune responses such as melanization and nodulation were suppressed. However, pre-inoculation with </w:t>
      </w:r>
      <w:r w:rsidRPr="00D42346">
        <w:rPr>
          <w:rFonts w:ascii="Arial" w:hAnsi="Arial" w:cs="Arial"/>
          <w:i/>
          <w:iCs/>
        </w:rPr>
        <w:t>F. tularensis</w:t>
      </w:r>
      <w:r w:rsidRPr="00D42346">
        <w:rPr>
          <w:rFonts w:ascii="Arial" w:hAnsi="Arial" w:cs="Arial"/>
        </w:rPr>
        <w:t xml:space="preserve"> significantly upregulated the expression of antimicrobial peptides, thereby improving resistance against subsequent infections by pathogenic bacteria. These findings suggest that probiotic symbionts not only contribute to silkworm development but can also play a pivotal </w:t>
      </w:r>
      <w:r w:rsidRPr="005740FA">
        <w:rPr>
          <w:rFonts w:ascii="Arial" w:hAnsi="Arial" w:cs="Arial"/>
        </w:rPr>
        <w:t xml:space="preserve">role in disease resistance, offering potential advantages for sericultural health management (Suzuki </w:t>
      </w:r>
      <w:r w:rsidRPr="005740FA">
        <w:rPr>
          <w:rFonts w:ascii="Arial" w:hAnsi="Arial" w:cs="Arial"/>
          <w:i/>
        </w:rPr>
        <w:t>et al.,</w:t>
      </w:r>
      <w:r w:rsidRPr="005740FA">
        <w:rPr>
          <w:rFonts w:ascii="Arial" w:hAnsi="Arial" w:cs="Arial"/>
        </w:rPr>
        <w:t xml:space="preserve"> 2016).</w:t>
      </w:r>
    </w:p>
    <w:p w14:paraId="0FA61540" w14:textId="77777777" w:rsidR="00D42346" w:rsidRPr="00D42346" w:rsidRDefault="00D42346" w:rsidP="00712E68">
      <w:pPr>
        <w:pStyle w:val="Body"/>
        <w:rPr>
          <w:rFonts w:ascii="Arial" w:hAnsi="Arial" w:cs="Arial"/>
        </w:rPr>
      </w:pPr>
      <w:r w:rsidRPr="005740FA">
        <w:rPr>
          <w:rFonts w:ascii="Arial" w:hAnsi="Arial" w:cs="Arial"/>
        </w:rPr>
        <w:t xml:space="preserve">Suraporn and Terenius (2021) studied the protective effects of </w:t>
      </w:r>
      <w:r w:rsidRPr="005740FA">
        <w:rPr>
          <w:rFonts w:ascii="Arial" w:hAnsi="Arial" w:cs="Arial"/>
          <w:i/>
          <w:iCs/>
        </w:rPr>
        <w:t>Lactobacillus casei</w:t>
      </w:r>
      <w:r w:rsidRPr="005740FA">
        <w:rPr>
          <w:rFonts w:ascii="Arial" w:hAnsi="Arial" w:cs="Arial"/>
        </w:rPr>
        <w:t xml:space="preserve"> supplementation against </w:t>
      </w:r>
      <w:r w:rsidRPr="005740FA">
        <w:rPr>
          <w:rFonts w:ascii="Arial" w:hAnsi="Arial" w:cs="Arial"/>
          <w:i/>
          <w:iCs/>
        </w:rPr>
        <w:t>Nosema bombycis</w:t>
      </w:r>
      <w:r w:rsidRPr="00D42346">
        <w:rPr>
          <w:rFonts w:ascii="Arial" w:hAnsi="Arial" w:cs="Arial"/>
        </w:rPr>
        <w:t xml:space="preserve"> infection in Thai polyvoltine silkworm strains. Their findings revealed that administering </w:t>
      </w:r>
      <w:r w:rsidRPr="00D42346">
        <w:rPr>
          <w:rFonts w:ascii="Arial" w:hAnsi="Arial" w:cs="Arial"/>
          <w:i/>
          <w:iCs/>
        </w:rPr>
        <w:t>L. casei</w:t>
      </w:r>
      <w:r w:rsidRPr="00D42346">
        <w:rPr>
          <w:rFonts w:ascii="Arial" w:hAnsi="Arial" w:cs="Arial"/>
        </w:rPr>
        <w:t xml:space="preserve"> at a concentration of 10⁸ cells/mL significantly improved disease resistance, with larval survival increasing to 91% compared to 68% in the infected control group. Additionally, they observed enhanced larval weight during the fifth instar (2.70 ± 0.96 g), higher pupation ratio (95%), cocoon weight (1.33 ± 0.33 g), and shell weight (0.23 ± 0.33 g). These improvements were linked to enhanced gut health, strengthened immunity, and competitive inhibition of the pathogen, suggesting that </w:t>
      </w:r>
      <w:r w:rsidRPr="00D42346">
        <w:rPr>
          <w:rFonts w:ascii="Arial" w:hAnsi="Arial" w:cs="Arial"/>
          <w:i/>
          <w:iCs/>
        </w:rPr>
        <w:t>L. casei</w:t>
      </w:r>
      <w:r w:rsidRPr="00D42346">
        <w:rPr>
          <w:rFonts w:ascii="Arial" w:hAnsi="Arial" w:cs="Arial"/>
        </w:rPr>
        <w:t xml:space="preserve"> could serve as an effective probiotic intervention for disease management in silkworms.</w:t>
      </w:r>
    </w:p>
    <w:p w14:paraId="7189E0A2" w14:textId="77777777" w:rsidR="00D42346" w:rsidRPr="00D42346" w:rsidRDefault="00D42346" w:rsidP="00712E68">
      <w:pPr>
        <w:spacing w:after="240"/>
        <w:jc w:val="both"/>
      </w:pPr>
      <w:r w:rsidRPr="005740FA">
        <w:rPr>
          <w:rFonts w:ascii="Arial" w:hAnsi="Arial" w:cs="Arial"/>
        </w:rPr>
        <w:t xml:space="preserve">Attia </w:t>
      </w:r>
      <w:r w:rsidRPr="005740FA">
        <w:rPr>
          <w:rFonts w:ascii="Arial" w:hAnsi="Arial" w:cs="Arial"/>
          <w:i/>
        </w:rPr>
        <w:t>et al.,</w:t>
      </w:r>
      <w:r w:rsidRPr="005740FA">
        <w:rPr>
          <w:rFonts w:ascii="Arial" w:hAnsi="Arial" w:cs="Arial"/>
        </w:rPr>
        <w:t xml:space="preserve"> (2025)</w:t>
      </w:r>
      <w:r w:rsidRPr="005740FA">
        <w:t> demonstrated</w:t>
      </w:r>
      <w:r w:rsidRPr="00D42346">
        <w:t xml:space="preserve"> that supplementing </w:t>
      </w:r>
      <w:r w:rsidRPr="00D42346">
        <w:rPr>
          <w:i/>
          <w:iCs/>
        </w:rPr>
        <w:t>Bombyx mori</w:t>
      </w:r>
      <w:r w:rsidRPr="00D42346">
        <w:t> larval diets with </w:t>
      </w:r>
      <w:r w:rsidRPr="00D42346">
        <w:rPr>
          <w:i/>
          <w:iCs/>
        </w:rPr>
        <w:t>Lactobacillus acidophilus</w:t>
      </w:r>
      <w:r w:rsidRPr="00D42346">
        <w:t>, </w:t>
      </w:r>
      <w:r w:rsidRPr="00D42346">
        <w:rPr>
          <w:i/>
          <w:iCs/>
        </w:rPr>
        <w:t>L. casei</w:t>
      </w:r>
      <w:r w:rsidRPr="00D42346">
        <w:t>, or </w:t>
      </w:r>
      <w:r w:rsidRPr="00D42346">
        <w:rPr>
          <w:i/>
          <w:iCs/>
        </w:rPr>
        <w:t>L. delbrueckii</w:t>
      </w:r>
      <w:r w:rsidRPr="00D42346">
        <w:t> (10⁶–10⁸ CFU/ml) from the late 3rd instar significantly enhanced growth and disease resistance. Their findings revealed that </w:t>
      </w:r>
      <w:r w:rsidRPr="00D42346">
        <w:rPr>
          <w:i/>
          <w:iCs/>
        </w:rPr>
        <w:t>L. acidophilus</w:t>
      </w:r>
      <w:r w:rsidRPr="00D42346">
        <w:t> at 10⁸ CFU/ml optimized larval weight (2.28 g) and growth rate (312%) while reducing mortality (3.33–13.48%) compared to untreated groups. Scanning electron microscopy confirmed probiotic colonization in the foregut, with bacterial adhesion mediated by biofilaments. Histochemical analyses further showed elevated fibroin and sericin production in silk glands, particularly in </w:t>
      </w:r>
      <w:r w:rsidRPr="00D42346">
        <w:rPr>
          <w:i/>
          <w:iCs/>
        </w:rPr>
        <w:t>L. acidophilus</w:t>
      </w:r>
      <w:r w:rsidRPr="00D42346">
        <w:t>-treated larvae, alongside improved resistance to flacherie disease. The study underscores the potential of </w:t>
      </w:r>
      <w:r w:rsidRPr="00D42346">
        <w:rPr>
          <w:i/>
          <w:iCs/>
        </w:rPr>
        <w:t>Lactobacillus</w:t>
      </w:r>
      <w:r w:rsidRPr="00D42346">
        <w:t> probiotics as a sustainable approach to enhance sericulture productivity by modulating gut microbiota, nutrient absorption, and immune responses under climatic stressors.</w:t>
      </w:r>
    </w:p>
    <w:p w14:paraId="517BA362" w14:textId="77777777" w:rsidR="00D42346" w:rsidRPr="00D42346" w:rsidRDefault="00D42346" w:rsidP="00712E68">
      <w:pPr>
        <w:pStyle w:val="Body"/>
        <w:rPr>
          <w:rFonts w:ascii="Arial" w:hAnsi="Arial" w:cs="Arial"/>
        </w:rPr>
      </w:pPr>
      <w:r w:rsidRPr="005740FA">
        <w:rPr>
          <w:rFonts w:ascii="Arial" w:hAnsi="Arial" w:cs="Arial"/>
        </w:rPr>
        <w:t xml:space="preserve">Mohanraj </w:t>
      </w:r>
      <w:r w:rsidRPr="005740FA">
        <w:rPr>
          <w:rFonts w:ascii="Arial" w:hAnsi="Arial" w:cs="Arial"/>
          <w:i/>
        </w:rPr>
        <w:t>et al.,</w:t>
      </w:r>
      <w:r w:rsidRPr="005740FA">
        <w:rPr>
          <w:rFonts w:ascii="Arial" w:hAnsi="Arial" w:cs="Arial"/>
        </w:rPr>
        <w:t xml:space="preserve"> (2016) evaluated</w:t>
      </w:r>
      <w:r w:rsidRPr="00D42346">
        <w:rPr>
          <w:rFonts w:ascii="Arial" w:hAnsi="Arial" w:cs="Arial"/>
        </w:rPr>
        <w:t xml:space="preserve"> how probiotic and botanical supplements influence the growth and cocoon quality of </w:t>
      </w:r>
      <w:r w:rsidRPr="00D42346">
        <w:rPr>
          <w:rFonts w:ascii="Arial" w:hAnsi="Arial" w:cs="Arial"/>
          <w:i/>
          <w:iCs/>
        </w:rPr>
        <w:t>Bombyx mori</w:t>
      </w:r>
      <w:r w:rsidRPr="00D42346">
        <w:rPr>
          <w:rFonts w:ascii="Arial" w:hAnsi="Arial" w:cs="Arial"/>
        </w:rPr>
        <w:t xml:space="preserve">, using different treatments on two silkworm races-Pure Mysore (PM) and CSR2. They compared the effects of </w:t>
      </w:r>
      <w:r w:rsidRPr="00D42346">
        <w:rPr>
          <w:rFonts w:ascii="Arial" w:hAnsi="Arial" w:cs="Arial"/>
          <w:i/>
          <w:iCs/>
        </w:rPr>
        <w:t>Lactobacillus</w:t>
      </w:r>
      <w:r w:rsidRPr="00D42346">
        <w:rPr>
          <w:rFonts w:ascii="Arial" w:hAnsi="Arial" w:cs="Arial"/>
        </w:rPr>
        <w:t xml:space="preserve"> spp. (10⁶ CFU/mL), a combination of </w:t>
      </w:r>
      <w:r w:rsidRPr="00D42346">
        <w:rPr>
          <w:rFonts w:ascii="Arial" w:hAnsi="Arial" w:cs="Arial"/>
          <w:i/>
          <w:iCs/>
        </w:rPr>
        <w:t>Lactobacillus</w:t>
      </w:r>
      <w:r w:rsidRPr="00D42346">
        <w:rPr>
          <w:rFonts w:ascii="Arial" w:hAnsi="Arial" w:cs="Arial"/>
        </w:rPr>
        <w:t xml:space="preserve"> with </w:t>
      </w:r>
      <w:r w:rsidRPr="00D42346">
        <w:rPr>
          <w:rFonts w:ascii="Arial" w:hAnsi="Arial" w:cs="Arial"/>
          <w:i/>
          <w:iCs/>
        </w:rPr>
        <w:t>Psoralea corylifolia</w:t>
      </w:r>
      <w:r w:rsidRPr="00D42346">
        <w:rPr>
          <w:rFonts w:ascii="Arial" w:hAnsi="Arial" w:cs="Arial"/>
        </w:rPr>
        <w:t xml:space="preserve"> (2%), and a native mix of </w:t>
      </w:r>
      <w:r w:rsidRPr="00D42346">
        <w:rPr>
          <w:rFonts w:ascii="Arial" w:hAnsi="Arial" w:cs="Arial"/>
          <w:i/>
          <w:iCs/>
        </w:rPr>
        <w:t>Bacillus subtilis</w:t>
      </w:r>
      <w:r w:rsidRPr="00D42346">
        <w:rPr>
          <w:rFonts w:ascii="Arial" w:hAnsi="Arial" w:cs="Arial"/>
        </w:rPr>
        <w:t xml:space="preserve"> and </w:t>
      </w:r>
      <w:r w:rsidRPr="00D42346">
        <w:rPr>
          <w:rFonts w:ascii="Arial" w:hAnsi="Arial" w:cs="Arial"/>
          <w:i/>
          <w:iCs/>
        </w:rPr>
        <w:t>B. tequilensis</w:t>
      </w:r>
      <w:r w:rsidRPr="00D42346">
        <w:rPr>
          <w:rFonts w:ascii="Arial" w:hAnsi="Arial" w:cs="Arial"/>
        </w:rPr>
        <w:t xml:space="preserve"> (10⁶ CFU/mL). Among these, the combination of </w:t>
      </w:r>
      <w:r w:rsidRPr="00D42346">
        <w:rPr>
          <w:rFonts w:ascii="Arial" w:hAnsi="Arial" w:cs="Arial"/>
          <w:i/>
          <w:iCs/>
        </w:rPr>
        <w:t>Lactobacillus</w:t>
      </w:r>
      <w:r w:rsidRPr="00D42346">
        <w:rPr>
          <w:rFonts w:ascii="Arial" w:hAnsi="Arial" w:cs="Arial"/>
        </w:rPr>
        <w:t xml:space="preserve"> with </w:t>
      </w:r>
      <w:r w:rsidRPr="00D42346">
        <w:rPr>
          <w:rFonts w:ascii="Arial" w:hAnsi="Arial" w:cs="Arial"/>
          <w:i/>
          <w:iCs/>
        </w:rPr>
        <w:t>P. corylifolia</w:t>
      </w:r>
      <w:r w:rsidRPr="00D42346">
        <w:rPr>
          <w:rFonts w:ascii="Arial" w:hAnsi="Arial" w:cs="Arial"/>
        </w:rPr>
        <w:t xml:space="preserve"> produced the most significant improvements. In CSR2, larval weight increased by 18.94% (4.17 g vs. 3.38 g in control), and shell ratio improved by 19.23% (26.63%). Similarly, in PM, larval weight rose by 14.52% (3.1 g vs. 2.65 g), and shell ratio by 14.37% (24.36%). </w:t>
      </w:r>
      <w:r w:rsidRPr="00D42346">
        <w:rPr>
          <w:rFonts w:ascii="Arial" w:hAnsi="Arial" w:cs="Arial"/>
          <w:i/>
          <w:iCs/>
        </w:rPr>
        <w:t>Lactobacillus</w:t>
      </w:r>
      <w:r w:rsidRPr="00D42346">
        <w:rPr>
          <w:rFonts w:ascii="Arial" w:hAnsi="Arial" w:cs="Arial"/>
        </w:rPr>
        <w:t xml:space="preserve"> alone also showed a positive effect, enhancing CSR2 cocoon weight by 10.23% and shell weight by 22.73%. The </w:t>
      </w:r>
      <w:r w:rsidRPr="00D42346">
        <w:rPr>
          <w:rFonts w:ascii="Arial" w:hAnsi="Arial" w:cs="Arial"/>
          <w:i/>
          <w:iCs/>
        </w:rPr>
        <w:t>Bacillus</w:t>
      </w:r>
      <w:r w:rsidRPr="00D42346">
        <w:rPr>
          <w:rFonts w:ascii="Arial" w:hAnsi="Arial" w:cs="Arial"/>
        </w:rPr>
        <w:t xml:space="preserve">-based treatment yielded moderate benefits, including a 13.11% increase in larval weight for CSR2. These improvements were linked to better gut microbial balance, higher nutrient assimilation, and enhanced digestive enzyme activity, indicating that combining probiotics with botanicals can effectively boost silkworm growth and silk production. </w:t>
      </w:r>
    </w:p>
    <w:p w14:paraId="0F37BC3F" w14:textId="77777777" w:rsidR="00D42346" w:rsidRPr="00D42346" w:rsidRDefault="00D42346" w:rsidP="00D42346">
      <w:pPr>
        <w:pStyle w:val="Body"/>
        <w:spacing w:after="0"/>
        <w:rPr>
          <w:rFonts w:ascii="Arial" w:hAnsi="Arial" w:cs="Arial"/>
        </w:rPr>
      </w:pPr>
      <w:r w:rsidRPr="00D42346">
        <w:rPr>
          <w:rFonts w:ascii="Arial" w:hAnsi="Arial" w:cs="Arial"/>
        </w:rPr>
        <w:t xml:space="preserve">Probiotic supplementation has consistently demonstrated a multifaceted role in enhancing silkworm physiology, with marked improvements observed in growth, immunity, and silk production. Across various experimental setups, the incorporation of microbial strains such as </w:t>
      </w:r>
      <w:r w:rsidRPr="00D42346">
        <w:rPr>
          <w:rFonts w:ascii="Arial" w:hAnsi="Arial" w:cs="Arial"/>
          <w:i/>
          <w:iCs/>
        </w:rPr>
        <w:t>Lactobacillus</w:t>
      </w:r>
      <w:r w:rsidRPr="00D42346">
        <w:rPr>
          <w:rFonts w:ascii="Arial" w:hAnsi="Arial" w:cs="Arial"/>
        </w:rPr>
        <w:t xml:space="preserve">, </w:t>
      </w:r>
      <w:r w:rsidRPr="00D42346">
        <w:rPr>
          <w:rFonts w:ascii="Arial" w:hAnsi="Arial" w:cs="Arial"/>
          <w:i/>
          <w:iCs/>
        </w:rPr>
        <w:t>Saccharomyces</w:t>
      </w:r>
      <w:r w:rsidRPr="00D42346">
        <w:rPr>
          <w:rFonts w:ascii="Arial" w:hAnsi="Arial" w:cs="Arial"/>
        </w:rPr>
        <w:t xml:space="preserve">, </w:t>
      </w:r>
      <w:r w:rsidRPr="00D42346">
        <w:rPr>
          <w:rFonts w:ascii="Arial" w:hAnsi="Arial" w:cs="Arial"/>
          <w:i/>
          <w:iCs/>
        </w:rPr>
        <w:t>Bacillus</w:t>
      </w:r>
      <w:r w:rsidRPr="00D42346">
        <w:rPr>
          <w:rFonts w:ascii="Arial" w:hAnsi="Arial" w:cs="Arial"/>
        </w:rPr>
        <w:t xml:space="preserve">, and </w:t>
      </w:r>
      <w:r w:rsidRPr="00D42346">
        <w:rPr>
          <w:rFonts w:ascii="Arial" w:hAnsi="Arial" w:cs="Arial"/>
          <w:i/>
          <w:iCs/>
        </w:rPr>
        <w:t>Bifidobacterium</w:t>
      </w:r>
      <w:r w:rsidRPr="00D42346">
        <w:rPr>
          <w:rFonts w:ascii="Arial" w:hAnsi="Arial" w:cs="Arial"/>
        </w:rPr>
        <w:t xml:space="preserve"> has led to significant biochemical and economic gains. These benefits include elevated digestive enzyme activity, </w:t>
      </w:r>
      <w:r w:rsidRPr="00D42346">
        <w:rPr>
          <w:rFonts w:ascii="Arial" w:hAnsi="Arial" w:cs="Arial"/>
        </w:rPr>
        <w:lastRenderedPageBreak/>
        <w:t>increased silk gland protein content, improved nutrient assimilation, and enhanced expression of immune-related biomarkers. Notably, the effects were often strain- and dosage-specific, highlighting the importance of precise formulation. Moreover, studies have shown that probiotics can reduce disease incidence and improve resilience under pathogenic or environmental stress. Together, these findings establish microbial supplementation not just as a growth enhancer, but also as a potential tool for strengthening silkworm health and productivity in commercial sericulture.</w:t>
      </w:r>
    </w:p>
    <w:p w14:paraId="683D87F6" w14:textId="77777777" w:rsidR="00C04753" w:rsidRDefault="00C04753" w:rsidP="00441B6F">
      <w:pPr>
        <w:pStyle w:val="Body"/>
        <w:spacing w:after="0"/>
        <w:rPr>
          <w:rFonts w:ascii="Arial" w:hAnsi="Arial" w:cs="Arial"/>
        </w:rPr>
      </w:pPr>
    </w:p>
    <w:p w14:paraId="1B95E8B9" w14:textId="77777777" w:rsidR="008F3016" w:rsidRPr="008F3016" w:rsidRDefault="008F3016" w:rsidP="008F3016">
      <w:pPr>
        <w:pStyle w:val="AbstHead"/>
        <w:rPr>
          <w:rFonts w:ascii="Arial" w:hAnsi="Arial" w:cs="Arial"/>
        </w:rPr>
      </w:pPr>
      <w:r>
        <w:rPr>
          <w:rFonts w:ascii="Arial" w:hAnsi="Arial" w:cs="Arial"/>
        </w:rPr>
        <w:t xml:space="preserve">6. </w:t>
      </w:r>
      <w:r w:rsidRPr="008F3016">
        <w:rPr>
          <w:rFonts w:ascii="Arial" w:hAnsi="Arial" w:cs="Arial"/>
        </w:rPr>
        <w:t xml:space="preserve">Challenges and Future prospects </w:t>
      </w:r>
    </w:p>
    <w:p w14:paraId="610DBA73" w14:textId="77777777" w:rsidR="008F3016" w:rsidRPr="008F3016" w:rsidRDefault="008F3016" w:rsidP="008F3016">
      <w:pPr>
        <w:pStyle w:val="Body"/>
        <w:rPr>
          <w:rFonts w:ascii="Arial" w:hAnsi="Arial" w:cs="Arial"/>
        </w:rPr>
      </w:pPr>
      <w:r w:rsidRPr="008F3016">
        <w:rPr>
          <w:rFonts w:ascii="Arial" w:hAnsi="Arial" w:cs="Arial"/>
        </w:rPr>
        <w:t xml:space="preserve">Despite the promising benefits of probiotic supplementation in enhancing silkworm growth, immunity, and silk yield, several critical challenges remain. One of the foremost issues is the </w:t>
      </w:r>
      <w:r w:rsidRPr="008F3016">
        <w:rPr>
          <w:rFonts w:ascii="Arial" w:hAnsi="Arial" w:cs="Arial"/>
          <w:bCs/>
        </w:rPr>
        <w:t>lack of standardized protocols</w:t>
      </w:r>
      <w:r w:rsidRPr="008F3016">
        <w:rPr>
          <w:rFonts w:ascii="Arial" w:hAnsi="Arial" w:cs="Arial"/>
          <w:b/>
        </w:rPr>
        <w:t xml:space="preserve"> </w:t>
      </w:r>
      <w:r w:rsidRPr="008F3016">
        <w:rPr>
          <w:rFonts w:ascii="Arial" w:hAnsi="Arial" w:cs="Arial"/>
        </w:rPr>
        <w:t xml:space="preserve">for probiotic strain selection, dosage, and mode of administration. Most studies vary widely in terms of microbial species used, concentrations applied, and silkworm races tested, making it difficult to draw universally applicable conclusions. Additionally, the </w:t>
      </w:r>
      <w:r w:rsidRPr="008F3016">
        <w:rPr>
          <w:rFonts w:ascii="Arial" w:hAnsi="Arial" w:cs="Arial"/>
          <w:bCs/>
        </w:rPr>
        <w:t>mechanisms underlying host-microbiota interactions</w:t>
      </w:r>
      <w:r w:rsidRPr="008F3016">
        <w:rPr>
          <w:rFonts w:ascii="Arial" w:hAnsi="Arial" w:cs="Arial"/>
        </w:rPr>
        <w:t xml:space="preserve"> remain incompletely understood, especially at the molecular and genomic levels. There is also limited knowledge regarding the </w:t>
      </w:r>
      <w:r w:rsidRPr="008F3016">
        <w:rPr>
          <w:rFonts w:ascii="Arial" w:hAnsi="Arial" w:cs="Arial"/>
          <w:bCs/>
        </w:rPr>
        <w:t>long-term impacts</w:t>
      </w:r>
      <w:r w:rsidRPr="008F3016">
        <w:rPr>
          <w:rFonts w:ascii="Arial" w:hAnsi="Arial" w:cs="Arial"/>
        </w:rPr>
        <w:t xml:space="preserve"> of probiotic administration on silkworm physiology, including potential microbial resistance, shifts in native gut flora, or unintended effects on silk protein synthesis. Furthermore, </w:t>
      </w:r>
      <w:r w:rsidRPr="008F3016">
        <w:rPr>
          <w:rFonts w:ascii="Arial" w:hAnsi="Arial" w:cs="Arial"/>
          <w:bCs/>
        </w:rPr>
        <w:t>environmental and genetic variability</w:t>
      </w:r>
      <w:r w:rsidRPr="008F3016">
        <w:rPr>
          <w:rFonts w:ascii="Arial" w:hAnsi="Arial" w:cs="Arial"/>
        </w:rPr>
        <w:t xml:space="preserve"> such as differences in climate, mulberry leaf quality, and silkworm strain—can significantly influence probiotic efficacy, complicating the generalization of findings.</w:t>
      </w:r>
    </w:p>
    <w:p w14:paraId="66B6C549" w14:textId="77777777" w:rsidR="008F3016" w:rsidRPr="008F3016" w:rsidRDefault="008F3016" w:rsidP="008F3016">
      <w:pPr>
        <w:pStyle w:val="Body"/>
        <w:rPr>
          <w:rFonts w:ascii="Arial" w:hAnsi="Arial" w:cs="Arial"/>
        </w:rPr>
      </w:pPr>
      <w:r w:rsidRPr="008F3016">
        <w:rPr>
          <w:rFonts w:ascii="Arial" w:hAnsi="Arial" w:cs="Arial"/>
        </w:rPr>
        <w:t xml:space="preserve">Looking ahead, future research must focus on </w:t>
      </w:r>
      <w:r w:rsidRPr="008F3016">
        <w:rPr>
          <w:rFonts w:ascii="Arial" w:hAnsi="Arial" w:cs="Arial"/>
          <w:bCs/>
        </w:rPr>
        <w:t>metagenomic</w:t>
      </w:r>
      <w:r w:rsidRPr="008F3016">
        <w:rPr>
          <w:rFonts w:ascii="Arial" w:hAnsi="Arial" w:cs="Arial"/>
          <w:b/>
          <w:bCs/>
        </w:rPr>
        <w:t xml:space="preserve">, </w:t>
      </w:r>
      <w:r w:rsidRPr="008F3016">
        <w:rPr>
          <w:rFonts w:ascii="Arial" w:hAnsi="Arial" w:cs="Arial"/>
          <w:bCs/>
        </w:rPr>
        <w:t>transcriptomic, and metabolomic analyses</w:t>
      </w:r>
      <w:r w:rsidRPr="008F3016">
        <w:rPr>
          <w:rFonts w:ascii="Arial" w:hAnsi="Arial" w:cs="Arial"/>
        </w:rPr>
        <w:t xml:space="preserve"> to unravel the precise molecular pathways influenced by probiotics in Bombyx mori. There is also a need to develop </w:t>
      </w:r>
      <w:r w:rsidRPr="008F3016">
        <w:rPr>
          <w:rFonts w:ascii="Arial" w:hAnsi="Arial" w:cs="Arial"/>
          <w:bCs/>
        </w:rPr>
        <w:t>tailored probiotic formulations</w:t>
      </w:r>
      <w:r w:rsidRPr="008F3016">
        <w:rPr>
          <w:rFonts w:ascii="Arial" w:hAnsi="Arial" w:cs="Arial"/>
        </w:rPr>
        <w:t xml:space="preserve"> that are compatible with specific silkworm races and rearing conditions. Moreover, the integration of </w:t>
      </w:r>
      <w:r w:rsidRPr="008F3016">
        <w:rPr>
          <w:rFonts w:ascii="Arial" w:hAnsi="Arial" w:cs="Arial"/>
          <w:bCs/>
        </w:rPr>
        <w:t>RNA-based microbiome profiling</w:t>
      </w:r>
      <w:r w:rsidRPr="008F3016">
        <w:rPr>
          <w:rFonts w:ascii="Arial" w:hAnsi="Arial" w:cs="Arial"/>
        </w:rPr>
        <w:t xml:space="preserve"> could help identify viable and metabolically active gut microbes, offering deeper insight into their functional roles. Exploring </w:t>
      </w:r>
      <w:r w:rsidRPr="008F3016">
        <w:rPr>
          <w:rFonts w:ascii="Arial" w:hAnsi="Arial" w:cs="Arial"/>
          <w:bCs/>
        </w:rPr>
        <w:t>synergistic effects</w:t>
      </w:r>
      <w:r w:rsidRPr="008F3016">
        <w:rPr>
          <w:rFonts w:ascii="Arial" w:hAnsi="Arial" w:cs="Arial"/>
        </w:rPr>
        <w:t xml:space="preserve"> of probiotics with prebiotics, botanicals, or immune-stimulating agents could pave the way for next-generation biofortified feeds. Importantly, field-level validation and </w:t>
      </w:r>
      <w:r w:rsidRPr="008F3016">
        <w:rPr>
          <w:rFonts w:ascii="Arial" w:hAnsi="Arial" w:cs="Arial"/>
          <w:bCs/>
        </w:rPr>
        <w:t>cost-benefit analysis</w:t>
      </w:r>
      <w:r w:rsidRPr="008F3016">
        <w:rPr>
          <w:rFonts w:ascii="Arial" w:hAnsi="Arial" w:cs="Arial"/>
        </w:rPr>
        <w:t xml:space="preserve"> are essential to transition from experimental success to scalable, eco-friendly practices in commercial sericulture. Ultimately, addressing these challenges could unlock the full potential of probiotic biotechnology for sustainable and disease-resilient silkworm rearing systems.</w:t>
      </w:r>
    </w:p>
    <w:p w14:paraId="0CBB76DC" w14:textId="77777777" w:rsidR="008F3016" w:rsidRPr="008F3016" w:rsidRDefault="008F3016" w:rsidP="008F3016">
      <w:pPr>
        <w:pStyle w:val="AbstHead"/>
        <w:rPr>
          <w:rFonts w:ascii="Arial" w:hAnsi="Arial" w:cs="Arial"/>
        </w:rPr>
      </w:pPr>
      <w:r>
        <w:rPr>
          <w:rFonts w:ascii="Arial" w:hAnsi="Arial" w:cs="Arial"/>
        </w:rPr>
        <w:t xml:space="preserve">7. </w:t>
      </w:r>
      <w:r w:rsidRPr="008F3016">
        <w:rPr>
          <w:rFonts w:ascii="Arial" w:hAnsi="Arial" w:cs="Arial"/>
        </w:rPr>
        <w:t>Conclusion</w:t>
      </w:r>
    </w:p>
    <w:p w14:paraId="0ECB9AA2" w14:textId="77777777" w:rsidR="008F3016" w:rsidRPr="008F3016" w:rsidRDefault="008F3016" w:rsidP="008F3016">
      <w:pPr>
        <w:pStyle w:val="Body"/>
        <w:rPr>
          <w:rFonts w:ascii="Arial" w:hAnsi="Arial" w:cs="Arial"/>
        </w:rPr>
      </w:pPr>
      <w:r w:rsidRPr="008F3016">
        <w:rPr>
          <w:rFonts w:ascii="Arial" w:hAnsi="Arial" w:cs="Arial"/>
        </w:rPr>
        <w:t xml:space="preserve">The integration of probiotic supplementation in silkworm rearing has emerged as a promising biotechnological advancement, demonstrating significant improvements in larval growth, cocoon quality, disease resistance, and overall physiological performance. Empirical findings have consistently shown that specific probiotic strains particularly from the genera </w:t>
      </w:r>
      <w:r w:rsidRPr="008F3016">
        <w:rPr>
          <w:rFonts w:ascii="Arial" w:hAnsi="Arial" w:cs="Arial"/>
          <w:i/>
          <w:iCs/>
        </w:rPr>
        <w:t>Lactobacillus</w:t>
      </w:r>
      <w:r w:rsidRPr="008F3016">
        <w:rPr>
          <w:rFonts w:ascii="Arial" w:hAnsi="Arial" w:cs="Arial"/>
        </w:rPr>
        <w:t xml:space="preserve">, </w:t>
      </w:r>
      <w:r w:rsidRPr="008F3016">
        <w:rPr>
          <w:rFonts w:ascii="Arial" w:hAnsi="Arial" w:cs="Arial"/>
          <w:i/>
          <w:iCs/>
        </w:rPr>
        <w:t>Bacillus</w:t>
      </w:r>
      <w:r w:rsidRPr="008F3016">
        <w:rPr>
          <w:rFonts w:ascii="Arial" w:hAnsi="Arial" w:cs="Arial"/>
        </w:rPr>
        <w:t xml:space="preserve">, </w:t>
      </w:r>
      <w:r w:rsidRPr="008F3016">
        <w:rPr>
          <w:rFonts w:ascii="Arial" w:hAnsi="Arial" w:cs="Arial"/>
          <w:i/>
          <w:iCs/>
        </w:rPr>
        <w:t>Bifidobacterium</w:t>
      </w:r>
      <w:r w:rsidRPr="008F3016">
        <w:rPr>
          <w:rFonts w:ascii="Arial" w:hAnsi="Arial" w:cs="Arial"/>
        </w:rPr>
        <w:t xml:space="preserve">, and </w:t>
      </w:r>
      <w:r w:rsidRPr="008F3016">
        <w:rPr>
          <w:rFonts w:ascii="Arial" w:hAnsi="Arial" w:cs="Arial"/>
          <w:i/>
          <w:iCs/>
        </w:rPr>
        <w:t>Saccharomyces</w:t>
      </w:r>
      <w:r w:rsidRPr="008F3016">
        <w:rPr>
          <w:rFonts w:ascii="Arial" w:hAnsi="Arial" w:cs="Arial"/>
        </w:rPr>
        <w:t xml:space="preserve"> modulate the gut microbiota of </w:t>
      </w:r>
      <w:r w:rsidRPr="008F3016">
        <w:rPr>
          <w:rFonts w:ascii="Arial" w:hAnsi="Arial" w:cs="Arial"/>
          <w:i/>
          <w:iCs/>
        </w:rPr>
        <w:t>Bombyx mori</w:t>
      </w:r>
      <w:r w:rsidRPr="008F3016">
        <w:rPr>
          <w:rFonts w:ascii="Arial" w:hAnsi="Arial" w:cs="Arial"/>
        </w:rPr>
        <w:t>, enhancing nutrient assimilation, enzymatic activity, and immune responses. These benefits collectively contribute to improved silk yield and product quality.</w:t>
      </w:r>
    </w:p>
    <w:p w14:paraId="33F801FC" w14:textId="77777777" w:rsidR="008F3016" w:rsidRPr="008F3016" w:rsidRDefault="008F3016" w:rsidP="008F3016">
      <w:pPr>
        <w:pStyle w:val="Body"/>
        <w:rPr>
          <w:rFonts w:ascii="Arial" w:hAnsi="Arial" w:cs="Arial"/>
        </w:rPr>
      </w:pPr>
      <w:r w:rsidRPr="008F3016">
        <w:rPr>
          <w:rFonts w:ascii="Arial" w:hAnsi="Arial" w:cs="Arial"/>
        </w:rPr>
        <w:t>Furthermore, the synergistic use of probiotics with botanical additives or prebiotics has amplified their efficacy, highlighting the potential for tailored biofortified feed strategies. However, the strain-specific and dosage-dependent nature of these effects underscores the necessity for standardized protocols and targeted formulations. With advancements in molecular tools such as metagenomics, transcriptomics, and functional microbiome analysis, there is a growing opportunity to deepen our understanding of host-microbiota interactions and develop precision probiotic interventions for sericulture.</w:t>
      </w:r>
    </w:p>
    <w:p w14:paraId="4C70DED0" w14:textId="0BE307B8" w:rsidR="008F3016" w:rsidRDefault="008F3016" w:rsidP="008F3016">
      <w:pPr>
        <w:pStyle w:val="Body"/>
        <w:spacing w:after="0"/>
        <w:rPr>
          <w:rFonts w:ascii="Arial" w:hAnsi="Arial" w:cs="Arial"/>
        </w:rPr>
      </w:pPr>
      <w:r w:rsidRPr="008F3016">
        <w:rPr>
          <w:rFonts w:ascii="Arial" w:hAnsi="Arial" w:cs="Arial"/>
        </w:rPr>
        <w:lastRenderedPageBreak/>
        <w:t>In this context, probiotic supplementation offers a sustainable, eco-friendly, and economically viable approach to strengthening silkworm health and optimizing silk production. Continued interdisciplinary research and field validation will be critical in translating these insights into scalable solutions that support the long-term resilience and profitability of the sericulture industry.</w:t>
      </w:r>
    </w:p>
    <w:p w14:paraId="1FABC230" w14:textId="1B456296" w:rsidR="00FB6C07" w:rsidRDefault="00FB6C07" w:rsidP="008F3016">
      <w:pPr>
        <w:pStyle w:val="Body"/>
        <w:spacing w:after="0"/>
        <w:rPr>
          <w:rFonts w:ascii="Arial" w:hAnsi="Arial" w:cs="Arial"/>
        </w:rPr>
      </w:pPr>
    </w:p>
    <w:p w14:paraId="746F193D" w14:textId="77777777" w:rsidR="00FB6C07" w:rsidRPr="009C5487" w:rsidRDefault="00FB6C07" w:rsidP="00FB6C07">
      <w:pPr>
        <w:rPr>
          <w:rFonts w:ascii="Calibri" w:eastAsia="Calibri" w:hAnsi="Calibri"/>
          <w:kern w:val="2"/>
          <w:highlight w:val="yellow"/>
        </w:rPr>
      </w:pPr>
      <w:bookmarkStart w:id="1" w:name="_Hlk197682619"/>
      <w:bookmarkStart w:id="2" w:name="_Hlk180402183"/>
      <w:bookmarkStart w:id="3" w:name="_Hlk183680988"/>
      <w:r w:rsidRPr="009C5487">
        <w:rPr>
          <w:rFonts w:ascii="Calibri" w:eastAsia="Calibri" w:hAnsi="Calibri"/>
          <w:kern w:val="2"/>
          <w:highlight w:val="yellow"/>
        </w:rPr>
        <w:t>Disclaimer (Artificial intelligence)</w:t>
      </w:r>
    </w:p>
    <w:p w14:paraId="6528401B" w14:textId="77777777" w:rsidR="00FB6C07" w:rsidRPr="009C5487" w:rsidRDefault="00FB6C07" w:rsidP="00FB6C07">
      <w:pPr>
        <w:rPr>
          <w:rFonts w:ascii="Calibri" w:eastAsia="Calibri" w:hAnsi="Calibri"/>
          <w:kern w:val="2"/>
          <w:highlight w:val="yellow"/>
        </w:rPr>
      </w:pPr>
      <w:r w:rsidRPr="009C5487">
        <w:rPr>
          <w:rFonts w:ascii="Calibri" w:eastAsia="Calibri" w:hAnsi="Calibri"/>
          <w:kern w:val="2"/>
          <w:highlight w:val="yellow"/>
        </w:rPr>
        <w:t xml:space="preserve">Option 1: </w:t>
      </w:r>
    </w:p>
    <w:p w14:paraId="54302AE4" w14:textId="77777777" w:rsidR="00FB6C07" w:rsidRPr="009C5487" w:rsidRDefault="00FB6C07" w:rsidP="00FB6C07">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bookmarkEnd w:id="1"/>
    <w:bookmarkEnd w:id="2"/>
    <w:bookmarkEnd w:id="3"/>
    <w:p w14:paraId="4FE3E258" w14:textId="77777777" w:rsidR="00FB6C07" w:rsidRPr="008F3016" w:rsidRDefault="00FB6C07" w:rsidP="008F3016">
      <w:pPr>
        <w:pStyle w:val="Body"/>
        <w:spacing w:after="0"/>
        <w:rPr>
          <w:rFonts w:ascii="Arial" w:hAnsi="Arial" w:cs="Arial"/>
        </w:rPr>
      </w:pPr>
    </w:p>
    <w:p w14:paraId="2120A93B" w14:textId="77777777" w:rsidR="00790ADA" w:rsidRPr="00FB3A86" w:rsidRDefault="00790ADA" w:rsidP="00441B6F">
      <w:pPr>
        <w:pStyle w:val="Body"/>
        <w:spacing w:after="0"/>
        <w:rPr>
          <w:rFonts w:ascii="Arial" w:hAnsi="Arial" w:cs="Arial"/>
        </w:rPr>
      </w:pPr>
    </w:p>
    <w:p w14:paraId="5DBA5809" w14:textId="77777777" w:rsidR="00860000" w:rsidRDefault="00860000" w:rsidP="00441B6F">
      <w:pPr>
        <w:pStyle w:val="ReferHead"/>
        <w:spacing w:after="0"/>
        <w:jc w:val="both"/>
        <w:rPr>
          <w:rFonts w:ascii="Arial" w:hAnsi="Arial" w:cs="Arial"/>
        </w:rPr>
      </w:pPr>
    </w:p>
    <w:p w14:paraId="50D0397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F3A8A03" w14:textId="77777777" w:rsidR="00790ADA" w:rsidRPr="00FB3A86" w:rsidRDefault="00790ADA" w:rsidP="00441B6F">
      <w:pPr>
        <w:pStyle w:val="ReferHead"/>
        <w:spacing w:after="0"/>
        <w:jc w:val="both"/>
        <w:rPr>
          <w:rFonts w:ascii="Arial" w:hAnsi="Arial" w:cs="Arial"/>
        </w:rPr>
      </w:pPr>
    </w:p>
    <w:p w14:paraId="63CD7CDD" w14:textId="77777777" w:rsidR="00B1776C" w:rsidRPr="00864FCF" w:rsidRDefault="00864FCF" w:rsidP="00864FCF">
      <w:pPr>
        <w:pStyle w:val="Body"/>
        <w:numPr>
          <w:ilvl w:val="0"/>
          <w:numId w:val="31"/>
        </w:numPr>
        <w:spacing w:after="0"/>
        <w:rPr>
          <w:rFonts w:ascii="Arial" w:hAnsi="Arial" w:cs="Arial"/>
        </w:rPr>
      </w:pPr>
      <w:r w:rsidRPr="00864FCF">
        <w:rPr>
          <w:rFonts w:ascii="Arial" w:hAnsi="Arial" w:cs="Arial"/>
        </w:rPr>
        <w:t xml:space="preserve">Yeruva, T., Vankadara, S., Ramasamy, S., &amp; Lingaiah, K. (2020). Identification of potential probiotics in the midgut of mulberry silkworm, </w:t>
      </w:r>
      <w:r w:rsidRPr="00864FCF">
        <w:rPr>
          <w:rFonts w:ascii="Arial" w:hAnsi="Arial" w:cs="Arial"/>
          <w:i/>
        </w:rPr>
        <w:t>Bombyx mori</w:t>
      </w:r>
      <w:r w:rsidRPr="00864FCF">
        <w:rPr>
          <w:rFonts w:ascii="Arial" w:hAnsi="Arial" w:cs="Arial"/>
        </w:rPr>
        <w:t>, through metagenomic approach. Probiotics and Antimicrobial Proteins, 12(2), 635–640.</w:t>
      </w:r>
      <w:r w:rsidRPr="00864FCF">
        <w:rPr>
          <w:rFonts w:ascii="Arial" w:hAnsi="Arial" w:cs="Arial"/>
          <w:color w:val="222222"/>
          <w:shd w:val="clear" w:color="auto" w:fill="FFFFFF"/>
        </w:rPr>
        <w:t xml:space="preserve"> </w:t>
      </w:r>
      <w:hyperlink r:id="rId15" w:history="1">
        <w:r w:rsidRPr="00864FCF">
          <w:rPr>
            <w:rStyle w:val="Hyperlink"/>
            <w:rFonts w:ascii="Arial" w:hAnsi="Arial" w:cs="Arial"/>
          </w:rPr>
          <w:t>https://doi.org/10.1007/s12602-019-09580-3</w:t>
        </w:r>
      </w:hyperlink>
    </w:p>
    <w:p w14:paraId="5D3C1A14" w14:textId="77777777" w:rsidR="00864FCF" w:rsidRDefault="00864FCF" w:rsidP="00864FCF">
      <w:pPr>
        <w:pStyle w:val="Body"/>
        <w:numPr>
          <w:ilvl w:val="0"/>
          <w:numId w:val="31"/>
        </w:numPr>
        <w:spacing w:after="0"/>
        <w:rPr>
          <w:rFonts w:ascii="Arial" w:hAnsi="Arial" w:cs="Arial"/>
        </w:rPr>
      </w:pPr>
      <w:r w:rsidRPr="00864FCF">
        <w:rPr>
          <w:rFonts w:ascii="Arial" w:hAnsi="Arial" w:cs="Arial"/>
        </w:rPr>
        <w:t xml:space="preserve">Hassan, E. M. (2020). Comparative study on effects of some high protein content nutritional additives on some hybrids of mulberry silkworm, </w:t>
      </w:r>
      <w:r w:rsidRPr="00864FCF">
        <w:rPr>
          <w:rFonts w:ascii="Arial" w:hAnsi="Arial" w:cs="Arial"/>
          <w:i/>
        </w:rPr>
        <w:t>Bombyx mori</w:t>
      </w:r>
      <w:r w:rsidRPr="00864FCF">
        <w:rPr>
          <w:rFonts w:ascii="Arial" w:hAnsi="Arial" w:cs="Arial"/>
        </w:rPr>
        <w:t xml:space="preserve"> L. Journal of Plant Protection and Pathology, 11(8), 403–410.</w:t>
      </w:r>
      <w:r w:rsidRPr="00864FCF">
        <w:t xml:space="preserve"> </w:t>
      </w:r>
      <w:hyperlink r:id="rId16" w:history="1">
        <w:r w:rsidRPr="00A65384">
          <w:rPr>
            <w:rStyle w:val="Hyperlink"/>
            <w:rFonts w:ascii="Arial" w:hAnsi="Arial" w:cs="Arial"/>
          </w:rPr>
          <w:t>https://dx.doi.org/10.21608/jppp.2020.114587</w:t>
        </w:r>
      </w:hyperlink>
    </w:p>
    <w:p w14:paraId="65C14B67" w14:textId="77777777" w:rsidR="00864FCF" w:rsidRDefault="00864FCF" w:rsidP="00864FCF">
      <w:pPr>
        <w:pStyle w:val="Body"/>
        <w:numPr>
          <w:ilvl w:val="0"/>
          <w:numId w:val="31"/>
        </w:numPr>
        <w:spacing w:after="0"/>
        <w:rPr>
          <w:rFonts w:ascii="Arial" w:hAnsi="Arial" w:cs="Arial"/>
        </w:rPr>
      </w:pPr>
      <w:r w:rsidRPr="00864FCF">
        <w:rPr>
          <w:rFonts w:ascii="Arial" w:hAnsi="Arial" w:cs="Arial"/>
        </w:rPr>
        <w:t xml:space="preserve">Gheorghe, A., Hăbeanu, M., Mihalcea, T., Diniţă, G., &amp; Moise, A. R. (2024). Probiotics supplementation to mulberry silkworm </w:t>
      </w:r>
      <w:r w:rsidRPr="00864FCF">
        <w:rPr>
          <w:rFonts w:ascii="Arial" w:hAnsi="Arial" w:cs="Arial"/>
          <w:i/>
        </w:rPr>
        <w:t>B. mori.</w:t>
      </w:r>
      <w:r w:rsidRPr="00864FCF">
        <w:rPr>
          <w:rFonts w:ascii="Arial" w:hAnsi="Arial" w:cs="Arial"/>
        </w:rPr>
        <w:t xml:space="preserve"> Scientific Papers Animal Scienc</w:t>
      </w:r>
      <w:r w:rsidR="00C831D1">
        <w:rPr>
          <w:rFonts w:ascii="Arial" w:hAnsi="Arial" w:cs="Arial"/>
        </w:rPr>
        <w:t>e and Biotechnologies, 57(1), 1-1.</w:t>
      </w:r>
    </w:p>
    <w:p w14:paraId="43769BF7" w14:textId="77777777" w:rsidR="00C831D1" w:rsidRDefault="00C831D1" w:rsidP="00C831D1">
      <w:pPr>
        <w:pStyle w:val="Body"/>
        <w:numPr>
          <w:ilvl w:val="0"/>
          <w:numId w:val="31"/>
        </w:numPr>
        <w:spacing w:after="0"/>
        <w:rPr>
          <w:rFonts w:ascii="Arial" w:hAnsi="Arial" w:cs="Arial"/>
        </w:rPr>
      </w:pPr>
      <w:r w:rsidRPr="00C831D1">
        <w:rPr>
          <w:rFonts w:ascii="Arial" w:hAnsi="Arial" w:cs="Arial"/>
        </w:rPr>
        <w:t xml:space="preserve">Pachiappan, P., Swathiga, G., Alagesan, T., Umapathy, G., &amp; Chozhan, K. (2021). Impact of probiotics on enzymatic activity and economic traits of double hybrid silkworm, </w:t>
      </w:r>
      <w:r w:rsidRPr="00C831D1">
        <w:rPr>
          <w:rFonts w:ascii="Arial" w:hAnsi="Arial" w:cs="Arial"/>
          <w:i/>
        </w:rPr>
        <w:t>Bombyx mori</w:t>
      </w:r>
      <w:r w:rsidRPr="00C831D1">
        <w:rPr>
          <w:rFonts w:ascii="Arial" w:hAnsi="Arial" w:cs="Arial"/>
        </w:rPr>
        <w:t xml:space="preserve"> L. The Pharma Innovation Journal, 10(11S), 1022–1026.</w:t>
      </w:r>
    </w:p>
    <w:p w14:paraId="384A1BA3" w14:textId="77777777" w:rsidR="00A95B8A" w:rsidRDefault="00C831D1" w:rsidP="00441B6F">
      <w:pPr>
        <w:pStyle w:val="Body"/>
        <w:numPr>
          <w:ilvl w:val="0"/>
          <w:numId w:val="31"/>
        </w:numPr>
        <w:spacing w:after="0"/>
        <w:rPr>
          <w:rFonts w:ascii="Arial" w:hAnsi="Arial" w:cs="Arial"/>
        </w:rPr>
      </w:pPr>
      <w:r w:rsidRPr="00C831D1">
        <w:rPr>
          <w:rFonts w:ascii="Arial" w:hAnsi="Arial" w:cs="Arial"/>
        </w:rPr>
        <w:t>Hassan, S. I., Rateb, S. H., Mohanny, K. M., &amp; Hussein, M. H. (2020). Efficiency of some plant powder mix as a dietary supplement for silkworm (</w:t>
      </w:r>
      <w:r w:rsidRPr="00C831D1">
        <w:rPr>
          <w:rFonts w:ascii="Arial" w:hAnsi="Arial" w:cs="Arial"/>
          <w:i/>
        </w:rPr>
        <w:t>Bombyx mori</w:t>
      </w:r>
      <w:r w:rsidRPr="00C831D1">
        <w:rPr>
          <w:rFonts w:ascii="Arial" w:hAnsi="Arial" w:cs="Arial"/>
        </w:rPr>
        <w:t>). SVU-International Journal of Agricultural Sciences, 2(2), 378–383.</w:t>
      </w:r>
      <w:r w:rsidRPr="00C831D1">
        <w:t xml:space="preserve"> </w:t>
      </w:r>
      <w:hyperlink r:id="rId17" w:history="1">
        <w:r w:rsidRPr="00A65384">
          <w:rPr>
            <w:rStyle w:val="Hyperlink"/>
            <w:rFonts w:ascii="Arial" w:hAnsi="Arial" w:cs="Arial"/>
          </w:rPr>
          <w:t>https://dx.doi.org/10.21608/svuijas.2020.41808.1034</w:t>
        </w:r>
      </w:hyperlink>
    </w:p>
    <w:p w14:paraId="0E130BF1" w14:textId="77777777" w:rsidR="00864FCF" w:rsidRDefault="00A95B8A" w:rsidP="00A95B8A">
      <w:pPr>
        <w:pStyle w:val="Body"/>
        <w:numPr>
          <w:ilvl w:val="0"/>
          <w:numId w:val="31"/>
        </w:numPr>
        <w:spacing w:after="0"/>
        <w:rPr>
          <w:rFonts w:ascii="Arial" w:hAnsi="Arial" w:cs="Arial"/>
        </w:rPr>
      </w:pPr>
      <w:r w:rsidRPr="00A95B8A">
        <w:rPr>
          <w:rFonts w:ascii="Arial" w:hAnsi="Arial" w:cs="Arial"/>
        </w:rPr>
        <w:t xml:space="preserve">Das, P., Borah, P., Bordoloi, R., Pegu, A., Dutta, R., &amp; Baruah, C. (2024). Probiotic bacteria as a healthy alternative for fish and biological control agents in aquaculture. </w:t>
      </w:r>
      <w:r w:rsidRPr="00A95B8A">
        <w:rPr>
          <w:rFonts w:ascii="Arial" w:hAnsi="Arial" w:cs="Arial"/>
          <w:iCs/>
        </w:rPr>
        <w:t>Journal of Applied and Natural Science, 16</w:t>
      </w:r>
      <w:r w:rsidRPr="00A95B8A">
        <w:rPr>
          <w:rFonts w:ascii="Arial" w:hAnsi="Arial" w:cs="Arial"/>
        </w:rPr>
        <w:t>(2), 674.</w:t>
      </w:r>
      <w:r>
        <w:rPr>
          <w:rFonts w:ascii="Arial" w:hAnsi="Arial" w:cs="Arial"/>
        </w:rPr>
        <w:t xml:space="preserve"> </w:t>
      </w:r>
      <w:hyperlink r:id="rId18" w:history="1">
        <w:r w:rsidRPr="00A65384">
          <w:rPr>
            <w:rStyle w:val="Hyperlink"/>
            <w:rFonts w:ascii="Arial" w:hAnsi="Arial" w:cs="Arial"/>
          </w:rPr>
          <w:t>https://doi.org/10.31018/jans.v16i2.5543</w:t>
        </w:r>
      </w:hyperlink>
    </w:p>
    <w:p w14:paraId="0BBDDA38" w14:textId="77777777" w:rsidR="00A95B8A" w:rsidRDefault="00A95B8A" w:rsidP="00A95B8A">
      <w:pPr>
        <w:pStyle w:val="Body"/>
        <w:numPr>
          <w:ilvl w:val="0"/>
          <w:numId w:val="31"/>
        </w:numPr>
        <w:spacing w:after="0"/>
        <w:rPr>
          <w:rFonts w:ascii="Arial" w:hAnsi="Arial" w:cs="Arial"/>
        </w:rPr>
      </w:pPr>
      <w:r w:rsidRPr="00A95B8A">
        <w:rPr>
          <w:rFonts w:ascii="Arial" w:hAnsi="Arial" w:cs="Arial"/>
        </w:rPr>
        <w:t>Arasakumar, E., Vasanth, V., Vijay, S., &amp; Ganesan, S. (2023). Role of microorganisms in the gut of silkworms. The Pharma Innovation, 12, 2691–2696.</w:t>
      </w:r>
    </w:p>
    <w:p w14:paraId="0D695CA1" w14:textId="77777777" w:rsidR="00A95B8A" w:rsidRDefault="00A95B8A" w:rsidP="00A95B8A">
      <w:pPr>
        <w:pStyle w:val="Body"/>
        <w:numPr>
          <w:ilvl w:val="0"/>
          <w:numId w:val="31"/>
        </w:numPr>
        <w:spacing w:after="0"/>
        <w:rPr>
          <w:rFonts w:ascii="Arial" w:hAnsi="Arial" w:cs="Arial"/>
        </w:rPr>
      </w:pPr>
      <w:r w:rsidRPr="00A95B8A">
        <w:rPr>
          <w:rFonts w:ascii="Arial" w:hAnsi="Arial" w:cs="Arial"/>
        </w:rPr>
        <w:t xml:space="preserve">Sannappa, B., Jayaramaiah, M., &amp; Chandrappa, D. (2002). Influence of castor genotypes on consumption indices of eri silkworm </w:t>
      </w:r>
      <w:r w:rsidRPr="00A95B8A">
        <w:rPr>
          <w:rFonts w:ascii="Arial" w:hAnsi="Arial" w:cs="Arial"/>
          <w:i/>
        </w:rPr>
        <w:t>Samia cynthia ricini</w:t>
      </w:r>
      <w:r w:rsidRPr="00A95B8A">
        <w:rPr>
          <w:rFonts w:ascii="Arial" w:hAnsi="Arial" w:cs="Arial"/>
        </w:rPr>
        <w:t xml:space="preserve"> Boisduval (Lepidoptera: Saturniidae). Environment and Ecology, 20(4), 960–964.</w:t>
      </w:r>
    </w:p>
    <w:p w14:paraId="1E134E81" w14:textId="77777777" w:rsidR="002B58CC" w:rsidRDefault="002B58CC" w:rsidP="002B58CC">
      <w:pPr>
        <w:pStyle w:val="Body"/>
        <w:numPr>
          <w:ilvl w:val="0"/>
          <w:numId w:val="31"/>
        </w:numPr>
        <w:spacing w:after="0"/>
        <w:rPr>
          <w:rFonts w:ascii="Arial" w:hAnsi="Arial" w:cs="Arial"/>
        </w:rPr>
      </w:pPr>
      <w:r w:rsidRPr="002B58CC">
        <w:rPr>
          <w:rFonts w:ascii="Arial" w:hAnsi="Arial" w:cs="Arial"/>
        </w:rPr>
        <w:t xml:space="preserve">Subramanian, S., Mohanraj, P., &amp; Muthuswamy, M. (2010a). New paradigm in silkworm disease management using probiotic application of </w:t>
      </w:r>
      <w:r w:rsidRPr="002B58CC">
        <w:rPr>
          <w:rFonts w:ascii="Arial" w:hAnsi="Arial" w:cs="Arial"/>
          <w:i/>
        </w:rPr>
        <w:t>Streptomyces noursei</w:t>
      </w:r>
      <w:r w:rsidRPr="002B58CC">
        <w:rPr>
          <w:rFonts w:ascii="Arial" w:hAnsi="Arial" w:cs="Arial"/>
        </w:rPr>
        <w:t xml:space="preserve">. Karnataka Journal </w:t>
      </w:r>
      <w:r>
        <w:rPr>
          <w:rFonts w:ascii="Arial" w:hAnsi="Arial" w:cs="Arial"/>
        </w:rPr>
        <w:t>of Agricultural Sciences, 22(3), 499-501.</w:t>
      </w:r>
    </w:p>
    <w:p w14:paraId="65B75F50" w14:textId="77777777" w:rsidR="002B58CC" w:rsidRDefault="002B58CC" w:rsidP="002B58CC">
      <w:pPr>
        <w:pStyle w:val="Body"/>
        <w:numPr>
          <w:ilvl w:val="0"/>
          <w:numId w:val="31"/>
        </w:numPr>
        <w:spacing w:after="0"/>
        <w:rPr>
          <w:rFonts w:ascii="Arial" w:hAnsi="Arial" w:cs="Arial"/>
        </w:rPr>
      </w:pPr>
      <w:r w:rsidRPr="002B58CC">
        <w:rPr>
          <w:rFonts w:ascii="Arial" w:hAnsi="Arial" w:cs="Arial"/>
        </w:rPr>
        <w:t>Ramesha, C., Anuradha, C. M., Lakshmi, H., Kumari, S. S., Seshagiri, S. V., Goel, A. K., &amp; Kumar, C. S. (2010</w:t>
      </w:r>
      <w:r w:rsidR="00087C71">
        <w:rPr>
          <w:rFonts w:ascii="Arial" w:hAnsi="Arial" w:cs="Arial"/>
        </w:rPr>
        <w:t>a</w:t>
      </w:r>
      <w:r w:rsidRPr="002B58CC">
        <w:rPr>
          <w:rFonts w:ascii="Arial" w:hAnsi="Arial" w:cs="Arial"/>
        </w:rPr>
        <w:t>). Nutrigenetic traits analysis for identification of nutritionally efficient silkworm germplasm breeds. Biotechnology, 9(2), 131–140.</w:t>
      </w:r>
    </w:p>
    <w:p w14:paraId="46D05F99" w14:textId="77777777" w:rsidR="002B58CC" w:rsidRDefault="002B58CC" w:rsidP="002B58CC">
      <w:pPr>
        <w:pStyle w:val="Body"/>
        <w:numPr>
          <w:ilvl w:val="0"/>
          <w:numId w:val="31"/>
        </w:numPr>
        <w:spacing w:after="0"/>
        <w:rPr>
          <w:rFonts w:ascii="Arial" w:hAnsi="Arial" w:cs="Arial"/>
        </w:rPr>
      </w:pPr>
      <w:r w:rsidRPr="002B58CC">
        <w:rPr>
          <w:rFonts w:ascii="Arial" w:hAnsi="Arial" w:cs="Arial"/>
        </w:rPr>
        <w:t xml:space="preserve">Masthan, K., Kumar, T. R., &amp; Murthy, C. N. (2011). Beneficial effects of blue green algae </w:t>
      </w:r>
      <w:r w:rsidRPr="002B58CC">
        <w:rPr>
          <w:rFonts w:ascii="Arial" w:hAnsi="Arial" w:cs="Arial"/>
          <w:i/>
          <w:iCs/>
        </w:rPr>
        <w:t>Spirulina</w:t>
      </w:r>
      <w:r w:rsidRPr="002B58CC">
        <w:rPr>
          <w:rFonts w:ascii="Arial" w:hAnsi="Arial" w:cs="Arial"/>
        </w:rPr>
        <w:t xml:space="preserve"> and yeast </w:t>
      </w:r>
      <w:r w:rsidRPr="002B58CC">
        <w:rPr>
          <w:rFonts w:ascii="Arial" w:hAnsi="Arial" w:cs="Arial"/>
          <w:i/>
          <w:iCs/>
        </w:rPr>
        <w:t>Saccharomyces cerevisiae</w:t>
      </w:r>
      <w:r w:rsidRPr="002B58CC">
        <w:rPr>
          <w:rFonts w:ascii="Arial" w:hAnsi="Arial" w:cs="Arial"/>
        </w:rPr>
        <w:t xml:space="preserve"> on cocoon quantitative parameters of silkworm </w:t>
      </w:r>
      <w:r w:rsidRPr="002B58CC">
        <w:rPr>
          <w:rFonts w:ascii="Arial" w:hAnsi="Arial" w:cs="Arial"/>
          <w:i/>
          <w:iCs/>
        </w:rPr>
        <w:t>Bombyx mori</w:t>
      </w:r>
      <w:r w:rsidRPr="002B58CC">
        <w:rPr>
          <w:rFonts w:ascii="Arial" w:hAnsi="Arial" w:cs="Arial"/>
        </w:rPr>
        <w:t xml:space="preserve"> L. </w:t>
      </w:r>
      <w:r w:rsidRPr="002B58CC">
        <w:rPr>
          <w:rFonts w:ascii="Arial" w:hAnsi="Arial" w:cs="Arial"/>
          <w:iCs/>
        </w:rPr>
        <w:t>Asian Journal of Microbiology, Biotechnology &amp; Environmental Sciences, 13</w:t>
      </w:r>
      <w:r w:rsidRPr="002B58CC">
        <w:rPr>
          <w:rFonts w:ascii="Arial" w:hAnsi="Arial" w:cs="Arial"/>
        </w:rPr>
        <w:t>(1), 205–208.</w:t>
      </w:r>
    </w:p>
    <w:p w14:paraId="42F03AC3" w14:textId="77777777" w:rsidR="002B58CC" w:rsidRDefault="00F10C30" w:rsidP="00F10C30">
      <w:pPr>
        <w:pStyle w:val="Body"/>
        <w:numPr>
          <w:ilvl w:val="0"/>
          <w:numId w:val="31"/>
        </w:numPr>
        <w:spacing w:after="0"/>
        <w:rPr>
          <w:rFonts w:ascii="Arial" w:hAnsi="Arial" w:cs="Arial"/>
        </w:rPr>
      </w:pPr>
      <w:r w:rsidRPr="00F10C30">
        <w:rPr>
          <w:rFonts w:ascii="Arial" w:hAnsi="Arial" w:cs="Arial"/>
        </w:rPr>
        <w:lastRenderedPageBreak/>
        <w:t xml:space="preserve">Savio, C., Mugo-Kamiri, L., &amp; Upfold, J. K. (2022). Bugs in bugs: The role of probiotics and prebiotics in maintenance of health in mass-reared insects. Insects, 13(4), 376. </w:t>
      </w:r>
      <w:hyperlink r:id="rId19" w:history="1">
        <w:r w:rsidRPr="00A65384">
          <w:rPr>
            <w:rStyle w:val="Hyperlink"/>
            <w:rFonts w:ascii="Arial" w:hAnsi="Arial" w:cs="Arial"/>
          </w:rPr>
          <w:t>https://doi.org/10.3390/insects13040376</w:t>
        </w:r>
      </w:hyperlink>
    </w:p>
    <w:p w14:paraId="150B1DF0" w14:textId="77777777" w:rsidR="00F10C30" w:rsidRDefault="00F10C30" w:rsidP="00F10C30">
      <w:pPr>
        <w:pStyle w:val="Body"/>
        <w:numPr>
          <w:ilvl w:val="0"/>
          <w:numId w:val="31"/>
        </w:numPr>
        <w:spacing w:after="0"/>
        <w:rPr>
          <w:rFonts w:ascii="Arial" w:hAnsi="Arial" w:cs="Arial"/>
        </w:rPr>
      </w:pPr>
      <w:r w:rsidRPr="00F10C30">
        <w:rPr>
          <w:rFonts w:ascii="Arial" w:hAnsi="Arial" w:cs="Arial"/>
        </w:rPr>
        <w:t>Kalokhe, G. D., Latpate, C. B., &amp; Mare, Y. B. (2024). Effect of probiotics on economic traits of mulberry silkworm. International Journal of Advanced Biochemistry Research, 8(10), 1301–1307.</w:t>
      </w:r>
      <w:r>
        <w:rPr>
          <w:rFonts w:ascii="Arial" w:hAnsi="Arial" w:cs="Arial"/>
        </w:rPr>
        <w:t xml:space="preserve"> </w:t>
      </w:r>
      <w:hyperlink r:id="rId20" w:history="1">
        <w:r w:rsidRPr="00A65384">
          <w:rPr>
            <w:rStyle w:val="Hyperlink"/>
            <w:rFonts w:ascii="Arial" w:hAnsi="Arial" w:cs="Arial"/>
          </w:rPr>
          <w:t>https://doi.org/10.33545/26174693.2024.v8.i10Sp.2712</w:t>
        </w:r>
      </w:hyperlink>
    </w:p>
    <w:p w14:paraId="66884485" w14:textId="77777777" w:rsidR="00F10C30" w:rsidRDefault="00F10C30" w:rsidP="00F10C30">
      <w:pPr>
        <w:pStyle w:val="Body"/>
        <w:numPr>
          <w:ilvl w:val="0"/>
          <w:numId w:val="31"/>
        </w:numPr>
        <w:spacing w:after="0"/>
        <w:rPr>
          <w:rFonts w:ascii="Arial" w:hAnsi="Arial" w:cs="Arial"/>
        </w:rPr>
      </w:pPr>
      <w:r w:rsidRPr="00F10C30">
        <w:rPr>
          <w:rFonts w:ascii="Arial" w:hAnsi="Arial" w:cs="Arial"/>
        </w:rPr>
        <w:t xml:space="preserve">Austin, B., Stuckey, L. F., Robertson, P. A. W., Effendi, I., &amp; Griffith, D. R. W. (1995). A probiotic strain of </w:t>
      </w:r>
      <w:r w:rsidRPr="00F10C30">
        <w:rPr>
          <w:rFonts w:ascii="Arial" w:hAnsi="Arial" w:cs="Arial"/>
          <w:i/>
          <w:iCs/>
        </w:rPr>
        <w:t>Vibrio alginolyticus</w:t>
      </w:r>
      <w:r w:rsidRPr="00F10C30">
        <w:rPr>
          <w:rFonts w:ascii="Arial" w:hAnsi="Arial" w:cs="Arial"/>
        </w:rPr>
        <w:t xml:space="preserve"> effective in reducing diseases caused by </w:t>
      </w:r>
      <w:r w:rsidRPr="00F10C30">
        <w:rPr>
          <w:rFonts w:ascii="Arial" w:hAnsi="Arial" w:cs="Arial"/>
          <w:i/>
          <w:iCs/>
        </w:rPr>
        <w:t>Aeromonas salmonicida</w:t>
      </w:r>
      <w:r w:rsidRPr="00F10C30">
        <w:rPr>
          <w:rFonts w:ascii="Arial" w:hAnsi="Arial" w:cs="Arial"/>
        </w:rPr>
        <w:t xml:space="preserve">, </w:t>
      </w:r>
      <w:r w:rsidRPr="00F10C30">
        <w:rPr>
          <w:rFonts w:ascii="Arial" w:hAnsi="Arial" w:cs="Arial"/>
          <w:i/>
          <w:iCs/>
        </w:rPr>
        <w:t>Vibrio anguillarum</w:t>
      </w:r>
      <w:r w:rsidRPr="00F10C30">
        <w:rPr>
          <w:rFonts w:ascii="Arial" w:hAnsi="Arial" w:cs="Arial"/>
        </w:rPr>
        <w:t xml:space="preserve"> and </w:t>
      </w:r>
      <w:r w:rsidRPr="00F10C30">
        <w:rPr>
          <w:rFonts w:ascii="Arial" w:hAnsi="Arial" w:cs="Arial"/>
          <w:i/>
          <w:iCs/>
        </w:rPr>
        <w:t>Vibrio ordalii</w:t>
      </w:r>
      <w:r w:rsidRPr="00F10C30">
        <w:rPr>
          <w:rFonts w:ascii="Arial" w:hAnsi="Arial" w:cs="Arial"/>
        </w:rPr>
        <w:t xml:space="preserve">. </w:t>
      </w:r>
      <w:r w:rsidRPr="00F10C30">
        <w:rPr>
          <w:rFonts w:ascii="Arial" w:hAnsi="Arial" w:cs="Arial"/>
          <w:iCs/>
        </w:rPr>
        <w:t>Journal of Fish Diseases, 18</w:t>
      </w:r>
      <w:r w:rsidRPr="00F10C30">
        <w:rPr>
          <w:rFonts w:ascii="Arial" w:hAnsi="Arial" w:cs="Arial"/>
        </w:rPr>
        <w:t>(1), 93–96.</w:t>
      </w:r>
      <w:r>
        <w:rPr>
          <w:rFonts w:ascii="Arial" w:hAnsi="Arial" w:cs="Arial"/>
        </w:rPr>
        <w:t xml:space="preserve"> </w:t>
      </w:r>
    </w:p>
    <w:p w14:paraId="14B99556" w14:textId="77777777" w:rsidR="00F10C30" w:rsidRPr="002E7EE4" w:rsidRDefault="00F10C30" w:rsidP="00F10C30">
      <w:pPr>
        <w:pStyle w:val="Body"/>
        <w:numPr>
          <w:ilvl w:val="0"/>
          <w:numId w:val="31"/>
        </w:numPr>
        <w:spacing w:after="0"/>
        <w:rPr>
          <w:rFonts w:ascii="Arial" w:hAnsi="Arial" w:cs="Arial"/>
        </w:rPr>
      </w:pPr>
      <w:r w:rsidRPr="00F10C30">
        <w:rPr>
          <w:rFonts w:ascii="Arial" w:hAnsi="Arial" w:cs="Arial"/>
        </w:rPr>
        <w:t xml:space="preserve">Mohanraj, P., Priyadharshini, P., &amp; Mahalingam, C. A. (2016). Fortification of probiotics and botanicals and its effect on economic parameters of silkworm, </w:t>
      </w:r>
      <w:r w:rsidRPr="00F10C30">
        <w:rPr>
          <w:rFonts w:ascii="Arial" w:hAnsi="Arial" w:cs="Arial"/>
          <w:i/>
          <w:iCs/>
        </w:rPr>
        <w:t>Bombyx mori</w:t>
      </w:r>
      <w:r w:rsidRPr="00F10C30">
        <w:rPr>
          <w:rFonts w:ascii="Arial" w:hAnsi="Arial" w:cs="Arial"/>
        </w:rPr>
        <w:t xml:space="preserve"> L. </w:t>
      </w:r>
      <w:r w:rsidR="002E7EE4">
        <w:t xml:space="preserve">Current </w:t>
      </w:r>
      <w:proofErr w:type="spellStart"/>
      <w:r w:rsidR="002E7EE4">
        <w:t>Biotica</w:t>
      </w:r>
      <w:proofErr w:type="spellEnd"/>
      <w:r w:rsidR="002E7EE4">
        <w:t xml:space="preserve"> 10(1), 45-51.</w:t>
      </w:r>
    </w:p>
    <w:p w14:paraId="2EA2B0C0" w14:textId="77777777" w:rsidR="002E7EE4" w:rsidRPr="002E7EE4" w:rsidRDefault="002E7EE4" w:rsidP="00F10C30">
      <w:pPr>
        <w:pStyle w:val="Body"/>
        <w:numPr>
          <w:ilvl w:val="0"/>
          <w:numId w:val="31"/>
        </w:numPr>
        <w:spacing w:after="0"/>
        <w:rPr>
          <w:rFonts w:ascii="Arial" w:hAnsi="Arial" w:cs="Arial"/>
        </w:rPr>
      </w:pPr>
      <w:r>
        <w:t xml:space="preserve">Chan, R. C., Reid, G., Irvin, R. T., Bruce, A. W., &amp; Costerton, J. W. (1985). Competitive exclusion of </w:t>
      </w:r>
      <w:proofErr w:type="spellStart"/>
      <w:r>
        <w:t>uropathogens</w:t>
      </w:r>
      <w:proofErr w:type="spellEnd"/>
      <w:r>
        <w:t xml:space="preserve"> from human uroepithelial cells by </w:t>
      </w:r>
      <w:r>
        <w:rPr>
          <w:rStyle w:val="Emphasis"/>
        </w:rPr>
        <w:t>Lactobacillus</w:t>
      </w:r>
      <w:r>
        <w:t xml:space="preserve"> whole cells and cell wall fragments. </w:t>
      </w:r>
      <w:r w:rsidRPr="002E7EE4">
        <w:rPr>
          <w:rStyle w:val="Emphasis"/>
          <w:i w:val="0"/>
        </w:rPr>
        <w:t>Infection and Immunity, 47</w:t>
      </w:r>
      <w:r>
        <w:t xml:space="preserve">(1), 84–89. </w:t>
      </w:r>
      <w:hyperlink r:id="rId21" w:history="1">
        <w:r w:rsidRPr="00A65384">
          <w:rPr>
            <w:rStyle w:val="Hyperlink"/>
          </w:rPr>
          <w:t>https://doi.org/10.1128/iai.47.1.84-89.1985</w:t>
        </w:r>
      </w:hyperlink>
    </w:p>
    <w:p w14:paraId="32638B8B" w14:textId="77777777" w:rsidR="002E7EE4" w:rsidRDefault="002E7EE4" w:rsidP="002E7EE4">
      <w:pPr>
        <w:pStyle w:val="Body"/>
        <w:numPr>
          <w:ilvl w:val="0"/>
          <w:numId w:val="31"/>
        </w:numPr>
        <w:spacing w:after="0"/>
        <w:rPr>
          <w:rFonts w:ascii="Arial" w:hAnsi="Arial" w:cs="Arial"/>
        </w:rPr>
      </w:pPr>
      <w:r w:rsidRPr="002E7EE4">
        <w:rPr>
          <w:rFonts w:ascii="Arial" w:hAnsi="Arial" w:cs="Arial"/>
        </w:rPr>
        <w:t>Douillet, P. A., &amp; Langdon, C. J. (1994). Use of a probiotic for the culture of larvae of the Pacific oyster (</w:t>
      </w:r>
      <w:r w:rsidRPr="002E7EE4">
        <w:rPr>
          <w:rFonts w:ascii="Arial" w:hAnsi="Arial" w:cs="Arial"/>
          <w:i/>
          <w:iCs/>
        </w:rPr>
        <w:t>Crassostrea gigas</w:t>
      </w:r>
      <w:r w:rsidRPr="002E7EE4">
        <w:rPr>
          <w:rFonts w:ascii="Arial" w:hAnsi="Arial" w:cs="Arial"/>
        </w:rPr>
        <w:t xml:space="preserve"> Thunberg). </w:t>
      </w:r>
      <w:r w:rsidRPr="002E7EE4">
        <w:rPr>
          <w:rFonts w:ascii="Arial" w:hAnsi="Arial" w:cs="Arial"/>
          <w:iCs/>
        </w:rPr>
        <w:t>Aquaculture, 119</w:t>
      </w:r>
      <w:r w:rsidRPr="002E7EE4">
        <w:rPr>
          <w:rFonts w:ascii="Arial" w:hAnsi="Arial" w:cs="Arial"/>
        </w:rPr>
        <w:t>(1), 25–40.</w:t>
      </w:r>
      <w:r>
        <w:rPr>
          <w:rFonts w:ascii="Arial" w:hAnsi="Arial" w:cs="Arial"/>
        </w:rPr>
        <w:t xml:space="preserve"> </w:t>
      </w:r>
      <w:hyperlink r:id="rId22" w:history="1">
        <w:r w:rsidRPr="00A65384">
          <w:rPr>
            <w:rStyle w:val="Hyperlink"/>
            <w:rFonts w:ascii="Arial" w:hAnsi="Arial" w:cs="Arial"/>
          </w:rPr>
          <w:t>https://doi.org/10.1016/0044-8486(94)90441-3</w:t>
        </w:r>
      </w:hyperlink>
    </w:p>
    <w:p w14:paraId="2FED2C83" w14:textId="77777777" w:rsidR="002E7EE4" w:rsidRDefault="00754D4B" w:rsidP="002E7EE4">
      <w:pPr>
        <w:pStyle w:val="Body"/>
        <w:numPr>
          <w:ilvl w:val="0"/>
          <w:numId w:val="31"/>
        </w:numPr>
        <w:spacing w:after="0"/>
        <w:rPr>
          <w:rFonts w:ascii="Arial" w:hAnsi="Arial" w:cs="Arial"/>
        </w:rPr>
      </w:pPr>
      <w:r w:rsidRPr="00754D4B">
        <w:rPr>
          <w:rFonts w:ascii="Arial" w:hAnsi="Arial" w:cs="Arial"/>
        </w:rPr>
        <w:t>Gildberg, A., Mikkelsen, H., Sandaker, E., &amp; Ringø, E. (1997). Probiotic effect of lactic acid bacteria in the feed on growth and survival of fry of Atlantic cod (</w:t>
      </w:r>
      <w:r w:rsidRPr="00754D4B">
        <w:rPr>
          <w:rFonts w:ascii="Arial" w:hAnsi="Arial" w:cs="Arial"/>
          <w:i/>
          <w:iCs/>
        </w:rPr>
        <w:t>Gadus morhua</w:t>
      </w:r>
      <w:r w:rsidRPr="00754D4B">
        <w:rPr>
          <w:rFonts w:ascii="Arial" w:hAnsi="Arial" w:cs="Arial"/>
        </w:rPr>
        <w:t xml:space="preserve">). </w:t>
      </w:r>
      <w:r w:rsidRPr="00754D4B">
        <w:rPr>
          <w:rFonts w:ascii="Arial" w:hAnsi="Arial" w:cs="Arial"/>
          <w:iCs/>
        </w:rPr>
        <w:t>Hydrobiologia, 352</w:t>
      </w:r>
      <w:r w:rsidRPr="00754D4B">
        <w:rPr>
          <w:rFonts w:ascii="Arial" w:hAnsi="Arial" w:cs="Arial"/>
        </w:rPr>
        <w:t>(1), 279–285.</w:t>
      </w:r>
      <w:r>
        <w:rPr>
          <w:rFonts w:ascii="Arial" w:hAnsi="Arial" w:cs="Arial"/>
        </w:rPr>
        <w:t xml:space="preserve"> </w:t>
      </w:r>
      <w:hyperlink r:id="rId23" w:history="1">
        <w:r w:rsidRPr="00A65384">
          <w:rPr>
            <w:rStyle w:val="Hyperlink"/>
            <w:rFonts w:ascii="Arial" w:hAnsi="Arial" w:cs="Arial"/>
          </w:rPr>
          <w:t>https://doi.org/10.1023/A:1003052111938</w:t>
        </w:r>
      </w:hyperlink>
    </w:p>
    <w:p w14:paraId="38D16F56" w14:textId="77777777" w:rsidR="00754D4B" w:rsidRDefault="00754D4B" w:rsidP="00754D4B">
      <w:pPr>
        <w:pStyle w:val="Body"/>
        <w:numPr>
          <w:ilvl w:val="0"/>
          <w:numId w:val="31"/>
        </w:numPr>
        <w:spacing w:after="0"/>
        <w:rPr>
          <w:rFonts w:ascii="Arial" w:hAnsi="Arial" w:cs="Arial"/>
        </w:rPr>
      </w:pPr>
      <w:r w:rsidRPr="00754D4B">
        <w:rPr>
          <w:rFonts w:ascii="Arial" w:hAnsi="Arial" w:cs="Arial"/>
        </w:rPr>
        <w:t xml:space="preserve">Brigidi, P., Vitali, B., Swennen, E., </w:t>
      </w:r>
      <w:proofErr w:type="spellStart"/>
      <w:r w:rsidRPr="00754D4B">
        <w:rPr>
          <w:rFonts w:ascii="Arial" w:hAnsi="Arial" w:cs="Arial"/>
        </w:rPr>
        <w:t>Altomare</w:t>
      </w:r>
      <w:proofErr w:type="spellEnd"/>
      <w:r w:rsidRPr="00754D4B">
        <w:rPr>
          <w:rFonts w:ascii="Arial" w:hAnsi="Arial" w:cs="Arial"/>
        </w:rPr>
        <w:t xml:space="preserve">, L., Rossi, M., &amp; Matteuzzi, D. (2000). Specific detection of </w:t>
      </w:r>
      <w:r w:rsidRPr="00754D4B">
        <w:rPr>
          <w:rFonts w:ascii="Arial" w:hAnsi="Arial" w:cs="Arial"/>
          <w:i/>
          <w:iCs/>
        </w:rPr>
        <w:t>Bifidobacterium</w:t>
      </w:r>
      <w:r w:rsidRPr="00754D4B">
        <w:rPr>
          <w:rFonts w:ascii="Arial" w:hAnsi="Arial" w:cs="Arial"/>
        </w:rPr>
        <w:t xml:space="preserve"> strains in a pharmaceutical probiotic product and in human feces by polymerase chain reaction. </w:t>
      </w:r>
      <w:r w:rsidRPr="00754D4B">
        <w:rPr>
          <w:rFonts w:ascii="Arial" w:hAnsi="Arial" w:cs="Arial"/>
          <w:iCs/>
        </w:rPr>
        <w:t>Systematic and Applied Microbiology, 23</w:t>
      </w:r>
      <w:r w:rsidRPr="00754D4B">
        <w:rPr>
          <w:rFonts w:ascii="Arial" w:hAnsi="Arial" w:cs="Arial"/>
        </w:rPr>
        <w:t>(3), 391–399.</w:t>
      </w:r>
      <w:r>
        <w:rPr>
          <w:rFonts w:ascii="Arial" w:hAnsi="Arial" w:cs="Arial"/>
        </w:rPr>
        <w:t xml:space="preserve"> </w:t>
      </w:r>
      <w:hyperlink r:id="rId24" w:history="1">
        <w:r w:rsidRPr="00A65384">
          <w:rPr>
            <w:rStyle w:val="Hyperlink"/>
            <w:rFonts w:ascii="Arial" w:hAnsi="Arial" w:cs="Arial"/>
          </w:rPr>
          <w:t>https://doi.org/10.1016/S0723-2020(00)80070-3</w:t>
        </w:r>
      </w:hyperlink>
    </w:p>
    <w:p w14:paraId="55A91699" w14:textId="77777777" w:rsidR="00754D4B" w:rsidRDefault="00754D4B" w:rsidP="00754D4B">
      <w:pPr>
        <w:pStyle w:val="Body"/>
        <w:numPr>
          <w:ilvl w:val="0"/>
          <w:numId w:val="31"/>
        </w:numPr>
        <w:spacing w:after="0"/>
        <w:rPr>
          <w:rFonts w:ascii="Arial" w:hAnsi="Arial" w:cs="Arial"/>
        </w:rPr>
      </w:pPr>
      <w:r w:rsidRPr="00754D4B">
        <w:rPr>
          <w:rFonts w:ascii="Arial" w:hAnsi="Arial" w:cs="Arial"/>
        </w:rPr>
        <w:t>Brigidi, P., Vitali, B., Swennen, E., Bazzocchi, G., &amp; Matteuzzi, D. (2001). Effects of probiotic administration upon the composition and enzymatic activity of human fecal microbiota in patients with irritable bowel syndrome or functional diarrhea. Research in Microbiology, 152(8), 735–741.</w:t>
      </w:r>
      <w:r>
        <w:rPr>
          <w:rFonts w:ascii="Arial" w:hAnsi="Arial" w:cs="Arial"/>
        </w:rPr>
        <w:t xml:space="preserve"> </w:t>
      </w:r>
      <w:hyperlink r:id="rId25" w:history="1">
        <w:r w:rsidRPr="00A65384">
          <w:rPr>
            <w:rStyle w:val="Hyperlink"/>
            <w:rFonts w:ascii="Arial" w:hAnsi="Arial" w:cs="Arial"/>
          </w:rPr>
          <w:t>https://doi.org/10.1016/S0923-2508(01)01254-2</w:t>
        </w:r>
      </w:hyperlink>
    </w:p>
    <w:p w14:paraId="52D4DC0C" w14:textId="77777777" w:rsidR="00754D4B" w:rsidRDefault="00754D4B" w:rsidP="00754D4B">
      <w:pPr>
        <w:pStyle w:val="Body"/>
        <w:numPr>
          <w:ilvl w:val="0"/>
          <w:numId w:val="31"/>
        </w:numPr>
        <w:spacing w:after="0"/>
        <w:rPr>
          <w:rFonts w:ascii="Arial" w:hAnsi="Arial" w:cs="Arial"/>
        </w:rPr>
      </w:pPr>
      <w:r w:rsidRPr="00754D4B">
        <w:rPr>
          <w:rFonts w:ascii="Arial" w:hAnsi="Arial" w:cs="Arial"/>
        </w:rPr>
        <w:t xml:space="preserve">Dillon, R. J., &amp; Dillon, V. M. (2004). The gut bacteria of insects: Nonpathogenic interactions. Annual Review of Entomology, 49(1), 71–92. </w:t>
      </w:r>
      <w:hyperlink r:id="rId26" w:history="1">
        <w:r w:rsidRPr="00A65384">
          <w:rPr>
            <w:rStyle w:val="Hyperlink"/>
            <w:rFonts w:ascii="Arial" w:hAnsi="Arial" w:cs="Arial"/>
          </w:rPr>
          <w:t>https://doi.org/10.1146/annurev.ento.49.061802.123416</w:t>
        </w:r>
      </w:hyperlink>
    </w:p>
    <w:p w14:paraId="4B0AAAD9" w14:textId="77777777" w:rsidR="00754D4B" w:rsidRDefault="00754D4B" w:rsidP="00754D4B">
      <w:pPr>
        <w:pStyle w:val="Body"/>
        <w:numPr>
          <w:ilvl w:val="0"/>
          <w:numId w:val="31"/>
        </w:numPr>
        <w:spacing w:after="0"/>
        <w:rPr>
          <w:rFonts w:ascii="Arial" w:hAnsi="Arial" w:cs="Arial"/>
        </w:rPr>
      </w:pPr>
      <w:r w:rsidRPr="00754D4B">
        <w:rPr>
          <w:rFonts w:ascii="Arial" w:hAnsi="Arial" w:cs="Arial"/>
        </w:rPr>
        <w:t>Steinhaus, E. A. (1949). Principles of insect pathology (1st ed.). New York: McGraw-Hill Book Company Inc.</w:t>
      </w:r>
    </w:p>
    <w:p w14:paraId="734935A6" w14:textId="77777777" w:rsidR="00754D4B" w:rsidRDefault="00F15C3A" w:rsidP="00F15C3A">
      <w:pPr>
        <w:pStyle w:val="Body"/>
        <w:numPr>
          <w:ilvl w:val="0"/>
          <w:numId w:val="31"/>
        </w:numPr>
        <w:spacing w:after="0"/>
        <w:rPr>
          <w:rFonts w:ascii="Arial" w:hAnsi="Arial" w:cs="Arial"/>
        </w:rPr>
      </w:pPr>
      <w:r w:rsidRPr="00F15C3A">
        <w:rPr>
          <w:rFonts w:ascii="Arial" w:hAnsi="Arial" w:cs="Arial"/>
        </w:rPr>
        <w:t xml:space="preserve">Kodama, R. (2001). Bacterial diseases and countermeasures. In Y. </w:t>
      </w:r>
      <w:proofErr w:type="spellStart"/>
      <w:r w:rsidRPr="00F15C3A">
        <w:rPr>
          <w:rFonts w:ascii="Arial" w:hAnsi="Arial" w:cs="Arial"/>
        </w:rPr>
        <w:t>Hamamura</w:t>
      </w:r>
      <w:proofErr w:type="spellEnd"/>
      <w:r w:rsidRPr="00F15C3A">
        <w:rPr>
          <w:rFonts w:ascii="Arial" w:hAnsi="Arial" w:cs="Arial"/>
        </w:rPr>
        <w:t xml:space="preserve"> (Ed.), Silkworm rearing on artificial diet (pp. 162–221). Enfield, USA: Science Publishers, Inc.</w:t>
      </w:r>
    </w:p>
    <w:p w14:paraId="5A9C13F2" w14:textId="77777777" w:rsidR="00F15C3A" w:rsidRDefault="00FE6CCA" w:rsidP="00FE6CCA">
      <w:pPr>
        <w:pStyle w:val="Body"/>
        <w:numPr>
          <w:ilvl w:val="0"/>
          <w:numId w:val="31"/>
        </w:numPr>
        <w:spacing w:after="0"/>
        <w:rPr>
          <w:rFonts w:ascii="Arial" w:hAnsi="Arial" w:cs="Arial"/>
        </w:rPr>
      </w:pPr>
      <w:r w:rsidRPr="00FE6CCA">
        <w:rPr>
          <w:rFonts w:ascii="Arial" w:hAnsi="Arial" w:cs="Arial"/>
        </w:rPr>
        <w:t xml:space="preserve">Bruno, M. E., &amp; Montville, T. J. (1993). Common mechanistic action of bacteriocins from lactic acid bacteria. Applied and Environmental Microbiology, 59(9), 3003–3010. </w:t>
      </w:r>
      <w:hyperlink r:id="rId27" w:history="1">
        <w:r w:rsidRPr="00A65384">
          <w:rPr>
            <w:rStyle w:val="Hyperlink"/>
            <w:rFonts w:ascii="Arial" w:hAnsi="Arial" w:cs="Arial"/>
          </w:rPr>
          <w:t>https://doi.org/10.1128/aem.59.9.3003-3010.1993</w:t>
        </w:r>
      </w:hyperlink>
    </w:p>
    <w:p w14:paraId="30B60175" w14:textId="77777777" w:rsidR="00FE6CCA" w:rsidRDefault="00FE6CCA" w:rsidP="00FE6CCA">
      <w:pPr>
        <w:pStyle w:val="Body"/>
        <w:numPr>
          <w:ilvl w:val="0"/>
          <w:numId w:val="31"/>
        </w:numPr>
        <w:spacing w:after="0"/>
        <w:rPr>
          <w:rFonts w:ascii="Arial" w:hAnsi="Arial" w:cs="Arial"/>
        </w:rPr>
      </w:pPr>
      <w:r w:rsidRPr="00FE6CCA">
        <w:rPr>
          <w:rFonts w:ascii="Arial" w:hAnsi="Arial" w:cs="Arial"/>
        </w:rPr>
        <w:t xml:space="preserve">Bernet-Camard, M. F., </w:t>
      </w:r>
      <w:proofErr w:type="spellStart"/>
      <w:r w:rsidRPr="00FE6CCA">
        <w:rPr>
          <w:rFonts w:ascii="Arial" w:hAnsi="Arial" w:cs="Arial"/>
        </w:rPr>
        <w:t>Liévin</w:t>
      </w:r>
      <w:proofErr w:type="spellEnd"/>
      <w:r w:rsidRPr="00FE6CCA">
        <w:rPr>
          <w:rFonts w:ascii="Arial" w:hAnsi="Arial" w:cs="Arial"/>
        </w:rPr>
        <w:t xml:space="preserve">, V., </w:t>
      </w:r>
      <w:proofErr w:type="spellStart"/>
      <w:r w:rsidRPr="00FE6CCA">
        <w:rPr>
          <w:rFonts w:ascii="Arial" w:hAnsi="Arial" w:cs="Arial"/>
        </w:rPr>
        <w:t>Brassart</w:t>
      </w:r>
      <w:proofErr w:type="spellEnd"/>
      <w:r w:rsidRPr="00FE6CCA">
        <w:rPr>
          <w:rFonts w:ascii="Arial" w:hAnsi="Arial" w:cs="Arial"/>
        </w:rPr>
        <w:t xml:space="preserve">, D., </w:t>
      </w:r>
      <w:proofErr w:type="spellStart"/>
      <w:r w:rsidRPr="00FE6CCA">
        <w:rPr>
          <w:rFonts w:ascii="Arial" w:hAnsi="Arial" w:cs="Arial"/>
        </w:rPr>
        <w:t>Neeser</w:t>
      </w:r>
      <w:proofErr w:type="spellEnd"/>
      <w:r w:rsidRPr="00FE6CCA">
        <w:rPr>
          <w:rFonts w:ascii="Arial" w:hAnsi="Arial" w:cs="Arial"/>
        </w:rPr>
        <w:t xml:space="preserve">, J. R., Servin, A. L., &amp; </w:t>
      </w:r>
      <w:proofErr w:type="spellStart"/>
      <w:r w:rsidRPr="00FE6CCA">
        <w:rPr>
          <w:rFonts w:ascii="Arial" w:hAnsi="Arial" w:cs="Arial"/>
        </w:rPr>
        <w:t>Hudault</w:t>
      </w:r>
      <w:proofErr w:type="spellEnd"/>
      <w:r w:rsidRPr="00FE6CCA">
        <w:rPr>
          <w:rFonts w:ascii="Arial" w:hAnsi="Arial" w:cs="Arial"/>
        </w:rPr>
        <w:t xml:space="preserve">, S. (1997). The human </w:t>
      </w:r>
      <w:r w:rsidRPr="00FE6CCA">
        <w:rPr>
          <w:rFonts w:ascii="Arial" w:hAnsi="Arial" w:cs="Arial"/>
          <w:i/>
          <w:iCs/>
        </w:rPr>
        <w:t>Lactobacillus acidophilus</w:t>
      </w:r>
      <w:r w:rsidRPr="00FE6CCA">
        <w:rPr>
          <w:rFonts w:ascii="Arial" w:hAnsi="Arial" w:cs="Arial"/>
        </w:rPr>
        <w:t xml:space="preserve"> strain LA1 secretes a </w:t>
      </w:r>
      <w:proofErr w:type="spellStart"/>
      <w:r w:rsidRPr="00FE6CCA">
        <w:rPr>
          <w:rFonts w:ascii="Arial" w:hAnsi="Arial" w:cs="Arial"/>
        </w:rPr>
        <w:t>nonbacteriocin</w:t>
      </w:r>
      <w:proofErr w:type="spellEnd"/>
      <w:r w:rsidRPr="00FE6CCA">
        <w:rPr>
          <w:rFonts w:ascii="Arial" w:hAnsi="Arial" w:cs="Arial"/>
        </w:rPr>
        <w:t xml:space="preserve"> antibacterial substance(s) active </w:t>
      </w:r>
      <w:r w:rsidRPr="00FE6CCA">
        <w:rPr>
          <w:rFonts w:ascii="Arial" w:hAnsi="Arial" w:cs="Arial"/>
          <w:iCs/>
        </w:rPr>
        <w:t>in vitro</w:t>
      </w:r>
      <w:r w:rsidRPr="00FE6CCA">
        <w:rPr>
          <w:rFonts w:ascii="Arial" w:hAnsi="Arial" w:cs="Arial"/>
        </w:rPr>
        <w:t xml:space="preserve"> and </w:t>
      </w:r>
      <w:r w:rsidRPr="00FE6CCA">
        <w:rPr>
          <w:rFonts w:ascii="Arial" w:hAnsi="Arial" w:cs="Arial"/>
          <w:iCs/>
        </w:rPr>
        <w:t>in vivo</w:t>
      </w:r>
      <w:r w:rsidRPr="00FE6CCA">
        <w:rPr>
          <w:rFonts w:ascii="Arial" w:hAnsi="Arial" w:cs="Arial"/>
        </w:rPr>
        <w:t xml:space="preserve">. </w:t>
      </w:r>
      <w:r w:rsidRPr="00FE6CCA">
        <w:rPr>
          <w:rFonts w:ascii="Arial" w:hAnsi="Arial" w:cs="Arial"/>
          <w:iCs/>
        </w:rPr>
        <w:t>Applied and Environmental Microbiology, 63</w:t>
      </w:r>
      <w:r w:rsidRPr="00FE6CCA">
        <w:rPr>
          <w:rFonts w:ascii="Arial" w:hAnsi="Arial" w:cs="Arial"/>
        </w:rPr>
        <w:t xml:space="preserve">(7), 2747–2753. </w:t>
      </w:r>
      <w:hyperlink r:id="rId28" w:history="1">
        <w:r w:rsidRPr="00A65384">
          <w:rPr>
            <w:rStyle w:val="Hyperlink"/>
            <w:rFonts w:ascii="Arial" w:hAnsi="Arial" w:cs="Arial"/>
          </w:rPr>
          <w:t>https://doi.org/10.1128/aem.63.7.2747-2753.1997</w:t>
        </w:r>
      </w:hyperlink>
    </w:p>
    <w:p w14:paraId="5162B77A" w14:textId="77777777" w:rsidR="00FE6CCA" w:rsidRDefault="00FE6CCA" w:rsidP="00FE6CCA">
      <w:pPr>
        <w:pStyle w:val="Body"/>
        <w:numPr>
          <w:ilvl w:val="0"/>
          <w:numId w:val="31"/>
        </w:numPr>
        <w:spacing w:after="0"/>
        <w:rPr>
          <w:rFonts w:ascii="Arial" w:hAnsi="Arial" w:cs="Arial"/>
        </w:rPr>
      </w:pPr>
      <w:r w:rsidRPr="00FE6CCA">
        <w:rPr>
          <w:rFonts w:ascii="Arial" w:hAnsi="Arial" w:cs="Arial"/>
        </w:rPr>
        <w:t xml:space="preserve">Fuller, R. (1991). Probiotics in human medicine. Gut, 32(4), 439. </w:t>
      </w:r>
      <w:hyperlink r:id="rId29" w:history="1">
        <w:r w:rsidRPr="00A65384">
          <w:rPr>
            <w:rStyle w:val="Hyperlink"/>
            <w:rFonts w:ascii="Arial" w:hAnsi="Arial" w:cs="Arial"/>
          </w:rPr>
          <w:t>https://doi.org/10.1136/gut.32.4.439</w:t>
        </w:r>
      </w:hyperlink>
    </w:p>
    <w:p w14:paraId="53259238" w14:textId="77777777" w:rsidR="00FE6CCA" w:rsidRDefault="00FE6CCA" w:rsidP="00FE6CCA">
      <w:pPr>
        <w:pStyle w:val="Body"/>
        <w:numPr>
          <w:ilvl w:val="0"/>
          <w:numId w:val="31"/>
        </w:numPr>
        <w:spacing w:after="0"/>
        <w:rPr>
          <w:rFonts w:ascii="Arial" w:hAnsi="Arial" w:cs="Arial"/>
        </w:rPr>
      </w:pPr>
      <w:r w:rsidRPr="00FE6CCA">
        <w:rPr>
          <w:rFonts w:ascii="Arial" w:hAnsi="Arial" w:cs="Arial"/>
        </w:rPr>
        <w:t xml:space="preserve">Sakamoto, I., Igarashi, M., Kimura, K., Takagi, A., Miwa, T., &amp; Koga, Y. (2001). Suppressive effect of </w:t>
      </w:r>
      <w:r w:rsidRPr="00FE6CCA">
        <w:rPr>
          <w:rFonts w:ascii="Arial" w:hAnsi="Arial" w:cs="Arial"/>
          <w:i/>
          <w:iCs/>
        </w:rPr>
        <w:t xml:space="preserve">Lactobacillus </w:t>
      </w:r>
      <w:proofErr w:type="spellStart"/>
      <w:r w:rsidRPr="00FE6CCA">
        <w:rPr>
          <w:rFonts w:ascii="Arial" w:hAnsi="Arial" w:cs="Arial"/>
          <w:i/>
          <w:iCs/>
        </w:rPr>
        <w:t>gasseri</w:t>
      </w:r>
      <w:proofErr w:type="spellEnd"/>
      <w:r w:rsidRPr="00FE6CCA">
        <w:rPr>
          <w:rFonts w:ascii="Arial" w:hAnsi="Arial" w:cs="Arial"/>
        </w:rPr>
        <w:t xml:space="preserve"> OLL 2716 (LG21) on </w:t>
      </w:r>
      <w:r w:rsidRPr="00FE6CCA">
        <w:rPr>
          <w:rFonts w:ascii="Arial" w:hAnsi="Arial" w:cs="Arial"/>
          <w:i/>
          <w:iCs/>
        </w:rPr>
        <w:t>Helicobacter pylori</w:t>
      </w:r>
      <w:r w:rsidRPr="00FE6CCA">
        <w:rPr>
          <w:rFonts w:ascii="Arial" w:hAnsi="Arial" w:cs="Arial"/>
        </w:rPr>
        <w:t xml:space="preserve"> infection in humans. </w:t>
      </w:r>
      <w:r w:rsidRPr="00FE6CCA">
        <w:rPr>
          <w:rFonts w:ascii="Arial" w:hAnsi="Arial" w:cs="Arial"/>
          <w:iCs/>
        </w:rPr>
        <w:t>Journal of Antimicrobial Chemotherapy, 47</w:t>
      </w:r>
      <w:r w:rsidRPr="00FE6CCA">
        <w:rPr>
          <w:rFonts w:ascii="Arial" w:hAnsi="Arial" w:cs="Arial"/>
        </w:rPr>
        <w:t xml:space="preserve">(5), 709–710. </w:t>
      </w:r>
      <w:hyperlink r:id="rId30" w:history="1">
        <w:r w:rsidRPr="00A65384">
          <w:rPr>
            <w:rStyle w:val="Hyperlink"/>
            <w:rFonts w:ascii="Arial" w:hAnsi="Arial" w:cs="Arial"/>
          </w:rPr>
          <w:t>https://doi.org/10.1093/jac/47.5.709</w:t>
        </w:r>
      </w:hyperlink>
    </w:p>
    <w:p w14:paraId="63675272" w14:textId="77777777" w:rsidR="00FE6CCA" w:rsidRDefault="00FE6CCA" w:rsidP="00FE6CCA">
      <w:pPr>
        <w:pStyle w:val="Body"/>
        <w:numPr>
          <w:ilvl w:val="0"/>
          <w:numId w:val="31"/>
        </w:numPr>
        <w:spacing w:after="0"/>
        <w:rPr>
          <w:rFonts w:ascii="Arial" w:hAnsi="Arial" w:cs="Arial"/>
        </w:rPr>
      </w:pPr>
      <w:r w:rsidRPr="00FE6CCA">
        <w:rPr>
          <w:rFonts w:ascii="Arial" w:hAnsi="Arial" w:cs="Arial"/>
        </w:rPr>
        <w:lastRenderedPageBreak/>
        <w:t xml:space="preserve">Singh, K. K., Chauhan, R. M., Pande, A. B., Gokhale, S. B., &amp; Hegde, N. G. (2005). Effect of use of </w:t>
      </w:r>
      <w:r w:rsidRPr="00FE6CCA">
        <w:rPr>
          <w:rFonts w:ascii="Arial" w:hAnsi="Arial" w:cs="Arial"/>
          <w:i/>
          <w:iCs/>
        </w:rPr>
        <w:t>Lactobacillus plantarum</w:t>
      </w:r>
      <w:r w:rsidRPr="00FE6CCA">
        <w:rPr>
          <w:rFonts w:ascii="Arial" w:hAnsi="Arial" w:cs="Arial"/>
        </w:rPr>
        <w:t xml:space="preserve"> as a probiotic to improve cocoon production of mulberry silkworm </w:t>
      </w:r>
      <w:r w:rsidRPr="00FE6CCA">
        <w:rPr>
          <w:rFonts w:ascii="Arial" w:hAnsi="Arial" w:cs="Arial"/>
          <w:i/>
          <w:iCs/>
        </w:rPr>
        <w:t>Bombyx mori</w:t>
      </w:r>
      <w:r w:rsidRPr="00FE6CCA">
        <w:rPr>
          <w:rFonts w:ascii="Arial" w:hAnsi="Arial" w:cs="Arial"/>
        </w:rPr>
        <w:t xml:space="preserve"> (L). </w:t>
      </w:r>
      <w:r w:rsidRPr="00FE6CCA">
        <w:rPr>
          <w:rFonts w:ascii="Arial" w:hAnsi="Arial" w:cs="Arial"/>
          <w:iCs/>
        </w:rPr>
        <w:t>Journal of Basic and Applied Sciences, 1</w:t>
      </w:r>
      <w:r w:rsidRPr="00FE6CCA">
        <w:rPr>
          <w:rFonts w:ascii="Arial" w:hAnsi="Arial" w:cs="Arial"/>
        </w:rPr>
        <w:t>, 1–8.</w:t>
      </w:r>
    </w:p>
    <w:p w14:paraId="0DD2D308" w14:textId="77777777" w:rsidR="00FE6CCA" w:rsidRDefault="00FE6CCA" w:rsidP="00FE6CCA">
      <w:pPr>
        <w:pStyle w:val="Body"/>
        <w:numPr>
          <w:ilvl w:val="0"/>
          <w:numId w:val="31"/>
        </w:numPr>
        <w:spacing w:after="0"/>
        <w:rPr>
          <w:rFonts w:ascii="Arial" w:hAnsi="Arial" w:cs="Arial"/>
        </w:rPr>
      </w:pPr>
      <w:r w:rsidRPr="00FE6CCA">
        <w:rPr>
          <w:rFonts w:ascii="Arial" w:hAnsi="Arial" w:cs="Arial"/>
        </w:rPr>
        <w:t xml:space="preserve">Bermudez-Brito, M., Plaza-Díaz, J., Muñoz-Quezada, S., Gómez-Llorente, C., &amp; Gil, A. (2012). Probiotic mechanisms of action. Annals of Nutrition and Metabolism, 61(2), 160–174. </w:t>
      </w:r>
      <w:hyperlink r:id="rId31" w:history="1">
        <w:r w:rsidRPr="00A65384">
          <w:rPr>
            <w:rStyle w:val="Hyperlink"/>
            <w:rFonts w:ascii="Arial" w:hAnsi="Arial" w:cs="Arial"/>
          </w:rPr>
          <w:t>https://doi.org/10.1159/000342079</w:t>
        </w:r>
      </w:hyperlink>
    </w:p>
    <w:p w14:paraId="6BF697CB" w14:textId="77777777" w:rsidR="00FE6CCA" w:rsidRDefault="00FE6CCA" w:rsidP="00FE6CCA">
      <w:pPr>
        <w:pStyle w:val="Body"/>
        <w:numPr>
          <w:ilvl w:val="0"/>
          <w:numId w:val="31"/>
        </w:numPr>
        <w:spacing w:after="0"/>
        <w:rPr>
          <w:rFonts w:ascii="Arial" w:hAnsi="Arial" w:cs="Arial"/>
        </w:rPr>
      </w:pPr>
      <w:r w:rsidRPr="00FE6CCA">
        <w:rPr>
          <w:rFonts w:ascii="Arial" w:hAnsi="Arial" w:cs="Arial"/>
        </w:rPr>
        <w:t xml:space="preserve">Rowland, I., Gibson, G., Heinken, A., Scott, K., Swann, J., Thiele, I., &amp; Tuohy, K. (2018). Gut microbiota functions: metabolism of nutrients and other food components. European Journal of Nutrition, 57(1), 1–24. </w:t>
      </w:r>
      <w:hyperlink r:id="rId32" w:history="1">
        <w:r w:rsidRPr="00A65384">
          <w:rPr>
            <w:rStyle w:val="Hyperlink"/>
            <w:rFonts w:ascii="Arial" w:hAnsi="Arial" w:cs="Arial"/>
          </w:rPr>
          <w:t>https://doi.org/10.1007/s00394-017-1445-8</w:t>
        </w:r>
      </w:hyperlink>
    </w:p>
    <w:p w14:paraId="6E2A484B" w14:textId="77777777" w:rsidR="00FE6CCA" w:rsidRDefault="00F15C43" w:rsidP="00F15C43">
      <w:pPr>
        <w:pStyle w:val="Body"/>
        <w:numPr>
          <w:ilvl w:val="0"/>
          <w:numId w:val="31"/>
        </w:numPr>
        <w:spacing w:after="0"/>
        <w:rPr>
          <w:rFonts w:ascii="Arial" w:hAnsi="Arial" w:cs="Arial"/>
        </w:rPr>
      </w:pPr>
      <w:r w:rsidRPr="00F15C43">
        <w:rPr>
          <w:rFonts w:ascii="Arial" w:hAnsi="Arial" w:cs="Arial"/>
        </w:rPr>
        <w:t>Liang, X., Fu, Y., &amp; Liu, H. (2015). Isolation and characterization of enzyme-producing bacteria of the silkworm larval gut in bioregenerative life support system. Acta Astronautica, 116, 247–253.</w:t>
      </w:r>
      <w:r>
        <w:rPr>
          <w:rFonts w:ascii="Arial" w:hAnsi="Arial" w:cs="Arial"/>
        </w:rPr>
        <w:t xml:space="preserve"> </w:t>
      </w:r>
      <w:hyperlink r:id="rId33" w:history="1">
        <w:r w:rsidRPr="00A65384">
          <w:rPr>
            <w:rStyle w:val="Hyperlink"/>
            <w:rFonts w:ascii="Arial" w:hAnsi="Arial" w:cs="Arial"/>
          </w:rPr>
          <w:t>https://doi.org/10.1016/j.actaastro.2015.07.010</w:t>
        </w:r>
      </w:hyperlink>
    </w:p>
    <w:p w14:paraId="672467B2" w14:textId="77777777" w:rsidR="00F15C43" w:rsidRDefault="00F15C43" w:rsidP="00F15C43">
      <w:pPr>
        <w:pStyle w:val="Body"/>
        <w:numPr>
          <w:ilvl w:val="0"/>
          <w:numId w:val="31"/>
        </w:numPr>
        <w:spacing w:after="0"/>
        <w:rPr>
          <w:rFonts w:ascii="Arial" w:hAnsi="Arial" w:cs="Arial"/>
        </w:rPr>
      </w:pPr>
      <w:r w:rsidRPr="00F15C43">
        <w:rPr>
          <w:rFonts w:ascii="Arial" w:hAnsi="Arial" w:cs="Arial"/>
        </w:rPr>
        <w:t xml:space="preserve">Hong, S., Sun, Y., Sun, D., &amp; Wang, C. (2022). Microbiome assembly on </w:t>
      </w:r>
      <w:r w:rsidRPr="00F15C43">
        <w:rPr>
          <w:rFonts w:ascii="Arial" w:hAnsi="Arial" w:cs="Arial"/>
          <w:i/>
          <w:iCs/>
        </w:rPr>
        <w:t>Drosophila</w:t>
      </w:r>
      <w:r w:rsidRPr="00F15C43">
        <w:rPr>
          <w:rFonts w:ascii="Arial" w:hAnsi="Arial" w:cs="Arial"/>
        </w:rPr>
        <w:t xml:space="preserve"> body surfaces benefits the flies to combat fungal infections. </w:t>
      </w:r>
      <w:r w:rsidRPr="00F15C43">
        <w:rPr>
          <w:rFonts w:ascii="Arial" w:hAnsi="Arial" w:cs="Arial"/>
          <w:iCs/>
        </w:rPr>
        <w:t>iScience, 25</w:t>
      </w:r>
      <w:r w:rsidRPr="00F15C43">
        <w:rPr>
          <w:rFonts w:ascii="Arial" w:hAnsi="Arial" w:cs="Arial"/>
        </w:rPr>
        <w:t>(6), 104412.</w:t>
      </w:r>
      <w:r>
        <w:rPr>
          <w:rFonts w:ascii="Arial" w:hAnsi="Arial" w:cs="Arial"/>
        </w:rPr>
        <w:t xml:space="preserve"> </w:t>
      </w:r>
      <w:hyperlink r:id="rId34" w:history="1">
        <w:r w:rsidRPr="00A65384">
          <w:rPr>
            <w:rStyle w:val="Hyperlink"/>
            <w:rFonts w:ascii="Arial" w:hAnsi="Arial" w:cs="Arial"/>
          </w:rPr>
          <w:t>https://doi.org/10.1016/j.isci.2022.104408</w:t>
        </w:r>
      </w:hyperlink>
    </w:p>
    <w:p w14:paraId="7AAAFAA4" w14:textId="77777777" w:rsidR="00F15C43" w:rsidRDefault="00B675D8" w:rsidP="00B675D8">
      <w:pPr>
        <w:pStyle w:val="Body"/>
        <w:numPr>
          <w:ilvl w:val="0"/>
          <w:numId w:val="31"/>
        </w:numPr>
        <w:spacing w:after="0"/>
        <w:rPr>
          <w:rFonts w:ascii="Arial" w:hAnsi="Arial" w:cs="Arial"/>
        </w:rPr>
      </w:pPr>
      <w:r w:rsidRPr="00B675D8">
        <w:rPr>
          <w:rFonts w:ascii="Arial" w:hAnsi="Arial" w:cs="Arial"/>
        </w:rPr>
        <w:t>Hong, S., Shang, J., Sun, Y., Tang, G., &amp; Wang, C. (2024). Fungal infection of insects: Molecular insights and prospects. Trends in Microbiology, 32(3), 302–316.</w:t>
      </w:r>
      <w:r>
        <w:rPr>
          <w:rFonts w:ascii="Arial" w:hAnsi="Arial" w:cs="Arial"/>
        </w:rPr>
        <w:t xml:space="preserve"> </w:t>
      </w:r>
    </w:p>
    <w:p w14:paraId="0C5E63C3" w14:textId="77777777" w:rsidR="00B675D8" w:rsidRDefault="00B675D8" w:rsidP="00B675D8">
      <w:pPr>
        <w:pStyle w:val="Body"/>
        <w:numPr>
          <w:ilvl w:val="0"/>
          <w:numId w:val="31"/>
        </w:numPr>
        <w:spacing w:after="0"/>
        <w:rPr>
          <w:rFonts w:ascii="Arial" w:hAnsi="Arial" w:cs="Arial"/>
        </w:rPr>
      </w:pPr>
      <w:r w:rsidRPr="00B675D8">
        <w:rPr>
          <w:rFonts w:ascii="Arial" w:hAnsi="Arial" w:cs="Arial"/>
        </w:rPr>
        <w:t>Zhao, P., Hong, S., Li, Y., Chen, H., Gao, H., &amp; Wang, C. (2024). From phyllosphere to insect cuticles: Silkworms gather antifungal bacteria from mulberry leaves to battle fungal parasite attacks. Microbiome, 12(1), 40.</w:t>
      </w:r>
      <w:r>
        <w:rPr>
          <w:rFonts w:ascii="Arial" w:hAnsi="Arial" w:cs="Arial"/>
        </w:rPr>
        <w:t xml:space="preserve"> </w:t>
      </w:r>
      <w:hyperlink r:id="rId35" w:history="1">
        <w:r w:rsidRPr="00A65384">
          <w:rPr>
            <w:rStyle w:val="Hyperlink"/>
            <w:rFonts w:ascii="Arial" w:hAnsi="Arial" w:cs="Arial"/>
          </w:rPr>
          <w:t>https://doi.org/10.1186/s40168-024-01764-6</w:t>
        </w:r>
      </w:hyperlink>
    </w:p>
    <w:p w14:paraId="1C25DED3" w14:textId="77777777" w:rsidR="00B675D8" w:rsidRDefault="00B675D8" w:rsidP="00B675D8">
      <w:pPr>
        <w:pStyle w:val="Body"/>
        <w:numPr>
          <w:ilvl w:val="0"/>
          <w:numId w:val="31"/>
        </w:numPr>
        <w:spacing w:after="0"/>
        <w:rPr>
          <w:rFonts w:ascii="Arial" w:hAnsi="Arial" w:cs="Arial"/>
        </w:rPr>
      </w:pPr>
      <w:r w:rsidRPr="00B675D8">
        <w:rPr>
          <w:rFonts w:ascii="Arial" w:hAnsi="Arial" w:cs="Arial"/>
        </w:rPr>
        <w:t xml:space="preserve">Ponnusamy, M., Karthikeyan, C. V., &amp; Ramanathan, B. (2019). Meta-omics in detection of silkworm gut microbiome diversity. In V. Tripathi, P. Kumar, P. Tripathi, A. Kishore, &amp; M. Kamle (Eds.), Microbial genomics in sustainable agroecosystems (pp. 359–370). Singapore: Springer. </w:t>
      </w:r>
      <w:hyperlink r:id="rId36" w:history="1">
        <w:r w:rsidRPr="00A65384">
          <w:rPr>
            <w:rStyle w:val="Hyperlink"/>
            <w:rFonts w:ascii="Arial" w:hAnsi="Arial" w:cs="Arial"/>
          </w:rPr>
          <w:t>https://doi.org/10.1007/978-981-32-9860-6_17</w:t>
        </w:r>
      </w:hyperlink>
    </w:p>
    <w:p w14:paraId="73E1F3DB" w14:textId="77777777" w:rsidR="00B675D8" w:rsidRDefault="00B675D8" w:rsidP="00B675D8">
      <w:pPr>
        <w:pStyle w:val="Body"/>
        <w:numPr>
          <w:ilvl w:val="0"/>
          <w:numId w:val="31"/>
        </w:numPr>
        <w:spacing w:after="0"/>
        <w:rPr>
          <w:rFonts w:ascii="Arial" w:hAnsi="Arial" w:cs="Arial"/>
        </w:rPr>
      </w:pPr>
      <w:r w:rsidRPr="00B675D8">
        <w:rPr>
          <w:rFonts w:ascii="Arial" w:hAnsi="Arial" w:cs="Arial"/>
        </w:rPr>
        <w:t>Li, R., Tun, H. M., Jahan, M., Zhang, Z., Kumar, A., Dilantha Fernando, W. G., ... &amp; Khafipour, E. (2017). Comparison of DNA-, PMA-, and RNA-based 16S rRNA Illumina sequencing for detection of live bacteria in water. Scientific Reports, 7(1), 5752.</w:t>
      </w:r>
      <w:r>
        <w:rPr>
          <w:rFonts w:ascii="Arial" w:hAnsi="Arial" w:cs="Arial"/>
        </w:rPr>
        <w:t xml:space="preserve"> </w:t>
      </w:r>
      <w:hyperlink r:id="rId37" w:history="1">
        <w:r w:rsidRPr="00A65384">
          <w:rPr>
            <w:rStyle w:val="Hyperlink"/>
            <w:rFonts w:ascii="Arial" w:hAnsi="Arial" w:cs="Arial"/>
          </w:rPr>
          <w:t>https://doi.org/10.1038/s41598-017-02516-3</w:t>
        </w:r>
      </w:hyperlink>
    </w:p>
    <w:p w14:paraId="3E550308" w14:textId="77777777" w:rsidR="00B675D8" w:rsidRDefault="00B675D8" w:rsidP="00C34AB5">
      <w:pPr>
        <w:pStyle w:val="Body"/>
        <w:numPr>
          <w:ilvl w:val="0"/>
          <w:numId w:val="31"/>
        </w:numPr>
        <w:spacing w:after="0"/>
        <w:rPr>
          <w:rFonts w:ascii="Arial" w:hAnsi="Arial" w:cs="Arial"/>
        </w:rPr>
      </w:pPr>
      <w:r w:rsidRPr="00B675D8">
        <w:rPr>
          <w:rFonts w:ascii="Arial" w:hAnsi="Arial" w:cs="Arial"/>
        </w:rPr>
        <w:t>Chen, B., Du, K., Sun, C., Vimalanathan, A., Liang, X., Li, Y., ... &amp; Shao, Y. (2018). Gut bacterial and fungal communities of the domesticated silkworm (</w:t>
      </w:r>
      <w:r w:rsidRPr="00B675D8">
        <w:rPr>
          <w:rFonts w:ascii="Arial" w:hAnsi="Arial" w:cs="Arial"/>
          <w:i/>
          <w:iCs/>
        </w:rPr>
        <w:t>Bombyx mori</w:t>
      </w:r>
      <w:r w:rsidRPr="00B675D8">
        <w:rPr>
          <w:rFonts w:ascii="Arial" w:hAnsi="Arial" w:cs="Arial"/>
        </w:rPr>
        <w:t xml:space="preserve">) and wild mulberry-feeding relatives. </w:t>
      </w:r>
      <w:r w:rsidRPr="00B675D8">
        <w:rPr>
          <w:rFonts w:ascii="Arial" w:hAnsi="Arial" w:cs="Arial"/>
          <w:iCs/>
        </w:rPr>
        <w:t>The ISME Journal</w:t>
      </w:r>
      <w:r w:rsidRPr="00B675D8">
        <w:rPr>
          <w:rFonts w:ascii="Arial" w:hAnsi="Arial" w:cs="Arial"/>
        </w:rPr>
        <w:t>, 12(9), 2252–2262.</w:t>
      </w:r>
      <w:r w:rsidR="00C34AB5">
        <w:rPr>
          <w:rFonts w:ascii="Arial" w:hAnsi="Arial" w:cs="Arial"/>
        </w:rPr>
        <w:t xml:space="preserve"> </w:t>
      </w:r>
      <w:hyperlink r:id="rId38" w:history="1">
        <w:r w:rsidR="00C34AB5" w:rsidRPr="00A65384">
          <w:rPr>
            <w:rStyle w:val="Hyperlink"/>
            <w:rFonts w:ascii="Arial" w:hAnsi="Arial" w:cs="Arial"/>
          </w:rPr>
          <w:t>https://doi.org/10.1038/s41396-018-0174-1</w:t>
        </w:r>
      </w:hyperlink>
    </w:p>
    <w:p w14:paraId="5E622817" w14:textId="77777777" w:rsidR="00C34AB5" w:rsidRDefault="00C34AB5" w:rsidP="00C34AB5">
      <w:pPr>
        <w:pStyle w:val="Body"/>
        <w:numPr>
          <w:ilvl w:val="0"/>
          <w:numId w:val="31"/>
        </w:numPr>
        <w:spacing w:after="0"/>
        <w:rPr>
          <w:rFonts w:ascii="Arial" w:hAnsi="Arial" w:cs="Arial"/>
        </w:rPr>
      </w:pPr>
      <w:r w:rsidRPr="00C34AB5">
        <w:rPr>
          <w:rFonts w:ascii="Arial" w:hAnsi="Arial" w:cs="Arial"/>
        </w:rPr>
        <w:t>Pandiarajan, J., &amp; Krishnan, M. (2018). Comparative bacterial survey in the gut of lepidopteran insects with different bionetwork. Microbiology, 87(1), 103–115.</w:t>
      </w:r>
      <w:r>
        <w:rPr>
          <w:rFonts w:ascii="Arial" w:hAnsi="Arial" w:cs="Arial"/>
        </w:rPr>
        <w:t xml:space="preserve"> </w:t>
      </w:r>
      <w:hyperlink r:id="rId39" w:history="1">
        <w:r w:rsidRPr="00A65384">
          <w:rPr>
            <w:rStyle w:val="Hyperlink"/>
            <w:rFonts w:ascii="Arial" w:hAnsi="Arial" w:cs="Arial"/>
          </w:rPr>
          <w:t>https://doi.org/10.1134/S0026261718010137</w:t>
        </w:r>
      </w:hyperlink>
    </w:p>
    <w:p w14:paraId="76A8E08E" w14:textId="77777777" w:rsidR="00C34AB5" w:rsidRDefault="00C34AB5" w:rsidP="00C34AB5">
      <w:pPr>
        <w:pStyle w:val="Body"/>
        <w:numPr>
          <w:ilvl w:val="0"/>
          <w:numId w:val="31"/>
        </w:numPr>
        <w:spacing w:after="0"/>
        <w:rPr>
          <w:rFonts w:ascii="Arial" w:hAnsi="Arial" w:cs="Arial"/>
        </w:rPr>
      </w:pPr>
      <w:r w:rsidRPr="00C34AB5">
        <w:rPr>
          <w:rFonts w:ascii="Arial" w:hAnsi="Arial" w:cs="Arial"/>
        </w:rPr>
        <w:t xml:space="preserve">Kalpana, S., Hatha, A. A. M., &amp; </w:t>
      </w:r>
      <w:proofErr w:type="spellStart"/>
      <w:r w:rsidRPr="00C34AB5">
        <w:rPr>
          <w:rFonts w:ascii="Arial" w:hAnsi="Arial" w:cs="Arial"/>
        </w:rPr>
        <w:t>Lakshmanaperumalsamy</w:t>
      </w:r>
      <w:proofErr w:type="spellEnd"/>
      <w:r w:rsidRPr="00C34AB5">
        <w:rPr>
          <w:rFonts w:ascii="Arial" w:hAnsi="Arial" w:cs="Arial"/>
        </w:rPr>
        <w:t xml:space="preserve">, P. (1994). Gut microflora of the larva of silkworm, </w:t>
      </w:r>
      <w:r w:rsidRPr="00C34AB5">
        <w:rPr>
          <w:rFonts w:ascii="Arial" w:hAnsi="Arial" w:cs="Arial"/>
          <w:i/>
          <w:iCs/>
        </w:rPr>
        <w:t>Bombyx mori</w:t>
      </w:r>
      <w:r w:rsidRPr="00C34AB5">
        <w:rPr>
          <w:rFonts w:ascii="Arial" w:hAnsi="Arial" w:cs="Arial"/>
        </w:rPr>
        <w:t xml:space="preserve">. </w:t>
      </w:r>
      <w:r w:rsidRPr="00C34AB5">
        <w:rPr>
          <w:rFonts w:ascii="Arial" w:hAnsi="Arial" w:cs="Arial"/>
          <w:iCs/>
        </w:rPr>
        <w:t>International Journal of Tropical Insect Science</w:t>
      </w:r>
      <w:r w:rsidRPr="00C34AB5">
        <w:rPr>
          <w:rFonts w:ascii="Arial" w:hAnsi="Arial" w:cs="Arial"/>
        </w:rPr>
        <w:t>, 15(4–5), 499–502.</w:t>
      </w:r>
      <w:r>
        <w:rPr>
          <w:rFonts w:ascii="Arial" w:hAnsi="Arial" w:cs="Arial"/>
        </w:rPr>
        <w:t xml:space="preserve"> </w:t>
      </w:r>
      <w:hyperlink r:id="rId40" w:history="1">
        <w:r w:rsidRPr="00A65384">
          <w:rPr>
            <w:rStyle w:val="Hyperlink"/>
            <w:rFonts w:ascii="Arial" w:hAnsi="Arial" w:cs="Arial"/>
          </w:rPr>
          <w:t>https://doi.org/10.1017/S1742758400015873</w:t>
        </w:r>
      </w:hyperlink>
    </w:p>
    <w:p w14:paraId="47BB9E7F" w14:textId="77777777" w:rsidR="007207A7" w:rsidRPr="007207A7" w:rsidRDefault="00C34AB5" w:rsidP="007207A7">
      <w:pPr>
        <w:pStyle w:val="Body"/>
        <w:numPr>
          <w:ilvl w:val="0"/>
          <w:numId w:val="31"/>
        </w:numPr>
        <w:spacing w:after="0"/>
        <w:rPr>
          <w:rFonts w:ascii="Arial" w:hAnsi="Arial" w:cs="Arial"/>
        </w:rPr>
      </w:pPr>
      <w:r w:rsidRPr="007207A7">
        <w:rPr>
          <w:rFonts w:ascii="Arial" w:hAnsi="Arial" w:cs="Arial"/>
        </w:rPr>
        <w:t xml:space="preserve">Hui, X., Muwang, L., Yong, Z., Liping, Z., Yuehua, Z., &amp; Yongping, H. (2010). Bacterial community in midguts of the silkworm larvae estimated by PCR/DGGE and 16S rDNA gene library analysis. </w:t>
      </w:r>
      <w:r w:rsidR="007207A7" w:rsidRPr="007207A7">
        <w:rPr>
          <w:rFonts w:ascii="Arial" w:hAnsi="Arial" w:cs="Arial"/>
        </w:rPr>
        <w:t>Acta Entomologica Sinica</w:t>
      </w:r>
      <w:r w:rsidRPr="007207A7">
        <w:rPr>
          <w:rFonts w:ascii="Arial" w:hAnsi="Arial" w:cs="Arial"/>
        </w:rPr>
        <w:t xml:space="preserve">, </w:t>
      </w:r>
      <w:r w:rsidR="007207A7" w:rsidRPr="007207A7">
        <w:rPr>
          <w:rFonts w:ascii="Arial" w:hAnsi="Arial" w:cs="Arial"/>
        </w:rPr>
        <w:t>50(3):222-233</w:t>
      </w:r>
    </w:p>
    <w:p w14:paraId="03BC522C" w14:textId="77777777" w:rsidR="00790ADA" w:rsidRDefault="007207A7" w:rsidP="002E1616">
      <w:pPr>
        <w:pStyle w:val="Body"/>
        <w:numPr>
          <w:ilvl w:val="0"/>
          <w:numId w:val="31"/>
        </w:numPr>
        <w:spacing w:after="0"/>
        <w:rPr>
          <w:rFonts w:ascii="Arial" w:hAnsi="Arial" w:cs="Arial"/>
        </w:rPr>
      </w:pPr>
      <w:r w:rsidRPr="007207A7">
        <w:rPr>
          <w:rFonts w:ascii="Arial" w:hAnsi="Arial" w:cs="Arial"/>
        </w:rPr>
        <w:t>Subramanian, S., Gadhave, K. R., Mohanraj, P., &amp; Thangamalar, A. (2010</w:t>
      </w:r>
      <w:r>
        <w:rPr>
          <w:rFonts w:ascii="Arial" w:hAnsi="Arial" w:cs="Arial"/>
        </w:rPr>
        <w:t>b</w:t>
      </w:r>
      <w:r w:rsidRPr="007207A7">
        <w:rPr>
          <w:rFonts w:ascii="Arial" w:hAnsi="Arial" w:cs="Arial"/>
        </w:rPr>
        <w:t>). Use of 16S rRNA probes for characterization of gut microflora of silkworm (</w:t>
      </w:r>
      <w:r w:rsidRPr="007207A7">
        <w:rPr>
          <w:rFonts w:ascii="Arial" w:hAnsi="Arial" w:cs="Arial"/>
          <w:i/>
        </w:rPr>
        <w:t>Bombyx mori</w:t>
      </w:r>
      <w:r w:rsidRPr="007207A7">
        <w:rPr>
          <w:rFonts w:ascii="Arial" w:hAnsi="Arial" w:cs="Arial"/>
        </w:rPr>
        <w:t xml:space="preserve"> L.) breeds. </w:t>
      </w:r>
      <w:r w:rsidRPr="007207A7">
        <w:rPr>
          <w:rFonts w:ascii="Arial" w:hAnsi="Arial" w:cs="Arial"/>
          <w:iCs/>
        </w:rPr>
        <w:t>Karnataka Journal of Agricultural Sciences</w:t>
      </w:r>
      <w:r w:rsidRPr="007207A7">
        <w:rPr>
          <w:rFonts w:ascii="Arial" w:hAnsi="Arial" w:cs="Arial"/>
        </w:rPr>
        <w:t>, 22(3), 476-478.</w:t>
      </w:r>
    </w:p>
    <w:p w14:paraId="6AA901E7" w14:textId="77777777" w:rsidR="00EE6B53" w:rsidRDefault="00EE6B53" w:rsidP="00EE6B53">
      <w:pPr>
        <w:pStyle w:val="Body"/>
        <w:numPr>
          <w:ilvl w:val="0"/>
          <w:numId w:val="31"/>
        </w:numPr>
        <w:spacing w:after="0"/>
        <w:rPr>
          <w:rFonts w:ascii="Arial" w:hAnsi="Arial" w:cs="Arial"/>
        </w:rPr>
      </w:pPr>
      <w:r w:rsidRPr="00EE6B53">
        <w:rPr>
          <w:rFonts w:ascii="Arial" w:hAnsi="Arial" w:cs="Arial"/>
        </w:rPr>
        <w:t xml:space="preserve">Prem Anand, A. A., </w:t>
      </w:r>
      <w:proofErr w:type="spellStart"/>
      <w:r w:rsidRPr="00EE6B53">
        <w:rPr>
          <w:rFonts w:ascii="Arial" w:hAnsi="Arial" w:cs="Arial"/>
        </w:rPr>
        <w:t>Vennison</w:t>
      </w:r>
      <w:proofErr w:type="spellEnd"/>
      <w:r w:rsidRPr="00EE6B53">
        <w:rPr>
          <w:rFonts w:ascii="Arial" w:hAnsi="Arial" w:cs="Arial"/>
        </w:rPr>
        <w:t xml:space="preserve">, S. J., Sankar, S. G., </w:t>
      </w:r>
      <w:proofErr w:type="spellStart"/>
      <w:r w:rsidRPr="00EE6B53">
        <w:rPr>
          <w:rFonts w:ascii="Arial" w:hAnsi="Arial" w:cs="Arial"/>
        </w:rPr>
        <w:t>Gilwax</w:t>
      </w:r>
      <w:proofErr w:type="spellEnd"/>
      <w:r w:rsidRPr="00EE6B53">
        <w:rPr>
          <w:rFonts w:ascii="Arial" w:hAnsi="Arial" w:cs="Arial"/>
        </w:rPr>
        <w:t xml:space="preserve"> </w:t>
      </w:r>
      <w:proofErr w:type="spellStart"/>
      <w:r w:rsidRPr="00EE6B53">
        <w:rPr>
          <w:rFonts w:ascii="Arial" w:hAnsi="Arial" w:cs="Arial"/>
        </w:rPr>
        <w:t>Prabhu</w:t>
      </w:r>
      <w:proofErr w:type="spellEnd"/>
      <w:r w:rsidRPr="00EE6B53">
        <w:rPr>
          <w:rFonts w:ascii="Arial" w:hAnsi="Arial" w:cs="Arial"/>
        </w:rPr>
        <w:t xml:space="preserve">, D. I., </w:t>
      </w:r>
      <w:proofErr w:type="spellStart"/>
      <w:r w:rsidRPr="00EE6B53">
        <w:rPr>
          <w:rFonts w:ascii="Arial" w:hAnsi="Arial" w:cs="Arial"/>
        </w:rPr>
        <w:t>Vasan</w:t>
      </w:r>
      <w:proofErr w:type="spellEnd"/>
      <w:r w:rsidRPr="00EE6B53">
        <w:rPr>
          <w:rFonts w:ascii="Arial" w:hAnsi="Arial" w:cs="Arial"/>
        </w:rPr>
        <w:t xml:space="preserve">, P. T., </w:t>
      </w:r>
      <w:proofErr w:type="spellStart"/>
      <w:r w:rsidRPr="00EE6B53">
        <w:rPr>
          <w:rFonts w:ascii="Arial" w:hAnsi="Arial" w:cs="Arial"/>
        </w:rPr>
        <w:t>Raghuraman</w:t>
      </w:r>
      <w:proofErr w:type="spellEnd"/>
      <w:r w:rsidRPr="00EE6B53">
        <w:rPr>
          <w:rFonts w:ascii="Arial" w:hAnsi="Arial" w:cs="Arial"/>
        </w:rPr>
        <w:t xml:space="preserve">, T., &amp; </w:t>
      </w:r>
      <w:proofErr w:type="spellStart"/>
      <w:r w:rsidRPr="00EE6B53">
        <w:rPr>
          <w:rFonts w:ascii="Arial" w:hAnsi="Arial" w:cs="Arial"/>
        </w:rPr>
        <w:t>Vendan</w:t>
      </w:r>
      <w:proofErr w:type="spellEnd"/>
      <w:r w:rsidRPr="00EE6B53">
        <w:rPr>
          <w:rFonts w:ascii="Arial" w:hAnsi="Arial" w:cs="Arial"/>
        </w:rPr>
        <w:t xml:space="preserve">, S. E. (2010). Isolation and characterization of bacteria from the gut of </w:t>
      </w:r>
      <w:r w:rsidRPr="00EE6B53">
        <w:rPr>
          <w:rFonts w:ascii="Arial" w:hAnsi="Arial" w:cs="Arial"/>
          <w:i/>
          <w:iCs/>
        </w:rPr>
        <w:t>Bombyx mori</w:t>
      </w:r>
      <w:r w:rsidRPr="00EE6B53">
        <w:rPr>
          <w:rFonts w:ascii="Arial" w:hAnsi="Arial" w:cs="Arial"/>
        </w:rPr>
        <w:t xml:space="preserve"> that degrade cellulose, </w:t>
      </w:r>
      <w:proofErr w:type="spellStart"/>
      <w:r w:rsidRPr="00EE6B53">
        <w:rPr>
          <w:rFonts w:ascii="Arial" w:hAnsi="Arial" w:cs="Arial"/>
        </w:rPr>
        <w:t>xylan</w:t>
      </w:r>
      <w:proofErr w:type="spellEnd"/>
      <w:r w:rsidRPr="00EE6B53">
        <w:rPr>
          <w:rFonts w:ascii="Arial" w:hAnsi="Arial" w:cs="Arial"/>
        </w:rPr>
        <w:t xml:space="preserve">, pectin and starch and their impact on digestion. </w:t>
      </w:r>
      <w:r w:rsidRPr="00EE6B53">
        <w:rPr>
          <w:rFonts w:ascii="Arial" w:hAnsi="Arial" w:cs="Arial"/>
          <w:iCs/>
        </w:rPr>
        <w:t>Journal of Insect Science</w:t>
      </w:r>
      <w:r w:rsidRPr="00EE6B53">
        <w:rPr>
          <w:rFonts w:ascii="Arial" w:hAnsi="Arial" w:cs="Arial"/>
        </w:rPr>
        <w:t xml:space="preserve">, 10(1), 107. </w:t>
      </w:r>
      <w:hyperlink r:id="rId41" w:history="1">
        <w:r w:rsidRPr="00DF109F">
          <w:rPr>
            <w:rStyle w:val="Hyperlink"/>
            <w:rFonts w:ascii="Arial" w:hAnsi="Arial" w:cs="Arial"/>
          </w:rPr>
          <w:t>https://doi.org/10.1673/031.010.10701</w:t>
        </w:r>
      </w:hyperlink>
    </w:p>
    <w:p w14:paraId="70BAE34A" w14:textId="77777777" w:rsidR="00EE6B53" w:rsidRDefault="00EE6B53" w:rsidP="00EE6B53">
      <w:pPr>
        <w:pStyle w:val="Body"/>
        <w:numPr>
          <w:ilvl w:val="0"/>
          <w:numId w:val="31"/>
        </w:numPr>
        <w:spacing w:after="0"/>
        <w:rPr>
          <w:rFonts w:ascii="Arial" w:hAnsi="Arial" w:cs="Arial"/>
        </w:rPr>
      </w:pPr>
      <w:r w:rsidRPr="00EE6B53">
        <w:rPr>
          <w:rFonts w:ascii="Arial" w:hAnsi="Arial" w:cs="Arial"/>
        </w:rPr>
        <w:lastRenderedPageBreak/>
        <w:t>Li, S., Zhang, J., Liu, L., Su, J., Song, Y., &amp; Xu, Y. (2020). The composition of gut microbiota in two strains of silkworms with different susceptibilities to bacterial diseases. BMC Microbiology, 20(1), 1–12.</w:t>
      </w:r>
      <w:r>
        <w:rPr>
          <w:rFonts w:ascii="Arial" w:hAnsi="Arial" w:cs="Arial"/>
        </w:rPr>
        <w:t xml:space="preserve"> </w:t>
      </w:r>
    </w:p>
    <w:p w14:paraId="4CAE8F0F" w14:textId="77777777" w:rsidR="00D32C1D" w:rsidRDefault="00D32C1D" w:rsidP="00D32C1D">
      <w:pPr>
        <w:pStyle w:val="Body"/>
        <w:numPr>
          <w:ilvl w:val="0"/>
          <w:numId w:val="31"/>
        </w:numPr>
        <w:spacing w:after="0"/>
        <w:rPr>
          <w:rFonts w:ascii="Arial" w:hAnsi="Arial" w:cs="Arial"/>
        </w:rPr>
      </w:pPr>
      <w:r w:rsidRPr="00D32C1D">
        <w:rPr>
          <w:rFonts w:ascii="Arial" w:hAnsi="Arial" w:cs="Arial"/>
        </w:rPr>
        <w:t xml:space="preserve">Saranya, M., Krishnamoorthy, S. V., </w:t>
      </w:r>
      <w:proofErr w:type="spellStart"/>
      <w:r w:rsidRPr="00D32C1D">
        <w:rPr>
          <w:rFonts w:ascii="Arial" w:hAnsi="Arial" w:cs="Arial"/>
        </w:rPr>
        <w:t>Balachandar</w:t>
      </w:r>
      <w:proofErr w:type="spellEnd"/>
      <w:r w:rsidRPr="00D32C1D">
        <w:rPr>
          <w:rFonts w:ascii="Arial" w:hAnsi="Arial" w:cs="Arial"/>
        </w:rPr>
        <w:t>, D., &amp; Tilak, M. (2019). Isolation and characterization of indigenous probiotic bacteria from silkworm (</w:t>
      </w:r>
      <w:r w:rsidRPr="00D32C1D">
        <w:rPr>
          <w:rFonts w:ascii="Arial" w:hAnsi="Arial" w:cs="Arial"/>
          <w:i/>
        </w:rPr>
        <w:t>Bombyx mori</w:t>
      </w:r>
      <w:r w:rsidRPr="00D32C1D">
        <w:rPr>
          <w:rFonts w:ascii="Arial" w:hAnsi="Arial" w:cs="Arial"/>
        </w:rPr>
        <w:t xml:space="preserve"> L.) gut. International Journal of Current Microbiology and Applied Sciences, 8(9), 2869–2874.</w:t>
      </w:r>
      <w:r>
        <w:rPr>
          <w:rFonts w:ascii="Arial" w:hAnsi="Arial" w:cs="Arial"/>
        </w:rPr>
        <w:t xml:space="preserve"> </w:t>
      </w:r>
      <w:hyperlink r:id="rId42" w:history="1">
        <w:r w:rsidRPr="00DF109F">
          <w:rPr>
            <w:rStyle w:val="Hyperlink"/>
            <w:rFonts w:ascii="Arial" w:hAnsi="Arial" w:cs="Arial"/>
          </w:rPr>
          <w:t>https://doi.org/10.20546/ijcmas.2019.809.329</w:t>
        </w:r>
      </w:hyperlink>
    </w:p>
    <w:p w14:paraId="5FB311FB" w14:textId="77777777" w:rsidR="00D32C1D" w:rsidRDefault="00D32C1D" w:rsidP="00D32C1D">
      <w:pPr>
        <w:pStyle w:val="Body"/>
        <w:numPr>
          <w:ilvl w:val="0"/>
          <w:numId w:val="31"/>
        </w:numPr>
        <w:spacing w:after="0"/>
        <w:rPr>
          <w:rFonts w:ascii="Arial" w:hAnsi="Arial" w:cs="Arial"/>
        </w:rPr>
      </w:pPr>
      <w:r w:rsidRPr="00D32C1D">
        <w:rPr>
          <w:rFonts w:ascii="Arial" w:hAnsi="Arial" w:cs="Arial"/>
        </w:rPr>
        <w:t xml:space="preserve">Sun, B. F., Xiao, J. H., He, S. M., Liu, L., Murphy, R. W., &amp; Huang, D. W. (2013). Multiple ancient horizontal gene transfers and duplications in lepidopteran species. Insect Molecular Biology, 22(1), 72–87. </w:t>
      </w:r>
      <w:hyperlink r:id="rId43" w:history="1">
        <w:r w:rsidRPr="00DF109F">
          <w:rPr>
            <w:rStyle w:val="Hyperlink"/>
            <w:rFonts w:ascii="Arial" w:hAnsi="Arial" w:cs="Arial"/>
          </w:rPr>
          <w:t>https://doi.org/10.1111/imb.12004</w:t>
        </w:r>
      </w:hyperlink>
    </w:p>
    <w:p w14:paraId="73C5BAB9" w14:textId="77777777" w:rsidR="00D32C1D" w:rsidRDefault="00D32C1D" w:rsidP="00D32C1D">
      <w:pPr>
        <w:pStyle w:val="Body"/>
        <w:numPr>
          <w:ilvl w:val="0"/>
          <w:numId w:val="31"/>
        </w:numPr>
        <w:spacing w:after="0"/>
        <w:rPr>
          <w:rFonts w:ascii="Arial" w:hAnsi="Arial" w:cs="Arial"/>
        </w:rPr>
      </w:pPr>
      <w:r w:rsidRPr="00D32C1D">
        <w:rPr>
          <w:rFonts w:ascii="Arial" w:hAnsi="Arial" w:cs="Arial"/>
        </w:rPr>
        <w:t xml:space="preserve">Li, G. N., Xia, X. J., Zhao, H. H., </w:t>
      </w:r>
      <w:proofErr w:type="spellStart"/>
      <w:r w:rsidRPr="00D32C1D">
        <w:rPr>
          <w:rFonts w:ascii="Arial" w:hAnsi="Arial" w:cs="Arial"/>
        </w:rPr>
        <w:t>Sendegeya</w:t>
      </w:r>
      <w:proofErr w:type="spellEnd"/>
      <w:r w:rsidRPr="00D32C1D">
        <w:rPr>
          <w:rFonts w:ascii="Arial" w:hAnsi="Arial" w:cs="Arial"/>
        </w:rPr>
        <w:t xml:space="preserve">, P., &amp; Zhu, Y. (2015). Identification and characterization of </w:t>
      </w:r>
      <w:r w:rsidRPr="00D32C1D">
        <w:rPr>
          <w:rFonts w:ascii="Arial" w:hAnsi="Arial" w:cs="Arial"/>
          <w:i/>
          <w:iCs/>
        </w:rPr>
        <w:t>Bacillus cereus</w:t>
      </w:r>
      <w:r w:rsidRPr="00D32C1D">
        <w:rPr>
          <w:rFonts w:ascii="Arial" w:hAnsi="Arial" w:cs="Arial"/>
        </w:rPr>
        <w:t xml:space="preserve"> SW7-1 in </w:t>
      </w:r>
      <w:r w:rsidRPr="00D32C1D">
        <w:rPr>
          <w:rFonts w:ascii="Arial" w:hAnsi="Arial" w:cs="Arial"/>
          <w:i/>
          <w:iCs/>
        </w:rPr>
        <w:t>Bombyx mori</w:t>
      </w:r>
      <w:r w:rsidRPr="00D32C1D">
        <w:rPr>
          <w:rFonts w:ascii="Arial" w:hAnsi="Arial" w:cs="Arial"/>
        </w:rPr>
        <w:t xml:space="preserve"> (Lepidoptera: Bombycidae). </w:t>
      </w:r>
      <w:r w:rsidRPr="00D32C1D">
        <w:rPr>
          <w:rFonts w:ascii="Arial" w:hAnsi="Arial" w:cs="Arial"/>
          <w:iCs/>
        </w:rPr>
        <w:t>Journal of Insect Science</w:t>
      </w:r>
      <w:r w:rsidRPr="00D32C1D">
        <w:rPr>
          <w:rFonts w:ascii="Arial" w:hAnsi="Arial" w:cs="Arial"/>
        </w:rPr>
        <w:t>, 15(1), 136.</w:t>
      </w:r>
      <w:r>
        <w:rPr>
          <w:rFonts w:ascii="Arial" w:hAnsi="Arial" w:cs="Arial"/>
        </w:rPr>
        <w:t xml:space="preserve"> </w:t>
      </w:r>
      <w:hyperlink r:id="rId44" w:history="1">
        <w:r w:rsidRPr="00DF109F">
          <w:rPr>
            <w:rStyle w:val="Hyperlink"/>
            <w:rFonts w:ascii="Arial" w:hAnsi="Arial" w:cs="Arial"/>
          </w:rPr>
          <w:t>https://doi.org/10.1093/jisesa/iev121</w:t>
        </w:r>
      </w:hyperlink>
    </w:p>
    <w:p w14:paraId="039944AB" w14:textId="77777777" w:rsidR="00D32C1D" w:rsidRDefault="00D32C1D" w:rsidP="00D32C1D">
      <w:pPr>
        <w:pStyle w:val="Body"/>
        <w:numPr>
          <w:ilvl w:val="0"/>
          <w:numId w:val="31"/>
        </w:numPr>
        <w:spacing w:after="0"/>
        <w:rPr>
          <w:rFonts w:ascii="Arial" w:hAnsi="Arial" w:cs="Arial"/>
        </w:rPr>
      </w:pPr>
      <w:r w:rsidRPr="00D32C1D">
        <w:rPr>
          <w:rFonts w:ascii="Arial" w:hAnsi="Arial" w:cs="Arial"/>
        </w:rPr>
        <w:t xml:space="preserve">Sun, Z., Lu, Y., Zhang, H., Kumar, D., Liu, B., Gong, Y., ... &amp; Gong, C. (2016). Effects of </w:t>
      </w:r>
      <w:proofErr w:type="spellStart"/>
      <w:r w:rsidRPr="00D32C1D">
        <w:rPr>
          <w:rFonts w:ascii="Arial" w:hAnsi="Arial" w:cs="Arial"/>
        </w:rPr>
        <w:t>BmCPV</w:t>
      </w:r>
      <w:proofErr w:type="spellEnd"/>
      <w:r w:rsidRPr="00D32C1D">
        <w:rPr>
          <w:rFonts w:ascii="Arial" w:hAnsi="Arial" w:cs="Arial"/>
        </w:rPr>
        <w:t xml:space="preserve"> infection on silkworm </w:t>
      </w:r>
      <w:r w:rsidRPr="00D32C1D">
        <w:rPr>
          <w:rFonts w:ascii="Arial" w:hAnsi="Arial" w:cs="Arial"/>
          <w:i/>
          <w:iCs/>
        </w:rPr>
        <w:t>Bombyx mori</w:t>
      </w:r>
      <w:r w:rsidRPr="00D32C1D">
        <w:rPr>
          <w:rFonts w:ascii="Arial" w:hAnsi="Arial" w:cs="Arial"/>
        </w:rPr>
        <w:t xml:space="preserve"> intestinal bacteria. </w:t>
      </w:r>
      <w:proofErr w:type="spellStart"/>
      <w:r w:rsidRPr="00D32C1D">
        <w:rPr>
          <w:rFonts w:ascii="Arial" w:hAnsi="Arial" w:cs="Arial"/>
          <w:iCs/>
        </w:rPr>
        <w:t>PLoS</w:t>
      </w:r>
      <w:proofErr w:type="spellEnd"/>
      <w:r w:rsidRPr="00D32C1D">
        <w:rPr>
          <w:rFonts w:ascii="Arial" w:hAnsi="Arial" w:cs="Arial"/>
          <w:iCs/>
        </w:rPr>
        <w:t xml:space="preserve"> One</w:t>
      </w:r>
      <w:r w:rsidRPr="00D32C1D">
        <w:rPr>
          <w:rFonts w:ascii="Arial" w:hAnsi="Arial" w:cs="Arial"/>
        </w:rPr>
        <w:t xml:space="preserve">, 11(1), e0146313. </w:t>
      </w:r>
      <w:hyperlink r:id="rId45" w:history="1">
        <w:r w:rsidRPr="00DF109F">
          <w:rPr>
            <w:rStyle w:val="Hyperlink"/>
            <w:rFonts w:ascii="Arial" w:hAnsi="Arial" w:cs="Arial"/>
          </w:rPr>
          <w:t>https://doi.org/10.1371/journal.pone.0146313</w:t>
        </w:r>
      </w:hyperlink>
    </w:p>
    <w:p w14:paraId="29EC1888" w14:textId="77777777" w:rsidR="00D32C1D" w:rsidRDefault="00D32C1D" w:rsidP="00D32C1D">
      <w:pPr>
        <w:pStyle w:val="Body"/>
        <w:numPr>
          <w:ilvl w:val="0"/>
          <w:numId w:val="31"/>
        </w:numPr>
        <w:spacing w:after="0"/>
        <w:rPr>
          <w:rFonts w:ascii="Arial" w:hAnsi="Arial" w:cs="Arial"/>
        </w:rPr>
      </w:pPr>
      <w:r w:rsidRPr="00D32C1D">
        <w:rPr>
          <w:rFonts w:ascii="Arial" w:hAnsi="Arial" w:cs="Arial"/>
        </w:rPr>
        <w:t xml:space="preserve">Dee Tan, I. Y., &amp; Bautista, M. A. M. (2022). Bacterial survey in the guts of domestic silkworms, </w:t>
      </w:r>
      <w:r w:rsidRPr="00D32C1D">
        <w:rPr>
          <w:rFonts w:ascii="Arial" w:hAnsi="Arial" w:cs="Arial"/>
          <w:i/>
          <w:iCs/>
        </w:rPr>
        <w:t>Bombyx mori</w:t>
      </w:r>
      <w:r w:rsidRPr="00D32C1D">
        <w:rPr>
          <w:rFonts w:ascii="Arial" w:hAnsi="Arial" w:cs="Arial"/>
        </w:rPr>
        <w:t xml:space="preserve"> L. </w:t>
      </w:r>
      <w:r w:rsidRPr="00D32C1D">
        <w:rPr>
          <w:rFonts w:ascii="Arial" w:hAnsi="Arial" w:cs="Arial"/>
          <w:iCs/>
        </w:rPr>
        <w:t>Insects</w:t>
      </w:r>
      <w:r w:rsidRPr="00D32C1D">
        <w:rPr>
          <w:rFonts w:ascii="Arial" w:hAnsi="Arial" w:cs="Arial"/>
        </w:rPr>
        <w:t xml:space="preserve">, 13(1), 100. </w:t>
      </w:r>
      <w:hyperlink r:id="rId46" w:history="1">
        <w:r w:rsidRPr="00DF109F">
          <w:rPr>
            <w:rStyle w:val="Hyperlink"/>
            <w:rFonts w:ascii="Arial" w:hAnsi="Arial" w:cs="Arial"/>
          </w:rPr>
          <w:t>https://doi.org/10.3390/insects13010100</w:t>
        </w:r>
      </w:hyperlink>
    </w:p>
    <w:p w14:paraId="6175ED06" w14:textId="77777777" w:rsidR="00D32C1D" w:rsidRDefault="00D32C1D" w:rsidP="00D32C1D">
      <w:pPr>
        <w:pStyle w:val="Body"/>
        <w:numPr>
          <w:ilvl w:val="0"/>
          <w:numId w:val="31"/>
        </w:numPr>
        <w:spacing w:after="0"/>
        <w:rPr>
          <w:rFonts w:ascii="Arial" w:hAnsi="Arial" w:cs="Arial"/>
        </w:rPr>
      </w:pPr>
      <w:r w:rsidRPr="00D32C1D">
        <w:rPr>
          <w:rFonts w:ascii="Arial" w:hAnsi="Arial" w:cs="Arial"/>
        </w:rPr>
        <w:t xml:space="preserve">Chen, B., Yu, T., Xie, S., Du, K., Liang, X., Lan, Y., ... &amp; Shao, Y. (2018). Comparative shotgun metagenomic data of the silkworm </w:t>
      </w:r>
      <w:r w:rsidRPr="00D32C1D">
        <w:rPr>
          <w:rFonts w:ascii="Arial" w:hAnsi="Arial" w:cs="Arial"/>
          <w:i/>
          <w:iCs/>
        </w:rPr>
        <w:t>Bombyx mori</w:t>
      </w:r>
      <w:r w:rsidRPr="00D32C1D">
        <w:rPr>
          <w:rFonts w:ascii="Arial" w:hAnsi="Arial" w:cs="Arial"/>
        </w:rPr>
        <w:t xml:space="preserve"> gut microbiome. </w:t>
      </w:r>
      <w:r w:rsidRPr="00D32C1D">
        <w:rPr>
          <w:rFonts w:ascii="Arial" w:hAnsi="Arial" w:cs="Arial"/>
          <w:iCs/>
        </w:rPr>
        <w:t>Scientific Data</w:t>
      </w:r>
      <w:r w:rsidRPr="00D32C1D">
        <w:rPr>
          <w:rFonts w:ascii="Arial" w:hAnsi="Arial" w:cs="Arial"/>
        </w:rPr>
        <w:t>, 5(1), 1–10.</w:t>
      </w:r>
      <w:r>
        <w:rPr>
          <w:rFonts w:ascii="Arial" w:hAnsi="Arial" w:cs="Arial"/>
        </w:rPr>
        <w:t xml:space="preserve"> </w:t>
      </w:r>
      <w:hyperlink r:id="rId47" w:history="1">
        <w:r w:rsidRPr="00DF109F">
          <w:rPr>
            <w:rStyle w:val="Hyperlink"/>
            <w:rFonts w:ascii="Arial" w:hAnsi="Arial" w:cs="Arial"/>
          </w:rPr>
          <w:t>https://doi.org/10.1038/sdata.2018.285</w:t>
        </w:r>
      </w:hyperlink>
    </w:p>
    <w:p w14:paraId="0412F44C" w14:textId="77777777" w:rsidR="00D32C1D" w:rsidRDefault="00D32C1D" w:rsidP="00D32C1D">
      <w:pPr>
        <w:pStyle w:val="Body"/>
        <w:numPr>
          <w:ilvl w:val="0"/>
          <w:numId w:val="31"/>
        </w:numPr>
        <w:spacing w:after="0"/>
        <w:rPr>
          <w:rFonts w:ascii="Arial" w:hAnsi="Arial" w:cs="Arial"/>
        </w:rPr>
      </w:pPr>
      <w:r w:rsidRPr="00D32C1D">
        <w:rPr>
          <w:rFonts w:ascii="Arial" w:hAnsi="Arial" w:cs="Arial"/>
        </w:rPr>
        <w:t>Mwchahary, H., &amp; Brahma, D. (2023). Microbial partnerships in sericulture: A review on the gut bacteria of silkworms. International Journal of Entomology Research, 8(6), 44–49.</w:t>
      </w:r>
    </w:p>
    <w:p w14:paraId="6632B769" w14:textId="77777777" w:rsidR="00D32C1D" w:rsidRDefault="00D32C1D" w:rsidP="00D32C1D">
      <w:pPr>
        <w:pStyle w:val="Body"/>
        <w:numPr>
          <w:ilvl w:val="0"/>
          <w:numId w:val="31"/>
        </w:numPr>
        <w:spacing w:after="0"/>
        <w:rPr>
          <w:rFonts w:ascii="Arial" w:hAnsi="Arial" w:cs="Arial"/>
        </w:rPr>
      </w:pPr>
      <w:r w:rsidRPr="00D32C1D">
        <w:rPr>
          <w:rFonts w:ascii="Arial" w:hAnsi="Arial" w:cs="Arial"/>
        </w:rPr>
        <w:t xml:space="preserve">Barretto, D. A., </w:t>
      </w:r>
      <w:proofErr w:type="spellStart"/>
      <w:r w:rsidRPr="00D32C1D">
        <w:rPr>
          <w:rFonts w:ascii="Arial" w:hAnsi="Arial" w:cs="Arial"/>
        </w:rPr>
        <w:t>Avchar</w:t>
      </w:r>
      <w:proofErr w:type="spellEnd"/>
      <w:r w:rsidRPr="00D32C1D">
        <w:rPr>
          <w:rFonts w:ascii="Arial" w:hAnsi="Arial" w:cs="Arial"/>
        </w:rPr>
        <w:t xml:space="preserve">, R., Carvalho, C., Sampaio, J. P., Vootla, S. K., &amp; </w:t>
      </w:r>
      <w:proofErr w:type="spellStart"/>
      <w:r w:rsidRPr="00D32C1D">
        <w:rPr>
          <w:rFonts w:ascii="Arial" w:hAnsi="Arial" w:cs="Arial"/>
        </w:rPr>
        <w:t>Baghela</w:t>
      </w:r>
      <w:proofErr w:type="spellEnd"/>
      <w:r w:rsidRPr="00D32C1D">
        <w:rPr>
          <w:rFonts w:ascii="Arial" w:hAnsi="Arial" w:cs="Arial"/>
        </w:rPr>
        <w:t xml:space="preserve">, A. (2018). </w:t>
      </w:r>
      <w:r w:rsidRPr="00D32C1D">
        <w:rPr>
          <w:rFonts w:ascii="Arial" w:hAnsi="Arial" w:cs="Arial"/>
          <w:i/>
          <w:iCs/>
        </w:rPr>
        <w:t>Blastobotrys bombycis</w:t>
      </w:r>
      <w:r w:rsidRPr="00D32C1D">
        <w:rPr>
          <w:rFonts w:ascii="Arial" w:hAnsi="Arial" w:cs="Arial"/>
        </w:rPr>
        <w:t xml:space="preserve"> sp. </w:t>
      </w:r>
      <w:proofErr w:type="spellStart"/>
      <w:r w:rsidRPr="00D32C1D">
        <w:rPr>
          <w:rFonts w:ascii="Arial" w:hAnsi="Arial" w:cs="Arial"/>
        </w:rPr>
        <w:t>nov.</w:t>
      </w:r>
      <w:proofErr w:type="spellEnd"/>
      <w:r w:rsidRPr="00D32C1D">
        <w:rPr>
          <w:rFonts w:ascii="Arial" w:hAnsi="Arial" w:cs="Arial"/>
        </w:rPr>
        <w:t xml:space="preserve">, a </w:t>
      </w:r>
      <w:r w:rsidRPr="00D32C1D">
        <w:rPr>
          <w:rFonts w:ascii="Arial" w:hAnsi="Arial" w:cs="Arial"/>
          <w:i/>
          <w:iCs/>
        </w:rPr>
        <w:t>d</w:t>
      </w:r>
      <w:r w:rsidRPr="00D32C1D">
        <w:rPr>
          <w:rFonts w:ascii="Arial" w:hAnsi="Arial" w:cs="Arial"/>
        </w:rPr>
        <w:t xml:space="preserve">-xylose-fermenting yeast isolated from the gut of the silkworm larva </w:t>
      </w:r>
      <w:r w:rsidRPr="00D32C1D">
        <w:rPr>
          <w:rFonts w:ascii="Arial" w:hAnsi="Arial" w:cs="Arial"/>
          <w:i/>
          <w:iCs/>
        </w:rPr>
        <w:t>Bombyx mori</w:t>
      </w:r>
      <w:r w:rsidRPr="00D32C1D">
        <w:rPr>
          <w:rFonts w:ascii="Arial" w:hAnsi="Arial" w:cs="Arial"/>
        </w:rPr>
        <w:t xml:space="preserve">. </w:t>
      </w:r>
      <w:r w:rsidRPr="00D32C1D">
        <w:rPr>
          <w:rFonts w:ascii="Arial" w:hAnsi="Arial" w:cs="Arial"/>
          <w:iCs/>
        </w:rPr>
        <w:t>International Journal of Systematic and Evolutionary Microbiology</w:t>
      </w:r>
      <w:r w:rsidRPr="00D32C1D">
        <w:rPr>
          <w:rFonts w:ascii="Arial" w:hAnsi="Arial" w:cs="Arial"/>
        </w:rPr>
        <w:t>, 68(8), 2638–2643.</w:t>
      </w:r>
      <w:r>
        <w:rPr>
          <w:rFonts w:ascii="Arial" w:hAnsi="Arial" w:cs="Arial"/>
        </w:rPr>
        <w:t xml:space="preserve"> </w:t>
      </w:r>
      <w:hyperlink r:id="rId48" w:history="1">
        <w:r w:rsidRPr="00DF109F">
          <w:rPr>
            <w:rStyle w:val="Hyperlink"/>
            <w:rFonts w:ascii="Arial" w:hAnsi="Arial" w:cs="Arial"/>
          </w:rPr>
          <w:t>https://doi.org/10.1099/ijsem.0.002890</w:t>
        </w:r>
      </w:hyperlink>
    </w:p>
    <w:p w14:paraId="42B33300" w14:textId="77777777" w:rsidR="00D32C1D" w:rsidRDefault="00D32C1D" w:rsidP="00D32C1D">
      <w:pPr>
        <w:pStyle w:val="Body"/>
        <w:numPr>
          <w:ilvl w:val="0"/>
          <w:numId w:val="31"/>
        </w:numPr>
        <w:spacing w:after="0"/>
        <w:rPr>
          <w:rFonts w:ascii="Arial" w:hAnsi="Arial" w:cs="Arial"/>
        </w:rPr>
      </w:pPr>
      <w:r w:rsidRPr="00D32C1D">
        <w:rPr>
          <w:rFonts w:ascii="Arial" w:hAnsi="Arial" w:cs="Arial"/>
        </w:rPr>
        <w:t xml:space="preserve">Barretto, D. A., &amp; Vootla, S. K. (2020). Biological activities of melanin pigment extracted from </w:t>
      </w:r>
      <w:r w:rsidRPr="00D32C1D">
        <w:rPr>
          <w:rFonts w:ascii="Arial" w:hAnsi="Arial" w:cs="Arial"/>
          <w:i/>
          <w:iCs/>
        </w:rPr>
        <w:t>Bombyx mori</w:t>
      </w:r>
      <w:r w:rsidRPr="00D32C1D">
        <w:rPr>
          <w:rFonts w:ascii="Arial" w:hAnsi="Arial" w:cs="Arial"/>
        </w:rPr>
        <w:t xml:space="preserve"> gut-associated yeast </w:t>
      </w:r>
      <w:r w:rsidRPr="00D32C1D">
        <w:rPr>
          <w:rFonts w:ascii="Arial" w:hAnsi="Arial" w:cs="Arial"/>
          <w:i/>
          <w:iCs/>
        </w:rPr>
        <w:t>Cryptococcus rajasthanensis</w:t>
      </w:r>
      <w:r w:rsidRPr="00D32C1D">
        <w:rPr>
          <w:rFonts w:ascii="Arial" w:hAnsi="Arial" w:cs="Arial"/>
        </w:rPr>
        <w:t xml:space="preserve"> KY627764. </w:t>
      </w:r>
      <w:r w:rsidRPr="00D32C1D">
        <w:rPr>
          <w:rFonts w:ascii="Arial" w:hAnsi="Arial" w:cs="Arial"/>
          <w:iCs/>
        </w:rPr>
        <w:t>World Journal of Microbiology and Biotechnology</w:t>
      </w:r>
      <w:r w:rsidRPr="00D32C1D">
        <w:rPr>
          <w:rFonts w:ascii="Arial" w:hAnsi="Arial" w:cs="Arial"/>
        </w:rPr>
        <w:t>, 36(10), 159.</w:t>
      </w:r>
      <w:r>
        <w:rPr>
          <w:rFonts w:ascii="Arial" w:hAnsi="Arial" w:cs="Arial"/>
        </w:rPr>
        <w:t xml:space="preserve"> </w:t>
      </w:r>
      <w:hyperlink r:id="rId49" w:history="1">
        <w:r w:rsidRPr="00DF109F">
          <w:rPr>
            <w:rStyle w:val="Hyperlink"/>
            <w:rFonts w:ascii="Arial" w:hAnsi="Arial" w:cs="Arial"/>
          </w:rPr>
          <w:t>https://doi.org/10.1007/s11274-020-02924-0</w:t>
        </w:r>
      </w:hyperlink>
    </w:p>
    <w:p w14:paraId="6FB86A81" w14:textId="77777777" w:rsidR="00D32C1D" w:rsidRDefault="00D32C1D" w:rsidP="00D32C1D">
      <w:pPr>
        <w:pStyle w:val="Body"/>
        <w:numPr>
          <w:ilvl w:val="0"/>
          <w:numId w:val="31"/>
        </w:numPr>
        <w:spacing w:after="0"/>
        <w:rPr>
          <w:rFonts w:ascii="Arial" w:hAnsi="Arial" w:cs="Arial"/>
        </w:rPr>
      </w:pPr>
      <w:r w:rsidRPr="00D32C1D">
        <w:rPr>
          <w:rFonts w:ascii="Arial" w:hAnsi="Arial" w:cs="Arial"/>
        </w:rPr>
        <w:t>Barretto, D. A., Gadwala, M., &amp; Vootla, S. K. (2021). The silkworm gut microbiota: A potential source for biotechnological applications. In V. Gurtler &amp; G. Subrahmanyam (Eds.), Methods in Microbiology (Vol. 49, pp. 1–26). Academic Press.</w:t>
      </w:r>
      <w:r>
        <w:rPr>
          <w:rFonts w:ascii="Arial" w:hAnsi="Arial" w:cs="Arial"/>
        </w:rPr>
        <w:t xml:space="preserve"> </w:t>
      </w:r>
      <w:hyperlink r:id="rId50" w:history="1">
        <w:r w:rsidRPr="00DF109F">
          <w:rPr>
            <w:rStyle w:val="Hyperlink"/>
            <w:rFonts w:ascii="Arial" w:hAnsi="Arial" w:cs="Arial"/>
          </w:rPr>
          <w:t>https://doi.org/10.1016/bs.mim.2021.04.001</w:t>
        </w:r>
      </w:hyperlink>
    </w:p>
    <w:p w14:paraId="10DAB919" w14:textId="77777777" w:rsidR="00D32C1D" w:rsidRDefault="007E3425" w:rsidP="007E3425">
      <w:pPr>
        <w:pStyle w:val="Body"/>
        <w:numPr>
          <w:ilvl w:val="0"/>
          <w:numId w:val="31"/>
        </w:numPr>
        <w:spacing w:after="0"/>
        <w:rPr>
          <w:rFonts w:ascii="Arial" w:hAnsi="Arial" w:cs="Arial"/>
        </w:rPr>
      </w:pPr>
      <w:r w:rsidRPr="007E3425">
        <w:rPr>
          <w:rFonts w:ascii="Arial" w:hAnsi="Arial" w:cs="Arial"/>
        </w:rPr>
        <w:t xml:space="preserve">Qi, W., Liu, J., Yu, T., Huang, S., Song, R., &amp; </w:t>
      </w:r>
      <w:proofErr w:type="spellStart"/>
      <w:r w:rsidRPr="007E3425">
        <w:rPr>
          <w:rFonts w:ascii="Arial" w:hAnsi="Arial" w:cs="Arial"/>
        </w:rPr>
        <w:t>Qiao</w:t>
      </w:r>
      <w:proofErr w:type="spellEnd"/>
      <w:r w:rsidRPr="007E3425">
        <w:rPr>
          <w:rFonts w:ascii="Arial" w:hAnsi="Arial" w:cs="Arial"/>
        </w:rPr>
        <w:t xml:space="preserve">, Z. (2022). Ae1/Sbe1 maize-derived high amylose improves gut barrier function and ameliorates type II diabetes in high-fat diet-fed mice by increasing </w:t>
      </w:r>
      <w:proofErr w:type="spellStart"/>
      <w:r w:rsidRPr="007E3425">
        <w:rPr>
          <w:rFonts w:ascii="Arial" w:hAnsi="Arial" w:cs="Arial"/>
          <w:i/>
        </w:rPr>
        <w:t>Akkermansia</w:t>
      </w:r>
      <w:proofErr w:type="spellEnd"/>
      <w:r w:rsidRPr="007E3425">
        <w:rPr>
          <w:rFonts w:ascii="Arial" w:hAnsi="Arial" w:cs="Arial"/>
        </w:rPr>
        <w:t xml:space="preserve">. Frontiers in Nutrition, 9, 999020. </w:t>
      </w:r>
      <w:hyperlink r:id="rId51" w:history="1">
        <w:r w:rsidRPr="00DF109F">
          <w:rPr>
            <w:rStyle w:val="Hyperlink"/>
            <w:rFonts w:ascii="Arial" w:hAnsi="Arial" w:cs="Arial"/>
          </w:rPr>
          <w:t>https://doi.org/10.3389/fnut.2022.999020</w:t>
        </w:r>
      </w:hyperlink>
    </w:p>
    <w:p w14:paraId="31FBACA7" w14:textId="77777777" w:rsidR="007E3425" w:rsidRDefault="007E3425" w:rsidP="007E3425">
      <w:pPr>
        <w:pStyle w:val="Body"/>
        <w:numPr>
          <w:ilvl w:val="0"/>
          <w:numId w:val="31"/>
        </w:numPr>
        <w:spacing w:after="0"/>
        <w:rPr>
          <w:rFonts w:ascii="Arial" w:hAnsi="Arial" w:cs="Arial"/>
        </w:rPr>
      </w:pPr>
      <w:r w:rsidRPr="007E3425">
        <w:rPr>
          <w:rFonts w:ascii="Arial" w:hAnsi="Arial" w:cs="Arial"/>
          <w:bCs/>
        </w:rPr>
        <w:t xml:space="preserve">Unban, K., </w:t>
      </w:r>
      <w:proofErr w:type="spellStart"/>
      <w:r w:rsidRPr="007E3425">
        <w:rPr>
          <w:rFonts w:ascii="Arial" w:hAnsi="Arial" w:cs="Arial"/>
          <w:bCs/>
        </w:rPr>
        <w:t>Klongklaew</w:t>
      </w:r>
      <w:proofErr w:type="spellEnd"/>
      <w:r w:rsidRPr="007E3425">
        <w:rPr>
          <w:rFonts w:ascii="Arial" w:hAnsi="Arial" w:cs="Arial"/>
          <w:bCs/>
        </w:rPr>
        <w:t xml:space="preserve">, A., </w:t>
      </w:r>
      <w:proofErr w:type="spellStart"/>
      <w:r w:rsidRPr="007E3425">
        <w:rPr>
          <w:rFonts w:ascii="Arial" w:hAnsi="Arial" w:cs="Arial"/>
          <w:bCs/>
        </w:rPr>
        <w:t>Kodchasee</w:t>
      </w:r>
      <w:proofErr w:type="spellEnd"/>
      <w:r w:rsidRPr="007E3425">
        <w:rPr>
          <w:rFonts w:ascii="Arial" w:hAnsi="Arial" w:cs="Arial"/>
          <w:bCs/>
        </w:rPr>
        <w:t xml:space="preserve">, P., </w:t>
      </w:r>
      <w:proofErr w:type="spellStart"/>
      <w:r w:rsidRPr="007E3425">
        <w:rPr>
          <w:rFonts w:ascii="Arial" w:hAnsi="Arial" w:cs="Arial"/>
          <w:bCs/>
        </w:rPr>
        <w:t>Pamueangmun</w:t>
      </w:r>
      <w:proofErr w:type="spellEnd"/>
      <w:r w:rsidRPr="007E3425">
        <w:rPr>
          <w:rFonts w:ascii="Arial" w:hAnsi="Arial" w:cs="Arial"/>
          <w:bCs/>
        </w:rPr>
        <w:t xml:space="preserve">, P., Shetty, K., &amp; </w:t>
      </w:r>
      <w:proofErr w:type="spellStart"/>
      <w:r w:rsidRPr="007E3425">
        <w:rPr>
          <w:rFonts w:ascii="Arial" w:hAnsi="Arial" w:cs="Arial"/>
          <w:bCs/>
        </w:rPr>
        <w:t>Khanongnuch</w:t>
      </w:r>
      <w:proofErr w:type="spellEnd"/>
      <w:r w:rsidRPr="007E3425">
        <w:rPr>
          <w:rFonts w:ascii="Arial" w:hAnsi="Arial" w:cs="Arial"/>
          <w:bCs/>
        </w:rPr>
        <w:t>, C</w:t>
      </w:r>
      <w:r w:rsidRPr="007E3425">
        <w:rPr>
          <w:rFonts w:ascii="Arial" w:hAnsi="Arial" w:cs="Arial"/>
          <w:b/>
          <w:bCs/>
        </w:rPr>
        <w:t>.</w:t>
      </w:r>
      <w:r w:rsidRPr="007E3425">
        <w:rPr>
          <w:rFonts w:ascii="Arial" w:hAnsi="Arial" w:cs="Arial"/>
        </w:rPr>
        <w:t xml:space="preserve"> (2022). Enterococci as dominant xylose utilizing lactic acid bacteria in </w:t>
      </w:r>
      <w:r w:rsidRPr="007E3425">
        <w:rPr>
          <w:rFonts w:ascii="Arial" w:hAnsi="Arial" w:cs="Arial"/>
          <w:i/>
          <w:iCs/>
        </w:rPr>
        <w:t>Eri</w:t>
      </w:r>
      <w:r w:rsidRPr="007E3425">
        <w:rPr>
          <w:rFonts w:ascii="Arial" w:hAnsi="Arial" w:cs="Arial"/>
        </w:rPr>
        <w:t xml:space="preserve"> silkworm midgut and the potential use of </w:t>
      </w:r>
      <w:r w:rsidRPr="007E3425">
        <w:rPr>
          <w:rFonts w:ascii="Arial" w:hAnsi="Arial" w:cs="Arial"/>
          <w:i/>
          <w:iCs/>
        </w:rPr>
        <w:t xml:space="preserve">Enterococcus </w:t>
      </w:r>
      <w:proofErr w:type="spellStart"/>
      <w:r w:rsidRPr="007E3425">
        <w:rPr>
          <w:rFonts w:ascii="Arial" w:hAnsi="Arial" w:cs="Arial"/>
          <w:i/>
          <w:iCs/>
        </w:rPr>
        <w:t>hirae</w:t>
      </w:r>
      <w:proofErr w:type="spellEnd"/>
      <w:r w:rsidRPr="007E3425">
        <w:rPr>
          <w:rFonts w:ascii="Arial" w:hAnsi="Arial" w:cs="Arial"/>
        </w:rPr>
        <w:t xml:space="preserve"> as probiotic for </w:t>
      </w:r>
      <w:r w:rsidRPr="007E3425">
        <w:rPr>
          <w:rFonts w:ascii="Arial" w:hAnsi="Arial" w:cs="Arial"/>
          <w:i/>
          <w:iCs/>
        </w:rPr>
        <w:t>Eri</w:t>
      </w:r>
      <w:r w:rsidRPr="007E3425">
        <w:rPr>
          <w:rFonts w:ascii="Arial" w:hAnsi="Arial" w:cs="Arial"/>
        </w:rPr>
        <w:t xml:space="preserve"> culture. </w:t>
      </w:r>
      <w:r w:rsidRPr="007E3425">
        <w:rPr>
          <w:rFonts w:ascii="Arial" w:hAnsi="Arial" w:cs="Arial"/>
          <w:iCs/>
        </w:rPr>
        <w:t>Insects, 13</w:t>
      </w:r>
      <w:r w:rsidRPr="007E3425">
        <w:rPr>
          <w:rFonts w:ascii="Arial" w:hAnsi="Arial" w:cs="Arial"/>
        </w:rPr>
        <w:t xml:space="preserve">(2), 136. </w:t>
      </w:r>
      <w:hyperlink r:id="rId52" w:history="1">
        <w:r w:rsidRPr="00DF109F">
          <w:rPr>
            <w:rStyle w:val="Hyperlink"/>
            <w:rFonts w:ascii="Arial" w:hAnsi="Arial" w:cs="Arial"/>
          </w:rPr>
          <w:t>https://doi.org/10.3390/insects13020136</w:t>
        </w:r>
      </w:hyperlink>
    </w:p>
    <w:p w14:paraId="1F1B61D4" w14:textId="77777777" w:rsidR="007E3425" w:rsidRDefault="007E3425" w:rsidP="007E3425">
      <w:pPr>
        <w:pStyle w:val="Body"/>
        <w:numPr>
          <w:ilvl w:val="0"/>
          <w:numId w:val="31"/>
        </w:numPr>
        <w:spacing w:after="0"/>
        <w:rPr>
          <w:rFonts w:ascii="Arial" w:hAnsi="Arial" w:cs="Arial"/>
        </w:rPr>
      </w:pPr>
      <w:r w:rsidRPr="007E3425">
        <w:rPr>
          <w:rFonts w:ascii="Arial" w:hAnsi="Arial" w:cs="Arial"/>
        </w:rPr>
        <w:t xml:space="preserve">Paniagua </w:t>
      </w:r>
      <w:proofErr w:type="spellStart"/>
      <w:r w:rsidRPr="007E3425">
        <w:rPr>
          <w:rFonts w:ascii="Arial" w:hAnsi="Arial" w:cs="Arial"/>
        </w:rPr>
        <w:t>Voirol</w:t>
      </w:r>
      <w:proofErr w:type="spellEnd"/>
      <w:r w:rsidRPr="007E3425">
        <w:rPr>
          <w:rFonts w:ascii="Arial" w:hAnsi="Arial" w:cs="Arial"/>
        </w:rPr>
        <w:t xml:space="preserve">, L. R., </w:t>
      </w:r>
      <w:proofErr w:type="spellStart"/>
      <w:r w:rsidRPr="007E3425">
        <w:rPr>
          <w:rFonts w:ascii="Arial" w:hAnsi="Arial" w:cs="Arial"/>
        </w:rPr>
        <w:t>Frago</w:t>
      </w:r>
      <w:proofErr w:type="spellEnd"/>
      <w:r w:rsidRPr="007E3425">
        <w:rPr>
          <w:rFonts w:ascii="Arial" w:hAnsi="Arial" w:cs="Arial"/>
        </w:rPr>
        <w:t xml:space="preserve">, E., </w:t>
      </w:r>
      <w:proofErr w:type="spellStart"/>
      <w:r w:rsidRPr="007E3425">
        <w:rPr>
          <w:rFonts w:ascii="Arial" w:hAnsi="Arial" w:cs="Arial"/>
        </w:rPr>
        <w:t>Kaltenpoth</w:t>
      </w:r>
      <w:proofErr w:type="spellEnd"/>
      <w:r w:rsidRPr="007E3425">
        <w:rPr>
          <w:rFonts w:ascii="Arial" w:hAnsi="Arial" w:cs="Arial"/>
        </w:rPr>
        <w:t xml:space="preserve">, M., </w:t>
      </w:r>
      <w:proofErr w:type="spellStart"/>
      <w:r w:rsidRPr="007E3425">
        <w:rPr>
          <w:rFonts w:ascii="Arial" w:hAnsi="Arial" w:cs="Arial"/>
        </w:rPr>
        <w:t>Hilker</w:t>
      </w:r>
      <w:proofErr w:type="spellEnd"/>
      <w:r w:rsidRPr="007E3425">
        <w:rPr>
          <w:rFonts w:ascii="Arial" w:hAnsi="Arial" w:cs="Arial"/>
        </w:rPr>
        <w:t xml:space="preserve">, M., &amp; </w:t>
      </w:r>
      <w:proofErr w:type="spellStart"/>
      <w:r w:rsidRPr="007E3425">
        <w:rPr>
          <w:rFonts w:ascii="Arial" w:hAnsi="Arial" w:cs="Arial"/>
        </w:rPr>
        <w:t>Fatouros</w:t>
      </w:r>
      <w:proofErr w:type="spellEnd"/>
      <w:r w:rsidRPr="007E3425">
        <w:rPr>
          <w:rFonts w:ascii="Arial" w:hAnsi="Arial" w:cs="Arial"/>
        </w:rPr>
        <w:t xml:space="preserve">, N. E. (2018). Bacterial symbionts in Lepidoptera: their diversity, transmission, and impact on the host. Frontiers in Microbiology, 9, 556. </w:t>
      </w:r>
      <w:hyperlink r:id="rId53" w:history="1">
        <w:r w:rsidRPr="00DF109F">
          <w:rPr>
            <w:rStyle w:val="Hyperlink"/>
            <w:rFonts w:ascii="Arial" w:hAnsi="Arial" w:cs="Arial"/>
          </w:rPr>
          <w:t>https://doi.org/10.3389/fmicb.2018.00556</w:t>
        </w:r>
      </w:hyperlink>
    </w:p>
    <w:p w14:paraId="7884CFB7" w14:textId="77777777" w:rsidR="007E3425" w:rsidRDefault="007E3425" w:rsidP="007E3425">
      <w:pPr>
        <w:pStyle w:val="Body"/>
        <w:numPr>
          <w:ilvl w:val="0"/>
          <w:numId w:val="31"/>
        </w:numPr>
        <w:spacing w:after="0"/>
        <w:rPr>
          <w:rFonts w:ascii="Arial" w:hAnsi="Arial" w:cs="Arial"/>
        </w:rPr>
      </w:pPr>
      <w:r w:rsidRPr="007E3425">
        <w:rPr>
          <w:rFonts w:ascii="Arial" w:hAnsi="Arial" w:cs="Arial"/>
        </w:rPr>
        <w:t xml:space="preserve">Taha, R. H., &amp; Kamel, H. M. (2017). Microorganisms supplementation to mulberry silkworm, </w:t>
      </w:r>
      <w:r w:rsidRPr="007E3425">
        <w:rPr>
          <w:rFonts w:ascii="Arial" w:hAnsi="Arial" w:cs="Arial"/>
          <w:i/>
        </w:rPr>
        <w:t>Bombyx mori</w:t>
      </w:r>
      <w:r w:rsidRPr="007E3425">
        <w:rPr>
          <w:rFonts w:ascii="Arial" w:hAnsi="Arial" w:cs="Arial"/>
        </w:rPr>
        <w:t xml:space="preserve"> L. Egyptian Academic Journal of Biological Sciences, 10, 57–64.</w:t>
      </w:r>
      <w:r>
        <w:rPr>
          <w:rFonts w:ascii="Arial" w:hAnsi="Arial" w:cs="Arial"/>
        </w:rPr>
        <w:t xml:space="preserve"> </w:t>
      </w:r>
      <w:hyperlink r:id="rId54" w:history="1">
        <w:r w:rsidRPr="00DF109F">
          <w:rPr>
            <w:rStyle w:val="Hyperlink"/>
            <w:rFonts w:ascii="Arial" w:hAnsi="Arial" w:cs="Arial"/>
          </w:rPr>
          <w:t>https://dx.doi.org/10.21608/eajbsa.2017.12673</w:t>
        </w:r>
      </w:hyperlink>
    </w:p>
    <w:p w14:paraId="1A21872F" w14:textId="77777777" w:rsidR="007E3425" w:rsidRDefault="007E3425" w:rsidP="007E3425">
      <w:pPr>
        <w:pStyle w:val="Body"/>
        <w:numPr>
          <w:ilvl w:val="0"/>
          <w:numId w:val="31"/>
        </w:numPr>
        <w:spacing w:after="0"/>
        <w:rPr>
          <w:rFonts w:ascii="Arial" w:hAnsi="Arial" w:cs="Arial"/>
        </w:rPr>
      </w:pPr>
      <w:r w:rsidRPr="007E3425">
        <w:rPr>
          <w:rFonts w:ascii="Arial" w:hAnsi="Arial" w:cs="Arial"/>
          <w:bCs/>
        </w:rPr>
        <w:lastRenderedPageBreak/>
        <w:t>Sun, Z., Kumar, D., Cao, G., Zhu, L., Liu, B., Zhu, M., ... &amp; Gong, C.</w:t>
      </w:r>
      <w:r w:rsidRPr="007E3425">
        <w:rPr>
          <w:rFonts w:ascii="Arial" w:hAnsi="Arial" w:cs="Arial"/>
        </w:rPr>
        <w:t xml:space="preserve"> (2017). Effects of transient high temperature treatment on the intestinal flora of the silkworm </w:t>
      </w:r>
      <w:r w:rsidRPr="007E3425">
        <w:rPr>
          <w:rFonts w:ascii="Arial" w:hAnsi="Arial" w:cs="Arial"/>
          <w:i/>
          <w:iCs/>
        </w:rPr>
        <w:t>Bombyx mori</w:t>
      </w:r>
      <w:r w:rsidRPr="007E3425">
        <w:rPr>
          <w:rFonts w:ascii="Arial" w:hAnsi="Arial" w:cs="Arial"/>
        </w:rPr>
        <w:t xml:space="preserve">. </w:t>
      </w:r>
      <w:r w:rsidRPr="007E3425">
        <w:rPr>
          <w:rFonts w:ascii="Arial" w:hAnsi="Arial" w:cs="Arial"/>
          <w:iCs/>
        </w:rPr>
        <w:t>Scientific Reports</w:t>
      </w:r>
      <w:r w:rsidRPr="007E3425">
        <w:rPr>
          <w:rFonts w:ascii="Arial" w:hAnsi="Arial" w:cs="Arial"/>
        </w:rPr>
        <w:t xml:space="preserve">, </w:t>
      </w:r>
      <w:r w:rsidRPr="007E3425">
        <w:rPr>
          <w:rFonts w:ascii="Arial" w:hAnsi="Arial" w:cs="Arial"/>
          <w:iCs/>
        </w:rPr>
        <w:t>7</w:t>
      </w:r>
      <w:r w:rsidRPr="007E3425">
        <w:rPr>
          <w:rFonts w:ascii="Arial" w:hAnsi="Arial" w:cs="Arial"/>
        </w:rPr>
        <w:t>(1), 3349.</w:t>
      </w:r>
      <w:r>
        <w:rPr>
          <w:rFonts w:ascii="Arial" w:hAnsi="Arial" w:cs="Arial"/>
        </w:rPr>
        <w:t xml:space="preserve"> </w:t>
      </w:r>
      <w:hyperlink r:id="rId55" w:history="1">
        <w:r w:rsidRPr="00DF109F">
          <w:rPr>
            <w:rStyle w:val="Hyperlink"/>
            <w:rFonts w:ascii="Arial" w:hAnsi="Arial" w:cs="Arial"/>
          </w:rPr>
          <w:t>https://doi.org/10.1038/s41598-017-03565-4</w:t>
        </w:r>
      </w:hyperlink>
    </w:p>
    <w:p w14:paraId="134BD88A" w14:textId="77777777" w:rsidR="007E3425" w:rsidRDefault="007E3425" w:rsidP="002E1616">
      <w:pPr>
        <w:pStyle w:val="Body"/>
        <w:numPr>
          <w:ilvl w:val="0"/>
          <w:numId w:val="31"/>
        </w:numPr>
        <w:spacing w:after="0"/>
        <w:rPr>
          <w:rFonts w:ascii="Arial" w:hAnsi="Arial" w:cs="Arial"/>
        </w:rPr>
      </w:pPr>
      <w:r w:rsidRPr="007E3425">
        <w:rPr>
          <w:rFonts w:ascii="Arial" w:hAnsi="Arial" w:cs="Arial"/>
          <w:bCs/>
        </w:rPr>
        <w:t>Liu, R., Wang, W., Liu, X., Lu, Y., Xiang, T., Zhou, W., &amp; Wan, Y.</w:t>
      </w:r>
      <w:r w:rsidRPr="007E3425">
        <w:rPr>
          <w:rFonts w:ascii="Arial" w:hAnsi="Arial" w:cs="Arial"/>
        </w:rPr>
        <w:t xml:space="preserve"> (2018). Characterization of a lipase from the silkworm intestinal bacterium </w:t>
      </w:r>
      <w:r w:rsidRPr="007E3425">
        <w:rPr>
          <w:rFonts w:ascii="Arial" w:hAnsi="Arial" w:cs="Arial"/>
          <w:i/>
          <w:iCs/>
        </w:rPr>
        <w:t>Bacillus pumilus</w:t>
      </w:r>
      <w:r w:rsidRPr="007E3425">
        <w:rPr>
          <w:rFonts w:ascii="Arial" w:hAnsi="Arial" w:cs="Arial"/>
        </w:rPr>
        <w:t xml:space="preserve"> with antiviral activity against </w:t>
      </w:r>
      <w:r w:rsidRPr="007E3425">
        <w:rPr>
          <w:rFonts w:ascii="Arial" w:hAnsi="Arial" w:cs="Arial"/>
          <w:i/>
          <w:iCs/>
        </w:rPr>
        <w:t>Bombyx mori</w:t>
      </w:r>
      <w:r w:rsidRPr="007E3425">
        <w:rPr>
          <w:rFonts w:ascii="Arial" w:hAnsi="Arial" w:cs="Arial"/>
        </w:rPr>
        <w:t xml:space="preserve"> (Lepidoptera: Bombycidae) nucleopolyhedrovirus </w:t>
      </w:r>
      <w:r w:rsidRPr="007E3425">
        <w:rPr>
          <w:rFonts w:ascii="Arial" w:hAnsi="Arial" w:cs="Arial"/>
          <w:i/>
          <w:iCs/>
        </w:rPr>
        <w:t>in vitro</w:t>
      </w:r>
      <w:r w:rsidRPr="007E3425">
        <w:rPr>
          <w:rFonts w:ascii="Arial" w:hAnsi="Arial" w:cs="Arial"/>
        </w:rPr>
        <w:t xml:space="preserve">. </w:t>
      </w:r>
      <w:r w:rsidRPr="002E1616">
        <w:rPr>
          <w:rFonts w:ascii="Arial" w:hAnsi="Arial" w:cs="Arial"/>
          <w:iCs/>
        </w:rPr>
        <w:t>Journal of Insect Science</w:t>
      </w:r>
      <w:r w:rsidRPr="002E1616">
        <w:rPr>
          <w:rFonts w:ascii="Arial" w:hAnsi="Arial" w:cs="Arial"/>
        </w:rPr>
        <w:t xml:space="preserve">, </w:t>
      </w:r>
      <w:r w:rsidRPr="002E1616">
        <w:rPr>
          <w:rFonts w:ascii="Arial" w:hAnsi="Arial" w:cs="Arial"/>
          <w:iCs/>
        </w:rPr>
        <w:t>18</w:t>
      </w:r>
      <w:r w:rsidRPr="007E3425">
        <w:rPr>
          <w:rFonts w:ascii="Arial" w:hAnsi="Arial" w:cs="Arial"/>
        </w:rPr>
        <w:t>(6), 3.</w:t>
      </w:r>
      <w:r w:rsidR="002E1616">
        <w:rPr>
          <w:rFonts w:ascii="Arial" w:hAnsi="Arial" w:cs="Arial"/>
        </w:rPr>
        <w:t xml:space="preserve"> </w:t>
      </w:r>
      <w:hyperlink r:id="rId56" w:history="1">
        <w:r w:rsidR="002E1616" w:rsidRPr="00DF109F">
          <w:rPr>
            <w:rStyle w:val="Hyperlink"/>
            <w:rFonts w:ascii="Arial" w:hAnsi="Arial" w:cs="Arial"/>
          </w:rPr>
          <w:t>https://doi.org/10.1093/jisesa/iey111</w:t>
        </w:r>
      </w:hyperlink>
    </w:p>
    <w:p w14:paraId="5FBEDE07" w14:textId="77777777" w:rsidR="002E1616" w:rsidRDefault="002E1616" w:rsidP="002E1616">
      <w:pPr>
        <w:pStyle w:val="Body"/>
        <w:numPr>
          <w:ilvl w:val="0"/>
          <w:numId w:val="31"/>
        </w:numPr>
        <w:spacing w:after="0"/>
        <w:rPr>
          <w:rFonts w:ascii="Arial" w:hAnsi="Arial" w:cs="Arial"/>
        </w:rPr>
      </w:pPr>
      <w:r w:rsidRPr="002E1616">
        <w:rPr>
          <w:rFonts w:ascii="Arial" w:hAnsi="Arial" w:cs="Arial"/>
          <w:bCs/>
        </w:rPr>
        <w:t>Liang, X., He, J., Zhang, N., Muhammad, A., Lu, X., &amp; Shao, Y.</w:t>
      </w:r>
      <w:r w:rsidRPr="002E1616">
        <w:rPr>
          <w:rFonts w:ascii="Arial" w:hAnsi="Arial" w:cs="Arial"/>
        </w:rPr>
        <w:t xml:space="preserve"> (2022). Probiotic potentials of the silkworm gut symbiont </w:t>
      </w:r>
      <w:r w:rsidRPr="002E1616">
        <w:rPr>
          <w:rFonts w:ascii="Arial" w:hAnsi="Arial" w:cs="Arial"/>
          <w:i/>
          <w:iCs/>
        </w:rPr>
        <w:t xml:space="preserve">Enterococcus </w:t>
      </w:r>
      <w:proofErr w:type="spellStart"/>
      <w:r w:rsidRPr="002E1616">
        <w:rPr>
          <w:rFonts w:ascii="Arial" w:hAnsi="Arial" w:cs="Arial"/>
          <w:i/>
          <w:iCs/>
        </w:rPr>
        <w:t>casseliflavus</w:t>
      </w:r>
      <w:proofErr w:type="spellEnd"/>
      <w:r w:rsidRPr="002E1616">
        <w:rPr>
          <w:rFonts w:ascii="Arial" w:hAnsi="Arial" w:cs="Arial"/>
        </w:rPr>
        <w:t xml:space="preserve"> ECB140, a promising L</w:t>
      </w:r>
      <w:r w:rsidRPr="002E1616">
        <w:rPr>
          <w:rFonts w:ascii="Cambria Math" w:hAnsi="Cambria Math" w:cs="Cambria Math"/>
        </w:rPr>
        <w:t>‐</w:t>
      </w:r>
      <w:r w:rsidRPr="002E1616">
        <w:rPr>
          <w:rFonts w:ascii="Arial" w:hAnsi="Arial" w:cs="Arial"/>
        </w:rPr>
        <w:t xml:space="preserve">tryptophan producer living inside the host. </w:t>
      </w:r>
      <w:r w:rsidRPr="002E1616">
        <w:rPr>
          <w:rFonts w:ascii="Arial" w:hAnsi="Arial" w:cs="Arial"/>
          <w:i/>
          <w:iCs/>
        </w:rPr>
        <w:t>Journal of Applied Microbiology</w:t>
      </w:r>
      <w:r w:rsidRPr="002E1616">
        <w:rPr>
          <w:rFonts w:ascii="Arial" w:hAnsi="Arial" w:cs="Arial"/>
        </w:rPr>
        <w:t xml:space="preserve">, </w:t>
      </w:r>
      <w:r w:rsidRPr="002E1616">
        <w:rPr>
          <w:rFonts w:ascii="Arial" w:hAnsi="Arial" w:cs="Arial"/>
          <w:i/>
          <w:iCs/>
        </w:rPr>
        <w:t>133</w:t>
      </w:r>
      <w:r w:rsidRPr="002E1616">
        <w:rPr>
          <w:rFonts w:ascii="Arial" w:hAnsi="Arial" w:cs="Arial"/>
        </w:rPr>
        <w:t>(3), 1620–1635.</w:t>
      </w:r>
      <w:r>
        <w:rPr>
          <w:rFonts w:ascii="Arial" w:hAnsi="Arial" w:cs="Arial"/>
        </w:rPr>
        <w:t xml:space="preserve"> </w:t>
      </w:r>
      <w:hyperlink r:id="rId57" w:history="1">
        <w:r w:rsidRPr="00DF109F">
          <w:rPr>
            <w:rStyle w:val="Hyperlink"/>
            <w:rFonts w:ascii="Arial" w:hAnsi="Arial" w:cs="Arial"/>
          </w:rPr>
          <w:t>https://doi.org/10.1111/jam.15675</w:t>
        </w:r>
      </w:hyperlink>
    </w:p>
    <w:p w14:paraId="38589FB7" w14:textId="77777777" w:rsidR="002E1616" w:rsidRDefault="002E1616" w:rsidP="002E1616">
      <w:pPr>
        <w:pStyle w:val="Body"/>
        <w:numPr>
          <w:ilvl w:val="0"/>
          <w:numId w:val="31"/>
        </w:numPr>
        <w:spacing w:after="0"/>
        <w:rPr>
          <w:rFonts w:ascii="Arial" w:hAnsi="Arial" w:cs="Arial"/>
        </w:rPr>
      </w:pPr>
      <w:r w:rsidRPr="002E1616">
        <w:rPr>
          <w:rFonts w:ascii="Arial" w:hAnsi="Arial" w:cs="Arial"/>
        </w:rPr>
        <w:t xml:space="preserve">Feng, W., Wang, X. Q., Zhou, W., Liu, G. Y., &amp; Wan, Y. J. (2011). Isolation and characterization of lipase-producing bacteria in the intestine of the silkworm, </w:t>
      </w:r>
      <w:r w:rsidRPr="002E1616">
        <w:rPr>
          <w:rFonts w:ascii="Arial" w:hAnsi="Arial" w:cs="Arial"/>
          <w:i/>
        </w:rPr>
        <w:t>Bombyx mori</w:t>
      </w:r>
      <w:r w:rsidRPr="002E1616">
        <w:rPr>
          <w:rFonts w:ascii="Arial" w:hAnsi="Arial" w:cs="Arial"/>
        </w:rPr>
        <w:t xml:space="preserve">, reared on different forage. Journal of Insect Science, 11(1), 135. </w:t>
      </w:r>
      <w:hyperlink r:id="rId58" w:history="1">
        <w:r w:rsidRPr="00DF109F">
          <w:rPr>
            <w:rStyle w:val="Hyperlink"/>
            <w:rFonts w:ascii="Arial" w:hAnsi="Arial" w:cs="Arial"/>
          </w:rPr>
          <w:t>https://doi.org/10.1673/031.011.13501</w:t>
        </w:r>
      </w:hyperlink>
    </w:p>
    <w:p w14:paraId="3AF3FBE8" w14:textId="77777777" w:rsidR="002E1616" w:rsidRDefault="002E1616" w:rsidP="002E1616">
      <w:pPr>
        <w:pStyle w:val="Body"/>
        <w:numPr>
          <w:ilvl w:val="0"/>
          <w:numId w:val="31"/>
        </w:numPr>
        <w:spacing w:after="0"/>
        <w:rPr>
          <w:rFonts w:ascii="Arial" w:hAnsi="Arial" w:cs="Arial"/>
        </w:rPr>
      </w:pPr>
      <w:r w:rsidRPr="002E1616">
        <w:rPr>
          <w:rFonts w:ascii="Arial" w:hAnsi="Arial" w:cs="Arial"/>
          <w:bCs/>
        </w:rPr>
        <w:t>Mala, M., &amp; Vijila, K.</w:t>
      </w:r>
      <w:r w:rsidRPr="002E1616">
        <w:rPr>
          <w:rFonts w:ascii="Arial" w:hAnsi="Arial" w:cs="Arial"/>
        </w:rPr>
        <w:t xml:space="preserve"> (2018). Beneficial effects of </w:t>
      </w:r>
      <w:r w:rsidRPr="002E1616">
        <w:rPr>
          <w:rFonts w:ascii="Arial" w:hAnsi="Arial" w:cs="Arial"/>
          <w:i/>
          <w:iCs/>
        </w:rPr>
        <w:t>Bacillus licheniformis</w:t>
      </w:r>
      <w:r w:rsidRPr="002E1616">
        <w:rPr>
          <w:rFonts w:ascii="Arial" w:hAnsi="Arial" w:cs="Arial"/>
        </w:rPr>
        <w:t xml:space="preserve"> and </w:t>
      </w:r>
      <w:r w:rsidRPr="002E1616">
        <w:rPr>
          <w:rFonts w:ascii="Arial" w:hAnsi="Arial" w:cs="Arial"/>
          <w:i/>
          <w:iCs/>
        </w:rPr>
        <w:t>Bacillus niabensis</w:t>
      </w:r>
      <w:r w:rsidRPr="002E1616">
        <w:rPr>
          <w:rFonts w:ascii="Arial" w:hAnsi="Arial" w:cs="Arial"/>
        </w:rPr>
        <w:t xml:space="preserve"> on growth and economic characteristics of silkworm, </w:t>
      </w:r>
      <w:r w:rsidRPr="002E1616">
        <w:rPr>
          <w:rFonts w:ascii="Arial" w:hAnsi="Arial" w:cs="Arial"/>
          <w:i/>
          <w:iCs/>
        </w:rPr>
        <w:t>Bombyx mori</w:t>
      </w:r>
      <w:r w:rsidRPr="002E1616">
        <w:rPr>
          <w:rFonts w:ascii="Arial" w:hAnsi="Arial" w:cs="Arial"/>
        </w:rPr>
        <w:t xml:space="preserve"> L. </w:t>
      </w:r>
      <w:r w:rsidRPr="002E1616">
        <w:rPr>
          <w:rFonts w:ascii="Arial" w:hAnsi="Arial" w:cs="Arial"/>
          <w:i/>
          <w:iCs/>
        </w:rPr>
        <w:t>International Journal of Chemical Studies</w:t>
      </w:r>
      <w:r w:rsidRPr="002E1616">
        <w:rPr>
          <w:rFonts w:ascii="Arial" w:hAnsi="Arial" w:cs="Arial"/>
        </w:rPr>
        <w:t xml:space="preserve">, </w:t>
      </w:r>
      <w:r w:rsidRPr="002E1616">
        <w:rPr>
          <w:rFonts w:ascii="Arial" w:hAnsi="Arial" w:cs="Arial"/>
          <w:i/>
          <w:iCs/>
        </w:rPr>
        <w:t>6</w:t>
      </w:r>
      <w:r w:rsidRPr="002E1616">
        <w:rPr>
          <w:rFonts w:ascii="Arial" w:hAnsi="Arial" w:cs="Arial"/>
        </w:rPr>
        <w:t>, 1750–1754.</w:t>
      </w:r>
    </w:p>
    <w:p w14:paraId="3D13D79C" w14:textId="77777777" w:rsidR="002E1616" w:rsidRDefault="00C14283" w:rsidP="002E1616">
      <w:pPr>
        <w:pStyle w:val="Body"/>
        <w:numPr>
          <w:ilvl w:val="0"/>
          <w:numId w:val="31"/>
        </w:numPr>
        <w:spacing w:after="0"/>
        <w:rPr>
          <w:rFonts w:ascii="Arial" w:hAnsi="Arial" w:cs="Arial"/>
        </w:rPr>
      </w:pPr>
      <w:r w:rsidRPr="00C14283">
        <w:rPr>
          <w:rFonts w:ascii="Arial" w:hAnsi="Arial" w:cs="Arial"/>
          <w:bCs/>
        </w:rPr>
        <w:t>Mohanraj, P., &amp; Subramanian, S.</w:t>
      </w:r>
      <w:r w:rsidRPr="00C14283">
        <w:rPr>
          <w:rFonts w:ascii="Arial" w:hAnsi="Arial" w:cs="Arial"/>
        </w:rPr>
        <w:t xml:space="preserve"> (2014). Antibacterial activity of gut flora isolates from mulberry silkworm </w:t>
      </w:r>
      <w:r w:rsidRPr="00C14283">
        <w:rPr>
          <w:rFonts w:ascii="Arial" w:hAnsi="Arial" w:cs="Arial"/>
          <w:i/>
          <w:iCs/>
        </w:rPr>
        <w:t>Bombyx mori</w:t>
      </w:r>
      <w:r w:rsidRPr="00C14283">
        <w:rPr>
          <w:rFonts w:ascii="Arial" w:hAnsi="Arial" w:cs="Arial"/>
        </w:rPr>
        <w:t xml:space="preserve">. </w:t>
      </w:r>
      <w:r w:rsidRPr="00C14283">
        <w:rPr>
          <w:rFonts w:ascii="Arial" w:hAnsi="Arial" w:cs="Arial"/>
          <w:iCs/>
        </w:rPr>
        <w:t>International Journal of Environmental Science</w:t>
      </w:r>
      <w:r w:rsidRPr="00C14283">
        <w:rPr>
          <w:rFonts w:ascii="Arial" w:hAnsi="Arial" w:cs="Arial"/>
        </w:rPr>
        <w:t xml:space="preserve">, </w:t>
      </w:r>
      <w:r w:rsidRPr="00C14283">
        <w:rPr>
          <w:rFonts w:ascii="Arial" w:hAnsi="Arial" w:cs="Arial"/>
          <w:iCs/>
        </w:rPr>
        <w:t>1</w:t>
      </w:r>
      <w:r w:rsidRPr="00C14283">
        <w:rPr>
          <w:rFonts w:ascii="Arial" w:hAnsi="Arial" w:cs="Arial"/>
        </w:rPr>
        <w:t>, 267–270.</w:t>
      </w:r>
    </w:p>
    <w:p w14:paraId="3D435DD4" w14:textId="77777777" w:rsidR="00C14283" w:rsidRDefault="00C14283" w:rsidP="00C14283">
      <w:pPr>
        <w:pStyle w:val="Body"/>
        <w:numPr>
          <w:ilvl w:val="0"/>
          <w:numId w:val="31"/>
        </w:numPr>
        <w:spacing w:after="0"/>
        <w:rPr>
          <w:rFonts w:ascii="Arial" w:hAnsi="Arial" w:cs="Arial"/>
        </w:rPr>
      </w:pPr>
      <w:r w:rsidRPr="00C14283">
        <w:rPr>
          <w:rFonts w:ascii="Arial" w:hAnsi="Arial" w:cs="Arial"/>
          <w:bCs/>
        </w:rPr>
        <w:t>Zhang, X., Feng, H., He, J., Liang, X., Zhang, N., Shao, Y., &amp; others.</w:t>
      </w:r>
      <w:r w:rsidRPr="00C14283">
        <w:rPr>
          <w:rFonts w:ascii="Arial" w:hAnsi="Arial" w:cs="Arial"/>
        </w:rPr>
        <w:t xml:space="preserve"> (2022). The gut commensal bacterium </w:t>
      </w:r>
      <w:r w:rsidRPr="00C14283">
        <w:rPr>
          <w:rFonts w:ascii="Arial" w:hAnsi="Arial" w:cs="Arial"/>
          <w:i/>
          <w:iCs/>
        </w:rPr>
        <w:t>Enterococcus faecalis</w:t>
      </w:r>
      <w:r w:rsidRPr="00C14283">
        <w:rPr>
          <w:rFonts w:ascii="Arial" w:hAnsi="Arial" w:cs="Arial"/>
        </w:rPr>
        <w:t xml:space="preserve"> LX10 contributes to defending against </w:t>
      </w:r>
      <w:r w:rsidRPr="00C14283">
        <w:rPr>
          <w:rFonts w:ascii="Arial" w:hAnsi="Arial" w:cs="Arial"/>
          <w:i/>
          <w:iCs/>
        </w:rPr>
        <w:t>Nosema bombycis</w:t>
      </w:r>
      <w:r w:rsidRPr="00C14283">
        <w:rPr>
          <w:rFonts w:ascii="Arial" w:hAnsi="Arial" w:cs="Arial"/>
        </w:rPr>
        <w:t xml:space="preserve"> infection in </w:t>
      </w:r>
      <w:r w:rsidRPr="00C14283">
        <w:rPr>
          <w:rFonts w:ascii="Arial" w:hAnsi="Arial" w:cs="Arial"/>
          <w:i/>
          <w:iCs/>
        </w:rPr>
        <w:t>Bombyx mori</w:t>
      </w:r>
      <w:r w:rsidRPr="00C14283">
        <w:rPr>
          <w:rFonts w:ascii="Arial" w:hAnsi="Arial" w:cs="Arial"/>
        </w:rPr>
        <w:t xml:space="preserve">. </w:t>
      </w:r>
      <w:r w:rsidRPr="00C14283">
        <w:rPr>
          <w:rFonts w:ascii="Arial" w:hAnsi="Arial" w:cs="Arial"/>
          <w:iCs/>
        </w:rPr>
        <w:t>Pest Management Science</w:t>
      </w:r>
      <w:r w:rsidRPr="00C14283">
        <w:rPr>
          <w:rFonts w:ascii="Arial" w:hAnsi="Arial" w:cs="Arial"/>
        </w:rPr>
        <w:t xml:space="preserve">, </w:t>
      </w:r>
      <w:r w:rsidRPr="00C14283">
        <w:rPr>
          <w:rFonts w:ascii="Arial" w:hAnsi="Arial" w:cs="Arial"/>
          <w:iCs/>
        </w:rPr>
        <w:t>78</w:t>
      </w:r>
      <w:r w:rsidRPr="00C14283">
        <w:rPr>
          <w:rFonts w:ascii="Arial" w:hAnsi="Arial" w:cs="Arial"/>
        </w:rPr>
        <w:t>(6), 2215–2227.</w:t>
      </w:r>
      <w:r>
        <w:rPr>
          <w:rFonts w:ascii="Arial" w:hAnsi="Arial" w:cs="Arial"/>
        </w:rPr>
        <w:t xml:space="preserve"> </w:t>
      </w:r>
      <w:hyperlink r:id="rId59" w:history="1">
        <w:r w:rsidRPr="00DF109F">
          <w:rPr>
            <w:rStyle w:val="Hyperlink"/>
            <w:rFonts w:ascii="Arial" w:hAnsi="Arial" w:cs="Arial"/>
          </w:rPr>
          <w:t>https://doi.org/10.1002/ps.6846</w:t>
        </w:r>
      </w:hyperlink>
    </w:p>
    <w:p w14:paraId="5C7365E8" w14:textId="77777777" w:rsidR="00C14283" w:rsidRDefault="00087C71" w:rsidP="00087C71">
      <w:pPr>
        <w:pStyle w:val="Body"/>
        <w:numPr>
          <w:ilvl w:val="0"/>
          <w:numId w:val="31"/>
        </w:numPr>
        <w:spacing w:after="0"/>
        <w:rPr>
          <w:rFonts w:ascii="Arial" w:hAnsi="Arial" w:cs="Arial"/>
        </w:rPr>
      </w:pPr>
      <w:r w:rsidRPr="00087C71">
        <w:rPr>
          <w:rFonts w:ascii="Arial" w:hAnsi="Arial" w:cs="Arial"/>
        </w:rPr>
        <w:t xml:space="preserve">Ramesh, G. K., Thangamalar, A., </w:t>
      </w:r>
      <w:proofErr w:type="spellStart"/>
      <w:r w:rsidRPr="00087C71">
        <w:rPr>
          <w:rFonts w:ascii="Arial" w:hAnsi="Arial" w:cs="Arial"/>
        </w:rPr>
        <w:t>Muthuswami</w:t>
      </w:r>
      <w:proofErr w:type="spellEnd"/>
      <w:r w:rsidRPr="00087C71">
        <w:rPr>
          <w:rFonts w:ascii="Arial" w:hAnsi="Arial" w:cs="Arial"/>
        </w:rPr>
        <w:t>, M., &amp; Subramanian, S. (2010</w:t>
      </w:r>
      <w:r>
        <w:rPr>
          <w:rFonts w:ascii="Arial" w:hAnsi="Arial" w:cs="Arial"/>
        </w:rPr>
        <w:t>b</w:t>
      </w:r>
      <w:r w:rsidRPr="00087C71">
        <w:rPr>
          <w:rFonts w:ascii="Arial" w:hAnsi="Arial" w:cs="Arial"/>
        </w:rPr>
        <w:t>). Characterisation of gram negative bacterial isolates from guts of few multivoltine silkworm breeds. Karnataka Journal of Agricultural Sciences, 22(3),</w:t>
      </w:r>
      <w:r>
        <w:rPr>
          <w:rFonts w:ascii="Arial" w:hAnsi="Arial" w:cs="Arial"/>
        </w:rPr>
        <w:t xml:space="preserve"> </w:t>
      </w:r>
      <w:r w:rsidRPr="00087C71">
        <w:rPr>
          <w:rFonts w:ascii="Arial" w:hAnsi="Arial" w:cs="Arial"/>
        </w:rPr>
        <w:t>517-518</w:t>
      </w:r>
      <w:r>
        <w:rPr>
          <w:rFonts w:ascii="Arial" w:hAnsi="Arial" w:cs="Arial"/>
        </w:rPr>
        <w:t>.</w:t>
      </w:r>
    </w:p>
    <w:p w14:paraId="52195198" w14:textId="77777777" w:rsidR="00087C71" w:rsidRDefault="00087C71" w:rsidP="00D64351">
      <w:pPr>
        <w:pStyle w:val="Body"/>
        <w:numPr>
          <w:ilvl w:val="0"/>
          <w:numId w:val="31"/>
        </w:numPr>
        <w:spacing w:after="0"/>
        <w:rPr>
          <w:rFonts w:ascii="Arial" w:hAnsi="Arial" w:cs="Arial"/>
        </w:rPr>
      </w:pPr>
      <w:r w:rsidRPr="00087C71">
        <w:rPr>
          <w:rFonts w:ascii="Arial" w:hAnsi="Arial" w:cs="Arial"/>
          <w:bCs/>
        </w:rPr>
        <w:t>Pandiarajan, J., &amp; Revathy, K.</w:t>
      </w:r>
      <w:r w:rsidRPr="00087C71">
        <w:rPr>
          <w:rFonts w:ascii="Arial" w:hAnsi="Arial" w:cs="Arial"/>
        </w:rPr>
        <w:t xml:space="preserve"> (2020). Cellulolytic potential of gut bacterial biomass in silkworm </w:t>
      </w:r>
      <w:r w:rsidRPr="00087C71">
        <w:rPr>
          <w:rFonts w:ascii="Arial" w:hAnsi="Arial" w:cs="Arial"/>
          <w:i/>
          <w:iCs/>
        </w:rPr>
        <w:t>Bombyx mori</w:t>
      </w:r>
      <w:r w:rsidRPr="00087C71">
        <w:rPr>
          <w:rFonts w:ascii="Arial" w:hAnsi="Arial" w:cs="Arial"/>
        </w:rPr>
        <w:t xml:space="preserve"> L. </w:t>
      </w:r>
      <w:r w:rsidRPr="00D64351">
        <w:rPr>
          <w:rFonts w:ascii="Arial" w:hAnsi="Arial" w:cs="Arial"/>
          <w:iCs/>
        </w:rPr>
        <w:t>Ecological Genetics and Genomics</w:t>
      </w:r>
      <w:r w:rsidRPr="00D64351">
        <w:rPr>
          <w:rFonts w:ascii="Arial" w:hAnsi="Arial" w:cs="Arial"/>
        </w:rPr>
        <w:t xml:space="preserve">, </w:t>
      </w:r>
      <w:r w:rsidRPr="00D64351">
        <w:rPr>
          <w:rFonts w:ascii="Arial" w:hAnsi="Arial" w:cs="Arial"/>
          <w:iCs/>
        </w:rPr>
        <w:t>14</w:t>
      </w:r>
      <w:r w:rsidRPr="00D64351">
        <w:rPr>
          <w:rFonts w:ascii="Arial" w:hAnsi="Arial" w:cs="Arial"/>
        </w:rPr>
        <w:t>,</w:t>
      </w:r>
      <w:r w:rsidRPr="00087C71">
        <w:rPr>
          <w:rFonts w:ascii="Arial" w:hAnsi="Arial" w:cs="Arial"/>
        </w:rPr>
        <w:t xml:space="preserve"> 100045.</w:t>
      </w:r>
      <w:r w:rsidR="00D64351">
        <w:rPr>
          <w:rFonts w:ascii="Arial" w:hAnsi="Arial" w:cs="Arial"/>
        </w:rPr>
        <w:t xml:space="preserve"> </w:t>
      </w:r>
      <w:hyperlink r:id="rId60" w:history="1">
        <w:r w:rsidR="00D64351" w:rsidRPr="00DF109F">
          <w:rPr>
            <w:rStyle w:val="Hyperlink"/>
            <w:rFonts w:ascii="Arial" w:hAnsi="Arial" w:cs="Arial"/>
          </w:rPr>
          <w:t>https://doi.org/10.1016/j.egg.2019.100045</w:t>
        </w:r>
      </w:hyperlink>
    </w:p>
    <w:p w14:paraId="305C05AB" w14:textId="77777777" w:rsidR="00D64351" w:rsidRDefault="00D64351" w:rsidP="00D64351">
      <w:pPr>
        <w:pStyle w:val="Body"/>
        <w:numPr>
          <w:ilvl w:val="0"/>
          <w:numId w:val="31"/>
        </w:numPr>
        <w:spacing w:after="0"/>
        <w:rPr>
          <w:rFonts w:ascii="Arial" w:hAnsi="Arial" w:cs="Arial"/>
        </w:rPr>
      </w:pPr>
      <w:r w:rsidRPr="00D64351">
        <w:rPr>
          <w:rFonts w:ascii="Arial" w:hAnsi="Arial" w:cs="Arial"/>
        </w:rPr>
        <w:t>Liang, X., Sun, C., Chen, B., Du, K., Yu, T., Luang-In, V., ... &amp; Shao, Y. (2018). Insect symbionts as valuable grist for the biotechnological mill: an alkaliphilic silkworm gut bacterium for efficient lactic acid production. Applied Microbiology and Biotechnology, 102(11), 4951–4962.</w:t>
      </w:r>
      <w:r>
        <w:rPr>
          <w:rFonts w:ascii="Arial" w:hAnsi="Arial" w:cs="Arial"/>
        </w:rPr>
        <w:t xml:space="preserve"> </w:t>
      </w:r>
      <w:hyperlink r:id="rId61" w:history="1">
        <w:r w:rsidRPr="00DF109F">
          <w:rPr>
            <w:rStyle w:val="Hyperlink"/>
            <w:rFonts w:ascii="Arial" w:hAnsi="Arial" w:cs="Arial"/>
          </w:rPr>
          <w:t>https://doi.org/10.1007/s00253-018-8953-1</w:t>
        </w:r>
      </w:hyperlink>
    </w:p>
    <w:p w14:paraId="5552359B" w14:textId="77777777" w:rsidR="00D64351" w:rsidRDefault="00D64351" w:rsidP="00D64351">
      <w:pPr>
        <w:pStyle w:val="Body"/>
        <w:numPr>
          <w:ilvl w:val="0"/>
          <w:numId w:val="31"/>
        </w:numPr>
        <w:spacing w:after="0"/>
        <w:rPr>
          <w:rFonts w:ascii="Arial" w:hAnsi="Arial" w:cs="Arial"/>
        </w:rPr>
      </w:pPr>
      <w:r w:rsidRPr="00D64351">
        <w:rPr>
          <w:rFonts w:ascii="Arial" w:hAnsi="Arial" w:cs="Arial"/>
        </w:rPr>
        <w:t xml:space="preserve">Gibson, C. M., &amp; Hunter, M. S. (2010). Extraordinarily widespread and fantastically complex: comparative biology of endosymbiotic bacterial and fungal mutualists of insects. Ecology Letters, 13(2), 223–234. </w:t>
      </w:r>
      <w:hyperlink r:id="rId62" w:history="1">
        <w:r w:rsidRPr="00DF109F">
          <w:rPr>
            <w:rStyle w:val="Hyperlink"/>
            <w:rFonts w:ascii="Arial" w:hAnsi="Arial" w:cs="Arial"/>
          </w:rPr>
          <w:t>https://doi.org/10.1111/j.1461-0248.2009.01416.x</w:t>
        </w:r>
      </w:hyperlink>
    </w:p>
    <w:p w14:paraId="4DDF55E5" w14:textId="77777777" w:rsidR="00D64351" w:rsidRDefault="00DE7BBE" w:rsidP="00DE7BBE">
      <w:pPr>
        <w:pStyle w:val="Body"/>
        <w:numPr>
          <w:ilvl w:val="0"/>
          <w:numId w:val="31"/>
        </w:numPr>
        <w:spacing w:after="0"/>
        <w:rPr>
          <w:rFonts w:ascii="Arial" w:hAnsi="Arial" w:cs="Arial"/>
        </w:rPr>
      </w:pPr>
      <w:r w:rsidRPr="00DE7BBE">
        <w:rPr>
          <w:rFonts w:ascii="Arial" w:hAnsi="Arial" w:cs="Arial"/>
        </w:rPr>
        <w:t xml:space="preserve">Esaivani, C., </w:t>
      </w:r>
      <w:proofErr w:type="spellStart"/>
      <w:r w:rsidRPr="00DE7BBE">
        <w:rPr>
          <w:rFonts w:ascii="Arial" w:hAnsi="Arial" w:cs="Arial"/>
        </w:rPr>
        <w:t>Vasanthi</w:t>
      </w:r>
      <w:proofErr w:type="spellEnd"/>
      <w:r w:rsidRPr="00DE7BBE">
        <w:rPr>
          <w:rFonts w:ascii="Arial" w:hAnsi="Arial" w:cs="Arial"/>
        </w:rPr>
        <w:t xml:space="preserve">, K., Bharathi, R., &amp; Chairman, K. (2014). Impact of probiotic Saccharomyces cerevisiae on the enzymatic profile and the economic parameters of silkworm </w:t>
      </w:r>
      <w:r w:rsidRPr="00DE7BBE">
        <w:rPr>
          <w:rFonts w:ascii="Arial" w:hAnsi="Arial" w:cs="Arial"/>
          <w:i/>
        </w:rPr>
        <w:t>Bombyx mori</w:t>
      </w:r>
      <w:r w:rsidRPr="00DE7BBE">
        <w:rPr>
          <w:rFonts w:ascii="Arial" w:hAnsi="Arial" w:cs="Arial"/>
        </w:rPr>
        <w:t xml:space="preserve"> L. Advances in Biology &amp; Biomedical Research, 1(1),</w:t>
      </w:r>
      <w:r>
        <w:rPr>
          <w:rFonts w:ascii="Arial" w:hAnsi="Arial" w:cs="Arial"/>
        </w:rPr>
        <w:t xml:space="preserve"> 1-7.</w:t>
      </w:r>
    </w:p>
    <w:p w14:paraId="0BEF2330" w14:textId="77777777" w:rsidR="00DE7BBE" w:rsidRDefault="00DE7BBE" w:rsidP="00DE7BBE">
      <w:pPr>
        <w:pStyle w:val="Body"/>
        <w:numPr>
          <w:ilvl w:val="0"/>
          <w:numId w:val="31"/>
        </w:numPr>
        <w:spacing w:after="0"/>
        <w:rPr>
          <w:rFonts w:ascii="Arial" w:hAnsi="Arial" w:cs="Arial"/>
        </w:rPr>
      </w:pPr>
      <w:r w:rsidRPr="00DE7BBE">
        <w:rPr>
          <w:rFonts w:ascii="Arial" w:hAnsi="Arial" w:cs="Arial"/>
        </w:rPr>
        <w:t xml:space="preserve">Shruti, A. J., </w:t>
      </w:r>
      <w:proofErr w:type="spellStart"/>
      <w:r w:rsidRPr="00DE7BBE">
        <w:rPr>
          <w:rFonts w:ascii="Arial" w:hAnsi="Arial" w:cs="Arial"/>
        </w:rPr>
        <w:t>Hadimani</w:t>
      </w:r>
      <w:proofErr w:type="spellEnd"/>
      <w:r w:rsidRPr="00DE7BBE">
        <w:rPr>
          <w:rFonts w:ascii="Arial" w:hAnsi="Arial" w:cs="Arial"/>
        </w:rPr>
        <w:t xml:space="preserve">, D. K., Sreenivas, A. G., &amp; </w:t>
      </w:r>
      <w:proofErr w:type="spellStart"/>
      <w:r w:rsidRPr="00DE7BBE">
        <w:rPr>
          <w:rFonts w:ascii="Arial" w:hAnsi="Arial" w:cs="Arial"/>
        </w:rPr>
        <w:t>Beladhadi</w:t>
      </w:r>
      <w:proofErr w:type="spellEnd"/>
      <w:r w:rsidRPr="00DE7BBE">
        <w:rPr>
          <w:rFonts w:ascii="Arial" w:hAnsi="Arial" w:cs="Arial"/>
        </w:rPr>
        <w:t>, R. V. (2019). Economics of probiotic feed supplementation to mulberry silkworm. Journal of Pharmacognosy and Phytochemistry, 8(6), 749–753.</w:t>
      </w:r>
      <w:r>
        <w:rPr>
          <w:rFonts w:ascii="Arial" w:hAnsi="Arial" w:cs="Arial"/>
        </w:rPr>
        <w:t xml:space="preserve"> </w:t>
      </w:r>
    </w:p>
    <w:p w14:paraId="7025989D" w14:textId="77777777" w:rsidR="004E1C1D" w:rsidRDefault="004E1C1D" w:rsidP="00DE7BBE">
      <w:pPr>
        <w:pStyle w:val="Body"/>
        <w:numPr>
          <w:ilvl w:val="0"/>
          <w:numId w:val="31"/>
        </w:numPr>
        <w:spacing w:after="0"/>
        <w:rPr>
          <w:rFonts w:ascii="Arial" w:hAnsi="Arial" w:cs="Arial"/>
        </w:rPr>
      </w:pPr>
      <w:r w:rsidRPr="004E1C1D">
        <w:rPr>
          <w:rFonts w:ascii="Arial" w:hAnsi="Arial" w:cs="Arial"/>
          <w:bCs/>
        </w:rPr>
        <w:t>Starlin, M. N.</w:t>
      </w:r>
      <w:r w:rsidRPr="004E1C1D">
        <w:rPr>
          <w:rFonts w:ascii="Arial" w:hAnsi="Arial" w:cs="Arial"/>
        </w:rPr>
        <w:t xml:space="preserve"> (2022). Studies on the efficacy of probiotic and vitamin on the growth and biochemical changes of silkworm </w:t>
      </w:r>
      <w:r w:rsidRPr="004E1C1D">
        <w:rPr>
          <w:rFonts w:ascii="Arial" w:hAnsi="Arial" w:cs="Arial"/>
          <w:i/>
          <w:iCs/>
        </w:rPr>
        <w:t>Bombyx mori</w:t>
      </w:r>
      <w:r w:rsidRPr="004E1C1D">
        <w:rPr>
          <w:rFonts w:ascii="Arial" w:hAnsi="Arial" w:cs="Arial"/>
        </w:rPr>
        <w:t xml:space="preserve"> (L.). </w:t>
      </w:r>
      <w:r w:rsidRPr="004E1C1D">
        <w:rPr>
          <w:rFonts w:ascii="Arial" w:hAnsi="Arial" w:cs="Arial"/>
          <w:iCs/>
        </w:rPr>
        <w:t>International Journal of Entomology Research</w:t>
      </w:r>
      <w:r w:rsidRPr="004E1C1D">
        <w:rPr>
          <w:rFonts w:ascii="Arial" w:hAnsi="Arial" w:cs="Arial"/>
        </w:rPr>
        <w:t xml:space="preserve">, </w:t>
      </w:r>
      <w:r w:rsidRPr="004E1C1D">
        <w:rPr>
          <w:rFonts w:ascii="Arial" w:hAnsi="Arial" w:cs="Arial"/>
          <w:iCs/>
        </w:rPr>
        <w:t>7</w:t>
      </w:r>
      <w:r w:rsidRPr="004E1C1D">
        <w:rPr>
          <w:rFonts w:ascii="Arial" w:hAnsi="Arial" w:cs="Arial"/>
        </w:rPr>
        <w:t>(7), 69–75.</w:t>
      </w:r>
      <w:r>
        <w:rPr>
          <w:rFonts w:ascii="Arial" w:hAnsi="Arial" w:cs="Arial"/>
        </w:rPr>
        <w:t xml:space="preserve"> </w:t>
      </w:r>
    </w:p>
    <w:p w14:paraId="6D5CB75E" w14:textId="77777777" w:rsidR="004E1C1D" w:rsidRDefault="004E1C1D" w:rsidP="004E1C1D">
      <w:pPr>
        <w:pStyle w:val="Body"/>
        <w:numPr>
          <w:ilvl w:val="0"/>
          <w:numId w:val="31"/>
        </w:numPr>
        <w:spacing w:after="0"/>
        <w:rPr>
          <w:rFonts w:ascii="Arial" w:hAnsi="Arial" w:cs="Arial"/>
        </w:rPr>
      </w:pPr>
      <w:r w:rsidRPr="004E1C1D">
        <w:rPr>
          <w:rFonts w:ascii="Arial" w:hAnsi="Arial" w:cs="Arial"/>
          <w:bCs/>
        </w:rPr>
        <w:t>Sekar, P., Kalpana, S., Ganga, S., John, G., &amp; Kannadasan, N.</w:t>
      </w:r>
      <w:r w:rsidRPr="004E1C1D">
        <w:rPr>
          <w:rFonts w:ascii="Arial" w:hAnsi="Arial" w:cs="Arial"/>
        </w:rPr>
        <w:t xml:space="preserve"> (2016). Effect of the probionts to the enhancement of silk proteins (sericin and fibroin) in the silk gland and cocoons of silkworm (LxCSR2) </w:t>
      </w:r>
      <w:r w:rsidRPr="004E1C1D">
        <w:rPr>
          <w:rFonts w:ascii="Arial" w:hAnsi="Arial" w:cs="Arial"/>
          <w:i/>
          <w:iCs/>
        </w:rPr>
        <w:t>Bombyx mori</w:t>
      </w:r>
      <w:r w:rsidRPr="004E1C1D">
        <w:rPr>
          <w:rFonts w:ascii="Arial" w:hAnsi="Arial" w:cs="Arial"/>
        </w:rPr>
        <w:t xml:space="preserve"> (L.). </w:t>
      </w:r>
      <w:r w:rsidRPr="004E1C1D">
        <w:rPr>
          <w:rFonts w:ascii="Arial" w:hAnsi="Arial" w:cs="Arial"/>
          <w:i/>
          <w:iCs/>
        </w:rPr>
        <w:t xml:space="preserve">International Journal of </w:t>
      </w:r>
      <w:r w:rsidRPr="004E1C1D">
        <w:rPr>
          <w:rFonts w:ascii="Arial" w:hAnsi="Arial" w:cs="Arial"/>
          <w:i/>
          <w:iCs/>
        </w:rPr>
        <w:lastRenderedPageBreak/>
        <w:t>Pharmaceutical and Biological Sciences</w:t>
      </w:r>
      <w:r w:rsidRPr="004E1C1D">
        <w:rPr>
          <w:rFonts w:ascii="Arial" w:hAnsi="Arial" w:cs="Arial"/>
        </w:rPr>
        <w:t xml:space="preserve">, </w:t>
      </w:r>
      <w:r w:rsidRPr="004E1C1D">
        <w:rPr>
          <w:rFonts w:ascii="Arial" w:hAnsi="Arial" w:cs="Arial"/>
          <w:i/>
          <w:iCs/>
        </w:rPr>
        <w:t>11</w:t>
      </w:r>
      <w:r w:rsidRPr="004E1C1D">
        <w:rPr>
          <w:rFonts w:ascii="Arial" w:hAnsi="Arial" w:cs="Arial"/>
        </w:rPr>
        <w:t>, 19–25.</w:t>
      </w:r>
      <w:r>
        <w:rPr>
          <w:rFonts w:ascii="Arial" w:hAnsi="Arial" w:cs="Arial"/>
        </w:rPr>
        <w:t xml:space="preserve"> </w:t>
      </w:r>
      <w:hyperlink r:id="rId63" w:history="1">
        <w:r w:rsidRPr="00DF109F">
          <w:rPr>
            <w:rStyle w:val="Hyperlink"/>
            <w:rFonts w:ascii="Arial" w:hAnsi="Arial" w:cs="Arial"/>
          </w:rPr>
          <w:t>http://dx.doi.org/10.9790/3008-1103021925</w:t>
        </w:r>
      </w:hyperlink>
    </w:p>
    <w:p w14:paraId="18F38690" w14:textId="77777777" w:rsidR="004E1C1D" w:rsidRDefault="004E1C1D" w:rsidP="005740FA">
      <w:pPr>
        <w:pStyle w:val="Body"/>
        <w:numPr>
          <w:ilvl w:val="0"/>
          <w:numId w:val="31"/>
        </w:numPr>
        <w:spacing w:after="0"/>
        <w:rPr>
          <w:rFonts w:ascii="Arial" w:hAnsi="Arial" w:cs="Arial"/>
        </w:rPr>
      </w:pPr>
      <w:r w:rsidRPr="004E1C1D">
        <w:rPr>
          <w:rFonts w:ascii="Arial" w:hAnsi="Arial" w:cs="Arial"/>
          <w:bCs/>
        </w:rPr>
        <w:t>Anisha̍, S. P., Yasmin, N., &amp; Devi, S. V.</w:t>
      </w:r>
      <w:r w:rsidRPr="004E1C1D">
        <w:rPr>
          <w:rFonts w:ascii="Arial" w:hAnsi="Arial" w:cs="Arial"/>
        </w:rPr>
        <w:t xml:space="preserve"> (2022). Effects of probiotic supplemented diet on growth performance of silkworm </w:t>
      </w:r>
      <w:r w:rsidRPr="004E1C1D">
        <w:rPr>
          <w:rFonts w:ascii="Arial" w:hAnsi="Arial" w:cs="Arial"/>
          <w:i/>
          <w:iCs/>
        </w:rPr>
        <w:t>Bombyx mori</w:t>
      </w:r>
      <w:r w:rsidRPr="004E1C1D">
        <w:rPr>
          <w:rFonts w:ascii="Arial" w:hAnsi="Arial" w:cs="Arial"/>
        </w:rPr>
        <w:t xml:space="preserve"> and improved characteristics of cocoon and silk. </w:t>
      </w:r>
      <w:r w:rsidRPr="004E1C1D">
        <w:rPr>
          <w:rFonts w:ascii="Arial" w:hAnsi="Arial" w:cs="Arial"/>
          <w:i/>
          <w:iCs/>
        </w:rPr>
        <w:t>Journal of Pharmaceutical Research International</w:t>
      </w:r>
      <w:r w:rsidRPr="004E1C1D">
        <w:rPr>
          <w:rFonts w:ascii="Arial" w:hAnsi="Arial" w:cs="Arial"/>
        </w:rPr>
        <w:t xml:space="preserve">, </w:t>
      </w:r>
      <w:r w:rsidRPr="004E1C1D">
        <w:rPr>
          <w:rFonts w:ascii="Arial" w:hAnsi="Arial" w:cs="Arial"/>
          <w:i/>
          <w:iCs/>
        </w:rPr>
        <w:t>34</w:t>
      </w:r>
      <w:r w:rsidRPr="004E1C1D">
        <w:rPr>
          <w:rFonts w:ascii="Arial" w:hAnsi="Arial" w:cs="Arial"/>
        </w:rPr>
        <w:t>(30A), 73–78.</w:t>
      </w:r>
      <w:r>
        <w:rPr>
          <w:rFonts w:ascii="Arial" w:hAnsi="Arial" w:cs="Arial"/>
        </w:rPr>
        <w:t xml:space="preserve"> </w:t>
      </w:r>
      <w:hyperlink r:id="rId64" w:history="1">
        <w:r w:rsidRPr="00DF109F">
          <w:rPr>
            <w:rStyle w:val="Hyperlink"/>
            <w:rFonts w:ascii="Arial" w:hAnsi="Arial" w:cs="Arial"/>
          </w:rPr>
          <w:t>https://doi.org/10.9734/jpri/2022/v34i30A36271</w:t>
        </w:r>
      </w:hyperlink>
    </w:p>
    <w:p w14:paraId="517E0E10" w14:textId="77777777" w:rsidR="005740FA" w:rsidRDefault="005740FA" w:rsidP="005740FA">
      <w:pPr>
        <w:pStyle w:val="Body"/>
        <w:numPr>
          <w:ilvl w:val="0"/>
          <w:numId w:val="31"/>
        </w:numPr>
        <w:spacing w:after="0"/>
        <w:rPr>
          <w:rFonts w:ascii="Arial" w:hAnsi="Arial" w:cs="Arial"/>
        </w:rPr>
      </w:pPr>
      <w:r w:rsidRPr="005740FA">
        <w:rPr>
          <w:rFonts w:ascii="Arial" w:hAnsi="Arial" w:cs="Arial"/>
        </w:rPr>
        <w:t>Saranya, M., Krishnamoorthy, S., &amp; Murugesh, K. (2019). Fortification of mulberry leaves with indigenous probiotic bacteria on larval growth and economic traits of silkworm (</w:t>
      </w:r>
      <w:r w:rsidRPr="005740FA">
        <w:rPr>
          <w:rFonts w:ascii="Arial" w:hAnsi="Arial" w:cs="Arial"/>
          <w:i/>
        </w:rPr>
        <w:t>Bombyx mori</w:t>
      </w:r>
      <w:r w:rsidRPr="005740FA">
        <w:rPr>
          <w:rFonts w:ascii="Arial" w:hAnsi="Arial" w:cs="Arial"/>
        </w:rPr>
        <w:t xml:space="preserve"> L.). Journal of Entomology and Zoology Studies, 7(4), 780–784.</w:t>
      </w:r>
    </w:p>
    <w:p w14:paraId="6BEE6E27" w14:textId="77777777" w:rsidR="005740FA" w:rsidRDefault="005740FA" w:rsidP="005740FA">
      <w:pPr>
        <w:pStyle w:val="Body"/>
        <w:numPr>
          <w:ilvl w:val="0"/>
          <w:numId w:val="31"/>
        </w:numPr>
        <w:spacing w:after="0"/>
        <w:rPr>
          <w:rFonts w:ascii="Arial" w:hAnsi="Arial" w:cs="Arial"/>
        </w:rPr>
      </w:pPr>
      <w:r w:rsidRPr="005740FA">
        <w:rPr>
          <w:rFonts w:ascii="Arial" w:hAnsi="Arial" w:cs="Arial"/>
          <w:bCs/>
        </w:rPr>
        <w:t xml:space="preserve">Suraporn, S., </w:t>
      </w:r>
      <w:proofErr w:type="spellStart"/>
      <w:r w:rsidRPr="005740FA">
        <w:rPr>
          <w:rFonts w:ascii="Arial" w:hAnsi="Arial" w:cs="Arial"/>
          <w:bCs/>
        </w:rPr>
        <w:t>Sangsuk</w:t>
      </w:r>
      <w:proofErr w:type="spellEnd"/>
      <w:r w:rsidRPr="005740FA">
        <w:rPr>
          <w:rFonts w:ascii="Arial" w:hAnsi="Arial" w:cs="Arial"/>
          <w:bCs/>
        </w:rPr>
        <w:t xml:space="preserve">, W., </w:t>
      </w:r>
      <w:proofErr w:type="spellStart"/>
      <w:r w:rsidRPr="005740FA">
        <w:rPr>
          <w:rFonts w:ascii="Arial" w:hAnsi="Arial" w:cs="Arial"/>
          <w:bCs/>
        </w:rPr>
        <w:t>Chanhan</w:t>
      </w:r>
      <w:proofErr w:type="spellEnd"/>
      <w:r w:rsidRPr="005740FA">
        <w:rPr>
          <w:rFonts w:ascii="Arial" w:hAnsi="Arial" w:cs="Arial"/>
          <w:bCs/>
        </w:rPr>
        <w:t xml:space="preserve">, P., &amp; </w:t>
      </w:r>
      <w:proofErr w:type="spellStart"/>
      <w:r w:rsidRPr="005740FA">
        <w:rPr>
          <w:rFonts w:ascii="Arial" w:hAnsi="Arial" w:cs="Arial"/>
          <w:bCs/>
        </w:rPr>
        <w:t>Promma</w:t>
      </w:r>
      <w:proofErr w:type="spellEnd"/>
      <w:r w:rsidRPr="005740FA">
        <w:rPr>
          <w:rFonts w:ascii="Arial" w:hAnsi="Arial" w:cs="Arial"/>
          <w:bCs/>
        </w:rPr>
        <w:t>, S.</w:t>
      </w:r>
      <w:r w:rsidRPr="005740FA">
        <w:rPr>
          <w:rFonts w:ascii="Arial" w:hAnsi="Arial" w:cs="Arial"/>
        </w:rPr>
        <w:t xml:space="preserve"> (2015). Effects of probiotic bacteria on the growth parameters of the Thai silkworm, </w:t>
      </w:r>
      <w:r w:rsidRPr="005740FA">
        <w:rPr>
          <w:rFonts w:ascii="Arial" w:hAnsi="Arial" w:cs="Arial"/>
          <w:i/>
          <w:iCs/>
        </w:rPr>
        <w:t>Bombyx mori</w:t>
      </w:r>
      <w:r w:rsidRPr="005740FA">
        <w:rPr>
          <w:rFonts w:ascii="Arial" w:hAnsi="Arial" w:cs="Arial"/>
        </w:rPr>
        <w:t xml:space="preserve">. </w:t>
      </w:r>
      <w:r w:rsidRPr="005740FA">
        <w:rPr>
          <w:rFonts w:ascii="Arial" w:hAnsi="Arial" w:cs="Arial"/>
          <w:iCs/>
        </w:rPr>
        <w:t>Thai Journal of Agricultural Science</w:t>
      </w:r>
      <w:r w:rsidRPr="005740FA">
        <w:rPr>
          <w:rFonts w:ascii="Arial" w:hAnsi="Arial" w:cs="Arial"/>
        </w:rPr>
        <w:t xml:space="preserve">, </w:t>
      </w:r>
      <w:r w:rsidRPr="005740FA">
        <w:rPr>
          <w:rFonts w:ascii="Arial" w:hAnsi="Arial" w:cs="Arial"/>
          <w:iCs/>
        </w:rPr>
        <w:t>48</w:t>
      </w:r>
      <w:r w:rsidRPr="005740FA">
        <w:rPr>
          <w:rFonts w:ascii="Arial" w:hAnsi="Arial" w:cs="Arial"/>
        </w:rPr>
        <w:t>(1), 29–33.</w:t>
      </w:r>
      <w:r>
        <w:rPr>
          <w:rFonts w:ascii="Arial" w:hAnsi="Arial" w:cs="Arial"/>
        </w:rPr>
        <w:t xml:space="preserve"> </w:t>
      </w:r>
    </w:p>
    <w:p w14:paraId="3504AF0D" w14:textId="77777777" w:rsidR="005740FA" w:rsidRDefault="005740FA" w:rsidP="005740FA">
      <w:pPr>
        <w:pStyle w:val="Body"/>
        <w:numPr>
          <w:ilvl w:val="0"/>
          <w:numId w:val="31"/>
        </w:numPr>
        <w:spacing w:after="0"/>
        <w:rPr>
          <w:rFonts w:ascii="Arial" w:hAnsi="Arial" w:cs="Arial"/>
        </w:rPr>
      </w:pPr>
      <w:r w:rsidRPr="005740FA">
        <w:rPr>
          <w:rFonts w:ascii="Arial" w:hAnsi="Arial" w:cs="Arial"/>
        </w:rPr>
        <w:t xml:space="preserve">Suzuki, J., </w:t>
      </w:r>
      <w:proofErr w:type="spellStart"/>
      <w:r w:rsidRPr="005740FA">
        <w:rPr>
          <w:rFonts w:ascii="Arial" w:hAnsi="Arial" w:cs="Arial"/>
        </w:rPr>
        <w:t>Uda</w:t>
      </w:r>
      <w:proofErr w:type="spellEnd"/>
      <w:r w:rsidRPr="005740FA">
        <w:rPr>
          <w:rFonts w:ascii="Arial" w:hAnsi="Arial" w:cs="Arial"/>
        </w:rPr>
        <w:t xml:space="preserve">, A., Watanabe, K., et al. (2016). Symbiosis with Francisella tularensis provides resistance to pathogens in the silkworm. Scientific Reports, 6, 31476. </w:t>
      </w:r>
      <w:hyperlink r:id="rId65" w:history="1">
        <w:r w:rsidRPr="00DF109F">
          <w:rPr>
            <w:rStyle w:val="Hyperlink"/>
            <w:rFonts w:ascii="Arial" w:hAnsi="Arial" w:cs="Arial"/>
          </w:rPr>
          <w:t>https://doi.org/10.1038/srep31476</w:t>
        </w:r>
      </w:hyperlink>
    </w:p>
    <w:p w14:paraId="0FBC5A52" w14:textId="77777777" w:rsidR="005740FA" w:rsidRDefault="005740FA" w:rsidP="005740FA">
      <w:pPr>
        <w:pStyle w:val="Body"/>
        <w:numPr>
          <w:ilvl w:val="0"/>
          <w:numId w:val="31"/>
        </w:numPr>
        <w:spacing w:after="0"/>
        <w:rPr>
          <w:rFonts w:ascii="Arial" w:hAnsi="Arial" w:cs="Arial"/>
        </w:rPr>
      </w:pPr>
      <w:r w:rsidRPr="005740FA">
        <w:rPr>
          <w:rFonts w:ascii="Arial" w:hAnsi="Arial" w:cs="Arial"/>
          <w:bCs/>
        </w:rPr>
        <w:t>Suraporn, S., &amp; Terenius, O.</w:t>
      </w:r>
      <w:r w:rsidRPr="005740FA">
        <w:rPr>
          <w:rFonts w:ascii="Arial" w:hAnsi="Arial" w:cs="Arial"/>
        </w:rPr>
        <w:t xml:space="preserve"> (2021). Supplementation of </w:t>
      </w:r>
      <w:r w:rsidRPr="005740FA">
        <w:rPr>
          <w:rFonts w:ascii="Arial" w:hAnsi="Arial" w:cs="Arial"/>
          <w:i/>
          <w:iCs/>
        </w:rPr>
        <w:t>Lactobacillus casei</w:t>
      </w:r>
      <w:r w:rsidRPr="005740FA">
        <w:rPr>
          <w:rFonts w:ascii="Arial" w:hAnsi="Arial" w:cs="Arial"/>
        </w:rPr>
        <w:t xml:space="preserve"> reduces the mortality of </w:t>
      </w:r>
      <w:r w:rsidRPr="005740FA">
        <w:rPr>
          <w:rFonts w:ascii="Arial" w:hAnsi="Arial" w:cs="Arial"/>
          <w:i/>
          <w:iCs/>
        </w:rPr>
        <w:t>Bombyx mori</w:t>
      </w:r>
      <w:r w:rsidRPr="005740FA">
        <w:rPr>
          <w:rFonts w:ascii="Arial" w:hAnsi="Arial" w:cs="Arial"/>
        </w:rPr>
        <w:t xml:space="preserve"> larvae challenged by </w:t>
      </w:r>
      <w:r w:rsidRPr="005740FA">
        <w:rPr>
          <w:rFonts w:ascii="Arial" w:hAnsi="Arial" w:cs="Arial"/>
          <w:i/>
          <w:iCs/>
        </w:rPr>
        <w:t>Nosema bombycis</w:t>
      </w:r>
      <w:r w:rsidRPr="005740FA">
        <w:rPr>
          <w:rFonts w:ascii="Arial" w:hAnsi="Arial" w:cs="Arial"/>
        </w:rPr>
        <w:t xml:space="preserve">. </w:t>
      </w:r>
      <w:r w:rsidRPr="005740FA">
        <w:rPr>
          <w:rFonts w:ascii="Arial" w:hAnsi="Arial" w:cs="Arial"/>
          <w:i/>
          <w:iCs/>
        </w:rPr>
        <w:t>BMC Research Notes</w:t>
      </w:r>
      <w:r w:rsidRPr="005740FA">
        <w:rPr>
          <w:rFonts w:ascii="Arial" w:hAnsi="Arial" w:cs="Arial"/>
        </w:rPr>
        <w:t xml:space="preserve">, </w:t>
      </w:r>
      <w:r w:rsidRPr="005740FA">
        <w:rPr>
          <w:rFonts w:ascii="Arial" w:hAnsi="Arial" w:cs="Arial"/>
          <w:i/>
          <w:iCs/>
        </w:rPr>
        <w:t>14</w:t>
      </w:r>
      <w:r w:rsidRPr="005740FA">
        <w:rPr>
          <w:rFonts w:ascii="Arial" w:hAnsi="Arial" w:cs="Arial"/>
        </w:rPr>
        <w:t>(1), 398.</w:t>
      </w:r>
      <w:r>
        <w:rPr>
          <w:rFonts w:ascii="Arial" w:hAnsi="Arial" w:cs="Arial"/>
        </w:rPr>
        <w:t xml:space="preserve"> </w:t>
      </w:r>
      <w:hyperlink r:id="rId66" w:history="1">
        <w:r w:rsidRPr="00DF109F">
          <w:rPr>
            <w:rStyle w:val="Hyperlink"/>
            <w:rFonts w:ascii="Arial" w:hAnsi="Arial" w:cs="Arial"/>
          </w:rPr>
          <w:t>https://doi.org/10.1186/s13104-021-05807-1</w:t>
        </w:r>
      </w:hyperlink>
    </w:p>
    <w:p w14:paraId="3F755873" w14:textId="77777777" w:rsidR="004D4277" w:rsidRPr="007921A3" w:rsidRDefault="005740FA" w:rsidP="005740FA">
      <w:pPr>
        <w:pStyle w:val="Body"/>
        <w:numPr>
          <w:ilvl w:val="0"/>
          <w:numId w:val="31"/>
        </w:numPr>
        <w:spacing w:after="0"/>
        <w:rPr>
          <w:rStyle w:val="Hyperlink"/>
          <w:rFonts w:ascii="Arial" w:hAnsi="Arial" w:cs="Arial"/>
          <w:color w:val="auto"/>
          <w:u w:val="none"/>
        </w:rPr>
      </w:pPr>
      <w:r w:rsidRPr="005740FA">
        <w:rPr>
          <w:rFonts w:ascii="Arial" w:hAnsi="Arial" w:cs="Arial"/>
          <w:bCs/>
        </w:rPr>
        <w:t>Attia, R. G., Moustafa, M. N., Ma’moun, S. A., Sayed, H. A., &amp; Abdel-Haleem, D. R.</w:t>
      </w:r>
      <w:r w:rsidRPr="005740FA">
        <w:rPr>
          <w:rFonts w:ascii="Arial" w:hAnsi="Arial" w:cs="Arial"/>
        </w:rPr>
        <w:t xml:space="preserve"> (2025). Mechanisms of some </w:t>
      </w:r>
      <w:r w:rsidRPr="005740FA">
        <w:rPr>
          <w:rFonts w:ascii="Arial" w:hAnsi="Arial" w:cs="Arial"/>
          <w:i/>
          <w:iCs/>
        </w:rPr>
        <w:t>Lactobacillus</w:t>
      </w:r>
      <w:r w:rsidRPr="005740FA">
        <w:rPr>
          <w:rFonts w:ascii="Arial" w:hAnsi="Arial" w:cs="Arial"/>
        </w:rPr>
        <w:t xml:space="preserve"> sp. for enhancing the growth of mulberry silkworm, </w:t>
      </w:r>
      <w:r w:rsidRPr="005740FA">
        <w:rPr>
          <w:rFonts w:ascii="Arial" w:hAnsi="Arial" w:cs="Arial"/>
          <w:i/>
          <w:iCs/>
        </w:rPr>
        <w:t>Bombyx mori</w:t>
      </w:r>
      <w:r w:rsidRPr="005740FA">
        <w:rPr>
          <w:rFonts w:ascii="Arial" w:hAnsi="Arial" w:cs="Arial"/>
        </w:rPr>
        <w:t xml:space="preserve"> larvae, and their role as biocontrol agents against diseases. </w:t>
      </w:r>
      <w:r w:rsidRPr="005740FA">
        <w:rPr>
          <w:rFonts w:ascii="Arial" w:hAnsi="Arial" w:cs="Arial"/>
          <w:i/>
          <w:iCs/>
        </w:rPr>
        <w:t>Egyptian Journal of Biological Pest Control</w:t>
      </w:r>
      <w:r w:rsidRPr="005740FA">
        <w:rPr>
          <w:rFonts w:ascii="Arial" w:hAnsi="Arial" w:cs="Arial"/>
        </w:rPr>
        <w:t xml:space="preserve">, </w:t>
      </w:r>
      <w:r w:rsidRPr="005740FA">
        <w:rPr>
          <w:rFonts w:ascii="Arial" w:hAnsi="Arial" w:cs="Arial"/>
          <w:i/>
          <w:iCs/>
        </w:rPr>
        <w:t>35</w:t>
      </w:r>
      <w:r w:rsidRPr="005740FA">
        <w:rPr>
          <w:rFonts w:ascii="Arial" w:hAnsi="Arial" w:cs="Arial"/>
        </w:rPr>
        <w:t>(1), 18.</w:t>
      </w:r>
      <w:r>
        <w:rPr>
          <w:rFonts w:ascii="Arial" w:hAnsi="Arial" w:cs="Arial"/>
        </w:rPr>
        <w:t xml:space="preserve"> </w:t>
      </w:r>
      <w:hyperlink r:id="rId67" w:history="1">
        <w:r w:rsidRPr="00DF109F">
          <w:rPr>
            <w:rStyle w:val="Hyperlink"/>
            <w:rFonts w:ascii="Arial" w:hAnsi="Arial" w:cs="Arial"/>
          </w:rPr>
          <w:t>https://doi.org/10.1186/s41938-025-00851-6</w:t>
        </w:r>
      </w:hyperlink>
    </w:p>
    <w:p w14:paraId="47E1B209" w14:textId="0D441524" w:rsidR="00A80752" w:rsidRPr="007921A3" w:rsidRDefault="00A80752" w:rsidP="005740FA">
      <w:pPr>
        <w:pStyle w:val="Body"/>
        <w:numPr>
          <w:ilvl w:val="0"/>
          <w:numId w:val="31"/>
        </w:numPr>
        <w:spacing w:after="0"/>
        <w:rPr>
          <w:rFonts w:ascii="Arial" w:hAnsi="Arial" w:cs="Arial"/>
          <w:highlight w:val="yellow"/>
        </w:rPr>
        <w:sectPr w:rsidR="00A80752" w:rsidRPr="007921A3" w:rsidSect="00CE610D">
          <w:headerReference w:type="even" r:id="rId68"/>
          <w:headerReference w:type="default" r:id="rId69"/>
          <w:footerReference w:type="default" r:id="rId70"/>
          <w:headerReference w:type="first" r:id="rId71"/>
          <w:type w:val="continuous"/>
          <w:pgSz w:w="12240" w:h="15840"/>
          <w:pgMar w:top="1440" w:right="2016" w:bottom="2016" w:left="2016" w:header="720" w:footer="1123" w:gutter="0"/>
          <w:cols w:space="720"/>
          <w:docGrid w:linePitch="272"/>
        </w:sectPr>
      </w:pPr>
      <w:proofErr w:type="spellStart"/>
      <w:r w:rsidRPr="007921A3">
        <w:rPr>
          <w:rFonts w:ascii="Arial" w:hAnsi="Arial" w:cs="Arial"/>
          <w:highlight w:val="yellow"/>
        </w:rPr>
        <w:t>Suraporn</w:t>
      </w:r>
      <w:proofErr w:type="spellEnd"/>
      <w:r w:rsidRPr="007921A3">
        <w:rPr>
          <w:rFonts w:ascii="Arial" w:hAnsi="Arial" w:cs="Arial"/>
          <w:highlight w:val="yellow"/>
        </w:rPr>
        <w:t xml:space="preserve">, S., Liu, J., Ren, F., Wang, L., Feng, M., </w:t>
      </w:r>
      <w:proofErr w:type="spellStart"/>
      <w:r w:rsidRPr="007921A3">
        <w:rPr>
          <w:rFonts w:ascii="Arial" w:hAnsi="Arial" w:cs="Arial"/>
          <w:highlight w:val="yellow"/>
        </w:rPr>
        <w:t>Terenius</w:t>
      </w:r>
      <w:proofErr w:type="spellEnd"/>
      <w:r w:rsidRPr="007921A3">
        <w:rPr>
          <w:rFonts w:ascii="Arial" w:hAnsi="Arial" w:cs="Arial"/>
          <w:highlight w:val="yellow"/>
        </w:rPr>
        <w:t xml:space="preserve">, O., &amp; </w:t>
      </w:r>
      <w:proofErr w:type="spellStart"/>
      <w:r w:rsidRPr="007921A3">
        <w:rPr>
          <w:rFonts w:ascii="Arial" w:hAnsi="Arial" w:cs="Arial"/>
          <w:highlight w:val="yellow"/>
        </w:rPr>
        <w:t>Swevers</w:t>
      </w:r>
      <w:proofErr w:type="spellEnd"/>
      <w:r w:rsidRPr="007921A3">
        <w:rPr>
          <w:rFonts w:ascii="Arial" w:hAnsi="Arial" w:cs="Arial"/>
          <w:highlight w:val="yellow"/>
        </w:rPr>
        <w:t>, L. (2025). Towards a Rational Basis for the Selection of Probiotics to Improve Silkworm Health and Performance. Insects, 16(2), 162.</w:t>
      </w:r>
    </w:p>
    <w:p w14:paraId="3877F097" w14:textId="77777777" w:rsidR="00B01FCD" w:rsidRPr="00FB3A86" w:rsidRDefault="00B01FCD" w:rsidP="00441B6F">
      <w:pPr>
        <w:pStyle w:val="Appendix"/>
        <w:spacing w:after="0"/>
        <w:jc w:val="both"/>
        <w:rPr>
          <w:rFonts w:ascii="Arial" w:hAnsi="Arial" w:cs="Arial"/>
          <w:b w:val="0"/>
        </w:rPr>
      </w:pPr>
    </w:p>
    <w:sectPr w:rsidR="00B01FCD" w:rsidRPr="00FB3A86" w:rsidSect="00CE610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A92F8" w14:textId="77777777" w:rsidR="00BE71BF" w:rsidRDefault="00BE71BF" w:rsidP="00C37E61">
      <w:r>
        <w:separator/>
      </w:r>
    </w:p>
  </w:endnote>
  <w:endnote w:type="continuationSeparator" w:id="0">
    <w:p w14:paraId="4BA52EE5" w14:textId="77777777" w:rsidR="00BE71BF" w:rsidRDefault="00BE71B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5212D" w14:textId="77777777" w:rsidR="00CE610D" w:rsidRDefault="00CE61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E4757" w14:textId="77777777" w:rsidR="00CE610D" w:rsidRDefault="00CE61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AF119" w14:textId="25C3EF95" w:rsidR="002E1616" w:rsidRPr="00774E1B" w:rsidRDefault="002E1616" w:rsidP="00774E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E5918" w14:textId="77777777" w:rsidR="002E1616" w:rsidRPr="00C37E61" w:rsidRDefault="002E1616"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70E34" w14:textId="77777777" w:rsidR="00BE71BF" w:rsidRDefault="00BE71BF" w:rsidP="00C37E61">
      <w:r>
        <w:separator/>
      </w:r>
    </w:p>
  </w:footnote>
  <w:footnote w:type="continuationSeparator" w:id="0">
    <w:p w14:paraId="26F8C4A7" w14:textId="77777777" w:rsidR="00BE71BF" w:rsidRDefault="00BE71B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FECB9" w14:textId="20710F12" w:rsidR="00CE610D" w:rsidRDefault="00BE71BF">
    <w:pPr>
      <w:pStyle w:val="Header"/>
    </w:pPr>
    <w:r>
      <w:rPr>
        <w:noProof/>
      </w:rPr>
      <w:pict w14:anchorId="1EBF00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06473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CEA70" w14:textId="3A8BC45B" w:rsidR="00CE610D" w:rsidRDefault="00BE71BF">
    <w:pPr>
      <w:pStyle w:val="Header"/>
    </w:pPr>
    <w:r>
      <w:rPr>
        <w:noProof/>
      </w:rPr>
      <w:pict w14:anchorId="738B1A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06473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9DAF1" w14:textId="3852B53B" w:rsidR="002E1616" w:rsidRPr="00296529" w:rsidRDefault="00BE71BF" w:rsidP="00296529">
    <w:pPr>
      <w:ind w:left="2160"/>
      <w:jc w:val="center"/>
      <w:rPr>
        <w:rFonts w:ascii="Times New Roman" w:eastAsia="Calibri" w:hAnsi="Times New Roman"/>
        <w:i/>
        <w:sz w:val="18"/>
        <w:szCs w:val="22"/>
      </w:rPr>
    </w:pPr>
    <w:r>
      <w:rPr>
        <w:noProof/>
      </w:rPr>
      <w:pict w14:anchorId="38BCA6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06473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2511190" w14:textId="77777777" w:rsidR="002E1616" w:rsidRPr="00296529" w:rsidRDefault="002E1616"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B1B9C20" w14:textId="77777777" w:rsidR="002E1616" w:rsidRPr="00296529" w:rsidRDefault="002E1616"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D415729" w14:textId="77777777" w:rsidR="002E1616" w:rsidRPr="00296529" w:rsidRDefault="002E1616"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EB98A13" w14:textId="77777777" w:rsidR="002E1616" w:rsidRDefault="002E1616"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EF2CDFF" w14:textId="77777777" w:rsidR="002E1616" w:rsidRDefault="002E1616"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D59A55" w14:textId="77777777" w:rsidR="002E1616" w:rsidRDefault="002E1616">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595B0" w14:textId="4ABDB3F7" w:rsidR="00CE610D" w:rsidRDefault="00BE71BF">
    <w:pPr>
      <w:pStyle w:val="Header"/>
    </w:pPr>
    <w:r>
      <w:rPr>
        <w:noProof/>
      </w:rPr>
      <w:pict w14:anchorId="47956E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064738"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22127" w14:textId="4C6EF868" w:rsidR="00CE610D" w:rsidRDefault="00BE71BF">
    <w:pPr>
      <w:pStyle w:val="Header"/>
    </w:pPr>
    <w:r>
      <w:rPr>
        <w:noProof/>
      </w:rPr>
      <w:pict w14:anchorId="7A9F4D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064739"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3E321" w14:textId="10C87B07" w:rsidR="00CE610D" w:rsidRDefault="00BE71BF">
    <w:pPr>
      <w:pStyle w:val="Header"/>
    </w:pPr>
    <w:r>
      <w:rPr>
        <w:noProof/>
      </w:rPr>
      <w:pict w14:anchorId="42173E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064737"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A9B56D5"/>
    <w:multiLevelType w:val="multilevel"/>
    <w:tmpl w:val="EDAC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4741278"/>
    <w:multiLevelType w:val="hybridMultilevel"/>
    <w:tmpl w:val="8DD23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5E2143"/>
    <w:multiLevelType w:val="hybridMultilevel"/>
    <w:tmpl w:val="5BE27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20"/>
  </w:num>
  <w:num w:numId="12">
    <w:abstractNumId w:val="3"/>
  </w:num>
  <w:num w:numId="13">
    <w:abstractNumId w:val="18"/>
  </w:num>
  <w:num w:numId="14">
    <w:abstractNumId w:val="8"/>
  </w:num>
  <w:num w:numId="15">
    <w:abstractNumId w:val="23"/>
  </w:num>
  <w:num w:numId="16">
    <w:abstractNumId w:val="5"/>
  </w:num>
  <w:num w:numId="17">
    <w:abstractNumId w:val="24"/>
  </w:num>
  <w:num w:numId="18">
    <w:abstractNumId w:val="14"/>
  </w:num>
  <w:num w:numId="19">
    <w:abstractNumId w:val="31"/>
  </w:num>
  <w:num w:numId="20">
    <w:abstractNumId w:val="11"/>
  </w:num>
  <w:num w:numId="21">
    <w:abstractNumId w:val="9"/>
  </w:num>
  <w:num w:numId="22">
    <w:abstractNumId w:val="13"/>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0"/>
  </w:num>
  <w:num w:numId="31">
    <w:abstractNumId w:val="30"/>
  </w:num>
  <w:num w:numId="32">
    <w:abstractNumId w:val="15"/>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Q0MrAwMjQwMzM0MzNT0lEKTi0uzszPAykwrAUAwkZutiwAAAA="/>
  </w:docVars>
  <w:rsids>
    <w:rsidRoot w:val="00AA6219"/>
    <w:rsid w:val="00000F8F"/>
    <w:rsid w:val="00007A66"/>
    <w:rsid w:val="00014E69"/>
    <w:rsid w:val="00027E38"/>
    <w:rsid w:val="00030174"/>
    <w:rsid w:val="0004579C"/>
    <w:rsid w:val="00087C71"/>
    <w:rsid w:val="000A47FA"/>
    <w:rsid w:val="000A65D3"/>
    <w:rsid w:val="000B1E33"/>
    <w:rsid w:val="000D689F"/>
    <w:rsid w:val="000D6E1D"/>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72667"/>
    <w:rsid w:val="00283105"/>
    <w:rsid w:val="00284C4C"/>
    <w:rsid w:val="00287E68"/>
    <w:rsid w:val="00296529"/>
    <w:rsid w:val="002B27FB"/>
    <w:rsid w:val="002B58CC"/>
    <w:rsid w:val="002B685A"/>
    <w:rsid w:val="002C57D2"/>
    <w:rsid w:val="002E0D56"/>
    <w:rsid w:val="002E1616"/>
    <w:rsid w:val="002E7EE4"/>
    <w:rsid w:val="00315186"/>
    <w:rsid w:val="00315BA5"/>
    <w:rsid w:val="0033343E"/>
    <w:rsid w:val="003512C2"/>
    <w:rsid w:val="00371FB6"/>
    <w:rsid w:val="003763C1"/>
    <w:rsid w:val="00376BBE"/>
    <w:rsid w:val="0039224F"/>
    <w:rsid w:val="003A43A4"/>
    <w:rsid w:val="003A7E18"/>
    <w:rsid w:val="003B6067"/>
    <w:rsid w:val="003C4C86"/>
    <w:rsid w:val="003C6258"/>
    <w:rsid w:val="003E2904"/>
    <w:rsid w:val="00401927"/>
    <w:rsid w:val="0041027F"/>
    <w:rsid w:val="00412475"/>
    <w:rsid w:val="00423789"/>
    <w:rsid w:val="00440F43"/>
    <w:rsid w:val="00441B6F"/>
    <w:rsid w:val="00446221"/>
    <w:rsid w:val="00450E62"/>
    <w:rsid w:val="004539DB"/>
    <w:rsid w:val="00471A80"/>
    <w:rsid w:val="004C34B3"/>
    <w:rsid w:val="004D305E"/>
    <w:rsid w:val="004D4277"/>
    <w:rsid w:val="004E1C1D"/>
    <w:rsid w:val="004E379C"/>
    <w:rsid w:val="00502516"/>
    <w:rsid w:val="00505F06"/>
    <w:rsid w:val="00506828"/>
    <w:rsid w:val="0053056E"/>
    <w:rsid w:val="00554FDA"/>
    <w:rsid w:val="005740F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2EC3"/>
    <w:rsid w:val="006967F7"/>
    <w:rsid w:val="006A250C"/>
    <w:rsid w:val="006B21D3"/>
    <w:rsid w:val="006B57D0"/>
    <w:rsid w:val="006D30FF"/>
    <w:rsid w:val="006D6940"/>
    <w:rsid w:val="006E20ED"/>
    <w:rsid w:val="006F11EC"/>
    <w:rsid w:val="0070082C"/>
    <w:rsid w:val="00712E68"/>
    <w:rsid w:val="007207A7"/>
    <w:rsid w:val="007271B5"/>
    <w:rsid w:val="007369E6"/>
    <w:rsid w:val="00746E59"/>
    <w:rsid w:val="00754C9A"/>
    <w:rsid w:val="00754D4B"/>
    <w:rsid w:val="0075599A"/>
    <w:rsid w:val="00761D52"/>
    <w:rsid w:val="00774E1B"/>
    <w:rsid w:val="0077749E"/>
    <w:rsid w:val="00790ADA"/>
    <w:rsid w:val="007921A3"/>
    <w:rsid w:val="007A22EE"/>
    <w:rsid w:val="007D2288"/>
    <w:rsid w:val="007E088F"/>
    <w:rsid w:val="007E2602"/>
    <w:rsid w:val="007E3425"/>
    <w:rsid w:val="007F7B32"/>
    <w:rsid w:val="00804BC2"/>
    <w:rsid w:val="00810677"/>
    <w:rsid w:val="0081431A"/>
    <w:rsid w:val="00826B40"/>
    <w:rsid w:val="0083216F"/>
    <w:rsid w:val="0085337E"/>
    <w:rsid w:val="00860000"/>
    <w:rsid w:val="00863BD3"/>
    <w:rsid w:val="008641ED"/>
    <w:rsid w:val="00864FCF"/>
    <w:rsid w:val="00866D66"/>
    <w:rsid w:val="008671C6"/>
    <w:rsid w:val="00875803"/>
    <w:rsid w:val="008B459E"/>
    <w:rsid w:val="008E13AE"/>
    <w:rsid w:val="008E1506"/>
    <w:rsid w:val="008E2EA4"/>
    <w:rsid w:val="008E5758"/>
    <w:rsid w:val="008E710C"/>
    <w:rsid w:val="008F3016"/>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121F2"/>
    <w:rsid w:val="00A24E7E"/>
    <w:rsid w:val="00A258C3"/>
    <w:rsid w:val="00A347C0"/>
    <w:rsid w:val="00A51431"/>
    <w:rsid w:val="00A539AD"/>
    <w:rsid w:val="00A711AF"/>
    <w:rsid w:val="00A80752"/>
    <w:rsid w:val="00A94063"/>
    <w:rsid w:val="00A95B8A"/>
    <w:rsid w:val="00AA6219"/>
    <w:rsid w:val="00AA74E0"/>
    <w:rsid w:val="00AB703F"/>
    <w:rsid w:val="00AC6BB8"/>
    <w:rsid w:val="00AE008F"/>
    <w:rsid w:val="00B01FCD"/>
    <w:rsid w:val="00B1776C"/>
    <w:rsid w:val="00B52583"/>
    <w:rsid w:val="00B52896"/>
    <w:rsid w:val="00B675D8"/>
    <w:rsid w:val="00B90933"/>
    <w:rsid w:val="00B95236"/>
    <w:rsid w:val="00B96BD9"/>
    <w:rsid w:val="00BA1B01"/>
    <w:rsid w:val="00BA2641"/>
    <w:rsid w:val="00BB37AA"/>
    <w:rsid w:val="00BC53A0"/>
    <w:rsid w:val="00BE62AD"/>
    <w:rsid w:val="00BE71BF"/>
    <w:rsid w:val="00BF121F"/>
    <w:rsid w:val="00BF1F80"/>
    <w:rsid w:val="00C04753"/>
    <w:rsid w:val="00C14283"/>
    <w:rsid w:val="00C166EF"/>
    <w:rsid w:val="00C17EB0"/>
    <w:rsid w:val="00C27F5F"/>
    <w:rsid w:val="00C30A0F"/>
    <w:rsid w:val="00C34AB5"/>
    <w:rsid w:val="00C37E61"/>
    <w:rsid w:val="00C70F1B"/>
    <w:rsid w:val="00C71A47"/>
    <w:rsid w:val="00C7464C"/>
    <w:rsid w:val="00C831D1"/>
    <w:rsid w:val="00C85588"/>
    <w:rsid w:val="00CB1F42"/>
    <w:rsid w:val="00CB7C6B"/>
    <w:rsid w:val="00CD6755"/>
    <w:rsid w:val="00CD6856"/>
    <w:rsid w:val="00CE0089"/>
    <w:rsid w:val="00CE610D"/>
    <w:rsid w:val="00CE793C"/>
    <w:rsid w:val="00CF193C"/>
    <w:rsid w:val="00CF4D29"/>
    <w:rsid w:val="00D173F1"/>
    <w:rsid w:val="00D32C1D"/>
    <w:rsid w:val="00D42346"/>
    <w:rsid w:val="00D45E23"/>
    <w:rsid w:val="00D64351"/>
    <w:rsid w:val="00D74CB0"/>
    <w:rsid w:val="00D8295D"/>
    <w:rsid w:val="00DB4A38"/>
    <w:rsid w:val="00DC2A65"/>
    <w:rsid w:val="00DD79C7"/>
    <w:rsid w:val="00DE15F0"/>
    <w:rsid w:val="00DE5663"/>
    <w:rsid w:val="00DE78AA"/>
    <w:rsid w:val="00DE7BBE"/>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D2A76"/>
    <w:rsid w:val="00EE52CB"/>
    <w:rsid w:val="00EE6B53"/>
    <w:rsid w:val="00EF581D"/>
    <w:rsid w:val="00EF7FD8"/>
    <w:rsid w:val="00F06F59"/>
    <w:rsid w:val="00F10C30"/>
    <w:rsid w:val="00F15C3A"/>
    <w:rsid w:val="00F15C43"/>
    <w:rsid w:val="00F17988"/>
    <w:rsid w:val="00F26FA1"/>
    <w:rsid w:val="00F469F0"/>
    <w:rsid w:val="00F53273"/>
    <w:rsid w:val="00F53E6C"/>
    <w:rsid w:val="00F755E4"/>
    <w:rsid w:val="00F77D02"/>
    <w:rsid w:val="00FA5EEB"/>
    <w:rsid w:val="00FB37C8"/>
    <w:rsid w:val="00FB3A86"/>
    <w:rsid w:val="00FB6C07"/>
    <w:rsid w:val="00FD36C8"/>
    <w:rsid w:val="00FE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A017C3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2346"/>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Grid1">
    <w:name w:val="Table Grid1"/>
    <w:basedOn w:val="TableNormal"/>
    <w:next w:val="TableGrid"/>
    <w:uiPriority w:val="59"/>
    <w:rsid w:val="006E20ED"/>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C34B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B4A3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8F301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4899538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46/annurev.ento.49.061802.123416" TargetMode="External"/><Relationship Id="rId21" Type="http://schemas.openxmlformats.org/officeDocument/2006/relationships/hyperlink" Target="https://doi.org/10.1128/iai.47.1.84-89.1985" TargetMode="External"/><Relationship Id="rId42" Type="http://schemas.openxmlformats.org/officeDocument/2006/relationships/hyperlink" Target="https://doi.org/10.20546/ijcmas.2019.809.329" TargetMode="External"/><Relationship Id="rId47" Type="http://schemas.openxmlformats.org/officeDocument/2006/relationships/hyperlink" Target="https://doi.org/10.1038/sdata.2018.285" TargetMode="External"/><Relationship Id="rId63" Type="http://schemas.openxmlformats.org/officeDocument/2006/relationships/hyperlink" Target="http://dx.doi.org/10.9790/3008-1103021925" TargetMode="External"/><Relationship Id="rId6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x.doi.org/10.21608/jppp.2020.114587" TargetMode="External"/><Relationship Id="rId29" Type="http://schemas.openxmlformats.org/officeDocument/2006/relationships/hyperlink" Target="https://doi.org/10.1136/gut.32.4.439" TargetMode="External"/><Relationship Id="rId11" Type="http://schemas.openxmlformats.org/officeDocument/2006/relationships/footer" Target="footer2.xml"/><Relationship Id="rId24" Type="http://schemas.openxmlformats.org/officeDocument/2006/relationships/hyperlink" Target="https://doi.org/10.1016/S0723-2020(00)80070-3" TargetMode="External"/><Relationship Id="rId32" Type="http://schemas.openxmlformats.org/officeDocument/2006/relationships/hyperlink" Target="https://doi.org/10.1007/s00394-017-1445-8" TargetMode="External"/><Relationship Id="rId37" Type="http://schemas.openxmlformats.org/officeDocument/2006/relationships/hyperlink" Target="https://doi.org/10.1038/s41598-017-02516-3" TargetMode="External"/><Relationship Id="rId40" Type="http://schemas.openxmlformats.org/officeDocument/2006/relationships/hyperlink" Target="https://doi.org/10.1017/S1742758400015873" TargetMode="External"/><Relationship Id="rId45" Type="http://schemas.openxmlformats.org/officeDocument/2006/relationships/hyperlink" Target="https://doi.org/10.1371/journal.pone.0146313" TargetMode="External"/><Relationship Id="rId53" Type="http://schemas.openxmlformats.org/officeDocument/2006/relationships/hyperlink" Target="https://doi.org/10.3389/fmicb.2018.00556" TargetMode="External"/><Relationship Id="rId58" Type="http://schemas.openxmlformats.org/officeDocument/2006/relationships/hyperlink" Target="https://doi.org/10.1673/031.011.13501" TargetMode="External"/><Relationship Id="rId66" Type="http://schemas.openxmlformats.org/officeDocument/2006/relationships/hyperlink" Target="https://doi.org/10.1186/s13104-021-05807-1" TargetMode="External"/><Relationship Id="rId5" Type="http://schemas.openxmlformats.org/officeDocument/2006/relationships/webSettings" Target="webSettings.xml"/><Relationship Id="rId61" Type="http://schemas.openxmlformats.org/officeDocument/2006/relationships/hyperlink" Target="https://doi.org/10.1007/s00253-018-8953-1" TargetMode="External"/><Relationship Id="rId19" Type="http://schemas.openxmlformats.org/officeDocument/2006/relationships/hyperlink" Target="https://doi.org/10.3390/insects13040376" TargetMode="External"/><Relationship Id="rId14" Type="http://schemas.openxmlformats.org/officeDocument/2006/relationships/image" Target="media/image1.png"/><Relationship Id="rId22" Type="http://schemas.openxmlformats.org/officeDocument/2006/relationships/hyperlink" Target="https://doi.org/10.1016/0044-8486(94)90441-3" TargetMode="External"/><Relationship Id="rId27" Type="http://schemas.openxmlformats.org/officeDocument/2006/relationships/hyperlink" Target="https://doi.org/10.1128/aem.59.9.3003-3010.1993" TargetMode="External"/><Relationship Id="rId30" Type="http://schemas.openxmlformats.org/officeDocument/2006/relationships/hyperlink" Target="https://doi.org/10.1093/jac/47.5.709" TargetMode="External"/><Relationship Id="rId35" Type="http://schemas.openxmlformats.org/officeDocument/2006/relationships/hyperlink" Target="https://doi.org/10.1186/s40168-024-01764-6" TargetMode="External"/><Relationship Id="rId43" Type="http://schemas.openxmlformats.org/officeDocument/2006/relationships/hyperlink" Target="https://doi.org/10.1111/imb.12004" TargetMode="External"/><Relationship Id="rId48" Type="http://schemas.openxmlformats.org/officeDocument/2006/relationships/hyperlink" Target="https://doi.org/10.1099/ijsem.0.002890" TargetMode="External"/><Relationship Id="rId56" Type="http://schemas.openxmlformats.org/officeDocument/2006/relationships/hyperlink" Target="https://doi.org/10.1093/jisesa/iey111" TargetMode="External"/><Relationship Id="rId64" Type="http://schemas.openxmlformats.org/officeDocument/2006/relationships/hyperlink" Target="https://doi.org/10.9734/jpri/2022/v34i30A36271" TargetMode="External"/><Relationship Id="rId69" Type="http://schemas.openxmlformats.org/officeDocument/2006/relationships/header" Target="header5.xml"/><Relationship Id="rId8" Type="http://schemas.openxmlformats.org/officeDocument/2006/relationships/header" Target="header1.xml"/><Relationship Id="rId51" Type="http://schemas.openxmlformats.org/officeDocument/2006/relationships/hyperlink" Target="https://doi.org/10.3389/fnut.2022.999020"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x.doi.org/10.21608/svuijas.2020.41808.1034" TargetMode="External"/><Relationship Id="rId25" Type="http://schemas.openxmlformats.org/officeDocument/2006/relationships/hyperlink" Target="https://doi.org/10.1016/S0923-2508(01)01254-2" TargetMode="External"/><Relationship Id="rId33" Type="http://schemas.openxmlformats.org/officeDocument/2006/relationships/hyperlink" Target="https://doi.org/10.1016/j.actaastro.2015.07.010" TargetMode="External"/><Relationship Id="rId38" Type="http://schemas.openxmlformats.org/officeDocument/2006/relationships/hyperlink" Target="https://doi.org/10.1038/s41396-018-0174-1" TargetMode="External"/><Relationship Id="rId46" Type="http://schemas.openxmlformats.org/officeDocument/2006/relationships/hyperlink" Target="https://doi.org/10.3390/insects13010100" TargetMode="External"/><Relationship Id="rId59" Type="http://schemas.openxmlformats.org/officeDocument/2006/relationships/hyperlink" Target="https://doi.org/10.1002/ps.6846" TargetMode="External"/><Relationship Id="rId67" Type="http://schemas.openxmlformats.org/officeDocument/2006/relationships/hyperlink" Target="https://doi.org/10.1186/s41938-025-00851-6" TargetMode="External"/><Relationship Id="rId20" Type="http://schemas.openxmlformats.org/officeDocument/2006/relationships/hyperlink" Target="https://doi.org/10.33545/26174693.2024.v8.i10Sp.2712" TargetMode="External"/><Relationship Id="rId41" Type="http://schemas.openxmlformats.org/officeDocument/2006/relationships/hyperlink" Target="https://doi.org/10.1673/031.010.10701" TargetMode="External"/><Relationship Id="rId54" Type="http://schemas.openxmlformats.org/officeDocument/2006/relationships/hyperlink" Target="https://dx.doi.org/10.21608/eajbsa.2017.12673" TargetMode="External"/><Relationship Id="rId62" Type="http://schemas.openxmlformats.org/officeDocument/2006/relationships/hyperlink" Target="https://doi.org/10.1111/j.1461-0248.2009.01416.x" TargetMode="External"/><Relationship Id="rId7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07/s12602-019-09580-3" TargetMode="External"/><Relationship Id="rId23" Type="http://schemas.openxmlformats.org/officeDocument/2006/relationships/hyperlink" Target="https://doi.org/10.1023/A:1003052111938" TargetMode="External"/><Relationship Id="rId28" Type="http://schemas.openxmlformats.org/officeDocument/2006/relationships/hyperlink" Target="https://doi.org/10.1128/aem.63.7.2747-2753.1997" TargetMode="External"/><Relationship Id="rId36" Type="http://schemas.openxmlformats.org/officeDocument/2006/relationships/hyperlink" Target="https://doi.org/10.1007/978-981-32-9860-6_17" TargetMode="External"/><Relationship Id="rId49" Type="http://schemas.openxmlformats.org/officeDocument/2006/relationships/hyperlink" Target="https://doi.org/10.1007/s11274-020-02924-0" TargetMode="External"/><Relationship Id="rId57" Type="http://schemas.openxmlformats.org/officeDocument/2006/relationships/hyperlink" Target="https://doi.org/10.1111/jam.15675" TargetMode="External"/><Relationship Id="rId10" Type="http://schemas.openxmlformats.org/officeDocument/2006/relationships/footer" Target="footer1.xml"/><Relationship Id="rId31" Type="http://schemas.openxmlformats.org/officeDocument/2006/relationships/hyperlink" Target="https://doi.org/10.1159/000342079" TargetMode="External"/><Relationship Id="rId44" Type="http://schemas.openxmlformats.org/officeDocument/2006/relationships/hyperlink" Target="https://doi.org/10.1093/jisesa/iev121" TargetMode="External"/><Relationship Id="rId52" Type="http://schemas.openxmlformats.org/officeDocument/2006/relationships/hyperlink" Target="https://doi.org/10.3390/insects13020136" TargetMode="External"/><Relationship Id="rId60" Type="http://schemas.openxmlformats.org/officeDocument/2006/relationships/hyperlink" Target="https://doi.org/10.1016/j.egg.2019.100045" TargetMode="External"/><Relationship Id="rId65" Type="http://schemas.openxmlformats.org/officeDocument/2006/relationships/hyperlink" Target="https://doi.org/10.1038/srep31476"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doi.org/10.31018/jans.v16i2.5543" TargetMode="External"/><Relationship Id="rId39" Type="http://schemas.openxmlformats.org/officeDocument/2006/relationships/hyperlink" Target="https://doi.org/10.1134/S0026261718010137" TargetMode="External"/><Relationship Id="rId34" Type="http://schemas.openxmlformats.org/officeDocument/2006/relationships/hyperlink" Target="https://doi.org/10.1016/j.isci.2022.104408" TargetMode="External"/><Relationship Id="rId50" Type="http://schemas.openxmlformats.org/officeDocument/2006/relationships/hyperlink" Target="https://doi.org/10.1016/bs.mim.2021.04.001" TargetMode="External"/><Relationship Id="rId55" Type="http://schemas.openxmlformats.org/officeDocument/2006/relationships/hyperlink" Target="https://doi.org/10.1038/s41598-017-03565-4" TargetMode="External"/><Relationship Id="rId7" Type="http://schemas.openxmlformats.org/officeDocument/2006/relationships/endnotes" Target="endnotes.xml"/><Relationship Id="rId71"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9B924-F080-42B3-9B32-0450CFC4B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60</TotalTime>
  <Pages>19</Pages>
  <Words>10207</Words>
  <Characters>58186</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68257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24</cp:revision>
  <cp:lastPrinted>1999-07-06T11:00:00Z</cp:lastPrinted>
  <dcterms:created xsi:type="dcterms:W3CDTF">2025-08-04T15:39:00Z</dcterms:created>
  <dcterms:modified xsi:type="dcterms:W3CDTF">2025-08-08T10:28:00Z</dcterms:modified>
</cp:coreProperties>
</file>