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D22F9" w14:textId="278A4863" w:rsidR="00911104" w:rsidRDefault="00911104" w:rsidP="001E4BD2">
      <w:pPr>
        <w:rPr>
          <w:rFonts w:ascii="Times New Roman" w:hAnsi="Times New Roman" w:cs="Times New Roman"/>
          <w:b/>
          <w:bCs/>
          <w:sz w:val="24"/>
          <w:szCs w:val="24"/>
          <w:lang w:val="en-GB"/>
        </w:rPr>
      </w:pPr>
      <w:r w:rsidRPr="00911104">
        <w:rPr>
          <w:rFonts w:ascii="Times New Roman" w:hAnsi="Times New Roman" w:cs="Times New Roman"/>
          <w:b/>
          <w:bCs/>
          <w:i/>
          <w:iCs/>
          <w:sz w:val="24"/>
          <w:szCs w:val="24"/>
          <w:u w:val="single"/>
          <w:lang w:val="en-US"/>
        </w:rPr>
        <w:t>Original Research Article</w:t>
      </w:r>
    </w:p>
    <w:p w14:paraId="5E5CF411" w14:textId="48ECBFF6" w:rsidR="001E4BD2" w:rsidRPr="001E4BD2" w:rsidRDefault="001E4BD2" w:rsidP="001E4BD2">
      <w:pPr>
        <w:rPr>
          <w:rFonts w:ascii="Times New Roman" w:hAnsi="Times New Roman" w:cs="Times New Roman"/>
          <w:b/>
          <w:bCs/>
          <w:sz w:val="24"/>
          <w:szCs w:val="24"/>
          <w:lang w:val="en-GB"/>
        </w:rPr>
      </w:pPr>
      <w:r w:rsidRPr="001E4BD2">
        <w:rPr>
          <w:rFonts w:ascii="Times New Roman" w:hAnsi="Times New Roman" w:cs="Times New Roman"/>
          <w:b/>
          <w:bCs/>
          <w:sz w:val="24"/>
          <w:szCs w:val="24"/>
          <w:lang w:val="en-GB"/>
        </w:rPr>
        <w:t xml:space="preserve">Phenotypic Characterization of the Resistance of </w:t>
      </w:r>
      <w:r w:rsidRPr="001E4BD2">
        <w:rPr>
          <w:rFonts w:ascii="Times New Roman" w:hAnsi="Times New Roman" w:cs="Times New Roman"/>
          <w:b/>
          <w:bCs/>
          <w:i/>
          <w:iCs/>
          <w:sz w:val="24"/>
          <w:szCs w:val="24"/>
          <w:lang w:val="en-GB"/>
        </w:rPr>
        <w:t>Klebsiella pneumoniae</w:t>
      </w:r>
      <w:r w:rsidRPr="001E4BD2">
        <w:rPr>
          <w:rFonts w:ascii="Times New Roman" w:hAnsi="Times New Roman" w:cs="Times New Roman"/>
          <w:b/>
          <w:bCs/>
          <w:sz w:val="24"/>
          <w:szCs w:val="24"/>
          <w:lang w:val="en-GB"/>
        </w:rPr>
        <w:t xml:space="preserve"> Strains Isolated from Poultry Droppings in the Abidjan District</w:t>
      </w:r>
    </w:p>
    <w:p w14:paraId="4B6CB2F9" w14:textId="77777777" w:rsidR="00430BE9" w:rsidRDefault="00430BE9" w:rsidP="009C6C74">
      <w:pPr>
        <w:spacing w:before="240" w:after="0" w:line="360" w:lineRule="auto"/>
        <w:rPr>
          <w:rFonts w:ascii="Times New Roman" w:hAnsi="Times New Roman" w:cs="Times New Roman"/>
          <w:b/>
          <w:bCs/>
          <w:sz w:val="24"/>
          <w:szCs w:val="24"/>
          <w:lang w:val="en-GB"/>
        </w:rPr>
      </w:pPr>
    </w:p>
    <w:p w14:paraId="4F1D0849" w14:textId="6F312531" w:rsidR="001E4BD2" w:rsidRPr="001E4BD2" w:rsidRDefault="001E4BD2" w:rsidP="009C6C74">
      <w:pPr>
        <w:spacing w:before="240" w:after="0" w:line="360" w:lineRule="auto"/>
        <w:rPr>
          <w:rFonts w:ascii="Times New Roman" w:hAnsi="Times New Roman" w:cs="Times New Roman"/>
          <w:b/>
          <w:bCs/>
          <w:sz w:val="24"/>
          <w:szCs w:val="24"/>
          <w:lang w:val="en-GB"/>
        </w:rPr>
      </w:pPr>
      <w:r w:rsidRPr="006A687F">
        <w:rPr>
          <w:rFonts w:ascii="Times New Roman" w:hAnsi="Times New Roman" w:cs="Times New Roman"/>
          <w:b/>
          <w:bCs/>
          <w:sz w:val="24"/>
          <w:szCs w:val="24"/>
          <w:lang w:val="en-GB"/>
        </w:rPr>
        <w:t>ABSTRACT</w:t>
      </w:r>
    </w:p>
    <w:p w14:paraId="54C0F3AA" w14:textId="0B709B36" w:rsidR="009D006D" w:rsidRDefault="009D006D" w:rsidP="006345C0">
      <w:pPr>
        <w:spacing w:line="240" w:lineRule="auto"/>
        <w:jc w:val="both"/>
        <w:rPr>
          <w:rFonts w:ascii="Times New Roman" w:hAnsi="Times New Roman" w:cs="Times New Roman"/>
          <w:sz w:val="24"/>
          <w:lang w:val="en-GB"/>
        </w:rPr>
      </w:pPr>
      <w:r w:rsidRPr="00AC6AEF">
        <w:rPr>
          <w:rFonts w:ascii="Times New Roman" w:hAnsi="Times New Roman" w:cs="Times New Roman"/>
          <w:sz w:val="24"/>
          <w:lang w:val="en-GB"/>
        </w:rPr>
        <w:t xml:space="preserve">Poultry farming, a promising sector in </w:t>
      </w:r>
      <w:r w:rsidRPr="00CE2888">
        <w:rPr>
          <w:rFonts w:ascii="Times New Roman" w:hAnsi="Times New Roman" w:cs="Times New Roman"/>
          <w:sz w:val="24"/>
          <w:lang w:val="en-GB"/>
        </w:rPr>
        <w:t>Côte d'Ivoire</w:t>
      </w:r>
      <w:r w:rsidRPr="00AC6AEF">
        <w:rPr>
          <w:rFonts w:ascii="Times New Roman" w:hAnsi="Times New Roman" w:cs="Times New Roman"/>
          <w:sz w:val="24"/>
          <w:lang w:val="en-GB"/>
        </w:rPr>
        <w:t xml:space="preserve">, is confronted with avian pathologies leading to heavy losses at several levels. </w:t>
      </w:r>
      <w:r w:rsidR="003A3E61" w:rsidRPr="003A3E61">
        <w:rPr>
          <w:rFonts w:ascii="Times New Roman" w:hAnsi="Times New Roman" w:cs="Times New Roman"/>
          <w:sz w:val="24"/>
          <w:szCs w:val="24"/>
          <w:highlight w:val="yellow"/>
          <w:lang w:val="en-US"/>
        </w:rPr>
        <w:t>The poultry industry, which is very promising in developing countries, is facing pathologies causing heavy economic losses.</w:t>
      </w:r>
      <w:r w:rsidR="001A6864">
        <w:rPr>
          <w:rFonts w:ascii="Times New Roman" w:hAnsi="Times New Roman" w:cs="Times New Roman"/>
          <w:sz w:val="24"/>
          <w:szCs w:val="24"/>
          <w:lang w:val="en-US"/>
        </w:rPr>
        <w:t xml:space="preserve"> </w:t>
      </w:r>
      <w:proofErr w:type="gramStart"/>
      <w:r w:rsidRPr="00AC6AEF">
        <w:rPr>
          <w:rFonts w:ascii="Times New Roman" w:hAnsi="Times New Roman" w:cs="Times New Roman"/>
          <w:b/>
          <w:bCs/>
          <w:sz w:val="24"/>
          <w:lang w:val="en-GB"/>
        </w:rPr>
        <w:t>Objective</w:t>
      </w:r>
      <w:proofErr w:type="gramEnd"/>
      <w:r w:rsidRPr="00AC6AEF">
        <w:rPr>
          <w:rFonts w:ascii="Times New Roman" w:hAnsi="Times New Roman" w:cs="Times New Roman"/>
          <w:b/>
          <w:bCs/>
          <w:sz w:val="24"/>
          <w:lang w:val="en-GB"/>
        </w:rPr>
        <w:t>:</w:t>
      </w:r>
      <w:r w:rsidRPr="00AC6AEF">
        <w:rPr>
          <w:rFonts w:ascii="Times New Roman" w:hAnsi="Times New Roman" w:cs="Times New Roman"/>
          <w:sz w:val="24"/>
          <w:lang w:val="en-GB"/>
        </w:rPr>
        <w:t xml:space="preserve"> The objective of this study is to determine the antibiotic resistance profile of </w:t>
      </w:r>
      <w:r w:rsidRPr="00AC6AEF">
        <w:rPr>
          <w:rFonts w:ascii="Times New Roman" w:hAnsi="Times New Roman" w:cs="Times New Roman"/>
          <w:i/>
          <w:sz w:val="24"/>
          <w:lang w:val="en-GB"/>
        </w:rPr>
        <w:t>Klebsiella pneumoniae</w:t>
      </w:r>
      <w:r w:rsidRPr="00AC6AEF">
        <w:rPr>
          <w:rFonts w:ascii="Times New Roman" w:hAnsi="Times New Roman" w:cs="Times New Roman"/>
          <w:sz w:val="24"/>
          <w:lang w:val="en-GB"/>
        </w:rPr>
        <w:t xml:space="preserve"> strains </w:t>
      </w:r>
      <w:r w:rsidR="00F4256B">
        <w:rPr>
          <w:rFonts w:ascii="Times New Roman" w:hAnsi="Times New Roman" w:cs="Times New Roman"/>
          <w:sz w:val="24"/>
          <w:lang w:val="en-GB"/>
        </w:rPr>
        <w:t xml:space="preserve">such as </w:t>
      </w:r>
      <w:proofErr w:type="spellStart"/>
      <w:r w:rsidR="00F4256B" w:rsidRPr="00F4256B">
        <w:rPr>
          <w:rFonts w:ascii="Times New Roman" w:hAnsi="Times New Roman"/>
          <w:b/>
          <w:highlight w:val="yellow"/>
          <w:lang w:val="en-US"/>
        </w:rPr>
        <w:t>betalamase</w:t>
      </w:r>
      <w:proofErr w:type="spellEnd"/>
      <w:r w:rsidR="00F4256B" w:rsidRPr="00F4256B">
        <w:rPr>
          <w:rFonts w:ascii="Times New Roman" w:hAnsi="Times New Roman"/>
          <w:b/>
          <w:highlight w:val="yellow"/>
          <w:lang w:val="en-US"/>
        </w:rPr>
        <w:t xml:space="preserve"> and </w:t>
      </w:r>
      <w:proofErr w:type="spellStart"/>
      <w:r w:rsidR="00F4256B" w:rsidRPr="00F4256B">
        <w:rPr>
          <w:rFonts w:ascii="Times New Roman" w:hAnsi="Times New Roman"/>
          <w:b/>
          <w:highlight w:val="yellow"/>
          <w:lang w:val="en-US"/>
        </w:rPr>
        <w:t>carbapenemase</w:t>
      </w:r>
      <w:proofErr w:type="spellEnd"/>
      <w:r w:rsidR="00F4256B" w:rsidRPr="00F4256B">
        <w:rPr>
          <w:rFonts w:ascii="Times New Roman" w:hAnsi="Times New Roman"/>
          <w:b/>
          <w:highlight w:val="yellow"/>
          <w:lang w:val="en-US"/>
        </w:rPr>
        <w:t>-producing K</w:t>
      </w:r>
      <w:r w:rsidR="00F4256B" w:rsidRPr="00F4256B">
        <w:rPr>
          <w:rFonts w:ascii="Times New Roman" w:hAnsi="Times New Roman"/>
          <w:b/>
          <w:i/>
          <w:iCs/>
          <w:highlight w:val="yellow"/>
          <w:lang w:val="en-US"/>
        </w:rPr>
        <w:t>lebsiella</w:t>
      </w:r>
      <w:r w:rsidR="00F4256B">
        <w:rPr>
          <w:rFonts w:ascii="Times New Roman" w:hAnsi="Times New Roman"/>
          <w:b/>
          <w:i/>
          <w:iCs/>
          <w:highlight w:val="yellow"/>
          <w:lang w:val="en-US"/>
        </w:rPr>
        <w:t xml:space="preserve"> </w:t>
      </w:r>
      <w:r w:rsidRPr="00AC6AEF">
        <w:rPr>
          <w:rFonts w:ascii="Times New Roman" w:hAnsi="Times New Roman" w:cs="Times New Roman"/>
          <w:sz w:val="24"/>
          <w:lang w:val="en-GB"/>
        </w:rPr>
        <w:t xml:space="preserve">circulating in poultry farms in the Abidjan District of Côte d'Ivoire. </w:t>
      </w:r>
      <w:r w:rsidRPr="00AC6AEF">
        <w:rPr>
          <w:rFonts w:ascii="Times New Roman" w:hAnsi="Times New Roman" w:cs="Times New Roman"/>
          <w:b/>
          <w:bCs/>
          <w:sz w:val="24"/>
          <w:lang w:val="en-GB"/>
        </w:rPr>
        <w:t>Methods</w:t>
      </w:r>
      <w:r w:rsidRPr="00AC6AEF">
        <w:rPr>
          <w:rFonts w:ascii="Times New Roman" w:hAnsi="Times New Roman" w:cs="Times New Roman"/>
          <w:sz w:val="24"/>
          <w:lang w:val="en-GB"/>
        </w:rPr>
        <w:t xml:space="preserve">: the methods used were isolation, bacteriological identification, and antibiotic susceptibility testing </w:t>
      </w:r>
      <w:r w:rsidRPr="00AC6AEF">
        <w:rPr>
          <w:rFonts w:ascii="Times New Roman" w:hAnsi="Times New Roman" w:cs="Times New Roman"/>
          <w:b/>
          <w:bCs/>
          <w:sz w:val="24"/>
          <w:lang w:val="en-GB"/>
        </w:rPr>
        <w:t>Results</w:t>
      </w:r>
      <w:r w:rsidRPr="00AC6AEF">
        <w:rPr>
          <w:rFonts w:ascii="Times New Roman" w:hAnsi="Times New Roman" w:cs="Times New Roman"/>
          <w:sz w:val="24"/>
          <w:lang w:val="en-GB"/>
        </w:rPr>
        <w:t xml:space="preserve">: the results reveal that 192 strains of </w:t>
      </w:r>
      <w:r w:rsidRPr="00AC6AEF">
        <w:rPr>
          <w:rFonts w:ascii="Times New Roman" w:hAnsi="Times New Roman" w:cs="Times New Roman"/>
          <w:i/>
          <w:sz w:val="24"/>
          <w:lang w:val="en-GB"/>
        </w:rPr>
        <w:t>Klebsiella pneumoniae</w:t>
      </w:r>
      <w:r w:rsidRPr="00AC6AEF">
        <w:rPr>
          <w:rFonts w:ascii="Times New Roman" w:hAnsi="Times New Roman" w:cs="Times New Roman"/>
          <w:sz w:val="24"/>
          <w:lang w:val="en-GB"/>
        </w:rPr>
        <w:t xml:space="preserve"> were isolated from 414 cloacal swabs collected in three </w:t>
      </w:r>
      <w:r>
        <w:rPr>
          <w:rFonts w:ascii="Times New Roman" w:hAnsi="Times New Roman" w:cs="Times New Roman"/>
          <w:sz w:val="24"/>
          <w:lang w:val="en-GB"/>
        </w:rPr>
        <w:t>municipalities</w:t>
      </w:r>
      <w:r w:rsidRPr="00AC6AEF">
        <w:rPr>
          <w:rFonts w:ascii="Times New Roman" w:hAnsi="Times New Roman" w:cs="Times New Roman"/>
          <w:sz w:val="24"/>
          <w:lang w:val="en-GB"/>
        </w:rPr>
        <w:t xml:space="preserve"> of the District of Abidjan. The determination of bacterial susceptibility showed high resistance rates of 88.33% to kanamycin, 61.7% to trimethoprim-sulfamethoxazole and 56.7% to tetracycline, 30% for quinolones and fluoroquinolones in the </w:t>
      </w:r>
      <w:r>
        <w:rPr>
          <w:rFonts w:ascii="Times New Roman" w:hAnsi="Times New Roman" w:cs="Times New Roman"/>
          <w:sz w:val="24"/>
          <w:lang w:val="en-GB"/>
        </w:rPr>
        <w:t>municipality</w:t>
      </w:r>
      <w:r w:rsidRPr="00AC6AEF">
        <w:rPr>
          <w:rFonts w:ascii="Times New Roman" w:hAnsi="Times New Roman" w:cs="Times New Roman"/>
          <w:sz w:val="24"/>
          <w:lang w:val="en-GB"/>
        </w:rPr>
        <w:t xml:space="preserve"> of </w:t>
      </w:r>
      <w:proofErr w:type="spellStart"/>
      <w:r w:rsidRPr="00AC6AEF">
        <w:rPr>
          <w:rFonts w:ascii="Times New Roman" w:hAnsi="Times New Roman" w:cs="Times New Roman"/>
          <w:sz w:val="24"/>
          <w:lang w:val="en-GB"/>
        </w:rPr>
        <w:t>Cocody</w:t>
      </w:r>
      <w:proofErr w:type="spellEnd"/>
      <w:r w:rsidRPr="00AC6AEF">
        <w:rPr>
          <w:rFonts w:ascii="Times New Roman" w:hAnsi="Times New Roman" w:cs="Times New Roman"/>
          <w:sz w:val="24"/>
          <w:lang w:val="en-GB"/>
        </w:rPr>
        <w:t xml:space="preserve">, 66.6% to amoxicillin/clavulanic acid, 33.3% to cefepime and cefoxitin in the </w:t>
      </w:r>
      <w:r>
        <w:rPr>
          <w:rFonts w:ascii="Times New Roman" w:hAnsi="Times New Roman" w:cs="Times New Roman"/>
          <w:sz w:val="24"/>
          <w:lang w:val="en-GB"/>
        </w:rPr>
        <w:t>municipality</w:t>
      </w:r>
      <w:r w:rsidRPr="00AC6AEF">
        <w:rPr>
          <w:rFonts w:ascii="Times New Roman" w:hAnsi="Times New Roman" w:cs="Times New Roman"/>
          <w:sz w:val="24"/>
          <w:lang w:val="en-GB"/>
        </w:rPr>
        <w:t xml:space="preserve"> of </w:t>
      </w:r>
      <w:proofErr w:type="spellStart"/>
      <w:r w:rsidRPr="00AC6AEF">
        <w:rPr>
          <w:rFonts w:ascii="Times New Roman" w:hAnsi="Times New Roman" w:cs="Times New Roman"/>
          <w:sz w:val="24"/>
          <w:lang w:val="en-GB"/>
        </w:rPr>
        <w:t>Bingerville</w:t>
      </w:r>
      <w:proofErr w:type="spellEnd"/>
      <w:r w:rsidRPr="00AC6AEF">
        <w:rPr>
          <w:rFonts w:ascii="Times New Roman" w:hAnsi="Times New Roman" w:cs="Times New Roman"/>
          <w:sz w:val="24"/>
          <w:lang w:val="en-GB"/>
        </w:rPr>
        <w:t xml:space="preserve">. In the </w:t>
      </w:r>
      <w:r>
        <w:rPr>
          <w:rFonts w:ascii="Times New Roman" w:hAnsi="Times New Roman" w:cs="Times New Roman"/>
          <w:sz w:val="24"/>
          <w:lang w:val="en-GB"/>
        </w:rPr>
        <w:t>municipality</w:t>
      </w:r>
      <w:r w:rsidRPr="00AC6AEF">
        <w:rPr>
          <w:rFonts w:ascii="Times New Roman" w:hAnsi="Times New Roman" w:cs="Times New Roman"/>
          <w:sz w:val="24"/>
          <w:lang w:val="en-GB"/>
        </w:rPr>
        <w:t xml:space="preserve"> of </w:t>
      </w:r>
      <w:proofErr w:type="spellStart"/>
      <w:r w:rsidRPr="00AC6AEF">
        <w:rPr>
          <w:rFonts w:ascii="Times New Roman" w:hAnsi="Times New Roman" w:cs="Times New Roman"/>
          <w:sz w:val="24"/>
          <w:lang w:val="en-GB"/>
        </w:rPr>
        <w:t>Yopougon</w:t>
      </w:r>
      <w:proofErr w:type="spellEnd"/>
      <w:r w:rsidRPr="00AC6AEF">
        <w:rPr>
          <w:rFonts w:ascii="Times New Roman" w:hAnsi="Times New Roman" w:cs="Times New Roman"/>
          <w:sz w:val="24"/>
          <w:lang w:val="en-GB"/>
        </w:rPr>
        <w:t>, only resistance to cefoxitin was observed. However, no resistance was observed in the presence of ceftazidime, gentamicin, amikacin</w:t>
      </w:r>
      <w:r w:rsidRPr="00AC6AEF">
        <w:rPr>
          <w:rFonts w:ascii="Times New Roman" w:hAnsi="Times New Roman" w:cs="Times New Roman"/>
          <w:bCs/>
          <w:sz w:val="24"/>
          <w:szCs w:val="24"/>
          <w:lang w:val="en-GB"/>
        </w:rPr>
        <w:t xml:space="preserve">. </w:t>
      </w:r>
      <w:r w:rsidRPr="00AC6AEF">
        <w:rPr>
          <w:rFonts w:ascii="Times New Roman" w:hAnsi="Times New Roman" w:cs="Times New Roman"/>
          <w:b/>
          <w:bCs/>
          <w:sz w:val="24"/>
          <w:lang w:val="en-GB"/>
        </w:rPr>
        <w:t>Conclusion</w:t>
      </w:r>
      <w:r w:rsidRPr="00AC6AEF">
        <w:rPr>
          <w:rFonts w:ascii="Times New Roman" w:hAnsi="Times New Roman" w:cs="Times New Roman"/>
          <w:sz w:val="24"/>
          <w:lang w:val="en-GB"/>
        </w:rPr>
        <w:t>: These results highlight the importance for poultry farmers to adopt a biosecurity approach in order to reduce the use of antibiotics and decrease the rate of resistance.</w:t>
      </w:r>
    </w:p>
    <w:p w14:paraId="5544B698" w14:textId="63D7CB34" w:rsidR="009E3A8F" w:rsidRPr="00122876" w:rsidRDefault="009E3A8F" w:rsidP="006345C0">
      <w:pPr>
        <w:spacing w:after="0" w:line="240" w:lineRule="auto"/>
        <w:jc w:val="both"/>
        <w:rPr>
          <w:rFonts w:ascii="Times New Roman" w:hAnsi="Times New Roman" w:cs="Times New Roman"/>
          <w:sz w:val="24"/>
          <w:szCs w:val="24"/>
          <w:lang w:val="en-US"/>
        </w:rPr>
      </w:pPr>
      <w:r w:rsidRPr="00122876">
        <w:rPr>
          <w:rFonts w:ascii="Times New Roman" w:hAnsi="Times New Roman" w:cs="Times New Roman"/>
          <w:sz w:val="24"/>
          <w:szCs w:val="24"/>
          <w:highlight w:val="yellow"/>
          <w:lang w:val="en-US"/>
        </w:rPr>
        <w:t>The</w:t>
      </w:r>
      <w:r w:rsidR="00BD6991" w:rsidRPr="00122876">
        <w:rPr>
          <w:rFonts w:ascii="Times New Roman" w:hAnsi="Times New Roman" w:cs="Times New Roman"/>
          <w:sz w:val="24"/>
          <w:szCs w:val="24"/>
          <w:highlight w:val="yellow"/>
          <w:lang w:val="en-US"/>
        </w:rPr>
        <w:t>se</w:t>
      </w:r>
      <w:r w:rsidRPr="00122876">
        <w:rPr>
          <w:rFonts w:ascii="Times New Roman" w:hAnsi="Times New Roman" w:cs="Times New Roman"/>
          <w:sz w:val="24"/>
          <w:szCs w:val="24"/>
          <w:highlight w:val="yellow"/>
          <w:lang w:val="en-US"/>
        </w:rPr>
        <w:t xml:space="preserve"> results </w:t>
      </w:r>
      <w:r w:rsidR="00BD6991" w:rsidRPr="00122876">
        <w:rPr>
          <w:rFonts w:ascii="Times New Roman" w:hAnsi="Times New Roman" w:cs="Times New Roman"/>
          <w:sz w:val="24"/>
          <w:szCs w:val="24"/>
          <w:highlight w:val="yellow"/>
          <w:lang w:val="en-US"/>
        </w:rPr>
        <w:t>highlight</w:t>
      </w:r>
      <w:r w:rsidRPr="00122876">
        <w:rPr>
          <w:rFonts w:ascii="Times New Roman" w:hAnsi="Times New Roman" w:cs="Times New Roman"/>
          <w:sz w:val="24"/>
          <w:szCs w:val="24"/>
          <w:highlight w:val="yellow"/>
          <w:lang w:val="en-US"/>
        </w:rPr>
        <w:t xml:space="preserve"> </w:t>
      </w:r>
      <w:r w:rsidR="002A15A7" w:rsidRPr="00122876">
        <w:rPr>
          <w:rFonts w:ascii="Times New Roman" w:hAnsi="Times New Roman" w:cs="Times New Roman"/>
          <w:sz w:val="24"/>
          <w:szCs w:val="24"/>
          <w:highlight w:val="yellow"/>
          <w:lang w:val="en-US"/>
        </w:rPr>
        <w:t xml:space="preserve">the importance of </w:t>
      </w:r>
      <w:r w:rsidRPr="00122876">
        <w:rPr>
          <w:rFonts w:ascii="Times New Roman" w:hAnsi="Times New Roman" w:cs="Times New Roman"/>
          <w:sz w:val="24"/>
          <w:szCs w:val="24"/>
          <w:highlight w:val="yellow"/>
          <w:lang w:val="en-US"/>
        </w:rPr>
        <w:t>a "one health" approach in the fight against antibiotic resistance. In addition, a sensitization of breeders to the implementation of biosecurity measures to reduce the use of antibiotics in animals</w:t>
      </w:r>
      <w:r w:rsidR="00122876" w:rsidRPr="00122876">
        <w:rPr>
          <w:rFonts w:ascii="Times New Roman" w:hAnsi="Times New Roman" w:cs="Times New Roman"/>
          <w:sz w:val="24"/>
          <w:szCs w:val="24"/>
          <w:highlight w:val="yellow"/>
          <w:lang w:val="en-US"/>
        </w:rPr>
        <w:t xml:space="preserve"> </w:t>
      </w:r>
      <w:r w:rsidR="00122876" w:rsidRPr="00122876">
        <w:rPr>
          <w:rFonts w:ascii="Times New Roman" w:hAnsi="Times New Roman" w:cs="Times New Roman"/>
          <w:sz w:val="24"/>
          <w:szCs w:val="24"/>
          <w:highlight w:val="yellow"/>
          <w:lang w:val="en-GB"/>
        </w:rPr>
        <w:t>and decrease the rate of resistance</w:t>
      </w:r>
    </w:p>
    <w:p w14:paraId="095092E2" w14:textId="5CCC5CD0" w:rsidR="009D006D" w:rsidRPr="00AC6AEF" w:rsidRDefault="009D006D" w:rsidP="009D006D">
      <w:pPr>
        <w:spacing w:after="0" w:line="360" w:lineRule="auto"/>
        <w:jc w:val="both"/>
        <w:rPr>
          <w:rFonts w:ascii="Times New Roman" w:hAnsi="Times New Roman" w:cs="Times New Roman"/>
          <w:sz w:val="24"/>
          <w:lang w:val="en-GB"/>
        </w:rPr>
      </w:pPr>
      <w:r w:rsidRPr="00AC6AEF">
        <w:rPr>
          <w:rFonts w:ascii="Times New Roman" w:hAnsi="Times New Roman" w:cs="Times New Roman"/>
          <w:b/>
          <w:sz w:val="24"/>
          <w:lang w:val="en-GB"/>
        </w:rPr>
        <w:t>Keywords</w:t>
      </w:r>
      <w:r w:rsidRPr="00AC6AEF">
        <w:rPr>
          <w:rFonts w:ascii="Times New Roman" w:hAnsi="Times New Roman" w:cs="Times New Roman"/>
          <w:sz w:val="24"/>
          <w:lang w:val="en-GB"/>
        </w:rPr>
        <w:t xml:space="preserve">: </w:t>
      </w:r>
      <w:r w:rsidRPr="00AC6AEF">
        <w:rPr>
          <w:rFonts w:ascii="Times New Roman" w:hAnsi="Times New Roman" w:cs="Times New Roman"/>
          <w:i/>
          <w:sz w:val="24"/>
          <w:lang w:val="en-GB"/>
        </w:rPr>
        <w:t>Klebsiella pneumoniae</w:t>
      </w:r>
      <w:r w:rsidRPr="00AC6AEF">
        <w:rPr>
          <w:rFonts w:ascii="Times New Roman" w:hAnsi="Times New Roman" w:cs="Times New Roman"/>
          <w:sz w:val="24"/>
          <w:lang w:val="en-GB"/>
        </w:rPr>
        <w:t>, Poultry, Resistance, Antibiotics, Abidjan District</w:t>
      </w:r>
    </w:p>
    <w:p w14:paraId="5122A6B9" w14:textId="3D55B3C7" w:rsidR="00165940" w:rsidRPr="001E4BD2" w:rsidRDefault="003919E2" w:rsidP="00F05C04">
      <w:pPr>
        <w:spacing w:before="240" w:after="0" w:line="360" w:lineRule="auto"/>
        <w:rPr>
          <w:rFonts w:ascii="Times New Roman" w:hAnsi="Times New Roman" w:cs="Times New Roman"/>
          <w:b/>
          <w:sz w:val="24"/>
          <w:lang w:val="en-GB"/>
        </w:rPr>
      </w:pPr>
      <w:r w:rsidRPr="001E4BD2">
        <w:rPr>
          <w:rFonts w:ascii="Times New Roman" w:hAnsi="Times New Roman" w:cs="Times New Roman"/>
          <w:b/>
          <w:sz w:val="24"/>
          <w:lang w:val="en-GB"/>
        </w:rPr>
        <w:t>1. INTRODUCTION</w:t>
      </w:r>
    </w:p>
    <w:p w14:paraId="330D56F8" w14:textId="42D130DC" w:rsidR="00F5322F" w:rsidRDefault="00A76132" w:rsidP="00A40EE0">
      <w:pPr>
        <w:spacing w:line="360" w:lineRule="auto"/>
        <w:jc w:val="both"/>
        <w:rPr>
          <w:rFonts w:ascii="Times New Roman" w:hAnsi="Times New Roman" w:cs="Times New Roman"/>
          <w:sz w:val="24"/>
          <w:szCs w:val="24"/>
          <w:lang w:val="en-GB"/>
        </w:rPr>
      </w:pPr>
      <w:r w:rsidRPr="001E4BD2">
        <w:rPr>
          <w:rFonts w:ascii="Times New Roman" w:hAnsi="Times New Roman" w:cs="Times New Roman"/>
          <w:sz w:val="24"/>
          <w:szCs w:val="24"/>
          <w:lang w:val="en-GB"/>
        </w:rPr>
        <w:t xml:space="preserve">Côte d'Ivoire is a country located in West Africa and whose economy is based on agriculture. It is characterized by galloping population growth influenced by high fertility, low mortality and marked by a large influx of migrants from the sub-region, particularly to urban areas including Abidjan. Its population is 29,389,150 inhabitants in 2021 </w:t>
      </w:r>
      <w:r w:rsidR="000B39FD">
        <w:rPr>
          <w:rFonts w:ascii="Times New Roman" w:hAnsi="Times New Roman" w:cs="Times New Roman"/>
          <w:sz w:val="24"/>
          <w:szCs w:val="24"/>
        </w:rPr>
        <w:fldChar w:fldCharType="begin"/>
      </w:r>
      <w:r w:rsidR="00A97D1E">
        <w:rPr>
          <w:rFonts w:ascii="Times New Roman" w:hAnsi="Times New Roman" w:cs="Times New Roman"/>
          <w:sz w:val="24"/>
          <w:szCs w:val="24"/>
          <w:lang w:val="en-GB"/>
        </w:rPr>
        <w:instrText xml:space="preserve"> ADDIN ZOTERO_ITEM CSL_CITATION {"citationID":"6oGpErIv","properties":{"formattedCitation":"(CICG, s.\\uc0\\u160{}d.)","plainCitation":"(CICG, s. d.)","dontUpdate":true,"noteIndex":0},"citationItems":[{"id":1645,"uris":["http://zotero.org/users/4984961/items/R72RWWHL"],"itemData":{"id":1645,"type":"webpage","abstract":"Abidjan, le 13 juillet 2022- La population vivant habituellement sur le territoire ivoirien (population résidente) se chiffre à 29 389 150 habitants, selon les résultats globaux définitifs du Recensement général de la Population et de l'Habitat (RGPH 2021), a annoncé le jeudi 07 juillet 2022, la ministre du Plan et du Développement, Nialé Kaba, au cours d'une conférence de presse à Abidjan.","container-title":"GOUV.CI","title":"RESULTATS GLOBAUX DEFINITIFS DU RGPH 2021 : LA POPULATION VIVANT HABITUELLEMENT SUR LE TERRITOIRE IVOIRIEN SE CHIFFRE A 29 389 150 HABITANTS","title-short":"RESULTATS GLOBAUX DEFINITIFS DU RGPH 2021","URL":"http://www.gouv.ci/_actualite-article.php?recordID=13769","author":[{"family":"CICG","given":""}],"accessed":{"date-parts":[["2025",6,11]]}}}],"schema":"https://github.com/citation-style-language/schema/raw/master/csl-citation.json"} </w:instrText>
      </w:r>
      <w:r w:rsidR="000B39FD">
        <w:rPr>
          <w:rFonts w:ascii="Times New Roman" w:hAnsi="Times New Roman" w:cs="Times New Roman"/>
          <w:sz w:val="24"/>
          <w:szCs w:val="24"/>
        </w:rPr>
        <w:fldChar w:fldCharType="separate"/>
      </w:r>
      <w:r w:rsidR="000B39FD" w:rsidRPr="001E4BD2">
        <w:rPr>
          <w:rFonts w:ascii="Times New Roman" w:hAnsi="Times New Roman" w:cs="Times New Roman"/>
          <w:sz w:val="24"/>
          <w:lang w:val="en-GB"/>
        </w:rPr>
        <w:t>(CICG, 2021)</w:t>
      </w:r>
      <w:r w:rsidR="000B39FD">
        <w:rPr>
          <w:rFonts w:ascii="Times New Roman" w:hAnsi="Times New Roman" w:cs="Times New Roman"/>
          <w:sz w:val="24"/>
          <w:szCs w:val="24"/>
        </w:rPr>
        <w:fldChar w:fldCharType="end"/>
      </w:r>
      <w:r w:rsidR="000B39FD" w:rsidRPr="001E4BD2">
        <w:rPr>
          <w:rFonts w:ascii="Times New Roman" w:hAnsi="Times New Roman" w:cs="Times New Roman"/>
          <w:sz w:val="24"/>
          <w:szCs w:val="24"/>
          <w:lang w:val="en-GB"/>
        </w:rPr>
        <w:t xml:space="preserve">. This rapid growth of 2.9% on average/year has resulted in the insufficiency of natural food resources to meet the essential needs of the population, particularly the needs of foodstuffs of animal and aquatic origin. In the 1980s, Côte d'Ivoire initiated a policy of food self-sufficiency focused on short-cycle livestock production such as poultry production </w:t>
      </w:r>
      <w:r w:rsidR="002F0FD6">
        <w:rPr>
          <w:rFonts w:ascii="Times New Roman" w:hAnsi="Times New Roman" w:cs="Times New Roman"/>
          <w:sz w:val="24"/>
          <w:szCs w:val="24"/>
        </w:rPr>
        <w:fldChar w:fldCharType="begin"/>
      </w:r>
      <w:r w:rsidR="00A97D1E">
        <w:rPr>
          <w:rFonts w:ascii="Times New Roman" w:hAnsi="Times New Roman" w:cs="Times New Roman"/>
          <w:sz w:val="24"/>
          <w:szCs w:val="24"/>
          <w:lang w:val="en-GB"/>
        </w:rPr>
        <w:instrText xml:space="preserve"> ADDIN ZOTERO_ITEM CSL_CITATION {"citationID":"wRq1AZeD","properties":{"formattedCitation":"(CICG, 2021)","plainCitation":"(CICG, 2021)","noteIndex":0},"citationItems":[{"id":1869,"uris":["http://zotero.org/users/4984961/items/539SYSMU"],"itemData":{"id":1869,"type":"article-journal","abstract":"Abidjan, le 13 juillet 2022- La population vivant habituellement sur le territoire ivoirien (population résidente) se chiffre à 29 389 150 habitants, selon les résultats globaux définitifs du Recensement général de la Population et de l'Habitat (RGPH 2021), a annoncé le jeudi 07 juillet 2022, la ministre du Plan et du Développement, Nialé Kaba, au cours d'une conférence de presse à Abidjan.","container-title":"GOUV.CI","title":"Résultats globaux définitifs du RGPH 2021: la population vivant habituellemnt sur le territoire ivoirien se chiffre à 29 389 150 habitants","title-short":"RESULTATS GLOBAUX DEFINITIFS DU RGPH 2021","URL":"http://www.gouv.ci/_actualite-article.php?recordID=13769","author":[{"family":"CICG","given":""}],"accessed":{"date-parts":[["2025",6,24]]},"issued":{"date-parts":[["2021"]]}}}],"schema":"https://github.com/citation-style-language/schema/raw/master/csl-citation.json"} </w:instrText>
      </w:r>
      <w:r w:rsidR="002F0FD6">
        <w:rPr>
          <w:rFonts w:ascii="Times New Roman" w:hAnsi="Times New Roman" w:cs="Times New Roman"/>
          <w:sz w:val="24"/>
          <w:szCs w:val="24"/>
        </w:rPr>
        <w:fldChar w:fldCharType="separate"/>
      </w:r>
      <w:r w:rsidR="00140BAE" w:rsidRPr="001E4BD2">
        <w:rPr>
          <w:rFonts w:ascii="Times New Roman" w:hAnsi="Times New Roman" w:cs="Times New Roman"/>
          <w:sz w:val="24"/>
          <w:lang w:val="en-GB"/>
        </w:rPr>
        <w:t>(CICG, 2021)</w:t>
      </w:r>
      <w:r w:rsidR="002F0FD6">
        <w:rPr>
          <w:rFonts w:ascii="Times New Roman" w:hAnsi="Times New Roman" w:cs="Times New Roman"/>
          <w:sz w:val="24"/>
          <w:szCs w:val="24"/>
        </w:rPr>
        <w:fldChar w:fldCharType="end"/>
      </w:r>
      <w:r w:rsidR="00D42ED0" w:rsidRPr="001E4BD2">
        <w:rPr>
          <w:rFonts w:ascii="Times New Roman" w:hAnsi="Times New Roman" w:cs="Times New Roman"/>
          <w:sz w:val="24"/>
          <w:szCs w:val="24"/>
          <w:lang w:val="en-GB"/>
        </w:rPr>
        <w:t xml:space="preserve">. In 2017, Ivorian poultry production was estimated at 49,000 tons of poultry meat with 250 billion CFA francs in turnover and 250,000 direct and indirect jobs </w:t>
      </w:r>
      <w:r w:rsidR="00771FBD">
        <w:rPr>
          <w:rFonts w:ascii="Times New Roman" w:hAnsi="Times New Roman" w:cs="Times New Roman"/>
          <w:sz w:val="24"/>
          <w:szCs w:val="24"/>
        </w:rPr>
        <w:fldChar w:fldCharType="begin"/>
      </w:r>
      <w:r w:rsidR="00A97D1E">
        <w:rPr>
          <w:rFonts w:ascii="Times New Roman" w:hAnsi="Times New Roman" w:cs="Times New Roman"/>
          <w:sz w:val="24"/>
          <w:szCs w:val="24"/>
          <w:lang w:val="en-GB"/>
        </w:rPr>
        <w:instrText xml:space="preserve"> ADDIN ZOTERO_ITEM CSL_CITATION {"citationID":"Fi5t9GDW","properties":{"formattedCitation":"(Firca, 2017; Rokiatou et al., 2023)","plainCitation":"(Firca, 2017; Rokiatou et al., 2023)","noteIndex":0},"citationItems":[{"id":1662,"uris":["http://zotero.org/users/4984961/items/7NH3TGBJ"],"itemData":{"id":1662,"type":"article-magazine","abstract":"La filière avicole ivoirienne a débuté dans les années 1960 avec la création de centres d'élevage dans plusieurs villes. Aujourd'hui, l'Interprofession Avicole Ivoirienne (IPRAVI) regroupe les acteurs de la filière en trois collèges: les producteurs, les agro-industriels et les revendeurs.","container-title":"Scribd","language":"fr","title":"LaFiliere Avicole Acte 18 FIRCA | PDF | Aviculture | Côte d'Ivoire","URL":"https://fr.scribd.com/document/470599200/LaFiliere-avicole-acte-18-FIRCA","author":[{"family":"Firca","given":""}],"accessed":{"date-parts":[["2025",6,13]]},"issued":{"date-parts":[["2017"]]}},"label":"page"},{"id":1866,"uris":["http://zotero.org/users/4984961/items/65FEN86E"],"itemData":{"id":1866,"type":"article-journal","language":"fr","source":"Zotero","title":"Caractéristiques biochimiques de quelques sous- produits agricoles de Côte d’Ivoire en vue d’une valorisation en alimentation de volaille","author":[{"family":"Rokiatou","given":"BAMBA"},{"family":"Naka","given":"TOURE"},{"family":"Thierry","given":"KONE Fankroma Martial"}],"issued":{"date-parts":[["2023"]]}},"label":"page"}],"schema":"https://github.com/citation-style-language/schema/raw/master/csl-citation.json"} </w:instrText>
      </w:r>
      <w:r w:rsidR="00771FBD">
        <w:rPr>
          <w:rFonts w:ascii="Times New Roman" w:hAnsi="Times New Roman" w:cs="Times New Roman"/>
          <w:sz w:val="24"/>
          <w:szCs w:val="24"/>
        </w:rPr>
        <w:fldChar w:fldCharType="separate"/>
      </w:r>
      <w:r w:rsidR="00771FBD" w:rsidRPr="001E4BD2">
        <w:rPr>
          <w:rFonts w:ascii="Times New Roman" w:hAnsi="Times New Roman" w:cs="Times New Roman"/>
          <w:sz w:val="24"/>
          <w:lang w:val="en-GB"/>
        </w:rPr>
        <w:t>(Firca, 2017; Rokiatou et al., 2023)</w:t>
      </w:r>
      <w:r w:rsidR="00771FBD">
        <w:rPr>
          <w:rFonts w:ascii="Times New Roman" w:hAnsi="Times New Roman" w:cs="Times New Roman"/>
          <w:sz w:val="24"/>
          <w:szCs w:val="24"/>
        </w:rPr>
        <w:fldChar w:fldCharType="end"/>
      </w:r>
      <w:r w:rsidR="001E2E1F" w:rsidRPr="001E4BD2">
        <w:rPr>
          <w:rFonts w:ascii="Times New Roman" w:hAnsi="Times New Roman" w:cs="Times New Roman"/>
          <w:sz w:val="24"/>
          <w:szCs w:val="24"/>
          <w:lang w:val="en-GB"/>
        </w:rPr>
        <w:t xml:space="preserve">. It ensures the coverage of animal proteins by providing 88% of meat production and 100% of table eggs </w:t>
      </w:r>
      <w:r w:rsidR="00874D2D">
        <w:rPr>
          <w:rFonts w:ascii="Times New Roman" w:hAnsi="Times New Roman" w:cs="Times New Roman"/>
          <w:sz w:val="24"/>
          <w:szCs w:val="24"/>
        </w:rPr>
        <w:fldChar w:fldCharType="begin"/>
      </w:r>
      <w:r w:rsidR="00A97D1E">
        <w:rPr>
          <w:rFonts w:ascii="Times New Roman" w:hAnsi="Times New Roman" w:cs="Times New Roman"/>
          <w:sz w:val="24"/>
          <w:szCs w:val="24"/>
          <w:lang w:val="en-GB"/>
        </w:rPr>
        <w:instrText xml:space="preserve"> ADDIN ZOTERO_ITEM CSL_CITATION {"citationID":"TiDrKz7q","properties":{"formattedCitation":"(Kon\\uc0\\u233{} &amp; Danho, 2008)","plainCitation":"(Koné &amp; Danho, 2008)","noteIndex":0},"citationItems":[{"id":1871,"uris":["http://zotero.org/users/4984961/items/LRTWIN5U"],"itemData":{"id":1871,"type":"webpage","abstract":"Cette revue a été développée comme un document de référence à  l'intention de toute personne cherchant des informations sur le sujet. Cette revue n'est pas complète et devra être régulièrement mise à  jour, complétée et améliorée. Tous commentaires et compléments d'informations sont les bienvenus et peuvent être communiqués à l'auteur, FAO/AGAP et FAO/ECTAD (Groupe socioéconomie, production &amp; biodiversité)","title":"Revue du secteur avicole - Cóte D'Ivoire","URL":"https://openknowledge.fao.org/items/e9fb8ec3-6b9a-48d2-9b55-41958b8182cf","author":[{"family":"Koné","given":"Saliou"},{"family":"Danho","given":"Thérèse"}],"accessed":{"date-parts":[["2025",6,24]]},"issued":{"date-parts":[["2008"]]}}}],"schema":"https://github.com/citation-style-language/schema/raw/master/csl-citation.json"} </w:instrText>
      </w:r>
      <w:r w:rsidR="00874D2D">
        <w:rPr>
          <w:rFonts w:ascii="Times New Roman" w:hAnsi="Times New Roman" w:cs="Times New Roman"/>
          <w:sz w:val="24"/>
          <w:szCs w:val="24"/>
        </w:rPr>
        <w:fldChar w:fldCharType="separate"/>
      </w:r>
      <w:r w:rsidR="00874D2D" w:rsidRPr="001E4BD2">
        <w:rPr>
          <w:rFonts w:ascii="Times New Roman" w:hAnsi="Times New Roman" w:cs="Times New Roman"/>
          <w:sz w:val="24"/>
          <w:lang w:val="en-GB"/>
        </w:rPr>
        <w:t>(Koné &amp; Danho, 2008)</w:t>
      </w:r>
      <w:r w:rsidR="00874D2D">
        <w:rPr>
          <w:rFonts w:ascii="Times New Roman" w:hAnsi="Times New Roman" w:cs="Times New Roman"/>
          <w:sz w:val="24"/>
          <w:szCs w:val="24"/>
        </w:rPr>
        <w:fldChar w:fldCharType="end"/>
      </w:r>
      <w:r w:rsidR="001E2E1F" w:rsidRPr="001E4BD2">
        <w:rPr>
          <w:rFonts w:ascii="Times New Roman" w:hAnsi="Times New Roman" w:cs="Times New Roman"/>
          <w:sz w:val="24"/>
          <w:szCs w:val="24"/>
          <w:lang w:val="en-GB"/>
        </w:rPr>
        <w:t xml:space="preserve">. As in the entire animal sector, poultry farming is subject to a massive </w:t>
      </w:r>
      <w:r w:rsidR="001E2E1F" w:rsidRPr="001E4BD2">
        <w:rPr>
          <w:rFonts w:ascii="Times New Roman" w:hAnsi="Times New Roman" w:cs="Times New Roman"/>
          <w:sz w:val="24"/>
          <w:szCs w:val="24"/>
          <w:lang w:val="en-GB"/>
        </w:rPr>
        <w:lastRenderedPageBreak/>
        <w:t>and permanent use of antibiotics to improve animal growth, which significantly influences the microbiological quality of the meat</w:t>
      </w:r>
      <w:r w:rsidR="0050269F">
        <w:rPr>
          <w:rFonts w:ascii="Times New Roman" w:hAnsi="Times New Roman" w:cs="Times New Roman"/>
          <w:sz w:val="24"/>
          <w:szCs w:val="24"/>
          <w:lang w:val="en-GB"/>
        </w:rPr>
        <w:t xml:space="preserve"> </w:t>
      </w:r>
      <w:r w:rsidR="0050269F" w:rsidRPr="009125BB">
        <w:rPr>
          <w:rFonts w:ascii="Times New Roman" w:hAnsi="Times New Roman" w:cs="Times New Roman"/>
          <w:sz w:val="24"/>
          <w:szCs w:val="24"/>
          <w:highlight w:val="yellow"/>
          <w:lang w:val="en-GB"/>
        </w:rPr>
        <w:fldChar w:fldCharType="begin"/>
      </w:r>
      <w:r w:rsidR="0050269F" w:rsidRPr="009125BB">
        <w:rPr>
          <w:rFonts w:ascii="Times New Roman" w:hAnsi="Times New Roman" w:cs="Times New Roman"/>
          <w:sz w:val="24"/>
          <w:szCs w:val="24"/>
          <w:highlight w:val="yellow"/>
          <w:lang w:val="en-GB"/>
        </w:rPr>
        <w:instrText xml:space="preserve"> ADDIN ZOTERO_ITEM CSL_CITATION {"citationID":"DWFNR57Z","properties":{"formattedCitation":"(Hennessey et al., 2025)","plainCitation":"(Hennessey et al., 2025)","noteIndex":0},"citationItems":[{"id":2353,"uris":["http://zotero.org/users/4984961/items/SDJM2TL3"],"itemData":{"id":2353,"type":"article-journal","abstract":"Chicken meat (broiler) production is a rapidly growing livestock sector in India, and one dominated by contract farming. Studies have reported high levels of antibiotic use in Indian broiler farms which is concerning given this is one of the driving forces for the development of antibiotic resistance. This study used the economic lens of agency theory to examine strategic decisions which occur during contract broiler production and their potential impact on antibiotic use, using West Bengal as a case study. Agency theory focuses on the informational asymmetry and opportunism between service providers and seekers and the subsequent agency cost needed to avoid aberrant outcomes. Interviews were conducted with key informants (n = 6) and stakeholders (n = 20) associated with broiler production, and broiler farmers (17 contract and four non-contract), using online and face-to-face interviews. Data were analysed descriptively using manifest content analysis and interpretatively using reflexive thematic analysis. Contract farming in West Bengal exists within a series of inter-dependent relationships, many of which contain information asymmetry and can be subject to opportunism. Positioning contract companies as principals seeking labour from agents, we see how out-sourcing of production to distal farms led to antibiotics being used as a risk mitigation strategy. This was further compounded by concerns about the Mycoplasma status of breeding stock, and a perception that broiler day old chicks were infected, resulting in use of antibiotics belonging to classes deemed critically important for human health. While antibiotic use decisions were predominately made by contract companies, they were dependent on the decisions farmers and breeding companies made concerning biosecurity and production practices. In turn, farmers’ decisions were shaped by factors such as access to financial and social capital. Thus, efforts to reduce antibiotic use in West Bengal’s broilers must not just focus on changing the prescribing behavior of individuals but more broadly consider the environment within which contracting exists.","container-title":"PLOS ONE","DOI":"10.1371/journal.pone.0314090","ISSN":"1932-6203","issue":"1","journalAbbreviation":"PLOS ONE","language":"en","note":"publisher: Public Library of Science","page":"e0314090","source":"PLoS Journals","title":"Broiler farming and antibiotic use through an agency theory lens. A case study from West Bengal, India","volume":"20","author":[{"family":"Hennessey","given":"Mathew"},{"family":"Samanta","given":"Indranil"},{"family":"Fournié","given":"Guillaume"},{"family":"Quaife","given":"Matthew"},{"family":"Gautham","given":"Meenakshi"},{"family":"Paleja","given":"Haidaruliman"},{"family":"Papaiyan","given":"Kumaravel"},{"family":"Biswas","given":"Ripan"},{"family":"Alarcon","given":"Pablo"}],"issued":{"date-parts":[["2025",1,9]]}}}],"schema":"https://github.com/citation-style-language/schema/raw/master/csl-citation.json"} </w:instrText>
      </w:r>
      <w:r w:rsidR="0050269F" w:rsidRPr="009125BB">
        <w:rPr>
          <w:rFonts w:ascii="Times New Roman" w:hAnsi="Times New Roman" w:cs="Times New Roman"/>
          <w:sz w:val="24"/>
          <w:szCs w:val="24"/>
          <w:highlight w:val="yellow"/>
          <w:lang w:val="en-GB"/>
        </w:rPr>
        <w:fldChar w:fldCharType="separate"/>
      </w:r>
      <w:r w:rsidR="0050269F" w:rsidRPr="009125BB">
        <w:rPr>
          <w:rFonts w:ascii="Times New Roman" w:hAnsi="Times New Roman" w:cs="Times New Roman"/>
          <w:sz w:val="24"/>
          <w:highlight w:val="yellow"/>
        </w:rPr>
        <w:t>(</w:t>
      </w:r>
      <w:proofErr w:type="spellStart"/>
      <w:r w:rsidR="0050269F" w:rsidRPr="009125BB">
        <w:rPr>
          <w:rFonts w:ascii="Times New Roman" w:hAnsi="Times New Roman" w:cs="Times New Roman"/>
          <w:sz w:val="24"/>
          <w:highlight w:val="yellow"/>
        </w:rPr>
        <w:t>Hennessey</w:t>
      </w:r>
      <w:proofErr w:type="spellEnd"/>
      <w:r w:rsidR="0050269F" w:rsidRPr="009125BB">
        <w:rPr>
          <w:rFonts w:ascii="Times New Roman" w:hAnsi="Times New Roman" w:cs="Times New Roman"/>
          <w:sz w:val="24"/>
          <w:highlight w:val="yellow"/>
        </w:rPr>
        <w:t xml:space="preserve"> et al., 2025)</w:t>
      </w:r>
      <w:r w:rsidR="0050269F" w:rsidRPr="009125BB">
        <w:rPr>
          <w:rFonts w:ascii="Times New Roman" w:hAnsi="Times New Roman" w:cs="Times New Roman"/>
          <w:sz w:val="24"/>
          <w:szCs w:val="24"/>
          <w:highlight w:val="yellow"/>
          <w:lang w:val="en-GB"/>
        </w:rPr>
        <w:fldChar w:fldCharType="end"/>
      </w:r>
      <w:r w:rsidR="001E2E1F" w:rsidRPr="001E4BD2">
        <w:rPr>
          <w:rFonts w:ascii="Times New Roman" w:hAnsi="Times New Roman" w:cs="Times New Roman"/>
          <w:sz w:val="24"/>
          <w:szCs w:val="24"/>
          <w:lang w:val="en-GB"/>
        </w:rPr>
        <w:t xml:space="preserve">. Antibiotics are incorporated as feed additives in compound feeds, pellets or "mash", with the aim of improving growth and feed efficiency </w:t>
      </w:r>
      <w:r w:rsidR="004E3BC6">
        <w:rPr>
          <w:rFonts w:ascii="Times New Roman" w:hAnsi="Times New Roman" w:cs="Times New Roman"/>
          <w:sz w:val="24"/>
          <w:szCs w:val="24"/>
        </w:rPr>
        <w:fldChar w:fldCharType="begin"/>
      </w:r>
      <w:r w:rsidR="00A97D1E">
        <w:rPr>
          <w:rFonts w:ascii="Times New Roman" w:hAnsi="Times New Roman" w:cs="Times New Roman"/>
          <w:sz w:val="24"/>
          <w:szCs w:val="24"/>
          <w:lang w:val="en-GB"/>
        </w:rPr>
        <w:instrText xml:space="preserve"> ADDIN ZOTERO_ITEM CSL_CITATION {"citationID":"ts3fBH0b","properties":{"formattedCitation":"(Dawadi et al., 2021)","plainCitation":"(Dawadi et al., 2021)","noteIndex":0},"citationItems":[{"id":1676,"uris":["http://zotero.org/users/4984961/items/QND38M7Z"],"itemData":{"id":1676,"type":"article-journal","abstract":"Background\n Antimicrobial resistance has become a huge problem in animal and public health worldwide. Inadvertent use of antibiotics in poultry has led to the emergence of resistance against many antibiotics, even to last resort of drugs like colistin. \n\nAim\n This study aimed to provide uniform quantitative estimate on the percentage prevalence of E. coli as well as to analyze their colistin resistance in poultry in South Asian developing countries. \n\nMethods\n Two electronic databases, PubMed and Research4Life, were used to search studies as per the Preferred Reporting Items for Systematic Reviews and Meta-Analysis (PRISMA) guidelines. The pooled data on the prevalence of E. coli and colistin resistance were analyzed. \n\nResults\n In the meta-analysis of 9 studies in South Asian region (Nepal, Bangladesh, Pakistan, and India), the pooled prevalence of E. coli was 73% (95% CI, 0.549–0.916). The pooled prevalence of colistin resistance against E. coli from poultry was found to be 28% (95% CI, 0.158–0.438). \n\nConclusion\n There is high prevalence of E. coli and their resistance rate against colistin in poultry. Therefore, antimicrobials in raising livestock should be supervised.","container-title":"Veterinary Medicine International","DOI":"10.1155/2021/6398838","ISSN":"2090-8113","journalAbbreviation":"Vet Med Int","note":"PMID: 34671452\nPMCID: PMC8523263","page":"6398838","source":"PubMed Central","title":"Prevalence of Colistin-Resistant Escherichia coli from Poultry in South Asian Developing Countries","volume":"2021","author":[{"family":"Dawadi","given":"Prabin"},{"family":"Bista","given":"Shrijana"},{"family":"Bista","given":"Sayara"}],"issued":{"date-parts":[["2021",10,11]]}}}],"schema":"https://github.com/citation-style-language/schema/raw/master/csl-citation.json"} </w:instrText>
      </w:r>
      <w:r w:rsidR="004E3BC6">
        <w:rPr>
          <w:rFonts w:ascii="Times New Roman" w:hAnsi="Times New Roman" w:cs="Times New Roman"/>
          <w:sz w:val="24"/>
          <w:szCs w:val="24"/>
        </w:rPr>
        <w:fldChar w:fldCharType="separate"/>
      </w:r>
      <w:r w:rsidR="004E3BC6" w:rsidRPr="001E4BD2">
        <w:rPr>
          <w:rFonts w:ascii="Times New Roman" w:hAnsi="Times New Roman" w:cs="Times New Roman"/>
          <w:sz w:val="24"/>
          <w:lang w:val="en-GB"/>
        </w:rPr>
        <w:t>(Dawadi et al., 2021)</w:t>
      </w:r>
      <w:r w:rsidR="004E3BC6">
        <w:rPr>
          <w:rFonts w:ascii="Times New Roman" w:hAnsi="Times New Roman" w:cs="Times New Roman"/>
          <w:sz w:val="24"/>
          <w:szCs w:val="24"/>
        </w:rPr>
        <w:fldChar w:fldCharType="end"/>
      </w:r>
      <w:r w:rsidR="004E3BC6" w:rsidRPr="001E4BD2">
        <w:rPr>
          <w:rFonts w:ascii="Times New Roman" w:hAnsi="Times New Roman" w:cs="Times New Roman"/>
          <w:sz w:val="24"/>
          <w:szCs w:val="24"/>
          <w:lang w:val="en-GB"/>
        </w:rPr>
        <w:t xml:space="preserve">. The increasing use of antimicrobial substances in the animal sector leads to significant human exposure to antimicrobial-resistant bacteria (AMR), indirect gene transfer between bacterial species, and the spread of antimicrobial-resistant bacteria in the environment </w:t>
      </w:r>
      <w:r w:rsidR="004E3BC6" w:rsidRPr="004E3BC6">
        <w:rPr>
          <w:rFonts w:ascii="Times New Roman" w:hAnsi="Times New Roman" w:cs="Times New Roman"/>
          <w:sz w:val="24"/>
          <w:szCs w:val="24"/>
        </w:rPr>
        <w:fldChar w:fldCharType="begin"/>
      </w:r>
      <w:r w:rsidR="00A97D1E">
        <w:rPr>
          <w:rFonts w:ascii="Times New Roman" w:hAnsi="Times New Roman" w:cs="Times New Roman"/>
          <w:sz w:val="24"/>
          <w:szCs w:val="24"/>
          <w:lang w:val="en-GB"/>
        </w:rPr>
        <w:instrText xml:space="preserve"> ADDIN ZOTERO_ITEM CSL_CITATION {"citationID":"kb8xwzyA","properties":{"formattedCitation":"(Silbergeld et al., 2008)","plainCitation":"(Silbergeld et al., 2008)","noteIndex":0},"citationItems":[{"id":1670,"uris":["http://zotero.org/users/4984961/items/2JNGH37F"],"itemData":{"id":1670,"type":"article-journal","abstract":"Antimicrobial resistance is a major public health crisis, eroding the discovery of antimicrobials and their application to clinical medicine. There is a general lack of knowledge of the importance of agricultural antimicrobial use as a factor in antimicrobial resistance even among experts in medicine and public health. This review focuses on agricultural antimicrobial drug use as a major driver of antimicrobial resistance worldwide for four reasons: It is the largest use of antimicrobials worldwide; much of the use of antimicrobials in agriculture results in subtherapeutic exposures of bacteria; drugs of every important clinical class are utilized in agriculture; and human populations are exposed to antimicrobial-resistant pathogens via consumption of animal products as well as through widespread release into the environment.","container-title":"Annual Review of Public Health","DOI":"10.1146/annurev.publhealth.29.020907.090904","ISSN":"0163-7525, 1545-2093","issue":"Volume 29, 2008","language":"fr","note":"publisher: Annual Reviews","page":"151-169","source":"www.annualreviews.org","title":"Industrial Food Animal Production, Antimicrobial Resistance, and Human Health","volume":"29","author":[{"family":"Silbergeld","given":"Ellen K."},{"family":"Graham","given":"Jay"},{"family":"Price","given":"Lance B."}],"issued":{"date-parts":[["2008",4,1]]}}}],"schema":"https://github.com/citation-style-language/schema/raw/master/csl-citation.json"} </w:instrText>
      </w:r>
      <w:r w:rsidR="004E3BC6" w:rsidRPr="004E3BC6">
        <w:rPr>
          <w:rFonts w:ascii="Times New Roman" w:hAnsi="Times New Roman" w:cs="Times New Roman"/>
          <w:sz w:val="24"/>
          <w:szCs w:val="24"/>
        </w:rPr>
        <w:fldChar w:fldCharType="separate"/>
      </w:r>
      <w:r w:rsidR="004E3BC6" w:rsidRPr="001E4BD2">
        <w:rPr>
          <w:rFonts w:ascii="Times New Roman" w:hAnsi="Times New Roman" w:cs="Times New Roman"/>
          <w:sz w:val="24"/>
          <w:szCs w:val="24"/>
          <w:lang w:val="en-GB"/>
        </w:rPr>
        <w:t>(Silbergeld et al., 2008)</w:t>
      </w:r>
      <w:r w:rsidR="004E3BC6" w:rsidRPr="004E3BC6">
        <w:rPr>
          <w:rFonts w:ascii="Times New Roman" w:hAnsi="Times New Roman" w:cs="Times New Roman"/>
          <w:sz w:val="24"/>
          <w:szCs w:val="24"/>
        </w:rPr>
        <w:fldChar w:fldCharType="end"/>
      </w:r>
      <w:r w:rsidR="00D37CBF" w:rsidRPr="001E4BD2">
        <w:rPr>
          <w:rFonts w:ascii="Times New Roman" w:hAnsi="Times New Roman" w:cs="Times New Roman"/>
          <w:sz w:val="24"/>
          <w:szCs w:val="24"/>
          <w:lang w:val="en-GB"/>
        </w:rPr>
        <w:t xml:space="preserve">. The unintentional use of antibiotics in poultry has led to the emergence of multidrug-resistant organisms that pose a potential threat to human health  </w:t>
      </w:r>
      <w:r w:rsidR="00D37CBF">
        <w:rPr>
          <w:rFonts w:ascii="Times New Roman" w:hAnsi="Times New Roman" w:cs="Times New Roman"/>
          <w:sz w:val="24"/>
          <w:szCs w:val="24"/>
        </w:rPr>
        <w:fldChar w:fldCharType="begin"/>
      </w:r>
      <w:r w:rsidR="00A97D1E">
        <w:rPr>
          <w:rFonts w:ascii="Times New Roman" w:hAnsi="Times New Roman" w:cs="Times New Roman"/>
          <w:sz w:val="24"/>
          <w:szCs w:val="24"/>
          <w:lang w:val="en-GB"/>
        </w:rPr>
        <w:instrText xml:space="preserve"> ADDIN ZOTERO_ITEM CSL_CITATION {"citationID":"1bndhSZR","properties":{"formattedCitation":"(Luangtongkum et al., 2006; Miranda et al., 2008)","plainCitation":"(Luangtongkum et al., 2006; Miranda et al., 2008)","noteIndex":0},"citationItems":[{"id":1684,"uris":["http://zotero.org/users/4984961/items/ZR8Z27YV"],"itemData":{"id":1684,"type":"article-journal","abstract":"Intestinal tracts of broilers and turkeys from 10 conventional broiler farms and 10 conventional turkey farms, where antimicrobials were routinely used, and from 5 organic broiler farms and 5 organic turkey farms, where antimicrobials had never been used, were collected and cultured for Campylobacter species. A total of 694 Campylobacter isolates from the conventional and organic poultry operations were tested for antimicrobial resistance to nine antimicrobial agents by the agar dilution method. Although Campylobacter species were highly prevalent in both the conventional and organic poultry operations, the antimicrobial resistance rates were significantly different between the organic operations and the conventional operations. Less than 2% of Campylobacter strains isolated from organically raised poultry were resistant to fluoroquinolones, while 46% and 67% of Campylobacter isolates from conventionally raised broilers and conventionally raised turkeys, respectively, were resistant to these antimicrobials. In addition, a high frequency of resistance to erythromycin (80%), clindamycin (64%), kanamycin (76%), and ampicillin (31%) was observed among Campylobacter isolates from conventionally raised turkeys. None of the Campylobacter isolates obtained in this study was resistant to gentamicin, while a large number of the isolates from both conventional and organic poultry operations were resistant to tetracycline. Multidrug resistance was observed mainly among Campylobacter strains isolated from the conventional turkey operation (81%). Findings from this study clearly indicate the influence of conventional and organic poultry production practices on antimicrobial resistance of Campylobacter on poultry farms.","container-title":"Applied and Environmental Microbiology","DOI":"10.1128/AEM.72.5.3600-3607.2006","ISSN":"0099-2240","issue":"5","journalAbbreviation":"Appl Environ Microbiol","note":"PMID: 16672508\nPMCID: PMC1472326","page":"3600-3607","source":"PubMed Central","title":"Effect of Conventional and Organic Production Practices on the Prevalence and Antimicrobial Resistance of Campylobacter spp. in Poultry","volume":"72","author":[{"family":"Luangtongkum","given":"Taradon"},{"family":"Morishita","given":"Teresa Y."},{"family":"Ison","given":"Aaron J."},{"family":"Huang","given":"Shouxiong"},{"family":"McDermott","given":"Patrick F."},{"family":"Zhang","given":"Qijing"}],"issued":{"date-parts":[["2006",5]]}},"label":"page"},{"id":1690,"uris":["http://zotero.org/users/4984961/items/ZP5HBPAX"],"itemData":{"id":1690,"type":"article-journal","abstract":"Mean counts of Enterobacteriaceae were determined for 30 samples each of organic chicken meat, conventional chicken meat and conventional turkey meat to assess differences in contamination. Two strains from each sample were isolated to obtain a total of 180 strains, which were examined for resistance to ampicillin, chloramphenicol, cephalothin, doxycycline, ciprofloxacin, gentamicin, nitrofurantoin, and sulfisoxazole. The mean counts of Enterobacteriaceae from organic chicken meat were significantly higher than those obtained from conventional chicken (P&lt;0.0001) or conventional turkey (P&lt;0.0001) meat. However, the resistance data obtained showed that isolates from organic chicken meat were less resistant than isolates from conventional chicken meat to ampicillin (P=0.0001), chloramphenicol (P=0.0004), doxycycline (P=0.0013), ciprofloxacin (P=0.0034), gentamicin (P=0.0295) and sulfisoxazole (P=0.0442), and were less resistant than isolates from turkey meat to doxycycline (P=0.0014) and sulfisoxazole (P=0.0442). Multidrug resistant isolates were found in every group tested, but rates of multidrug resistant strains were higher in conventional chicken (63.3%) and turkey (56.7%) than organic chicken (41.7%) meat. The rates obtained for antimicrobial resistance support the theory that although organic chicken meat contains more Enterobacteriaceae contamination, organic farming practices contribute to decreased dissemination of antibiotic resistance.","container-title":"Food Control","DOI":"10.1016/j.foodcont.2007.05.002","ISSN":"0956-7135","issue":"4","journalAbbreviation":"Food Control","page":"412-416","source":"ScienceDirect","title":"Antimicrobial resistance in Enterobacteriaceae strains isolated from organic chicken, conventional chicken and conventional turkey meat: A comparative survey","title-short":"Antimicrobial resistance in Enterobacteriaceae strains isolated from organic chicken, conventional chicken and conventional turkey meat","volume":"19","author":[{"family":"Miranda","given":"J. M."},{"family":"Guarddon","given":"M."},{"family":"Vázquez","given":"B. I."},{"family":"Fente","given":"C. A."},{"family":"Barros-Velázquez","given":"J."},{"family":"Cepeda","given":"A."},{"family":"Franco","given":"C. M."}],"issued":{"date-parts":[["2008",4,1]]}},"label":"page"}],"schema":"https://github.com/citation-style-language/schema/raw/master/csl-citation.json"} </w:instrText>
      </w:r>
      <w:r w:rsidR="00D37CBF">
        <w:rPr>
          <w:rFonts w:ascii="Times New Roman" w:hAnsi="Times New Roman" w:cs="Times New Roman"/>
          <w:sz w:val="24"/>
          <w:szCs w:val="24"/>
        </w:rPr>
        <w:fldChar w:fldCharType="separate"/>
      </w:r>
      <w:r w:rsidR="00140BAE" w:rsidRPr="001E4BD2">
        <w:rPr>
          <w:rFonts w:ascii="Times New Roman" w:hAnsi="Times New Roman" w:cs="Times New Roman"/>
          <w:sz w:val="24"/>
          <w:lang w:val="en-GB"/>
        </w:rPr>
        <w:t>(Luangtongkum et al., 2006; Miranda et al., 2008)</w:t>
      </w:r>
      <w:r w:rsidR="00D37CBF">
        <w:rPr>
          <w:rFonts w:ascii="Times New Roman" w:hAnsi="Times New Roman" w:cs="Times New Roman"/>
          <w:sz w:val="24"/>
          <w:szCs w:val="24"/>
        </w:rPr>
        <w:fldChar w:fldCharType="end"/>
      </w:r>
      <w:r w:rsidR="000A32A4" w:rsidRPr="001E4BD2">
        <w:rPr>
          <w:rFonts w:ascii="Times New Roman" w:hAnsi="Times New Roman" w:cs="Times New Roman"/>
          <w:sz w:val="24"/>
          <w:szCs w:val="24"/>
          <w:lang w:val="en-GB"/>
        </w:rPr>
        <w:t xml:space="preserve">. The increase in antibiotic resistance in bacteria in humans and animals is a major concern, as it may decrease the effectiveness of medical care </w:t>
      </w:r>
      <w:r w:rsidR="000A32A4">
        <w:rPr>
          <w:rFonts w:ascii="Times New Roman" w:hAnsi="Times New Roman" w:cs="Times New Roman"/>
          <w:sz w:val="24"/>
          <w:szCs w:val="24"/>
        </w:rPr>
        <w:fldChar w:fldCharType="begin"/>
      </w:r>
      <w:r w:rsidR="00A97D1E">
        <w:rPr>
          <w:rFonts w:ascii="Times New Roman" w:hAnsi="Times New Roman" w:cs="Times New Roman"/>
          <w:sz w:val="24"/>
          <w:szCs w:val="24"/>
          <w:lang w:val="en-GB"/>
        </w:rPr>
        <w:instrText xml:space="preserve"> ADDIN ZOTERO_ITEM CSL_CITATION {"citationID":"EbWiUDTE","properties":{"formattedCitation":"(OMS, 2020)","plainCitation":"(OMS, 2020)","noteIndex":0},"citationItems":[{"id":1706,"uris":["http://zotero.org/users/4984961/items/SPS8RQRV"],"itemData":{"id":1706,"type":"webpage","abstract":"La résistance aux antibiotiques constitue aujourd’hui l’une des plus graves menaces pesant sur la santé mondiale, la sécurité alimentaire et le développement.","language":"fr","title":"Résistance aux antibiotiques","URL":"https://www.who.int/fr/news-room/fact-sheets/detail/antibiotic-resistance","author":[{"family":"OMS","given":""}],"accessed":{"date-parts":[["2025",6,14]]},"issued":{"date-parts":[["2020"]]}}}],"schema":"https://github.com/citation-style-language/schema/raw/master/csl-citation.json"} </w:instrText>
      </w:r>
      <w:r w:rsidR="000A32A4">
        <w:rPr>
          <w:rFonts w:ascii="Times New Roman" w:hAnsi="Times New Roman" w:cs="Times New Roman"/>
          <w:sz w:val="24"/>
          <w:szCs w:val="24"/>
        </w:rPr>
        <w:fldChar w:fldCharType="separate"/>
      </w:r>
      <w:r w:rsidR="00337321" w:rsidRPr="00337321">
        <w:rPr>
          <w:rFonts w:ascii="Times New Roman" w:hAnsi="Times New Roman" w:cs="Times New Roman"/>
          <w:sz w:val="24"/>
          <w:lang w:val="en-GB"/>
        </w:rPr>
        <w:t>(OMS, 2020)</w:t>
      </w:r>
      <w:r w:rsidR="000A32A4">
        <w:rPr>
          <w:rFonts w:ascii="Times New Roman" w:hAnsi="Times New Roman" w:cs="Times New Roman"/>
          <w:sz w:val="24"/>
          <w:szCs w:val="24"/>
        </w:rPr>
        <w:fldChar w:fldCharType="end"/>
      </w:r>
      <w:r w:rsidR="00350CD9" w:rsidRPr="001E4BD2">
        <w:rPr>
          <w:rFonts w:ascii="Times New Roman" w:hAnsi="Times New Roman" w:cs="Times New Roman"/>
          <w:sz w:val="24"/>
          <w:szCs w:val="24"/>
          <w:lang w:val="en-GB"/>
        </w:rPr>
        <w:t xml:space="preserve">. The bacteria frequently detected in birds that influence the health and production of animals are composed mainly of </w:t>
      </w:r>
      <w:proofErr w:type="spellStart"/>
      <w:r w:rsidR="00350CD9" w:rsidRPr="001E4BD2">
        <w:rPr>
          <w:rFonts w:ascii="Times New Roman" w:hAnsi="Times New Roman" w:cs="Times New Roman"/>
          <w:sz w:val="24"/>
          <w:szCs w:val="24"/>
          <w:lang w:val="en-GB"/>
        </w:rPr>
        <w:t>enterobacteriaceae</w:t>
      </w:r>
      <w:proofErr w:type="spellEnd"/>
      <w:r w:rsidR="00350CD9" w:rsidRPr="001E4BD2">
        <w:rPr>
          <w:rFonts w:ascii="Times New Roman" w:hAnsi="Times New Roman" w:cs="Times New Roman"/>
          <w:sz w:val="24"/>
          <w:szCs w:val="24"/>
          <w:lang w:val="en-GB"/>
        </w:rPr>
        <w:t xml:space="preserve"> such as </w:t>
      </w:r>
      <w:r w:rsidR="00350CD9" w:rsidRPr="001E4BD2">
        <w:rPr>
          <w:rFonts w:ascii="Times New Roman" w:hAnsi="Times New Roman" w:cs="Times New Roman"/>
          <w:i/>
          <w:iCs/>
          <w:sz w:val="24"/>
          <w:szCs w:val="24"/>
          <w:lang w:val="en-GB"/>
        </w:rPr>
        <w:t>Salmonella</w:t>
      </w:r>
      <w:r w:rsidR="00350CD9" w:rsidRPr="001E4BD2">
        <w:rPr>
          <w:rFonts w:ascii="Times New Roman" w:hAnsi="Times New Roman" w:cs="Times New Roman"/>
          <w:sz w:val="24"/>
          <w:szCs w:val="24"/>
          <w:lang w:val="en-GB"/>
        </w:rPr>
        <w:t xml:space="preserve">, </w:t>
      </w:r>
      <w:r w:rsidR="00350CD9" w:rsidRPr="001E4BD2">
        <w:rPr>
          <w:rFonts w:ascii="Times New Roman" w:hAnsi="Times New Roman" w:cs="Times New Roman"/>
          <w:i/>
          <w:iCs/>
          <w:sz w:val="24"/>
          <w:szCs w:val="24"/>
          <w:lang w:val="en-GB"/>
        </w:rPr>
        <w:t>Escherichia coli</w:t>
      </w:r>
      <w:r w:rsidR="00350CD9" w:rsidRPr="001E4BD2">
        <w:rPr>
          <w:rFonts w:ascii="Times New Roman" w:hAnsi="Times New Roman" w:cs="Times New Roman"/>
          <w:sz w:val="24"/>
          <w:szCs w:val="24"/>
          <w:lang w:val="en-GB"/>
        </w:rPr>
        <w:t xml:space="preserve">, </w:t>
      </w:r>
      <w:r w:rsidR="00350CD9" w:rsidRPr="001E4BD2">
        <w:rPr>
          <w:rFonts w:ascii="Times New Roman" w:hAnsi="Times New Roman" w:cs="Times New Roman"/>
          <w:i/>
          <w:iCs/>
          <w:sz w:val="24"/>
          <w:szCs w:val="24"/>
          <w:lang w:val="en-GB"/>
        </w:rPr>
        <w:t>Proteus</w:t>
      </w:r>
      <w:r w:rsidR="00350CD9" w:rsidRPr="001E4BD2">
        <w:rPr>
          <w:rFonts w:ascii="Times New Roman" w:hAnsi="Times New Roman" w:cs="Times New Roman"/>
          <w:sz w:val="24"/>
          <w:szCs w:val="24"/>
          <w:lang w:val="en-GB"/>
        </w:rPr>
        <w:t xml:space="preserve">, </w:t>
      </w:r>
      <w:r w:rsidR="00350CD9" w:rsidRPr="001E4BD2">
        <w:rPr>
          <w:rFonts w:ascii="Times New Roman" w:hAnsi="Times New Roman" w:cs="Times New Roman"/>
          <w:i/>
          <w:iCs/>
          <w:sz w:val="24"/>
          <w:szCs w:val="24"/>
          <w:lang w:val="en-GB"/>
        </w:rPr>
        <w:t>Klebsiella</w:t>
      </w:r>
      <w:r w:rsidR="00350CD9" w:rsidRPr="001E4BD2">
        <w:rPr>
          <w:rFonts w:ascii="Times New Roman" w:hAnsi="Times New Roman" w:cs="Times New Roman"/>
          <w:sz w:val="24"/>
          <w:szCs w:val="24"/>
          <w:lang w:val="en-GB"/>
        </w:rPr>
        <w:t xml:space="preserve">, </w:t>
      </w:r>
      <w:r w:rsidR="00350CD9" w:rsidRPr="001E4BD2">
        <w:rPr>
          <w:rFonts w:ascii="Times New Roman" w:hAnsi="Times New Roman" w:cs="Times New Roman"/>
          <w:i/>
          <w:iCs/>
          <w:sz w:val="24"/>
          <w:szCs w:val="24"/>
          <w:lang w:val="en-GB"/>
        </w:rPr>
        <w:t>Enterobacter</w:t>
      </w:r>
      <w:r w:rsidR="00350CD9" w:rsidRPr="001E4BD2">
        <w:rPr>
          <w:rFonts w:ascii="Times New Roman" w:hAnsi="Times New Roman" w:cs="Times New Roman"/>
          <w:sz w:val="24"/>
          <w:szCs w:val="24"/>
          <w:lang w:val="en-GB"/>
        </w:rPr>
        <w:t xml:space="preserve"> and other non-fermentative bacteria such as </w:t>
      </w:r>
      <w:r w:rsidR="00350CD9" w:rsidRPr="001E4BD2">
        <w:rPr>
          <w:rFonts w:ascii="Times New Roman" w:hAnsi="Times New Roman" w:cs="Times New Roman"/>
          <w:i/>
          <w:iCs/>
          <w:sz w:val="24"/>
          <w:szCs w:val="24"/>
          <w:lang w:val="en-GB"/>
        </w:rPr>
        <w:t>Pseudomonas</w:t>
      </w:r>
      <w:r w:rsidR="00350CD9" w:rsidRPr="001E4BD2">
        <w:rPr>
          <w:rFonts w:ascii="Times New Roman" w:hAnsi="Times New Roman" w:cs="Times New Roman"/>
          <w:sz w:val="24"/>
          <w:szCs w:val="24"/>
          <w:lang w:val="en-GB"/>
        </w:rPr>
        <w:t xml:space="preserve">. </w:t>
      </w:r>
      <w:r w:rsidR="000462D4">
        <w:rPr>
          <w:rFonts w:ascii="Times New Roman" w:hAnsi="Times New Roman" w:cs="Times New Roman"/>
          <w:sz w:val="24"/>
          <w:szCs w:val="24"/>
        </w:rPr>
        <w:fldChar w:fldCharType="begin"/>
      </w:r>
      <w:r w:rsidR="00A97D1E">
        <w:rPr>
          <w:rFonts w:ascii="Times New Roman" w:hAnsi="Times New Roman" w:cs="Times New Roman"/>
          <w:sz w:val="24"/>
          <w:szCs w:val="24"/>
          <w:lang w:val="en-GB"/>
        </w:rPr>
        <w:instrText xml:space="preserve"> ADDIN ZOTERO_ITEM CSL_CITATION {"citationID":"KTXvBQBJ","properties":{"formattedCitation":"(Gwida et al., 2014)","plainCitation":"(Gwida et al., 2014)","noteIndex":0},"citationItems":[{"id":1695,"uris":["http://zotero.org/users/4984961/items/JRLWWRJA"],"itemData":{"id":1695,"type":"article-journal","abstract":"The present study was performed to assess the presence of Enterobacteriaceae in raw meat and handlers in Egypt using cultivation and matrix-assisted laser desorption ionization time-of-flight mass spectrometry (MALDI-TOF MS). A total of 100 raw meat samples (chicken and beef meat, 50 each) were randomly purchased from butchers and local meat retailers located at Mansoura city, Egypt. Fifty human samples were collected from meat handlers (hand swabs and stool specimens, 25 each). 228 bacterial isolates were recovered from these samples. Unidentified isolates were characterized by partial 16S rRNA gene sequencing. Escherichia coli isolates were further typed using a DNA microarray system. Proteus spp. (60.0%) were found to be the most abundant followed by Escherichia coli (38.7%), Klebsiella spp. (17.3%), and Citrobacter spp. (13.3%). The presence of different Enterobacteriaceae in locally produced retail raw meat demonstrates the risk of infection of people through consumption of raw or undercooked meat and the risk for cross-contamination of other food products. Harmonized and concerted actions from veterinary and public health authorities are needed to reduce the risk of infection.","container-title":"International Scholarly Research Notices","DOI":"10.1155/2014/565671","ISSN":"2356-7872","journalAbbreviation":"Int Sch Res Notices","language":"eng","note":"PMID: 27379312\nPMCID: PMC4897388","page":"565671","source":"PubMed","title":"Occurrence of Enterobacteriaceae in Raw Meat and in Human Samples from Egyptian Retail Sellers","volume":"2014","author":[{"family":"Gwida","given":"Mayada"},{"family":"Hotzel","given":"Helmut"},{"family":"Geue","given":"Lutz"},{"family":"Tomaso","given":"Herbert"}],"issued":{"date-parts":[["2014"]]}}}],"schema":"https://github.com/citation-style-language/schema/raw/master/csl-citation.json"} </w:instrText>
      </w:r>
      <w:r w:rsidR="000462D4">
        <w:rPr>
          <w:rFonts w:ascii="Times New Roman" w:hAnsi="Times New Roman" w:cs="Times New Roman"/>
          <w:sz w:val="24"/>
          <w:szCs w:val="24"/>
        </w:rPr>
        <w:fldChar w:fldCharType="separate"/>
      </w:r>
      <w:r w:rsidR="000462D4" w:rsidRPr="001E4BD2">
        <w:rPr>
          <w:rFonts w:ascii="Times New Roman" w:hAnsi="Times New Roman" w:cs="Times New Roman"/>
          <w:sz w:val="24"/>
          <w:lang w:val="en-GB"/>
        </w:rPr>
        <w:t>(Gwida et al., 2014)</w:t>
      </w:r>
      <w:r w:rsidR="000462D4">
        <w:rPr>
          <w:rFonts w:ascii="Times New Roman" w:hAnsi="Times New Roman" w:cs="Times New Roman"/>
          <w:sz w:val="24"/>
          <w:szCs w:val="24"/>
        </w:rPr>
        <w:fldChar w:fldCharType="end"/>
      </w:r>
      <w:r w:rsidR="000462D4" w:rsidRPr="001E4BD2">
        <w:rPr>
          <w:rFonts w:ascii="Times New Roman" w:hAnsi="Times New Roman" w:cs="Times New Roman"/>
          <w:sz w:val="24"/>
          <w:szCs w:val="24"/>
          <w:lang w:val="en-GB"/>
        </w:rPr>
        <w:t xml:space="preserve">. The presence of these pathogens in poultry </w:t>
      </w:r>
      <w:proofErr w:type="spellStart"/>
      <w:r w:rsidR="000462D4" w:rsidRPr="001E4BD2">
        <w:rPr>
          <w:rFonts w:ascii="Times New Roman" w:hAnsi="Times New Roman" w:cs="Times New Roman"/>
          <w:sz w:val="24"/>
          <w:szCs w:val="24"/>
          <w:lang w:val="en-GB"/>
        </w:rPr>
        <w:t>feces</w:t>
      </w:r>
      <w:proofErr w:type="spellEnd"/>
      <w:r w:rsidR="000462D4" w:rsidRPr="001E4BD2">
        <w:rPr>
          <w:rFonts w:ascii="Times New Roman" w:hAnsi="Times New Roman" w:cs="Times New Roman"/>
          <w:sz w:val="24"/>
          <w:szCs w:val="24"/>
          <w:lang w:val="en-GB"/>
        </w:rPr>
        <w:t xml:space="preserve"> and poultry products raises concerns related to hygiene and food processing, due to the growing appreciation of poultry meat among consumers </w:t>
      </w:r>
      <w:r w:rsidR="000462D4">
        <w:rPr>
          <w:rFonts w:ascii="Times New Roman" w:hAnsi="Times New Roman" w:cs="Times New Roman"/>
          <w:sz w:val="24"/>
          <w:szCs w:val="24"/>
        </w:rPr>
        <w:fldChar w:fldCharType="begin"/>
      </w:r>
      <w:r w:rsidR="00A97D1E">
        <w:rPr>
          <w:rFonts w:ascii="Times New Roman" w:hAnsi="Times New Roman" w:cs="Times New Roman"/>
          <w:sz w:val="24"/>
          <w:szCs w:val="24"/>
          <w:lang w:val="en-GB"/>
        </w:rPr>
        <w:instrText xml:space="preserve"> ADDIN ZOTERO_ITEM CSL_CITATION {"citationID":"X1v9xTIB","properties":{"formattedCitation":"(Lutful Kabir, 2010)","plainCitation":"(Lutful Kabir, 2010)","noteIndex":0},"citationItems":[{"id":1692,"uris":["http://zotero.org/users/4984961/items/FMDDSCII"],"itemData":{"id":1692,"type":"article-journal","abstract":"Avian colibacillosis and salmonellosis are considered to be the major bacterial diseases in the poultry industry world-wide. Colibacillosis and salmonellosis are the most common avian diseases that are communicable to humans. This article provides the vital information on the epidemiology, pathogenesis, diagnosis, control and public health concerns of avian colibacillosis and salmonellosis. A better understanding of the information addressed in this review article will assist the poultry researchers and the poultry industry in continuing to make progress in reducing and eliminating avian colibacillosis and salmonellosis from the poultry flocks, thereby reducing potential hazards to the public health posed by these bacterial diseases.","container-title":"International Journal of Environmental Research and Public Health","DOI":"10.3390/ijerph7010089","ISSN":"1660-4601","issue":"1","journalAbbreviation":"Int J Environ Res Public Health","language":"eng","note":"PMID: 20195435\nPMCID: PMC2819778","page":"89-114","source":"PubMed","title":"Avian colibacillosis and salmonellosis: a closer look at epidemiology, pathogenesis, diagnosis, control and public health concerns","title-short":"Avian colibacillosis and salmonellosis","volume":"7","author":[{"family":"Lutful Kabir","given":"S. M."}],"issued":{"date-parts":[["2010",1]]}}}],"schema":"https://github.com/citation-style-language/schema/raw/master/csl-citation.json"} </w:instrText>
      </w:r>
      <w:r w:rsidR="000462D4">
        <w:rPr>
          <w:rFonts w:ascii="Times New Roman" w:hAnsi="Times New Roman" w:cs="Times New Roman"/>
          <w:sz w:val="24"/>
          <w:szCs w:val="24"/>
        </w:rPr>
        <w:fldChar w:fldCharType="separate"/>
      </w:r>
      <w:r w:rsidR="000462D4" w:rsidRPr="001E4BD2">
        <w:rPr>
          <w:rFonts w:ascii="Times New Roman" w:hAnsi="Times New Roman" w:cs="Times New Roman"/>
          <w:sz w:val="24"/>
          <w:lang w:val="en-GB"/>
        </w:rPr>
        <w:t>(Lutful Kabir, 2010)</w:t>
      </w:r>
      <w:r w:rsidR="000462D4">
        <w:rPr>
          <w:rFonts w:ascii="Times New Roman" w:hAnsi="Times New Roman" w:cs="Times New Roman"/>
          <w:sz w:val="24"/>
          <w:szCs w:val="24"/>
        </w:rPr>
        <w:fldChar w:fldCharType="end"/>
      </w:r>
      <w:r w:rsidR="00350CD9" w:rsidRPr="001E4BD2">
        <w:rPr>
          <w:rFonts w:ascii="Times New Roman" w:hAnsi="Times New Roman" w:cs="Times New Roman"/>
          <w:sz w:val="24"/>
          <w:szCs w:val="24"/>
          <w:lang w:val="en-GB"/>
        </w:rPr>
        <w:t xml:space="preserve">. The objective of this study is to determine the level of resistance of </w:t>
      </w:r>
      <w:r w:rsidR="0004606E" w:rsidRPr="001E4BD2">
        <w:rPr>
          <w:rFonts w:ascii="Times New Roman" w:hAnsi="Times New Roman" w:cs="Times New Roman"/>
          <w:i/>
          <w:sz w:val="24"/>
          <w:szCs w:val="24"/>
          <w:lang w:val="en-GB"/>
        </w:rPr>
        <w:t xml:space="preserve">Klebsiella pneumoniae </w:t>
      </w:r>
      <w:r w:rsidR="000D5D96" w:rsidRPr="001E4BD2">
        <w:rPr>
          <w:rFonts w:ascii="Times New Roman" w:hAnsi="Times New Roman" w:cs="Times New Roman"/>
          <w:sz w:val="24"/>
          <w:szCs w:val="24"/>
          <w:lang w:val="en-GB"/>
        </w:rPr>
        <w:t>isolated from poultry in the Abidjan district of Côte d'Ivoire.</w:t>
      </w:r>
    </w:p>
    <w:p w14:paraId="21CE460E" w14:textId="0E24D008" w:rsidR="00026F01" w:rsidRPr="001E4BD2" w:rsidRDefault="003919E2" w:rsidP="00A40EE0">
      <w:pPr>
        <w:spacing w:line="360" w:lineRule="auto"/>
        <w:jc w:val="both"/>
        <w:rPr>
          <w:rFonts w:ascii="Times New Roman" w:hAnsi="Times New Roman" w:cs="Times New Roman"/>
          <w:b/>
          <w:sz w:val="24"/>
          <w:szCs w:val="24"/>
          <w:lang w:val="en-GB"/>
        </w:rPr>
      </w:pPr>
      <w:r w:rsidRPr="001E4BD2">
        <w:rPr>
          <w:rFonts w:ascii="Times New Roman" w:hAnsi="Times New Roman" w:cs="Times New Roman"/>
          <w:b/>
          <w:sz w:val="24"/>
          <w:szCs w:val="24"/>
          <w:lang w:val="en-GB"/>
        </w:rPr>
        <w:t>2. Materials and methods</w:t>
      </w:r>
    </w:p>
    <w:p w14:paraId="60FC3386" w14:textId="01DE6F05" w:rsidR="000D5D96" w:rsidRPr="001E4BD2" w:rsidRDefault="003919E2" w:rsidP="009D006D">
      <w:pPr>
        <w:spacing w:after="0" w:line="360" w:lineRule="auto"/>
        <w:jc w:val="both"/>
        <w:rPr>
          <w:rFonts w:ascii="Times New Roman" w:hAnsi="Times New Roman" w:cs="Times New Roman"/>
          <w:b/>
          <w:sz w:val="24"/>
          <w:szCs w:val="24"/>
          <w:lang w:val="en-GB"/>
        </w:rPr>
      </w:pPr>
      <w:r w:rsidRPr="001E4BD2">
        <w:rPr>
          <w:rFonts w:ascii="Times New Roman" w:hAnsi="Times New Roman" w:cs="Times New Roman"/>
          <w:b/>
          <w:sz w:val="24"/>
          <w:szCs w:val="24"/>
          <w:lang w:val="en-GB"/>
        </w:rPr>
        <w:t>2.1. Study area</w:t>
      </w:r>
    </w:p>
    <w:p w14:paraId="0E532178" w14:textId="30DC36BA" w:rsidR="008C0EB7" w:rsidRPr="001E4BD2" w:rsidRDefault="008C0EB7" w:rsidP="008C0EB7">
      <w:pPr>
        <w:spacing w:after="0" w:line="360" w:lineRule="auto"/>
        <w:jc w:val="both"/>
        <w:rPr>
          <w:rFonts w:ascii="Times New Roman" w:hAnsi="Times New Roman" w:cs="Times New Roman"/>
          <w:bCs/>
          <w:sz w:val="24"/>
          <w:lang w:val="en-GB"/>
        </w:rPr>
      </w:pPr>
      <w:bookmarkStart w:id="0" w:name="_Hlk200664326"/>
      <w:r w:rsidRPr="001E4BD2">
        <w:rPr>
          <w:rFonts w:ascii="Times New Roman" w:hAnsi="Times New Roman" w:cs="Times New Roman"/>
          <w:bCs/>
          <w:sz w:val="24"/>
          <w:lang w:val="en-GB"/>
        </w:rPr>
        <w:t xml:space="preserve">The study took place in three (3) </w:t>
      </w:r>
      <w:r w:rsidR="001D1070">
        <w:rPr>
          <w:rFonts w:ascii="Times New Roman" w:hAnsi="Times New Roman" w:cs="Times New Roman"/>
          <w:bCs/>
          <w:sz w:val="24"/>
          <w:lang w:val="en-GB"/>
        </w:rPr>
        <w:t>municipalities</w:t>
      </w:r>
      <w:r w:rsidRPr="001E4BD2">
        <w:rPr>
          <w:rFonts w:ascii="Times New Roman" w:hAnsi="Times New Roman" w:cs="Times New Roman"/>
          <w:bCs/>
          <w:sz w:val="24"/>
          <w:lang w:val="en-GB"/>
        </w:rPr>
        <w:t xml:space="preserve"> of the district of Abidjan, namely, </w:t>
      </w:r>
      <w:proofErr w:type="spellStart"/>
      <w:r w:rsidRPr="001E4BD2">
        <w:rPr>
          <w:rFonts w:ascii="Times New Roman" w:hAnsi="Times New Roman" w:cs="Times New Roman"/>
          <w:bCs/>
          <w:sz w:val="24"/>
          <w:lang w:val="en-GB"/>
        </w:rPr>
        <w:t>Cocody</w:t>
      </w:r>
      <w:proofErr w:type="spellEnd"/>
      <w:r w:rsidRPr="001E4BD2">
        <w:rPr>
          <w:rFonts w:ascii="Times New Roman" w:hAnsi="Times New Roman" w:cs="Times New Roman"/>
          <w:bCs/>
          <w:sz w:val="24"/>
          <w:lang w:val="en-GB"/>
        </w:rPr>
        <w:t xml:space="preserve">, </w:t>
      </w:r>
      <w:proofErr w:type="spellStart"/>
      <w:r w:rsidRPr="001E4BD2">
        <w:rPr>
          <w:rFonts w:ascii="Times New Roman" w:hAnsi="Times New Roman" w:cs="Times New Roman"/>
          <w:bCs/>
          <w:sz w:val="24"/>
          <w:lang w:val="en-GB"/>
        </w:rPr>
        <w:t>Yopougon</w:t>
      </w:r>
      <w:proofErr w:type="spellEnd"/>
      <w:r w:rsidRPr="001E4BD2">
        <w:rPr>
          <w:rFonts w:ascii="Times New Roman" w:hAnsi="Times New Roman" w:cs="Times New Roman"/>
          <w:bCs/>
          <w:sz w:val="24"/>
          <w:lang w:val="en-GB"/>
        </w:rPr>
        <w:t xml:space="preserve"> and </w:t>
      </w:r>
      <w:proofErr w:type="spellStart"/>
      <w:r w:rsidRPr="001E4BD2">
        <w:rPr>
          <w:rFonts w:ascii="Times New Roman" w:hAnsi="Times New Roman" w:cs="Times New Roman"/>
          <w:bCs/>
          <w:sz w:val="24"/>
          <w:lang w:val="en-GB"/>
        </w:rPr>
        <w:t>Bingerville</w:t>
      </w:r>
      <w:proofErr w:type="spellEnd"/>
      <w:r w:rsidRPr="001E4BD2">
        <w:rPr>
          <w:rFonts w:ascii="Times New Roman" w:hAnsi="Times New Roman" w:cs="Times New Roman"/>
          <w:bCs/>
          <w:sz w:val="24"/>
          <w:lang w:val="en-GB"/>
        </w:rPr>
        <w:t xml:space="preserve">. The district of Abidjan located at 5°20′ 00" N, 4° 01′ 00" W is composed of 13 </w:t>
      </w:r>
      <w:r w:rsidR="001D1070">
        <w:rPr>
          <w:rFonts w:ascii="Times New Roman" w:hAnsi="Times New Roman" w:cs="Times New Roman"/>
          <w:bCs/>
          <w:sz w:val="24"/>
          <w:lang w:val="en-GB"/>
        </w:rPr>
        <w:t>municipalities</w:t>
      </w:r>
      <w:r w:rsidRPr="001E4BD2">
        <w:rPr>
          <w:rFonts w:ascii="Times New Roman" w:hAnsi="Times New Roman" w:cs="Times New Roman"/>
          <w:bCs/>
          <w:sz w:val="24"/>
          <w:lang w:val="en-GB"/>
        </w:rPr>
        <w:t xml:space="preserve"> that extend over 2119 km2; it is the most populous city in French-speaking West Africa with more than 6321 million inhabitants (UN, 2021). The Greater Abidjan area (26°C on average between 1961-2016) is humid (82% with rainfall reaching 1,675 mm). </w:t>
      </w:r>
      <w:r>
        <w:rPr>
          <w:rFonts w:ascii="Times New Roman" w:hAnsi="Times New Roman" w:cs="Times New Roman"/>
          <w:bCs/>
          <w:sz w:val="24"/>
        </w:rPr>
        <w:t xml:space="preserve">It has </w:t>
      </w:r>
      <w:proofErr w:type="spellStart"/>
      <w:r>
        <w:rPr>
          <w:rFonts w:ascii="Times New Roman" w:hAnsi="Times New Roman" w:cs="Times New Roman"/>
          <w:bCs/>
          <w:sz w:val="24"/>
        </w:rPr>
        <w:t>two</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rainy</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seasons</w:t>
      </w:r>
      <w:proofErr w:type="spellEnd"/>
      <w:r>
        <w:rPr>
          <w:rFonts w:ascii="Times New Roman" w:hAnsi="Times New Roman" w:cs="Times New Roman"/>
          <w:bCs/>
          <w:sz w:val="24"/>
        </w:rPr>
        <w:t xml:space="preserve"> and </w:t>
      </w:r>
      <w:proofErr w:type="spellStart"/>
      <w:r>
        <w:rPr>
          <w:rFonts w:ascii="Times New Roman" w:hAnsi="Times New Roman" w:cs="Times New Roman"/>
          <w:bCs/>
          <w:sz w:val="24"/>
        </w:rPr>
        <w:t>two</w:t>
      </w:r>
      <w:proofErr w:type="spellEnd"/>
      <w:r>
        <w:rPr>
          <w:rFonts w:ascii="Times New Roman" w:hAnsi="Times New Roman" w:cs="Times New Roman"/>
          <w:bCs/>
          <w:sz w:val="24"/>
        </w:rPr>
        <w:t xml:space="preserve"> dry </w:t>
      </w:r>
      <w:proofErr w:type="spellStart"/>
      <w:r>
        <w:rPr>
          <w:rFonts w:ascii="Times New Roman" w:hAnsi="Times New Roman" w:cs="Times New Roman"/>
          <w:bCs/>
          <w:sz w:val="24"/>
        </w:rPr>
        <w:t>seasons</w:t>
      </w:r>
      <w:proofErr w:type="spellEnd"/>
      <w:r>
        <w:rPr>
          <w:rFonts w:ascii="Times New Roman" w:hAnsi="Times New Roman" w:cs="Times New Roman"/>
          <w:bCs/>
          <w:sz w:val="24"/>
        </w:rPr>
        <w:t xml:space="preserve"> </w:t>
      </w:r>
      <w:r>
        <w:rPr>
          <w:rFonts w:ascii="Times New Roman" w:hAnsi="Times New Roman" w:cs="Times New Roman"/>
          <w:bCs/>
          <w:sz w:val="24"/>
        </w:rPr>
        <w:fldChar w:fldCharType="begin"/>
      </w:r>
      <w:r w:rsidR="00A97D1E">
        <w:rPr>
          <w:rFonts w:ascii="Times New Roman" w:hAnsi="Times New Roman" w:cs="Times New Roman"/>
          <w:bCs/>
          <w:sz w:val="24"/>
        </w:rPr>
        <w:instrText xml:space="preserve"> ADDIN ZOTERO_ITEM CSL_CITATION {"citationID":"Gy4ZL51I","properties":{"formattedCitation":"(Kouao et al., 2024)","plainCitation":"(Kouao et al., 2024)","noteIndex":0},"citationItems":[{"id":1597,"uris":["http://zotero.org/users/4984961/items/SABKZUQJ"],"itemData":{"id":1597,"type":"article-journal","abstract":"L’objectif de ce travail est de caractériser la variabilité climatique de la Côte d’Ivoire, sur la période 1961-2016. L’étude s’est appuyée sur une base de données de pluies et de températures mensuelles enregistrées dans douze stations synoptiques réparties sur l’ensemble des régions climatiques de Côte d’Ivoire. Des méthodes statistiques basées sur les régressions linéaires et les tests statistiques de détection de rupture de Pettitt et de Hubert, ont permis d’analyser les tendances du climat et la persistance ou non des déficits pluviométriques à l’intérieur des zones climatiques de la Côte d’Ivoire. Particulièrement, les tests de Pettitt et de Hubert, ont été réalisées à partir de quatre variables climatiques : températures minimales, températures maximales, températures annuelles et cumuls annuels de pluies. Dans l’ensemble, les résultats ont mis en évidence, d’importants changements dans les évolutions des pluies et des températures, avec respectivement, une tendance générale, à la baisse de 21% et à la hausse de 8%, sur toutes les zones climatiques. La modification de l’évolution climatique en Côte d’Ivoire, marquée par une récession pluviométrique, a été observée à partir de 1970. Dans cette tendance générale, à la baisse de la pluie et à la hausse de la température, il a été cependant noté, à la fin des années 2000 et surtout au cours de la décennie 2010, une reprise de la pluviométrie vers des années plus humides, dans certaines localités telles que Bouaké et Bondoukou, appartenant au climat équatorial de transition atténué (climat Baouléen).\nThis work aims to characterize the climatic variability of Côte d'Ivoire, over the period 1961-2016. The study was based on a database of monthly rainfall and temperatures recorded in twelve synoptic stations spread across all the climatic zones of Côte d'Ivoire. Statistical methods based on linear regressions and statistical break detection tests of Pettitt and of Hubert were used to analyze climate trends and the persistence or not of rainfall deficits within the climatic zones of Côte d'Ivoire. In particular, the Pettitt and Hubert tests were carried out using four climatic variables: minimum temperatures, maximum temperatures, annual temperatures, and annual cumulative rainfall. Overall, the </w:instrText>
      </w:r>
      <w:r w:rsidR="00A97D1E" w:rsidRPr="000555C9">
        <w:rPr>
          <w:rFonts w:ascii="Times New Roman" w:hAnsi="Times New Roman" w:cs="Times New Roman"/>
          <w:bCs/>
          <w:sz w:val="24"/>
          <w:lang w:val="en-US"/>
        </w:rPr>
        <w:instrText xml:space="preserve">results highlighted significant changes in rainfall and temperature trends, with a general trend of a 21 % decrease and an 8 % increase, respectively, in all climatic zones. The change in climate evolution in Côte d'Ivoire, marked by a rainfall recession, was observed from 1970. In this general trend of decreasing rainfall and increasing temperature, it was however noted, at the end of the 2000s and especially during the 2010s, a recovery in rainfall towards more humid years, in certain localities such as Bouaké and Bondoukou, belonging to the attenuated transitional equatorial climate (Baoulean climate).","container-title":"European Scientific Journal, ESJ","DOI":"10.19044/esj.2024.v20n33p218","ISSN":"1857-7431","issue":"33","language":"en","license":"Copyright (c) 2024 Jean-Muller Kouao, Bertrand Ouessé Tagnon, Brenger Koffi, Amani Michel Kouassi, Kouamé Auguste Kouassi, Droh Lanciné Gone","note":"number: 33","page":"218-218","source":"eujournal.org","title":"Variabilité et tendances interannuelles du climat à l’échelle de la Côte d’Ivoire sur la période 1961-2016","volume":"20","author":[{"family":"Kouao","given":"Jean-Muller"},{"family":"Tagnon","given":"Bertrand Ouessé"},{"family":"Koffi","given":"Brenger"},{"family":"Kouassi","given":"Amani Michel"},{"family":"Kouassi","given":"Kouamé Auguste"},{"family":"Gone","given":"Droh Lanciné"}],"issued":{"date-parts":[["2024",11,30]]}}}],"schema":"https://github.com/citation-style-language/schema/raw/master/csl-citation.json"} </w:instrText>
      </w:r>
      <w:r>
        <w:rPr>
          <w:rFonts w:ascii="Times New Roman" w:hAnsi="Times New Roman" w:cs="Times New Roman"/>
          <w:bCs/>
          <w:sz w:val="24"/>
        </w:rPr>
        <w:fldChar w:fldCharType="separate"/>
      </w:r>
      <w:r w:rsidRPr="001E4BD2">
        <w:rPr>
          <w:rFonts w:ascii="Times New Roman" w:hAnsi="Times New Roman" w:cs="Times New Roman"/>
          <w:sz w:val="24"/>
          <w:lang w:val="en-GB"/>
        </w:rPr>
        <w:t>(Kouao et al., 2024)</w:t>
      </w:r>
      <w:r>
        <w:rPr>
          <w:rFonts w:ascii="Times New Roman" w:hAnsi="Times New Roman" w:cs="Times New Roman"/>
          <w:bCs/>
          <w:sz w:val="24"/>
        </w:rPr>
        <w:fldChar w:fldCharType="end"/>
      </w:r>
      <w:r w:rsidRPr="001E4BD2">
        <w:rPr>
          <w:rFonts w:ascii="Times New Roman" w:hAnsi="Times New Roman" w:cs="Times New Roman"/>
          <w:bCs/>
          <w:sz w:val="24"/>
          <w:lang w:val="en-GB"/>
        </w:rPr>
        <w:t xml:space="preserve"> . It is characterized by abundant rainfall (1500 mm of water/year) and an average temperature of 27°C and the average annual humidity level is more than 80%. </w:t>
      </w:r>
    </w:p>
    <w:bookmarkEnd w:id="0"/>
    <w:p w14:paraId="3E7A5909" w14:textId="7C34DD03" w:rsidR="00A7147D" w:rsidRPr="001E4BD2" w:rsidRDefault="003919E2" w:rsidP="00A7147D">
      <w:pPr>
        <w:spacing w:before="240" w:after="0" w:line="360" w:lineRule="auto"/>
        <w:jc w:val="both"/>
        <w:rPr>
          <w:rFonts w:ascii="Times New Roman" w:hAnsi="Times New Roman" w:cs="Times New Roman"/>
          <w:b/>
          <w:sz w:val="24"/>
          <w:szCs w:val="24"/>
          <w:lang w:val="en-GB"/>
        </w:rPr>
      </w:pPr>
      <w:r w:rsidRPr="001E4BD2">
        <w:rPr>
          <w:rFonts w:ascii="Times New Roman" w:hAnsi="Times New Roman" w:cs="Times New Roman"/>
          <w:b/>
          <w:sz w:val="24"/>
          <w:szCs w:val="24"/>
          <w:lang w:val="en-GB"/>
        </w:rPr>
        <w:t>2.2. Type of study</w:t>
      </w:r>
    </w:p>
    <w:p w14:paraId="76B68D20" w14:textId="2CB76DA5" w:rsidR="00A7147D" w:rsidRPr="001E4BD2" w:rsidRDefault="00A7147D" w:rsidP="00A7147D">
      <w:pPr>
        <w:spacing w:after="0" w:line="360" w:lineRule="auto"/>
        <w:jc w:val="both"/>
        <w:rPr>
          <w:rFonts w:ascii="Times New Roman" w:hAnsi="Times New Roman" w:cs="Times New Roman"/>
          <w:sz w:val="24"/>
          <w:szCs w:val="24"/>
          <w:lang w:val="en-GB"/>
        </w:rPr>
      </w:pPr>
      <w:r w:rsidRPr="001E4BD2">
        <w:rPr>
          <w:rFonts w:ascii="Times New Roman" w:hAnsi="Times New Roman" w:cs="Times New Roman"/>
          <w:sz w:val="24"/>
          <w:szCs w:val="24"/>
          <w:lang w:val="en-GB"/>
        </w:rPr>
        <w:t xml:space="preserve">This is a prospective study that took </w:t>
      </w:r>
      <w:r w:rsidRPr="001E4BD2">
        <w:rPr>
          <w:rFonts w:ascii="Times New Roman" w:hAnsi="Times New Roman" w:cs="Times New Roman"/>
          <w:bCs/>
          <w:sz w:val="24"/>
          <w:lang w:val="en-GB"/>
        </w:rPr>
        <w:t xml:space="preserve">place over a six-month period from January to June </w:t>
      </w:r>
      <w:r w:rsidRPr="001E4BD2">
        <w:rPr>
          <w:rFonts w:ascii="Times New Roman" w:hAnsi="Times New Roman" w:cs="Times New Roman"/>
          <w:sz w:val="24"/>
          <w:szCs w:val="24"/>
          <w:lang w:val="en-GB"/>
        </w:rPr>
        <w:t xml:space="preserve">of the year 2024. Data were collected from the fact sheets developed for this purpose. This information </w:t>
      </w:r>
      <w:r w:rsidRPr="001E4BD2">
        <w:rPr>
          <w:rFonts w:ascii="Times New Roman" w:hAnsi="Times New Roman" w:cs="Times New Roman"/>
          <w:sz w:val="24"/>
          <w:szCs w:val="24"/>
          <w:lang w:val="en-GB"/>
        </w:rPr>
        <w:lastRenderedPageBreak/>
        <w:t xml:space="preserve">included general information about farms and markets, the size and age of animals, sample numbers, nature of collection, origin, and the antibiotics frequently used in treatments. </w:t>
      </w:r>
    </w:p>
    <w:p w14:paraId="5A1D75B5" w14:textId="5A979F2A" w:rsidR="00C45923" w:rsidRPr="001E4BD2" w:rsidRDefault="003919E2" w:rsidP="008F77D3">
      <w:pPr>
        <w:spacing w:before="240" w:after="0" w:line="360" w:lineRule="auto"/>
        <w:jc w:val="both"/>
        <w:rPr>
          <w:rFonts w:ascii="Times New Roman" w:hAnsi="Times New Roman" w:cs="Times New Roman"/>
          <w:b/>
          <w:bCs/>
          <w:sz w:val="24"/>
          <w:lang w:val="en-GB"/>
        </w:rPr>
      </w:pPr>
      <w:r w:rsidRPr="001E4BD2">
        <w:rPr>
          <w:rFonts w:ascii="Times New Roman" w:hAnsi="Times New Roman" w:cs="Times New Roman"/>
          <w:b/>
          <w:bCs/>
          <w:sz w:val="24"/>
          <w:lang w:val="en-GB"/>
        </w:rPr>
        <w:t xml:space="preserve">2.3. </w:t>
      </w:r>
      <w:r w:rsidR="001E4BD2">
        <w:rPr>
          <w:rFonts w:ascii="Times New Roman" w:hAnsi="Times New Roman" w:cs="Times New Roman"/>
          <w:b/>
          <w:bCs/>
          <w:sz w:val="24"/>
          <w:lang w:val="en-GB"/>
        </w:rPr>
        <w:t>Material</w:t>
      </w:r>
    </w:p>
    <w:p w14:paraId="4E8DEE0F" w14:textId="25417435" w:rsidR="007F2E05" w:rsidRPr="001E4BD2" w:rsidRDefault="001E4BD2" w:rsidP="007F2E05">
      <w:pPr>
        <w:spacing w:after="0" w:line="360" w:lineRule="auto"/>
        <w:jc w:val="both"/>
        <w:rPr>
          <w:rFonts w:ascii="Times New Roman" w:hAnsi="Times New Roman" w:cs="Times New Roman"/>
          <w:b/>
          <w:bCs/>
          <w:sz w:val="24"/>
          <w:lang w:val="en-GB"/>
        </w:rPr>
      </w:pPr>
      <w:r>
        <w:rPr>
          <w:rFonts w:ascii="Times New Roman" w:hAnsi="Times New Roman" w:cs="Times New Roman"/>
          <w:b/>
          <w:bCs/>
          <w:sz w:val="24"/>
          <w:lang w:val="en-GB"/>
        </w:rPr>
        <w:t>C</w:t>
      </w:r>
      <w:r w:rsidR="003072C0" w:rsidRPr="001E4BD2">
        <w:rPr>
          <w:rFonts w:ascii="Times New Roman" w:hAnsi="Times New Roman" w:cs="Times New Roman"/>
          <w:b/>
          <w:bCs/>
          <w:sz w:val="24"/>
          <w:lang w:val="en-GB"/>
        </w:rPr>
        <w:t xml:space="preserve">ollection sites </w:t>
      </w:r>
    </w:p>
    <w:p w14:paraId="2C19D722" w14:textId="0B04D5B3" w:rsidR="007F2E05" w:rsidRPr="000B3FDA" w:rsidRDefault="007F2E05" w:rsidP="00000B20">
      <w:pPr>
        <w:spacing w:after="0" w:line="360" w:lineRule="auto"/>
        <w:jc w:val="both"/>
        <w:rPr>
          <w:rFonts w:ascii="Times New Roman" w:hAnsi="Times New Roman" w:cs="Times New Roman"/>
          <w:bCs/>
          <w:sz w:val="24"/>
          <w:lang w:val="en-GB"/>
        </w:rPr>
      </w:pPr>
      <w:r w:rsidRPr="000B3FDA">
        <w:rPr>
          <w:rFonts w:ascii="Times New Roman" w:hAnsi="Times New Roman" w:cs="Times New Roman"/>
          <w:bCs/>
          <w:sz w:val="24"/>
          <w:lang w:val="en-GB"/>
        </w:rPr>
        <w:t xml:space="preserve">The choice of collection sites was motivated by the presence of private poultry farms or poultry </w:t>
      </w:r>
      <w:r w:rsidR="00716232" w:rsidRPr="000B3FDA">
        <w:rPr>
          <w:rFonts w:ascii="Times New Roman" w:hAnsi="Times New Roman" w:cs="Times New Roman"/>
          <w:bCs/>
          <w:sz w:val="24"/>
          <w:lang w:val="en-GB"/>
        </w:rPr>
        <w:t>wet-</w:t>
      </w:r>
      <w:r w:rsidRPr="000B3FDA">
        <w:rPr>
          <w:rFonts w:ascii="Times New Roman" w:hAnsi="Times New Roman" w:cs="Times New Roman"/>
          <w:bCs/>
          <w:sz w:val="24"/>
          <w:lang w:val="en-GB"/>
        </w:rPr>
        <w:t>markets, where live poultry can be purchased and even slaughtered directly for personal consumption. In the</w:t>
      </w:r>
      <w:r w:rsidR="004D39D5" w:rsidRPr="000B3FDA">
        <w:rPr>
          <w:rFonts w:ascii="Times New Roman" w:hAnsi="Times New Roman" w:cs="Times New Roman"/>
          <w:bCs/>
          <w:sz w:val="24"/>
          <w:lang w:val="en-GB"/>
        </w:rPr>
        <w:t xml:space="preserve"> municipalities</w:t>
      </w:r>
      <w:r w:rsidRPr="000B3FDA">
        <w:rPr>
          <w:rFonts w:ascii="Times New Roman" w:hAnsi="Times New Roman" w:cs="Times New Roman"/>
          <w:bCs/>
          <w:sz w:val="24"/>
          <w:lang w:val="en-GB"/>
        </w:rPr>
        <w:t xml:space="preserve">, farms were selected on the basis of a population of at least 500 broiler poultry or egg layers for consumption and intended for sale for the consumption of local populations. As far as markets are concerned, our choice was mainly for the sales stands where there is a slaughtering unit, also known as a "slaughterhouse". These sellers sell poultry of all types (meat, layers, guinea fowl, etc.) and have them killed immediately at the customer's request. </w:t>
      </w:r>
      <w:r w:rsidR="003457E9" w:rsidRPr="000B3FDA">
        <w:rPr>
          <w:rFonts w:ascii="Times New Roman" w:hAnsi="Times New Roman" w:cs="Times New Roman"/>
          <w:bCs/>
          <w:sz w:val="24"/>
          <w:lang w:val="en-GB"/>
        </w:rPr>
        <w:t>All poultry used in the study were purchased and harvested.</w:t>
      </w:r>
    </w:p>
    <w:p w14:paraId="789A3AF9" w14:textId="77777777" w:rsidR="00000B20" w:rsidRDefault="00000B20" w:rsidP="00A8330B">
      <w:pPr>
        <w:spacing w:after="0" w:line="360" w:lineRule="auto"/>
        <w:jc w:val="both"/>
        <w:rPr>
          <w:rFonts w:ascii="Times New Roman" w:hAnsi="Times New Roman" w:cs="Times New Roman"/>
          <w:b/>
          <w:sz w:val="24"/>
          <w:lang w:val="en-GB"/>
        </w:rPr>
      </w:pPr>
    </w:p>
    <w:p w14:paraId="50ACE34C" w14:textId="5386E208" w:rsidR="00A8330B" w:rsidRPr="001E4BD2" w:rsidRDefault="00A8330B" w:rsidP="00A8330B">
      <w:pPr>
        <w:spacing w:after="0" w:line="360" w:lineRule="auto"/>
        <w:jc w:val="both"/>
        <w:rPr>
          <w:rFonts w:ascii="Times New Roman" w:hAnsi="Times New Roman" w:cs="Times New Roman"/>
          <w:b/>
          <w:sz w:val="24"/>
          <w:lang w:val="en-GB"/>
        </w:rPr>
      </w:pPr>
      <w:r w:rsidRPr="001E4BD2">
        <w:rPr>
          <w:rFonts w:ascii="Times New Roman" w:hAnsi="Times New Roman" w:cs="Times New Roman"/>
          <w:b/>
          <w:sz w:val="24"/>
          <w:lang w:val="en-GB"/>
        </w:rPr>
        <w:t>Study population</w:t>
      </w:r>
    </w:p>
    <w:p w14:paraId="1398C875" w14:textId="4FD55C24" w:rsidR="00A8330B" w:rsidRPr="001E4BD2" w:rsidRDefault="00A8330B" w:rsidP="00A8330B">
      <w:pPr>
        <w:spacing w:after="0" w:line="360" w:lineRule="auto"/>
        <w:jc w:val="both"/>
        <w:rPr>
          <w:rFonts w:ascii="Times New Roman" w:hAnsi="Times New Roman" w:cs="Times New Roman"/>
          <w:bCs/>
          <w:sz w:val="24"/>
          <w:lang w:val="en-GB"/>
        </w:rPr>
      </w:pPr>
      <w:r w:rsidRPr="001E4BD2">
        <w:rPr>
          <w:rFonts w:ascii="Times New Roman" w:hAnsi="Times New Roman" w:cs="Times New Roman"/>
          <w:bCs/>
          <w:sz w:val="24"/>
          <w:lang w:val="en-GB"/>
        </w:rPr>
        <w:t>The population of animals selected for this study consisted mainly of broilers</w:t>
      </w:r>
      <w:r w:rsidR="004F4F36">
        <w:rPr>
          <w:rFonts w:ascii="Times New Roman" w:hAnsi="Times New Roman" w:cs="Times New Roman"/>
          <w:bCs/>
          <w:sz w:val="24"/>
          <w:lang w:val="en-GB"/>
        </w:rPr>
        <w:t xml:space="preserve"> </w:t>
      </w:r>
      <w:r w:rsidRPr="001E4BD2">
        <w:rPr>
          <w:rFonts w:ascii="Times New Roman" w:hAnsi="Times New Roman" w:cs="Times New Roman"/>
          <w:bCs/>
          <w:sz w:val="24"/>
          <w:lang w:val="en-GB"/>
        </w:rPr>
        <w:t>and layers of eggs for human consumption. The breeds of poultry are those that are generally raised in Côte d'Ivoire</w:t>
      </w:r>
      <w:r w:rsidR="008C1B62">
        <w:rPr>
          <w:rFonts w:ascii="Times New Roman" w:hAnsi="Times New Roman" w:cs="Times New Roman"/>
          <w:bCs/>
          <w:sz w:val="24"/>
          <w:lang w:val="en-GB"/>
        </w:rPr>
        <w:t xml:space="preserve">. </w:t>
      </w:r>
    </w:p>
    <w:p w14:paraId="5A3092F9" w14:textId="77777777" w:rsidR="00A8330B" w:rsidRPr="001E4BD2" w:rsidRDefault="00A8330B" w:rsidP="008F77D3">
      <w:pPr>
        <w:spacing w:before="240" w:after="0" w:line="360" w:lineRule="auto"/>
        <w:jc w:val="both"/>
        <w:rPr>
          <w:rFonts w:ascii="Times New Roman" w:hAnsi="Times New Roman" w:cs="Times New Roman"/>
          <w:b/>
          <w:bCs/>
          <w:sz w:val="24"/>
          <w:lang w:val="en-GB"/>
        </w:rPr>
      </w:pPr>
      <w:r w:rsidRPr="001E4BD2">
        <w:rPr>
          <w:rFonts w:ascii="Times New Roman" w:hAnsi="Times New Roman" w:cs="Times New Roman"/>
          <w:b/>
          <w:bCs/>
          <w:sz w:val="24"/>
          <w:lang w:val="en-GB"/>
        </w:rPr>
        <w:t>Inclusion criteria</w:t>
      </w:r>
    </w:p>
    <w:p w14:paraId="0A3A851C" w14:textId="63518EED" w:rsidR="00A8330B" w:rsidRPr="001E4BD2" w:rsidRDefault="00A8330B" w:rsidP="009D006D">
      <w:pPr>
        <w:spacing w:line="360" w:lineRule="auto"/>
        <w:jc w:val="both"/>
        <w:rPr>
          <w:rFonts w:ascii="Times New Roman" w:hAnsi="Times New Roman" w:cs="Times New Roman"/>
          <w:bCs/>
          <w:sz w:val="24"/>
          <w:lang w:val="en-GB"/>
        </w:rPr>
      </w:pPr>
      <w:r w:rsidRPr="001E4BD2">
        <w:rPr>
          <w:rFonts w:ascii="Times New Roman" w:hAnsi="Times New Roman" w:cs="Times New Roman"/>
          <w:bCs/>
          <w:sz w:val="24"/>
          <w:lang w:val="en-GB"/>
        </w:rPr>
        <w:t>The study concerned adult poultry (36-40 days for broilers and at least 18 months for layers) that were apparently healthy, i.e. without observable pathological signs and which could be sold for human consumption at any time. The agreement of the owner or seller was also decisive for our choice.</w:t>
      </w:r>
    </w:p>
    <w:p w14:paraId="02113F7E" w14:textId="77777777" w:rsidR="00A8330B" w:rsidRPr="001E4BD2" w:rsidRDefault="00A8330B" w:rsidP="00A8330B">
      <w:pPr>
        <w:spacing w:after="0" w:line="360" w:lineRule="auto"/>
        <w:jc w:val="both"/>
        <w:rPr>
          <w:rFonts w:ascii="Times New Roman" w:hAnsi="Times New Roman" w:cs="Times New Roman"/>
          <w:b/>
          <w:bCs/>
          <w:sz w:val="24"/>
          <w:lang w:val="en-GB"/>
        </w:rPr>
      </w:pPr>
      <w:r w:rsidRPr="001E4BD2">
        <w:rPr>
          <w:rFonts w:ascii="Times New Roman" w:hAnsi="Times New Roman" w:cs="Times New Roman"/>
          <w:b/>
          <w:bCs/>
          <w:sz w:val="24"/>
          <w:lang w:val="en-GB"/>
        </w:rPr>
        <w:t xml:space="preserve">Exclusion criteria </w:t>
      </w:r>
    </w:p>
    <w:p w14:paraId="5EC1ECF9" w14:textId="519FE905" w:rsidR="00A8330B" w:rsidRPr="001E4BD2" w:rsidRDefault="00A8330B" w:rsidP="009D006D">
      <w:pPr>
        <w:spacing w:line="360" w:lineRule="auto"/>
        <w:jc w:val="both"/>
        <w:rPr>
          <w:rFonts w:ascii="Times New Roman" w:hAnsi="Times New Roman" w:cs="Times New Roman"/>
          <w:bCs/>
          <w:sz w:val="24"/>
          <w:lang w:val="en-GB"/>
        </w:rPr>
      </w:pPr>
      <w:r w:rsidRPr="001E4BD2">
        <w:rPr>
          <w:rFonts w:ascii="Times New Roman" w:hAnsi="Times New Roman" w:cs="Times New Roman"/>
          <w:bCs/>
          <w:sz w:val="24"/>
          <w:lang w:val="en-GB"/>
        </w:rPr>
        <w:t xml:space="preserve">Farms with broiler poultry less than 36 days old, laying hens and sick poultry, as well as farms undergoing treatment, were not included in the study. Similarly, poultry sellers who refused to participate were excluded from the study. </w:t>
      </w:r>
    </w:p>
    <w:p w14:paraId="60B03FED" w14:textId="53C83A77" w:rsidR="000D5D96" w:rsidRPr="001E4BD2" w:rsidRDefault="000D5D96" w:rsidP="009D006D">
      <w:pPr>
        <w:tabs>
          <w:tab w:val="center" w:pos="4536"/>
        </w:tabs>
        <w:spacing w:after="0" w:line="360" w:lineRule="auto"/>
        <w:jc w:val="both"/>
        <w:rPr>
          <w:rFonts w:ascii="Times New Roman" w:hAnsi="Times New Roman" w:cs="Times New Roman"/>
          <w:b/>
          <w:sz w:val="24"/>
          <w:szCs w:val="24"/>
          <w:lang w:val="en-GB"/>
        </w:rPr>
      </w:pPr>
      <w:r w:rsidRPr="001E4BD2">
        <w:rPr>
          <w:rFonts w:ascii="Times New Roman" w:hAnsi="Times New Roman" w:cs="Times New Roman"/>
          <w:b/>
          <w:sz w:val="24"/>
          <w:szCs w:val="24"/>
          <w:lang w:val="en-GB"/>
        </w:rPr>
        <w:t xml:space="preserve">Biological material </w:t>
      </w:r>
    </w:p>
    <w:p w14:paraId="7B914A8F" w14:textId="0882F82D" w:rsidR="000D5D96" w:rsidRDefault="000D5D96" w:rsidP="006E4359">
      <w:pPr>
        <w:spacing w:line="360" w:lineRule="auto"/>
        <w:jc w:val="both"/>
        <w:rPr>
          <w:rFonts w:ascii="Times New Roman" w:hAnsi="Times New Roman" w:cs="Times New Roman"/>
          <w:bCs/>
          <w:sz w:val="24"/>
          <w:szCs w:val="24"/>
          <w:lang w:val="en-GB"/>
        </w:rPr>
      </w:pPr>
      <w:r w:rsidRPr="001E4BD2">
        <w:rPr>
          <w:rFonts w:ascii="Times New Roman" w:hAnsi="Times New Roman" w:cs="Times New Roman"/>
          <w:bCs/>
          <w:sz w:val="24"/>
          <w:szCs w:val="24"/>
          <w:lang w:val="en-GB"/>
        </w:rPr>
        <w:t xml:space="preserve">The biological material used for bacteria testing is made up of poultry droppings taken from live poultry using sterile cotton swabs. </w:t>
      </w:r>
    </w:p>
    <w:p w14:paraId="2FB75C7B" w14:textId="77777777" w:rsidR="003457E1" w:rsidRPr="00016490" w:rsidRDefault="003457E1" w:rsidP="003457E1">
      <w:pPr>
        <w:rPr>
          <w:rFonts w:ascii="Times New Roman" w:hAnsi="Times New Roman" w:cs="Times New Roman"/>
          <w:sz w:val="24"/>
          <w:szCs w:val="24"/>
          <w:lang w:val="en-US"/>
        </w:rPr>
      </w:pPr>
      <w:r w:rsidRPr="00016490">
        <w:rPr>
          <w:rFonts w:ascii="Times New Roman" w:hAnsi="Times New Roman" w:cs="Times New Roman"/>
          <w:sz w:val="24"/>
          <w:szCs w:val="24"/>
          <w:highlight w:val="yellow"/>
          <w:lang w:val="en-US"/>
        </w:rPr>
        <w:t>Only poultry droppings were taken from poultry in the study</w:t>
      </w:r>
    </w:p>
    <w:p w14:paraId="1F558AB7" w14:textId="77777777" w:rsidR="003457E1" w:rsidRPr="003457E1" w:rsidRDefault="003457E1" w:rsidP="006E4359">
      <w:pPr>
        <w:spacing w:line="360" w:lineRule="auto"/>
        <w:jc w:val="both"/>
        <w:rPr>
          <w:rFonts w:ascii="Times New Roman" w:hAnsi="Times New Roman" w:cs="Times New Roman"/>
          <w:bCs/>
          <w:sz w:val="24"/>
          <w:szCs w:val="24"/>
          <w:lang w:val="en-US"/>
        </w:rPr>
      </w:pPr>
    </w:p>
    <w:p w14:paraId="731FFEA2" w14:textId="41AE603C" w:rsidR="00C45923" w:rsidRPr="001E4BD2" w:rsidRDefault="003919E2" w:rsidP="003919E2">
      <w:pPr>
        <w:spacing w:after="0" w:line="360" w:lineRule="auto"/>
        <w:jc w:val="both"/>
        <w:rPr>
          <w:rFonts w:ascii="Times New Roman" w:hAnsi="Times New Roman" w:cs="Times New Roman"/>
          <w:b/>
          <w:sz w:val="24"/>
          <w:szCs w:val="24"/>
          <w:lang w:val="en-GB"/>
        </w:rPr>
      </w:pPr>
      <w:r w:rsidRPr="001E4BD2">
        <w:rPr>
          <w:rFonts w:ascii="Times New Roman" w:hAnsi="Times New Roman" w:cs="Times New Roman"/>
          <w:b/>
          <w:sz w:val="24"/>
          <w:szCs w:val="24"/>
          <w:lang w:val="en-GB"/>
        </w:rPr>
        <w:lastRenderedPageBreak/>
        <w:t>2.4. Methods</w:t>
      </w:r>
    </w:p>
    <w:p w14:paraId="6D79930E" w14:textId="7F8A73DD" w:rsidR="00337321" w:rsidRDefault="00E020C5" w:rsidP="003919E2">
      <w:pPr>
        <w:spacing w:after="0" w:line="360" w:lineRule="auto"/>
        <w:jc w:val="both"/>
        <w:rPr>
          <w:rFonts w:ascii="Times New Roman" w:hAnsi="Times New Roman" w:cs="Times New Roman"/>
          <w:b/>
          <w:sz w:val="24"/>
          <w:szCs w:val="24"/>
          <w:lang w:val="en-GB"/>
        </w:rPr>
      </w:pPr>
      <w:r w:rsidRPr="001E4BD2">
        <w:rPr>
          <w:rFonts w:ascii="Times New Roman" w:hAnsi="Times New Roman" w:cs="Times New Roman"/>
          <w:b/>
          <w:sz w:val="24"/>
          <w:szCs w:val="24"/>
          <w:lang w:val="en-GB"/>
        </w:rPr>
        <w:t>Sampl</w:t>
      </w:r>
      <w:r w:rsidR="00337321">
        <w:rPr>
          <w:rFonts w:ascii="Times New Roman" w:hAnsi="Times New Roman" w:cs="Times New Roman"/>
          <w:b/>
          <w:sz w:val="24"/>
          <w:szCs w:val="24"/>
          <w:lang w:val="en-GB"/>
        </w:rPr>
        <w:t>ing</w:t>
      </w:r>
    </w:p>
    <w:p w14:paraId="62F2B292" w14:textId="6EA0E6D1" w:rsidR="00337321" w:rsidRDefault="00337321" w:rsidP="003919E2">
      <w:pPr>
        <w:spacing w:after="0" w:line="360" w:lineRule="auto"/>
        <w:jc w:val="both"/>
        <w:rPr>
          <w:rFonts w:ascii="Times New Roman" w:hAnsi="Times New Roman" w:cs="Times New Roman"/>
          <w:bCs/>
          <w:sz w:val="24"/>
          <w:szCs w:val="24"/>
          <w:lang w:val="en-GB"/>
        </w:rPr>
      </w:pPr>
      <w:r w:rsidRPr="00216A48">
        <w:rPr>
          <w:rFonts w:ascii="Times New Roman" w:hAnsi="Times New Roman" w:cs="Times New Roman"/>
          <w:bCs/>
          <w:sz w:val="24"/>
          <w:szCs w:val="24"/>
          <w:lang w:val="en-GB"/>
        </w:rPr>
        <w:t xml:space="preserve">Sampling was carried out randomly at the different sampling sites. For the </w:t>
      </w:r>
      <w:r>
        <w:rPr>
          <w:rFonts w:ascii="Times New Roman" w:hAnsi="Times New Roman" w:cs="Times New Roman"/>
          <w:bCs/>
          <w:sz w:val="24"/>
          <w:szCs w:val="24"/>
          <w:lang w:val="en-GB"/>
        </w:rPr>
        <w:t>municipalit</w:t>
      </w:r>
      <w:r w:rsidRPr="00216A48">
        <w:rPr>
          <w:rFonts w:ascii="Times New Roman" w:hAnsi="Times New Roman" w:cs="Times New Roman"/>
          <w:bCs/>
          <w:sz w:val="24"/>
          <w:szCs w:val="24"/>
          <w:lang w:val="en-GB"/>
        </w:rPr>
        <w:t xml:space="preserve">ies of </w:t>
      </w:r>
      <w:proofErr w:type="spellStart"/>
      <w:r w:rsidRPr="00216A48">
        <w:rPr>
          <w:rFonts w:ascii="Times New Roman" w:hAnsi="Times New Roman" w:cs="Times New Roman"/>
          <w:bCs/>
          <w:sz w:val="24"/>
          <w:szCs w:val="24"/>
          <w:lang w:val="en-GB"/>
        </w:rPr>
        <w:t>Yopougon</w:t>
      </w:r>
      <w:proofErr w:type="spellEnd"/>
      <w:r w:rsidRPr="00216A48">
        <w:rPr>
          <w:rFonts w:ascii="Times New Roman" w:hAnsi="Times New Roman" w:cs="Times New Roman"/>
          <w:bCs/>
          <w:sz w:val="24"/>
          <w:szCs w:val="24"/>
          <w:lang w:val="en-GB"/>
        </w:rPr>
        <w:t xml:space="preserve"> and </w:t>
      </w:r>
      <w:proofErr w:type="spellStart"/>
      <w:r w:rsidRPr="00216A48">
        <w:rPr>
          <w:rFonts w:ascii="Times New Roman" w:hAnsi="Times New Roman" w:cs="Times New Roman"/>
          <w:bCs/>
          <w:sz w:val="24"/>
          <w:szCs w:val="24"/>
          <w:lang w:val="en-GB"/>
        </w:rPr>
        <w:t>Bingerville</w:t>
      </w:r>
      <w:proofErr w:type="spellEnd"/>
      <w:r w:rsidRPr="00216A48">
        <w:rPr>
          <w:rFonts w:ascii="Times New Roman" w:hAnsi="Times New Roman" w:cs="Times New Roman"/>
          <w:bCs/>
          <w:sz w:val="24"/>
          <w:szCs w:val="24"/>
          <w:lang w:val="en-GB"/>
        </w:rPr>
        <w:t xml:space="preserve">, sampling was carried out on poultry farms and for the </w:t>
      </w:r>
      <w:r w:rsidR="001D1070">
        <w:rPr>
          <w:rFonts w:ascii="Times New Roman" w:hAnsi="Times New Roman" w:cs="Times New Roman"/>
          <w:bCs/>
          <w:sz w:val="24"/>
          <w:szCs w:val="24"/>
          <w:lang w:val="en-GB"/>
        </w:rPr>
        <w:t>municipality</w:t>
      </w:r>
      <w:r w:rsidRPr="00216A48">
        <w:rPr>
          <w:rFonts w:ascii="Times New Roman" w:hAnsi="Times New Roman" w:cs="Times New Roman"/>
          <w:bCs/>
          <w:sz w:val="24"/>
          <w:szCs w:val="24"/>
          <w:lang w:val="en-GB"/>
        </w:rPr>
        <w:t xml:space="preserve"> of </w:t>
      </w:r>
      <w:proofErr w:type="spellStart"/>
      <w:r w:rsidRPr="00216A48">
        <w:rPr>
          <w:rFonts w:ascii="Times New Roman" w:hAnsi="Times New Roman" w:cs="Times New Roman"/>
          <w:bCs/>
          <w:sz w:val="24"/>
          <w:szCs w:val="24"/>
          <w:lang w:val="en-GB"/>
        </w:rPr>
        <w:t>Cocody</w:t>
      </w:r>
      <w:proofErr w:type="spellEnd"/>
      <w:r w:rsidRPr="00216A48">
        <w:rPr>
          <w:rFonts w:ascii="Times New Roman" w:hAnsi="Times New Roman" w:cs="Times New Roman"/>
          <w:bCs/>
          <w:sz w:val="24"/>
          <w:szCs w:val="24"/>
          <w:lang w:val="en-GB"/>
        </w:rPr>
        <w:t>, it was carried out on poultry markets. The sample size was calculated according to the Schwartz formula</w:t>
      </w:r>
      <w:r>
        <w:rPr>
          <w:rFonts w:ascii="Times New Roman" w:hAnsi="Times New Roman" w:cs="Times New Roman"/>
          <w:bCs/>
          <w:sz w:val="24"/>
          <w:szCs w:val="24"/>
          <w:lang w:val="en-GB"/>
        </w:rPr>
        <w:t xml:space="preserve"> </w:t>
      </w:r>
      <w:r>
        <w:rPr>
          <w:rFonts w:ascii="Times New Roman" w:hAnsi="Times New Roman" w:cs="Times New Roman"/>
          <w:bCs/>
          <w:sz w:val="24"/>
          <w:szCs w:val="24"/>
          <w:lang w:val="en-GB"/>
        </w:rPr>
        <w:fldChar w:fldCharType="begin"/>
      </w:r>
      <w:r w:rsidR="00A97D1E">
        <w:rPr>
          <w:rFonts w:ascii="Times New Roman" w:hAnsi="Times New Roman" w:cs="Times New Roman"/>
          <w:bCs/>
          <w:sz w:val="24"/>
          <w:szCs w:val="24"/>
          <w:lang w:val="en-GB"/>
        </w:rPr>
        <w:instrText xml:space="preserve"> ADDIN ZOTERO_ITEM CSL_CITATION {"citationID":"u4mjwUVS","properties":{"formattedCitation":"(Pourhoseingholi et al., 2013)","plainCitation":"(Pourhoseingholi et al., 2013)","noteIndex":0},"citationItems":[{"id":"eOExoX4T/VibtJaGT","uris":["http://zotero.org/users/5470682/items/G6FFSZKG"],"itemData":{"id":2899,"type":"article-journal","abstract":"Optimum sample size is an essential component of any research. The main purpose of the sample size calculation is to determine the number of samples needed to detect significant changes in clinical parameters, treatment effects or associations after data gathering. It is not uncommon for studies to be underpowered and thereby fail to detect the existing treatment effects due to inadequate sample size. In this paper, we explain briefly the basic principles of sample size calculations in medical studies.","container-title":"Gastroenterology and Hepatology From Bed to Bench","ISSN":"2008-2258","issue":"1","journalAbbreviation":"Gastroenterol Hepatol Bed Bench","note":"PMID: 24834239\nPMCID: PMC4017493","page":"14-17","source":"PubMed Central","title":"Sample size calculation in medical studies","volume":"6","author":[{"family":"Pourhoseingholi","given":"Mohamad Amin"},{"family":"Vahedi","given":"Mohsen"},{"family":"Rahimzadeh","given":"Mitra"}],"issued":{"date-parts":[["2013"]]}}}],"schema":"https://github.com/citation-style-language/schema/raw/master/csl-citation.json"} </w:instrText>
      </w:r>
      <w:r>
        <w:rPr>
          <w:rFonts w:ascii="Times New Roman" w:hAnsi="Times New Roman" w:cs="Times New Roman"/>
          <w:bCs/>
          <w:sz w:val="24"/>
          <w:szCs w:val="24"/>
          <w:lang w:val="en-GB"/>
        </w:rPr>
        <w:fldChar w:fldCharType="separate"/>
      </w:r>
      <w:r w:rsidRPr="00337321">
        <w:rPr>
          <w:rFonts w:ascii="Times New Roman" w:hAnsi="Times New Roman" w:cs="Times New Roman"/>
          <w:sz w:val="24"/>
          <w:lang w:val="en-GB"/>
        </w:rPr>
        <w:t>(Pourhoseingholi et al., 2013)</w:t>
      </w:r>
      <w:r>
        <w:rPr>
          <w:rFonts w:ascii="Times New Roman" w:hAnsi="Times New Roman" w:cs="Times New Roman"/>
          <w:bCs/>
          <w:sz w:val="24"/>
          <w:szCs w:val="24"/>
          <w:lang w:val="en-GB"/>
        </w:rPr>
        <w:fldChar w:fldCharType="end"/>
      </w:r>
    </w:p>
    <w:p w14:paraId="50996102" w14:textId="77777777" w:rsidR="006A3E11" w:rsidRPr="006A3E11" w:rsidRDefault="006A3E11" w:rsidP="006A3E11">
      <w:pPr>
        <w:spacing w:line="360" w:lineRule="auto"/>
        <w:jc w:val="both"/>
        <w:rPr>
          <w:rFonts w:ascii="Times New Roman" w:hAnsi="Times New Roman" w:cs="Times New Roman"/>
          <w:sz w:val="24"/>
          <w:szCs w:val="24"/>
          <w:lang w:val="en-US"/>
        </w:rPr>
      </w:pPr>
      <w:r w:rsidRPr="008B0A17">
        <w:rPr>
          <w:rFonts w:ascii="Times New Roman" w:hAnsi="Times New Roman" w:cs="Times New Roman"/>
          <w:sz w:val="24"/>
          <w:szCs w:val="24"/>
          <w:highlight w:val="yellow"/>
          <w:lang w:val="en-US"/>
        </w:rPr>
        <w:t xml:space="preserve">Sampling was carried out different sites selected. For cities of </w:t>
      </w:r>
      <w:proofErr w:type="spellStart"/>
      <w:r w:rsidRPr="008B0A17">
        <w:rPr>
          <w:rFonts w:ascii="Times New Roman" w:hAnsi="Times New Roman" w:cs="Times New Roman"/>
          <w:sz w:val="24"/>
          <w:szCs w:val="24"/>
          <w:highlight w:val="yellow"/>
          <w:lang w:val="en-US"/>
        </w:rPr>
        <w:t>Yopougon</w:t>
      </w:r>
      <w:proofErr w:type="spellEnd"/>
      <w:r w:rsidRPr="008B0A17">
        <w:rPr>
          <w:rFonts w:ascii="Times New Roman" w:hAnsi="Times New Roman" w:cs="Times New Roman"/>
          <w:sz w:val="24"/>
          <w:szCs w:val="24"/>
          <w:highlight w:val="yellow"/>
          <w:lang w:val="en-US"/>
        </w:rPr>
        <w:t xml:space="preserve"> and </w:t>
      </w:r>
      <w:proofErr w:type="spellStart"/>
      <w:r w:rsidRPr="008B0A17">
        <w:rPr>
          <w:rFonts w:ascii="Times New Roman" w:hAnsi="Times New Roman" w:cs="Times New Roman"/>
          <w:sz w:val="24"/>
          <w:szCs w:val="24"/>
          <w:highlight w:val="yellow"/>
          <w:lang w:val="en-US"/>
        </w:rPr>
        <w:t>Bingerville</w:t>
      </w:r>
      <w:proofErr w:type="spellEnd"/>
      <w:r w:rsidRPr="008B0A17">
        <w:rPr>
          <w:rFonts w:ascii="Times New Roman" w:hAnsi="Times New Roman" w:cs="Times New Roman"/>
          <w:sz w:val="24"/>
          <w:szCs w:val="24"/>
          <w:highlight w:val="yellow"/>
          <w:lang w:val="en-US"/>
        </w:rPr>
        <w:t xml:space="preserve">, sampling was carried out on poultry farms and for the city of </w:t>
      </w:r>
      <w:proofErr w:type="spellStart"/>
      <w:r w:rsidRPr="008B0A17">
        <w:rPr>
          <w:rFonts w:ascii="Times New Roman" w:hAnsi="Times New Roman" w:cs="Times New Roman"/>
          <w:sz w:val="24"/>
          <w:szCs w:val="24"/>
          <w:highlight w:val="yellow"/>
          <w:lang w:val="en-US"/>
        </w:rPr>
        <w:t>Cocody</w:t>
      </w:r>
      <w:proofErr w:type="spellEnd"/>
      <w:r w:rsidRPr="008B0A17">
        <w:rPr>
          <w:rFonts w:ascii="Times New Roman" w:hAnsi="Times New Roman" w:cs="Times New Roman"/>
          <w:sz w:val="24"/>
          <w:szCs w:val="24"/>
          <w:highlight w:val="yellow"/>
          <w:lang w:val="en-US"/>
        </w:rPr>
        <w:t xml:space="preserve"> on poultry wet-market. Samples size was calculated according to the Schwartz formula (</w:t>
      </w:r>
      <w:proofErr w:type="spellStart"/>
      <w:r w:rsidRPr="008B0A17">
        <w:rPr>
          <w:rFonts w:ascii="Times New Roman" w:hAnsi="Times New Roman" w:cs="Times New Roman"/>
          <w:sz w:val="24"/>
          <w:szCs w:val="24"/>
          <w:highlight w:val="yellow"/>
          <w:lang w:val="en-US"/>
        </w:rPr>
        <w:t>Pourhoseingholi</w:t>
      </w:r>
      <w:proofErr w:type="spellEnd"/>
      <w:r w:rsidRPr="008B0A17">
        <w:rPr>
          <w:rFonts w:ascii="Times New Roman" w:hAnsi="Times New Roman" w:cs="Times New Roman"/>
          <w:sz w:val="24"/>
          <w:szCs w:val="24"/>
          <w:highlight w:val="yellow"/>
          <w:lang w:val="en-US"/>
        </w:rPr>
        <w:t xml:space="preserve"> and al., 2013)</w:t>
      </w:r>
    </w:p>
    <w:p w14:paraId="6B87B78C" w14:textId="77777777" w:rsidR="006A3E11" w:rsidRPr="006A3E11" w:rsidRDefault="006A3E11" w:rsidP="003919E2">
      <w:pPr>
        <w:spacing w:after="0" w:line="360" w:lineRule="auto"/>
        <w:jc w:val="both"/>
        <w:rPr>
          <w:rFonts w:ascii="Times New Roman" w:hAnsi="Times New Roman" w:cs="Times New Roman"/>
          <w:b/>
          <w:sz w:val="24"/>
          <w:szCs w:val="24"/>
          <w:lang w:val="en-US"/>
        </w:rPr>
      </w:pPr>
    </w:p>
    <w:p w14:paraId="77FA18E6" w14:textId="2B1B35C7" w:rsidR="00183EF4" w:rsidRPr="001E4BD2" w:rsidRDefault="00183EF4" w:rsidP="00183EF4">
      <w:pPr>
        <w:spacing w:before="240" w:after="0" w:line="360" w:lineRule="auto"/>
        <w:jc w:val="both"/>
        <w:rPr>
          <w:rFonts w:ascii="Times New Roman" w:hAnsi="Times New Roman" w:cs="Times New Roman"/>
          <w:b/>
          <w:sz w:val="24"/>
          <w:szCs w:val="24"/>
          <w:lang w:val="en-GB"/>
        </w:rPr>
      </w:pPr>
      <w:r w:rsidRPr="001E4BD2">
        <w:rPr>
          <w:rFonts w:ascii="Times New Roman" w:hAnsi="Times New Roman" w:cs="Times New Roman"/>
          <w:b/>
          <w:sz w:val="24"/>
          <w:szCs w:val="24"/>
          <w:lang w:val="en-GB"/>
        </w:rPr>
        <w:t>Sample collection</w:t>
      </w:r>
    </w:p>
    <w:p w14:paraId="320A4EA7" w14:textId="681F1BC0" w:rsidR="00183EF4" w:rsidRPr="009F562D" w:rsidRDefault="004D4FD8" w:rsidP="00B62B4C">
      <w:pPr>
        <w:spacing w:line="360" w:lineRule="auto"/>
        <w:jc w:val="both"/>
        <w:rPr>
          <w:rFonts w:ascii="Times New Roman" w:hAnsi="Times New Roman" w:cs="Times New Roman"/>
          <w:bCs/>
          <w:sz w:val="24"/>
          <w:szCs w:val="24"/>
          <w:lang w:val="en-GB"/>
        </w:rPr>
      </w:pPr>
      <w:r w:rsidRPr="009F562D">
        <w:rPr>
          <w:rFonts w:ascii="Times New Roman" w:hAnsi="Times New Roman" w:cs="Times New Roman"/>
          <w:bCs/>
          <w:sz w:val="24"/>
          <w:lang w:val="en-GB"/>
        </w:rPr>
        <w:t xml:space="preserve">Sample collection was designed as follows: </w:t>
      </w:r>
      <w:r w:rsidR="003457E9" w:rsidRPr="009F562D">
        <w:rPr>
          <w:rFonts w:ascii="Times New Roman" w:hAnsi="Times New Roman" w:cs="Times New Roman"/>
          <w:bCs/>
          <w:sz w:val="24"/>
          <w:lang w:val="en-GB"/>
        </w:rPr>
        <w:t xml:space="preserve">At each collection site </w:t>
      </w:r>
      <w:r w:rsidR="007F756E" w:rsidRPr="009F562D">
        <w:rPr>
          <w:rFonts w:ascii="Times New Roman" w:hAnsi="Times New Roman" w:cs="Times New Roman"/>
          <w:bCs/>
          <w:sz w:val="24"/>
          <w:lang w:val="en-GB"/>
        </w:rPr>
        <w:t>visited,</w:t>
      </w:r>
      <w:r w:rsidR="003457E9" w:rsidRPr="009F562D">
        <w:rPr>
          <w:rFonts w:ascii="Times New Roman" w:hAnsi="Times New Roman" w:cs="Times New Roman"/>
          <w:bCs/>
          <w:sz w:val="24"/>
          <w:lang w:val="en-GB"/>
        </w:rPr>
        <w:t xml:space="preserve"> </w:t>
      </w:r>
      <w:r w:rsidR="007F756E" w:rsidRPr="009F562D">
        <w:rPr>
          <w:rFonts w:ascii="Times New Roman" w:hAnsi="Times New Roman" w:cs="Times New Roman"/>
          <w:bCs/>
          <w:sz w:val="24"/>
          <w:lang w:val="en-GB"/>
        </w:rPr>
        <w:t>t</w:t>
      </w:r>
      <w:r w:rsidR="003457E9" w:rsidRPr="009F562D">
        <w:rPr>
          <w:rFonts w:ascii="Times New Roman" w:hAnsi="Times New Roman" w:cs="Times New Roman"/>
          <w:bCs/>
          <w:sz w:val="24"/>
          <w:lang w:val="en-GB"/>
        </w:rPr>
        <w:t>he objectives of this study had to be explained in order to obtain the agreement of the poultry owner</w:t>
      </w:r>
      <w:r w:rsidR="007F756E" w:rsidRPr="009F562D">
        <w:rPr>
          <w:rFonts w:ascii="Times New Roman" w:hAnsi="Times New Roman" w:cs="Times New Roman"/>
          <w:bCs/>
          <w:sz w:val="24"/>
          <w:lang w:val="en-GB"/>
        </w:rPr>
        <w:t xml:space="preserve"> farmer</w:t>
      </w:r>
      <w:r w:rsidR="003457E9" w:rsidRPr="009F562D">
        <w:rPr>
          <w:rFonts w:ascii="Times New Roman" w:hAnsi="Times New Roman" w:cs="Times New Roman"/>
          <w:bCs/>
          <w:sz w:val="24"/>
          <w:lang w:val="en-GB"/>
        </w:rPr>
        <w:t xml:space="preserve"> or sellers to participate in the study</w:t>
      </w:r>
      <w:r w:rsidR="007E36D6" w:rsidRPr="009F562D">
        <w:rPr>
          <w:rFonts w:ascii="Times New Roman" w:hAnsi="Times New Roman" w:cs="Times New Roman"/>
          <w:bCs/>
          <w:sz w:val="24"/>
          <w:lang w:val="en-GB"/>
        </w:rPr>
        <w:t xml:space="preserve"> before sampling</w:t>
      </w:r>
      <w:r w:rsidR="003457E9" w:rsidRPr="009F562D">
        <w:rPr>
          <w:rFonts w:ascii="Times New Roman" w:hAnsi="Times New Roman" w:cs="Times New Roman"/>
          <w:bCs/>
          <w:sz w:val="24"/>
          <w:lang w:val="en-GB"/>
        </w:rPr>
        <w:t>. At each visit</w:t>
      </w:r>
      <w:r w:rsidR="007E36D6" w:rsidRPr="009F562D">
        <w:rPr>
          <w:rFonts w:ascii="Times New Roman" w:hAnsi="Times New Roman" w:cs="Times New Roman"/>
          <w:bCs/>
          <w:sz w:val="24"/>
          <w:lang w:val="en-GB"/>
        </w:rPr>
        <w:t xml:space="preserve"> </w:t>
      </w:r>
      <w:r w:rsidR="00FC3514" w:rsidRPr="009F562D">
        <w:rPr>
          <w:rFonts w:ascii="Times New Roman" w:hAnsi="Times New Roman" w:cs="Times New Roman"/>
          <w:bCs/>
          <w:sz w:val="24"/>
          <w:lang w:val="en-GB"/>
        </w:rPr>
        <w:t>T</w:t>
      </w:r>
      <w:r w:rsidR="007E36D6" w:rsidRPr="009F562D">
        <w:rPr>
          <w:rFonts w:ascii="Times New Roman" w:hAnsi="Times New Roman" w:cs="Times New Roman"/>
          <w:bCs/>
          <w:sz w:val="24"/>
          <w:lang w:val="en-GB"/>
        </w:rPr>
        <w:t>hen</w:t>
      </w:r>
      <w:r w:rsidR="003457E9" w:rsidRPr="009F562D">
        <w:rPr>
          <w:rFonts w:ascii="Times New Roman" w:hAnsi="Times New Roman" w:cs="Times New Roman"/>
          <w:bCs/>
          <w:sz w:val="24"/>
          <w:lang w:val="en-GB"/>
        </w:rPr>
        <w:t xml:space="preserve">, </w:t>
      </w:r>
      <w:r w:rsidR="00BD43F6" w:rsidRPr="009F562D">
        <w:rPr>
          <w:rFonts w:ascii="Times New Roman" w:hAnsi="Times New Roman" w:cs="Times New Roman"/>
          <w:bCs/>
          <w:sz w:val="24"/>
          <w:szCs w:val="24"/>
          <w:lang w:val="en-GB"/>
        </w:rPr>
        <w:t>5</w:t>
      </w:r>
      <w:r w:rsidR="00FC3514" w:rsidRPr="009F562D">
        <w:rPr>
          <w:rFonts w:ascii="Times New Roman" w:hAnsi="Times New Roman" w:cs="Times New Roman"/>
          <w:bCs/>
          <w:sz w:val="24"/>
          <w:szCs w:val="24"/>
          <w:lang w:val="en-GB"/>
        </w:rPr>
        <w:t xml:space="preserve"> five</w:t>
      </w:r>
      <w:r w:rsidR="00BD43F6" w:rsidRPr="009F562D">
        <w:rPr>
          <w:rFonts w:ascii="Times New Roman" w:hAnsi="Times New Roman" w:cs="Times New Roman"/>
          <w:bCs/>
          <w:sz w:val="24"/>
          <w:szCs w:val="24"/>
          <w:lang w:val="en-GB"/>
        </w:rPr>
        <w:t xml:space="preserve"> live poultry </w:t>
      </w:r>
      <w:r w:rsidR="002A6FE7" w:rsidRPr="009F562D">
        <w:rPr>
          <w:rFonts w:ascii="Times New Roman" w:hAnsi="Times New Roman" w:cs="Times New Roman"/>
          <w:bCs/>
          <w:sz w:val="24"/>
          <w:szCs w:val="24"/>
          <w:lang w:val="en-GB"/>
        </w:rPr>
        <w:t xml:space="preserve">specimens collected on farming site or wet-market. </w:t>
      </w:r>
      <w:r w:rsidR="00BD43F6" w:rsidRPr="009F562D">
        <w:rPr>
          <w:rFonts w:ascii="Times New Roman" w:hAnsi="Times New Roman" w:cs="Times New Roman"/>
          <w:bCs/>
          <w:sz w:val="24"/>
          <w:szCs w:val="24"/>
          <w:lang w:val="en-GB"/>
        </w:rPr>
        <w:t xml:space="preserve">were bought as part of the study either from the farmers or from the market vendors and collected. With the help of a sterile swab inserted into the cloaca, a circular movement is exerted on the cloacal wall in order to collect faecal matter. The swab covered with </w:t>
      </w:r>
      <w:proofErr w:type="spellStart"/>
      <w:r w:rsidR="00BD43F6" w:rsidRPr="009F562D">
        <w:rPr>
          <w:rFonts w:ascii="Times New Roman" w:hAnsi="Times New Roman" w:cs="Times New Roman"/>
          <w:bCs/>
          <w:sz w:val="24"/>
          <w:szCs w:val="24"/>
          <w:lang w:val="en-GB"/>
        </w:rPr>
        <w:t>fecal</w:t>
      </w:r>
      <w:proofErr w:type="spellEnd"/>
      <w:r w:rsidR="00BD43F6" w:rsidRPr="009F562D">
        <w:rPr>
          <w:rFonts w:ascii="Times New Roman" w:hAnsi="Times New Roman" w:cs="Times New Roman"/>
          <w:bCs/>
          <w:sz w:val="24"/>
          <w:szCs w:val="24"/>
          <w:lang w:val="en-GB"/>
        </w:rPr>
        <w:t xml:space="preserve"> matter is then </w:t>
      </w:r>
      <w:r w:rsidR="00DA20F8" w:rsidRPr="009F562D">
        <w:rPr>
          <w:rFonts w:ascii="Times New Roman" w:hAnsi="Times New Roman" w:cs="Times New Roman"/>
          <w:sz w:val="24"/>
          <w:szCs w:val="24"/>
          <w:lang w:val="en-US"/>
        </w:rPr>
        <w:t>discharged into 2 mL of sterile buffered peptone water (BPW)</w:t>
      </w:r>
      <w:r w:rsidR="00DA20F8" w:rsidRPr="009F562D">
        <w:rPr>
          <w:rFonts w:ascii="Times New Roman" w:hAnsi="Times New Roman" w:cs="Times New Roman"/>
          <w:sz w:val="24"/>
          <w:szCs w:val="24"/>
          <w:lang w:val="en-US"/>
        </w:rPr>
        <w:t xml:space="preserve"> </w:t>
      </w:r>
      <w:r w:rsidR="00BD43F6" w:rsidRPr="009F562D">
        <w:rPr>
          <w:rFonts w:ascii="Times New Roman" w:hAnsi="Times New Roman" w:cs="Times New Roman"/>
          <w:bCs/>
          <w:sz w:val="24"/>
          <w:szCs w:val="24"/>
          <w:lang w:val="en-GB"/>
        </w:rPr>
        <w:t xml:space="preserve">removed from the vent and placed in a tube containing approximately 2 mL of sterile buffered peptone water (BPW). </w:t>
      </w:r>
      <w:r w:rsidR="00A3550E" w:rsidRPr="009F562D">
        <w:rPr>
          <w:rFonts w:ascii="Times New Roman" w:hAnsi="Times New Roman" w:cs="Times New Roman"/>
          <w:bCs/>
          <w:sz w:val="24"/>
          <w:szCs w:val="24"/>
          <w:lang w:val="en-GB"/>
        </w:rPr>
        <w:t>F</w:t>
      </w:r>
      <w:proofErr w:type="spellStart"/>
      <w:r w:rsidR="00A3550E" w:rsidRPr="009F562D">
        <w:rPr>
          <w:rFonts w:ascii="Times New Roman" w:hAnsi="Times New Roman" w:cs="Times New Roman"/>
          <w:sz w:val="24"/>
          <w:szCs w:val="24"/>
          <w:lang w:val="en-US"/>
        </w:rPr>
        <w:t>inally</w:t>
      </w:r>
      <w:proofErr w:type="spellEnd"/>
      <w:r w:rsidR="00A3550E" w:rsidRPr="009F562D">
        <w:rPr>
          <w:rFonts w:ascii="Times New Roman" w:hAnsi="Times New Roman" w:cs="Times New Roman"/>
          <w:sz w:val="24"/>
          <w:szCs w:val="24"/>
          <w:lang w:val="en-US"/>
        </w:rPr>
        <w:t xml:space="preserve">, tubes were kept at 4°C and sent to the reference </w:t>
      </w:r>
      <w:proofErr w:type="spellStart"/>
      <w:r w:rsidR="00BD05D3" w:rsidRPr="009F562D">
        <w:rPr>
          <w:rFonts w:ascii="Times New Roman" w:hAnsi="Times New Roman" w:cs="Times New Roman"/>
          <w:color w:val="202020"/>
          <w:sz w:val="24"/>
          <w:szCs w:val="23"/>
          <w:lang w:val="en-GB"/>
        </w:rPr>
        <w:t>Center</w:t>
      </w:r>
      <w:proofErr w:type="spellEnd"/>
      <w:r w:rsidR="00BD05D3" w:rsidRPr="009F562D">
        <w:rPr>
          <w:rFonts w:ascii="Times New Roman" w:hAnsi="Times New Roman" w:cs="Times New Roman"/>
          <w:color w:val="202020"/>
          <w:sz w:val="24"/>
          <w:szCs w:val="23"/>
          <w:lang w:val="en-GB"/>
        </w:rPr>
        <w:t xml:space="preserve"> for Antimicrobial Resistance (CNR-RAM) </w:t>
      </w:r>
      <w:r w:rsidR="00A3550E" w:rsidRPr="009F562D">
        <w:rPr>
          <w:rFonts w:ascii="Times New Roman" w:hAnsi="Times New Roman" w:cs="Times New Roman"/>
          <w:sz w:val="24"/>
          <w:szCs w:val="24"/>
          <w:lang w:val="en-US"/>
        </w:rPr>
        <w:t xml:space="preserve">at </w:t>
      </w:r>
      <w:proofErr w:type="spellStart"/>
      <w:r w:rsidR="00A3550E" w:rsidRPr="009F562D">
        <w:rPr>
          <w:rFonts w:ascii="Times New Roman" w:hAnsi="Times New Roman" w:cs="Times New Roman"/>
          <w:sz w:val="24"/>
          <w:szCs w:val="24"/>
          <w:lang w:val="en-US"/>
        </w:rPr>
        <w:t>Institut</w:t>
      </w:r>
      <w:proofErr w:type="spellEnd"/>
      <w:r w:rsidR="00A3550E" w:rsidRPr="009F562D">
        <w:rPr>
          <w:rFonts w:ascii="Times New Roman" w:hAnsi="Times New Roman" w:cs="Times New Roman"/>
          <w:sz w:val="24"/>
          <w:szCs w:val="24"/>
          <w:lang w:val="en-US"/>
        </w:rPr>
        <w:t xml:space="preserve"> Pasteur of Côte d’Ivoire for analyses</w:t>
      </w:r>
      <w:r w:rsidR="005245EE">
        <w:rPr>
          <w:rFonts w:ascii="Times New Roman" w:hAnsi="Times New Roman" w:cs="Times New Roman"/>
          <w:bCs/>
          <w:sz w:val="24"/>
          <w:szCs w:val="24"/>
          <w:lang w:val="en-GB"/>
        </w:rPr>
        <w:t>. T</w:t>
      </w:r>
      <w:r w:rsidR="005245EE" w:rsidRPr="009F562D">
        <w:rPr>
          <w:rFonts w:ascii="Times New Roman" w:hAnsi="Times New Roman" w:cs="Times New Roman"/>
          <w:bCs/>
          <w:sz w:val="24"/>
          <w:szCs w:val="24"/>
          <w:lang w:val="en-GB"/>
        </w:rPr>
        <w:t>he</w:t>
      </w:r>
      <w:r w:rsidR="00BD43F6" w:rsidRPr="009F562D">
        <w:rPr>
          <w:rFonts w:ascii="Times New Roman" w:hAnsi="Times New Roman" w:cs="Times New Roman"/>
          <w:bCs/>
          <w:sz w:val="24"/>
          <w:szCs w:val="24"/>
          <w:lang w:val="en-GB"/>
        </w:rPr>
        <w:t xml:space="preserve"> tubes were immediately placed in a cooler containing cold accumulators and then transported to the laboratory of </w:t>
      </w:r>
      <w:r w:rsidR="00126D69" w:rsidRPr="009F562D">
        <w:rPr>
          <w:rFonts w:ascii="Times New Roman" w:hAnsi="Times New Roman" w:cs="Times New Roman"/>
          <w:color w:val="202020"/>
          <w:sz w:val="24"/>
          <w:szCs w:val="23"/>
          <w:lang w:val="en-GB"/>
        </w:rPr>
        <w:t xml:space="preserve">the National Reference </w:t>
      </w:r>
      <w:proofErr w:type="spellStart"/>
      <w:r w:rsidR="00126D69" w:rsidRPr="009F562D">
        <w:rPr>
          <w:rFonts w:ascii="Times New Roman" w:hAnsi="Times New Roman" w:cs="Times New Roman"/>
          <w:color w:val="202020"/>
          <w:sz w:val="24"/>
          <w:szCs w:val="23"/>
          <w:lang w:val="en-GB"/>
        </w:rPr>
        <w:t>Center</w:t>
      </w:r>
      <w:proofErr w:type="spellEnd"/>
      <w:r w:rsidR="00126D69" w:rsidRPr="009F562D">
        <w:rPr>
          <w:rFonts w:ascii="Times New Roman" w:hAnsi="Times New Roman" w:cs="Times New Roman"/>
          <w:color w:val="202020"/>
          <w:sz w:val="24"/>
          <w:szCs w:val="23"/>
          <w:lang w:val="en-GB"/>
        </w:rPr>
        <w:t xml:space="preserve"> for Antimicrobial Resistance (CNR-RAM) </w:t>
      </w:r>
      <w:r w:rsidR="00457DB3" w:rsidRPr="009F562D">
        <w:rPr>
          <w:rFonts w:ascii="Times New Roman" w:hAnsi="Times New Roman" w:cs="Times New Roman"/>
          <w:bCs/>
          <w:sz w:val="24"/>
          <w:szCs w:val="24"/>
          <w:lang w:val="en-GB"/>
        </w:rPr>
        <w:t xml:space="preserve">at the </w:t>
      </w:r>
      <w:proofErr w:type="spellStart"/>
      <w:r w:rsidR="00457DB3" w:rsidRPr="009F562D">
        <w:rPr>
          <w:rFonts w:ascii="Times New Roman" w:hAnsi="Times New Roman" w:cs="Times New Roman"/>
          <w:bCs/>
          <w:sz w:val="24"/>
          <w:szCs w:val="24"/>
          <w:lang w:val="en-GB"/>
        </w:rPr>
        <w:t>Institut</w:t>
      </w:r>
      <w:proofErr w:type="spellEnd"/>
      <w:r w:rsidR="00457DB3" w:rsidRPr="009F562D">
        <w:rPr>
          <w:rFonts w:ascii="Times New Roman" w:hAnsi="Times New Roman" w:cs="Times New Roman"/>
          <w:bCs/>
          <w:sz w:val="24"/>
          <w:szCs w:val="24"/>
          <w:lang w:val="en-GB"/>
        </w:rPr>
        <w:t xml:space="preserve"> Pasteur de Côte d'Ivoire (</w:t>
      </w:r>
      <w:proofErr w:type="spellStart"/>
      <w:r w:rsidR="00457DB3" w:rsidRPr="009F562D">
        <w:rPr>
          <w:rFonts w:ascii="Times New Roman" w:hAnsi="Times New Roman" w:cs="Times New Roman"/>
          <w:bCs/>
          <w:sz w:val="24"/>
          <w:szCs w:val="24"/>
          <w:lang w:val="en-GB"/>
        </w:rPr>
        <w:t>Adiopodoumé</w:t>
      </w:r>
      <w:proofErr w:type="spellEnd"/>
      <w:r w:rsidR="00457DB3" w:rsidRPr="009F562D">
        <w:rPr>
          <w:rFonts w:ascii="Times New Roman" w:hAnsi="Times New Roman" w:cs="Times New Roman"/>
          <w:bCs/>
          <w:sz w:val="24"/>
          <w:szCs w:val="24"/>
          <w:lang w:val="en-GB"/>
        </w:rPr>
        <w:t xml:space="preserve"> site) without breaking the cold chain. </w:t>
      </w:r>
      <w:proofErr w:type="spellStart"/>
      <w:r w:rsidR="00457DB3" w:rsidRPr="009F562D">
        <w:rPr>
          <w:rFonts w:ascii="Times New Roman" w:hAnsi="Times New Roman" w:cs="Times New Roman"/>
          <w:bCs/>
          <w:sz w:val="24"/>
          <w:szCs w:val="24"/>
          <w:lang w:val="en-GB"/>
        </w:rPr>
        <w:t>Fecal</w:t>
      </w:r>
      <w:proofErr w:type="spellEnd"/>
      <w:r w:rsidR="00457DB3" w:rsidRPr="009F562D">
        <w:rPr>
          <w:rFonts w:ascii="Times New Roman" w:hAnsi="Times New Roman" w:cs="Times New Roman"/>
          <w:bCs/>
          <w:sz w:val="24"/>
          <w:szCs w:val="24"/>
          <w:lang w:val="en-GB"/>
        </w:rPr>
        <w:t xml:space="preserve"> samples were randomly collected from poultry farms and markets, based on the willingness of the farm owners to participate in the study and the accessibility of the farms. </w:t>
      </w:r>
    </w:p>
    <w:p w14:paraId="3417B899" w14:textId="246A0157" w:rsidR="008B0A17" w:rsidRPr="007F693D" w:rsidRDefault="008B0A17" w:rsidP="007F693D">
      <w:pPr>
        <w:spacing w:line="360" w:lineRule="auto"/>
        <w:jc w:val="both"/>
        <w:rPr>
          <w:rFonts w:ascii="Times New Roman" w:hAnsi="Times New Roman" w:cs="Times New Roman"/>
          <w:b/>
          <w:bCs/>
          <w:sz w:val="28"/>
          <w:szCs w:val="28"/>
          <w:lang w:val="en-GB"/>
        </w:rPr>
      </w:pPr>
      <w:r w:rsidRPr="007F693D">
        <w:rPr>
          <w:rFonts w:ascii="Times New Roman" w:hAnsi="Times New Roman" w:cs="Times New Roman"/>
          <w:sz w:val="24"/>
          <w:szCs w:val="24"/>
          <w:highlight w:val="yellow"/>
          <w:lang w:val="en-US"/>
        </w:rPr>
        <w:t>Sample collection was designed as follows:</w:t>
      </w:r>
      <w:r w:rsidR="00CC21DB" w:rsidRPr="007F693D">
        <w:rPr>
          <w:rFonts w:ascii="Times New Roman" w:hAnsi="Times New Roman" w:cs="Times New Roman"/>
          <w:sz w:val="24"/>
          <w:szCs w:val="24"/>
          <w:highlight w:val="yellow"/>
          <w:lang w:val="en-US"/>
        </w:rPr>
        <w:t xml:space="preserve"> </w:t>
      </w:r>
      <w:r w:rsidR="00E43B18" w:rsidRPr="00B62ADF">
        <w:rPr>
          <w:rFonts w:ascii="Times New Roman" w:hAnsi="Times New Roman" w:cs="Times New Roman"/>
          <w:sz w:val="24"/>
          <w:szCs w:val="24"/>
          <w:highlight w:val="yellow"/>
          <w:lang w:val="en-US"/>
        </w:rPr>
        <w:t>The</w:t>
      </w:r>
      <w:r w:rsidR="00B62ADF" w:rsidRPr="00B62ADF">
        <w:rPr>
          <w:rFonts w:ascii="Times New Roman" w:hAnsi="Times New Roman" w:cs="Times New Roman"/>
          <w:sz w:val="24"/>
          <w:szCs w:val="24"/>
          <w:highlight w:val="yellow"/>
          <w:lang w:val="en-US"/>
        </w:rPr>
        <w:t xml:space="preserve"> </w:t>
      </w:r>
      <w:r w:rsidR="00B62ADF" w:rsidRPr="00B62ADF">
        <w:rPr>
          <w:rFonts w:ascii="Times New Roman" w:hAnsi="Times New Roman" w:cs="Times New Roman"/>
          <w:bCs/>
          <w:sz w:val="24"/>
          <w:highlight w:val="yellow"/>
          <w:lang w:val="en-GB"/>
        </w:rPr>
        <w:t xml:space="preserve">objectives of this study had to be explained in order to obtain the agreement of the farmer or </w:t>
      </w:r>
      <w:r w:rsidR="00B62ADF" w:rsidRPr="004D272D">
        <w:rPr>
          <w:rFonts w:ascii="Times New Roman" w:hAnsi="Times New Roman" w:cs="Times New Roman"/>
          <w:bCs/>
          <w:sz w:val="24"/>
          <w:highlight w:val="yellow"/>
          <w:lang w:val="en-GB"/>
        </w:rPr>
        <w:t xml:space="preserve">sellers </w:t>
      </w:r>
      <w:r w:rsidRPr="004D272D">
        <w:rPr>
          <w:rFonts w:ascii="Times New Roman" w:hAnsi="Times New Roman" w:cs="Times New Roman"/>
          <w:sz w:val="24"/>
          <w:szCs w:val="24"/>
          <w:highlight w:val="yellow"/>
          <w:lang w:val="en-US"/>
        </w:rPr>
        <w:t>b</w:t>
      </w:r>
      <w:r w:rsidRPr="007F693D">
        <w:rPr>
          <w:rFonts w:ascii="Times New Roman" w:hAnsi="Times New Roman" w:cs="Times New Roman"/>
          <w:sz w:val="24"/>
          <w:szCs w:val="24"/>
          <w:highlight w:val="yellow"/>
          <w:lang w:val="en-US"/>
        </w:rPr>
        <w:t>efore sampling</w:t>
      </w:r>
      <w:r w:rsidR="00CC21DB" w:rsidRPr="007F693D">
        <w:rPr>
          <w:rFonts w:ascii="Times New Roman" w:hAnsi="Times New Roman" w:cs="Times New Roman"/>
          <w:sz w:val="24"/>
          <w:szCs w:val="24"/>
          <w:highlight w:val="yellow"/>
          <w:lang w:val="en-US"/>
        </w:rPr>
        <w:t xml:space="preserve">, </w:t>
      </w:r>
      <w:r w:rsidR="0086756D" w:rsidRPr="007F693D">
        <w:rPr>
          <w:rFonts w:ascii="Times New Roman" w:hAnsi="Times New Roman" w:cs="Times New Roman"/>
          <w:sz w:val="24"/>
          <w:szCs w:val="24"/>
          <w:highlight w:val="yellow"/>
          <w:lang w:val="en-US"/>
        </w:rPr>
        <w:t>then f</w:t>
      </w:r>
      <w:r w:rsidRPr="007F693D">
        <w:rPr>
          <w:rFonts w:ascii="Times New Roman" w:hAnsi="Times New Roman" w:cs="Times New Roman"/>
          <w:sz w:val="24"/>
          <w:szCs w:val="24"/>
          <w:highlight w:val="yellow"/>
          <w:lang w:val="en-US"/>
        </w:rPr>
        <w:t>ive poultry specimens collected either on farming site or wet-market</w:t>
      </w:r>
      <w:r w:rsidR="00150E3D" w:rsidRPr="007F693D">
        <w:rPr>
          <w:rFonts w:ascii="Times New Roman" w:hAnsi="Times New Roman" w:cs="Times New Roman"/>
          <w:sz w:val="24"/>
          <w:szCs w:val="24"/>
          <w:highlight w:val="yellow"/>
          <w:lang w:val="en-US"/>
        </w:rPr>
        <w:t xml:space="preserve">. </w:t>
      </w:r>
      <w:proofErr w:type="spellStart"/>
      <w:r w:rsidR="00150E3D" w:rsidRPr="007F693D">
        <w:rPr>
          <w:rFonts w:ascii="Times New Roman" w:hAnsi="Times New Roman" w:cs="Times New Roman"/>
          <w:sz w:val="24"/>
          <w:szCs w:val="24"/>
          <w:highlight w:val="yellow"/>
          <w:lang w:val="en-US"/>
        </w:rPr>
        <w:t>Futhermore</w:t>
      </w:r>
      <w:proofErr w:type="spellEnd"/>
      <w:r w:rsidR="00150E3D" w:rsidRPr="007F693D">
        <w:rPr>
          <w:rFonts w:ascii="Times New Roman" w:hAnsi="Times New Roman" w:cs="Times New Roman"/>
          <w:sz w:val="24"/>
          <w:szCs w:val="24"/>
          <w:highlight w:val="yellow"/>
          <w:lang w:val="en-US"/>
        </w:rPr>
        <w:t>, c</w:t>
      </w:r>
      <w:r w:rsidRPr="007F693D">
        <w:rPr>
          <w:rFonts w:ascii="Times New Roman" w:hAnsi="Times New Roman" w:cs="Times New Roman"/>
          <w:sz w:val="24"/>
          <w:szCs w:val="24"/>
          <w:highlight w:val="yellow"/>
          <w:lang w:val="en-US"/>
        </w:rPr>
        <w:t>loaca swabs obtained were discharged into 2 mL of sterile buffered peptone water (BPW) tubes</w:t>
      </w:r>
      <w:r w:rsidR="00150E3D" w:rsidRPr="007F693D">
        <w:rPr>
          <w:rFonts w:ascii="Times New Roman" w:hAnsi="Times New Roman" w:cs="Times New Roman"/>
          <w:sz w:val="24"/>
          <w:szCs w:val="24"/>
          <w:highlight w:val="yellow"/>
          <w:lang w:val="en-US"/>
        </w:rPr>
        <w:t xml:space="preserve"> and f</w:t>
      </w:r>
      <w:r w:rsidRPr="007F693D">
        <w:rPr>
          <w:rFonts w:ascii="Times New Roman" w:hAnsi="Times New Roman" w:cs="Times New Roman"/>
          <w:sz w:val="24"/>
          <w:szCs w:val="24"/>
          <w:highlight w:val="yellow"/>
          <w:lang w:val="en-US"/>
        </w:rPr>
        <w:t>inally, tubes were kept at 4°C and sent t</w:t>
      </w:r>
      <w:r w:rsidR="00B14D91">
        <w:rPr>
          <w:rFonts w:ascii="Times New Roman" w:hAnsi="Times New Roman" w:cs="Times New Roman"/>
          <w:sz w:val="24"/>
          <w:szCs w:val="24"/>
          <w:highlight w:val="yellow"/>
          <w:lang w:val="en-US"/>
        </w:rPr>
        <w:t>o</w:t>
      </w:r>
      <w:r w:rsidRPr="007F693D">
        <w:rPr>
          <w:rFonts w:ascii="Times New Roman" w:hAnsi="Times New Roman" w:cs="Times New Roman"/>
          <w:sz w:val="24"/>
          <w:szCs w:val="24"/>
          <w:highlight w:val="yellow"/>
          <w:lang w:val="en-US"/>
        </w:rPr>
        <w:t xml:space="preserve"> the reference laboratory at </w:t>
      </w:r>
      <w:proofErr w:type="spellStart"/>
      <w:r w:rsidRPr="007F693D">
        <w:rPr>
          <w:rFonts w:ascii="Times New Roman" w:hAnsi="Times New Roman" w:cs="Times New Roman"/>
          <w:sz w:val="24"/>
          <w:szCs w:val="24"/>
          <w:highlight w:val="yellow"/>
          <w:lang w:val="en-US"/>
        </w:rPr>
        <w:t>Institut</w:t>
      </w:r>
      <w:proofErr w:type="spellEnd"/>
      <w:r w:rsidRPr="007F693D">
        <w:rPr>
          <w:rFonts w:ascii="Times New Roman" w:hAnsi="Times New Roman" w:cs="Times New Roman"/>
          <w:sz w:val="24"/>
          <w:szCs w:val="24"/>
          <w:highlight w:val="yellow"/>
          <w:lang w:val="en-US"/>
        </w:rPr>
        <w:t xml:space="preserve"> Pasteur of Côte d’Ivoire for analyses</w:t>
      </w:r>
    </w:p>
    <w:p w14:paraId="5DC11CEA" w14:textId="5D5BD3F2" w:rsidR="003072C0" w:rsidRPr="001E4BD2" w:rsidRDefault="003072C0" w:rsidP="009D006D">
      <w:pPr>
        <w:spacing w:line="360" w:lineRule="auto"/>
        <w:jc w:val="both"/>
        <w:rPr>
          <w:rFonts w:ascii="Times New Roman" w:hAnsi="Times New Roman" w:cs="Times New Roman"/>
          <w:b/>
          <w:sz w:val="24"/>
          <w:lang w:val="en-GB"/>
        </w:rPr>
      </w:pPr>
      <w:r w:rsidRPr="001E4BD2">
        <w:rPr>
          <w:rFonts w:ascii="Times New Roman" w:hAnsi="Times New Roman" w:cs="Times New Roman"/>
          <w:b/>
          <w:sz w:val="24"/>
          <w:lang w:val="en-GB"/>
        </w:rPr>
        <w:lastRenderedPageBreak/>
        <w:t xml:space="preserve">Collection </w:t>
      </w:r>
      <w:r w:rsidR="001E4BD2">
        <w:rPr>
          <w:rFonts w:ascii="Times New Roman" w:hAnsi="Times New Roman" w:cs="Times New Roman"/>
          <w:b/>
          <w:sz w:val="24"/>
          <w:lang w:val="en-GB"/>
        </w:rPr>
        <w:t>form</w:t>
      </w:r>
    </w:p>
    <w:p w14:paraId="69484130" w14:textId="4C46DBFC" w:rsidR="00414665" w:rsidRPr="001E4BD2" w:rsidRDefault="003072C0" w:rsidP="009D006D">
      <w:pPr>
        <w:spacing w:line="360" w:lineRule="auto"/>
        <w:jc w:val="both"/>
        <w:rPr>
          <w:rFonts w:ascii="Times New Roman" w:hAnsi="Times New Roman" w:cs="Times New Roman"/>
          <w:bCs/>
          <w:sz w:val="24"/>
          <w:lang w:val="en-GB"/>
        </w:rPr>
      </w:pPr>
      <w:r w:rsidRPr="001E4BD2">
        <w:rPr>
          <w:rFonts w:ascii="Times New Roman" w:hAnsi="Times New Roman" w:cs="Times New Roman"/>
          <w:bCs/>
          <w:sz w:val="24"/>
          <w:lang w:val="en-GB"/>
        </w:rPr>
        <w:t>A collection sheet was used to collect field data on farms and markets as well as data on animals. This information concerned: general data on the farm, the number and type of animals as well as the treatments administered</w:t>
      </w:r>
      <w:r w:rsidR="001E4BD2">
        <w:rPr>
          <w:rFonts w:ascii="Times New Roman" w:hAnsi="Times New Roman" w:cs="Times New Roman"/>
          <w:bCs/>
          <w:sz w:val="24"/>
          <w:lang w:val="en-GB"/>
        </w:rPr>
        <w:t>.</w:t>
      </w:r>
    </w:p>
    <w:p w14:paraId="7342F25E" w14:textId="77777777" w:rsidR="00414665" w:rsidRPr="001E4BD2" w:rsidRDefault="00414665" w:rsidP="009D006D">
      <w:pPr>
        <w:spacing w:after="0" w:line="360" w:lineRule="auto"/>
        <w:jc w:val="both"/>
        <w:rPr>
          <w:rFonts w:ascii="Times New Roman" w:hAnsi="Times New Roman" w:cs="Times New Roman"/>
          <w:b/>
          <w:bCs/>
          <w:sz w:val="24"/>
          <w:szCs w:val="24"/>
          <w:lang w:val="en-GB"/>
        </w:rPr>
      </w:pPr>
      <w:r w:rsidRPr="001E4BD2">
        <w:rPr>
          <w:rFonts w:ascii="Times New Roman" w:hAnsi="Times New Roman" w:cs="Times New Roman"/>
          <w:b/>
          <w:bCs/>
          <w:sz w:val="24"/>
          <w:szCs w:val="24"/>
          <w:lang w:val="en-GB"/>
        </w:rPr>
        <w:t>Ethical Approval and Informed Consent</w:t>
      </w:r>
    </w:p>
    <w:p w14:paraId="6A5906CB" w14:textId="3DA1DF99" w:rsidR="00414665" w:rsidRPr="001E4BD2" w:rsidRDefault="00414665" w:rsidP="00414665">
      <w:pPr>
        <w:spacing w:line="360" w:lineRule="auto"/>
        <w:jc w:val="both"/>
        <w:rPr>
          <w:rFonts w:ascii="Times New Roman" w:hAnsi="Times New Roman" w:cs="Times New Roman"/>
          <w:bCs/>
          <w:sz w:val="24"/>
          <w:szCs w:val="24"/>
          <w:lang w:val="en-GB"/>
        </w:rPr>
      </w:pPr>
      <w:r w:rsidRPr="001E4BD2">
        <w:rPr>
          <w:rFonts w:ascii="Times New Roman" w:hAnsi="Times New Roman" w:cs="Times New Roman"/>
          <w:bCs/>
          <w:sz w:val="24"/>
          <w:szCs w:val="24"/>
          <w:lang w:val="en-GB"/>
        </w:rPr>
        <w:t>This study did not require formal ethical approval, but consent from the poultry farm owners was obtained verbally prior to sample collection.</w:t>
      </w:r>
    </w:p>
    <w:p w14:paraId="6419786B" w14:textId="6FB4E99F" w:rsidR="007E3C79" w:rsidRPr="001E4BD2" w:rsidRDefault="00BB618C" w:rsidP="009D006D">
      <w:pPr>
        <w:spacing w:after="0" w:line="360" w:lineRule="auto"/>
        <w:jc w:val="both"/>
        <w:rPr>
          <w:rFonts w:ascii="Times New Roman" w:hAnsi="Times New Roman" w:cs="Times New Roman"/>
          <w:b/>
          <w:bCs/>
          <w:sz w:val="24"/>
          <w:szCs w:val="24"/>
          <w:lang w:val="en-GB"/>
        </w:rPr>
      </w:pPr>
      <w:r w:rsidRPr="001E4BD2">
        <w:rPr>
          <w:rFonts w:ascii="Times New Roman" w:hAnsi="Times New Roman" w:cs="Times New Roman"/>
          <w:b/>
          <w:bCs/>
          <w:sz w:val="24"/>
          <w:szCs w:val="24"/>
          <w:lang w:val="en-GB"/>
        </w:rPr>
        <w:t>Bacteriological analyses</w:t>
      </w:r>
    </w:p>
    <w:p w14:paraId="121C618B" w14:textId="294960C2" w:rsidR="003919E2" w:rsidRPr="001E4BD2" w:rsidRDefault="00670267" w:rsidP="009D006D">
      <w:pPr>
        <w:spacing w:line="360" w:lineRule="auto"/>
        <w:jc w:val="both"/>
        <w:rPr>
          <w:rFonts w:ascii="Times New Roman" w:hAnsi="Times New Roman" w:cs="Times New Roman"/>
          <w:bCs/>
          <w:sz w:val="24"/>
          <w:szCs w:val="24"/>
          <w:lang w:val="en-GB"/>
        </w:rPr>
      </w:pPr>
      <w:r w:rsidRPr="001E4BD2">
        <w:rPr>
          <w:rFonts w:ascii="Times New Roman" w:hAnsi="Times New Roman" w:cs="Times New Roman"/>
          <w:sz w:val="24"/>
          <w:szCs w:val="24"/>
          <w:lang w:val="en-GB"/>
        </w:rPr>
        <w:t xml:space="preserve">Seeding, isolation and identification techniques are the usual techniques of bacteriology commonly used by the bacteriology laboratory of the </w:t>
      </w:r>
      <w:proofErr w:type="spellStart"/>
      <w:r w:rsidRPr="001E4BD2">
        <w:rPr>
          <w:rFonts w:ascii="Times New Roman" w:hAnsi="Times New Roman" w:cs="Times New Roman"/>
          <w:sz w:val="24"/>
          <w:szCs w:val="24"/>
          <w:lang w:val="en-GB"/>
        </w:rPr>
        <w:t>Institut</w:t>
      </w:r>
      <w:proofErr w:type="spellEnd"/>
      <w:r w:rsidRPr="001E4BD2">
        <w:rPr>
          <w:rFonts w:ascii="Times New Roman" w:hAnsi="Times New Roman" w:cs="Times New Roman"/>
          <w:sz w:val="24"/>
          <w:szCs w:val="24"/>
          <w:lang w:val="en-GB"/>
        </w:rPr>
        <w:t xml:space="preserve"> Pasteur de Côte d'Ivoire. The identification of </w:t>
      </w:r>
      <w:r w:rsidRPr="001E4BD2">
        <w:rPr>
          <w:rFonts w:ascii="Times New Roman" w:hAnsi="Times New Roman" w:cs="Times New Roman"/>
          <w:i/>
          <w:sz w:val="24"/>
          <w:szCs w:val="24"/>
          <w:lang w:val="en-GB"/>
        </w:rPr>
        <w:t xml:space="preserve">Klebsiella pneumoniae </w:t>
      </w:r>
      <w:r w:rsidR="002720EC" w:rsidRPr="001E4BD2">
        <w:rPr>
          <w:rFonts w:ascii="Times New Roman" w:hAnsi="Times New Roman" w:cs="Times New Roman"/>
          <w:sz w:val="24"/>
          <w:szCs w:val="24"/>
          <w:lang w:val="en-GB"/>
        </w:rPr>
        <w:t xml:space="preserve">was based on the morphological appearance of the colonies on the </w:t>
      </w:r>
      <w:r w:rsidR="004954F2" w:rsidRPr="001E4BD2">
        <w:rPr>
          <w:rFonts w:ascii="Times New Roman" w:hAnsi="Times New Roman" w:cs="Times New Roman"/>
          <w:sz w:val="24"/>
          <w:lang w:val="en-GB"/>
        </w:rPr>
        <w:t>Eosin Methylene Blue (EMB)</w:t>
      </w:r>
      <w:r w:rsidR="004954F2" w:rsidRPr="001E4BD2">
        <w:rPr>
          <w:rFonts w:ascii="Times New Roman" w:hAnsi="Times New Roman" w:cs="Times New Roman"/>
          <w:sz w:val="24"/>
          <w:szCs w:val="24"/>
          <w:lang w:val="en-GB"/>
        </w:rPr>
        <w:t xml:space="preserve"> agar medium giving large colonies more or less mucous, on the cultural characteristics of the bacterium, namely the Gram-negative bacilli, from 0.3 to 1.0 </w:t>
      </w:r>
      <w:r w:rsidR="004954F2">
        <w:rPr>
          <w:rFonts w:ascii="Times New Roman" w:hAnsi="Times New Roman" w:cs="Times New Roman"/>
          <w:sz w:val="24"/>
          <w:szCs w:val="24"/>
        </w:rPr>
        <w:t>μ</w:t>
      </w:r>
      <w:r w:rsidR="004954F2" w:rsidRPr="001E4BD2">
        <w:rPr>
          <w:rFonts w:ascii="Times New Roman" w:hAnsi="Times New Roman" w:cs="Times New Roman"/>
          <w:sz w:val="24"/>
          <w:szCs w:val="24"/>
          <w:lang w:val="en-GB"/>
        </w:rPr>
        <w:t xml:space="preserve">m in diameter by 0.6 to 6.0 </w:t>
      </w:r>
      <w:r w:rsidR="004954F2">
        <w:rPr>
          <w:rFonts w:ascii="Times New Roman" w:hAnsi="Times New Roman" w:cs="Times New Roman"/>
          <w:sz w:val="24"/>
          <w:szCs w:val="24"/>
        </w:rPr>
        <w:t>μ</w:t>
      </w:r>
      <w:r w:rsidR="004954F2" w:rsidRPr="001E4BD2">
        <w:rPr>
          <w:rFonts w:ascii="Times New Roman" w:hAnsi="Times New Roman" w:cs="Times New Roman"/>
          <w:sz w:val="24"/>
          <w:szCs w:val="24"/>
          <w:lang w:val="en-GB"/>
        </w:rPr>
        <w:t xml:space="preserve">m in length, immobile, non-spore-forming, aero-anaerobic and on its biochemical characteristics: </w:t>
      </w:r>
      <w:r w:rsidR="001E4BD2" w:rsidRPr="001E4BD2">
        <w:rPr>
          <w:rFonts w:ascii="Times New Roman" w:hAnsi="Times New Roman" w:cs="Times New Roman"/>
          <w:bCs/>
          <w:sz w:val="24"/>
          <w:szCs w:val="24"/>
          <w:lang w:val="en-GB"/>
        </w:rPr>
        <w:t xml:space="preserve">ferments glucose with gas production, negative oxidase, positive catalase, has a nitrate reductase. </w:t>
      </w:r>
      <w:r w:rsidR="001E4BD2" w:rsidRPr="00EF53FA">
        <w:rPr>
          <w:rFonts w:ascii="Times New Roman" w:hAnsi="Times New Roman" w:cs="Times New Roman"/>
          <w:bCs/>
          <w:i/>
          <w:iCs/>
          <w:sz w:val="24"/>
          <w:szCs w:val="24"/>
          <w:lang w:val="en-GB"/>
        </w:rPr>
        <w:t>K. pneumoniae</w:t>
      </w:r>
      <w:r w:rsidR="001E4BD2" w:rsidRPr="00EF53FA">
        <w:rPr>
          <w:rFonts w:ascii="Times New Roman" w:hAnsi="Times New Roman" w:cs="Times New Roman"/>
          <w:bCs/>
          <w:sz w:val="24"/>
          <w:szCs w:val="24"/>
          <w:lang w:val="en-GB"/>
        </w:rPr>
        <w:t xml:space="preserve"> is: Voges-</w:t>
      </w:r>
      <w:proofErr w:type="spellStart"/>
      <w:r w:rsidR="001E4BD2" w:rsidRPr="00EF53FA">
        <w:rPr>
          <w:rFonts w:ascii="Times New Roman" w:hAnsi="Times New Roman" w:cs="Times New Roman"/>
          <w:bCs/>
          <w:sz w:val="24"/>
          <w:szCs w:val="24"/>
          <w:lang w:val="en-GB"/>
        </w:rPr>
        <w:t>proskauer</w:t>
      </w:r>
      <w:proofErr w:type="spellEnd"/>
      <w:r w:rsidR="001E4BD2" w:rsidRPr="00EF53FA">
        <w:rPr>
          <w:rFonts w:ascii="Times New Roman" w:hAnsi="Times New Roman" w:cs="Times New Roman"/>
          <w:bCs/>
          <w:sz w:val="24"/>
          <w:szCs w:val="24"/>
          <w:lang w:val="en-GB"/>
        </w:rPr>
        <w:t>+ (VP+), lysine decarboxylase + (LDC+), ornithine decarboxylase – (ODC-), (Indole) IND-, Citrate+, Urea+, Ortho-nitrophenyl-</w:t>
      </w:r>
      <w:r w:rsidR="001E4BD2" w:rsidRPr="0088080D">
        <w:rPr>
          <w:rFonts w:ascii="Times New Roman" w:hAnsi="Times New Roman" w:cs="Times New Roman"/>
          <w:bCs/>
          <w:sz w:val="24"/>
          <w:szCs w:val="24"/>
        </w:rPr>
        <w:t>β</w:t>
      </w:r>
      <w:r w:rsidR="001E4BD2" w:rsidRPr="00EF53FA">
        <w:rPr>
          <w:rFonts w:ascii="Times New Roman" w:hAnsi="Times New Roman" w:cs="Times New Roman"/>
          <w:bCs/>
          <w:sz w:val="24"/>
          <w:szCs w:val="24"/>
          <w:lang w:val="en-GB"/>
        </w:rPr>
        <w:t>-</w:t>
      </w:r>
      <w:proofErr w:type="spellStart"/>
      <w:r w:rsidR="001E4BD2" w:rsidRPr="00EF53FA">
        <w:rPr>
          <w:rFonts w:ascii="Times New Roman" w:hAnsi="Times New Roman" w:cs="Times New Roman"/>
          <w:bCs/>
          <w:sz w:val="24"/>
          <w:szCs w:val="24"/>
          <w:lang w:val="en-GB"/>
        </w:rPr>
        <w:t>galactoside</w:t>
      </w:r>
      <w:proofErr w:type="spellEnd"/>
      <w:r w:rsidR="001E4BD2" w:rsidRPr="00EF53FA">
        <w:rPr>
          <w:rFonts w:ascii="Times New Roman" w:hAnsi="Times New Roman" w:cs="Times New Roman"/>
          <w:bCs/>
          <w:sz w:val="24"/>
          <w:szCs w:val="24"/>
          <w:lang w:val="en-GB"/>
        </w:rPr>
        <w:t xml:space="preserve"> + (ONPG+), Hydrogen </w:t>
      </w:r>
      <w:proofErr w:type="spellStart"/>
      <w:r w:rsidR="001E4BD2" w:rsidRPr="00EF53FA">
        <w:rPr>
          <w:rFonts w:ascii="Times New Roman" w:hAnsi="Times New Roman" w:cs="Times New Roman"/>
          <w:bCs/>
          <w:sz w:val="24"/>
          <w:szCs w:val="24"/>
          <w:lang w:val="en-GB"/>
        </w:rPr>
        <w:t>sulfide</w:t>
      </w:r>
      <w:proofErr w:type="spellEnd"/>
      <w:r w:rsidR="001E4BD2" w:rsidRPr="00EF53FA">
        <w:rPr>
          <w:rFonts w:ascii="Times New Roman" w:hAnsi="Times New Roman" w:cs="Times New Roman"/>
          <w:bCs/>
          <w:sz w:val="24"/>
          <w:szCs w:val="24"/>
          <w:lang w:val="en-GB"/>
        </w:rPr>
        <w:t xml:space="preserve"> - (H2S-), tryptophan deaminase – (TDA-), reduces nitrates to nitrites (NO3+) </w:t>
      </w:r>
      <w:r w:rsidR="001E4BD2" w:rsidRPr="00EF53FA">
        <w:rPr>
          <w:rFonts w:ascii="Times New Roman" w:hAnsi="Times New Roman" w:cs="Times New Roman"/>
          <w:sz w:val="24"/>
          <w:szCs w:val="24"/>
          <w:lang w:val="en-GB"/>
        </w:rPr>
        <w:t xml:space="preserve">and then confirmation with </w:t>
      </w:r>
      <w:proofErr w:type="spellStart"/>
      <w:r w:rsidR="001E4BD2" w:rsidRPr="00EF53FA">
        <w:rPr>
          <w:rFonts w:ascii="Times New Roman" w:hAnsi="Times New Roman" w:cs="Times New Roman"/>
          <w:sz w:val="24"/>
          <w:szCs w:val="24"/>
          <w:lang w:val="en-GB"/>
        </w:rPr>
        <w:t>Maldi-Tof</w:t>
      </w:r>
      <w:proofErr w:type="spellEnd"/>
      <w:r w:rsidR="001E4BD2" w:rsidRPr="0088080D">
        <w:rPr>
          <w:rFonts w:ascii="Times New Roman" w:hAnsi="Times New Roman" w:cs="Times New Roman"/>
          <w:sz w:val="24"/>
          <w:szCs w:val="24"/>
          <w:vertAlign w:val="superscript"/>
        </w:rPr>
        <w:sym w:font="Symbol" w:char="F0E2"/>
      </w:r>
      <w:r w:rsidR="001E4BD2" w:rsidRPr="00EF53FA">
        <w:rPr>
          <w:rFonts w:ascii="Times New Roman" w:hAnsi="Times New Roman" w:cs="Times New Roman"/>
          <w:sz w:val="24"/>
          <w:szCs w:val="24"/>
          <w:lang w:val="en-GB"/>
        </w:rPr>
        <w:t xml:space="preserve"> (</w:t>
      </w:r>
      <w:proofErr w:type="spellStart"/>
      <w:r w:rsidR="001E4BD2" w:rsidRPr="00EF53FA">
        <w:rPr>
          <w:rFonts w:ascii="Times New Roman" w:hAnsi="Times New Roman" w:cs="Times New Roman"/>
          <w:sz w:val="24"/>
          <w:szCs w:val="24"/>
          <w:lang w:val="en-GB"/>
        </w:rPr>
        <w:t>Biomerieux</w:t>
      </w:r>
      <w:proofErr w:type="spellEnd"/>
      <w:r w:rsidR="001E4BD2" w:rsidRPr="00EF53FA">
        <w:rPr>
          <w:rFonts w:ascii="Times New Roman" w:hAnsi="Times New Roman" w:cs="Times New Roman"/>
          <w:sz w:val="24"/>
          <w:szCs w:val="24"/>
          <w:lang w:val="en-GB"/>
        </w:rPr>
        <w:t>, France) was made in case of doubt.</w:t>
      </w:r>
    </w:p>
    <w:p w14:paraId="30DE1F3C" w14:textId="1667E73F" w:rsidR="009224AF" w:rsidRPr="001E4BD2" w:rsidRDefault="00973631" w:rsidP="009D006D">
      <w:pPr>
        <w:spacing w:before="240" w:after="0" w:line="360" w:lineRule="auto"/>
        <w:jc w:val="both"/>
        <w:rPr>
          <w:rFonts w:ascii="Times New Roman" w:hAnsi="Times New Roman" w:cs="Times New Roman"/>
          <w:bCs/>
          <w:sz w:val="24"/>
          <w:szCs w:val="24"/>
          <w:lang w:val="en-GB"/>
        </w:rPr>
      </w:pPr>
      <w:r w:rsidRPr="001E4BD2">
        <w:rPr>
          <w:rFonts w:ascii="Times New Roman" w:hAnsi="Times New Roman" w:cs="Times New Roman"/>
          <w:b/>
          <w:sz w:val="24"/>
          <w:szCs w:val="24"/>
          <w:lang w:val="en-GB"/>
        </w:rPr>
        <w:t>Determination of bacterial susceptibility: the antibiogram</w:t>
      </w:r>
    </w:p>
    <w:p w14:paraId="5B45EC8C" w14:textId="0AD93FBC" w:rsidR="007905BA" w:rsidRPr="001E4BD2" w:rsidRDefault="00335EF2" w:rsidP="009D006D">
      <w:pPr>
        <w:spacing w:after="0" w:line="360" w:lineRule="auto"/>
        <w:jc w:val="both"/>
        <w:rPr>
          <w:rFonts w:ascii="Times New Roman" w:hAnsi="Times New Roman" w:cs="Times New Roman"/>
          <w:sz w:val="24"/>
          <w:szCs w:val="24"/>
          <w:lang w:val="en-GB"/>
        </w:rPr>
      </w:pPr>
      <w:r w:rsidRPr="001E4BD2">
        <w:rPr>
          <w:rFonts w:ascii="Times New Roman" w:hAnsi="Times New Roman" w:cs="Times New Roman"/>
          <w:sz w:val="24"/>
          <w:szCs w:val="24"/>
          <w:lang w:val="en-GB"/>
        </w:rPr>
        <w:t xml:space="preserve">Kirby Bauer's modified WHO-recommended method based on diffusion from antibiotic-impregnated discs on Muller-Hinton agar </w:t>
      </w:r>
      <w:r w:rsidRPr="00335EF2">
        <w:rPr>
          <w:rFonts w:ascii="Times New Roman" w:hAnsi="Times New Roman" w:cs="Times New Roman"/>
          <w:sz w:val="24"/>
          <w:szCs w:val="24"/>
        </w:rPr>
        <w:fldChar w:fldCharType="begin"/>
      </w:r>
      <w:r w:rsidR="00A97D1E">
        <w:rPr>
          <w:rFonts w:ascii="Times New Roman" w:hAnsi="Times New Roman" w:cs="Times New Roman"/>
          <w:sz w:val="24"/>
          <w:szCs w:val="24"/>
          <w:lang w:val="en-GB"/>
        </w:rPr>
        <w:instrText xml:space="preserve"> ADDIN ZOTERO_ITEM CSL_CITATION {"citationID":"duFKy6hU","properties":{"formattedCitation":"(Kashosi et al., 2018)","plainCitation":"(Kashosi et al., 2018)","noteIndex":0},"citationItems":[{"id":1842,"uris":["http://zotero.org/users/4984961/items/PZ8RYEIA"],"itemData":{"id":1842,"type":"article-journal","abstract":"Introduction\nLa fièvre typhoïde est un problème majeur de santé publique dans les pays en voie de développement jusqu'à ce jour à cause de la vétusté des infrastructures sanitaires et des circuits de distribution de l'eau presque inexistants. En RDC en général et à Bukavu en particulier, l'hémoculture est inaccessible à la majorité des patients. L'objectif de cette étude était d'évaluer la sensibilité de Salmonella spp aux antibiotiques couramment utilisés dans la prise en charge de la fièvre typhoïde à Bukavu.\n\nMéthodes\nUne étude transversale étalée sur 6 mois a était organisée. Tout malade suspect de la fièvre typhoïde a été sélectionné dans l'étude. L'hémoculture était faite systématiquement chez tout malade sélectionné. L'identification de la souche bactérienne et l'antibiogramme ont été réalisés par les méthodes conventionnelles. Les antibiotiques suivants ont été testés: amikacine, amoxicilline, augmentin, aeftazidime, ceftriaxone, cefuroxime, chloramphénicol, ciprofloxacine, cotrimoxazole, doxycycline, gentamicine, négram, norfloxacine.\n\nRésultats\n460 malades ont été sélectionnés dans l'étude. 144 (31,30%) hémocultures positives ont été observées. Salmonella spp était le germe le plus isolé (41,66%). Les souches de Salmonella spp isolées à Bukavu sont sensibles à la ciprofloxacine (91,7%), au ceftazidime (81,7%), ceftriaxone (80%), norfloxacine (80%), amikacine (76,6%) et au cefuroxime (73,3%). Elles restent résistantes aux autres molécules d'antibiotiques.\n\nConclusion\nCes résultats montrent une sensibilité diminuée à plupart des antibiotiques testés. Un test d'antibiogramme est requis en cas de fièvre typhoïde pour une meilleure prise en charge.","container-title":"The Pan African Medical Journal","DOI":"10.11604/pamj.2018.29.42.13456","ISSN":"1937-8688","journalAbbreviation":"Pan Afr Med J","note":"PMID: 29875924\nPMCID: PMC5987141","page":"42","source":"PubMed Central","title":"Antibio-résistance des souches de Salmonella spp isolées d'hémocultures à Bukavu en RD Congo","volume":"29","author":[{"family":"Kashosi","given":"Théophile Mitima"},{"family":"Muhandule","given":"Archippe Birindwa"},{"family":"Mwenebitu","given":"David Lupande"},{"family":"Mihuhi","given":"Nicolas"},{"family":"Mutendela","given":"John Kivukuto"},{"family":"Mubagwa","given":"Kanigula"}],"issued":{"date-parts":[["2018",1,17]]}}}],"schema":"https://github.com/citation-style-language/schema/raw/master/csl-citation.json"} </w:instrText>
      </w:r>
      <w:r w:rsidRPr="00335EF2">
        <w:rPr>
          <w:rFonts w:ascii="Times New Roman" w:hAnsi="Times New Roman" w:cs="Times New Roman"/>
          <w:sz w:val="24"/>
          <w:szCs w:val="24"/>
        </w:rPr>
        <w:fldChar w:fldCharType="separate"/>
      </w:r>
      <w:r w:rsidRPr="001E4BD2">
        <w:rPr>
          <w:rFonts w:ascii="Times New Roman" w:hAnsi="Times New Roman" w:cs="Times New Roman"/>
          <w:sz w:val="24"/>
          <w:szCs w:val="24"/>
          <w:lang w:val="en-GB"/>
        </w:rPr>
        <w:t>(Kashosi et al., 2018)</w:t>
      </w:r>
      <w:r w:rsidRPr="00335EF2">
        <w:rPr>
          <w:rFonts w:ascii="Times New Roman" w:hAnsi="Times New Roman" w:cs="Times New Roman"/>
          <w:sz w:val="24"/>
          <w:szCs w:val="24"/>
        </w:rPr>
        <w:fldChar w:fldCharType="end"/>
      </w:r>
      <w:r w:rsidRPr="001E4BD2">
        <w:rPr>
          <w:rFonts w:ascii="Times New Roman" w:hAnsi="Times New Roman" w:cs="Times New Roman"/>
          <w:sz w:val="24"/>
          <w:szCs w:val="24"/>
          <w:lang w:val="en-GB"/>
        </w:rPr>
        <w:t xml:space="preserve"> was used to perform the antibiotic susceptibility test. Bacterial suspensions were prepared in a salt solution to achieve turbidity equivalent to that of the 0.5 standard of the McFarland range and with the help of </w:t>
      </w:r>
      <w:r w:rsidR="007905BA" w:rsidRPr="001E4BD2">
        <w:rPr>
          <w:rFonts w:ascii="Times New Roman" w:hAnsi="Times New Roman" w:cs="Times New Roman"/>
          <w:sz w:val="24"/>
          <w:lang w:val="en-GB"/>
        </w:rPr>
        <w:t>sterile swab sticks dipped in the suspension</w:t>
      </w:r>
      <w:r w:rsidR="001E4BD2">
        <w:rPr>
          <w:rFonts w:ascii="Times New Roman" w:hAnsi="Times New Roman" w:cs="Times New Roman"/>
          <w:sz w:val="24"/>
          <w:lang w:val="en-GB"/>
        </w:rPr>
        <w:t>.</w:t>
      </w:r>
      <w:r w:rsidR="007905BA" w:rsidRPr="001E4BD2">
        <w:rPr>
          <w:rFonts w:ascii="Times New Roman" w:hAnsi="Times New Roman" w:cs="Times New Roman"/>
          <w:sz w:val="24"/>
          <w:lang w:val="en-GB"/>
        </w:rPr>
        <w:t xml:space="preserve"> </w:t>
      </w:r>
      <w:r w:rsidR="007905BA" w:rsidRPr="001E4BD2">
        <w:rPr>
          <w:rFonts w:ascii="Times New Roman" w:hAnsi="Times New Roman" w:cs="Times New Roman"/>
          <w:sz w:val="24"/>
          <w:szCs w:val="24"/>
          <w:lang w:val="en-GB"/>
        </w:rPr>
        <w:t xml:space="preserve">Each isolate was inoculated with tight streaks over the entire surface of the agar. The inoculum was evenly distributed over the entire surface of the agar, taking care not to leave any space between the streaks. Antibiotics commonly used in the treatment of Gram-negative bacilli infections were selected: Amoxicillin-acid/clavulanic (20/10 </w:t>
      </w:r>
      <w:r w:rsidR="007905BA">
        <w:rPr>
          <w:rFonts w:ascii="Times New Roman" w:hAnsi="Times New Roman" w:cs="Times New Roman"/>
          <w:sz w:val="24"/>
          <w:szCs w:val="24"/>
        </w:rPr>
        <w:t>μ</w:t>
      </w:r>
      <w:r w:rsidR="007905BA" w:rsidRPr="001E4BD2">
        <w:rPr>
          <w:rFonts w:ascii="Times New Roman" w:hAnsi="Times New Roman" w:cs="Times New Roman"/>
          <w:sz w:val="24"/>
          <w:szCs w:val="24"/>
          <w:lang w:val="en-GB"/>
        </w:rPr>
        <w:t xml:space="preserve">g), Amoxicillin (20 </w:t>
      </w:r>
      <w:r w:rsidR="007905BA">
        <w:rPr>
          <w:rFonts w:ascii="Times New Roman" w:hAnsi="Times New Roman" w:cs="Times New Roman"/>
          <w:sz w:val="24"/>
          <w:szCs w:val="24"/>
        </w:rPr>
        <w:t>μ</w:t>
      </w:r>
      <w:r w:rsidR="007905BA" w:rsidRPr="001E4BD2">
        <w:rPr>
          <w:rFonts w:ascii="Times New Roman" w:hAnsi="Times New Roman" w:cs="Times New Roman"/>
          <w:sz w:val="24"/>
          <w:szCs w:val="24"/>
          <w:lang w:val="en-GB"/>
        </w:rPr>
        <w:t xml:space="preserve">g), Ticarcillin (75 </w:t>
      </w:r>
      <w:r w:rsidR="007905BA">
        <w:rPr>
          <w:rFonts w:ascii="Times New Roman" w:hAnsi="Times New Roman" w:cs="Times New Roman"/>
          <w:sz w:val="24"/>
          <w:szCs w:val="24"/>
        </w:rPr>
        <w:t>μ</w:t>
      </w:r>
      <w:r w:rsidR="007905BA" w:rsidRPr="001E4BD2">
        <w:rPr>
          <w:rFonts w:ascii="Times New Roman" w:hAnsi="Times New Roman" w:cs="Times New Roman"/>
          <w:sz w:val="24"/>
          <w:szCs w:val="24"/>
          <w:lang w:val="en-GB"/>
        </w:rPr>
        <w:t>g), Cefoxitin (30</w:t>
      </w:r>
      <w:r w:rsidR="007905BA">
        <w:rPr>
          <w:rFonts w:ascii="Times New Roman" w:hAnsi="Times New Roman" w:cs="Times New Roman"/>
          <w:sz w:val="24"/>
          <w:szCs w:val="24"/>
        </w:rPr>
        <w:t>μ</w:t>
      </w:r>
      <w:r w:rsidR="007905BA" w:rsidRPr="001E4BD2">
        <w:rPr>
          <w:rFonts w:ascii="Times New Roman" w:hAnsi="Times New Roman" w:cs="Times New Roman"/>
          <w:sz w:val="24"/>
          <w:szCs w:val="24"/>
          <w:lang w:val="en-GB"/>
        </w:rPr>
        <w:t>g) Cefepime (30</w:t>
      </w:r>
      <w:r w:rsidR="007905BA">
        <w:rPr>
          <w:rFonts w:ascii="Times New Roman" w:hAnsi="Times New Roman" w:cs="Times New Roman"/>
          <w:sz w:val="24"/>
          <w:szCs w:val="24"/>
        </w:rPr>
        <w:t>μ</w:t>
      </w:r>
      <w:r w:rsidR="007905BA" w:rsidRPr="001E4BD2">
        <w:rPr>
          <w:rFonts w:ascii="Times New Roman" w:hAnsi="Times New Roman" w:cs="Times New Roman"/>
          <w:sz w:val="24"/>
          <w:szCs w:val="24"/>
          <w:lang w:val="en-GB"/>
        </w:rPr>
        <w:t>g); Rifampicin (5</w:t>
      </w:r>
      <w:r w:rsidR="007905BA">
        <w:rPr>
          <w:rFonts w:ascii="Times New Roman" w:hAnsi="Times New Roman" w:cs="Times New Roman"/>
          <w:sz w:val="24"/>
          <w:szCs w:val="24"/>
        </w:rPr>
        <w:t>μ</w:t>
      </w:r>
      <w:r w:rsidR="007905BA" w:rsidRPr="001E4BD2">
        <w:rPr>
          <w:rFonts w:ascii="Times New Roman" w:hAnsi="Times New Roman" w:cs="Times New Roman"/>
          <w:sz w:val="24"/>
          <w:szCs w:val="24"/>
          <w:lang w:val="en-GB"/>
        </w:rPr>
        <w:t>g); Tetracycline (30</w:t>
      </w:r>
      <w:r w:rsidR="007905BA">
        <w:rPr>
          <w:rFonts w:ascii="Times New Roman" w:hAnsi="Times New Roman" w:cs="Times New Roman"/>
          <w:sz w:val="24"/>
          <w:szCs w:val="24"/>
        </w:rPr>
        <w:t>μ</w:t>
      </w:r>
      <w:r w:rsidR="007905BA" w:rsidRPr="001E4BD2">
        <w:rPr>
          <w:rFonts w:ascii="Times New Roman" w:hAnsi="Times New Roman" w:cs="Times New Roman"/>
          <w:sz w:val="24"/>
          <w:szCs w:val="24"/>
          <w:lang w:val="en-GB"/>
        </w:rPr>
        <w:t>g), Gentamicin (10</w:t>
      </w:r>
      <w:r w:rsidR="007905BA">
        <w:rPr>
          <w:rFonts w:ascii="Times New Roman" w:hAnsi="Times New Roman" w:cs="Times New Roman"/>
          <w:sz w:val="24"/>
          <w:szCs w:val="24"/>
        </w:rPr>
        <w:t>μ</w:t>
      </w:r>
      <w:r w:rsidR="007905BA" w:rsidRPr="001E4BD2">
        <w:rPr>
          <w:rFonts w:ascii="Times New Roman" w:hAnsi="Times New Roman" w:cs="Times New Roman"/>
          <w:sz w:val="24"/>
          <w:szCs w:val="24"/>
          <w:lang w:val="en-GB"/>
        </w:rPr>
        <w:t>g), Amikacin (30</w:t>
      </w:r>
      <w:r w:rsidR="007905BA">
        <w:rPr>
          <w:rFonts w:ascii="Times New Roman" w:hAnsi="Times New Roman" w:cs="Times New Roman"/>
          <w:sz w:val="24"/>
          <w:szCs w:val="24"/>
        </w:rPr>
        <w:t>μ</w:t>
      </w:r>
      <w:r w:rsidR="007905BA" w:rsidRPr="001E4BD2">
        <w:rPr>
          <w:rFonts w:ascii="Times New Roman" w:hAnsi="Times New Roman" w:cs="Times New Roman"/>
          <w:sz w:val="24"/>
          <w:szCs w:val="24"/>
          <w:lang w:val="en-GB"/>
        </w:rPr>
        <w:t xml:space="preserve">g), </w:t>
      </w:r>
      <w:proofErr w:type="spellStart"/>
      <w:r w:rsidR="007905BA" w:rsidRPr="001E4BD2">
        <w:rPr>
          <w:rFonts w:ascii="Times New Roman" w:hAnsi="Times New Roman" w:cs="Times New Roman"/>
          <w:sz w:val="24"/>
          <w:szCs w:val="24"/>
          <w:lang w:val="en-GB"/>
        </w:rPr>
        <w:t>Nadidixic</w:t>
      </w:r>
      <w:proofErr w:type="spellEnd"/>
      <w:r w:rsidR="007905BA" w:rsidRPr="001E4BD2">
        <w:rPr>
          <w:rFonts w:ascii="Times New Roman" w:hAnsi="Times New Roman" w:cs="Times New Roman"/>
          <w:sz w:val="24"/>
          <w:szCs w:val="24"/>
          <w:lang w:val="en-GB"/>
        </w:rPr>
        <w:t xml:space="preserve"> acid (30</w:t>
      </w:r>
      <w:r w:rsidR="007905BA">
        <w:rPr>
          <w:rFonts w:ascii="Times New Roman" w:hAnsi="Times New Roman" w:cs="Times New Roman"/>
          <w:sz w:val="24"/>
          <w:szCs w:val="24"/>
        </w:rPr>
        <w:t>μ</w:t>
      </w:r>
      <w:r w:rsidR="007905BA" w:rsidRPr="001E4BD2">
        <w:rPr>
          <w:rFonts w:ascii="Times New Roman" w:hAnsi="Times New Roman" w:cs="Times New Roman"/>
          <w:sz w:val="24"/>
          <w:szCs w:val="24"/>
          <w:lang w:val="en-GB"/>
        </w:rPr>
        <w:t>g), Sulfamethoxazole/trimethoprim (</w:t>
      </w:r>
      <w:r w:rsidR="00413B53">
        <w:rPr>
          <w:rFonts w:ascii="Times New Roman" w:hAnsi="Times New Roman" w:cs="Times New Roman"/>
          <w:sz w:val="24"/>
          <w:szCs w:val="24"/>
          <w:lang w:val="en-GB"/>
        </w:rPr>
        <w:t>1,25/</w:t>
      </w:r>
      <w:r w:rsidR="007905BA" w:rsidRPr="001E4BD2">
        <w:rPr>
          <w:rFonts w:ascii="Times New Roman" w:hAnsi="Times New Roman" w:cs="Times New Roman"/>
          <w:sz w:val="24"/>
          <w:szCs w:val="24"/>
          <w:lang w:val="en-GB"/>
        </w:rPr>
        <w:t>2</w:t>
      </w:r>
      <w:r w:rsidR="00413B53">
        <w:rPr>
          <w:rFonts w:ascii="Times New Roman" w:hAnsi="Times New Roman" w:cs="Times New Roman"/>
          <w:sz w:val="24"/>
          <w:szCs w:val="24"/>
          <w:lang w:val="en-GB"/>
        </w:rPr>
        <w:t>3,75</w:t>
      </w:r>
      <w:r w:rsidR="007905BA">
        <w:rPr>
          <w:rFonts w:ascii="Times New Roman" w:hAnsi="Times New Roman" w:cs="Times New Roman"/>
          <w:sz w:val="24"/>
          <w:szCs w:val="24"/>
        </w:rPr>
        <w:t>μ</w:t>
      </w:r>
      <w:r w:rsidR="007905BA" w:rsidRPr="001E4BD2">
        <w:rPr>
          <w:rFonts w:ascii="Times New Roman" w:hAnsi="Times New Roman" w:cs="Times New Roman"/>
          <w:sz w:val="24"/>
          <w:szCs w:val="24"/>
          <w:lang w:val="en-GB"/>
        </w:rPr>
        <w:t>g), Ceftazidime (30</w:t>
      </w:r>
      <w:r w:rsidR="007905BA">
        <w:rPr>
          <w:rFonts w:ascii="Times New Roman" w:hAnsi="Times New Roman" w:cs="Times New Roman"/>
          <w:sz w:val="24"/>
          <w:szCs w:val="24"/>
        </w:rPr>
        <w:t>μ</w:t>
      </w:r>
      <w:r w:rsidR="007905BA" w:rsidRPr="001E4BD2">
        <w:rPr>
          <w:rFonts w:ascii="Times New Roman" w:hAnsi="Times New Roman" w:cs="Times New Roman"/>
          <w:sz w:val="24"/>
          <w:szCs w:val="24"/>
          <w:lang w:val="en-GB"/>
        </w:rPr>
        <w:t xml:space="preserve">g), Enrofloxacin </w:t>
      </w:r>
      <w:r w:rsidR="007905BA" w:rsidRPr="001E4BD2">
        <w:rPr>
          <w:rFonts w:ascii="Times New Roman" w:hAnsi="Times New Roman" w:cs="Times New Roman"/>
          <w:sz w:val="24"/>
          <w:szCs w:val="24"/>
          <w:lang w:val="en-GB"/>
        </w:rPr>
        <w:lastRenderedPageBreak/>
        <w:t>(5</w:t>
      </w:r>
      <w:r w:rsidR="007905BA">
        <w:rPr>
          <w:rFonts w:ascii="Times New Roman" w:hAnsi="Times New Roman" w:cs="Times New Roman"/>
          <w:sz w:val="24"/>
          <w:szCs w:val="24"/>
        </w:rPr>
        <w:t>μ</w:t>
      </w:r>
      <w:r w:rsidR="007905BA" w:rsidRPr="001E4BD2">
        <w:rPr>
          <w:rFonts w:ascii="Times New Roman" w:hAnsi="Times New Roman" w:cs="Times New Roman"/>
          <w:sz w:val="24"/>
          <w:szCs w:val="24"/>
          <w:lang w:val="en-GB"/>
        </w:rPr>
        <w:t xml:space="preserve">g). </w:t>
      </w:r>
      <w:r w:rsidR="00927966" w:rsidRPr="001E4BD2">
        <w:rPr>
          <w:rFonts w:ascii="Times New Roman" w:hAnsi="Times New Roman" w:cs="Times New Roman"/>
          <w:sz w:val="24"/>
          <w:lang w:val="en-GB"/>
        </w:rPr>
        <w:t>The reading was made by measuring the diameters of these bright areas (inhibition zone) using the ADAGIO automatic reader</w:t>
      </w:r>
      <w:bookmarkStart w:id="1" w:name="_Hlk201352721"/>
      <w:r w:rsidR="00927966" w:rsidRPr="001E4BD2">
        <w:rPr>
          <w:rFonts w:ascii="Times New Roman" w:hAnsi="Times New Roman" w:cs="Times New Roman"/>
          <w:sz w:val="24"/>
          <w:vertAlign w:val="superscript"/>
          <w:lang w:val="en-GB"/>
        </w:rPr>
        <w:t xml:space="preserve">® </w:t>
      </w:r>
      <w:r w:rsidR="005E107F" w:rsidRPr="001E4BD2">
        <w:rPr>
          <w:rFonts w:ascii="Times New Roman" w:hAnsi="Times New Roman" w:cs="Times New Roman"/>
          <w:sz w:val="24"/>
          <w:lang w:val="en-GB"/>
        </w:rPr>
        <w:t xml:space="preserve">of </w:t>
      </w:r>
      <w:proofErr w:type="spellStart"/>
      <w:r w:rsidR="005E107F" w:rsidRPr="001E4BD2">
        <w:rPr>
          <w:rFonts w:ascii="Times New Roman" w:hAnsi="Times New Roman" w:cs="Times New Roman"/>
          <w:sz w:val="24"/>
          <w:lang w:val="en-GB"/>
        </w:rPr>
        <w:t>BioRad</w:t>
      </w:r>
      <w:proofErr w:type="spellEnd"/>
      <w:r w:rsidR="005E107F" w:rsidRPr="001E4BD2">
        <w:rPr>
          <w:rFonts w:ascii="Times New Roman" w:hAnsi="Times New Roman" w:cs="Times New Roman"/>
          <w:sz w:val="24"/>
          <w:lang w:val="en-GB"/>
        </w:rPr>
        <w:t xml:space="preserve">-France and </w:t>
      </w:r>
      <w:r w:rsidR="00927966" w:rsidRPr="001E4BD2">
        <w:rPr>
          <w:rFonts w:ascii="Times New Roman" w:hAnsi="Times New Roman" w:cs="Times New Roman"/>
          <w:sz w:val="24"/>
          <w:szCs w:val="24"/>
          <w:lang w:val="en-GB"/>
        </w:rPr>
        <w:t>the interpretation was made according to the standards of the EUCAST-CASFM version 2023. The reference strain of</w:t>
      </w:r>
      <w:r w:rsidR="001E4BD2">
        <w:rPr>
          <w:rFonts w:ascii="Times New Roman" w:hAnsi="Times New Roman" w:cs="Times New Roman"/>
          <w:sz w:val="24"/>
          <w:szCs w:val="24"/>
          <w:lang w:val="en-GB"/>
        </w:rPr>
        <w:t xml:space="preserve"> </w:t>
      </w:r>
      <w:r w:rsidR="00927966" w:rsidRPr="001E4BD2">
        <w:rPr>
          <w:rFonts w:ascii="Times New Roman" w:hAnsi="Times New Roman" w:cs="Times New Roman"/>
          <w:i/>
          <w:sz w:val="24"/>
          <w:szCs w:val="24"/>
          <w:lang w:val="en-GB"/>
        </w:rPr>
        <w:t>E. coli</w:t>
      </w:r>
      <w:r w:rsidR="00927966" w:rsidRPr="001E4BD2">
        <w:rPr>
          <w:rFonts w:ascii="Times New Roman" w:hAnsi="Times New Roman" w:cs="Times New Roman"/>
          <w:sz w:val="24"/>
          <w:szCs w:val="24"/>
          <w:lang w:val="en-GB"/>
        </w:rPr>
        <w:t xml:space="preserve"> ATCC25922 was used as quality control for antibiotic susceptibility testing. </w:t>
      </w:r>
      <w:bookmarkEnd w:id="1"/>
    </w:p>
    <w:p w14:paraId="1F0BBDE6" w14:textId="77777777" w:rsidR="00636439" w:rsidRPr="001E4BD2" w:rsidRDefault="00636439" w:rsidP="00636439">
      <w:pPr>
        <w:spacing w:after="0" w:line="360" w:lineRule="auto"/>
        <w:jc w:val="both"/>
        <w:rPr>
          <w:rFonts w:ascii="Times New Roman" w:hAnsi="Times New Roman" w:cs="Times New Roman"/>
          <w:sz w:val="24"/>
          <w:lang w:val="en-GB"/>
        </w:rPr>
      </w:pPr>
      <w:r w:rsidRPr="001E4BD2">
        <w:rPr>
          <w:rFonts w:ascii="Times New Roman" w:hAnsi="Times New Roman" w:cs="Times New Roman"/>
          <w:b/>
          <w:sz w:val="24"/>
          <w:lang w:val="en-GB"/>
        </w:rPr>
        <w:t xml:space="preserve">Detection of the ESBL phenotype according to the double synergy test </w:t>
      </w:r>
    </w:p>
    <w:p w14:paraId="7E750DE9" w14:textId="77F06910" w:rsidR="007905BA" w:rsidRPr="001E4BD2" w:rsidRDefault="00636439" w:rsidP="003919E2">
      <w:pPr>
        <w:spacing w:after="0" w:line="360" w:lineRule="auto"/>
        <w:jc w:val="both"/>
        <w:rPr>
          <w:rFonts w:ascii="Times New Roman" w:hAnsi="Times New Roman" w:cs="Times New Roman"/>
          <w:sz w:val="24"/>
          <w:lang w:val="en-GB"/>
        </w:rPr>
      </w:pPr>
      <w:r w:rsidRPr="001E4BD2">
        <w:rPr>
          <w:rFonts w:ascii="Times New Roman" w:hAnsi="Times New Roman" w:cs="Times New Roman"/>
          <w:sz w:val="24"/>
          <w:lang w:val="en-GB"/>
        </w:rPr>
        <w:t xml:space="preserve">All strains of </w:t>
      </w:r>
      <w:r w:rsidRPr="001E4BD2">
        <w:rPr>
          <w:rFonts w:ascii="Times New Roman" w:hAnsi="Times New Roman" w:cs="Times New Roman"/>
          <w:i/>
          <w:iCs/>
          <w:sz w:val="24"/>
          <w:lang w:val="en-GB"/>
        </w:rPr>
        <w:t>Klebsiella pneumoniae</w:t>
      </w:r>
      <w:r w:rsidRPr="001E4BD2">
        <w:rPr>
          <w:rFonts w:ascii="Times New Roman" w:hAnsi="Times New Roman" w:cs="Times New Roman"/>
          <w:sz w:val="24"/>
          <w:lang w:val="en-GB"/>
        </w:rPr>
        <w:t xml:space="preserve"> isolated from poultry were detected for the production of extended-spectrum beta-lactamase by the double diffusion or double synergy assay. It was conducted under the standard conditions of the antibiogram. Ceftazidime and cefepime discs were placed around an amoxicillin/clavulanic acid disc on Müller-Hinton agar (approximately 15 mm) and then incubated at 37°C for 24 hours. The appearance of an image in the shape of a champagne cork reflects the production of an extended-spectrum beta-lactamase by the strain </w:t>
      </w:r>
      <w:proofErr w:type="spellStart"/>
      <w:r w:rsidRPr="001E4BD2">
        <w:rPr>
          <w:rFonts w:ascii="Times New Roman" w:hAnsi="Times New Roman" w:cs="Times New Roman"/>
          <w:sz w:val="24"/>
          <w:lang w:val="en-GB"/>
        </w:rPr>
        <w:t>of</w:t>
      </w:r>
      <w:r w:rsidRPr="001E4BD2">
        <w:rPr>
          <w:rFonts w:ascii="Times New Roman" w:hAnsi="Times New Roman" w:cs="Times New Roman"/>
          <w:i/>
          <w:sz w:val="24"/>
          <w:lang w:val="en-GB"/>
        </w:rPr>
        <w:t>Escherichia</w:t>
      </w:r>
      <w:proofErr w:type="spellEnd"/>
      <w:r w:rsidRPr="001E4BD2">
        <w:rPr>
          <w:rFonts w:ascii="Times New Roman" w:hAnsi="Times New Roman" w:cs="Times New Roman"/>
          <w:i/>
          <w:sz w:val="24"/>
          <w:lang w:val="en-GB"/>
        </w:rPr>
        <w:t xml:space="preserve"> coli</w:t>
      </w:r>
      <w:r w:rsidRPr="001E4BD2">
        <w:rPr>
          <w:rFonts w:ascii="Times New Roman" w:hAnsi="Times New Roman" w:cs="Times New Roman"/>
          <w:sz w:val="24"/>
          <w:lang w:val="en-GB"/>
        </w:rPr>
        <w:t xml:space="preserve"> Tested </w:t>
      </w:r>
      <w:r w:rsidR="00D7501A">
        <w:rPr>
          <w:rFonts w:ascii="Times New Roman" w:hAnsi="Times New Roman" w:cs="Times New Roman"/>
          <w:sz w:val="24"/>
        </w:rPr>
        <w:fldChar w:fldCharType="begin"/>
      </w:r>
      <w:r w:rsidR="00A97D1E">
        <w:rPr>
          <w:rFonts w:ascii="Times New Roman" w:hAnsi="Times New Roman" w:cs="Times New Roman"/>
          <w:sz w:val="24"/>
          <w:lang w:val="en-GB"/>
        </w:rPr>
        <w:instrText xml:space="preserve"> ADDIN ZOTERO_ITEM CSL_CITATION {"citationID":"6GNpbivI","properties":{"formattedCitation":"(Drieux et al., 2008)","plainCitation":"(Drieux et al., 2008)","noteIndex":0},"citationItems":[{"id":1714,"uris":["http://zotero.org/users/4984961/items/TMW7GNDT"],"itemData":{"id":1714,"type":"article-journal","abstract":"Strains of Enterobacteriaceae producing an extended spectrum beta-lactamase have become a concern in medical bacteriology as regards both antimicrobial treatment and infection control in hospitals. Extended-spectrum beta-lactamase (ESBL) detection tests should accurately discriminate between bacteria producing these enzymes and those with other mechanisms of resistance to beta-lactams, e.g., broad-spectrum beta-lactamases, inhibitor-resistant beta-lactamases and cephalosporinase overproduction. Several phenotypic detection tests, based on the synergy between a third-generation cephalosporin and clavulanate, have been designed: the double-disk synergy test (DDST), ESBL Etests, and the combination disk method. These tests often need to be refined in order for them to detect an ESBL in some bacterial strains, such as those that also overproduce a cephalosporinase. The sensitivity of the DDST can be improved by reducing the distance between the disks of cephalosporins and clavulanate. The use of cefepime, a fourth-generation cephalosporin that is less rapidly inactivated by cephalosporinase than by ESBL, improves the detection of synergy with clavulanate when there is simultaneous stable hyperproduction of a cephalosporinase; alternatively, the cephalosporinase can be inactivated by performing phenotypic tests on a cloxacillin-containing agar. Some beta-lactamases can hydrolyse both third-generation cephalosporins and carbapenems, such as the metallo-beta-lactamases, which are not inhibited by clavulanate, but rather by EDTA. The production of an ESBL masked by a metallo-beta-lactamase can be detected by means of double inhibition by EDTA and clavulanate. Since extended-spectrum Ambler class D oxacillinases are weakly inhibited by clavulanate and not inhibited by EDTA, their detection is difficult in the routine laboratory.","container-title":"Clinical Microbiology and Infection: The Official Publication of the European Society of Clinical Microbiology and Infectious Diseases","DOI":"10.1111/j.1469-0691.2007.01846.x","ISSN":"1198-743X","journalAbbreviation":"Clin Microbiol Infect","language":"eng","note":"PMID: 18154532","page":"90-103","source":"PubMed","title":"Phenotypic detection of extended-spectrum beta-lactamase production in Enterobacteriaceae: review and bench guide","title-short":"Phenotypic detection of extended-spectrum beta-lactamase production in Enterobacteriaceae","volume":"14 Suppl 1","author":[{"family":"Drieux","given":"L."},{"family":"Brossier","given":"F."},{"family":"Sougakoff","given":"W."},{"family":"Jarlier","given":"V."}],"issued":{"date-parts":[["2008",1]]}}}],"schema":"https://github.com/citation-style-language/schema/raw/master/csl-citation.json"} </w:instrText>
      </w:r>
      <w:r w:rsidR="00D7501A">
        <w:rPr>
          <w:rFonts w:ascii="Times New Roman" w:hAnsi="Times New Roman" w:cs="Times New Roman"/>
          <w:sz w:val="24"/>
        </w:rPr>
        <w:fldChar w:fldCharType="separate"/>
      </w:r>
      <w:r w:rsidR="00D7501A" w:rsidRPr="001E4BD2">
        <w:rPr>
          <w:rFonts w:ascii="Times New Roman" w:hAnsi="Times New Roman" w:cs="Times New Roman"/>
          <w:sz w:val="24"/>
          <w:lang w:val="en-GB"/>
        </w:rPr>
        <w:t>(</w:t>
      </w:r>
      <w:proofErr w:type="spellStart"/>
      <w:r w:rsidR="00D7501A" w:rsidRPr="001E4BD2">
        <w:rPr>
          <w:rFonts w:ascii="Times New Roman" w:hAnsi="Times New Roman" w:cs="Times New Roman"/>
          <w:sz w:val="24"/>
          <w:lang w:val="en-GB"/>
        </w:rPr>
        <w:t>Drieux</w:t>
      </w:r>
      <w:proofErr w:type="spellEnd"/>
      <w:r w:rsidR="00D7501A" w:rsidRPr="001E4BD2">
        <w:rPr>
          <w:rFonts w:ascii="Times New Roman" w:hAnsi="Times New Roman" w:cs="Times New Roman"/>
          <w:sz w:val="24"/>
          <w:lang w:val="en-GB"/>
        </w:rPr>
        <w:t xml:space="preserve"> et al., 2008)</w:t>
      </w:r>
      <w:r w:rsidR="00D7501A">
        <w:rPr>
          <w:rFonts w:ascii="Times New Roman" w:hAnsi="Times New Roman" w:cs="Times New Roman"/>
          <w:sz w:val="24"/>
        </w:rPr>
        <w:fldChar w:fldCharType="end"/>
      </w:r>
      <w:r w:rsidR="00D7501A" w:rsidRPr="001E4BD2">
        <w:rPr>
          <w:rFonts w:ascii="Times New Roman" w:hAnsi="Times New Roman" w:cs="Times New Roman"/>
          <w:sz w:val="24"/>
          <w:lang w:val="en-GB"/>
        </w:rPr>
        <w:t>.</w:t>
      </w:r>
    </w:p>
    <w:p w14:paraId="28315FF7" w14:textId="408FAAA3" w:rsidR="00E16940" w:rsidRPr="001E4BD2" w:rsidRDefault="00E16940" w:rsidP="00EC00AA">
      <w:pPr>
        <w:spacing w:before="240" w:after="0" w:line="360" w:lineRule="auto"/>
        <w:jc w:val="both"/>
        <w:rPr>
          <w:rFonts w:ascii="Times New Roman" w:hAnsi="Times New Roman" w:cs="Times New Roman"/>
          <w:b/>
          <w:sz w:val="24"/>
          <w:szCs w:val="24"/>
          <w:lang w:val="en-GB"/>
        </w:rPr>
      </w:pPr>
      <w:r w:rsidRPr="001E4BD2">
        <w:rPr>
          <w:rFonts w:ascii="Times New Roman" w:hAnsi="Times New Roman" w:cs="Times New Roman"/>
          <w:b/>
          <w:sz w:val="24"/>
          <w:szCs w:val="24"/>
          <w:lang w:val="en-GB"/>
        </w:rPr>
        <w:t>Statistical analysis</w:t>
      </w:r>
    </w:p>
    <w:p w14:paraId="466EF16B" w14:textId="1810DC10" w:rsidR="00E762B6" w:rsidRPr="001E4BD2" w:rsidRDefault="00BF580E" w:rsidP="00C218EC">
      <w:pPr>
        <w:spacing w:after="0" w:line="360" w:lineRule="auto"/>
        <w:jc w:val="both"/>
        <w:rPr>
          <w:rFonts w:ascii="Times New Roman" w:hAnsi="Times New Roman" w:cs="Times New Roman"/>
          <w:sz w:val="24"/>
          <w:szCs w:val="24"/>
          <w:lang w:val="en-GB"/>
        </w:rPr>
      </w:pPr>
      <w:r w:rsidRPr="001E4BD2">
        <w:rPr>
          <w:rFonts w:ascii="Times New Roman" w:hAnsi="Times New Roman" w:cs="Times New Roman"/>
          <w:sz w:val="24"/>
          <w:lang w:val="en-GB"/>
        </w:rPr>
        <w:t xml:space="preserve">The data obtained were recorded with Excel software to produce descriptive statistics. </w:t>
      </w:r>
      <w:r w:rsidRPr="001E4BD2">
        <w:rPr>
          <w:rFonts w:ascii="Times New Roman" w:hAnsi="Times New Roman" w:cs="Times New Roman"/>
          <w:sz w:val="24"/>
          <w:szCs w:val="24"/>
          <w:lang w:val="en-GB"/>
        </w:rPr>
        <w:t xml:space="preserve">The results obtained were reported on a sheet and recorded on a computer file, the Excel® software. These inhibition diameter values were interpreted (S= sensitive, I= intermediate, R=resistant) according to the EUCAST-CASFM 2023 reference </w:t>
      </w:r>
      <w:r w:rsidR="00FE1E5B">
        <w:rPr>
          <w:rFonts w:ascii="Times New Roman" w:hAnsi="Times New Roman" w:cs="Times New Roman"/>
          <w:sz w:val="24"/>
          <w:szCs w:val="24"/>
        </w:rPr>
        <w:fldChar w:fldCharType="begin"/>
      </w:r>
      <w:r w:rsidR="00A97D1E">
        <w:rPr>
          <w:rFonts w:ascii="Times New Roman" w:hAnsi="Times New Roman" w:cs="Times New Roman"/>
          <w:sz w:val="24"/>
          <w:szCs w:val="24"/>
          <w:lang w:val="en-GB"/>
        </w:rPr>
        <w:instrText xml:space="preserve"> ADDIN ZOTERO_ITEM CSL_CITATION {"citationID":"qY716DK0","properties":{"formattedCitation":"(CA SFM, 2023)","plainCitation":"(CA SFM, 2023)","noteIndex":0},"citationItems":[{"id":1679,"uris":["http://zotero.org/users/4984961/items/TPQBG3NP"],"itemData":{"id":1679,"type":"webpage","title":"Antimicrobial drug resistance against Escherichia coli and its harmful effect on animal health - PMC","URL":"https://pmc.ncbi.nlm.nih.gov/articles/PMC9297802/","author":[{"family":"CA SFM","given":""}],"accessed":{"date-parts":[["2025",6,13]]},"issued":{"date-parts":[["2023"]]}}}],"schema":"https://github.com/citation-style-language/schema/raw/master/csl-citation.json"} </w:instrText>
      </w:r>
      <w:r w:rsidR="00FE1E5B">
        <w:rPr>
          <w:rFonts w:ascii="Times New Roman" w:hAnsi="Times New Roman" w:cs="Times New Roman"/>
          <w:sz w:val="24"/>
          <w:szCs w:val="24"/>
        </w:rPr>
        <w:fldChar w:fldCharType="separate"/>
      </w:r>
      <w:r w:rsidR="00FE1E5B" w:rsidRPr="001E4BD2">
        <w:rPr>
          <w:rFonts w:ascii="Times New Roman" w:hAnsi="Times New Roman" w:cs="Times New Roman"/>
          <w:sz w:val="24"/>
          <w:lang w:val="en-GB"/>
        </w:rPr>
        <w:t>(CA SFM, 2023)</w:t>
      </w:r>
      <w:r w:rsidR="00FE1E5B">
        <w:rPr>
          <w:rFonts w:ascii="Times New Roman" w:hAnsi="Times New Roman" w:cs="Times New Roman"/>
          <w:sz w:val="24"/>
          <w:szCs w:val="24"/>
        </w:rPr>
        <w:fldChar w:fldCharType="end"/>
      </w:r>
      <w:r w:rsidRPr="001E4BD2">
        <w:rPr>
          <w:rFonts w:ascii="Times New Roman" w:hAnsi="Times New Roman" w:cs="Times New Roman"/>
          <w:sz w:val="24"/>
          <w:szCs w:val="24"/>
          <w:lang w:val="en-GB"/>
        </w:rPr>
        <w:t xml:space="preserve">. The data was </w:t>
      </w:r>
      <w:proofErr w:type="spellStart"/>
      <w:r w:rsidRPr="001E4BD2">
        <w:rPr>
          <w:rFonts w:ascii="Times New Roman" w:hAnsi="Times New Roman" w:cs="Times New Roman"/>
          <w:sz w:val="24"/>
          <w:szCs w:val="24"/>
          <w:lang w:val="en-GB"/>
        </w:rPr>
        <w:t>analyzed</w:t>
      </w:r>
      <w:proofErr w:type="spellEnd"/>
      <w:r w:rsidRPr="001E4BD2">
        <w:rPr>
          <w:rFonts w:ascii="Times New Roman" w:hAnsi="Times New Roman" w:cs="Times New Roman"/>
          <w:sz w:val="24"/>
          <w:szCs w:val="24"/>
          <w:lang w:val="en-GB"/>
        </w:rPr>
        <w:t xml:space="preserve"> by the Graph Pad 5 software. The Chi-2 test was used to determine a possible correlation between different variables for a significance threshold </w:t>
      </w:r>
      <w:r w:rsidRPr="00CA2673">
        <w:rPr>
          <w:rFonts w:ascii="Times New Roman" w:hAnsi="Times New Roman" w:cs="Times New Roman"/>
          <w:sz w:val="24"/>
          <w:szCs w:val="24"/>
        </w:rPr>
        <w:t>α</w:t>
      </w:r>
      <w:r w:rsidRPr="001E4BD2">
        <w:rPr>
          <w:rFonts w:ascii="Times New Roman" w:hAnsi="Times New Roman" w:cs="Times New Roman"/>
          <w:sz w:val="24"/>
          <w:szCs w:val="24"/>
          <w:lang w:val="en-GB"/>
        </w:rPr>
        <w:t xml:space="preserve"> = 0.05.</w:t>
      </w:r>
    </w:p>
    <w:p w14:paraId="40B90EFA" w14:textId="0F38304E" w:rsidR="000B6EE4" w:rsidRPr="001E4BD2" w:rsidRDefault="003919E2" w:rsidP="00C31F99">
      <w:pPr>
        <w:spacing w:before="240" w:after="0" w:line="360" w:lineRule="auto"/>
        <w:jc w:val="both"/>
        <w:rPr>
          <w:rFonts w:ascii="Times New Roman" w:hAnsi="Times New Roman" w:cs="Times New Roman"/>
          <w:b/>
          <w:sz w:val="24"/>
          <w:szCs w:val="24"/>
          <w:lang w:val="en-GB"/>
        </w:rPr>
      </w:pPr>
      <w:r w:rsidRPr="001E4BD2">
        <w:rPr>
          <w:rFonts w:ascii="Times New Roman" w:hAnsi="Times New Roman" w:cs="Times New Roman"/>
          <w:b/>
          <w:sz w:val="24"/>
          <w:szCs w:val="24"/>
          <w:lang w:val="en-GB"/>
        </w:rPr>
        <w:t>3. RESULTS</w:t>
      </w:r>
    </w:p>
    <w:p w14:paraId="16806876" w14:textId="1DCBA095" w:rsidR="00CD4742" w:rsidRPr="001E4BD2" w:rsidRDefault="003919E2" w:rsidP="00EC00AA">
      <w:pPr>
        <w:pStyle w:val="Paragraphedeliste"/>
        <w:spacing w:after="0" w:line="360" w:lineRule="auto"/>
        <w:ind w:left="0"/>
        <w:jc w:val="both"/>
        <w:rPr>
          <w:rFonts w:ascii="Times New Roman" w:hAnsi="Times New Roman" w:cs="Times New Roman"/>
          <w:b/>
          <w:sz w:val="24"/>
          <w:lang w:val="en-GB"/>
        </w:rPr>
      </w:pPr>
      <w:bookmarkStart w:id="2" w:name="_Toc178924534"/>
      <w:r w:rsidRPr="001E4BD2">
        <w:rPr>
          <w:rFonts w:ascii="Times New Roman" w:hAnsi="Times New Roman" w:cs="Times New Roman"/>
          <w:b/>
          <w:sz w:val="24"/>
          <w:lang w:val="en-GB"/>
        </w:rPr>
        <w:t>3.1. Strains collected</w:t>
      </w:r>
      <w:bookmarkEnd w:id="2"/>
    </w:p>
    <w:p w14:paraId="57342FF6" w14:textId="03FC1E8B" w:rsidR="000B6EE4" w:rsidRPr="001E4BD2" w:rsidRDefault="00D62A2C" w:rsidP="00CD4742">
      <w:pPr>
        <w:spacing w:line="360" w:lineRule="auto"/>
        <w:jc w:val="both"/>
        <w:rPr>
          <w:rFonts w:ascii="Times New Roman" w:hAnsi="Times New Roman" w:cs="Times New Roman"/>
          <w:sz w:val="24"/>
          <w:szCs w:val="24"/>
          <w:lang w:val="en-GB"/>
        </w:rPr>
      </w:pPr>
      <w:r w:rsidRPr="001E4BD2">
        <w:rPr>
          <w:rFonts w:ascii="Times New Roman" w:hAnsi="Times New Roman" w:cs="Times New Roman"/>
          <w:sz w:val="24"/>
          <w:szCs w:val="24"/>
          <w:lang w:val="en-GB"/>
        </w:rPr>
        <w:t xml:space="preserve">A total of 414 cloacal swabs obtained from broiler poultry and egg layers were sampled in three </w:t>
      </w:r>
      <w:r w:rsidR="001D1070">
        <w:rPr>
          <w:rFonts w:ascii="Times New Roman" w:hAnsi="Times New Roman" w:cs="Times New Roman"/>
          <w:sz w:val="24"/>
          <w:szCs w:val="24"/>
          <w:lang w:val="en-GB"/>
        </w:rPr>
        <w:t>municipalities</w:t>
      </w:r>
      <w:r w:rsidRPr="001E4BD2">
        <w:rPr>
          <w:rFonts w:ascii="Times New Roman" w:hAnsi="Times New Roman" w:cs="Times New Roman"/>
          <w:sz w:val="24"/>
          <w:szCs w:val="24"/>
          <w:lang w:val="en-GB"/>
        </w:rPr>
        <w:t xml:space="preserve"> of the District of Abidjan: </w:t>
      </w:r>
      <w:proofErr w:type="spellStart"/>
      <w:r w:rsidRPr="001E4BD2">
        <w:rPr>
          <w:rFonts w:ascii="Times New Roman" w:hAnsi="Times New Roman" w:cs="Times New Roman"/>
          <w:sz w:val="24"/>
          <w:szCs w:val="24"/>
          <w:lang w:val="en-GB"/>
        </w:rPr>
        <w:t>Cocody</w:t>
      </w:r>
      <w:proofErr w:type="spellEnd"/>
      <w:r w:rsidRPr="001E4BD2">
        <w:rPr>
          <w:rFonts w:ascii="Times New Roman" w:hAnsi="Times New Roman" w:cs="Times New Roman"/>
          <w:sz w:val="24"/>
          <w:szCs w:val="24"/>
          <w:lang w:val="en-GB"/>
        </w:rPr>
        <w:t xml:space="preserve">, </w:t>
      </w:r>
      <w:proofErr w:type="spellStart"/>
      <w:r w:rsidRPr="001E4BD2">
        <w:rPr>
          <w:rFonts w:ascii="Times New Roman" w:hAnsi="Times New Roman" w:cs="Times New Roman"/>
          <w:sz w:val="24"/>
          <w:szCs w:val="24"/>
          <w:lang w:val="en-GB"/>
        </w:rPr>
        <w:t>Yopougon</w:t>
      </w:r>
      <w:proofErr w:type="spellEnd"/>
      <w:r w:rsidRPr="001E4BD2">
        <w:rPr>
          <w:rFonts w:ascii="Times New Roman" w:hAnsi="Times New Roman" w:cs="Times New Roman"/>
          <w:sz w:val="24"/>
          <w:szCs w:val="24"/>
          <w:lang w:val="en-GB"/>
        </w:rPr>
        <w:t xml:space="preserve"> and </w:t>
      </w:r>
      <w:proofErr w:type="spellStart"/>
      <w:r w:rsidRPr="001E4BD2">
        <w:rPr>
          <w:rFonts w:ascii="Times New Roman" w:hAnsi="Times New Roman" w:cs="Times New Roman"/>
          <w:sz w:val="24"/>
          <w:szCs w:val="24"/>
          <w:lang w:val="en-GB"/>
        </w:rPr>
        <w:t>Bingerville</w:t>
      </w:r>
      <w:proofErr w:type="spellEnd"/>
      <w:r w:rsidRPr="001E4BD2">
        <w:rPr>
          <w:rFonts w:ascii="Times New Roman" w:hAnsi="Times New Roman" w:cs="Times New Roman"/>
          <w:sz w:val="24"/>
          <w:szCs w:val="24"/>
          <w:lang w:val="en-GB"/>
        </w:rPr>
        <w:t xml:space="preserve">. The distribution of samples by collection site is recorded in </w:t>
      </w:r>
      <w:r w:rsidR="00B21D04" w:rsidRPr="001E4BD2">
        <w:rPr>
          <w:rFonts w:ascii="Times New Roman" w:hAnsi="Times New Roman" w:cs="Times New Roman"/>
          <w:b/>
          <w:bCs/>
          <w:sz w:val="24"/>
          <w:szCs w:val="24"/>
          <w:lang w:val="en-GB"/>
        </w:rPr>
        <w:t>Table I</w:t>
      </w:r>
      <w:r w:rsidR="00B21D04" w:rsidRPr="001E4BD2">
        <w:rPr>
          <w:rFonts w:ascii="Times New Roman" w:hAnsi="Times New Roman" w:cs="Times New Roman"/>
          <w:sz w:val="24"/>
          <w:szCs w:val="24"/>
          <w:lang w:val="en-GB"/>
        </w:rPr>
        <w:t xml:space="preserve">. From the various cloacal swabs, 414 bacterial strains were isolated. These isolates were composed of 50.7% </w:t>
      </w:r>
      <w:r w:rsidR="00FC54AE" w:rsidRPr="001E4BD2">
        <w:rPr>
          <w:rFonts w:ascii="Times New Roman" w:hAnsi="Times New Roman" w:cs="Times New Roman"/>
          <w:i/>
          <w:iCs/>
          <w:sz w:val="24"/>
          <w:szCs w:val="24"/>
          <w:lang w:val="en-GB"/>
        </w:rPr>
        <w:t xml:space="preserve">Escherichia coli </w:t>
      </w:r>
      <w:r w:rsidR="00B15A82" w:rsidRPr="001E4BD2">
        <w:rPr>
          <w:rFonts w:ascii="Times New Roman" w:hAnsi="Times New Roman" w:cs="Times New Roman"/>
          <w:sz w:val="24"/>
          <w:szCs w:val="24"/>
          <w:lang w:val="en-GB"/>
        </w:rPr>
        <w:t xml:space="preserve">(n=210) and 46.7% </w:t>
      </w:r>
      <w:r w:rsidR="00791FD7" w:rsidRPr="001E4BD2">
        <w:rPr>
          <w:rFonts w:ascii="Times New Roman" w:hAnsi="Times New Roman" w:cs="Times New Roman"/>
          <w:i/>
          <w:sz w:val="24"/>
          <w:szCs w:val="24"/>
          <w:lang w:val="en-GB"/>
        </w:rPr>
        <w:t>Klebsiella pneumoniae</w:t>
      </w:r>
      <w:r w:rsidR="00B15A82" w:rsidRPr="001E4BD2">
        <w:rPr>
          <w:rFonts w:ascii="Times New Roman" w:hAnsi="Times New Roman" w:cs="Times New Roman"/>
          <w:iCs/>
          <w:sz w:val="24"/>
          <w:szCs w:val="24"/>
          <w:lang w:val="en-GB"/>
        </w:rPr>
        <w:t xml:space="preserve"> (n=192) </w:t>
      </w:r>
      <w:r w:rsidR="00B15A82" w:rsidRPr="001E4BD2">
        <w:rPr>
          <w:rFonts w:ascii="Times New Roman" w:hAnsi="Times New Roman" w:cs="Times New Roman"/>
          <w:sz w:val="24"/>
          <w:szCs w:val="24"/>
          <w:lang w:val="en-GB"/>
        </w:rPr>
        <w:t xml:space="preserve">and 2.9% </w:t>
      </w:r>
      <w:proofErr w:type="spellStart"/>
      <w:r w:rsidR="00B15A82" w:rsidRPr="001E4BD2">
        <w:rPr>
          <w:rFonts w:ascii="Times New Roman" w:hAnsi="Times New Roman" w:cs="Times New Roman"/>
          <w:i/>
          <w:iCs/>
          <w:sz w:val="24"/>
          <w:szCs w:val="24"/>
          <w:lang w:val="en-GB"/>
        </w:rPr>
        <w:t>Enteroabacter</w:t>
      </w:r>
      <w:proofErr w:type="spellEnd"/>
      <w:r w:rsidR="00B15A82" w:rsidRPr="001E4BD2">
        <w:rPr>
          <w:rFonts w:ascii="Times New Roman" w:hAnsi="Times New Roman" w:cs="Times New Roman"/>
          <w:i/>
          <w:iCs/>
          <w:sz w:val="24"/>
          <w:szCs w:val="24"/>
          <w:lang w:val="en-GB"/>
        </w:rPr>
        <w:t xml:space="preserve"> cloacae </w:t>
      </w:r>
      <w:r w:rsidR="00B15A82" w:rsidRPr="001E4BD2">
        <w:rPr>
          <w:rFonts w:ascii="Times New Roman" w:hAnsi="Times New Roman" w:cs="Times New Roman"/>
          <w:sz w:val="24"/>
          <w:szCs w:val="24"/>
          <w:lang w:val="en-GB"/>
        </w:rPr>
        <w:t xml:space="preserve">(n=12).  </w:t>
      </w:r>
    </w:p>
    <w:p w14:paraId="0544BCCA" w14:textId="0DD5FA82" w:rsidR="00851EDA" w:rsidRPr="001E4BD2" w:rsidRDefault="00F10C4C" w:rsidP="00CD4742">
      <w:pPr>
        <w:spacing w:line="360" w:lineRule="auto"/>
        <w:jc w:val="both"/>
        <w:rPr>
          <w:rFonts w:ascii="Times New Roman" w:hAnsi="Times New Roman" w:cs="Times New Roman"/>
          <w:b/>
          <w:bCs/>
          <w:sz w:val="24"/>
          <w:szCs w:val="24"/>
          <w:lang w:val="en-GB"/>
        </w:rPr>
      </w:pPr>
      <w:r w:rsidRPr="001E4BD2">
        <w:rPr>
          <w:rFonts w:ascii="Times New Roman" w:hAnsi="Times New Roman" w:cs="Times New Roman"/>
          <w:b/>
          <w:bCs/>
          <w:sz w:val="24"/>
          <w:szCs w:val="24"/>
          <w:lang w:val="en-GB"/>
        </w:rPr>
        <w:t xml:space="preserve">Table I: </w:t>
      </w:r>
      <w:r w:rsidRPr="001E4BD2">
        <w:rPr>
          <w:rFonts w:ascii="Times New Roman" w:hAnsi="Times New Roman" w:cs="Times New Roman"/>
          <w:b/>
          <w:bCs/>
          <w:color w:val="000000" w:themeColor="text1"/>
          <w:sz w:val="24"/>
          <w:lang w:val="en-GB"/>
        </w:rPr>
        <w:t>Distribution of samples by collection site</w:t>
      </w:r>
    </w:p>
    <w:tbl>
      <w:tblPr>
        <w:tblStyle w:val="Tableausimple2"/>
        <w:tblW w:w="0" w:type="auto"/>
        <w:tblInd w:w="5" w:type="dxa"/>
        <w:tblLook w:val="04A0" w:firstRow="1" w:lastRow="0" w:firstColumn="1" w:lastColumn="0" w:noHBand="0" w:noVBand="1"/>
      </w:tblPr>
      <w:tblGrid>
        <w:gridCol w:w="3020"/>
        <w:gridCol w:w="3021"/>
        <w:gridCol w:w="3021"/>
      </w:tblGrid>
      <w:tr w:rsidR="00711C0F" w:rsidRPr="001D1070" w14:paraId="76B0998C" w14:textId="77777777" w:rsidTr="00E675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487143CC" w14:textId="74D718B6" w:rsidR="00711C0F" w:rsidRPr="001D1070" w:rsidRDefault="001D1070" w:rsidP="00CD4742">
            <w:pPr>
              <w:spacing w:line="360" w:lineRule="auto"/>
              <w:jc w:val="both"/>
              <w:rPr>
                <w:rFonts w:ascii="Times New Roman" w:hAnsi="Times New Roman" w:cs="Times New Roman"/>
                <w:sz w:val="24"/>
                <w:szCs w:val="24"/>
                <w:lang w:val="en-GB"/>
              </w:rPr>
            </w:pPr>
            <w:r w:rsidRPr="001D1070">
              <w:rPr>
                <w:rFonts w:ascii="Times New Roman" w:hAnsi="Times New Roman" w:cs="Times New Roman"/>
                <w:sz w:val="24"/>
                <w:szCs w:val="24"/>
                <w:lang w:val="en-GB"/>
              </w:rPr>
              <w:t>Municipality</w:t>
            </w:r>
          </w:p>
        </w:tc>
        <w:tc>
          <w:tcPr>
            <w:tcW w:w="3021" w:type="dxa"/>
          </w:tcPr>
          <w:p w14:paraId="3C42D588" w14:textId="1C112C42" w:rsidR="00711C0F" w:rsidRPr="001D1070" w:rsidRDefault="00711C0F" w:rsidP="00F10C4C">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1D1070">
              <w:rPr>
                <w:rFonts w:ascii="Times New Roman" w:hAnsi="Times New Roman" w:cs="Times New Roman"/>
                <w:sz w:val="24"/>
                <w:szCs w:val="24"/>
                <w:lang w:val="en-GB"/>
              </w:rPr>
              <w:t>Number of samples (n)</w:t>
            </w:r>
          </w:p>
        </w:tc>
        <w:tc>
          <w:tcPr>
            <w:tcW w:w="3021" w:type="dxa"/>
          </w:tcPr>
          <w:p w14:paraId="6B0695E0" w14:textId="0B16C080" w:rsidR="00711C0F" w:rsidRPr="001D1070" w:rsidRDefault="00711C0F" w:rsidP="00F10C4C">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1D1070">
              <w:rPr>
                <w:rFonts w:ascii="Times New Roman" w:hAnsi="Times New Roman" w:cs="Times New Roman"/>
                <w:sz w:val="24"/>
                <w:szCs w:val="24"/>
                <w:lang w:val="en-GB"/>
              </w:rPr>
              <w:t>Proportion (%)</w:t>
            </w:r>
          </w:p>
        </w:tc>
      </w:tr>
      <w:tr w:rsidR="00711C0F" w:rsidRPr="001D1070" w14:paraId="66AC423E" w14:textId="77777777" w:rsidTr="00E675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6FFF94B4" w14:textId="62A7AEC8" w:rsidR="00711C0F" w:rsidRPr="001D1070" w:rsidRDefault="00711C0F" w:rsidP="00CD4742">
            <w:pPr>
              <w:spacing w:line="360" w:lineRule="auto"/>
              <w:jc w:val="both"/>
              <w:rPr>
                <w:rFonts w:ascii="Times New Roman" w:hAnsi="Times New Roman" w:cs="Times New Roman"/>
                <w:sz w:val="24"/>
                <w:szCs w:val="24"/>
                <w:lang w:val="en-GB"/>
              </w:rPr>
            </w:pPr>
            <w:bookmarkStart w:id="3" w:name="_Hlk201663205"/>
            <w:proofErr w:type="spellStart"/>
            <w:r w:rsidRPr="001D1070">
              <w:rPr>
                <w:rFonts w:ascii="Times New Roman" w:hAnsi="Times New Roman" w:cs="Times New Roman"/>
                <w:sz w:val="24"/>
                <w:szCs w:val="24"/>
                <w:lang w:val="en-GB"/>
              </w:rPr>
              <w:t>Cocody</w:t>
            </w:r>
            <w:proofErr w:type="spellEnd"/>
          </w:p>
        </w:tc>
        <w:tc>
          <w:tcPr>
            <w:tcW w:w="3021" w:type="dxa"/>
          </w:tcPr>
          <w:p w14:paraId="3AF8BF8B" w14:textId="58051731" w:rsidR="00711C0F" w:rsidRPr="001D1070" w:rsidRDefault="00335EF2" w:rsidP="00F10C4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1D1070">
              <w:rPr>
                <w:rFonts w:ascii="Times New Roman" w:hAnsi="Times New Roman" w:cs="Times New Roman"/>
                <w:sz w:val="24"/>
                <w:szCs w:val="24"/>
                <w:lang w:val="en-GB"/>
              </w:rPr>
              <w:t>348</w:t>
            </w:r>
          </w:p>
        </w:tc>
        <w:tc>
          <w:tcPr>
            <w:tcW w:w="3021" w:type="dxa"/>
          </w:tcPr>
          <w:p w14:paraId="73D8FE9A" w14:textId="1110EA3F" w:rsidR="00711C0F" w:rsidRPr="001D1070" w:rsidRDefault="00F10C4C" w:rsidP="00F10C4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1D1070">
              <w:rPr>
                <w:rFonts w:ascii="Times New Roman" w:hAnsi="Times New Roman" w:cs="Times New Roman"/>
                <w:sz w:val="24"/>
                <w:szCs w:val="24"/>
                <w:lang w:val="en-GB"/>
              </w:rPr>
              <w:t>84,10</w:t>
            </w:r>
          </w:p>
        </w:tc>
      </w:tr>
      <w:tr w:rsidR="00711C0F" w:rsidRPr="001D1070" w14:paraId="70A892C0" w14:textId="77777777" w:rsidTr="00E675B9">
        <w:tc>
          <w:tcPr>
            <w:cnfStyle w:val="001000000000" w:firstRow="0" w:lastRow="0" w:firstColumn="1" w:lastColumn="0" w:oddVBand="0" w:evenVBand="0" w:oddHBand="0" w:evenHBand="0" w:firstRowFirstColumn="0" w:firstRowLastColumn="0" w:lastRowFirstColumn="0" w:lastRowLastColumn="0"/>
            <w:tcW w:w="3020" w:type="dxa"/>
          </w:tcPr>
          <w:p w14:paraId="79763EBA" w14:textId="64A244AC" w:rsidR="00711C0F" w:rsidRPr="001D1070" w:rsidRDefault="00711C0F" w:rsidP="00CD4742">
            <w:pPr>
              <w:spacing w:line="360" w:lineRule="auto"/>
              <w:jc w:val="both"/>
              <w:rPr>
                <w:rFonts w:ascii="Times New Roman" w:hAnsi="Times New Roman" w:cs="Times New Roman"/>
                <w:sz w:val="24"/>
                <w:szCs w:val="24"/>
                <w:lang w:val="en-GB"/>
              </w:rPr>
            </w:pPr>
            <w:proofErr w:type="spellStart"/>
            <w:r w:rsidRPr="001D1070">
              <w:rPr>
                <w:rFonts w:ascii="Times New Roman" w:hAnsi="Times New Roman" w:cs="Times New Roman"/>
                <w:sz w:val="24"/>
                <w:szCs w:val="24"/>
                <w:lang w:val="en-GB"/>
              </w:rPr>
              <w:t>Yopougon</w:t>
            </w:r>
            <w:proofErr w:type="spellEnd"/>
          </w:p>
        </w:tc>
        <w:tc>
          <w:tcPr>
            <w:tcW w:w="3021" w:type="dxa"/>
          </w:tcPr>
          <w:p w14:paraId="48516F97" w14:textId="1D99F6B7" w:rsidR="00711C0F" w:rsidRPr="001D1070" w:rsidRDefault="00335EF2" w:rsidP="00F10C4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1D1070">
              <w:rPr>
                <w:rFonts w:ascii="Times New Roman" w:hAnsi="Times New Roman" w:cs="Times New Roman"/>
                <w:sz w:val="24"/>
                <w:szCs w:val="24"/>
                <w:lang w:val="en-GB"/>
              </w:rPr>
              <w:t>39</w:t>
            </w:r>
          </w:p>
        </w:tc>
        <w:tc>
          <w:tcPr>
            <w:tcW w:w="3021" w:type="dxa"/>
          </w:tcPr>
          <w:p w14:paraId="7732BDCF" w14:textId="58850E71" w:rsidR="00711C0F" w:rsidRPr="001D1070" w:rsidRDefault="00F10C4C" w:rsidP="00F10C4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1D1070">
              <w:rPr>
                <w:rFonts w:ascii="Times New Roman" w:hAnsi="Times New Roman" w:cs="Times New Roman"/>
                <w:sz w:val="24"/>
                <w:szCs w:val="24"/>
                <w:lang w:val="en-GB"/>
              </w:rPr>
              <w:t>9,40</w:t>
            </w:r>
          </w:p>
        </w:tc>
      </w:tr>
      <w:tr w:rsidR="00711C0F" w:rsidRPr="001D1070" w14:paraId="079EBCEE" w14:textId="77777777" w:rsidTr="00E675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0E12C6F7" w14:textId="6BC4465B" w:rsidR="00711C0F" w:rsidRPr="001D1070" w:rsidRDefault="00711C0F" w:rsidP="00CD4742">
            <w:pPr>
              <w:spacing w:line="360" w:lineRule="auto"/>
              <w:jc w:val="both"/>
              <w:rPr>
                <w:rFonts w:ascii="Times New Roman" w:hAnsi="Times New Roman" w:cs="Times New Roman"/>
                <w:sz w:val="24"/>
                <w:szCs w:val="24"/>
                <w:lang w:val="en-GB"/>
              </w:rPr>
            </w:pPr>
            <w:proofErr w:type="spellStart"/>
            <w:r w:rsidRPr="001D1070">
              <w:rPr>
                <w:rFonts w:ascii="Times New Roman" w:hAnsi="Times New Roman" w:cs="Times New Roman"/>
                <w:sz w:val="24"/>
                <w:szCs w:val="24"/>
                <w:lang w:val="en-GB"/>
              </w:rPr>
              <w:t>Bingerville</w:t>
            </w:r>
            <w:proofErr w:type="spellEnd"/>
          </w:p>
        </w:tc>
        <w:tc>
          <w:tcPr>
            <w:tcW w:w="3021" w:type="dxa"/>
          </w:tcPr>
          <w:p w14:paraId="0167A4E9" w14:textId="16ED0308" w:rsidR="00711C0F" w:rsidRPr="001D1070" w:rsidRDefault="00335EF2" w:rsidP="00F10C4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1D1070">
              <w:rPr>
                <w:rFonts w:ascii="Times New Roman" w:hAnsi="Times New Roman" w:cs="Times New Roman"/>
                <w:sz w:val="24"/>
                <w:szCs w:val="24"/>
                <w:lang w:val="en-GB"/>
              </w:rPr>
              <w:t>27</w:t>
            </w:r>
          </w:p>
        </w:tc>
        <w:tc>
          <w:tcPr>
            <w:tcW w:w="3021" w:type="dxa"/>
          </w:tcPr>
          <w:p w14:paraId="002E3473" w14:textId="4D78E020" w:rsidR="00711C0F" w:rsidRPr="001D1070" w:rsidRDefault="00711C0F" w:rsidP="00F10C4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1D1070">
              <w:rPr>
                <w:rFonts w:ascii="Times New Roman" w:hAnsi="Times New Roman" w:cs="Times New Roman"/>
                <w:sz w:val="24"/>
                <w:szCs w:val="24"/>
                <w:lang w:val="en-GB"/>
              </w:rPr>
              <w:t>6,50</w:t>
            </w:r>
          </w:p>
        </w:tc>
      </w:tr>
      <w:bookmarkEnd w:id="3"/>
      <w:tr w:rsidR="00F10C4C" w:rsidRPr="001D1070" w14:paraId="368AB1F2" w14:textId="77777777" w:rsidTr="00E675B9">
        <w:tc>
          <w:tcPr>
            <w:cnfStyle w:val="001000000000" w:firstRow="0" w:lastRow="0" w:firstColumn="1" w:lastColumn="0" w:oddVBand="0" w:evenVBand="0" w:oddHBand="0" w:evenHBand="0" w:firstRowFirstColumn="0" w:firstRowLastColumn="0" w:lastRowFirstColumn="0" w:lastRowLastColumn="0"/>
            <w:tcW w:w="3020" w:type="dxa"/>
          </w:tcPr>
          <w:p w14:paraId="7F7AEB10" w14:textId="1169ADFA" w:rsidR="00F10C4C" w:rsidRPr="001D1070" w:rsidRDefault="00F10C4C" w:rsidP="00CD4742">
            <w:pPr>
              <w:spacing w:line="360" w:lineRule="auto"/>
              <w:jc w:val="both"/>
              <w:rPr>
                <w:rFonts w:ascii="Times New Roman" w:hAnsi="Times New Roman" w:cs="Times New Roman"/>
                <w:sz w:val="24"/>
                <w:szCs w:val="24"/>
                <w:lang w:val="en-GB"/>
              </w:rPr>
            </w:pPr>
            <w:r w:rsidRPr="001D1070">
              <w:rPr>
                <w:rFonts w:ascii="Times New Roman" w:hAnsi="Times New Roman" w:cs="Times New Roman"/>
                <w:sz w:val="24"/>
                <w:szCs w:val="24"/>
                <w:lang w:val="en-GB"/>
              </w:rPr>
              <w:lastRenderedPageBreak/>
              <w:t>Total</w:t>
            </w:r>
          </w:p>
        </w:tc>
        <w:tc>
          <w:tcPr>
            <w:tcW w:w="3021" w:type="dxa"/>
          </w:tcPr>
          <w:p w14:paraId="2998BAE7" w14:textId="6B8CA6F7" w:rsidR="00F10C4C" w:rsidRPr="001D1070" w:rsidRDefault="00335EF2" w:rsidP="00F10C4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1D1070">
              <w:rPr>
                <w:rFonts w:ascii="Times New Roman" w:hAnsi="Times New Roman" w:cs="Times New Roman"/>
                <w:sz w:val="24"/>
                <w:szCs w:val="24"/>
                <w:lang w:val="en-GB"/>
              </w:rPr>
              <w:t>414</w:t>
            </w:r>
          </w:p>
        </w:tc>
        <w:tc>
          <w:tcPr>
            <w:tcW w:w="3021" w:type="dxa"/>
          </w:tcPr>
          <w:p w14:paraId="634704A9" w14:textId="0E39CA06" w:rsidR="00F10C4C" w:rsidRPr="001D1070" w:rsidRDefault="00F10C4C" w:rsidP="00F10C4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1D1070">
              <w:rPr>
                <w:rFonts w:ascii="Times New Roman" w:hAnsi="Times New Roman" w:cs="Times New Roman"/>
                <w:sz w:val="24"/>
                <w:szCs w:val="24"/>
                <w:lang w:val="en-GB"/>
              </w:rPr>
              <w:t>100</w:t>
            </w:r>
          </w:p>
        </w:tc>
      </w:tr>
    </w:tbl>
    <w:p w14:paraId="7036A4E4" w14:textId="77777777" w:rsidR="00FC54AE" w:rsidRDefault="00FC54AE" w:rsidP="00CD4742">
      <w:pPr>
        <w:spacing w:line="360" w:lineRule="auto"/>
        <w:jc w:val="both"/>
        <w:rPr>
          <w:rFonts w:ascii="Times New Roman" w:hAnsi="Times New Roman" w:cs="Times New Roman"/>
          <w:sz w:val="24"/>
          <w:szCs w:val="24"/>
        </w:rPr>
      </w:pPr>
    </w:p>
    <w:p w14:paraId="0820D9F2" w14:textId="21BA0CF4" w:rsidR="008E1082" w:rsidRPr="001E4BD2" w:rsidRDefault="003919E2" w:rsidP="003919E2">
      <w:pPr>
        <w:spacing w:after="0" w:line="360" w:lineRule="auto"/>
        <w:jc w:val="both"/>
        <w:rPr>
          <w:rFonts w:ascii="Times New Roman" w:hAnsi="Times New Roman" w:cs="Times New Roman"/>
          <w:sz w:val="24"/>
          <w:szCs w:val="24"/>
          <w:lang w:val="en-GB"/>
        </w:rPr>
      </w:pPr>
      <w:r w:rsidRPr="001E4BD2">
        <w:rPr>
          <w:rFonts w:ascii="Times New Roman" w:hAnsi="Times New Roman" w:cs="Times New Roman"/>
          <w:b/>
          <w:sz w:val="24"/>
          <w:szCs w:val="24"/>
          <w:lang w:val="en-GB"/>
        </w:rPr>
        <w:t xml:space="preserve">3.2. Distribution of </w:t>
      </w:r>
      <w:r w:rsidR="008E1082" w:rsidRPr="001E4BD2">
        <w:rPr>
          <w:rFonts w:ascii="Times New Roman" w:hAnsi="Times New Roman" w:cs="Times New Roman"/>
          <w:b/>
          <w:i/>
          <w:sz w:val="24"/>
          <w:szCs w:val="24"/>
          <w:lang w:val="en-GB"/>
        </w:rPr>
        <w:t>Klebsiella pneumoniae</w:t>
      </w:r>
      <w:r w:rsidR="008E1082" w:rsidRPr="001E4BD2">
        <w:rPr>
          <w:rFonts w:ascii="Times New Roman" w:hAnsi="Times New Roman" w:cs="Times New Roman"/>
          <w:b/>
          <w:sz w:val="24"/>
          <w:szCs w:val="24"/>
          <w:lang w:val="en-GB"/>
        </w:rPr>
        <w:t xml:space="preserve"> strains according to collection sites</w:t>
      </w:r>
    </w:p>
    <w:p w14:paraId="6F55C9C4" w14:textId="74603C08" w:rsidR="007C3F71" w:rsidRPr="001E4BD2" w:rsidRDefault="00FC54AE" w:rsidP="003919E2">
      <w:pPr>
        <w:spacing w:after="0" w:line="360" w:lineRule="auto"/>
        <w:jc w:val="both"/>
        <w:rPr>
          <w:rFonts w:ascii="Times New Roman" w:hAnsi="Times New Roman" w:cs="Times New Roman"/>
          <w:sz w:val="24"/>
          <w:szCs w:val="24"/>
          <w:lang w:val="en-GB"/>
        </w:rPr>
      </w:pPr>
      <w:r w:rsidRPr="001E4BD2">
        <w:rPr>
          <w:rFonts w:ascii="Times New Roman" w:hAnsi="Times New Roman" w:cs="Times New Roman"/>
          <w:sz w:val="24"/>
          <w:szCs w:val="24"/>
          <w:lang w:val="en-GB"/>
        </w:rPr>
        <w:t xml:space="preserve">The search for </w:t>
      </w:r>
      <w:r w:rsidR="00767908" w:rsidRPr="001E4BD2">
        <w:rPr>
          <w:rFonts w:ascii="Times New Roman" w:hAnsi="Times New Roman" w:cs="Times New Roman"/>
          <w:iCs/>
          <w:sz w:val="24"/>
          <w:szCs w:val="24"/>
          <w:lang w:val="en-GB"/>
        </w:rPr>
        <w:t xml:space="preserve">bacteria </w:t>
      </w:r>
      <w:r w:rsidRPr="001E4BD2">
        <w:rPr>
          <w:rFonts w:ascii="Times New Roman" w:hAnsi="Times New Roman" w:cs="Times New Roman"/>
          <w:sz w:val="24"/>
          <w:szCs w:val="24"/>
          <w:lang w:val="en-GB"/>
        </w:rPr>
        <w:t xml:space="preserve">in poultry droppings detected the presence of 192 strains of </w:t>
      </w:r>
      <w:r w:rsidR="00767908" w:rsidRPr="001E4BD2">
        <w:rPr>
          <w:rFonts w:ascii="Times New Roman" w:hAnsi="Times New Roman" w:cs="Times New Roman"/>
          <w:i/>
          <w:sz w:val="24"/>
          <w:szCs w:val="24"/>
          <w:lang w:val="en-GB"/>
        </w:rPr>
        <w:t>Klebsiella pneumoniae</w:t>
      </w:r>
      <w:r w:rsidR="00BB3339" w:rsidRPr="001E4BD2">
        <w:rPr>
          <w:rFonts w:ascii="Times New Roman" w:hAnsi="Times New Roman" w:cs="Times New Roman"/>
          <w:sz w:val="24"/>
          <w:szCs w:val="24"/>
          <w:lang w:val="en-GB"/>
        </w:rPr>
        <w:t xml:space="preserve">. The majority of these germs (93.75%; 180/192) came from the </w:t>
      </w:r>
      <w:r w:rsidR="001D1070">
        <w:rPr>
          <w:rFonts w:ascii="Times New Roman" w:hAnsi="Times New Roman" w:cs="Times New Roman"/>
          <w:sz w:val="24"/>
          <w:szCs w:val="24"/>
          <w:lang w:val="en-GB"/>
        </w:rPr>
        <w:t>municipality</w:t>
      </w:r>
      <w:r w:rsidR="00BB3339" w:rsidRPr="001E4BD2">
        <w:rPr>
          <w:rFonts w:ascii="Times New Roman" w:hAnsi="Times New Roman" w:cs="Times New Roman"/>
          <w:sz w:val="24"/>
          <w:szCs w:val="24"/>
          <w:lang w:val="en-GB"/>
        </w:rPr>
        <w:t xml:space="preserve"> of </w:t>
      </w:r>
      <w:proofErr w:type="spellStart"/>
      <w:r w:rsidR="00BB3339" w:rsidRPr="001E4BD2">
        <w:rPr>
          <w:rFonts w:ascii="Times New Roman" w:hAnsi="Times New Roman" w:cs="Times New Roman"/>
          <w:sz w:val="24"/>
          <w:szCs w:val="24"/>
          <w:lang w:val="en-GB"/>
        </w:rPr>
        <w:t>Cocody</w:t>
      </w:r>
      <w:proofErr w:type="spellEnd"/>
      <w:r w:rsidR="00BB3339" w:rsidRPr="001E4BD2">
        <w:rPr>
          <w:rFonts w:ascii="Times New Roman" w:hAnsi="Times New Roman" w:cs="Times New Roman"/>
          <w:sz w:val="24"/>
          <w:szCs w:val="24"/>
          <w:lang w:val="en-GB"/>
        </w:rPr>
        <w:t xml:space="preserve">. Figure </w:t>
      </w:r>
      <w:r w:rsidR="005D1036" w:rsidRPr="001E4BD2">
        <w:rPr>
          <w:rFonts w:ascii="Times New Roman" w:hAnsi="Times New Roman" w:cs="Times New Roman"/>
          <w:b/>
          <w:bCs/>
          <w:sz w:val="24"/>
          <w:szCs w:val="24"/>
          <w:lang w:val="en-GB"/>
        </w:rPr>
        <w:t>1</w:t>
      </w:r>
      <w:r w:rsidR="005D1036" w:rsidRPr="001E4BD2">
        <w:rPr>
          <w:rFonts w:ascii="Times New Roman" w:hAnsi="Times New Roman" w:cs="Times New Roman"/>
          <w:sz w:val="24"/>
          <w:szCs w:val="24"/>
          <w:lang w:val="en-GB"/>
        </w:rPr>
        <w:t xml:space="preserve"> shows the distribution of </w:t>
      </w:r>
      <w:r w:rsidR="00791FD7" w:rsidRPr="001E4BD2">
        <w:rPr>
          <w:rFonts w:ascii="Times New Roman" w:hAnsi="Times New Roman" w:cs="Times New Roman"/>
          <w:i/>
          <w:sz w:val="24"/>
          <w:szCs w:val="24"/>
          <w:lang w:val="en-GB"/>
        </w:rPr>
        <w:t xml:space="preserve">the Klebsiella </w:t>
      </w:r>
      <w:r w:rsidR="00337321" w:rsidRPr="001E4BD2">
        <w:rPr>
          <w:rFonts w:ascii="Times New Roman" w:hAnsi="Times New Roman" w:cs="Times New Roman"/>
          <w:i/>
          <w:sz w:val="24"/>
          <w:szCs w:val="24"/>
          <w:lang w:val="en-GB"/>
        </w:rPr>
        <w:t xml:space="preserve">pneumoniae </w:t>
      </w:r>
      <w:r w:rsidR="00337321" w:rsidRPr="001E4BD2">
        <w:rPr>
          <w:rFonts w:ascii="Times New Roman" w:hAnsi="Times New Roman" w:cs="Times New Roman"/>
          <w:sz w:val="24"/>
          <w:szCs w:val="24"/>
          <w:lang w:val="en-GB"/>
        </w:rPr>
        <w:t>strains</w:t>
      </w:r>
      <w:r w:rsidR="007C3F71" w:rsidRPr="001E4BD2">
        <w:rPr>
          <w:rFonts w:ascii="Times New Roman" w:hAnsi="Times New Roman" w:cs="Times New Roman"/>
          <w:sz w:val="24"/>
          <w:szCs w:val="24"/>
          <w:lang w:val="en-GB"/>
        </w:rPr>
        <w:t xml:space="preserve"> studied according to the collection sites.</w:t>
      </w:r>
    </w:p>
    <w:p w14:paraId="317B3776" w14:textId="16B806C9" w:rsidR="003919E2" w:rsidRDefault="003919E2" w:rsidP="00CD4742">
      <w:pPr>
        <w:spacing w:line="360" w:lineRule="auto"/>
        <w:jc w:val="both"/>
        <w:rPr>
          <w:rFonts w:ascii="Times New Roman" w:hAnsi="Times New Roman" w:cs="Times New Roman"/>
          <w:sz w:val="24"/>
          <w:szCs w:val="24"/>
        </w:rPr>
      </w:pPr>
      <w:r>
        <w:rPr>
          <w:noProof/>
        </w:rPr>
        <w:drawing>
          <wp:inline distT="0" distB="0" distL="0" distR="0" wp14:anchorId="2CE902AB" wp14:editId="3E7B726D">
            <wp:extent cx="4572000" cy="1795549"/>
            <wp:effectExtent l="0" t="0" r="0" b="14605"/>
            <wp:docPr id="1" name="Graphique 1">
              <a:extLst xmlns:a="http://schemas.openxmlformats.org/drawingml/2006/main">
                <a:ext uri="{FF2B5EF4-FFF2-40B4-BE49-F238E27FC236}">
                  <a16:creationId xmlns:a16="http://schemas.microsoft.com/office/drawing/2014/main" id="{009F3AAF-69AE-466E-8B85-D37D4D201A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C92A722" w14:textId="4254E219" w:rsidR="003919E2" w:rsidRPr="001E4BD2" w:rsidRDefault="003919E2" w:rsidP="003919E2">
      <w:pPr>
        <w:spacing w:line="360" w:lineRule="auto"/>
        <w:jc w:val="both"/>
        <w:rPr>
          <w:rFonts w:ascii="Times New Roman" w:hAnsi="Times New Roman" w:cs="Times New Roman"/>
          <w:sz w:val="24"/>
          <w:szCs w:val="24"/>
          <w:lang w:val="en-GB"/>
        </w:rPr>
      </w:pPr>
      <w:r w:rsidRPr="001E4BD2">
        <w:rPr>
          <w:rFonts w:ascii="Times New Roman" w:hAnsi="Times New Roman" w:cs="Times New Roman"/>
          <w:b/>
          <w:sz w:val="24"/>
          <w:szCs w:val="24"/>
          <w:u w:val="single"/>
          <w:lang w:val="en-GB"/>
        </w:rPr>
        <w:t>Figure 1</w:t>
      </w:r>
      <w:r w:rsidRPr="001E4BD2">
        <w:rPr>
          <w:rFonts w:ascii="Times New Roman" w:hAnsi="Times New Roman" w:cs="Times New Roman"/>
          <w:b/>
          <w:sz w:val="24"/>
          <w:szCs w:val="24"/>
          <w:lang w:val="en-GB"/>
        </w:rPr>
        <w:t>:</w:t>
      </w:r>
      <w:r w:rsidRPr="001E4BD2">
        <w:rPr>
          <w:rFonts w:ascii="Times New Roman" w:hAnsi="Times New Roman" w:cs="Times New Roman"/>
          <w:sz w:val="24"/>
          <w:szCs w:val="24"/>
          <w:lang w:val="en-GB"/>
        </w:rPr>
        <w:t xml:space="preserve"> Overall distribution of </w:t>
      </w:r>
      <w:r w:rsidRPr="001E4BD2">
        <w:rPr>
          <w:rFonts w:ascii="Times New Roman" w:hAnsi="Times New Roman" w:cs="Times New Roman"/>
          <w:i/>
          <w:sz w:val="24"/>
          <w:szCs w:val="24"/>
          <w:lang w:val="en-GB"/>
        </w:rPr>
        <w:t>isolated Klebsiella pneumoniae</w:t>
      </w:r>
      <w:r w:rsidRPr="001E4BD2">
        <w:rPr>
          <w:rFonts w:ascii="Times New Roman" w:hAnsi="Times New Roman" w:cs="Times New Roman"/>
          <w:sz w:val="24"/>
          <w:szCs w:val="24"/>
          <w:lang w:val="en-GB"/>
        </w:rPr>
        <w:t xml:space="preserve"> </w:t>
      </w:r>
      <w:r w:rsidR="00337321" w:rsidRPr="001E4BD2">
        <w:rPr>
          <w:rFonts w:ascii="Times New Roman" w:hAnsi="Times New Roman" w:cs="Times New Roman"/>
          <w:sz w:val="24"/>
          <w:szCs w:val="24"/>
          <w:lang w:val="en-GB"/>
        </w:rPr>
        <w:t>strains by</w:t>
      </w:r>
      <w:r w:rsidRPr="001E4BD2">
        <w:rPr>
          <w:rFonts w:ascii="Times New Roman" w:hAnsi="Times New Roman" w:cs="Times New Roman"/>
          <w:sz w:val="24"/>
          <w:szCs w:val="24"/>
          <w:lang w:val="en-GB"/>
        </w:rPr>
        <w:t xml:space="preserve"> study site</w:t>
      </w:r>
    </w:p>
    <w:p w14:paraId="4879BF9A" w14:textId="0CEDBF6A" w:rsidR="006B1068" w:rsidRPr="001E4BD2" w:rsidRDefault="003919E2" w:rsidP="009D006D">
      <w:pPr>
        <w:spacing w:after="0" w:line="360" w:lineRule="auto"/>
        <w:jc w:val="both"/>
        <w:rPr>
          <w:rFonts w:ascii="Times New Roman" w:hAnsi="Times New Roman" w:cs="Times New Roman"/>
          <w:b/>
          <w:sz w:val="24"/>
          <w:szCs w:val="24"/>
          <w:lang w:val="en-GB"/>
        </w:rPr>
      </w:pPr>
      <w:r w:rsidRPr="001E4BD2">
        <w:rPr>
          <w:rFonts w:ascii="Times New Roman" w:hAnsi="Times New Roman" w:cs="Times New Roman"/>
          <w:b/>
          <w:sz w:val="24"/>
          <w:szCs w:val="24"/>
          <w:lang w:val="en-GB"/>
        </w:rPr>
        <w:t xml:space="preserve">3.3. Resistance profile of </w:t>
      </w:r>
      <w:r w:rsidR="00BA6BFC" w:rsidRPr="001E4BD2">
        <w:rPr>
          <w:rFonts w:ascii="Times New Roman" w:hAnsi="Times New Roman" w:cs="Times New Roman"/>
          <w:b/>
          <w:i/>
          <w:sz w:val="24"/>
          <w:szCs w:val="24"/>
          <w:lang w:val="en-GB"/>
        </w:rPr>
        <w:t>Klebsiella pneumoniae</w:t>
      </w:r>
      <w:r w:rsidR="00BA6BFC" w:rsidRPr="001E4BD2">
        <w:rPr>
          <w:rFonts w:ascii="Times New Roman" w:hAnsi="Times New Roman" w:cs="Times New Roman"/>
          <w:b/>
          <w:sz w:val="24"/>
          <w:szCs w:val="24"/>
          <w:lang w:val="en-GB"/>
        </w:rPr>
        <w:t xml:space="preserve"> to the antibiotics tested according to the collection sites</w:t>
      </w:r>
    </w:p>
    <w:p w14:paraId="1AAA8E19" w14:textId="378ED618" w:rsidR="00217072" w:rsidRPr="001E4BD2" w:rsidRDefault="00217072" w:rsidP="004D4751">
      <w:pPr>
        <w:spacing w:after="0" w:line="360" w:lineRule="auto"/>
        <w:jc w:val="both"/>
        <w:rPr>
          <w:rFonts w:ascii="Times New Roman" w:hAnsi="Times New Roman" w:cs="Times New Roman"/>
          <w:bCs/>
          <w:sz w:val="24"/>
          <w:szCs w:val="24"/>
          <w:lang w:val="en-GB"/>
        </w:rPr>
      </w:pPr>
      <w:r w:rsidRPr="001E4BD2">
        <w:rPr>
          <w:rFonts w:ascii="Times New Roman" w:hAnsi="Times New Roman" w:cs="Times New Roman"/>
          <w:bCs/>
          <w:sz w:val="24"/>
          <w:szCs w:val="24"/>
          <w:lang w:val="en-GB"/>
        </w:rPr>
        <w:t xml:space="preserve">The highest resistance rates were observed in the </w:t>
      </w:r>
      <w:r w:rsidR="001D1070">
        <w:rPr>
          <w:rFonts w:ascii="Times New Roman" w:hAnsi="Times New Roman" w:cs="Times New Roman"/>
          <w:bCs/>
          <w:sz w:val="24"/>
          <w:szCs w:val="24"/>
          <w:lang w:val="en-GB"/>
        </w:rPr>
        <w:t>municipality</w:t>
      </w:r>
      <w:r w:rsidRPr="001E4BD2">
        <w:rPr>
          <w:rFonts w:ascii="Times New Roman" w:hAnsi="Times New Roman" w:cs="Times New Roman"/>
          <w:bCs/>
          <w:sz w:val="24"/>
          <w:szCs w:val="24"/>
          <w:lang w:val="en-GB"/>
        </w:rPr>
        <w:t xml:space="preserve"> of </w:t>
      </w:r>
      <w:proofErr w:type="spellStart"/>
      <w:r w:rsidRPr="001E4BD2">
        <w:rPr>
          <w:rFonts w:ascii="Times New Roman" w:hAnsi="Times New Roman" w:cs="Times New Roman"/>
          <w:bCs/>
          <w:sz w:val="24"/>
          <w:szCs w:val="24"/>
          <w:lang w:val="en-GB"/>
        </w:rPr>
        <w:t>Cocody</w:t>
      </w:r>
      <w:proofErr w:type="spellEnd"/>
      <w:r w:rsidRPr="001E4BD2">
        <w:rPr>
          <w:rFonts w:ascii="Times New Roman" w:hAnsi="Times New Roman" w:cs="Times New Roman"/>
          <w:bCs/>
          <w:sz w:val="24"/>
          <w:szCs w:val="24"/>
          <w:lang w:val="en-GB"/>
        </w:rPr>
        <w:t xml:space="preserve"> in the presence of kanamycin (88.3%), trimethoprim/sulfamethoxazole (61.7%), tetracycline (56.7%) and amoxicillin/clavulanic acid (43.3%). However, excellent antibacterial activity was observed with regard to the other antibiotics tested. </w:t>
      </w:r>
    </w:p>
    <w:p w14:paraId="4E46F66F" w14:textId="7139CC98" w:rsidR="00217072" w:rsidRPr="001E4BD2" w:rsidRDefault="00217072" w:rsidP="00217072">
      <w:pPr>
        <w:spacing w:after="0" w:line="360" w:lineRule="auto"/>
        <w:jc w:val="both"/>
        <w:rPr>
          <w:rFonts w:ascii="Times New Roman" w:hAnsi="Times New Roman" w:cs="Times New Roman"/>
          <w:bCs/>
          <w:sz w:val="24"/>
          <w:szCs w:val="24"/>
          <w:lang w:val="en-GB"/>
        </w:rPr>
      </w:pPr>
      <w:r w:rsidRPr="001E4BD2">
        <w:rPr>
          <w:rFonts w:ascii="Times New Roman" w:hAnsi="Times New Roman" w:cs="Times New Roman"/>
          <w:bCs/>
          <w:sz w:val="24"/>
          <w:szCs w:val="24"/>
          <w:lang w:val="en-GB"/>
        </w:rPr>
        <w:t xml:space="preserve">No resistance was detected in </w:t>
      </w:r>
      <w:proofErr w:type="spellStart"/>
      <w:r w:rsidRPr="001E4BD2">
        <w:rPr>
          <w:rFonts w:ascii="Times New Roman" w:hAnsi="Times New Roman" w:cs="Times New Roman"/>
          <w:bCs/>
          <w:sz w:val="24"/>
          <w:szCs w:val="24"/>
          <w:lang w:val="en-GB"/>
        </w:rPr>
        <w:t>Bingerville</w:t>
      </w:r>
      <w:proofErr w:type="spellEnd"/>
      <w:r w:rsidRPr="001E4BD2">
        <w:rPr>
          <w:rFonts w:ascii="Times New Roman" w:hAnsi="Times New Roman" w:cs="Times New Roman"/>
          <w:bCs/>
          <w:sz w:val="24"/>
          <w:szCs w:val="24"/>
          <w:lang w:val="en-GB"/>
        </w:rPr>
        <w:t xml:space="preserve"> in the presence of the majority of </w:t>
      </w:r>
      <w:proofErr w:type="gramStart"/>
      <w:r w:rsidRPr="001E4BD2">
        <w:rPr>
          <w:rFonts w:ascii="Times New Roman" w:hAnsi="Times New Roman" w:cs="Times New Roman"/>
          <w:bCs/>
          <w:sz w:val="24"/>
          <w:szCs w:val="24"/>
          <w:lang w:val="en-GB"/>
        </w:rPr>
        <w:t>antibiotics,</w:t>
      </w:r>
      <w:proofErr w:type="gramEnd"/>
      <w:r w:rsidRPr="001E4BD2">
        <w:rPr>
          <w:rFonts w:ascii="Times New Roman" w:hAnsi="Times New Roman" w:cs="Times New Roman"/>
          <w:bCs/>
          <w:sz w:val="24"/>
          <w:szCs w:val="24"/>
          <w:lang w:val="en-GB"/>
        </w:rPr>
        <w:t xml:space="preserve"> however, high rates of resistance were reported for </w:t>
      </w:r>
      <w:proofErr w:type="spellStart"/>
      <w:r w:rsidRPr="001E4BD2">
        <w:rPr>
          <w:rFonts w:ascii="Times New Roman" w:hAnsi="Times New Roman" w:cs="Times New Roman"/>
          <w:bCs/>
          <w:sz w:val="24"/>
          <w:szCs w:val="24"/>
          <w:lang w:val="en-GB"/>
        </w:rPr>
        <w:t>betalactams</w:t>
      </w:r>
      <w:proofErr w:type="spellEnd"/>
      <w:r w:rsidRPr="001E4BD2">
        <w:rPr>
          <w:rFonts w:ascii="Times New Roman" w:hAnsi="Times New Roman" w:cs="Times New Roman"/>
          <w:bCs/>
          <w:sz w:val="24"/>
          <w:szCs w:val="24"/>
          <w:lang w:val="en-GB"/>
        </w:rPr>
        <w:t xml:space="preserve"> such as amoxicillin/clavulanic acid (66.6%) and (33.3%) for cefepime and cefoxitin.</w:t>
      </w:r>
    </w:p>
    <w:p w14:paraId="37D8CDD5" w14:textId="3073633F" w:rsidR="0078440D" w:rsidRPr="001E4BD2" w:rsidRDefault="004D4751" w:rsidP="009777AA">
      <w:pPr>
        <w:spacing w:after="0" w:line="360" w:lineRule="auto"/>
        <w:jc w:val="both"/>
        <w:rPr>
          <w:rFonts w:ascii="Times New Roman" w:hAnsi="Times New Roman" w:cs="Times New Roman"/>
          <w:bCs/>
          <w:sz w:val="24"/>
          <w:szCs w:val="24"/>
          <w:lang w:val="en-GB"/>
        </w:rPr>
      </w:pPr>
      <w:r w:rsidRPr="001E4BD2">
        <w:rPr>
          <w:rFonts w:ascii="Times New Roman" w:hAnsi="Times New Roman" w:cs="Times New Roman"/>
          <w:bCs/>
          <w:sz w:val="24"/>
          <w:szCs w:val="24"/>
          <w:lang w:val="en-GB"/>
        </w:rPr>
        <w:t xml:space="preserve">In the </w:t>
      </w:r>
      <w:r w:rsidR="001D1070">
        <w:rPr>
          <w:rFonts w:ascii="Times New Roman" w:hAnsi="Times New Roman" w:cs="Times New Roman"/>
          <w:bCs/>
          <w:sz w:val="24"/>
          <w:szCs w:val="24"/>
          <w:lang w:val="en-GB"/>
        </w:rPr>
        <w:t>municipality</w:t>
      </w:r>
      <w:r w:rsidRPr="001E4BD2">
        <w:rPr>
          <w:rFonts w:ascii="Times New Roman" w:hAnsi="Times New Roman" w:cs="Times New Roman"/>
          <w:bCs/>
          <w:sz w:val="24"/>
          <w:szCs w:val="24"/>
          <w:lang w:val="en-GB"/>
        </w:rPr>
        <w:t xml:space="preserve"> of </w:t>
      </w:r>
      <w:proofErr w:type="spellStart"/>
      <w:r w:rsidRPr="001E4BD2">
        <w:rPr>
          <w:rFonts w:ascii="Times New Roman" w:hAnsi="Times New Roman" w:cs="Times New Roman"/>
          <w:bCs/>
          <w:sz w:val="24"/>
          <w:szCs w:val="24"/>
          <w:lang w:val="en-GB"/>
        </w:rPr>
        <w:t>Yopougon</w:t>
      </w:r>
      <w:proofErr w:type="spellEnd"/>
      <w:r w:rsidR="00357EF0" w:rsidRPr="001E4BD2">
        <w:rPr>
          <w:rFonts w:ascii="Times New Roman" w:hAnsi="Times New Roman" w:cs="Times New Roman"/>
          <w:b/>
          <w:sz w:val="24"/>
          <w:szCs w:val="24"/>
          <w:lang w:val="en-GB"/>
        </w:rPr>
        <w:t xml:space="preserve">, </w:t>
      </w:r>
      <w:r w:rsidR="00357EF0" w:rsidRPr="00337321">
        <w:rPr>
          <w:rFonts w:ascii="Times New Roman" w:hAnsi="Times New Roman" w:cs="Times New Roman"/>
          <w:bCs/>
          <w:sz w:val="24"/>
          <w:szCs w:val="24"/>
          <w:lang w:val="en-GB"/>
        </w:rPr>
        <w:t>with</w:t>
      </w:r>
      <w:r w:rsidR="009777AA" w:rsidRPr="001E4BD2">
        <w:rPr>
          <w:rFonts w:ascii="Times New Roman" w:hAnsi="Times New Roman" w:cs="Times New Roman"/>
          <w:bCs/>
          <w:sz w:val="24"/>
          <w:szCs w:val="24"/>
          <w:lang w:val="en-GB"/>
        </w:rPr>
        <w:t xml:space="preserve"> the exception of cefoxitin, which had a resistance rate of 100%, total bacterial susceptibility was described in the presence of the other antibiotics tested </w:t>
      </w:r>
      <w:r w:rsidR="009777AA" w:rsidRPr="001E4BD2">
        <w:rPr>
          <w:rFonts w:ascii="Times New Roman" w:hAnsi="Times New Roman" w:cs="Times New Roman"/>
          <w:b/>
          <w:sz w:val="24"/>
          <w:szCs w:val="24"/>
          <w:lang w:val="en-GB"/>
        </w:rPr>
        <w:t>(Table II).</w:t>
      </w:r>
      <w:r w:rsidR="009777AA" w:rsidRPr="001E4BD2">
        <w:rPr>
          <w:rFonts w:ascii="Times New Roman" w:hAnsi="Times New Roman" w:cs="Times New Roman"/>
          <w:bCs/>
          <w:sz w:val="24"/>
          <w:szCs w:val="24"/>
          <w:lang w:val="en-GB"/>
        </w:rPr>
        <w:t xml:space="preserve"> </w:t>
      </w:r>
    </w:p>
    <w:p w14:paraId="2CFA013A" w14:textId="6DE5D616" w:rsidR="00E762B6" w:rsidRPr="001E4BD2" w:rsidRDefault="000D233B" w:rsidP="009777AA">
      <w:pPr>
        <w:spacing w:after="0" w:line="360" w:lineRule="auto"/>
        <w:jc w:val="both"/>
        <w:rPr>
          <w:rFonts w:ascii="Times New Roman" w:hAnsi="Times New Roman" w:cs="Times New Roman"/>
          <w:bCs/>
          <w:sz w:val="24"/>
          <w:szCs w:val="24"/>
          <w:lang w:val="en-GB"/>
        </w:rPr>
      </w:pPr>
      <w:r w:rsidRPr="001E4BD2">
        <w:rPr>
          <w:rFonts w:ascii="Times New Roman" w:hAnsi="Times New Roman" w:cs="Times New Roman"/>
          <w:bCs/>
          <w:sz w:val="24"/>
          <w:szCs w:val="24"/>
          <w:lang w:val="en-GB"/>
        </w:rPr>
        <w:t>The results of this study clearly show that antibiotic resistance rates vary significantly between study sites (</w:t>
      </w:r>
      <w:r w:rsidR="00E762B6" w:rsidRPr="001E4BD2">
        <w:rPr>
          <w:rFonts w:ascii="Times New Roman" w:hAnsi="Times New Roman" w:cs="Times New Roman"/>
          <w:bCs/>
          <w:i/>
          <w:iCs/>
          <w:sz w:val="24"/>
          <w:szCs w:val="24"/>
          <w:lang w:val="en-GB"/>
        </w:rPr>
        <w:t>p&lt;0.05).</w:t>
      </w:r>
    </w:p>
    <w:p w14:paraId="37B8919E" w14:textId="77777777" w:rsidR="00C218EC" w:rsidRPr="001E4BD2" w:rsidRDefault="00C218EC" w:rsidP="009777AA">
      <w:pPr>
        <w:spacing w:after="0" w:line="360" w:lineRule="auto"/>
        <w:jc w:val="both"/>
        <w:rPr>
          <w:rFonts w:ascii="Times New Roman" w:hAnsi="Times New Roman" w:cs="Times New Roman"/>
          <w:bCs/>
          <w:sz w:val="24"/>
          <w:szCs w:val="24"/>
          <w:lang w:val="en-GB"/>
        </w:rPr>
      </w:pPr>
    </w:p>
    <w:p w14:paraId="16E887FD" w14:textId="77777777" w:rsidR="00C218EC" w:rsidRPr="001E4BD2" w:rsidRDefault="00C218EC" w:rsidP="009777AA">
      <w:pPr>
        <w:spacing w:after="0" w:line="360" w:lineRule="auto"/>
        <w:jc w:val="both"/>
        <w:rPr>
          <w:rFonts w:ascii="Times New Roman" w:hAnsi="Times New Roman" w:cs="Times New Roman"/>
          <w:bCs/>
          <w:sz w:val="24"/>
          <w:szCs w:val="24"/>
          <w:lang w:val="en-GB"/>
        </w:rPr>
      </w:pPr>
    </w:p>
    <w:p w14:paraId="61FB24C6" w14:textId="77777777" w:rsidR="00C218EC" w:rsidRPr="001E4BD2" w:rsidRDefault="00C218EC" w:rsidP="009777AA">
      <w:pPr>
        <w:spacing w:after="0" w:line="360" w:lineRule="auto"/>
        <w:jc w:val="both"/>
        <w:rPr>
          <w:rFonts w:ascii="Times New Roman" w:hAnsi="Times New Roman" w:cs="Times New Roman"/>
          <w:bCs/>
          <w:sz w:val="24"/>
          <w:szCs w:val="24"/>
          <w:lang w:val="en-GB"/>
        </w:rPr>
      </w:pPr>
    </w:p>
    <w:p w14:paraId="7CEFEE4E" w14:textId="77777777" w:rsidR="00C218EC" w:rsidRPr="001E4BD2" w:rsidRDefault="00C218EC" w:rsidP="009777AA">
      <w:pPr>
        <w:spacing w:after="0" w:line="360" w:lineRule="auto"/>
        <w:jc w:val="both"/>
        <w:rPr>
          <w:rFonts w:ascii="Times New Roman" w:hAnsi="Times New Roman" w:cs="Times New Roman"/>
          <w:bCs/>
          <w:sz w:val="24"/>
          <w:szCs w:val="24"/>
          <w:lang w:val="en-GB"/>
        </w:rPr>
      </w:pPr>
    </w:p>
    <w:p w14:paraId="68A7E105" w14:textId="77777777" w:rsidR="00C218EC" w:rsidRPr="001E4BD2" w:rsidRDefault="00C218EC" w:rsidP="009777AA">
      <w:pPr>
        <w:spacing w:after="0" w:line="360" w:lineRule="auto"/>
        <w:jc w:val="both"/>
        <w:rPr>
          <w:rFonts w:ascii="Times New Roman" w:hAnsi="Times New Roman" w:cs="Times New Roman"/>
          <w:bCs/>
          <w:sz w:val="24"/>
          <w:szCs w:val="24"/>
          <w:lang w:val="en-GB"/>
        </w:rPr>
      </w:pPr>
    </w:p>
    <w:p w14:paraId="740CA55D" w14:textId="77777777" w:rsidR="00C218EC" w:rsidRPr="001E4BD2" w:rsidRDefault="00C218EC" w:rsidP="009777AA">
      <w:pPr>
        <w:spacing w:after="0" w:line="360" w:lineRule="auto"/>
        <w:jc w:val="both"/>
        <w:rPr>
          <w:rFonts w:ascii="Times New Roman" w:hAnsi="Times New Roman" w:cs="Times New Roman"/>
          <w:bCs/>
          <w:sz w:val="24"/>
          <w:szCs w:val="24"/>
          <w:lang w:val="en-GB"/>
        </w:rPr>
      </w:pPr>
    </w:p>
    <w:p w14:paraId="3D4BF258" w14:textId="08DBD29F" w:rsidR="00197F6D" w:rsidRPr="001E4BD2" w:rsidRDefault="00607021" w:rsidP="00FA2840">
      <w:pPr>
        <w:spacing w:before="240" w:line="360" w:lineRule="auto"/>
        <w:jc w:val="both"/>
        <w:rPr>
          <w:rFonts w:ascii="Times New Roman" w:hAnsi="Times New Roman" w:cs="Times New Roman"/>
          <w:sz w:val="24"/>
          <w:szCs w:val="24"/>
          <w:lang w:val="en-GB"/>
        </w:rPr>
      </w:pPr>
      <w:r w:rsidRPr="001E4BD2">
        <w:rPr>
          <w:rFonts w:ascii="Times New Roman" w:hAnsi="Times New Roman" w:cs="Times New Roman"/>
          <w:b/>
          <w:sz w:val="24"/>
          <w:szCs w:val="24"/>
          <w:lang w:val="en-GB"/>
        </w:rPr>
        <w:t xml:space="preserve">Table II: </w:t>
      </w:r>
      <w:r w:rsidRPr="001E4BD2">
        <w:rPr>
          <w:rFonts w:ascii="Times New Roman" w:hAnsi="Times New Roman" w:cs="Times New Roman"/>
          <w:sz w:val="24"/>
          <w:szCs w:val="24"/>
          <w:lang w:val="en-GB"/>
        </w:rPr>
        <w:t xml:space="preserve">Resistance profile of </w:t>
      </w:r>
      <w:r w:rsidRPr="001E4BD2">
        <w:rPr>
          <w:rFonts w:ascii="Times New Roman" w:hAnsi="Times New Roman" w:cs="Times New Roman"/>
          <w:i/>
          <w:sz w:val="24"/>
          <w:szCs w:val="24"/>
          <w:lang w:val="en-GB"/>
        </w:rPr>
        <w:t>Klebsiella pneumoniae</w:t>
      </w:r>
      <w:r w:rsidRPr="001E4BD2">
        <w:rPr>
          <w:rFonts w:ascii="Times New Roman" w:hAnsi="Times New Roman" w:cs="Times New Roman"/>
          <w:sz w:val="24"/>
          <w:szCs w:val="24"/>
          <w:lang w:val="en-GB"/>
        </w:rPr>
        <w:t xml:space="preserve"> </w:t>
      </w:r>
      <w:r w:rsidR="001D1070" w:rsidRPr="001E4BD2">
        <w:rPr>
          <w:rFonts w:ascii="Times New Roman" w:hAnsi="Times New Roman" w:cs="Times New Roman"/>
          <w:sz w:val="24"/>
          <w:szCs w:val="24"/>
          <w:lang w:val="en-GB"/>
        </w:rPr>
        <w:t>strains isolated</w:t>
      </w:r>
      <w:r w:rsidRPr="001E4BD2">
        <w:rPr>
          <w:rFonts w:ascii="Times New Roman" w:hAnsi="Times New Roman" w:cs="Times New Roman"/>
          <w:sz w:val="24"/>
          <w:szCs w:val="24"/>
          <w:lang w:val="en-GB"/>
        </w:rPr>
        <w:t xml:space="preserve"> from poultry manure by study site</w:t>
      </w:r>
    </w:p>
    <w:tbl>
      <w:tblPr>
        <w:tblStyle w:val="Tableausimple4"/>
        <w:tblW w:w="0" w:type="auto"/>
        <w:tblBorders>
          <w:insideH w:val="single" w:sz="4" w:space="0" w:color="auto"/>
        </w:tblBorders>
        <w:tblLook w:val="04A0" w:firstRow="1" w:lastRow="0" w:firstColumn="1" w:lastColumn="0" w:noHBand="0" w:noVBand="1"/>
      </w:tblPr>
      <w:tblGrid>
        <w:gridCol w:w="3497"/>
        <w:gridCol w:w="1720"/>
        <w:gridCol w:w="1336"/>
        <w:gridCol w:w="1352"/>
        <w:gridCol w:w="1167"/>
      </w:tblGrid>
      <w:tr w:rsidR="00EF2CDD" w:rsidRPr="00BA783C" w14:paraId="6245F78B" w14:textId="53DE91C4" w:rsidTr="008554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7" w:type="dxa"/>
            <w:tcBorders>
              <w:top w:val="single" w:sz="4" w:space="0" w:color="auto"/>
              <w:bottom w:val="single" w:sz="4" w:space="0" w:color="auto"/>
            </w:tcBorders>
            <w:shd w:val="clear" w:color="auto" w:fill="auto"/>
          </w:tcPr>
          <w:p w14:paraId="0B7361A1" w14:textId="757C91EE" w:rsidR="00EF2CDD" w:rsidRPr="006D6D14" w:rsidRDefault="004D39D5" w:rsidP="00825CAB">
            <w:pPr>
              <w:rPr>
                <w:rFonts w:ascii="Times New Roman" w:hAnsi="Times New Roman" w:cs="Times New Roman"/>
                <w:sz w:val="24"/>
                <w:szCs w:val="24"/>
              </w:rPr>
            </w:pPr>
            <w:proofErr w:type="spellStart"/>
            <w:r>
              <w:rPr>
                <w:rFonts w:ascii="Times New Roman" w:hAnsi="Times New Roman" w:cs="Times New Roman"/>
                <w:sz w:val="24"/>
                <w:szCs w:val="24"/>
              </w:rPr>
              <w:t>T</w:t>
            </w:r>
            <w:r w:rsidR="00EF2CDD" w:rsidRPr="006D6D14">
              <w:rPr>
                <w:rFonts w:ascii="Times New Roman" w:hAnsi="Times New Roman" w:cs="Times New Roman"/>
                <w:sz w:val="24"/>
                <w:szCs w:val="24"/>
              </w:rPr>
              <w:t>ested</w:t>
            </w:r>
            <w:proofErr w:type="spellEnd"/>
            <w:r w:rsidRPr="006D6D14">
              <w:rPr>
                <w:rFonts w:ascii="Times New Roman" w:hAnsi="Times New Roman" w:cs="Times New Roman"/>
                <w:sz w:val="24"/>
                <w:szCs w:val="24"/>
              </w:rPr>
              <w:t xml:space="preserve"> </w:t>
            </w:r>
            <w:proofErr w:type="spellStart"/>
            <w:r>
              <w:rPr>
                <w:rFonts w:ascii="Times New Roman" w:hAnsi="Times New Roman" w:cs="Times New Roman"/>
                <w:sz w:val="24"/>
                <w:szCs w:val="24"/>
              </w:rPr>
              <w:t>a</w:t>
            </w:r>
            <w:r w:rsidRPr="006D6D14">
              <w:rPr>
                <w:rFonts w:ascii="Times New Roman" w:hAnsi="Times New Roman" w:cs="Times New Roman"/>
                <w:sz w:val="24"/>
                <w:szCs w:val="24"/>
              </w:rPr>
              <w:t>ntibiotics</w:t>
            </w:r>
            <w:proofErr w:type="spellEnd"/>
          </w:p>
        </w:tc>
        <w:tc>
          <w:tcPr>
            <w:tcW w:w="1720" w:type="dxa"/>
            <w:tcBorders>
              <w:top w:val="single" w:sz="4" w:space="0" w:color="auto"/>
              <w:bottom w:val="single" w:sz="4" w:space="0" w:color="auto"/>
            </w:tcBorders>
            <w:shd w:val="clear" w:color="auto" w:fill="auto"/>
          </w:tcPr>
          <w:p w14:paraId="64751E13" w14:textId="77777777" w:rsidR="00EF2CDD" w:rsidRPr="00BA783C" w:rsidRDefault="00EF2CDD" w:rsidP="00825CA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BA783C">
              <w:rPr>
                <w:rFonts w:ascii="Times New Roman" w:hAnsi="Times New Roman" w:cs="Times New Roman"/>
                <w:sz w:val="24"/>
                <w:szCs w:val="24"/>
              </w:rPr>
              <w:t>Cocody</w:t>
            </w:r>
          </w:p>
          <w:p w14:paraId="7C0FAEC4" w14:textId="77777777" w:rsidR="00EF2CDD" w:rsidRPr="00BA783C" w:rsidRDefault="00EF2CDD" w:rsidP="00825CA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roofErr w:type="gramStart"/>
            <w:r w:rsidRPr="00BA783C">
              <w:rPr>
                <w:rFonts w:ascii="Times New Roman" w:hAnsi="Times New Roman" w:cs="Times New Roman"/>
                <w:sz w:val="24"/>
                <w:szCs w:val="24"/>
              </w:rPr>
              <w:t>n</w:t>
            </w:r>
            <w:proofErr w:type="gramEnd"/>
            <w:r w:rsidRPr="00BA783C">
              <w:rPr>
                <w:rFonts w:ascii="Times New Roman" w:hAnsi="Times New Roman" w:cs="Times New Roman"/>
                <w:sz w:val="24"/>
                <w:szCs w:val="24"/>
              </w:rPr>
              <w:t xml:space="preserve"> = 180 (%)</w:t>
            </w:r>
          </w:p>
        </w:tc>
        <w:tc>
          <w:tcPr>
            <w:tcW w:w="1336" w:type="dxa"/>
            <w:tcBorders>
              <w:top w:val="single" w:sz="4" w:space="0" w:color="auto"/>
              <w:bottom w:val="single" w:sz="4" w:space="0" w:color="auto"/>
            </w:tcBorders>
            <w:shd w:val="clear" w:color="auto" w:fill="auto"/>
          </w:tcPr>
          <w:p w14:paraId="00B09CAD" w14:textId="77777777" w:rsidR="00EF2CDD" w:rsidRPr="00BA783C" w:rsidRDefault="00EF2CDD" w:rsidP="00825CA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BA783C">
              <w:rPr>
                <w:rFonts w:ascii="Times New Roman" w:hAnsi="Times New Roman" w:cs="Times New Roman"/>
                <w:sz w:val="24"/>
                <w:szCs w:val="24"/>
              </w:rPr>
              <w:t>Bingerville</w:t>
            </w:r>
          </w:p>
          <w:p w14:paraId="12775BE9" w14:textId="77777777" w:rsidR="00EF2CDD" w:rsidRPr="00BA783C" w:rsidRDefault="00EF2CDD" w:rsidP="00825CA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roofErr w:type="gramStart"/>
            <w:r w:rsidRPr="00BA783C">
              <w:rPr>
                <w:rFonts w:ascii="Times New Roman" w:hAnsi="Times New Roman" w:cs="Times New Roman"/>
                <w:sz w:val="24"/>
                <w:szCs w:val="24"/>
              </w:rPr>
              <w:t>n</w:t>
            </w:r>
            <w:proofErr w:type="gramEnd"/>
            <w:r w:rsidRPr="00BA783C">
              <w:rPr>
                <w:rFonts w:ascii="Times New Roman" w:hAnsi="Times New Roman" w:cs="Times New Roman"/>
                <w:sz w:val="24"/>
                <w:szCs w:val="24"/>
              </w:rPr>
              <w:t xml:space="preserve"> = 9 (%)</w:t>
            </w:r>
          </w:p>
        </w:tc>
        <w:tc>
          <w:tcPr>
            <w:tcW w:w="1352" w:type="dxa"/>
            <w:tcBorders>
              <w:top w:val="single" w:sz="4" w:space="0" w:color="auto"/>
              <w:bottom w:val="single" w:sz="4" w:space="0" w:color="auto"/>
            </w:tcBorders>
            <w:shd w:val="clear" w:color="auto" w:fill="auto"/>
          </w:tcPr>
          <w:p w14:paraId="080DC2EE" w14:textId="77777777" w:rsidR="00EF2CDD" w:rsidRPr="00BA783C" w:rsidRDefault="00EF2CDD" w:rsidP="00825CA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BA783C">
              <w:rPr>
                <w:rFonts w:ascii="Times New Roman" w:hAnsi="Times New Roman" w:cs="Times New Roman"/>
                <w:sz w:val="24"/>
                <w:szCs w:val="24"/>
              </w:rPr>
              <w:t>Yopougon</w:t>
            </w:r>
          </w:p>
          <w:p w14:paraId="12FBD5CE" w14:textId="77777777" w:rsidR="00EF2CDD" w:rsidRPr="00BA783C" w:rsidRDefault="00EF2CDD" w:rsidP="00825CA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roofErr w:type="gramStart"/>
            <w:r w:rsidRPr="00BA783C">
              <w:rPr>
                <w:rFonts w:ascii="Times New Roman" w:hAnsi="Times New Roman" w:cs="Times New Roman"/>
                <w:sz w:val="24"/>
                <w:szCs w:val="24"/>
              </w:rPr>
              <w:t>n</w:t>
            </w:r>
            <w:proofErr w:type="gramEnd"/>
            <w:r w:rsidRPr="00BA783C">
              <w:rPr>
                <w:rFonts w:ascii="Times New Roman" w:hAnsi="Times New Roman" w:cs="Times New Roman"/>
                <w:sz w:val="24"/>
                <w:szCs w:val="24"/>
              </w:rPr>
              <w:t xml:space="preserve"> = 3 (%)</w:t>
            </w:r>
          </w:p>
        </w:tc>
        <w:tc>
          <w:tcPr>
            <w:tcW w:w="1167" w:type="dxa"/>
            <w:tcBorders>
              <w:top w:val="single" w:sz="4" w:space="0" w:color="auto"/>
              <w:bottom w:val="single" w:sz="4" w:space="0" w:color="auto"/>
            </w:tcBorders>
          </w:tcPr>
          <w:p w14:paraId="1C8AF46E" w14:textId="1FAD9A61" w:rsidR="00EF2CDD" w:rsidRPr="00E762B6" w:rsidRDefault="00EF2CDD" w:rsidP="00825CA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iCs/>
                <w:sz w:val="24"/>
                <w:szCs w:val="24"/>
                <w:highlight w:val="yellow"/>
              </w:rPr>
            </w:pPr>
            <w:r w:rsidRPr="00606548">
              <w:rPr>
                <w:rFonts w:ascii="Times New Roman" w:hAnsi="Times New Roman" w:cs="Times New Roman"/>
                <w:i/>
                <w:iCs/>
                <w:sz w:val="24"/>
                <w:szCs w:val="24"/>
              </w:rPr>
              <w:t>P-value</w:t>
            </w:r>
          </w:p>
        </w:tc>
      </w:tr>
      <w:tr w:rsidR="00EF2CDD" w:rsidRPr="00BA783C" w14:paraId="2364E262" w14:textId="19CFECD7" w:rsidTr="00C218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7" w:type="dxa"/>
            <w:tcBorders>
              <w:top w:val="single" w:sz="4" w:space="0" w:color="auto"/>
            </w:tcBorders>
            <w:shd w:val="clear" w:color="auto" w:fill="auto"/>
          </w:tcPr>
          <w:p w14:paraId="31367E6E" w14:textId="77777777" w:rsidR="00EF2CDD" w:rsidRPr="00BA783C" w:rsidRDefault="00EF2CDD" w:rsidP="00825CAB">
            <w:pPr>
              <w:rPr>
                <w:rFonts w:ascii="Times New Roman" w:hAnsi="Times New Roman" w:cs="Times New Roman"/>
                <w:b w:val="0"/>
                <w:bCs w:val="0"/>
                <w:sz w:val="24"/>
                <w:szCs w:val="24"/>
              </w:rPr>
            </w:pPr>
            <w:proofErr w:type="spellStart"/>
            <w:r w:rsidRPr="00BA783C">
              <w:rPr>
                <w:rFonts w:ascii="Times New Roman" w:hAnsi="Times New Roman" w:cs="Times New Roman"/>
                <w:b w:val="0"/>
                <w:bCs w:val="0"/>
                <w:sz w:val="24"/>
                <w:szCs w:val="24"/>
              </w:rPr>
              <w:t>Amoxicillin+clavulanic</w:t>
            </w:r>
            <w:proofErr w:type="spellEnd"/>
            <w:r w:rsidRPr="00BA783C">
              <w:rPr>
                <w:rFonts w:ascii="Times New Roman" w:hAnsi="Times New Roman" w:cs="Times New Roman"/>
                <w:b w:val="0"/>
                <w:bCs w:val="0"/>
                <w:sz w:val="24"/>
                <w:szCs w:val="24"/>
              </w:rPr>
              <w:t xml:space="preserve"> </w:t>
            </w:r>
            <w:proofErr w:type="spellStart"/>
            <w:r w:rsidRPr="00BA783C">
              <w:rPr>
                <w:rFonts w:ascii="Times New Roman" w:hAnsi="Times New Roman" w:cs="Times New Roman"/>
                <w:b w:val="0"/>
                <w:bCs w:val="0"/>
                <w:sz w:val="24"/>
                <w:szCs w:val="24"/>
              </w:rPr>
              <w:t>acid</w:t>
            </w:r>
            <w:proofErr w:type="spellEnd"/>
          </w:p>
        </w:tc>
        <w:tc>
          <w:tcPr>
            <w:tcW w:w="1720" w:type="dxa"/>
            <w:tcBorders>
              <w:top w:val="single" w:sz="4" w:space="0" w:color="auto"/>
            </w:tcBorders>
            <w:shd w:val="clear" w:color="auto" w:fill="auto"/>
          </w:tcPr>
          <w:p w14:paraId="129D058D" w14:textId="1FC7326E" w:rsidR="00EF2CDD" w:rsidRPr="00BC6897" w:rsidRDefault="00EF2CDD" w:rsidP="00825C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C6897">
              <w:rPr>
                <w:rFonts w:ascii="Times New Roman" w:hAnsi="Times New Roman" w:cs="Times New Roman"/>
                <w:sz w:val="24"/>
                <w:szCs w:val="24"/>
              </w:rPr>
              <w:t>78 (43,3)</w:t>
            </w:r>
          </w:p>
        </w:tc>
        <w:tc>
          <w:tcPr>
            <w:tcW w:w="1336" w:type="dxa"/>
            <w:tcBorders>
              <w:top w:val="single" w:sz="4" w:space="0" w:color="auto"/>
            </w:tcBorders>
            <w:shd w:val="clear" w:color="auto" w:fill="auto"/>
          </w:tcPr>
          <w:p w14:paraId="2CEA9F8E" w14:textId="1362CD7B" w:rsidR="00EF2CDD" w:rsidRPr="00BC6897" w:rsidRDefault="00EF2CDD" w:rsidP="00825C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C6897">
              <w:rPr>
                <w:rFonts w:ascii="Times New Roman" w:hAnsi="Times New Roman" w:cs="Times New Roman"/>
                <w:sz w:val="24"/>
                <w:szCs w:val="24"/>
              </w:rPr>
              <w:t>6 (66,7)</w:t>
            </w:r>
          </w:p>
        </w:tc>
        <w:tc>
          <w:tcPr>
            <w:tcW w:w="1352" w:type="dxa"/>
            <w:tcBorders>
              <w:top w:val="single" w:sz="4" w:space="0" w:color="auto"/>
            </w:tcBorders>
            <w:shd w:val="clear" w:color="auto" w:fill="auto"/>
          </w:tcPr>
          <w:p w14:paraId="3FF7E04E" w14:textId="77777777" w:rsidR="00EF2CDD" w:rsidRPr="00BC6897" w:rsidRDefault="00EF2CDD" w:rsidP="00825C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C6897">
              <w:rPr>
                <w:rFonts w:ascii="Times New Roman" w:hAnsi="Times New Roman" w:cs="Times New Roman"/>
                <w:sz w:val="24"/>
                <w:szCs w:val="24"/>
              </w:rPr>
              <w:t>0 (0)</w:t>
            </w:r>
          </w:p>
        </w:tc>
        <w:tc>
          <w:tcPr>
            <w:tcW w:w="1167" w:type="dxa"/>
            <w:vMerge w:val="restart"/>
            <w:tcBorders>
              <w:top w:val="single" w:sz="4" w:space="0" w:color="auto"/>
            </w:tcBorders>
            <w:vAlign w:val="center"/>
          </w:tcPr>
          <w:p w14:paraId="58BDB584" w14:textId="7C207F67" w:rsidR="00EF2CDD" w:rsidRPr="00E762B6" w:rsidRDefault="00EF2CDD" w:rsidP="00825C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highlight w:val="yellow"/>
              </w:rPr>
            </w:pPr>
            <w:proofErr w:type="gramStart"/>
            <w:r w:rsidRPr="00606548">
              <w:rPr>
                <w:rFonts w:ascii="Times New Roman" w:hAnsi="Times New Roman" w:cs="Times New Roman"/>
                <w:i/>
                <w:iCs/>
                <w:sz w:val="24"/>
                <w:szCs w:val="24"/>
              </w:rPr>
              <w:t>p</w:t>
            </w:r>
            <w:proofErr w:type="gramEnd"/>
            <w:r w:rsidRPr="00606548">
              <w:rPr>
                <w:rFonts w:ascii="Calibri" w:hAnsi="Calibri" w:cs="Calibri"/>
                <w:sz w:val="24"/>
                <w:szCs w:val="24"/>
              </w:rPr>
              <w:t>&lt;0.05</w:t>
            </w:r>
          </w:p>
        </w:tc>
      </w:tr>
      <w:tr w:rsidR="00EF2CDD" w:rsidRPr="00BA783C" w14:paraId="5A15E828" w14:textId="00E978C0" w:rsidTr="00EF2CDD">
        <w:tc>
          <w:tcPr>
            <w:cnfStyle w:val="001000000000" w:firstRow="0" w:lastRow="0" w:firstColumn="1" w:lastColumn="0" w:oddVBand="0" w:evenVBand="0" w:oddHBand="0" w:evenHBand="0" w:firstRowFirstColumn="0" w:firstRowLastColumn="0" w:lastRowFirstColumn="0" w:lastRowLastColumn="0"/>
            <w:tcW w:w="3497" w:type="dxa"/>
            <w:shd w:val="clear" w:color="auto" w:fill="auto"/>
          </w:tcPr>
          <w:p w14:paraId="704D9F77" w14:textId="77777777" w:rsidR="00EF2CDD" w:rsidRPr="00BA783C" w:rsidRDefault="00EF2CDD" w:rsidP="00825CAB">
            <w:pPr>
              <w:rPr>
                <w:rFonts w:ascii="Times New Roman" w:hAnsi="Times New Roman" w:cs="Times New Roman"/>
                <w:b w:val="0"/>
                <w:bCs w:val="0"/>
                <w:sz w:val="24"/>
                <w:szCs w:val="24"/>
              </w:rPr>
            </w:pPr>
            <w:proofErr w:type="spellStart"/>
            <w:r w:rsidRPr="00BA783C">
              <w:rPr>
                <w:rFonts w:ascii="Times New Roman" w:hAnsi="Times New Roman" w:cs="Times New Roman"/>
                <w:b w:val="0"/>
                <w:bCs w:val="0"/>
                <w:sz w:val="24"/>
                <w:szCs w:val="24"/>
              </w:rPr>
              <w:t>Cefoxitin</w:t>
            </w:r>
            <w:proofErr w:type="spellEnd"/>
          </w:p>
        </w:tc>
        <w:tc>
          <w:tcPr>
            <w:tcW w:w="1720" w:type="dxa"/>
            <w:shd w:val="clear" w:color="auto" w:fill="auto"/>
          </w:tcPr>
          <w:p w14:paraId="6CEB9E93" w14:textId="77777777" w:rsidR="00EF2CDD" w:rsidRPr="00BC6897" w:rsidRDefault="00EF2CDD" w:rsidP="00825C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C6897">
              <w:rPr>
                <w:rFonts w:ascii="Times New Roman" w:hAnsi="Times New Roman" w:cs="Times New Roman"/>
                <w:sz w:val="24"/>
                <w:szCs w:val="24"/>
              </w:rPr>
              <w:t>0 (0)</w:t>
            </w:r>
          </w:p>
        </w:tc>
        <w:tc>
          <w:tcPr>
            <w:tcW w:w="1336" w:type="dxa"/>
            <w:shd w:val="clear" w:color="auto" w:fill="auto"/>
          </w:tcPr>
          <w:p w14:paraId="262F6178" w14:textId="1DD08F08" w:rsidR="00EF2CDD" w:rsidRPr="00BC6897" w:rsidRDefault="00EF2CDD" w:rsidP="00825C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C6897">
              <w:rPr>
                <w:rFonts w:ascii="Times New Roman" w:hAnsi="Times New Roman" w:cs="Times New Roman"/>
                <w:sz w:val="24"/>
                <w:szCs w:val="24"/>
              </w:rPr>
              <w:t>3 (33,3)</w:t>
            </w:r>
          </w:p>
        </w:tc>
        <w:tc>
          <w:tcPr>
            <w:tcW w:w="1352" w:type="dxa"/>
            <w:shd w:val="clear" w:color="auto" w:fill="auto"/>
          </w:tcPr>
          <w:p w14:paraId="02BAFA03" w14:textId="77777777" w:rsidR="00EF2CDD" w:rsidRPr="00BC6897" w:rsidRDefault="00EF2CDD" w:rsidP="00825C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C6897">
              <w:rPr>
                <w:rFonts w:ascii="Times New Roman" w:hAnsi="Times New Roman" w:cs="Times New Roman"/>
                <w:sz w:val="24"/>
                <w:szCs w:val="24"/>
              </w:rPr>
              <w:t>3 (100)</w:t>
            </w:r>
          </w:p>
        </w:tc>
        <w:tc>
          <w:tcPr>
            <w:tcW w:w="1167" w:type="dxa"/>
            <w:vMerge/>
          </w:tcPr>
          <w:p w14:paraId="17CA1187" w14:textId="77777777" w:rsidR="00EF2CDD" w:rsidRPr="00E762B6" w:rsidRDefault="00EF2CDD" w:rsidP="00825C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highlight w:val="yellow"/>
              </w:rPr>
            </w:pPr>
          </w:p>
        </w:tc>
      </w:tr>
      <w:tr w:rsidR="00EF2CDD" w:rsidRPr="00BA783C" w14:paraId="2ED480FC" w14:textId="3E0F2F3A" w:rsidTr="00EF2C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7" w:type="dxa"/>
            <w:shd w:val="clear" w:color="auto" w:fill="auto"/>
          </w:tcPr>
          <w:p w14:paraId="157820AD" w14:textId="77777777" w:rsidR="00EF2CDD" w:rsidRPr="00BA783C" w:rsidRDefault="00EF2CDD" w:rsidP="00825CAB">
            <w:pPr>
              <w:rPr>
                <w:rFonts w:ascii="Times New Roman" w:hAnsi="Times New Roman" w:cs="Times New Roman"/>
                <w:b w:val="0"/>
                <w:bCs w:val="0"/>
                <w:sz w:val="24"/>
                <w:szCs w:val="24"/>
              </w:rPr>
            </w:pPr>
            <w:proofErr w:type="spellStart"/>
            <w:r w:rsidRPr="00BA783C">
              <w:rPr>
                <w:rFonts w:ascii="Times New Roman" w:hAnsi="Times New Roman" w:cs="Times New Roman"/>
                <w:b w:val="0"/>
                <w:bCs w:val="0"/>
                <w:sz w:val="24"/>
                <w:szCs w:val="24"/>
              </w:rPr>
              <w:t>Ceftazidime</w:t>
            </w:r>
            <w:proofErr w:type="spellEnd"/>
          </w:p>
        </w:tc>
        <w:tc>
          <w:tcPr>
            <w:tcW w:w="1720" w:type="dxa"/>
            <w:shd w:val="clear" w:color="auto" w:fill="auto"/>
          </w:tcPr>
          <w:p w14:paraId="3C8A44AB" w14:textId="77777777" w:rsidR="00EF2CDD" w:rsidRPr="00BC6897" w:rsidRDefault="00EF2CDD" w:rsidP="00825C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C6897">
              <w:rPr>
                <w:rFonts w:ascii="Times New Roman" w:hAnsi="Times New Roman" w:cs="Times New Roman"/>
                <w:sz w:val="24"/>
                <w:szCs w:val="24"/>
              </w:rPr>
              <w:t>0 (0)</w:t>
            </w:r>
          </w:p>
        </w:tc>
        <w:tc>
          <w:tcPr>
            <w:tcW w:w="1336" w:type="dxa"/>
            <w:shd w:val="clear" w:color="auto" w:fill="auto"/>
          </w:tcPr>
          <w:p w14:paraId="1F793A53" w14:textId="77777777" w:rsidR="00EF2CDD" w:rsidRPr="00BC6897" w:rsidRDefault="00EF2CDD" w:rsidP="00825C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C6897">
              <w:rPr>
                <w:rFonts w:ascii="Times New Roman" w:hAnsi="Times New Roman" w:cs="Times New Roman"/>
                <w:sz w:val="24"/>
                <w:szCs w:val="24"/>
              </w:rPr>
              <w:t>0 (0)</w:t>
            </w:r>
          </w:p>
        </w:tc>
        <w:tc>
          <w:tcPr>
            <w:tcW w:w="1352" w:type="dxa"/>
            <w:shd w:val="clear" w:color="auto" w:fill="auto"/>
          </w:tcPr>
          <w:p w14:paraId="08BF52B4" w14:textId="77777777" w:rsidR="00EF2CDD" w:rsidRPr="00BC6897" w:rsidRDefault="00EF2CDD" w:rsidP="00825C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C6897">
              <w:rPr>
                <w:rFonts w:ascii="Times New Roman" w:hAnsi="Times New Roman" w:cs="Times New Roman"/>
                <w:sz w:val="24"/>
                <w:szCs w:val="24"/>
              </w:rPr>
              <w:t>0 (0)</w:t>
            </w:r>
          </w:p>
        </w:tc>
        <w:tc>
          <w:tcPr>
            <w:tcW w:w="1167" w:type="dxa"/>
            <w:vMerge/>
          </w:tcPr>
          <w:p w14:paraId="6793987A" w14:textId="77777777" w:rsidR="00EF2CDD" w:rsidRPr="00E762B6" w:rsidRDefault="00EF2CDD" w:rsidP="00825C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highlight w:val="yellow"/>
              </w:rPr>
            </w:pPr>
          </w:p>
        </w:tc>
      </w:tr>
      <w:tr w:rsidR="00EF2CDD" w:rsidRPr="00BA783C" w14:paraId="162A50E7" w14:textId="244D5EBB" w:rsidTr="00EF2CDD">
        <w:tc>
          <w:tcPr>
            <w:cnfStyle w:val="001000000000" w:firstRow="0" w:lastRow="0" w:firstColumn="1" w:lastColumn="0" w:oddVBand="0" w:evenVBand="0" w:oddHBand="0" w:evenHBand="0" w:firstRowFirstColumn="0" w:firstRowLastColumn="0" w:lastRowFirstColumn="0" w:lastRowLastColumn="0"/>
            <w:tcW w:w="3497" w:type="dxa"/>
            <w:shd w:val="clear" w:color="auto" w:fill="auto"/>
          </w:tcPr>
          <w:p w14:paraId="296502DD" w14:textId="77777777" w:rsidR="00EF2CDD" w:rsidRPr="00BA783C" w:rsidRDefault="00EF2CDD" w:rsidP="00825CAB">
            <w:pPr>
              <w:rPr>
                <w:rFonts w:ascii="Times New Roman" w:hAnsi="Times New Roman" w:cs="Times New Roman"/>
                <w:b w:val="0"/>
                <w:bCs w:val="0"/>
                <w:sz w:val="24"/>
                <w:szCs w:val="24"/>
              </w:rPr>
            </w:pPr>
            <w:proofErr w:type="spellStart"/>
            <w:r w:rsidRPr="00BA783C">
              <w:rPr>
                <w:rFonts w:ascii="Times New Roman" w:hAnsi="Times New Roman" w:cs="Times New Roman"/>
                <w:b w:val="0"/>
                <w:bCs w:val="0"/>
                <w:sz w:val="24"/>
                <w:szCs w:val="24"/>
              </w:rPr>
              <w:t>Cefepime</w:t>
            </w:r>
            <w:proofErr w:type="spellEnd"/>
          </w:p>
        </w:tc>
        <w:tc>
          <w:tcPr>
            <w:tcW w:w="1720" w:type="dxa"/>
            <w:shd w:val="clear" w:color="auto" w:fill="auto"/>
          </w:tcPr>
          <w:p w14:paraId="232B9E6C" w14:textId="77777777" w:rsidR="00EF2CDD" w:rsidRPr="00BC6897" w:rsidRDefault="00EF2CDD" w:rsidP="00825C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C6897">
              <w:rPr>
                <w:rFonts w:ascii="Times New Roman" w:hAnsi="Times New Roman" w:cs="Times New Roman"/>
                <w:sz w:val="24"/>
                <w:szCs w:val="24"/>
              </w:rPr>
              <w:t>18 (10)</w:t>
            </w:r>
          </w:p>
        </w:tc>
        <w:tc>
          <w:tcPr>
            <w:tcW w:w="1336" w:type="dxa"/>
            <w:shd w:val="clear" w:color="auto" w:fill="auto"/>
          </w:tcPr>
          <w:p w14:paraId="5B69494F" w14:textId="5071B562" w:rsidR="00EF2CDD" w:rsidRPr="00BC6897" w:rsidRDefault="00EF2CDD" w:rsidP="00825C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C6897">
              <w:rPr>
                <w:rFonts w:ascii="Times New Roman" w:hAnsi="Times New Roman" w:cs="Times New Roman"/>
                <w:sz w:val="24"/>
                <w:szCs w:val="24"/>
              </w:rPr>
              <w:t>3 (33,3)</w:t>
            </w:r>
          </w:p>
        </w:tc>
        <w:tc>
          <w:tcPr>
            <w:tcW w:w="1352" w:type="dxa"/>
            <w:shd w:val="clear" w:color="auto" w:fill="auto"/>
          </w:tcPr>
          <w:p w14:paraId="712E3EC0" w14:textId="77777777" w:rsidR="00EF2CDD" w:rsidRPr="00BC6897" w:rsidRDefault="00EF2CDD" w:rsidP="00825C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C6897">
              <w:rPr>
                <w:rFonts w:ascii="Times New Roman" w:hAnsi="Times New Roman" w:cs="Times New Roman"/>
                <w:sz w:val="24"/>
                <w:szCs w:val="24"/>
              </w:rPr>
              <w:t>0 (0)</w:t>
            </w:r>
          </w:p>
        </w:tc>
        <w:tc>
          <w:tcPr>
            <w:tcW w:w="1167" w:type="dxa"/>
            <w:vMerge/>
          </w:tcPr>
          <w:p w14:paraId="473800AD" w14:textId="77777777" w:rsidR="00EF2CDD" w:rsidRPr="00E762B6" w:rsidRDefault="00EF2CDD" w:rsidP="00825C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highlight w:val="yellow"/>
              </w:rPr>
            </w:pPr>
          </w:p>
        </w:tc>
      </w:tr>
      <w:tr w:rsidR="00EF2CDD" w:rsidRPr="00D21E09" w14:paraId="37218D17" w14:textId="4A7ED765" w:rsidTr="00EF2C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7" w:type="dxa"/>
            <w:shd w:val="clear" w:color="auto" w:fill="auto"/>
          </w:tcPr>
          <w:p w14:paraId="706E58D9" w14:textId="77777777" w:rsidR="00EF2CDD" w:rsidRPr="00D21E09" w:rsidRDefault="00EF2CDD" w:rsidP="00825CAB">
            <w:pPr>
              <w:rPr>
                <w:rFonts w:ascii="Times New Roman" w:hAnsi="Times New Roman" w:cs="Times New Roman"/>
                <w:b w:val="0"/>
                <w:bCs w:val="0"/>
                <w:sz w:val="24"/>
                <w:szCs w:val="24"/>
              </w:rPr>
            </w:pPr>
            <w:proofErr w:type="spellStart"/>
            <w:r w:rsidRPr="00D21E09">
              <w:rPr>
                <w:rFonts w:ascii="Times New Roman" w:hAnsi="Times New Roman" w:cs="Times New Roman"/>
                <w:b w:val="0"/>
                <w:bCs w:val="0"/>
                <w:sz w:val="24"/>
                <w:szCs w:val="24"/>
              </w:rPr>
              <w:t>Meropenem</w:t>
            </w:r>
            <w:proofErr w:type="spellEnd"/>
          </w:p>
        </w:tc>
        <w:tc>
          <w:tcPr>
            <w:tcW w:w="1720" w:type="dxa"/>
            <w:shd w:val="clear" w:color="auto" w:fill="auto"/>
          </w:tcPr>
          <w:p w14:paraId="5453801B" w14:textId="77777777" w:rsidR="00EF2CDD" w:rsidRPr="00D21E09" w:rsidRDefault="00EF2CDD" w:rsidP="00825C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 (11,1)</w:t>
            </w:r>
          </w:p>
        </w:tc>
        <w:tc>
          <w:tcPr>
            <w:tcW w:w="1336" w:type="dxa"/>
            <w:shd w:val="clear" w:color="auto" w:fill="auto"/>
          </w:tcPr>
          <w:p w14:paraId="22666EA4" w14:textId="77777777" w:rsidR="00EF2CDD" w:rsidRPr="00D21E09" w:rsidRDefault="00EF2CDD" w:rsidP="00825C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 (0)</w:t>
            </w:r>
          </w:p>
        </w:tc>
        <w:tc>
          <w:tcPr>
            <w:tcW w:w="1352" w:type="dxa"/>
            <w:shd w:val="clear" w:color="auto" w:fill="auto"/>
          </w:tcPr>
          <w:p w14:paraId="4EAF5375" w14:textId="77777777" w:rsidR="00EF2CDD" w:rsidRPr="00D21E09" w:rsidRDefault="00EF2CDD" w:rsidP="00825C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 (0)</w:t>
            </w:r>
          </w:p>
        </w:tc>
        <w:tc>
          <w:tcPr>
            <w:tcW w:w="1167" w:type="dxa"/>
            <w:vMerge/>
          </w:tcPr>
          <w:p w14:paraId="7F1A22C4" w14:textId="77777777" w:rsidR="00EF2CDD" w:rsidRPr="00E762B6" w:rsidRDefault="00EF2CDD" w:rsidP="00825C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highlight w:val="yellow"/>
              </w:rPr>
            </w:pPr>
          </w:p>
        </w:tc>
      </w:tr>
      <w:tr w:rsidR="00EF2CDD" w:rsidRPr="00BA783C" w14:paraId="5E0DCCCB" w14:textId="28B4BAAE" w:rsidTr="00EF2CDD">
        <w:tc>
          <w:tcPr>
            <w:cnfStyle w:val="001000000000" w:firstRow="0" w:lastRow="0" w:firstColumn="1" w:lastColumn="0" w:oddVBand="0" w:evenVBand="0" w:oddHBand="0" w:evenHBand="0" w:firstRowFirstColumn="0" w:firstRowLastColumn="0" w:lastRowFirstColumn="0" w:lastRowLastColumn="0"/>
            <w:tcW w:w="3497" w:type="dxa"/>
            <w:shd w:val="clear" w:color="auto" w:fill="auto"/>
          </w:tcPr>
          <w:p w14:paraId="1D2E802D" w14:textId="77777777" w:rsidR="00EF2CDD" w:rsidRPr="00BA783C" w:rsidRDefault="00EF2CDD" w:rsidP="00825CAB">
            <w:pPr>
              <w:rPr>
                <w:rFonts w:ascii="Times New Roman" w:hAnsi="Times New Roman" w:cs="Times New Roman"/>
                <w:b w:val="0"/>
                <w:bCs w:val="0"/>
                <w:sz w:val="24"/>
                <w:szCs w:val="24"/>
              </w:rPr>
            </w:pPr>
            <w:proofErr w:type="spellStart"/>
            <w:r w:rsidRPr="00BA783C">
              <w:rPr>
                <w:rFonts w:ascii="Times New Roman" w:hAnsi="Times New Roman" w:cs="Times New Roman"/>
                <w:b w:val="0"/>
                <w:bCs w:val="0"/>
                <w:sz w:val="24"/>
                <w:szCs w:val="24"/>
              </w:rPr>
              <w:t>Gentamicin</w:t>
            </w:r>
            <w:proofErr w:type="spellEnd"/>
          </w:p>
        </w:tc>
        <w:tc>
          <w:tcPr>
            <w:tcW w:w="1720" w:type="dxa"/>
            <w:shd w:val="clear" w:color="auto" w:fill="auto"/>
          </w:tcPr>
          <w:p w14:paraId="1BF80981" w14:textId="77777777" w:rsidR="00EF2CDD" w:rsidRPr="00BC6897" w:rsidRDefault="00EF2CDD" w:rsidP="00825C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C6897">
              <w:rPr>
                <w:rFonts w:ascii="Times New Roman" w:hAnsi="Times New Roman" w:cs="Times New Roman"/>
                <w:sz w:val="24"/>
                <w:szCs w:val="24"/>
              </w:rPr>
              <w:t>0 (0)</w:t>
            </w:r>
          </w:p>
        </w:tc>
        <w:tc>
          <w:tcPr>
            <w:tcW w:w="1336" w:type="dxa"/>
            <w:shd w:val="clear" w:color="auto" w:fill="auto"/>
          </w:tcPr>
          <w:p w14:paraId="15915476" w14:textId="77777777" w:rsidR="00EF2CDD" w:rsidRPr="00BC6897" w:rsidRDefault="00EF2CDD" w:rsidP="00825C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C6897">
              <w:rPr>
                <w:rFonts w:ascii="Times New Roman" w:hAnsi="Times New Roman" w:cs="Times New Roman"/>
                <w:sz w:val="24"/>
                <w:szCs w:val="24"/>
              </w:rPr>
              <w:t>0 (0)</w:t>
            </w:r>
          </w:p>
        </w:tc>
        <w:tc>
          <w:tcPr>
            <w:tcW w:w="1352" w:type="dxa"/>
            <w:shd w:val="clear" w:color="auto" w:fill="auto"/>
          </w:tcPr>
          <w:p w14:paraId="0361E7FF" w14:textId="77777777" w:rsidR="00EF2CDD" w:rsidRPr="00BC6897" w:rsidRDefault="00EF2CDD" w:rsidP="00825C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C6897">
              <w:rPr>
                <w:rFonts w:ascii="Times New Roman" w:hAnsi="Times New Roman" w:cs="Times New Roman"/>
                <w:sz w:val="24"/>
                <w:szCs w:val="24"/>
              </w:rPr>
              <w:t>0 (0)</w:t>
            </w:r>
          </w:p>
        </w:tc>
        <w:tc>
          <w:tcPr>
            <w:tcW w:w="1167" w:type="dxa"/>
            <w:vMerge/>
          </w:tcPr>
          <w:p w14:paraId="386A7A41" w14:textId="77777777" w:rsidR="00EF2CDD" w:rsidRPr="00E762B6" w:rsidRDefault="00EF2CDD" w:rsidP="00825C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highlight w:val="yellow"/>
              </w:rPr>
            </w:pPr>
          </w:p>
        </w:tc>
      </w:tr>
      <w:tr w:rsidR="00EF2CDD" w:rsidRPr="00BA783C" w14:paraId="6B0A8A3C" w14:textId="67E0EFAB" w:rsidTr="00EF2C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7" w:type="dxa"/>
            <w:shd w:val="clear" w:color="auto" w:fill="auto"/>
          </w:tcPr>
          <w:p w14:paraId="52767990" w14:textId="77777777" w:rsidR="00EF2CDD" w:rsidRPr="00BA783C" w:rsidRDefault="00EF2CDD" w:rsidP="00825CAB">
            <w:pPr>
              <w:rPr>
                <w:rFonts w:ascii="Times New Roman" w:hAnsi="Times New Roman" w:cs="Times New Roman"/>
                <w:b w:val="0"/>
                <w:bCs w:val="0"/>
                <w:sz w:val="24"/>
                <w:szCs w:val="24"/>
              </w:rPr>
            </w:pPr>
            <w:proofErr w:type="spellStart"/>
            <w:r w:rsidRPr="00BA783C">
              <w:rPr>
                <w:rFonts w:ascii="Times New Roman" w:hAnsi="Times New Roman" w:cs="Times New Roman"/>
                <w:b w:val="0"/>
                <w:bCs w:val="0"/>
                <w:sz w:val="24"/>
                <w:szCs w:val="24"/>
              </w:rPr>
              <w:t>Amikacin</w:t>
            </w:r>
            <w:proofErr w:type="spellEnd"/>
          </w:p>
        </w:tc>
        <w:tc>
          <w:tcPr>
            <w:tcW w:w="1720" w:type="dxa"/>
            <w:shd w:val="clear" w:color="auto" w:fill="auto"/>
          </w:tcPr>
          <w:p w14:paraId="26225FC8" w14:textId="77777777" w:rsidR="00EF2CDD" w:rsidRPr="00BC6897" w:rsidRDefault="00EF2CDD" w:rsidP="00825C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C6897">
              <w:rPr>
                <w:rFonts w:ascii="Times New Roman" w:hAnsi="Times New Roman" w:cs="Times New Roman"/>
                <w:sz w:val="24"/>
                <w:szCs w:val="24"/>
              </w:rPr>
              <w:t>0 (0)</w:t>
            </w:r>
          </w:p>
        </w:tc>
        <w:tc>
          <w:tcPr>
            <w:tcW w:w="1336" w:type="dxa"/>
            <w:shd w:val="clear" w:color="auto" w:fill="auto"/>
          </w:tcPr>
          <w:p w14:paraId="0FC146AA" w14:textId="77777777" w:rsidR="00EF2CDD" w:rsidRPr="00BC6897" w:rsidRDefault="00EF2CDD" w:rsidP="00825C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C6897">
              <w:rPr>
                <w:rFonts w:ascii="Times New Roman" w:hAnsi="Times New Roman" w:cs="Times New Roman"/>
                <w:sz w:val="24"/>
                <w:szCs w:val="24"/>
              </w:rPr>
              <w:t>0 (0)</w:t>
            </w:r>
          </w:p>
        </w:tc>
        <w:tc>
          <w:tcPr>
            <w:tcW w:w="1352" w:type="dxa"/>
            <w:shd w:val="clear" w:color="auto" w:fill="auto"/>
          </w:tcPr>
          <w:p w14:paraId="04C0946B" w14:textId="77777777" w:rsidR="00EF2CDD" w:rsidRPr="00BC6897" w:rsidRDefault="00EF2CDD" w:rsidP="00825C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C6897">
              <w:rPr>
                <w:rFonts w:ascii="Times New Roman" w:hAnsi="Times New Roman" w:cs="Times New Roman"/>
                <w:sz w:val="24"/>
                <w:szCs w:val="24"/>
              </w:rPr>
              <w:t>0 (0)</w:t>
            </w:r>
          </w:p>
        </w:tc>
        <w:tc>
          <w:tcPr>
            <w:tcW w:w="1167" w:type="dxa"/>
            <w:vMerge/>
          </w:tcPr>
          <w:p w14:paraId="3B576E14" w14:textId="77777777" w:rsidR="00EF2CDD" w:rsidRPr="00E762B6" w:rsidRDefault="00EF2CDD" w:rsidP="00825C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highlight w:val="yellow"/>
              </w:rPr>
            </w:pPr>
          </w:p>
        </w:tc>
      </w:tr>
      <w:tr w:rsidR="00EF2CDD" w:rsidRPr="00BA783C" w14:paraId="5D2D0332" w14:textId="2426D1E1" w:rsidTr="00EF2CDD">
        <w:tc>
          <w:tcPr>
            <w:cnfStyle w:val="001000000000" w:firstRow="0" w:lastRow="0" w:firstColumn="1" w:lastColumn="0" w:oddVBand="0" w:evenVBand="0" w:oddHBand="0" w:evenHBand="0" w:firstRowFirstColumn="0" w:firstRowLastColumn="0" w:lastRowFirstColumn="0" w:lastRowLastColumn="0"/>
            <w:tcW w:w="3497" w:type="dxa"/>
            <w:shd w:val="clear" w:color="auto" w:fill="auto"/>
          </w:tcPr>
          <w:p w14:paraId="0E6616F0" w14:textId="0E1B76FF" w:rsidR="00EF2CDD" w:rsidRPr="00BA783C" w:rsidRDefault="00EF2CDD" w:rsidP="00825CAB">
            <w:pPr>
              <w:rPr>
                <w:rFonts w:ascii="Times New Roman" w:hAnsi="Times New Roman" w:cs="Times New Roman"/>
                <w:b w:val="0"/>
                <w:bCs w:val="0"/>
                <w:sz w:val="24"/>
                <w:szCs w:val="24"/>
              </w:rPr>
            </w:pPr>
            <w:proofErr w:type="spellStart"/>
            <w:r>
              <w:rPr>
                <w:rFonts w:ascii="Times New Roman" w:hAnsi="Times New Roman" w:cs="Times New Roman"/>
                <w:b w:val="0"/>
                <w:bCs w:val="0"/>
                <w:sz w:val="24"/>
                <w:szCs w:val="24"/>
              </w:rPr>
              <w:t>Kanamycin</w:t>
            </w:r>
            <w:proofErr w:type="spellEnd"/>
          </w:p>
        </w:tc>
        <w:tc>
          <w:tcPr>
            <w:tcW w:w="1720" w:type="dxa"/>
            <w:shd w:val="clear" w:color="auto" w:fill="auto"/>
          </w:tcPr>
          <w:p w14:paraId="7D8AA177" w14:textId="3548584E" w:rsidR="00EF2CDD" w:rsidRPr="00BC6897" w:rsidRDefault="00EF2CDD" w:rsidP="00825C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C6897">
              <w:rPr>
                <w:rFonts w:ascii="Times New Roman" w:hAnsi="Times New Roman" w:cs="Times New Roman"/>
                <w:sz w:val="24"/>
                <w:szCs w:val="24"/>
              </w:rPr>
              <w:t>159 (88,3)</w:t>
            </w:r>
          </w:p>
        </w:tc>
        <w:tc>
          <w:tcPr>
            <w:tcW w:w="1336" w:type="dxa"/>
            <w:shd w:val="clear" w:color="auto" w:fill="auto"/>
          </w:tcPr>
          <w:p w14:paraId="4A615FD8" w14:textId="77777777" w:rsidR="00EF2CDD" w:rsidRPr="00BC6897" w:rsidRDefault="00EF2CDD" w:rsidP="00825C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C6897">
              <w:rPr>
                <w:rFonts w:ascii="Times New Roman" w:hAnsi="Times New Roman" w:cs="Times New Roman"/>
                <w:sz w:val="24"/>
                <w:szCs w:val="24"/>
              </w:rPr>
              <w:t>0 (0)</w:t>
            </w:r>
          </w:p>
        </w:tc>
        <w:tc>
          <w:tcPr>
            <w:tcW w:w="1352" w:type="dxa"/>
            <w:shd w:val="clear" w:color="auto" w:fill="auto"/>
          </w:tcPr>
          <w:p w14:paraId="14A6C700" w14:textId="77777777" w:rsidR="00EF2CDD" w:rsidRPr="00BC6897" w:rsidRDefault="00EF2CDD" w:rsidP="00825C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C6897">
              <w:rPr>
                <w:rFonts w:ascii="Times New Roman" w:hAnsi="Times New Roman" w:cs="Times New Roman"/>
                <w:sz w:val="24"/>
                <w:szCs w:val="24"/>
              </w:rPr>
              <w:t>0 (0)</w:t>
            </w:r>
          </w:p>
        </w:tc>
        <w:tc>
          <w:tcPr>
            <w:tcW w:w="1167" w:type="dxa"/>
            <w:vMerge/>
          </w:tcPr>
          <w:p w14:paraId="004E6BB3" w14:textId="77777777" w:rsidR="00EF2CDD" w:rsidRPr="00E762B6" w:rsidRDefault="00EF2CDD" w:rsidP="00825C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highlight w:val="yellow"/>
              </w:rPr>
            </w:pPr>
          </w:p>
        </w:tc>
      </w:tr>
      <w:tr w:rsidR="00EF2CDD" w:rsidRPr="00BA783C" w14:paraId="6CFB9B0E" w14:textId="5B866607" w:rsidTr="00EF2C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7" w:type="dxa"/>
            <w:shd w:val="clear" w:color="auto" w:fill="auto"/>
          </w:tcPr>
          <w:p w14:paraId="22E077D9" w14:textId="77777777" w:rsidR="00EF2CDD" w:rsidRPr="00BA783C" w:rsidRDefault="00EF2CDD" w:rsidP="00825CAB">
            <w:pPr>
              <w:rPr>
                <w:rFonts w:ascii="Times New Roman" w:hAnsi="Times New Roman" w:cs="Times New Roman"/>
                <w:b w:val="0"/>
                <w:bCs w:val="0"/>
                <w:sz w:val="24"/>
                <w:szCs w:val="24"/>
              </w:rPr>
            </w:pPr>
            <w:proofErr w:type="spellStart"/>
            <w:r w:rsidRPr="00BA783C">
              <w:rPr>
                <w:rFonts w:ascii="Times New Roman" w:hAnsi="Times New Roman" w:cs="Times New Roman"/>
                <w:b w:val="0"/>
                <w:bCs w:val="0"/>
                <w:sz w:val="24"/>
                <w:szCs w:val="24"/>
              </w:rPr>
              <w:t>Trimethoprim+sulfamethoxazole</w:t>
            </w:r>
            <w:proofErr w:type="spellEnd"/>
          </w:p>
        </w:tc>
        <w:tc>
          <w:tcPr>
            <w:tcW w:w="1720" w:type="dxa"/>
            <w:shd w:val="clear" w:color="auto" w:fill="auto"/>
          </w:tcPr>
          <w:p w14:paraId="18627BC7" w14:textId="6407ED51" w:rsidR="00EF2CDD" w:rsidRPr="00BC6897" w:rsidRDefault="00EF2CDD" w:rsidP="00825C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C6897">
              <w:rPr>
                <w:rFonts w:ascii="Times New Roman" w:hAnsi="Times New Roman" w:cs="Times New Roman"/>
                <w:sz w:val="24"/>
                <w:szCs w:val="24"/>
              </w:rPr>
              <w:t>111 (61,7)</w:t>
            </w:r>
          </w:p>
        </w:tc>
        <w:tc>
          <w:tcPr>
            <w:tcW w:w="1336" w:type="dxa"/>
            <w:shd w:val="clear" w:color="auto" w:fill="auto"/>
          </w:tcPr>
          <w:p w14:paraId="153340C3" w14:textId="77777777" w:rsidR="00EF2CDD" w:rsidRPr="00BC6897" w:rsidRDefault="00EF2CDD" w:rsidP="00825C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C6897">
              <w:rPr>
                <w:rFonts w:ascii="Times New Roman" w:hAnsi="Times New Roman" w:cs="Times New Roman"/>
                <w:sz w:val="24"/>
                <w:szCs w:val="24"/>
              </w:rPr>
              <w:t>0 (0)</w:t>
            </w:r>
          </w:p>
        </w:tc>
        <w:tc>
          <w:tcPr>
            <w:tcW w:w="1352" w:type="dxa"/>
            <w:shd w:val="clear" w:color="auto" w:fill="auto"/>
          </w:tcPr>
          <w:p w14:paraId="6A48268B" w14:textId="77777777" w:rsidR="00EF2CDD" w:rsidRPr="00BC6897" w:rsidRDefault="00EF2CDD" w:rsidP="00825C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C6897">
              <w:rPr>
                <w:rFonts w:ascii="Times New Roman" w:hAnsi="Times New Roman" w:cs="Times New Roman"/>
                <w:sz w:val="24"/>
                <w:szCs w:val="24"/>
              </w:rPr>
              <w:t>0 (0)</w:t>
            </w:r>
          </w:p>
        </w:tc>
        <w:tc>
          <w:tcPr>
            <w:tcW w:w="1167" w:type="dxa"/>
            <w:vMerge/>
          </w:tcPr>
          <w:p w14:paraId="4E04F6A1" w14:textId="77777777" w:rsidR="00EF2CDD" w:rsidRPr="00E762B6" w:rsidRDefault="00EF2CDD" w:rsidP="00825C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highlight w:val="yellow"/>
              </w:rPr>
            </w:pPr>
          </w:p>
        </w:tc>
      </w:tr>
      <w:tr w:rsidR="00EF2CDD" w:rsidRPr="00BA783C" w14:paraId="3DB86043" w14:textId="2F766FC8" w:rsidTr="00EF2CDD">
        <w:tc>
          <w:tcPr>
            <w:cnfStyle w:val="001000000000" w:firstRow="0" w:lastRow="0" w:firstColumn="1" w:lastColumn="0" w:oddVBand="0" w:evenVBand="0" w:oddHBand="0" w:evenHBand="0" w:firstRowFirstColumn="0" w:firstRowLastColumn="0" w:lastRowFirstColumn="0" w:lastRowLastColumn="0"/>
            <w:tcW w:w="3497" w:type="dxa"/>
            <w:shd w:val="clear" w:color="auto" w:fill="auto"/>
          </w:tcPr>
          <w:p w14:paraId="0B784BE5" w14:textId="77777777" w:rsidR="00EF2CDD" w:rsidRPr="00BA783C" w:rsidRDefault="00EF2CDD" w:rsidP="00825CAB">
            <w:pPr>
              <w:rPr>
                <w:rFonts w:ascii="Times New Roman" w:hAnsi="Times New Roman" w:cs="Times New Roman"/>
                <w:b w:val="0"/>
                <w:bCs w:val="0"/>
                <w:sz w:val="24"/>
                <w:szCs w:val="24"/>
              </w:rPr>
            </w:pPr>
            <w:proofErr w:type="spellStart"/>
            <w:r w:rsidRPr="00BA783C">
              <w:rPr>
                <w:rFonts w:ascii="Times New Roman" w:hAnsi="Times New Roman" w:cs="Times New Roman"/>
                <w:b w:val="0"/>
                <w:bCs w:val="0"/>
                <w:sz w:val="24"/>
                <w:szCs w:val="24"/>
              </w:rPr>
              <w:t>Tetracycline</w:t>
            </w:r>
            <w:proofErr w:type="spellEnd"/>
          </w:p>
        </w:tc>
        <w:tc>
          <w:tcPr>
            <w:tcW w:w="1720" w:type="dxa"/>
            <w:shd w:val="clear" w:color="auto" w:fill="auto"/>
          </w:tcPr>
          <w:p w14:paraId="21044192" w14:textId="355863BF" w:rsidR="00EF2CDD" w:rsidRPr="00BC6897" w:rsidRDefault="00EF2CDD" w:rsidP="00825C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C6897">
              <w:rPr>
                <w:rFonts w:ascii="Times New Roman" w:hAnsi="Times New Roman" w:cs="Times New Roman"/>
                <w:sz w:val="24"/>
                <w:szCs w:val="24"/>
              </w:rPr>
              <w:t>102 (56,7)</w:t>
            </w:r>
          </w:p>
        </w:tc>
        <w:tc>
          <w:tcPr>
            <w:tcW w:w="1336" w:type="dxa"/>
            <w:shd w:val="clear" w:color="auto" w:fill="auto"/>
          </w:tcPr>
          <w:p w14:paraId="3B544C6A" w14:textId="77777777" w:rsidR="00EF2CDD" w:rsidRPr="00BC6897" w:rsidRDefault="00EF2CDD" w:rsidP="00825C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C6897">
              <w:rPr>
                <w:rFonts w:ascii="Times New Roman" w:hAnsi="Times New Roman" w:cs="Times New Roman"/>
                <w:sz w:val="24"/>
                <w:szCs w:val="24"/>
              </w:rPr>
              <w:t>0 (0)</w:t>
            </w:r>
          </w:p>
        </w:tc>
        <w:tc>
          <w:tcPr>
            <w:tcW w:w="1352" w:type="dxa"/>
            <w:shd w:val="clear" w:color="auto" w:fill="auto"/>
          </w:tcPr>
          <w:p w14:paraId="2C045833" w14:textId="77777777" w:rsidR="00EF2CDD" w:rsidRPr="00BC6897" w:rsidRDefault="00EF2CDD" w:rsidP="00825C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C6897">
              <w:rPr>
                <w:rFonts w:ascii="Times New Roman" w:hAnsi="Times New Roman" w:cs="Times New Roman"/>
                <w:sz w:val="24"/>
                <w:szCs w:val="24"/>
              </w:rPr>
              <w:t>0 (0)</w:t>
            </w:r>
          </w:p>
        </w:tc>
        <w:tc>
          <w:tcPr>
            <w:tcW w:w="1167" w:type="dxa"/>
            <w:vMerge/>
          </w:tcPr>
          <w:p w14:paraId="6DAB17B5" w14:textId="77777777" w:rsidR="00EF2CDD" w:rsidRPr="00E762B6" w:rsidRDefault="00EF2CDD" w:rsidP="00825C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highlight w:val="yellow"/>
              </w:rPr>
            </w:pPr>
          </w:p>
        </w:tc>
      </w:tr>
      <w:tr w:rsidR="00EF2CDD" w:rsidRPr="00BA783C" w14:paraId="5C1B78A0" w14:textId="57B9629A" w:rsidTr="00EF2C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7" w:type="dxa"/>
            <w:shd w:val="clear" w:color="auto" w:fill="auto"/>
          </w:tcPr>
          <w:p w14:paraId="6551CBF8" w14:textId="77777777" w:rsidR="00EF2CDD" w:rsidRPr="00BA783C" w:rsidRDefault="00EF2CDD" w:rsidP="00825CAB">
            <w:pPr>
              <w:rPr>
                <w:rFonts w:ascii="Times New Roman" w:hAnsi="Times New Roman" w:cs="Times New Roman"/>
                <w:b w:val="0"/>
                <w:bCs w:val="0"/>
                <w:sz w:val="24"/>
                <w:szCs w:val="24"/>
              </w:rPr>
            </w:pPr>
            <w:proofErr w:type="spellStart"/>
            <w:r w:rsidRPr="00BA783C">
              <w:rPr>
                <w:rFonts w:ascii="Times New Roman" w:hAnsi="Times New Roman" w:cs="Times New Roman"/>
                <w:b w:val="0"/>
                <w:bCs w:val="0"/>
                <w:sz w:val="24"/>
                <w:szCs w:val="24"/>
              </w:rPr>
              <w:t>Nalidixic</w:t>
            </w:r>
            <w:proofErr w:type="spellEnd"/>
            <w:r w:rsidRPr="00BA783C">
              <w:rPr>
                <w:rFonts w:ascii="Times New Roman" w:hAnsi="Times New Roman" w:cs="Times New Roman"/>
                <w:b w:val="0"/>
                <w:bCs w:val="0"/>
                <w:sz w:val="24"/>
                <w:szCs w:val="24"/>
              </w:rPr>
              <w:t xml:space="preserve"> </w:t>
            </w:r>
            <w:proofErr w:type="spellStart"/>
            <w:r w:rsidRPr="00BA783C">
              <w:rPr>
                <w:rFonts w:ascii="Times New Roman" w:hAnsi="Times New Roman" w:cs="Times New Roman"/>
                <w:b w:val="0"/>
                <w:bCs w:val="0"/>
                <w:sz w:val="24"/>
                <w:szCs w:val="24"/>
              </w:rPr>
              <w:t>acid</w:t>
            </w:r>
            <w:proofErr w:type="spellEnd"/>
          </w:p>
        </w:tc>
        <w:tc>
          <w:tcPr>
            <w:tcW w:w="1720" w:type="dxa"/>
            <w:shd w:val="clear" w:color="auto" w:fill="auto"/>
          </w:tcPr>
          <w:p w14:paraId="0E0ADCF0" w14:textId="77777777" w:rsidR="00EF2CDD" w:rsidRPr="00BC6897" w:rsidRDefault="00EF2CDD" w:rsidP="00825C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C6897">
              <w:rPr>
                <w:rFonts w:ascii="Times New Roman" w:hAnsi="Times New Roman" w:cs="Times New Roman"/>
                <w:sz w:val="24"/>
                <w:szCs w:val="24"/>
              </w:rPr>
              <w:t>36 (20)</w:t>
            </w:r>
          </w:p>
        </w:tc>
        <w:tc>
          <w:tcPr>
            <w:tcW w:w="1336" w:type="dxa"/>
            <w:shd w:val="clear" w:color="auto" w:fill="auto"/>
          </w:tcPr>
          <w:p w14:paraId="51CA8F9F" w14:textId="77777777" w:rsidR="00EF2CDD" w:rsidRPr="00BC6897" w:rsidRDefault="00EF2CDD" w:rsidP="00825C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C6897">
              <w:rPr>
                <w:rFonts w:ascii="Times New Roman" w:hAnsi="Times New Roman" w:cs="Times New Roman"/>
                <w:sz w:val="24"/>
                <w:szCs w:val="24"/>
              </w:rPr>
              <w:t>0 (0)</w:t>
            </w:r>
          </w:p>
        </w:tc>
        <w:tc>
          <w:tcPr>
            <w:tcW w:w="1352" w:type="dxa"/>
            <w:shd w:val="clear" w:color="auto" w:fill="auto"/>
          </w:tcPr>
          <w:p w14:paraId="62F49596" w14:textId="77777777" w:rsidR="00EF2CDD" w:rsidRPr="00BC6897" w:rsidRDefault="00EF2CDD" w:rsidP="00825C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C6897">
              <w:rPr>
                <w:rFonts w:ascii="Times New Roman" w:hAnsi="Times New Roman" w:cs="Times New Roman"/>
                <w:sz w:val="24"/>
                <w:szCs w:val="24"/>
              </w:rPr>
              <w:t>0 (0)</w:t>
            </w:r>
          </w:p>
        </w:tc>
        <w:tc>
          <w:tcPr>
            <w:tcW w:w="1167" w:type="dxa"/>
            <w:vMerge/>
          </w:tcPr>
          <w:p w14:paraId="7E08A4DA" w14:textId="77777777" w:rsidR="00EF2CDD" w:rsidRPr="00E762B6" w:rsidRDefault="00EF2CDD" w:rsidP="00825C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highlight w:val="yellow"/>
              </w:rPr>
            </w:pPr>
          </w:p>
        </w:tc>
      </w:tr>
      <w:tr w:rsidR="00EF2CDD" w:rsidRPr="00BA783C" w14:paraId="134B8095" w14:textId="2CA94984" w:rsidTr="00EF2CDD">
        <w:tc>
          <w:tcPr>
            <w:cnfStyle w:val="001000000000" w:firstRow="0" w:lastRow="0" w:firstColumn="1" w:lastColumn="0" w:oddVBand="0" w:evenVBand="0" w:oddHBand="0" w:evenHBand="0" w:firstRowFirstColumn="0" w:firstRowLastColumn="0" w:lastRowFirstColumn="0" w:lastRowLastColumn="0"/>
            <w:tcW w:w="3497" w:type="dxa"/>
            <w:shd w:val="clear" w:color="auto" w:fill="auto"/>
          </w:tcPr>
          <w:p w14:paraId="24EF89DD" w14:textId="77777777" w:rsidR="00EF2CDD" w:rsidRPr="00BA783C" w:rsidRDefault="00EF2CDD" w:rsidP="00825CAB">
            <w:pPr>
              <w:rPr>
                <w:rFonts w:ascii="Times New Roman" w:hAnsi="Times New Roman" w:cs="Times New Roman"/>
                <w:b w:val="0"/>
                <w:bCs w:val="0"/>
                <w:sz w:val="24"/>
                <w:szCs w:val="24"/>
              </w:rPr>
            </w:pPr>
            <w:proofErr w:type="spellStart"/>
            <w:r w:rsidRPr="00BA783C">
              <w:rPr>
                <w:rFonts w:ascii="Times New Roman" w:hAnsi="Times New Roman" w:cs="Times New Roman"/>
                <w:b w:val="0"/>
                <w:bCs w:val="0"/>
                <w:sz w:val="24"/>
                <w:szCs w:val="24"/>
              </w:rPr>
              <w:t>Enrofloxacin</w:t>
            </w:r>
            <w:proofErr w:type="spellEnd"/>
          </w:p>
        </w:tc>
        <w:tc>
          <w:tcPr>
            <w:tcW w:w="1720" w:type="dxa"/>
            <w:shd w:val="clear" w:color="auto" w:fill="auto"/>
          </w:tcPr>
          <w:p w14:paraId="1488A0CE" w14:textId="5862B940" w:rsidR="00EF2CDD" w:rsidRPr="00BC6897" w:rsidRDefault="00EF2CDD" w:rsidP="00825C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18 (10)</w:t>
            </w:r>
          </w:p>
        </w:tc>
        <w:tc>
          <w:tcPr>
            <w:tcW w:w="1336" w:type="dxa"/>
            <w:shd w:val="clear" w:color="auto" w:fill="auto"/>
          </w:tcPr>
          <w:p w14:paraId="588DB72E" w14:textId="77777777" w:rsidR="00EF2CDD" w:rsidRPr="00BC6897" w:rsidRDefault="00EF2CDD" w:rsidP="00825C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C6897">
              <w:rPr>
                <w:rFonts w:ascii="Times New Roman" w:hAnsi="Times New Roman" w:cs="Times New Roman"/>
                <w:sz w:val="24"/>
                <w:szCs w:val="24"/>
              </w:rPr>
              <w:t>0 (0)</w:t>
            </w:r>
          </w:p>
        </w:tc>
        <w:tc>
          <w:tcPr>
            <w:tcW w:w="1352" w:type="dxa"/>
            <w:shd w:val="clear" w:color="auto" w:fill="auto"/>
          </w:tcPr>
          <w:p w14:paraId="4FB95054" w14:textId="77777777" w:rsidR="00EF2CDD" w:rsidRPr="00BC6897" w:rsidRDefault="00EF2CDD" w:rsidP="00825C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C6897">
              <w:rPr>
                <w:rFonts w:ascii="Times New Roman" w:hAnsi="Times New Roman" w:cs="Times New Roman"/>
                <w:sz w:val="24"/>
                <w:szCs w:val="24"/>
              </w:rPr>
              <w:t>0 (0)</w:t>
            </w:r>
          </w:p>
        </w:tc>
        <w:tc>
          <w:tcPr>
            <w:tcW w:w="1167" w:type="dxa"/>
            <w:vMerge/>
          </w:tcPr>
          <w:p w14:paraId="75760C6A" w14:textId="77777777" w:rsidR="00EF2CDD" w:rsidRPr="00E762B6" w:rsidRDefault="00EF2CDD" w:rsidP="00825C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highlight w:val="yellow"/>
              </w:rPr>
            </w:pPr>
          </w:p>
        </w:tc>
      </w:tr>
      <w:tr w:rsidR="00EF2CDD" w:rsidRPr="00BA783C" w14:paraId="5E9165F8" w14:textId="4CC738F1" w:rsidTr="00E428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7" w:type="dxa"/>
            <w:tcBorders>
              <w:bottom w:val="single" w:sz="4" w:space="0" w:color="auto"/>
            </w:tcBorders>
            <w:shd w:val="clear" w:color="auto" w:fill="auto"/>
          </w:tcPr>
          <w:p w14:paraId="52909457" w14:textId="77777777" w:rsidR="00EF2CDD" w:rsidRPr="00BA783C" w:rsidRDefault="00EF2CDD" w:rsidP="00825CAB">
            <w:pPr>
              <w:rPr>
                <w:rFonts w:ascii="Times New Roman" w:hAnsi="Times New Roman" w:cs="Times New Roman"/>
                <w:b w:val="0"/>
                <w:bCs w:val="0"/>
                <w:sz w:val="24"/>
                <w:szCs w:val="24"/>
              </w:rPr>
            </w:pPr>
            <w:proofErr w:type="spellStart"/>
            <w:r w:rsidRPr="00BA783C">
              <w:rPr>
                <w:rFonts w:ascii="Times New Roman" w:hAnsi="Times New Roman" w:cs="Times New Roman"/>
                <w:b w:val="0"/>
                <w:bCs w:val="0"/>
                <w:sz w:val="24"/>
                <w:szCs w:val="21"/>
                <w:shd w:val="clear" w:color="auto" w:fill="FFFFFF"/>
              </w:rPr>
              <w:t>Amoxicillin</w:t>
            </w:r>
            <w:proofErr w:type="spellEnd"/>
          </w:p>
        </w:tc>
        <w:tc>
          <w:tcPr>
            <w:tcW w:w="1720" w:type="dxa"/>
            <w:tcBorders>
              <w:bottom w:val="single" w:sz="4" w:space="0" w:color="auto"/>
            </w:tcBorders>
            <w:shd w:val="clear" w:color="auto" w:fill="auto"/>
          </w:tcPr>
          <w:p w14:paraId="0F97C100" w14:textId="77777777" w:rsidR="00EF2CDD" w:rsidRPr="00BC6897" w:rsidRDefault="00EF2CDD" w:rsidP="00825C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C6897">
              <w:rPr>
                <w:rFonts w:ascii="Times New Roman" w:hAnsi="Times New Roman" w:cs="Times New Roman"/>
                <w:sz w:val="24"/>
                <w:szCs w:val="24"/>
              </w:rPr>
              <w:t>0 (0)</w:t>
            </w:r>
          </w:p>
        </w:tc>
        <w:tc>
          <w:tcPr>
            <w:tcW w:w="1336" w:type="dxa"/>
            <w:tcBorders>
              <w:bottom w:val="single" w:sz="4" w:space="0" w:color="auto"/>
            </w:tcBorders>
            <w:shd w:val="clear" w:color="auto" w:fill="auto"/>
          </w:tcPr>
          <w:p w14:paraId="4BD3C5FC" w14:textId="77777777" w:rsidR="00EF2CDD" w:rsidRPr="00BC6897" w:rsidRDefault="00EF2CDD" w:rsidP="00825C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C6897">
              <w:rPr>
                <w:rFonts w:ascii="Times New Roman" w:hAnsi="Times New Roman" w:cs="Times New Roman"/>
                <w:sz w:val="24"/>
                <w:szCs w:val="24"/>
              </w:rPr>
              <w:t>0 (0)</w:t>
            </w:r>
          </w:p>
        </w:tc>
        <w:tc>
          <w:tcPr>
            <w:tcW w:w="1352" w:type="dxa"/>
            <w:tcBorders>
              <w:bottom w:val="single" w:sz="4" w:space="0" w:color="auto"/>
            </w:tcBorders>
            <w:shd w:val="clear" w:color="auto" w:fill="auto"/>
          </w:tcPr>
          <w:p w14:paraId="165F3C1A" w14:textId="77777777" w:rsidR="00EF2CDD" w:rsidRPr="00BC6897" w:rsidRDefault="00EF2CDD" w:rsidP="00825C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C6897">
              <w:rPr>
                <w:rFonts w:ascii="Times New Roman" w:hAnsi="Times New Roman" w:cs="Times New Roman"/>
                <w:sz w:val="24"/>
                <w:szCs w:val="24"/>
              </w:rPr>
              <w:t>0 (0)</w:t>
            </w:r>
          </w:p>
        </w:tc>
        <w:tc>
          <w:tcPr>
            <w:tcW w:w="1167" w:type="dxa"/>
            <w:vMerge/>
          </w:tcPr>
          <w:p w14:paraId="11E047E6" w14:textId="77777777" w:rsidR="00EF2CDD" w:rsidRPr="00E762B6" w:rsidRDefault="00EF2CDD" w:rsidP="00825C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highlight w:val="yellow"/>
              </w:rPr>
            </w:pPr>
          </w:p>
        </w:tc>
      </w:tr>
      <w:tr w:rsidR="00EF2CDD" w14:paraId="2A135C2E" w14:textId="64330DEE" w:rsidTr="00E42835">
        <w:tc>
          <w:tcPr>
            <w:cnfStyle w:val="001000000000" w:firstRow="0" w:lastRow="0" w:firstColumn="1" w:lastColumn="0" w:oddVBand="0" w:evenVBand="0" w:oddHBand="0" w:evenHBand="0" w:firstRowFirstColumn="0" w:firstRowLastColumn="0" w:lastRowFirstColumn="0" w:lastRowLastColumn="0"/>
            <w:tcW w:w="3497" w:type="dxa"/>
            <w:tcBorders>
              <w:top w:val="single" w:sz="4" w:space="0" w:color="auto"/>
              <w:bottom w:val="single" w:sz="4" w:space="0" w:color="auto"/>
            </w:tcBorders>
            <w:shd w:val="clear" w:color="auto" w:fill="auto"/>
          </w:tcPr>
          <w:p w14:paraId="0B01C199" w14:textId="77777777" w:rsidR="00EF2CDD" w:rsidRPr="00BA783C" w:rsidRDefault="00EF2CDD" w:rsidP="00825CAB">
            <w:pPr>
              <w:rPr>
                <w:rFonts w:ascii="Times New Roman" w:hAnsi="Times New Roman" w:cs="Times New Roman"/>
                <w:b w:val="0"/>
                <w:bCs w:val="0"/>
                <w:sz w:val="24"/>
                <w:szCs w:val="24"/>
              </w:rPr>
            </w:pPr>
            <w:proofErr w:type="spellStart"/>
            <w:r w:rsidRPr="00BA783C">
              <w:rPr>
                <w:rFonts w:ascii="Times New Roman" w:hAnsi="Times New Roman" w:cs="Times New Roman"/>
                <w:b w:val="0"/>
                <w:bCs w:val="0"/>
                <w:sz w:val="24"/>
                <w:szCs w:val="24"/>
              </w:rPr>
              <w:t>Ticarcillin</w:t>
            </w:r>
            <w:proofErr w:type="spellEnd"/>
          </w:p>
        </w:tc>
        <w:tc>
          <w:tcPr>
            <w:tcW w:w="1720" w:type="dxa"/>
            <w:tcBorders>
              <w:top w:val="single" w:sz="4" w:space="0" w:color="auto"/>
              <w:bottom w:val="single" w:sz="4" w:space="0" w:color="auto"/>
            </w:tcBorders>
            <w:shd w:val="clear" w:color="auto" w:fill="auto"/>
          </w:tcPr>
          <w:p w14:paraId="5D6CD0A3" w14:textId="1AF76EA8" w:rsidR="00EF2CDD" w:rsidRPr="00BC6897" w:rsidRDefault="00EF2CDD" w:rsidP="00825C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C6897">
              <w:rPr>
                <w:rFonts w:ascii="Times New Roman" w:hAnsi="Times New Roman" w:cs="Times New Roman"/>
                <w:sz w:val="24"/>
                <w:szCs w:val="24"/>
              </w:rPr>
              <w:t>33 (18,3)</w:t>
            </w:r>
          </w:p>
        </w:tc>
        <w:tc>
          <w:tcPr>
            <w:tcW w:w="1336" w:type="dxa"/>
            <w:tcBorders>
              <w:top w:val="single" w:sz="4" w:space="0" w:color="auto"/>
              <w:bottom w:val="single" w:sz="4" w:space="0" w:color="auto"/>
            </w:tcBorders>
            <w:shd w:val="clear" w:color="auto" w:fill="auto"/>
          </w:tcPr>
          <w:p w14:paraId="328CF70D" w14:textId="77777777" w:rsidR="00EF2CDD" w:rsidRPr="00BC6897" w:rsidRDefault="00EF2CDD" w:rsidP="00825C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C6897">
              <w:rPr>
                <w:rFonts w:ascii="Times New Roman" w:hAnsi="Times New Roman" w:cs="Times New Roman"/>
                <w:sz w:val="24"/>
                <w:szCs w:val="24"/>
              </w:rPr>
              <w:t>0 (0)</w:t>
            </w:r>
          </w:p>
        </w:tc>
        <w:tc>
          <w:tcPr>
            <w:tcW w:w="1352" w:type="dxa"/>
            <w:tcBorders>
              <w:top w:val="single" w:sz="4" w:space="0" w:color="auto"/>
              <w:bottom w:val="single" w:sz="4" w:space="0" w:color="auto"/>
            </w:tcBorders>
            <w:shd w:val="clear" w:color="auto" w:fill="auto"/>
          </w:tcPr>
          <w:p w14:paraId="64EE6E89" w14:textId="77777777" w:rsidR="00EF2CDD" w:rsidRPr="00BC6897" w:rsidRDefault="00EF2CDD" w:rsidP="00825C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C6897">
              <w:rPr>
                <w:rFonts w:ascii="Times New Roman" w:hAnsi="Times New Roman" w:cs="Times New Roman"/>
                <w:sz w:val="24"/>
                <w:szCs w:val="24"/>
              </w:rPr>
              <w:t>0 (0)</w:t>
            </w:r>
          </w:p>
        </w:tc>
        <w:tc>
          <w:tcPr>
            <w:tcW w:w="1167" w:type="dxa"/>
            <w:vMerge/>
            <w:tcBorders>
              <w:bottom w:val="single" w:sz="4" w:space="0" w:color="auto"/>
            </w:tcBorders>
          </w:tcPr>
          <w:p w14:paraId="15AA5953" w14:textId="77777777" w:rsidR="00EF2CDD" w:rsidRPr="00E762B6" w:rsidRDefault="00EF2CDD" w:rsidP="00825C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highlight w:val="yellow"/>
              </w:rPr>
            </w:pPr>
          </w:p>
        </w:tc>
      </w:tr>
    </w:tbl>
    <w:p w14:paraId="407F79AE" w14:textId="77777777" w:rsidR="00281662" w:rsidRDefault="00281662" w:rsidP="00A40EE0">
      <w:pPr>
        <w:spacing w:line="360" w:lineRule="auto"/>
        <w:jc w:val="both"/>
        <w:rPr>
          <w:rFonts w:ascii="Times New Roman" w:hAnsi="Times New Roman" w:cs="Times New Roman"/>
          <w:b/>
          <w:sz w:val="24"/>
          <w:szCs w:val="24"/>
        </w:rPr>
      </w:pPr>
    </w:p>
    <w:p w14:paraId="5F110812" w14:textId="014DB940" w:rsidR="006541D3" w:rsidRPr="001E4BD2" w:rsidRDefault="005F7FC9" w:rsidP="009D006D">
      <w:pPr>
        <w:spacing w:after="0" w:line="360" w:lineRule="auto"/>
        <w:jc w:val="both"/>
        <w:rPr>
          <w:rFonts w:ascii="Times New Roman" w:hAnsi="Times New Roman" w:cs="Times New Roman"/>
          <w:b/>
          <w:sz w:val="24"/>
          <w:szCs w:val="24"/>
          <w:lang w:val="en-GB"/>
        </w:rPr>
      </w:pPr>
      <w:r w:rsidRPr="001E4BD2">
        <w:rPr>
          <w:rFonts w:ascii="Times New Roman" w:hAnsi="Times New Roman" w:cs="Times New Roman"/>
          <w:b/>
          <w:sz w:val="24"/>
          <w:szCs w:val="24"/>
          <w:lang w:val="en-GB"/>
        </w:rPr>
        <w:t xml:space="preserve">III.4. Phenotypes expressed of </w:t>
      </w:r>
      <w:r w:rsidR="006541D3" w:rsidRPr="001E4BD2">
        <w:rPr>
          <w:rFonts w:ascii="Times New Roman" w:hAnsi="Times New Roman" w:cs="Times New Roman"/>
          <w:b/>
          <w:i/>
          <w:sz w:val="24"/>
          <w:szCs w:val="24"/>
          <w:lang w:val="en-GB"/>
        </w:rPr>
        <w:t>Klebsiella pneumoniae</w:t>
      </w:r>
      <w:r w:rsidR="006541D3" w:rsidRPr="001E4BD2">
        <w:rPr>
          <w:rFonts w:ascii="Times New Roman" w:hAnsi="Times New Roman" w:cs="Times New Roman"/>
          <w:b/>
          <w:sz w:val="24"/>
          <w:szCs w:val="24"/>
          <w:lang w:val="en-GB"/>
        </w:rPr>
        <w:t xml:space="preserve"> strains at study sites</w:t>
      </w:r>
    </w:p>
    <w:p w14:paraId="4ADC49A4" w14:textId="32D34103" w:rsidR="007456A9" w:rsidRPr="001E4BD2" w:rsidRDefault="00F46060" w:rsidP="009D006D">
      <w:pPr>
        <w:spacing w:after="0" w:line="360" w:lineRule="auto"/>
        <w:jc w:val="both"/>
        <w:rPr>
          <w:rFonts w:ascii="Times New Roman" w:hAnsi="Times New Roman" w:cs="Times New Roman"/>
          <w:sz w:val="24"/>
          <w:szCs w:val="24"/>
          <w:lang w:val="en-GB"/>
        </w:rPr>
      </w:pPr>
      <w:r w:rsidRPr="001E4BD2">
        <w:rPr>
          <w:rFonts w:ascii="Times New Roman" w:hAnsi="Times New Roman" w:cs="Times New Roman"/>
          <w:sz w:val="24"/>
          <w:szCs w:val="24"/>
          <w:lang w:val="en-GB"/>
        </w:rPr>
        <w:t xml:space="preserve">The resistance phenotypes expressed by </w:t>
      </w:r>
      <w:r w:rsidR="0020606D" w:rsidRPr="001E4BD2">
        <w:rPr>
          <w:rFonts w:ascii="Times New Roman" w:hAnsi="Times New Roman" w:cs="Times New Roman"/>
          <w:i/>
          <w:sz w:val="24"/>
          <w:szCs w:val="24"/>
          <w:lang w:val="en-GB"/>
        </w:rPr>
        <w:t>Klebsiella pneumoniae</w:t>
      </w:r>
      <w:r w:rsidR="00126B91" w:rsidRPr="001E4BD2">
        <w:rPr>
          <w:rFonts w:ascii="Times New Roman" w:hAnsi="Times New Roman" w:cs="Times New Roman"/>
          <w:sz w:val="24"/>
          <w:szCs w:val="24"/>
          <w:lang w:val="en-GB"/>
        </w:rPr>
        <w:t xml:space="preserve"> strains were distributed as follows: </w:t>
      </w:r>
    </w:p>
    <w:p w14:paraId="6C24AEF9" w14:textId="331A5F2B" w:rsidR="007456A9" w:rsidRPr="001E4BD2" w:rsidRDefault="000B60D1" w:rsidP="007456A9">
      <w:pPr>
        <w:pStyle w:val="Paragraphedeliste"/>
        <w:numPr>
          <w:ilvl w:val="0"/>
          <w:numId w:val="4"/>
        </w:numPr>
        <w:spacing w:line="360" w:lineRule="auto"/>
        <w:jc w:val="both"/>
        <w:rPr>
          <w:rFonts w:ascii="Times New Roman" w:hAnsi="Times New Roman" w:cs="Times New Roman"/>
          <w:sz w:val="24"/>
          <w:szCs w:val="24"/>
          <w:lang w:val="en-GB"/>
        </w:rPr>
      </w:pPr>
      <w:r w:rsidRPr="001E4BD2">
        <w:rPr>
          <w:rFonts w:ascii="Times New Roman" w:hAnsi="Times New Roman" w:cs="Times New Roman"/>
          <w:sz w:val="24"/>
          <w:szCs w:val="24"/>
          <w:lang w:val="en-GB"/>
        </w:rPr>
        <w:t xml:space="preserve">The "FQR" phenotype (cross-resistance to quinolones and fluoroquinolones) observed in 30% of strains from </w:t>
      </w:r>
      <w:proofErr w:type="spellStart"/>
      <w:r w:rsidRPr="001E4BD2">
        <w:rPr>
          <w:rFonts w:ascii="Times New Roman" w:hAnsi="Times New Roman" w:cs="Times New Roman"/>
          <w:sz w:val="24"/>
          <w:szCs w:val="24"/>
          <w:lang w:val="en-GB"/>
        </w:rPr>
        <w:t>Cocody</w:t>
      </w:r>
      <w:proofErr w:type="spellEnd"/>
      <w:r w:rsidRPr="001E4BD2">
        <w:rPr>
          <w:rFonts w:ascii="Times New Roman" w:hAnsi="Times New Roman" w:cs="Times New Roman"/>
          <w:sz w:val="24"/>
          <w:szCs w:val="24"/>
          <w:lang w:val="en-GB"/>
        </w:rPr>
        <w:t>;</w:t>
      </w:r>
    </w:p>
    <w:p w14:paraId="75CE9951" w14:textId="620D43F6" w:rsidR="007456A9" w:rsidRPr="001E4BD2" w:rsidRDefault="000B60D1" w:rsidP="007456A9">
      <w:pPr>
        <w:pStyle w:val="Paragraphedeliste"/>
        <w:numPr>
          <w:ilvl w:val="0"/>
          <w:numId w:val="4"/>
        </w:numPr>
        <w:spacing w:line="360" w:lineRule="auto"/>
        <w:jc w:val="both"/>
        <w:rPr>
          <w:rFonts w:ascii="Times New Roman" w:hAnsi="Times New Roman" w:cs="Times New Roman"/>
          <w:sz w:val="24"/>
          <w:szCs w:val="24"/>
          <w:lang w:val="en-GB"/>
        </w:rPr>
      </w:pPr>
      <w:r w:rsidRPr="001E4BD2">
        <w:rPr>
          <w:rFonts w:ascii="Times New Roman" w:hAnsi="Times New Roman" w:cs="Times New Roman"/>
          <w:sz w:val="24"/>
          <w:szCs w:val="24"/>
          <w:lang w:val="en-GB"/>
        </w:rPr>
        <w:t xml:space="preserve">The "C3GR" phenotype (resistance to 3rd generation cephalosporins) reported at low levels in the </w:t>
      </w:r>
      <w:r w:rsidR="004D39D5">
        <w:rPr>
          <w:rFonts w:ascii="Times New Roman" w:hAnsi="Times New Roman" w:cs="Times New Roman"/>
          <w:bCs/>
          <w:sz w:val="24"/>
          <w:lang w:val="en-GB"/>
        </w:rPr>
        <w:t>municipalities</w:t>
      </w:r>
      <w:r w:rsidRPr="001E4BD2">
        <w:rPr>
          <w:rFonts w:ascii="Times New Roman" w:hAnsi="Times New Roman" w:cs="Times New Roman"/>
          <w:sz w:val="24"/>
          <w:szCs w:val="24"/>
          <w:lang w:val="en-GB"/>
        </w:rPr>
        <w:t xml:space="preserve"> of </w:t>
      </w:r>
      <w:proofErr w:type="spellStart"/>
      <w:r w:rsidRPr="001E4BD2">
        <w:rPr>
          <w:rFonts w:ascii="Times New Roman" w:hAnsi="Times New Roman" w:cs="Times New Roman"/>
          <w:sz w:val="24"/>
          <w:szCs w:val="24"/>
          <w:lang w:val="en-GB"/>
        </w:rPr>
        <w:t>Cocody</w:t>
      </w:r>
      <w:proofErr w:type="spellEnd"/>
      <w:r w:rsidRPr="001E4BD2">
        <w:rPr>
          <w:rFonts w:ascii="Times New Roman" w:hAnsi="Times New Roman" w:cs="Times New Roman"/>
          <w:sz w:val="24"/>
          <w:szCs w:val="24"/>
          <w:lang w:val="en-GB"/>
        </w:rPr>
        <w:t xml:space="preserve"> (10%) and </w:t>
      </w:r>
      <w:proofErr w:type="spellStart"/>
      <w:r w:rsidRPr="001E4BD2">
        <w:rPr>
          <w:rFonts w:ascii="Times New Roman" w:hAnsi="Times New Roman" w:cs="Times New Roman"/>
          <w:sz w:val="24"/>
          <w:szCs w:val="24"/>
          <w:lang w:val="en-GB"/>
        </w:rPr>
        <w:t>Bingerville</w:t>
      </w:r>
      <w:proofErr w:type="spellEnd"/>
      <w:r w:rsidRPr="001E4BD2">
        <w:rPr>
          <w:rFonts w:ascii="Times New Roman" w:hAnsi="Times New Roman" w:cs="Times New Roman"/>
          <w:sz w:val="24"/>
          <w:szCs w:val="24"/>
          <w:lang w:val="en-GB"/>
        </w:rPr>
        <w:t xml:space="preserve"> (33%), </w:t>
      </w:r>
    </w:p>
    <w:p w14:paraId="7620BBB6" w14:textId="7BE92D99" w:rsidR="007456A9" w:rsidRPr="001E4BD2" w:rsidRDefault="00126B91" w:rsidP="007456A9">
      <w:pPr>
        <w:pStyle w:val="Paragraphedeliste"/>
        <w:numPr>
          <w:ilvl w:val="0"/>
          <w:numId w:val="4"/>
        </w:numPr>
        <w:spacing w:line="360" w:lineRule="auto"/>
        <w:jc w:val="both"/>
        <w:rPr>
          <w:rFonts w:ascii="Times New Roman" w:hAnsi="Times New Roman" w:cs="Times New Roman"/>
          <w:sz w:val="24"/>
          <w:szCs w:val="24"/>
          <w:lang w:val="en-GB"/>
        </w:rPr>
      </w:pPr>
      <w:r w:rsidRPr="001E4BD2">
        <w:rPr>
          <w:rFonts w:ascii="Times New Roman" w:hAnsi="Times New Roman" w:cs="Times New Roman"/>
          <w:sz w:val="24"/>
          <w:szCs w:val="24"/>
          <w:lang w:val="en-GB"/>
        </w:rPr>
        <w:t>The phenotype of Emerging Highly Resistant Bacteria (</w:t>
      </w:r>
      <w:proofErr w:type="spellStart"/>
      <w:r w:rsidRPr="001E4BD2">
        <w:rPr>
          <w:rFonts w:ascii="Times New Roman" w:hAnsi="Times New Roman" w:cs="Times New Roman"/>
          <w:sz w:val="24"/>
          <w:szCs w:val="24"/>
          <w:lang w:val="en-GB"/>
        </w:rPr>
        <w:t>BHRe</w:t>
      </w:r>
      <w:proofErr w:type="spellEnd"/>
      <w:r w:rsidRPr="001E4BD2">
        <w:rPr>
          <w:rFonts w:ascii="Times New Roman" w:hAnsi="Times New Roman" w:cs="Times New Roman"/>
          <w:sz w:val="24"/>
          <w:szCs w:val="24"/>
          <w:lang w:val="en-GB"/>
        </w:rPr>
        <w:t xml:space="preserve">) "C3GR/CARBAR/FQR" (resistance to 3rd generation cephalosporins, carbapenems and quinolones and fluoroquinolones) observed in an isolated strain (1.6%) in the </w:t>
      </w:r>
      <w:r w:rsidR="004D39D5">
        <w:rPr>
          <w:rFonts w:ascii="Times New Roman" w:hAnsi="Times New Roman" w:cs="Times New Roman"/>
          <w:bCs/>
          <w:sz w:val="24"/>
          <w:lang w:val="en-GB"/>
        </w:rPr>
        <w:t>municipality</w:t>
      </w:r>
      <w:r w:rsidRPr="001E4BD2">
        <w:rPr>
          <w:rFonts w:ascii="Times New Roman" w:hAnsi="Times New Roman" w:cs="Times New Roman"/>
          <w:sz w:val="24"/>
          <w:szCs w:val="24"/>
          <w:lang w:val="en-GB"/>
        </w:rPr>
        <w:t xml:space="preserve"> of </w:t>
      </w:r>
      <w:proofErr w:type="spellStart"/>
      <w:r w:rsidRPr="001E4BD2">
        <w:rPr>
          <w:rFonts w:ascii="Times New Roman" w:hAnsi="Times New Roman" w:cs="Times New Roman"/>
          <w:sz w:val="24"/>
          <w:szCs w:val="24"/>
          <w:lang w:val="en-GB"/>
        </w:rPr>
        <w:t>Cocody</w:t>
      </w:r>
      <w:proofErr w:type="spellEnd"/>
      <w:r w:rsidRPr="001E4BD2">
        <w:rPr>
          <w:rFonts w:ascii="Times New Roman" w:hAnsi="Times New Roman" w:cs="Times New Roman"/>
          <w:sz w:val="24"/>
          <w:szCs w:val="24"/>
          <w:lang w:val="en-GB"/>
        </w:rPr>
        <w:t>;</w:t>
      </w:r>
    </w:p>
    <w:p w14:paraId="57D69C07" w14:textId="63D6E443" w:rsidR="00F853AF" w:rsidRPr="001E4BD2" w:rsidRDefault="00754FEB" w:rsidP="00242792">
      <w:pPr>
        <w:pStyle w:val="Paragraphedeliste"/>
        <w:numPr>
          <w:ilvl w:val="0"/>
          <w:numId w:val="5"/>
        </w:numPr>
        <w:spacing w:line="360" w:lineRule="auto"/>
        <w:ind w:left="360"/>
        <w:jc w:val="both"/>
        <w:rPr>
          <w:rFonts w:ascii="Times New Roman" w:hAnsi="Times New Roman" w:cs="Times New Roman"/>
          <w:b/>
          <w:bCs/>
          <w:sz w:val="24"/>
          <w:szCs w:val="24"/>
          <w:lang w:val="en-GB"/>
        </w:rPr>
      </w:pPr>
      <w:r w:rsidRPr="001E4BD2">
        <w:rPr>
          <w:rFonts w:ascii="Times New Roman" w:hAnsi="Times New Roman" w:cs="Times New Roman"/>
          <w:sz w:val="24"/>
          <w:szCs w:val="24"/>
          <w:lang w:val="en-GB"/>
        </w:rPr>
        <w:t xml:space="preserve">The "WILD" phenotype (absence of acquired resistance) was described in proportions of 43.3% and 66.7%, respectively, in strains from the </w:t>
      </w:r>
      <w:proofErr w:type="spellStart"/>
      <w:r w:rsidRPr="001E4BD2">
        <w:rPr>
          <w:rFonts w:ascii="Times New Roman" w:hAnsi="Times New Roman" w:cs="Times New Roman"/>
          <w:sz w:val="24"/>
          <w:szCs w:val="24"/>
          <w:lang w:val="en-GB"/>
        </w:rPr>
        <w:t>Cocody</w:t>
      </w:r>
      <w:proofErr w:type="spellEnd"/>
      <w:r w:rsidRPr="001E4BD2">
        <w:rPr>
          <w:rFonts w:ascii="Times New Roman" w:hAnsi="Times New Roman" w:cs="Times New Roman"/>
          <w:sz w:val="24"/>
          <w:szCs w:val="24"/>
          <w:lang w:val="en-GB"/>
        </w:rPr>
        <w:t xml:space="preserve"> and </w:t>
      </w:r>
      <w:proofErr w:type="spellStart"/>
      <w:r w:rsidRPr="001E4BD2">
        <w:rPr>
          <w:rFonts w:ascii="Times New Roman" w:hAnsi="Times New Roman" w:cs="Times New Roman"/>
          <w:sz w:val="24"/>
          <w:szCs w:val="24"/>
          <w:lang w:val="en-GB"/>
        </w:rPr>
        <w:t>Bingerville</w:t>
      </w:r>
      <w:proofErr w:type="spellEnd"/>
      <w:r w:rsidRPr="001E4BD2">
        <w:rPr>
          <w:rFonts w:ascii="Times New Roman" w:hAnsi="Times New Roman" w:cs="Times New Roman"/>
          <w:sz w:val="24"/>
          <w:szCs w:val="24"/>
          <w:lang w:val="en-GB"/>
        </w:rPr>
        <w:t xml:space="preserve"> sites </w:t>
      </w:r>
      <w:r w:rsidR="000B60D1" w:rsidRPr="001E4BD2">
        <w:rPr>
          <w:rFonts w:ascii="Times New Roman" w:hAnsi="Times New Roman" w:cs="Times New Roman"/>
          <w:b/>
          <w:bCs/>
          <w:sz w:val="24"/>
          <w:szCs w:val="24"/>
          <w:lang w:val="en-GB"/>
        </w:rPr>
        <w:t>(Figure 2).</w:t>
      </w:r>
    </w:p>
    <w:p w14:paraId="2E0D3037" w14:textId="0F48FAD6" w:rsidR="00DD0F1D" w:rsidRDefault="00E01A3C" w:rsidP="00E01A3C">
      <w:pPr>
        <w:spacing w:line="360" w:lineRule="auto"/>
        <w:ind w:left="851"/>
        <w:jc w:val="both"/>
        <w:rPr>
          <w:rFonts w:ascii="Times New Roman" w:hAnsi="Times New Roman" w:cs="Times New Roman"/>
          <w:sz w:val="24"/>
          <w:szCs w:val="24"/>
        </w:rPr>
      </w:pPr>
      <w:r>
        <w:rPr>
          <w:noProof/>
        </w:rPr>
        <w:lastRenderedPageBreak/>
        <w:drawing>
          <wp:inline distT="0" distB="0" distL="0" distR="0" wp14:anchorId="0278655E" wp14:editId="5FD568B7">
            <wp:extent cx="4572000" cy="2743200"/>
            <wp:effectExtent l="0" t="0" r="0" b="0"/>
            <wp:docPr id="1673481303" name="Graphique 1">
              <a:extLst xmlns:a="http://schemas.openxmlformats.org/drawingml/2006/main">
                <a:ext uri="{FF2B5EF4-FFF2-40B4-BE49-F238E27FC236}">
                  <a16:creationId xmlns:a16="http://schemas.microsoft.com/office/drawing/2014/main" id="{3BF5FCE6-ACF3-9CE0-C604-6D9BC2E87BC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B34E259" w14:textId="77777777" w:rsidR="00281662" w:rsidRPr="001E4BD2" w:rsidRDefault="00DD0F1D" w:rsidP="00A40EE0">
      <w:pPr>
        <w:spacing w:line="360" w:lineRule="auto"/>
        <w:jc w:val="both"/>
        <w:rPr>
          <w:rFonts w:ascii="Times New Roman" w:hAnsi="Times New Roman" w:cs="Times New Roman"/>
          <w:sz w:val="24"/>
          <w:szCs w:val="24"/>
          <w:lang w:val="en-GB"/>
        </w:rPr>
      </w:pPr>
      <w:r w:rsidRPr="001E4BD2">
        <w:rPr>
          <w:rFonts w:ascii="Times New Roman" w:hAnsi="Times New Roman" w:cs="Times New Roman"/>
          <w:b/>
          <w:sz w:val="24"/>
          <w:szCs w:val="24"/>
          <w:u w:val="single"/>
          <w:lang w:val="en-GB"/>
        </w:rPr>
        <w:t>Figure 2</w:t>
      </w:r>
      <w:r w:rsidRPr="001E4BD2">
        <w:rPr>
          <w:rFonts w:ascii="Times New Roman" w:hAnsi="Times New Roman" w:cs="Times New Roman"/>
          <w:sz w:val="24"/>
          <w:szCs w:val="24"/>
          <w:lang w:val="en-GB"/>
        </w:rPr>
        <w:t>: Distribution of phenotypes expressed with regard to the antibiotics tested</w:t>
      </w:r>
    </w:p>
    <w:p w14:paraId="459D70E5" w14:textId="5E2C7721" w:rsidR="00D95C64" w:rsidRPr="001E4BD2" w:rsidRDefault="00970E7E" w:rsidP="00487B65">
      <w:pPr>
        <w:spacing w:after="0" w:line="360" w:lineRule="auto"/>
        <w:jc w:val="both"/>
        <w:rPr>
          <w:rFonts w:ascii="Times New Roman" w:hAnsi="Times New Roman" w:cs="Times New Roman"/>
          <w:b/>
          <w:sz w:val="24"/>
          <w:szCs w:val="24"/>
          <w:lang w:val="en-GB"/>
        </w:rPr>
      </w:pPr>
      <w:r w:rsidRPr="001E4BD2">
        <w:rPr>
          <w:rFonts w:ascii="Times New Roman" w:hAnsi="Times New Roman" w:cs="Times New Roman"/>
          <w:b/>
          <w:sz w:val="24"/>
          <w:szCs w:val="24"/>
          <w:lang w:val="en-GB"/>
        </w:rPr>
        <w:t>IV. Discussion</w:t>
      </w:r>
    </w:p>
    <w:p w14:paraId="4400E260" w14:textId="421FEB01" w:rsidR="00D95C64" w:rsidRPr="001E4BD2" w:rsidRDefault="0057414B" w:rsidP="005612D4">
      <w:pPr>
        <w:spacing w:after="0" w:line="360" w:lineRule="auto"/>
        <w:jc w:val="both"/>
        <w:rPr>
          <w:rFonts w:ascii="Times New Roman" w:hAnsi="Times New Roman" w:cs="Times New Roman"/>
          <w:sz w:val="24"/>
          <w:szCs w:val="24"/>
          <w:shd w:val="clear" w:color="auto" w:fill="FFFFFF"/>
          <w:lang w:val="en-GB"/>
        </w:rPr>
      </w:pPr>
      <w:r w:rsidRPr="001E4BD2">
        <w:rPr>
          <w:rFonts w:ascii="Times New Roman" w:hAnsi="Times New Roman" w:cs="Times New Roman"/>
          <w:sz w:val="24"/>
          <w:szCs w:val="24"/>
          <w:lang w:val="en-GB"/>
        </w:rPr>
        <w:t xml:space="preserve">The objective of this study was to determine the level of antibiotic resistance in </w:t>
      </w:r>
      <w:r w:rsidRPr="001E4BD2">
        <w:rPr>
          <w:rFonts w:ascii="Times New Roman" w:hAnsi="Times New Roman" w:cs="Times New Roman"/>
          <w:i/>
          <w:sz w:val="24"/>
          <w:szCs w:val="24"/>
          <w:lang w:val="en-GB"/>
        </w:rPr>
        <w:t>Klebsiella pneumoniae</w:t>
      </w:r>
      <w:r w:rsidRPr="001E4BD2">
        <w:rPr>
          <w:rFonts w:ascii="Times New Roman" w:hAnsi="Times New Roman" w:cs="Times New Roman"/>
          <w:sz w:val="24"/>
          <w:szCs w:val="24"/>
          <w:lang w:val="en-GB"/>
        </w:rPr>
        <w:t xml:space="preserve"> isolated from poultry droppings in the District of Abidjan. Bacteriological analysis led to the identification of 192 strains of </w:t>
      </w:r>
      <w:r w:rsidR="000E3FC2" w:rsidRPr="001E4BD2">
        <w:rPr>
          <w:rFonts w:ascii="Times New Roman" w:hAnsi="Times New Roman" w:cs="Times New Roman"/>
          <w:i/>
          <w:sz w:val="24"/>
          <w:szCs w:val="24"/>
          <w:lang w:val="en-GB"/>
        </w:rPr>
        <w:t xml:space="preserve">Klebsiella pneumoniae </w:t>
      </w:r>
      <w:r w:rsidR="00F802F4" w:rsidRPr="001E4BD2">
        <w:rPr>
          <w:rFonts w:ascii="Times New Roman" w:hAnsi="Times New Roman" w:cs="Times New Roman"/>
          <w:sz w:val="24"/>
          <w:szCs w:val="24"/>
          <w:lang w:val="en-GB"/>
        </w:rPr>
        <w:t xml:space="preserve">on all the droppings collected, with a strong presence in the </w:t>
      </w:r>
      <w:r w:rsidR="001D1070">
        <w:rPr>
          <w:rFonts w:ascii="Times New Roman" w:hAnsi="Times New Roman" w:cs="Times New Roman"/>
          <w:sz w:val="24"/>
          <w:szCs w:val="24"/>
          <w:lang w:val="en-GB"/>
        </w:rPr>
        <w:t>municipality</w:t>
      </w:r>
      <w:r w:rsidR="00F802F4" w:rsidRPr="001E4BD2">
        <w:rPr>
          <w:rFonts w:ascii="Times New Roman" w:hAnsi="Times New Roman" w:cs="Times New Roman"/>
          <w:sz w:val="24"/>
          <w:szCs w:val="24"/>
          <w:lang w:val="en-GB"/>
        </w:rPr>
        <w:t xml:space="preserve"> of </w:t>
      </w:r>
      <w:proofErr w:type="spellStart"/>
      <w:r w:rsidR="00F802F4" w:rsidRPr="001E4BD2">
        <w:rPr>
          <w:rFonts w:ascii="Times New Roman" w:hAnsi="Times New Roman" w:cs="Times New Roman"/>
          <w:sz w:val="24"/>
          <w:szCs w:val="24"/>
          <w:lang w:val="en-GB"/>
        </w:rPr>
        <w:t>Cocody</w:t>
      </w:r>
      <w:proofErr w:type="spellEnd"/>
      <w:r w:rsidR="00F802F4" w:rsidRPr="001E4BD2">
        <w:rPr>
          <w:rFonts w:ascii="Times New Roman" w:hAnsi="Times New Roman" w:cs="Times New Roman"/>
          <w:sz w:val="24"/>
          <w:szCs w:val="24"/>
          <w:lang w:val="en-GB"/>
        </w:rPr>
        <w:t xml:space="preserve">, i.e. 94%. This result is in agreement with the literature data. Indeed, some authors claim that </w:t>
      </w:r>
      <w:r w:rsidR="00712875" w:rsidRPr="001E4BD2">
        <w:rPr>
          <w:rFonts w:ascii="Times New Roman" w:hAnsi="Times New Roman" w:cs="Times New Roman"/>
          <w:i/>
          <w:sz w:val="24"/>
          <w:szCs w:val="24"/>
          <w:lang w:val="en-GB"/>
        </w:rPr>
        <w:t>Klebsiella pneumoniae</w:t>
      </w:r>
      <w:r w:rsidR="00712875" w:rsidRPr="001E4BD2">
        <w:rPr>
          <w:rFonts w:ascii="Times New Roman" w:hAnsi="Times New Roman" w:cs="Times New Roman"/>
          <w:sz w:val="24"/>
          <w:szCs w:val="24"/>
          <w:lang w:val="en-GB"/>
        </w:rPr>
        <w:t xml:space="preserve"> is a ubiquitous bacterium, present in both the digestive tract of humans and animals, in the soil and water, where it can become pathogenic under certain conditions </w:t>
      </w:r>
      <w:r w:rsidR="005F7FC9">
        <w:rPr>
          <w:rFonts w:ascii="Times New Roman" w:hAnsi="Times New Roman" w:cs="Times New Roman"/>
          <w:sz w:val="24"/>
          <w:szCs w:val="24"/>
        </w:rPr>
        <w:fldChar w:fldCharType="begin"/>
      </w:r>
      <w:r w:rsidR="00A97D1E">
        <w:rPr>
          <w:rFonts w:ascii="Times New Roman" w:hAnsi="Times New Roman" w:cs="Times New Roman"/>
          <w:sz w:val="24"/>
          <w:szCs w:val="24"/>
          <w:lang w:val="en-GB"/>
        </w:rPr>
        <w:instrText xml:space="preserve"> ADDIN ZOTERO_ITEM CSL_CITATION {"citationID":"mybJnfec","properties":{"formattedCitation":"(Bao et al., 2013; Yu et al., 2007)","plainCitation":"(Bao et al., 2013; Yu et al., 2007)","noteIndex":0},"citationItems":[{"id":1710,"uris":["http://zotero.org/users/4984961/items/2BEHPWQE"],"itemData":{"id":1710,"type":"article-journal","abstract":"OBJECTIVE: To investigate the common bacterial resistance of clinical isolates in our hospital in the second half of 2011.\nMETHODOLOGY: Pathogens isolated from clinical samples in the second half of 2011 were analyzed and categorized to perform susceptibility tests.\nRESULTS: In the gram-negative bacteria, Enterobacteriaceae and non-fermenting gram-negative bacilli accounted for 55.89% and 34.51%. In the gram-positive bacteria, Staphylococcus aureus, Coagulase-negative staphylococci, Enterococcus, Strptococcus pneumonia accounted for 32.85%, 40.39%, 12.41% and 10.22%, respectively. Other species accounted for 4.14%. Klebsiella pneumonia and Pseudomonas aeruginosa were sensitive to cepoperazon, cefepime and imipenem. However,Acinetobacter baumannii was more sensitive to carbapenems antibiotics, which was followed by fourth generation cephalosporins. Klebsiella pneumoniae was extremely sensitive to amikacin, cefepime and imipenem, but was resistant to ampicillin. The detection rates of the broad-spectrum Escherichia coli, Pseudomonasaeruginosa and Klebsiella pneumoniae were 54.51%, 52.08% and 38.65%. The gram negative bacilli were the prevalent clinical pathogens in our hospital in the second half of 2011.\nCONCLUSION: The drug resistance of pathogenic bacteria has increased significantly recently, thus the surveillance of antibacterial agents is necessary, and rational use of antibiotic will be urgently needed to reduce the production and dissemination of drug resistant strains.","container-title":"Pakistan Journal of Medical Sciences","DOI":"10.12669/pjms.291.2744","ISSN":"1682-024X","issue":"1","journalAbbreviation":"Pak J Med Sci","language":"eng","note":"PMID: 24353525\nPMCID: PMC3809216","page":"135-139","source":"PubMed","title":"Analysis of some common pathogens and their drug resistance to antibiotics","volume":"29","author":[{"family":"Bao","given":"Lidao"},{"family":"Peng","given":"Rui"},{"family":"Ren","given":"Xianhua"},{"family":"Ma","given":"Ruilian"},{"family":"Li","given":"Junping"},{"family":"Wang","given":"Yi"}],"issued":{"date-parts":[["2013",1]]}},"label":"page"},{"id":1708,"uris":["http://zotero.org/users/4984961/items/LSQ5YVN6"],"itemData":{"id":1708,"type":"article-journal","abstract":"OBJECTIVE: To investigate the resistance of Escherichia coli and Klebsiella pneumoniae producing extended-spectrum beta-lactamases (ESBLs) and the genotyping of ESBLs in China.\nMETHODS: MICs of 12 antibiotics against 50 strains (by random selection) of ESBLs-producing E. coli and K. pneumoniae were determined by E-test. The genotypes of ESBLs were analyzed by PCR, DNA sequencing and isoelectric focusing.\nRESULTS: The susceptibility rate of 50 isolates was 100% in imipenem, 60%-80% in cefoperazone/sulbactam, ceftazidime and piperacillin/tazobactam, and lower in other antimicrobial agents tested. Only 6.0% of the isolates were sensitive to cefotaxime. Four hundred and forty-seven of 509 isolates had been confirmed the genotype of ESBLs. Four hundred and sixteen strains produced only one type of ESBLs, including CTX-M-14 (271 strains), CTX-M-3 (70 strains), CTX-M-24 (35 strains), CTX-M-22 (8 strains), CTX-M-15 (4 strains), CTX-M-9 (4 strains), CTX-M-28 (3 strains), CTX-M-12 (1 strain), CTX-M-13 (1 strain), CTX-M-27 (1 strain), CTX-M-29 (1 strain), SHV-12 (10 strains), SHV-5 (4 strains), SHV-2 (2 strains), and SHV-9 (1 strain). Thirty isolates carried two or three types of ESBLs, and producing CTX-M-14 and CTX-M-3 together were the most common type.\nCONCLUSION: The resistance of E. coli and K. pneumonia producing ESBLs in China was a serious issue and CTX-M type ESBLs were the most common genotype. CTX-M-14 was the predominant genotype. Some isolates produced two or three ESBLs.","container-title":"The Journal of Infection","DOI":"10.1016/j.jinf.2006.01.014","ISSN":"1532-2742","issue":"1","journalAbbreviation":"J Infect","language":"eng","note":"PMID: 16533535","page":"53-57","source":"PubMed","title":"Resistance of strains producing extended-spectrum beta-lactamases and genotype distribution in China","volume":"54","author":[{"family":"Yu","given":"Yunsong"},{"family":"Ji","given":"Shujuan"},{"family":"Chen","given":"Yagang"},{"family":"Zhou","given":"Weilin"},{"family":"Wei","given":"Zeqing"},{"family":"Li","given":"Lanjuan"},{"family":"Ma","given":"Yilin"}],"issued":{"date-parts":[["2007",1]]}},"label":"page"}],"schema":"https://github.com/citation-style-language/schema/raw/master/csl-citation.json"} </w:instrText>
      </w:r>
      <w:r w:rsidR="005F7FC9">
        <w:rPr>
          <w:rFonts w:ascii="Times New Roman" w:hAnsi="Times New Roman" w:cs="Times New Roman"/>
          <w:sz w:val="24"/>
          <w:szCs w:val="24"/>
        </w:rPr>
        <w:fldChar w:fldCharType="separate"/>
      </w:r>
      <w:r w:rsidR="005F7FC9" w:rsidRPr="001E4BD2">
        <w:rPr>
          <w:rFonts w:ascii="Times New Roman" w:hAnsi="Times New Roman" w:cs="Times New Roman"/>
          <w:sz w:val="24"/>
          <w:lang w:val="en-GB"/>
        </w:rPr>
        <w:t>(Bao et al., 2013; Yu et al., 2007)</w:t>
      </w:r>
      <w:r w:rsidR="005F7FC9">
        <w:rPr>
          <w:rFonts w:ascii="Times New Roman" w:hAnsi="Times New Roman" w:cs="Times New Roman"/>
          <w:sz w:val="24"/>
          <w:szCs w:val="24"/>
        </w:rPr>
        <w:fldChar w:fldCharType="end"/>
      </w:r>
      <w:r w:rsidR="005F7FC9" w:rsidRPr="001E4BD2">
        <w:rPr>
          <w:rFonts w:ascii="Times New Roman" w:hAnsi="Times New Roman" w:cs="Times New Roman"/>
          <w:sz w:val="24"/>
          <w:szCs w:val="24"/>
          <w:lang w:val="en-GB"/>
        </w:rPr>
        <w:t>. Several factors could explain this high number: (</w:t>
      </w:r>
      <w:proofErr w:type="spellStart"/>
      <w:r w:rsidR="005F7FC9" w:rsidRPr="001E4BD2">
        <w:rPr>
          <w:rFonts w:ascii="Times New Roman" w:hAnsi="Times New Roman" w:cs="Times New Roman"/>
          <w:sz w:val="24"/>
          <w:szCs w:val="24"/>
          <w:lang w:val="en-GB"/>
        </w:rPr>
        <w:t>i</w:t>
      </w:r>
      <w:proofErr w:type="spellEnd"/>
      <w:r w:rsidR="005F7FC9" w:rsidRPr="001E4BD2">
        <w:rPr>
          <w:rFonts w:ascii="Times New Roman" w:hAnsi="Times New Roman" w:cs="Times New Roman"/>
          <w:sz w:val="24"/>
          <w:szCs w:val="24"/>
          <w:lang w:val="en-GB"/>
        </w:rPr>
        <w:t xml:space="preserve">) an abnormal water insufficiency condition, (ii) excessive humidity (&gt;50%) and a temperature that is too low due to cold bedding when introducing the chicks, (iii) inadequate implementation of internal and external biosecurity protocols </w:t>
      </w:r>
      <w:r w:rsidR="005F7FC9">
        <w:rPr>
          <w:rFonts w:ascii="Times New Roman" w:hAnsi="Times New Roman" w:cs="Times New Roman"/>
          <w:sz w:val="24"/>
          <w:szCs w:val="24"/>
        </w:rPr>
        <w:fldChar w:fldCharType="begin"/>
      </w:r>
      <w:r w:rsidR="00A97D1E">
        <w:rPr>
          <w:rFonts w:ascii="Times New Roman" w:hAnsi="Times New Roman" w:cs="Times New Roman"/>
          <w:sz w:val="24"/>
          <w:szCs w:val="24"/>
          <w:lang w:val="en-GB"/>
        </w:rPr>
        <w:instrText xml:space="preserve"> ADDIN ZOTERO_ITEM CSL_CITATION {"citationID":"JGWuK5kd","properties":{"formattedCitation":"(Puterflam et al., 2022)","plainCitation":"(Puterflam et al., 2022)","noteIndex":0},"citationItems":[{"id":1698,"uris":["http://zotero.org/users/4984961/items/KXMCAX55"],"itemData":{"id":1698,"type":"speech","abstract":"La colibacillose aviaire est une maladie multifactorielle provoquée par la bactérie Escherichia coli, un hôte commun du tube digestif des volailles. E. coli a la particularité de présenter une grande diversité de souches : si la plupart sont non pathogènes, certaines possèdent des facteurs de virulence susceptibles de déclencher une colibacillose. L’étude Colisée avait pour objectif de mettre en évidence des pistes de prévention de cette maladie par la caractérisation de marqueurs de virulence des souches d’E.coli et l’identification de pratiques d’élevage particulièrement à risque. Cette étude a été conduite dans 80 élevages de poulets de chair entre 2017 et 2019, avec deux visites : l’une à la mise en place (chiffonnettes dans le bâtiment avant l’arrivée des poussins, prélèvement de poussins et chiffonnette de fond de boite à l’arrivée des poussins, notation de leur qualité, de leur comportement, mesures d’ambiance), et l’autre à trois semaines d’âge (mesures d’ambiance, notation du comportement des poulets). En cas de suspicion d’une colibacillose par l’éleveur, des poulets ont été envoyés au laboratoire pour diagnostic bactériologique. Près d’une centaine de marqueurs de virulence ont été recherchés sur les souches isolées d’environnement d’élevage ou de cas cliniques de colibacillose. Les résultats indiquent qu’ E. coli a été identifié dans 47% des bâtiments avant l’arrivée des poussins, sur fonds de boîte à la livraison des animaux dans 95% des lots et sur poussin dans 79% des lots. Des colibacilloses ont été signalées dans 39% des élevages. L’étude des facteurs de risque a permis d’identifier des facteurs d’élevages liés à la biosécurité (passage du camion d’équarrissage, lutte contre les rongeurs, pratique de désinfection du bâtiment et traitement de l’eau) et à l’accueil des poussins (hygrométrie, homogénéité des poussins et méthode de déchargement). Un modèle prédictif a également mis en évidence une influence plus importante des pratiques d’élevage par rapport à celle de la virulence des souches d’E. coli présentes au démarrage sur le déclenchement de la colibacillose.","note":"Published: 14èmes Journées de la Recherche Avicole et des Palmipèdes à Foie Gras","title":"Les facteurs déclenchants de la colibacillose du poulet de chair : étude épidémiologique dans 80 élevages en France","title-short":"Les facteurs déclenchants de la colibacillose du poulet de chair","URL":"https://hal.inrae.fr/hal-03775530","author":[{"family":"Puterflam","given":"Julie"},{"family":"Galliot","given":"Pascal"},{"family":"Balaine","given":"Loïc"},{"family":"Kempf","given":"Isabelle"},{"family":"Le Devendec","given":"Laetitia"},{"family":"Lucas","given":"Camille"},{"family":"Bougeard","given":"Stéphanie"},{"family":"Delannoy","given":"Sabine"},{"family":"Schouler","given":"Catherine"},{"family":"Le Bouquin","given":"Sophie"},{"family":"Souillard","given":"Rozenn"}],"accessed":{"date-parts":[["2025",6,14]]},"issued":{"date-parts":[["2022",3]]}}}],"schema":"https://github.com/citation-style-language/schema/raw/master/csl-citation.json"} </w:instrText>
      </w:r>
      <w:r w:rsidR="005F7FC9">
        <w:rPr>
          <w:rFonts w:ascii="Times New Roman" w:hAnsi="Times New Roman" w:cs="Times New Roman"/>
          <w:sz w:val="24"/>
          <w:szCs w:val="24"/>
        </w:rPr>
        <w:fldChar w:fldCharType="separate"/>
      </w:r>
      <w:r w:rsidR="005F7FC9" w:rsidRPr="001E4BD2">
        <w:rPr>
          <w:rFonts w:ascii="Times New Roman" w:hAnsi="Times New Roman" w:cs="Times New Roman"/>
          <w:sz w:val="24"/>
          <w:lang w:val="en-GB"/>
        </w:rPr>
        <w:t>(Puterflam et al., 2022)</w:t>
      </w:r>
      <w:r w:rsidR="005F7FC9">
        <w:rPr>
          <w:rFonts w:ascii="Times New Roman" w:hAnsi="Times New Roman" w:cs="Times New Roman"/>
          <w:sz w:val="24"/>
          <w:szCs w:val="24"/>
        </w:rPr>
        <w:fldChar w:fldCharType="end"/>
      </w:r>
      <w:r w:rsidR="00457797" w:rsidRPr="001E4BD2">
        <w:rPr>
          <w:rFonts w:ascii="Times New Roman" w:hAnsi="Times New Roman" w:cs="Times New Roman"/>
          <w:sz w:val="24"/>
          <w:szCs w:val="24"/>
          <w:lang w:val="en-GB"/>
        </w:rPr>
        <w:t xml:space="preserve">. The presence of </w:t>
      </w:r>
      <w:r w:rsidR="007F12CF" w:rsidRPr="001E4BD2">
        <w:rPr>
          <w:rFonts w:ascii="Times New Roman" w:hAnsi="Times New Roman" w:cs="Times New Roman"/>
          <w:i/>
          <w:sz w:val="24"/>
          <w:szCs w:val="24"/>
          <w:lang w:val="en-GB"/>
        </w:rPr>
        <w:t>Klebsiella pneumoniae</w:t>
      </w:r>
      <w:r w:rsidR="007F12CF" w:rsidRPr="001E4BD2">
        <w:rPr>
          <w:rFonts w:ascii="Times New Roman" w:hAnsi="Times New Roman" w:cs="Times New Roman"/>
          <w:sz w:val="24"/>
          <w:szCs w:val="24"/>
          <w:lang w:val="en-GB"/>
        </w:rPr>
        <w:t xml:space="preserve"> in poultry droppings was reported in Nigeria and Mali with 4.9% and 54.54% identification respectively </w:t>
      </w:r>
      <w:r w:rsidR="00D97575">
        <w:rPr>
          <w:rFonts w:ascii="Times New Roman" w:hAnsi="Times New Roman" w:cs="Times New Roman"/>
          <w:sz w:val="24"/>
          <w:szCs w:val="24"/>
        </w:rPr>
        <w:fldChar w:fldCharType="begin"/>
      </w:r>
      <w:r w:rsidR="00A97D1E">
        <w:rPr>
          <w:rFonts w:ascii="Times New Roman" w:hAnsi="Times New Roman" w:cs="Times New Roman"/>
          <w:sz w:val="24"/>
          <w:szCs w:val="24"/>
          <w:lang w:val="en-GB"/>
        </w:rPr>
        <w:instrText xml:space="preserve"> ADDIN ZOTERO_ITEM CSL_CITATION {"citationID":"LMoJfN9j","properties":{"formattedCitation":"(Adebowale &amp; Adeyemo, 2018; Sidib\\uc0\\u233{}, 2020)","plainCitation":"(Adebowale &amp; Adeyemo, 2018; Sidibé, 2020)","noteIndex":0},"citationItems":[{"id":1725,"uris":["http://zotero.org/users/4984961/items/KDWWWGH5"],"itemData":{"id":1725,"type":"article-journal","abstract":"PDF | L’étude a porté sur la répartition des types de bactéries isolées à partir de fèces et de litières de volaille dans les élevages commerciaux de... | Find, read and cite all the research you need on ResearchGate","container-title":"ResearchGate","DOI":"10.19182/remvt.31642","language":"en","source":"www.researchgate.net","title":"(PDF) Characterization of bacterium types isolated from commercial laying hen farms in Ogun State Nigeria","URL":"https://www.researchgate.net/publication/328504647_Characterization_of_bacterium_types_isolated_from_commercial_laying_hen_farms_in_Ogun_State_Nigeria","author":[{"family":"Adebowale","given":"Oluwawemimo"},{"family":"Adeyemo","given":"Olanike"}],"accessed":{"date-parts":[["2025",6,14]]},"issued":{"date-parts":[["2018"]]}},"label":"page"},{"id":1702,"uris":["http://zotero.org/users/4984961/items/QRCII46B"],"itemData":{"id":1702,"type":"thesis","language":"fr","source":"Zotero","title":"Caractérisation phénotypique de la résistance aux antibiotiques des souches d'Escherichia coli et de Klebsiella spp isolées chez les humains, les animaux et dans l'environnement au laboratoire  Rodolphe Merieux de Bamako","author":[{"family":"Sidibé","given":"Mamadou"}],"issued":{"date-parts":[["2020"]]}},"label":"page"}],"schema":"https://github.com/citation-style-language/schema/raw/master/csl-citation.json"} </w:instrText>
      </w:r>
      <w:r w:rsidR="00D97575">
        <w:rPr>
          <w:rFonts w:ascii="Times New Roman" w:hAnsi="Times New Roman" w:cs="Times New Roman"/>
          <w:sz w:val="24"/>
          <w:szCs w:val="24"/>
        </w:rPr>
        <w:fldChar w:fldCharType="separate"/>
      </w:r>
      <w:r w:rsidR="00F42E5D" w:rsidRPr="00F42E5D">
        <w:rPr>
          <w:rFonts w:ascii="Times New Roman" w:hAnsi="Times New Roman" w:cs="Times New Roman"/>
          <w:sz w:val="24"/>
        </w:rPr>
        <w:t>(Adebowale &amp; Adeyemo, 2018; Sidibé, 2020)</w:t>
      </w:r>
      <w:r w:rsidR="00D97575">
        <w:rPr>
          <w:rFonts w:ascii="Times New Roman" w:hAnsi="Times New Roman" w:cs="Times New Roman"/>
          <w:sz w:val="24"/>
          <w:szCs w:val="24"/>
        </w:rPr>
        <w:fldChar w:fldCharType="end"/>
      </w:r>
      <w:r w:rsidR="004F1804">
        <w:rPr>
          <w:rFonts w:ascii="Times New Roman" w:hAnsi="Times New Roman" w:cs="Times New Roman"/>
          <w:sz w:val="24"/>
          <w:szCs w:val="24"/>
        </w:rPr>
        <w:t xml:space="preserve"> and 67.1% in Togo </w:t>
      </w:r>
      <w:r w:rsidR="007301E2">
        <w:rPr>
          <w:rFonts w:ascii="Times New Roman" w:hAnsi="Times New Roman" w:cs="Times New Roman"/>
          <w:sz w:val="24"/>
          <w:szCs w:val="24"/>
        </w:rPr>
        <w:fldChar w:fldCharType="begin"/>
      </w:r>
      <w:r w:rsidR="00A97D1E">
        <w:rPr>
          <w:rFonts w:ascii="Times New Roman" w:hAnsi="Times New Roman" w:cs="Times New Roman"/>
          <w:sz w:val="24"/>
          <w:szCs w:val="24"/>
        </w:rPr>
        <w:instrText xml:space="preserve"> ADDIN ZOTERO_ITEM CSL_CITATION {"citationID":"S3vEX2SW","properties":{"formattedCitation":"(Bedekelabou et al., 2020a)","plainCitation":"(Bedekelabou et al., 2020a)","noteIndex":0},"citationItems":[{"id":"eOExoX4T/2irc1SSZ","uris":["http://zotero.org/users/4984961/items/79755QJX"],"itemData":{"id":2172,"type":"article-journal","abstract":"This study aimed to determine for the first time the levels and patterns of antimicrobial resistance of enterobacteria isolated from poultry and pigs farms in southern Togo. A cross-sectional study was conducted in south Togo in 70 and 47 poultry and pig farms, respectively. Fecal samples were collected once in each farm and enterobacteria isolated according to recommended techniques. Isolates from each sample were tested for susceptibility to 14 antibiotics by disc diffusion method. A total of 109 and 85 strains were recovered from 72.7% (n=64) and 87.93% (n=50) poultry and pig samples respectively. Respectively for Escherichia coli, Klebsiella spp. and Salmonella spp. strains, the most important resistances were observed in poultry/pig farms against tetracycline antibiotic (93.1%/67.6%; 96.2%/78.7% and 100%/100%) and the association sulfoxide-trimethoprim (72.4%/81.1%; 66.7%/78.7% and 100%/100%). In general, resistances were higher against penicillin antibiotics like ampicillin (55.17%/54.05%, 46.15%/38.3% and 50.00%/100%) than cephalosporin antibiotics like ceftazidime (0.00%/0.00%, 5.13%/0.00% and 0.00%/0.00%) resistances where very low or absent. Also, resistance to nalidixic Acid (31.03%/16.22%, 33.33%/29.79, 0.00%/0.00%), first generation quinolones, was relatively high than re</w:instrText>
      </w:r>
      <w:r w:rsidR="00A97D1E" w:rsidRPr="000555C9">
        <w:rPr>
          <w:rFonts w:ascii="Times New Roman" w:hAnsi="Times New Roman" w:cs="Times New Roman"/>
          <w:sz w:val="24"/>
          <w:szCs w:val="24"/>
          <w:lang w:val="en-US"/>
        </w:rPr>
        <w:instrText xml:space="preserve">sistance to norfloxacin (10.3%/10.81%; 20.5%/2.13%; 50%/0.00%) a second generation fluoroquinolone. In poultry, 44.83% of E. coli, 50% of Klebsiella spp. and 100% of Salmonella strains were multi-resistant while in pigs, 37.83% and 27.65% of E. coli and Klebsiella spp. strains showed multi-resistance. In many farms, farmers managed the health of their animals on their own. All surveyed poultry farmers and the majority of pig farmers indicated that they used antibiotics in their farms. This study showed that antimicrobial resistance in animal production in Togo portends a serious problem.\n\n\t&amp;nbsp;\n\n\tKey words: Antibiotic resistance, Enterobacteria, poultry, pig, Lom&amp;eacute;, Togo.","container-title":"African Journal of Microbiology Research","DOI":"10.5897/AJMR2020.9437","ISSN":"1996-0808","issue":"12","journalAbbreviation":"AJMR","language":"en","note":"publisher: Academic Journals","page":"657-666","source":"academicjournals.org","title":"Antibiotic resistance of enterobacteria (Escherichia coli, Klebsiella spp. and Salmonella spp) isolated from healthy poultry and pig farms in peri-urban area of Lome, Togo","volume":"14","author":[{"family":"Bedekelabou","given":"AndrÃ© P."},{"family":"Talaki","given":"Essodina"},{"family":"Dolou","given":"Malibida"},{"family":"Diouf","given":"Adeline"},{"family":"Alambedji","given":"Rianatou BADA"}],"issued":{"date-parts":[["2020",12,31]]}}}],"schema":"https://github.com/citation-style-language/schema/raw/master/csl-citation.json"} </w:instrText>
      </w:r>
      <w:r w:rsidR="007301E2">
        <w:rPr>
          <w:rFonts w:ascii="Times New Roman" w:hAnsi="Times New Roman" w:cs="Times New Roman"/>
          <w:sz w:val="24"/>
          <w:szCs w:val="24"/>
        </w:rPr>
        <w:fldChar w:fldCharType="separate"/>
      </w:r>
      <w:r w:rsidR="00867C8A" w:rsidRPr="001E4BD2">
        <w:rPr>
          <w:rFonts w:ascii="Times New Roman" w:hAnsi="Times New Roman" w:cs="Times New Roman"/>
          <w:sz w:val="24"/>
          <w:lang w:val="en-GB"/>
        </w:rPr>
        <w:t>(Bedekelabou et al., 2020a)</w:t>
      </w:r>
      <w:r w:rsidR="007301E2">
        <w:rPr>
          <w:rFonts w:ascii="Times New Roman" w:hAnsi="Times New Roman" w:cs="Times New Roman"/>
          <w:sz w:val="24"/>
          <w:szCs w:val="24"/>
        </w:rPr>
        <w:fldChar w:fldCharType="end"/>
      </w:r>
      <w:r w:rsidR="008D430E" w:rsidRPr="001E4BD2">
        <w:rPr>
          <w:rFonts w:ascii="Times New Roman" w:hAnsi="Times New Roman" w:cs="Times New Roman"/>
          <w:b/>
          <w:sz w:val="24"/>
          <w:szCs w:val="24"/>
          <w:lang w:val="en-GB"/>
        </w:rPr>
        <w:t xml:space="preserve">. </w:t>
      </w:r>
    </w:p>
    <w:p w14:paraId="5FCE6C19" w14:textId="5BEB8502" w:rsidR="00867C8A" w:rsidRPr="001E4BD2" w:rsidRDefault="0028014B" w:rsidP="00156B28">
      <w:pPr>
        <w:spacing w:line="360" w:lineRule="auto"/>
        <w:jc w:val="both"/>
        <w:rPr>
          <w:rFonts w:ascii="Times New Roman" w:hAnsi="Times New Roman" w:cs="Times New Roman"/>
          <w:sz w:val="24"/>
          <w:szCs w:val="24"/>
          <w:lang w:val="en-GB"/>
        </w:rPr>
      </w:pPr>
      <w:r w:rsidRPr="001E4BD2">
        <w:rPr>
          <w:rFonts w:ascii="Times New Roman" w:hAnsi="Times New Roman" w:cs="Times New Roman"/>
          <w:sz w:val="24"/>
          <w:szCs w:val="24"/>
          <w:lang w:val="en-GB"/>
        </w:rPr>
        <w:t xml:space="preserve">Regarding antibiotic resistance in strains of </w:t>
      </w:r>
      <w:r w:rsidRPr="001E4BD2">
        <w:rPr>
          <w:rFonts w:ascii="Times New Roman" w:hAnsi="Times New Roman" w:cs="Times New Roman"/>
          <w:i/>
          <w:sz w:val="24"/>
          <w:szCs w:val="24"/>
          <w:lang w:val="en-GB"/>
        </w:rPr>
        <w:t>Klebsiella pneumoniae</w:t>
      </w:r>
      <w:r w:rsidRPr="001E4BD2">
        <w:rPr>
          <w:rFonts w:ascii="Times New Roman" w:hAnsi="Times New Roman" w:cs="Times New Roman"/>
          <w:sz w:val="24"/>
          <w:szCs w:val="24"/>
          <w:lang w:val="en-GB"/>
        </w:rPr>
        <w:t xml:space="preserve">, all the strains tested showed no resistance to gentamicin, amikacin.  A high resistance to aminopenicillins in this bacterium (43.3%) in </w:t>
      </w:r>
      <w:proofErr w:type="spellStart"/>
      <w:r w:rsidRPr="001E4BD2">
        <w:rPr>
          <w:rFonts w:ascii="Times New Roman" w:hAnsi="Times New Roman" w:cs="Times New Roman"/>
          <w:sz w:val="24"/>
          <w:szCs w:val="24"/>
          <w:lang w:val="en-GB"/>
        </w:rPr>
        <w:t>Cocody</w:t>
      </w:r>
      <w:proofErr w:type="spellEnd"/>
      <w:r w:rsidRPr="001E4BD2">
        <w:rPr>
          <w:rFonts w:ascii="Times New Roman" w:hAnsi="Times New Roman" w:cs="Times New Roman"/>
          <w:sz w:val="24"/>
          <w:szCs w:val="24"/>
          <w:lang w:val="en-GB"/>
        </w:rPr>
        <w:t xml:space="preserve"> and (66.7%) in </w:t>
      </w:r>
      <w:proofErr w:type="spellStart"/>
      <w:r w:rsidRPr="001E4BD2">
        <w:rPr>
          <w:rFonts w:ascii="Times New Roman" w:hAnsi="Times New Roman" w:cs="Times New Roman"/>
          <w:sz w:val="24"/>
          <w:szCs w:val="24"/>
          <w:lang w:val="en-GB"/>
        </w:rPr>
        <w:t>Bingerville</w:t>
      </w:r>
      <w:proofErr w:type="spellEnd"/>
      <w:r w:rsidRPr="001E4BD2">
        <w:rPr>
          <w:rFonts w:ascii="Times New Roman" w:hAnsi="Times New Roman" w:cs="Times New Roman"/>
          <w:sz w:val="24"/>
          <w:szCs w:val="24"/>
          <w:lang w:val="en-GB"/>
        </w:rPr>
        <w:t xml:space="preserve"> could be explained by the intrinsic resistance of the bacterium, by the absence of resistance markers and by the low selection pressure for the development of antibiotic resistance. The results of this study are much lower than those of Kebaili in 2019 which show (100%) resistance to amoxicillin + clavulanic acid </w:t>
      </w:r>
      <w:r w:rsidR="00B76A38">
        <w:rPr>
          <w:rFonts w:ascii="Times New Roman" w:hAnsi="Times New Roman" w:cs="Times New Roman"/>
          <w:sz w:val="24"/>
          <w:szCs w:val="24"/>
        </w:rPr>
        <w:fldChar w:fldCharType="begin"/>
      </w:r>
      <w:r w:rsidR="00A97D1E">
        <w:rPr>
          <w:rFonts w:ascii="Times New Roman" w:hAnsi="Times New Roman" w:cs="Times New Roman"/>
          <w:sz w:val="24"/>
          <w:szCs w:val="24"/>
          <w:lang w:val="en-GB"/>
        </w:rPr>
        <w:instrText xml:space="preserve"> ADDIN ZOTERO_ITEM CSL_CITATION {"citationID":"iTVzx1pz","properties":{"formattedCitation":"(KebailiI &amp; Azmani, 2019)","plainCitation":"(KebailiI &amp; Azmani, 2019)","noteIndex":0},"citationItems":[{"id":2167,"uris":["http://zotero.org/users/4984961/items/TUPRIATR"],"itemData":{"id":2167,"type":"report","title":"Antibiorésistance des entérobactéries d¶origine aviaire","author":[{"family":"KebailiI","given":"Asmaa"},{"family":"Azmani","given":"Imene"}],"issued":{"date-parts":[["2019"]]}}}],"schema":"https://github.com/citation-style-language/schema/raw/master/csl-citation.json"} </w:instrText>
      </w:r>
      <w:r w:rsidR="00B76A38">
        <w:rPr>
          <w:rFonts w:ascii="Times New Roman" w:hAnsi="Times New Roman" w:cs="Times New Roman"/>
          <w:sz w:val="24"/>
          <w:szCs w:val="24"/>
        </w:rPr>
        <w:fldChar w:fldCharType="separate"/>
      </w:r>
      <w:r w:rsidR="00F42E5D" w:rsidRPr="001E4BD2">
        <w:rPr>
          <w:rFonts w:ascii="Times New Roman" w:hAnsi="Times New Roman" w:cs="Times New Roman"/>
          <w:sz w:val="24"/>
          <w:lang w:val="en-GB"/>
        </w:rPr>
        <w:t xml:space="preserve">(KebailiI &amp; </w:t>
      </w:r>
      <w:r w:rsidR="00F42E5D" w:rsidRPr="001E4BD2">
        <w:rPr>
          <w:rFonts w:ascii="Times New Roman" w:hAnsi="Times New Roman" w:cs="Times New Roman"/>
          <w:sz w:val="24"/>
          <w:lang w:val="en-GB"/>
        </w:rPr>
        <w:lastRenderedPageBreak/>
        <w:t>Azmani, 2019)</w:t>
      </w:r>
      <w:r w:rsidR="00B76A38">
        <w:rPr>
          <w:rFonts w:ascii="Times New Roman" w:hAnsi="Times New Roman" w:cs="Times New Roman"/>
          <w:sz w:val="24"/>
          <w:szCs w:val="24"/>
        </w:rPr>
        <w:fldChar w:fldCharType="end"/>
      </w:r>
      <w:bookmarkStart w:id="4" w:name="_Hlk205243625"/>
      <w:r w:rsidR="003F3050" w:rsidRPr="003F3050">
        <w:rPr>
          <w:rFonts w:ascii="Times New Roman" w:hAnsi="Times New Roman" w:cs="Times New Roman"/>
          <w:sz w:val="24"/>
          <w:szCs w:val="24"/>
          <w:lang w:val="en-GB"/>
        </w:rPr>
        <w:t xml:space="preserve"> </w:t>
      </w:r>
      <w:r w:rsidR="003F3050" w:rsidRPr="0050269F">
        <w:rPr>
          <w:rFonts w:ascii="Times New Roman" w:hAnsi="Times New Roman" w:cs="Times New Roman"/>
          <w:sz w:val="24"/>
          <w:szCs w:val="24"/>
          <w:highlight w:val="yellow"/>
          <w:lang w:val="en-GB"/>
        </w:rPr>
        <w:fldChar w:fldCharType="begin"/>
      </w:r>
      <w:r w:rsidR="003F3050" w:rsidRPr="0050269F">
        <w:rPr>
          <w:rFonts w:ascii="Times New Roman" w:hAnsi="Times New Roman" w:cs="Times New Roman"/>
          <w:sz w:val="24"/>
          <w:szCs w:val="24"/>
          <w:highlight w:val="yellow"/>
          <w:lang w:val="en-GB"/>
        </w:rPr>
        <w:instrText xml:space="preserve"> ADDIN ZOTERO_ITEM CSL_CITATION {"citationID":"vcetmGf0","properties":{"formattedCitation":"(Medrano et al., 2025)","plainCitation":"(Medrano et al., 2025)","noteIndex":0},"citationItems":[{"id":2355,"uris":["http://zotero.org/users/4984961/items/KX6G9MZF"],"itemData":{"id":2355,"type":"article-journal","abstract":"The Canadian Integrated Program for Antimicrobial Resistance Surveillance (CIPARS) monitors Escherichia coli, Salmonella and Campylobacter and their resistance to antimicrobials in broiler chickens at the farm and slaughter plant levels. In response to many years of CIPARS’ observations and farmers’ data, the Chicken Farmers of Canada implemented a strategy to reduce antimicrobial use in 2014. As resistance genes can be transmitted vertically from parents to their offspring, a study was conducted in broiler breeder flocks to assess the frequency of target bacteria, their antimicrobial resistance (AMR) and to obtain a comprehensive picture of AMR in poultry production. Spent breeder flocks slaughtered between 2018 and 2021 were sampled and data from broiler flocks at the farm and slaughter plants were assessed. Salmonella was most frequently detected in farm broiler chickens (46%), while Campylobacter was most frequently detected in broiler breeders (73%). In Campylobacter, high levels (20–24%) of ciprofloxacin resistance were found across the three production stages, and was highest in farm broiler chickens (24%). In E. coli, an indicator organism, low-level ceftriaxone resistance and occasional isolates that were non-susceptible to ciprofloxacin were noted. Using the indicator, fully susceptible E. coli, broiler breeders had the highest frequency (54%) compared to farm (36%) and slaughtered (35%) broiler chickens. In Salmonella broiler breeders had the highest resistance to most antimicrobials tested.Fully susceptible Salmonella was lowest in broiler breeders (16%) compared to farm (42%) and slaughtered (42%) broiler chickens. Salmonella serovars differed between the production stages, but S. Kentucky was the most predominant. Resistance to critically important antimicrobials in human medicine and regional variations in resistance profiles were observed. This study suggests that broiler breeders carry foodborne bacteria resistant to antimicrobials used in human medicine, demonstrating their role in the maintenance of AMR in poultry and the need to adopt a harmonized sector-wide AMU strategy.","container-title":"PLOS ONE","DOI":"10.1371/journal.pone.0319086","ISSN":"1932-6203","issue":"2","journalAbbreviation":"PLOS ONE","language":"en","note":"publisher: Public Library of Science","page":"e0319086","source":"PLoS Journals","title":"Widespread dissemination of Salmonella, Escherichia coli and Campylobacter resistant to medically important antimicrobials in the poultry production continuum in Canada","volume":"20","author":[{"family":"Medrano","given":"Hiddecel"},{"family":"Hill","given":"Sarah"},{"family":"Boulianne","given":"Martine"},{"family":"Cereno","given":"Teresa"},{"family":"Deckert","given":"Anne E."},{"family":"Charlebois","given":"Audrey"},{"family":"Gow","given":"Sheryl P."},{"family":"McDonald","given":"Kathryn"},{"family":"Reid-Smith","given":"Richard J."},{"family":"Agunos","given":"Agnes"}],"issued":{"date-parts":[["2025",2,25]]}}}],"schema":"https://github.com/citation-style-language/schema/raw/master/csl-citation.json"} </w:instrText>
      </w:r>
      <w:r w:rsidR="003F3050" w:rsidRPr="0050269F">
        <w:rPr>
          <w:rFonts w:ascii="Times New Roman" w:hAnsi="Times New Roman" w:cs="Times New Roman"/>
          <w:sz w:val="24"/>
          <w:szCs w:val="24"/>
          <w:highlight w:val="yellow"/>
          <w:lang w:val="en-GB"/>
        </w:rPr>
        <w:fldChar w:fldCharType="separate"/>
      </w:r>
      <w:r w:rsidR="003F3050" w:rsidRPr="0050269F">
        <w:rPr>
          <w:rFonts w:ascii="Times New Roman" w:hAnsi="Times New Roman" w:cs="Times New Roman"/>
          <w:sz w:val="24"/>
          <w:highlight w:val="yellow"/>
          <w:lang w:val="en-US"/>
        </w:rPr>
        <w:t>(Medrano et al., 2025)</w:t>
      </w:r>
      <w:r w:rsidR="003F3050" w:rsidRPr="0050269F">
        <w:rPr>
          <w:rFonts w:ascii="Times New Roman" w:hAnsi="Times New Roman" w:cs="Times New Roman"/>
          <w:sz w:val="24"/>
          <w:szCs w:val="24"/>
          <w:highlight w:val="yellow"/>
          <w:lang w:val="en-GB"/>
        </w:rPr>
        <w:fldChar w:fldCharType="end"/>
      </w:r>
      <w:bookmarkEnd w:id="4"/>
      <w:r w:rsidR="007322D1" w:rsidRPr="001E4BD2">
        <w:rPr>
          <w:rFonts w:ascii="Times New Roman" w:hAnsi="Times New Roman" w:cs="Times New Roman"/>
          <w:sz w:val="24"/>
          <w:szCs w:val="24"/>
          <w:lang w:val="en-GB"/>
        </w:rPr>
        <w:t xml:space="preserve"> while those in Togo show lower rates (8%) </w:t>
      </w:r>
      <w:r w:rsidR="00867C8A">
        <w:rPr>
          <w:rFonts w:ascii="Times New Roman" w:hAnsi="Times New Roman" w:cs="Times New Roman"/>
          <w:sz w:val="24"/>
          <w:szCs w:val="24"/>
        </w:rPr>
        <w:fldChar w:fldCharType="begin"/>
      </w:r>
      <w:r w:rsidR="00A97D1E">
        <w:rPr>
          <w:rFonts w:ascii="Times New Roman" w:hAnsi="Times New Roman" w:cs="Times New Roman"/>
          <w:sz w:val="24"/>
          <w:szCs w:val="24"/>
          <w:lang w:val="en-GB"/>
        </w:rPr>
        <w:instrText xml:space="preserve"> ADDIN ZOTERO_ITEM CSL_CITATION {"citationID":"OERyLepE","properties":{"formattedCitation":"(Bedekelabou et al., 2020b)","plainCitation":"(Bedekelabou et al., 2020b)","noteIndex":0},"citationItems":[{"id":2168,"uris":["http://zotero.org/users/4984961/items/K2AMSLVV"],"itemData":{"id":2168,"type":"article-journal","abstract":"This study aimed to determine for the first time the levels and patterns of antimicrobial resistance of enterobacteria isolated from poultry and pigs farms in southern Togo. A cross-sectional study was conducted in south Togo in 70 and 47 poultry and pig farms, respectively. Fecal samples were collected once in each farm and enterobacteria isolated according to recommended techniques. Isolates from each sample were tested for susceptibility to 14 antibiotics by disc diffusion method. A total of 109 and 85 strains were recovered from 72.7% (n=64) and 87.93% (n=50) poultry and pig samples respectively. Respectively for Escherichia coli, Klebsiella spp. and Salmonella spp. strains, the most important resistances were observed in poultry/pig farms against tetracycline antibiotic (93.1%/67.6%; 96.2%/78.7% and 100%/100%) and the association sulfoxide-trimethoprim (72.4%/81.1%; 66.7%/78.7% and 100%/100%). In general, resistances were higher against penicillin antibiotics like ampicillin (55.17%/54.05%, 46.15%/38.3% and 50.00%/100%) than cephalosporin antibiotics like ceftazidime (0.00%/0.00%, 5.13%/0.00% and 0.00%/0.00%) resistances where very low or absent. Also, resistance to nalidixic Acid (31.03%/16.22%, 33.33%/29.79, 0.00%/0.00%), first generation quinolones, was relatively high than resistance to norfloxacin (10.3%/10.81%; 20.5%/2.13%; 50%/0.00%) a second generation fluoroquinolone. In poultry, 44.83% of E. coli, 50% of Klebsiella spp. and 100% of Salmonella strains were multi-resistant while in pigs, 37.83% and 27.65% of E. coli and Klebsiella spp. strains showed multi-resistance. In many farms, farmers managed the health of their animals on their own. All surveyed poultry farmers and the majority of pig farmers indicated that they used antibiotics in their farms. This study showed that antimicrobial resistance in animal production in Togo portends a serious problem.\n\n\t&amp;nbsp;\n\n\tKey words: Antibiotic resistance, Enterobacteria, poultry, pig, Lom&amp;eacute;, Togo.","container-title":"African Journal of Microbiology Research","DOI":"10.5897/AJMR2020.9437","ISSN":"1996-0808","issue":"12","journalAbbreviation":"AJMR","language":"en","note":"publisher: Academic Journals","page":"657-666","source":"academicjournals.org","title":"Antibiotic resistance of enterobacteria (Escherichia coli, Klebsiella spp. and Salmonella spp) isolated from healthy poultry and pig farms in peri-urban area of Lome, Togo","volume":"14","author":[{"family":"Bedekelabou","given":"AndrÃ© P."},{"family":"Talaki","given":"Essodina"},{"family":"Dolou","given":"Malibida"},{"family":"Diouf","given":"Adeline"},{"family":"Alambedji","given":"Rianatou BADA"}],"issued":{"date-parts":[["2020",12,31]]}}}],"schema":"https://github.com/citation-style-language/schema/raw/master/csl-citation.json"} </w:instrText>
      </w:r>
      <w:r w:rsidR="00867C8A">
        <w:rPr>
          <w:rFonts w:ascii="Times New Roman" w:hAnsi="Times New Roman" w:cs="Times New Roman"/>
          <w:sz w:val="24"/>
          <w:szCs w:val="24"/>
        </w:rPr>
        <w:fldChar w:fldCharType="separate"/>
      </w:r>
      <w:r w:rsidR="00867C8A" w:rsidRPr="001E4BD2">
        <w:rPr>
          <w:rFonts w:ascii="Times New Roman" w:hAnsi="Times New Roman" w:cs="Times New Roman"/>
          <w:sz w:val="24"/>
          <w:lang w:val="en-GB"/>
        </w:rPr>
        <w:t>(Bedekelabou et al., 2020b)</w:t>
      </w:r>
      <w:r w:rsidR="00867C8A">
        <w:rPr>
          <w:rFonts w:ascii="Times New Roman" w:hAnsi="Times New Roman" w:cs="Times New Roman"/>
          <w:sz w:val="24"/>
          <w:szCs w:val="24"/>
        </w:rPr>
        <w:fldChar w:fldCharType="end"/>
      </w:r>
      <w:r w:rsidR="002E639B" w:rsidRPr="001E4BD2">
        <w:rPr>
          <w:rFonts w:ascii="Times New Roman" w:hAnsi="Times New Roman" w:cs="Times New Roman"/>
          <w:sz w:val="24"/>
          <w:szCs w:val="24"/>
          <w:lang w:val="en-GB"/>
        </w:rPr>
        <w:t xml:space="preserve">. </w:t>
      </w:r>
    </w:p>
    <w:p w14:paraId="70F946E7" w14:textId="031457D4" w:rsidR="00A55C26" w:rsidRPr="001E4BD2" w:rsidRDefault="00307DA6" w:rsidP="00156B28">
      <w:pPr>
        <w:spacing w:line="360" w:lineRule="auto"/>
        <w:jc w:val="both"/>
        <w:rPr>
          <w:rFonts w:ascii="Times New Roman" w:hAnsi="Times New Roman" w:cs="Times New Roman"/>
          <w:sz w:val="24"/>
          <w:szCs w:val="24"/>
          <w:lang w:val="en-GB"/>
        </w:rPr>
      </w:pPr>
      <w:r w:rsidRPr="001E4BD2">
        <w:rPr>
          <w:rFonts w:ascii="Times New Roman" w:hAnsi="Times New Roman" w:cs="Times New Roman"/>
          <w:sz w:val="24"/>
          <w:szCs w:val="24"/>
          <w:lang w:val="en-GB"/>
        </w:rPr>
        <w:t xml:space="preserve">Regarding other antibiotics, the study shows high rates of resistance to kanamycin (88.33%), trimethoprim-sulfamethoxazole (61.66%) and tetracycline (56.66%). The results of this study are significantly lower than those of Togo, which give tetracycline (96.2%), trimethoprim-sulfamethoxazole (66.7%). The intensive and exclusive use of these antibiotics as a prophylactic measure may have encouraged the emergence of resistant strains </w:t>
      </w:r>
      <w:r w:rsidR="003F4865">
        <w:rPr>
          <w:rFonts w:ascii="Times New Roman" w:hAnsi="Times New Roman" w:cs="Times New Roman"/>
          <w:sz w:val="24"/>
          <w:szCs w:val="24"/>
        </w:rPr>
        <w:fldChar w:fldCharType="begin"/>
      </w:r>
      <w:r w:rsidR="00A97D1E">
        <w:rPr>
          <w:rFonts w:ascii="Times New Roman" w:hAnsi="Times New Roman" w:cs="Times New Roman"/>
          <w:sz w:val="24"/>
          <w:szCs w:val="24"/>
          <w:lang w:val="en-GB"/>
        </w:rPr>
        <w:instrText xml:space="preserve"> ADDIN ZOTERO_ITEM CSL_CITATION {"citationID":"PDZhgsVn","properties":{"formattedCitation":"(Chauvin, 2009)","plainCitation":"(Chauvin, 2009)","noteIndex":0},"citationItems":[{"id":1728,"uris":["http://zotero.org/users/4984961/items/LQ6V5LQU"],"itemData":{"id":1728,"type":"thesis","abstract":"La résistance bactérienne aux antibiotiques est un problème majeur de santé publique. La production avicole française contribue à cette problématique, par son usage des antibiotiques, ses interactions avec l'homme et l'environnement. Afin d'analyser l'usage des antibiotiques en aviculture et son impact sur l'antibiorésistance, des travaux ont été conduits, selon une approche pharmaco-épidémiologique. Un dispositif de surveillance des utilisations d'antibiotiques a été conçu et mis en oeuvre. Des pratiques et caractéristiques d'élevage associées à la variation des consommations ont été recherchées. L'influence des différents outils de quantification des usagers sur leur caractérisation et leur analyse a été évaluée. Afin d'étudier les conséquences de l'usage sur la résistance bactérienne aux antibiotiques, la relation entre exposition des animaux aux antibiotiques et portage de bactéries commensales résistantes a été mise en évidence et mesurée par des analyses de type cas-témoin.","genre":"These de doctorat","license":"Licence Etalab","publisher":"Rennes 1","source":"theses.fr","title":"Usage des antibiotiques et résistance bactérienne en élevage de volailles","URL":"https://theses.fr/2009REN1B122","author":[{"family":"Chauvin","given":"Claire"}],"contributor":[{"family":"Sanders","given":"Pascal"}],"accessed":{"date-parts":[["2025",6,14]]},"issued":{"date-parts":[["2009",1,1]]}}}],"schema":"https://github.com/citation-style-language/schema/raw/master/csl-citation.json"} </w:instrText>
      </w:r>
      <w:r w:rsidR="003F4865">
        <w:rPr>
          <w:rFonts w:ascii="Times New Roman" w:hAnsi="Times New Roman" w:cs="Times New Roman"/>
          <w:sz w:val="24"/>
          <w:szCs w:val="24"/>
        </w:rPr>
        <w:fldChar w:fldCharType="separate"/>
      </w:r>
      <w:r w:rsidR="003F4865" w:rsidRPr="001E4BD2">
        <w:rPr>
          <w:rFonts w:ascii="Times New Roman" w:hAnsi="Times New Roman" w:cs="Times New Roman"/>
          <w:sz w:val="24"/>
          <w:lang w:val="en-GB"/>
        </w:rPr>
        <w:t>(Chauvin, 2009)</w:t>
      </w:r>
      <w:r w:rsidR="003F4865">
        <w:rPr>
          <w:rFonts w:ascii="Times New Roman" w:hAnsi="Times New Roman" w:cs="Times New Roman"/>
          <w:sz w:val="24"/>
          <w:szCs w:val="24"/>
        </w:rPr>
        <w:fldChar w:fldCharType="end"/>
      </w:r>
      <w:r w:rsidR="00982409" w:rsidRPr="001E4BD2">
        <w:rPr>
          <w:rFonts w:ascii="Times New Roman" w:hAnsi="Times New Roman" w:cs="Times New Roman"/>
          <w:sz w:val="24"/>
          <w:szCs w:val="24"/>
          <w:lang w:val="en-GB"/>
        </w:rPr>
        <w:t xml:space="preserve"> in the poultry industry, which could contribute to the presence of such strains in the Abidjan district. Resistance to kanamycin and trimethoprim-sulfamethoxazole could be problematic in the event of human contamination with such strains, as these two molecules are respectively used in the treatment of human infections. It is crucial to note that Enterobacteriaceae have a demonstrated ability to acquire and exchange genes containing resistance factors, and the gut flora provides an exceptional opportunity for the transfer of genetic information between bacteria </w:t>
      </w:r>
      <w:r w:rsidR="00436367">
        <w:rPr>
          <w:rFonts w:ascii="Times New Roman" w:hAnsi="Times New Roman" w:cs="Times New Roman"/>
          <w:sz w:val="24"/>
          <w:szCs w:val="24"/>
        </w:rPr>
        <w:fldChar w:fldCharType="begin"/>
      </w:r>
      <w:r w:rsidR="00A97D1E">
        <w:rPr>
          <w:rFonts w:ascii="Times New Roman" w:hAnsi="Times New Roman" w:cs="Times New Roman"/>
          <w:sz w:val="24"/>
          <w:szCs w:val="24"/>
          <w:lang w:val="en-GB"/>
        </w:rPr>
        <w:instrText xml:space="preserve"> ADDIN ZOTERO_ITEM CSL_CITATION {"citationID":"L0fx2h1k","properties":{"formattedCitation":"(Van Immerseel et al., 2004)","plainCitation":"(Van Immerseel et al., 2004)","noteIndex":0},"citationItems":[{"id":1703,"uris":["http://zotero.org/users/4984961/items/AEWQKA72"],"itemData":{"id":1703,"type":"article-journal","abstract":"Short-chain fatty acids (SCFA) are widely used as feed additives in poultry for the control of pathogenic bacteria, such as Salmonella enteritidis. Recently, a new range of products was developed in which SCFA are encapsulated in mineral carriers, resulting in a slow release during the transport of these carriers through the intestinal tract. To test the efficacy of this type of products against early colonization after Salmonella infection in poultry, a challenge experiment with S. enteritidis was performed. Five groups of 20 chickens were given feed with no supplement or feed supplemented with acetic acid (0.24%), formic acid (0.22%), or propionic acid (0.27%) as film-coated microbeads or butyric acid (0.15%) as spray-cooled microcapsules. The 5 groups were challenged with 5 x 10(3) cfu S. enteritidis at d 5 and 6 posthatch, and samples of ceca, liver, and spleen were taken at d 8 and analyzed for the number of colony-forming units of Salmonella per gram of tissue. Feed supplementation with acetic acid, and to a lesser extent formic acid, resulted in an increase of colonization of ceca and internal organs. Birds receiving propionic acid-coated microbeads as feed supplement were colonized with Salmonella to the same extent as controls. Butyric acid-impregnated microbeads in the feed, however, resulted in a significant decrease of colonization by S. enteritidis in the ceca but not in liver and spleen.","container-title":"Poultry Science","DOI":"10.1093/ps/83.1.69","ISSN":"0032-5791","issue":"1","journalAbbreviation":"Poult Sci","language":"eng","note":"PMID: 14761086","page":"69-74","source":"PubMed","title":"Microencapsulated short-chain fatty acids in feed modify colonization and invasion early after infection with Salmonella enteritidis in young chickens","volume":"83","author":[{"family":"Van Immerseel","given":"F."},{"family":"Fievez","given":"V."},{"family":"Buck","given":"J.","non-dropping-particle":"de"},{"family":"Pasmans","given":"F."},{"family":"Martel","given":"A."},{"family":"Haesebrouck","given":"F."},{"family":"Ducatelle","given":"R."}],"issued":{"date-parts":[["2004"]]}}}],"schema":"https://github.com/citation-style-language/schema/raw/master/csl-citation.json"} </w:instrText>
      </w:r>
      <w:r w:rsidR="00436367">
        <w:rPr>
          <w:rFonts w:ascii="Times New Roman" w:hAnsi="Times New Roman" w:cs="Times New Roman"/>
          <w:sz w:val="24"/>
          <w:szCs w:val="24"/>
        </w:rPr>
        <w:fldChar w:fldCharType="separate"/>
      </w:r>
      <w:r w:rsidR="00436367" w:rsidRPr="001E4BD2">
        <w:rPr>
          <w:rFonts w:ascii="Times New Roman" w:hAnsi="Times New Roman" w:cs="Times New Roman"/>
          <w:sz w:val="24"/>
          <w:lang w:val="en-GB"/>
        </w:rPr>
        <w:t>(Van Immerseel et al., 2004)</w:t>
      </w:r>
      <w:r w:rsidR="00436367">
        <w:rPr>
          <w:rFonts w:ascii="Times New Roman" w:hAnsi="Times New Roman" w:cs="Times New Roman"/>
          <w:sz w:val="24"/>
          <w:szCs w:val="24"/>
        </w:rPr>
        <w:fldChar w:fldCharType="end"/>
      </w:r>
      <w:r w:rsidR="00436367" w:rsidRPr="001E4BD2">
        <w:rPr>
          <w:rFonts w:ascii="Times New Roman" w:hAnsi="Times New Roman" w:cs="Times New Roman"/>
          <w:sz w:val="24"/>
          <w:szCs w:val="24"/>
          <w:lang w:val="en-GB"/>
        </w:rPr>
        <w:t>.</w:t>
      </w:r>
    </w:p>
    <w:p w14:paraId="2621F771" w14:textId="274A172D" w:rsidR="0028014B" w:rsidRPr="001E4BD2" w:rsidRDefault="00A55C26" w:rsidP="00156B28">
      <w:pPr>
        <w:spacing w:line="360" w:lineRule="auto"/>
        <w:jc w:val="both"/>
        <w:rPr>
          <w:rFonts w:ascii="Times New Roman" w:hAnsi="Times New Roman" w:cs="Times New Roman"/>
          <w:color w:val="000000" w:themeColor="text1"/>
          <w:sz w:val="24"/>
          <w:szCs w:val="24"/>
          <w:lang w:val="en-GB"/>
        </w:rPr>
      </w:pPr>
      <w:r w:rsidRPr="001E4BD2">
        <w:rPr>
          <w:rFonts w:ascii="Times New Roman" w:hAnsi="Times New Roman" w:cs="Times New Roman"/>
          <w:color w:val="000000" w:themeColor="text1"/>
          <w:sz w:val="24"/>
          <w:szCs w:val="24"/>
          <w:lang w:val="en-GB"/>
        </w:rPr>
        <w:t xml:space="preserve">The presence of </w:t>
      </w:r>
      <w:r w:rsidRPr="001E4BD2">
        <w:rPr>
          <w:rFonts w:ascii="Times New Roman" w:hAnsi="Times New Roman" w:cs="Times New Roman"/>
          <w:i/>
          <w:color w:val="000000" w:themeColor="text1"/>
          <w:sz w:val="24"/>
          <w:szCs w:val="24"/>
          <w:lang w:val="en-GB"/>
        </w:rPr>
        <w:t xml:space="preserve">Klebsiella pneumoniae </w:t>
      </w:r>
      <w:r w:rsidRPr="001E4BD2">
        <w:rPr>
          <w:rFonts w:ascii="Times New Roman" w:hAnsi="Times New Roman" w:cs="Times New Roman"/>
          <w:color w:val="000000" w:themeColor="text1"/>
          <w:sz w:val="24"/>
          <w:szCs w:val="24"/>
          <w:lang w:val="en-GB"/>
        </w:rPr>
        <w:t xml:space="preserve">The Poultry Resistance Workshop in the Abidjan District highlights the importance of an integrated One Health approach, which considers the link between antimicrobial resistance (AMR) in farm animals and humans, in order to effectively combat this problem </w:t>
      </w:r>
      <w:r w:rsidR="00436367">
        <w:rPr>
          <w:rFonts w:ascii="Times New Roman" w:hAnsi="Times New Roman" w:cs="Times New Roman"/>
          <w:color w:val="000000" w:themeColor="text1"/>
          <w:sz w:val="24"/>
          <w:szCs w:val="24"/>
        </w:rPr>
        <w:fldChar w:fldCharType="begin"/>
      </w:r>
      <w:r w:rsidR="00A97D1E">
        <w:rPr>
          <w:rFonts w:ascii="Times New Roman" w:hAnsi="Times New Roman" w:cs="Times New Roman"/>
          <w:color w:val="000000" w:themeColor="text1"/>
          <w:sz w:val="24"/>
          <w:szCs w:val="24"/>
          <w:lang w:val="en-GB"/>
        </w:rPr>
        <w:instrText xml:space="preserve"> ADDIN ZOTERO_ITEM CSL_CITATION {"citationID":"rXCU92Xa","properties":{"formattedCitation":"(Gal\\uc0\\u225{}n-Rela\\uc0\\u241{}o et al., 2023)","plainCitation":"(Galán-Relaño et al., 2023)","noteIndex":0},"citationItems":[{"id":1729,"uris":["http://zotero.org/users/4984961/items/CNLEE5T8"],"itemData":{"id":1729,"type":"article-journal","abstract":"Salmonellosis is globally recognized as one of the leading causes of acute human bacterial gastroenteritis resulting from the consumption of animal-derived products, particularly those derived from the poultry and pig industry. Salmonella spp. is generally associated with self-limiting gastrointestinal symptoms, lasting between 2 and 7 days, which can vary from mild to severe. The bacteria can also spread in the bloodstream, causing sepsis and requiring effective antimicrobial therapy; however, sepsis rarely occurs. Salmonellosis control strategies are based on two fundamental aspects: (a) the reduction of prevalence levels in animals by means of health, biosecurity, or food strategies and (b) protection against infection in humans. At the food chain level, the prevention of salmonellosis requires a comprehensive approach at farm, manufacturing, distribution, and consumer levels. Proper handling of food, avoiding cross-contamination, and thorough cooking can reduce the risk and ensure the safety of food. Efforts to reduce transmission of Salmonella by food and other routes must be implemented using a One Health approach. Therefore, in this review we provide an update on Salmonella, one of the main zoonotic pathogens, emphasizing its relationship with animal and public health. We carry out a review on different topics about Salmonella and salmonellosis, with a special emphasis on epidemiology and public health, microbial behavior along the food chain, predictive microbiology principles, antimicrobial resistance, and control strategies.","container-title":"Animals: an open access journal from MDPI","DOI":"10.3390/ani13233666","ISSN":"2076-2615","issue":"23","journalAbbreviation":"Animals (Basel)","language":"eng","note":"PMID: 38067017\nPMCID: PMC10705591","page":"3666","source":"PubMed","title":"Salmonella and Salmonellosis: An Update on Public Health Implications and Control Strategies","title-short":"Salmonella and Salmonellosis","volume":"13","author":[{"family":"Galán-Relaño","given":"Ángela"},{"family":"Valero Díaz","given":"Antonio"},{"family":"Huerta Lorenzo","given":"Belén"},{"family":"Gómez-Gascón","given":"Lidia"},{"family":"Mena Rodríguez","given":"M. ª Ángeles"},{"family":"Carrasco Jiménez","given":"Elena"},{"family":"Pérez Rodríguez","given":"Fernando"},{"family":"Astorga Márquez","given":"Rafael J."}],"issued":{"date-parts":[["2023",11,27]]}}}],"schema":"https://github.com/citation-style-language/schema/raw/master/csl-citation.json"} </w:instrText>
      </w:r>
      <w:r w:rsidR="00436367">
        <w:rPr>
          <w:rFonts w:ascii="Times New Roman" w:hAnsi="Times New Roman" w:cs="Times New Roman"/>
          <w:color w:val="000000" w:themeColor="text1"/>
          <w:sz w:val="24"/>
          <w:szCs w:val="24"/>
        </w:rPr>
        <w:fldChar w:fldCharType="separate"/>
      </w:r>
      <w:r w:rsidR="00436367" w:rsidRPr="001E4BD2">
        <w:rPr>
          <w:rFonts w:ascii="Times New Roman" w:hAnsi="Times New Roman" w:cs="Times New Roman"/>
          <w:sz w:val="24"/>
          <w:lang w:val="en-GB"/>
        </w:rPr>
        <w:t>(Galán-Relaño et al., 2023)</w:t>
      </w:r>
      <w:r w:rsidR="00436367">
        <w:rPr>
          <w:rFonts w:ascii="Times New Roman" w:hAnsi="Times New Roman" w:cs="Times New Roman"/>
          <w:color w:val="000000" w:themeColor="text1"/>
          <w:sz w:val="24"/>
          <w:szCs w:val="24"/>
        </w:rPr>
        <w:fldChar w:fldCharType="end"/>
      </w:r>
      <w:r w:rsidRPr="001E4BD2">
        <w:rPr>
          <w:rFonts w:ascii="Times New Roman" w:hAnsi="Times New Roman" w:cs="Times New Roman"/>
          <w:color w:val="000000" w:themeColor="text1"/>
          <w:sz w:val="24"/>
          <w:szCs w:val="24"/>
          <w:lang w:val="en-GB"/>
        </w:rPr>
        <w:t>. Stringent measures, including increased control of agricultural practices, good husbandry practices through the implementation of effective and efficient biosecurity measures, and control of food for human consumption, are essential to reduce the risk of transmission of these resistant strains. Finally, the implementation of a surveillance plan for pathogenic bacteria in a "One Health" context in accordance with the recommendations of the Tripartite (WHO/FAO/WOAH) is essential.</w:t>
      </w:r>
    </w:p>
    <w:p w14:paraId="001E76B5" w14:textId="5565ADF6" w:rsidR="00970E7E" w:rsidRPr="001E4BD2" w:rsidRDefault="00970E7E" w:rsidP="00487B65">
      <w:pPr>
        <w:spacing w:after="0" w:line="360" w:lineRule="auto"/>
        <w:jc w:val="both"/>
        <w:rPr>
          <w:rFonts w:ascii="Times New Roman" w:hAnsi="Times New Roman" w:cs="Times New Roman"/>
          <w:b/>
          <w:color w:val="000000" w:themeColor="text1"/>
          <w:sz w:val="24"/>
          <w:szCs w:val="24"/>
          <w:lang w:val="en-GB"/>
        </w:rPr>
      </w:pPr>
      <w:r w:rsidRPr="001E4BD2">
        <w:rPr>
          <w:rFonts w:ascii="Times New Roman" w:hAnsi="Times New Roman" w:cs="Times New Roman"/>
          <w:b/>
          <w:color w:val="000000" w:themeColor="text1"/>
          <w:sz w:val="24"/>
          <w:szCs w:val="24"/>
          <w:lang w:val="en-GB"/>
        </w:rPr>
        <w:t>V. Conclusion</w:t>
      </w:r>
    </w:p>
    <w:p w14:paraId="1526A6B7" w14:textId="42F1FBBC" w:rsidR="00CF36EA" w:rsidRPr="001E4BD2" w:rsidRDefault="008833C6" w:rsidP="00A55C26">
      <w:pPr>
        <w:spacing w:line="360" w:lineRule="auto"/>
        <w:jc w:val="both"/>
        <w:rPr>
          <w:rFonts w:ascii="Times New Roman" w:hAnsi="Times New Roman" w:cs="Times New Roman"/>
          <w:sz w:val="24"/>
          <w:szCs w:val="24"/>
          <w:lang w:val="en-GB"/>
        </w:rPr>
      </w:pPr>
      <w:r w:rsidRPr="001E4BD2">
        <w:rPr>
          <w:rFonts w:ascii="Times New Roman" w:hAnsi="Times New Roman" w:cs="Times New Roman"/>
          <w:sz w:val="24"/>
          <w:szCs w:val="24"/>
          <w:lang w:val="en-GB"/>
        </w:rPr>
        <w:t xml:space="preserve">This study sheds light on the detection of </w:t>
      </w:r>
      <w:r w:rsidRPr="001E4BD2">
        <w:rPr>
          <w:rFonts w:ascii="Times New Roman" w:hAnsi="Times New Roman" w:cs="Times New Roman"/>
          <w:i/>
          <w:sz w:val="24"/>
          <w:szCs w:val="24"/>
          <w:lang w:val="en-GB"/>
        </w:rPr>
        <w:t>Klebsiella pneumoniae</w:t>
      </w:r>
      <w:r w:rsidRPr="001E4BD2">
        <w:rPr>
          <w:rFonts w:ascii="Times New Roman" w:hAnsi="Times New Roman" w:cs="Times New Roman"/>
          <w:sz w:val="24"/>
          <w:szCs w:val="24"/>
          <w:lang w:val="en-GB"/>
        </w:rPr>
        <w:t xml:space="preserve"> in poultry droppings, with high levels of resistance to antibiotics such as tetracycline, trimethoprim-sulfamethoxazole and rifampicin that may pose a public health concern at the human level</w:t>
      </w:r>
    </w:p>
    <w:p w14:paraId="2BBCAA43" w14:textId="7119A6AF" w:rsidR="008833C6" w:rsidRDefault="008833C6" w:rsidP="00A55C26">
      <w:pPr>
        <w:spacing w:line="360" w:lineRule="auto"/>
        <w:jc w:val="both"/>
        <w:rPr>
          <w:rFonts w:ascii="Times New Roman" w:hAnsi="Times New Roman" w:cs="Times New Roman"/>
          <w:sz w:val="24"/>
          <w:szCs w:val="24"/>
          <w:lang w:val="en-GB"/>
        </w:rPr>
      </w:pPr>
      <w:r w:rsidRPr="001E4BD2">
        <w:rPr>
          <w:rFonts w:ascii="Times New Roman" w:hAnsi="Times New Roman" w:cs="Times New Roman"/>
          <w:sz w:val="24"/>
          <w:szCs w:val="24"/>
          <w:lang w:val="en-GB"/>
        </w:rPr>
        <w:t>These findings highlight the urgent need to improve the control of antibiotic use on farms and to promote a comprehensive One Health strategy to curb the transmission of antibiotic-resistant bacteria between animals and humans.</w:t>
      </w:r>
    </w:p>
    <w:p w14:paraId="001C8169" w14:textId="609D5A1B" w:rsidR="00D5078A" w:rsidRDefault="00D5078A" w:rsidP="00A55C26">
      <w:pPr>
        <w:spacing w:line="360" w:lineRule="auto"/>
        <w:jc w:val="both"/>
        <w:rPr>
          <w:rFonts w:ascii="Times New Roman" w:hAnsi="Times New Roman" w:cs="Times New Roman"/>
          <w:sz w:val="24"/>
          <w:szCs w:val="24"/>
          <w:lang w:val="en-GB"/>
        </w:rPr>
      </w:pPr>
    </w:p>
    <w:p w14:paraId="220A9B6C" w14:textId="77777777" w:rsidR="00D5078A" w:rsidRPr="009C5487" w:rsidRDefault="00D5078A" w:rsidP="00D5078A">
      <w:pPr>
        <w:rPr>
          <w:rFonts w:ascii="Calibri" w:eastAsia="Calibri" w:hAnsi="Calibri" w:cs="Times New Roman"/>
          <w:kern w:val="2"/>
          <w:highlight w:val="yellow"/>
          <w:lang w:val="en-US"/>
        </w:rPr>
      </w:pPr>
      <w:bookmarkStart w:id="5" w:name="_Hlk197682619"/>
      <w:bookmarkStart w:id="6" w:name="_Hlk180402183"/>
      <w:bookmarkStart w:id="7" w:name="_Hlk183680988"/>
      <w:r w:rsidRPr="009C5487">
        <w:rPr>
          <w:rFonts w:ascii="Calibri" w:eastAsia="Calibri" w:hAnsi="Calibri" w:cs="Times New Roman"/>
          <w:kern w:val="2"/>
          <w:highlight w:val="yellow"/>
          <w:lang w:val="en-US"/>
        </w:rPr>
        <w:lastRenderedPageBreak/>
        <w:t>Disclaimer (Artificial intelligence)</w:t>
      </w:r>
    </w:p>
    <w:p w14:paraId="0BF93E60" w14:textId="77777777" w:rsidR="00D5078A" w:rsidRPr="009C5487" w:rsidRDefault="00D5078A" w:rsidP="00D5078A">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1: </w:t>
      </w:r>
    </w:p>
    <w:p w14:paraId="73DAAEEE" w14:textId="77777777" w:rsidR="00D5078A" w:rsidRPr="009C5487" w:rsidRDefault="00D5078A" w:rsidP="00D5078A">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Author(s) hereby </w:t>
      </w:r>
      <w:proofErr w:type="gramStart"/>
      <w:r w:rsidRPr="009C5487">
        <w:rPr>
          <w:rFonts w:ascii="Calibri" w:eastAsia="Calibri" w:hAnsi="Calibri" w:cs="Times New Roman"/>
          <w:kern w:val="2"/>
          <w:highlight w:val="yellow"/>
          <w:lang w:val="en-US"/>
        </w:rPr>
        <w:t>declare</w:t>
      </w:r>
      <w:proofErr w:type="gramEnd"/>
      <w:r w:rsidRPr="009C5487">
        <w:rPr>
          <w:rFonts w:ascii="Calibri" w:eastAsia="Calibri" w:hAnsi="Calibri" w:cs="Times New Roman"/>
          <w:kern w:val="2"/>
          <w:highlight w:val="yellow"/>
          <w:lang w:val="en-US"/>
        </w:rPr>
        <w:t xml:space="preserve"> that NO generative AI technologies such as Large Language Models (ChatGPT, COPILOT, etc.) and text-to-image generators have been used during the writing or editing of this manuscript. </w:t>
      </w:r>
    </w:p>
    <w:bookmarkEnd w:id="5"/>
    <w:bookmarkEnd w:id="6"/>
    <w:bookmarkEnd w:id="7"/>
    <w:p w14:paraId="0F96AA29" w14:textId="77777777" w:rsidR="00D5078A" w:rsidRPr="007D0FF7" w:rsidRDefault="00D5078A" w:rsidP="00A55C26">
      <w:pPr>
        <w:spacing w:line="360" w:lineRule="auto"/>
        <w:jc w:val="both"/>
        <w:rPr>
          <w:rFonts w:ascii="Times New Roman" w:hAnsi="Times New Roman" w:cs="Times New Roman"/>
          <w:sz w:val="24"/>
          <w:szCs w:val="24"/>
          <w:lang w:val="en-US"/>
        </w:rPr>
      </w:pPr>
    </w:p>
    <w:p w14:paraId="5F55883D" w14:textId="77777777" w:rsidR="009D3397" w:rsidRPr="000555C9" w:rsidRDefault="009D3397" w:rsidP="00E73F55">
      <w:pPr>
        <w:spacing w:before="240" w:line="360" w:lineRule="auto"/>
        <w:jc w:val="both"/>
        <w:rPr>
          <w:rFonts w:ascii="Times New Roman" w:hAnsi="Times New Roman" w:cs="Times New Roman"/>
          <w:b/>
          <w:sz w:val="24"/>
          <w:szCs w:val="24"/>
          <w:lang w:val="en-US"/>
        </w:rPr>
      </w:pPr>
    </w:p>
    <w:p w14:paraId="5D93A4FC" w14:textId="20DA1888" w:rsidR="00F5322F" w:rsidRPr="001E4BD2" w:rsidRDefault="00F5322F" w:rsidP="00487B65">
      <w:pPr>
        <w:spacing w:before="240" w:line="360" w:lineRule="auto"/>
        <w:rPr>
          <w:rFonts w:ascii="Times New Roman" w:hAnsi="Times New Roman" w:cs="Times New Roman"/>
          <w:b/>
          <w:sz w:val="24"/>
          <w:szCs w:val="24"/>
          <w:lang w:val="en-GB"/>
        </w:rPr>
      </w:pPr>
      <w:r w:rsidRPr="001E4BD2">
        <w:rPr>
          <w:rFonts w:ascii="Times New Roman" w:hAnsi="Times New Roman" w:cs="Times New Roman"/>
          <w:b/>
          <w:sz w:val="24"/>
          <w:szCs w:val="24"/>
          <w:lang w:val="en-GB"/>
        </w:rPr>
        <w:t>References</w:t>
      </w:r>
    </w:p>
    <w:p w14:paraId="6B2DBE27" w14:textId="5332DA7F" w:rsidR="00925C34" w:rsidRPr="00925C34" w:rsidRDefault="00907137" w:rsidP="00925C34">
      <w:pPr>
        <w:pStyle w:val="Bibliographie"/>
        <w:rPr>
          <w:rFonts w:ascii="Times New Roman" w:hAnsi="Times New Roman" w:cs="Times New Roman"/>
          <w:sz w:val="24"/>
          <w:lang w:val="en-US"/>
        </w:rPr>
      </w:pPr>
      <w:r w:rsidRPr="00D726BB">
        <w:rPr>
          <w:color w:val="EE0000"/>
          <w:sz w:val="24"/>
          <w:szCs w:val="24"/>
        </w:rPr>
        <w:fldChar w:fldCharType="begin"/>
      </w:r>
      <w:r w:rsidR="00A97D1E">
        <w:rPr>
          <w:color w:val="EE0000"/>
          <w:sz w:val="24"/>
          <w:szCs w:val="24"/>
          <w:lang w:val="en-GB"/>
        </w:rPr>
        <w:instrText xml:space="preserve"> ADDIN ZOTERO_BIBL {"uncited":[],"omitted":[],"custom":[]} CSL_BIBLIOGRAPHY </w:instrText>
      </w:r>
      <w:r w:rsidRPr="00D726BB">
        <w:rPr>
          <w:color w:val="EE0000"/>
          <w:sz w:val="24"/>
          <w:szCs w:val="24"/>
        </w:rPr>
        <w:fldChar w:fldCharType="separate"/>
      </w:r>
      <w:r w:rsidR="00925C34" w:rsidRPr="000555C9">
        <w:rPr>
          <w:lang w:val="en-US"/>
        </w:rPr>
        <w:t xml:space="preserve"> </w:t>
      </w:r>
      <w:r w:rsidR="00925C34" w:rsidRPr="00925C34">
        <w:rPr>
          <w:rFonts w:ascii="Times New Roman" w:hAnsi="Times New Roman" w:cs="Times New Roman"/>
          <w:sz w:val="24"/>
          <w:lang w:val="en-US"/>
        </w:rPr>
        <w:t>Adebowale , O. , &amp; Adeyemo , O. (2018). (PDF) Characterization of bacterial types isolated from commercial laying hen farms in Ogun State Nigeria. ResearchGate. https://doi.org/10.19182/remvt.31642</w:t>
      </w:r>
    </w:p>
    <w:p w14:paraId="54E4BED3" w14:textId="77777777" w:rsidR="00925C34" w:rsidRPr="00925C34" w:rsidRDefault="00925C34" w:rsidP="00925C34">
      <w:pPr>
        <w:pStyle w:val="Bibliographie"/>
        <w:rPr>
          <w:rFonts w:ascii="Times New Roman" w:hAnsi="Times New Roman" w:cs="Times New Roman"/>
          <w:sz w:val="24"/>
          <w:lang w:val="en-US"/>
        </w:rPr>
      </w:pPr>
      <w:r w:rsidRPr="00925C34">
        <w:rPr>
          <w:rFonts w:ascii="Times New Roman" w:hAnsi="Times New Roman" w:cs="Times New Roman"/>
          <w:sz w:val="24"/>
          <w:lang w:val="en-US"/>
        </w:rPr>
        <w:t>Bao , L. , Peng , R. , Ren , X. , Ma , R. , Li , J. , &amp; Wang , Y. (2013). Analysis of some common pathogens and their drug resistance to antibiotics. Pakistan Journal of Medical Sciences, 29(1), 135‐139. https://doi.org/10.12669/pjms.291.2744</w:t>
      </w:r>
    </w:p>
    <w:p w14:paraId="66798AC7" w14:textId="77777777" w:rsidR="00925C34" w:rsidRPr="00925C34" w:rsidRDefault="00925C34" w:rsidP="00925C34">
      <w:pPr>
        <w:pStyle w:val="Bibliographie"/>
        <w:rPr>
          <w:rFonts w:ascii="Times New Roman" w:hAnsi="Times New Roman" w:cs="Times New Roman"/>
          <w:sz w:val="24"/>
          <w:lang w:val="en-US"/>
        </w:rPr>
      </w:pPr>
      <w:r w:rsidRPr="00925C34">
        <w:rPr>
          <w:rFonts w:ascii="Times New Roman" w:hAnsi="Times New Roman" w:cs="Times New Roman"/>
          <w:sz w:val="24"/>
          <w:lang w:val="en-US"/>
        </w:rPr>
        <w:t>Bedekelabou , A. P. , Talaki , E. , Dolou , M. , Diouf , A. , &amp; Alambedji , R. B. (2020a). Antibiotic resistance of enterobacteria (Escherichia coli, Klebsiella spp. And Salmonella spp) isolated from healthy poultry and pig farms in peri-urban area of Lome, Togo. African Journal of Microbiology Research, 14(12), 657‐6 https://doi.org/10.5897/AJMR2020.9437</w:t>
      </w:r>
    </w:p>
    <w:p w14:paraId="5FCDE43C" w14:textId="77777777" w:rsidR="00925C34" w:rsidRPr="00925C34" w:rsidRDefault="00925C34" w:rsidP="00925C34">
      <w:pPr>
        <w:pStyle w:val="Bibliographie"/>
        <w:rPr>
          <w:rFonts w:ascii="Times New Roman" w:hAnsi="Times New Roman" w:cs="Times New Roman"/>
          <w:sz w:val="24"/>
          <w:lang w:val="en-US"/>
        </w:rPr>
      </w:pPr>
      <w:r w:rsidRPr="00925C34">
        <w:rPr>
          <w:rFonts w:ascii="Times New Roman" w:hAnsi="Times New Roman" w:cs="Times New Roman"/>
          <w:sz w:val="24"/>
          <w:lang w:val="en-US"/>
        </w:rPr>
        <w:t>Bedekelabou , A. P. , Talaki , E. , Dolou , M. , Diouf , A. , &amp; Alambedji , R. B. (2020b). Antibiotic resistance of enterobacteria (Escherichia coli, Klebsiella spp. And Salmonella spp) isolated from healthy poultry and pig farms in peri-urban area of Lome, Togo. African Journal of Microbiology Research, 14(12), 657‐6 https://doi.org/10.5897/AJMR2020.9437</w:t>
      </w:r>
    </w:p>
    <w:p w14:paraId="78B9B9DE" w14:textId="77777777" w:rsidR="00925C34" w:rsidRPr="00925C34" w:rsidRDefault="00925C34" w:rsidP="00925C34">
      <w:pPr>
        <w:pStyle w:val="Bibliographie"/>
        <w:rPr>
          <w:rFonts w:ascii="Times New Roman" w:hAnsi="Times New Roman" w:cs="Times New Roman"/>
          <w:sz w:val="24"/>
          <w:lang w:val="en-US"/>
        </w:rPr>
      </w:pPr>
      <w:r w:rsidRPr="00925C34">
        <w:rPr>
          <w:rFonts w:ascii="Times New Roman" w:hAnsi="Times New Roman" w:cs="Times New Roman"/>
          <w:sz w:val="24"/>
          <w:lang w:val="en-US"/>
        </w:rPr>
        <w:t>CA SFM. (2023). Antimicrobial drug resistance against Escherichia coli and its harmful effect on animal health—PMC. https://pmc.ncbi.nlm.nih.gov/articles/PMC9297802/</w:t>
      </w:r>
    </w:p>
    <w:p w14:paraId="081C8552" w14:textId="77777777" w:rsidR="00925C34" w:rsidRPr="00925C34" w:rsidRDefault="00925C34" w:rsidP="00925C34">
      <w:pPr>
        <w:pStyle w:val="Bibliographie"/>
        <w:rPr>
          <w:rFonts w:ascii="Times New Roman" w:hAnsi="Times New Roman" w:cs="Times New Roman"/>
          <w:sz w:val="24"/>
          <w:lang w:val="en-US"/>
        </w:rPr>
      </w:pPr>
      <w:r w:rsidRPr="00925C34">
        <w:rPr>
          <w:rFonts w:ascii="Times New Roman" w:hAnsi="Times New Roman" w:cs="Times New Roman"/>
          <w:sz w:val="24"/>
          <w:lang w:val="en-US"/>
        </w:rPr>
        <w:lastRenderedPageBreak/>
        <w:t>Chauvin , C. ( 2009 ). Antibiotic use and bacterial resistance in vole farming [PhD thesis, Rennes 1]. https://theses.fr/2009REN1B122</w:t>
      </w:r>
    </w:p>
    <w:p w14:paraId="49333E14" w14:textId="77777777" w:rsidR="00925C34" w:rsidRPr="000555C9" w:rsidRDefault="00925C34" w:rsidP="00925C34">
      <w:pPr>
        <w:pStyle w:val="Bibliographie"/>
        <w:rPr>
          <w:rFonts w:ascii="Times New Roman" w:hAnsi="Times New Roman" w:cs="Times New Roman"/>
          <w:sz w:val="24"/>
          <w:lang w:val="fr-CI"/>
        </w:rPr>
      </w:pPr>
      <w:r w:rsidRPr="00925C34">
        <w:rPr>
          <w:rFonts w:ascii="Times New Roman" w:hAnsi="Times New Roman" w:cs="Times New Roman"/>
          <w:sz w:val="24"/>
          <w:lang w:val="en-US"/>
        </w:rPr>
        <w:t xml:space="preserve">CICG. (2021). Definitive Global Results of the RGPH 2021: The population living habitually on Ivorian territory is estimated at 29 389 150 inhabitants. </w:t>
      </w:r>
      <w:r w:rsidRPr="000555C9">
        <w:rPr>
          <w:rFonts w:ascii="Times New Roman" w:hAnsi="Times New Roman" w:cs="Times New Roman"/>
          <w:sz w:val="24"/>
          <w:lang w:val="fr-CI"/>
        </w:rPr>
        <w:t>GOUV.CI. http://www.gouv.ci/_actualite-article.php?recordID=13769</w:t>
      </w:r>
    </w:p>
    <w:p w14:paraId="4DE1744F" w14:textId="77777777" w:rsidR="00925C34" w:rsidRPr="00925C34" w:rsidRDefault="00925C34" w:rsidP="00925C34">
      <w:pPr>
        <w:pStyle w:val="Bibliographie"/>
        <w:rPr>
          <w:rFonts w:ascii="Times New Roman" w:hAnsi="Times New Roman" w:cs="Times New Roman"/>
          <w:sz w:val="24"/>
          <w:lang w:val="en-US"/>
        </w:rPr>
      </w:pPr>
      <w:r w:rsidRPr="000555C9">
        <w:rPr>
          <w:rFonts w:ascii="Times New Roman" w:hAnsi="Times New Roman" w:cs="Times New Roman"/>
          <w:sz w:val="24"/>
          <w:lang w:val="fr-CI"/>
        </w:rPr>
        <w:t xml:space="preserve">Dawadi , P. , Bista , S. , &amp; Bista , S. (2021). </w:t>
      </w:r>
      <w:r w:rsidRPr="00925C34">
        <w:rPr>
          <w:rFonts w:ascii="Times New Roman" w:hAnsi="Times New Roman" w:cs="Times New Roman"/>
          <w:sz w:val="24"/>
          <w:lang w:val="en-US"/>
        </w:rPr>
        <w:t>Prevalence of Colistin-Resistant Escherichia coli from Poultry in South Asian Developing Countries. Veterinary Medicine International, 2021, 6398838. https://doi.org/10.1155/2021/6398838</w:t>
      </w:r>
    </w:p>
    <w:p w14:paraId="5D37DBE1" w14:textId="77777777" w:rsidR="00925C34" w:rsidRPr="00925C34" w:rsidRDefault="00925C34" w:rsidP="00925C34">
      <w:pPr>
        <w:pStyle w:val="Bibliographie"/>
        <w:rPr>
          <w:rFonts w:ascii="Times New Roman" w:hAnsi="Times New Roman" w:cs="Times New Roman"/>
          <w:sz w:val="24"/>
          <w:lang w:val="en-US"/>
        </w:rPr>
      </w:pPr>
      <w:r w:rsidRPr="00925C34">
        <w:rPr>
          <w:rFonts w:ascii="Times New Roman" w:hAnsi="Times New Roman" w:cs="Times New Roman"/>
          <w:sz w:val="24"/>
          <w:lang w:val="en-US"/>
        </w:rPr>
        <w:t>Drieux , L. , Brossier , F. , Sougakoff , W. , &amp; Jarlier , V. (2008). Phenotypic detection of extended-spectrum beta-lactamase production in Enterobacteriaceae: A review and bench guide. Clinical Microbiology and Infection: The Official Publication of the European Society of Clinical Microbiology and Infectious Diseases, 14 Suppl 1, 90‐103. https://doi.org/10.1111/j.1469-0691.2007.01846.x</w:t>
      </w:r>
    </w:p>
    <w:p w14:paraId="42FB3722" w14:textId="77777777" w:rsidR="00925C34" w:rsidRPr="00925C34" w:rsidRDefault="00925C34" w:rsidP="00925C34">
      <w:pPr>
        <w:pStyle w:val="Bibliographie"/>
        <w:rPr>
          <w:rFonts w:ascii="Times New Roman" w:hAnsi="Times New Roman" w:cs="Times New Roman"/>
          <w:sz w:val="24"/>
          <w:lang w:val="en-US"/>
        </w:rPr>
      </w:pPr>
      <w:r w:rsidRPr="00925C34">
        <w:rPr>
          <w:rFonts w:ascii="Times New Roman" w:hAnsi="Times New Roman" w:cs="Times New Roman"/>
          <w:sz w:val="24"/>
          <w:lang w:val="en-US"/>
        </w:rPr>
        <w:t>Firca. (2017). The Poultry Branch Act 18 FIRCA | PDF | Poultry Culture | Ivory Coast. Scribd. https://en.scribd.com/document/470599200/The-Poultry-Field-Act-18-FIRCA</w:t>
      </w:r>
    </w:p>
    <w:p w14:paraId="3A7ED883" w14:textId="76ADD5FF" w:rsidR="00925C34" w:rsidRPr="00925C34" w:rsidRDefault="007A141F" w:rsidP="00925C34">
      <w:pPr>
        <w:pStyle w:val="Bibliographie"/>
        <w:rPr>
          <w:rFonts w:ascii="Times New Roman" w:hAnsi="Times New Roman" w:cs="Times New Roman"/>
          <w:sz w:val="24"/>
          <w:lang w:val="en-US"/>
        </w:rPr>
      </w:pPr>
      <w:r w:rsidRPr="00986F96">
        <w:rPr>
          <w:rFonts w:ascii="Times New Roman" w:hAnsi="Times New Roman" w:cs="Times New Roman"/>
          <w:sz w:val="24"/>
          <w:highlight w:val="yellow"/>
          <w:lang w:val="en-US"/>
        </w:rPr>
        <w:t>Galán-Relaño, Á</w:t>
      </w:r>
      <w:r w:rsidR="00925C34" w:rsidRPr="00986F96">
        <w:rPr>
          <w:rFonts w:ascii="Times New Roman" w:hAnsi="Times New Roman" w:cs="Times New Roman"/>
          <w:sz w:val="24"/>
          <w:highlight w:val="yellow"/>
          <w:lang w:val="en-US"/>
        </w:rPr>
        <w:t>.</w:t>
      </w:r>
      <w:r w:rsidR="00925C34" w:rsidRPr="00925C34">
        <w:rPr>
          <w:rFonts w:ascii="Times New Roman" w:hAnsi="Times New Roman" w:cs="Times New Roman"/>
          <w:sz w:val="24"/>
          <w:lang w:val="en-US"/>
        </w:rPr>
        <w:t xml:space="preserve"> , Valero Diaz , A. , Lorenzo Garden , B. , </w:t>
      </w:r>
      <w:r w:rsidR="00F86DDC" w:rsidRPr="00986F96">
        <w:rPr>
          <w:rFonts w:ascii="Times New Roman" w:hAnsi="Times New Roman" w:cs="Times New Roman"/>
          <w:sz w:val="24"/>
          <w:highlight w:val="yellow"/>
          <w:lang w:val="en-US"/>
        </w:rPr>
        <w:t>Gómez-Gascón</w:t>
      </w:r>
      <w:r w:rsidR="00925C34" w:rsidRPr="00925C34">
        <w:rPr>
          <w:rFonts w:ascii="Times New Roman" w:hAnsi="Times New Roman" w:cs="Times New Roman"/>
          <w:sz w:val="24"/>
          <w:lang w:val="en-US"/>
        </w:rPr>
        <w:t xml:space="preserve"> , L. , Mena Rodriguez , </w:t>
      </w:r>
      <w:r w:rsidR="00651A96" w:rsidRPr="00651A96">
        <w:rPr>
          <w:rFonts w:ascii="Times New Roman" w:hAnsi="Times New Roman" w:cs="Times New Roman"/>
          <w:sz w:val="24"/>
          <w:highlight w:val="yellow"/>
          <w:lang w:val="en-US"/>
        </w:rPr>
        <w:t xml:space="preserve">M. </w:t>
      </w:r>
      <w:r w:rsidR="00651A96" w:rsidRPr="00651A96">
        <w:rPr>
          <w:rFonts w:ascii="Times New Roman" w:hAnsi="Times New Roman" w:cs="Times New Roman"/>
          <w:sz w:val="24"/>
          <w:highlight w:val="yellow"/>
          <w:vertAlign w:val="superscript"/>
          <w:lang w:val="en-US"/>
        </w:rPr>
        <w:t>a</w:t>
      </w:r>
      <w:r w:rsidR="00651A96" w:rsidRPr="00651A96">
        <w:rPr>
          <w:rFonts w:ascii="Times New Roman" w:hAnsi="Times New Roman" w:cs="Times New Roman"/>
          <w:sz w:val="24"/>
          <w:highlight w:val="yellow"/>
          <w:lang w:val="en-US"/>
        </w:rPr>
        <w:t xml:space="preserve"> Á</w:t>
      </w:r>
      <w:r w:rsidR="00925C34" w:rsidRPr="00925C34">
        <w:rPr>
          <w:rFonts w:ascii="Times New Roman" w:hAnsi="Times New Roman" w:cs="Times New Roman"/>
          <w:sz w:val="24"/>
          <w:lang w:val="en-US"/>
        </w:rPr>
        <w:t xml:space="preserve">. , </w:t>
      </w:r>
      <w:r w:rsidR="00881BE4" w:rsidRPr="00986F96">
        <w:rPr>
          <w:rFonts w:ascii="Times New Roman" w:hAnsi="Times New Roman" w:cs="Times New Roman"/>
          <w:sz w:val="24"/>
          <w:highlight w:val="yellow"/>
          <w:lang w:val="en-US"/>
        </w:rPr>
        <w:t>Carrasco Jiménez</w:t>
      </w:r>
      <w:r w:rsidR="00925C34" w:rsidRPr="00925C34">
        <w:rPr>
          <w:rFonts w:ascii="Times New Roman" w:hAnsi="Times New Roman" w:cs="Times New Roman"/>
          <w:sz w:val="24"/>
          <w:lang w:val="en-US"/>
        </w:rPr>
        <w:t xml:space="preserve"> , E. , </w:t>
      </w:r>
      <w:r w:rsidR="00484BA0" w:rsidRPr="00986F96">
        <w:rPr>
          <w:rFonts w:ascii="Times New Roman" w:hAnsi="Times New Roman" w:cs="Times New Roman"/>
          <w:sz w:val="24"/>
          <w:highlight w:val="yellow"/>
          <w:lang w:val="en-US"/>
        </w:rPr>
        <w:t>Pérez Rodríguez</w:t>
      </w:r>
      <w:r w:rsidR="00925C34" w:rsidRPr="00925C34">
        <w:rPr>
          <w:rFonts w:ascii="Times New Roman" w:hAnsi="Times New Roman" w:cs="Times New Roman"/>
          <w:sz w:val="24"/>
          <w:lang w:val="en-US"/>
        </w:rPr>
        <w:t xml:space="preserve"> , F. , &amp; </w:t>
      </w:r>
      <w:r w:rsidR="00484BA0" w:rsidRPr="00986F96">
        <w:rPr>
          <w:rFonts w:ascii="Times New Roman" w:hAnsi="Times New Roman" w:cs="Times New Roman"/>
          <w:sz w:val="24"/>
          <w:lang w:val="en-US"/>
        </w:rPr>
        <w:t xml:space="preserve">Astorga </w:t>
      </w:r>
      <w:r w:rsidR="00484BA0" w:rsidRPr="00986F96">
        <w:rPr>
          <w:rFonts w:ascii="Times New Roman" w:hAnsi="Times New Roman" w:cs="Times New Roman"/>
          <w:sz w:val="24"/>
          <w:highlight w:val="yellow"/>
          <w:lang w:val="en-US"/>
        </w:rPr>
        <w:t>Márquez</w:t>
      </w:r>
      <w:r w:rsidR="00925C34" w:rsidRPr="00925C34">
        <w:rPr>
          <w:rFonts w:ascii="Times New Roman" w:hAnsi="Times New Roman" w:cs="Times New Roman"/>
          <w:sz w:val="24"/>
          <w:lang w:val="en-US"/>
        </w:rPr>
        <w:t xml:space="preserve"> , R. J. (2023). Salmonella and Salmonellosis: An Update on Public Health Implications and Control Strategies. Animals: An Open Access Journal from MDPI, 13(23), 3666. https://doi.org/10.3390/ani13233666</w:t>
      </w:r>
    </w:p>
    <w:p w14:paraId="2F44E62B" w14:textId="77777777" w:rsidR="00925C34" w:rsidRDefault="00925C34" w:rsidP="00925C34">
      <w:pPr>
        <w:pStyle w:val="Bibliographie"/>
        <w:rPr>
          <w:rFonts w:ascii="Times New Roman" w:hAnsi="Times New Roman" w:cs="Times New Roman"/>
          <w:sz w:val="24"/>
          <w:lang w:val="en-US"/>
        </w:rPr>
      </w:pPr>
      <w:r w:rsidRPr="00925C34">
        <w:rPr>
          <w:rFonts w:ascii="Times New Roman" w:hAnsi="Times New Roman" w:cs="Times New Roman"/>
          <w:sz w:val="24"/>
          <w:lang w:val="en-US"/>
        </w:rPr>
        <w:t xml:space="preserve">Gwida , M. , Hotzel , H. , Geue , L. , &amp; Thomas , H. (2014). Occurrence of Enterobacteriaceae in Raw Meat and in Human Samples from Egyptian Retail Sellers. International Scholarly Research </w:t>
      </w:r>
      <w:proofErr w:type="gramStart"/>
      <w:r w:rsidRPr="00925C34">
        <w:rPr>
          <w:rFonts w:ascii="Times New Roman" w:hAnsi="Times New Roman" w:cs="Times New Roman"/>
          <w:sz w:val="24"/>
          <w:lang w:val="en-US"/>
        </w:rPr>
        <w:t>Notices ,</w:t>
      </w:r>
      <w:proofErr w:type="gramEnd"/>
      <w:r w:rsidRPr="00925C34">
        <w:rPr>
          <w:rFonts w:ascii="Times New Roman" w:hAnsi="Times New Roman" w:cs="Times New Roman"/>
          <w:sz w:val="24"/>
          <w:lang w:val="en-US"/>
        </w:rPr>
        <w:t xml:space="preserve"> </w:t>
      </w:r>
      <w:proofErr w:type="gramStart"/>
      <w:r w:rsidRPr="00925C34">
        <w:rPr>
          <w:rFonts w:ascii="Times New Roman" w:hAnsi="Times New Roman" w:cs="Times New Roman"/>
          <w:sz w:val="24"/>
          <w:lang w:val="en-US"/>
        </w:rPr>
        <w:t>2014 ,</w:t>
      </w:r>
      <w:proofErr w:type="gramEnd"/>
      <w:r w:rsidRPr="00925C34">
        <w:rPr>
          <w:rFonts w:ascii="Times New Roman" w:hAnsi="Times New Roman" w:cs="Times New Roman"/>
          <w:sz w:val="24"/>
          <w:lang w:val="en-US"/>
        </w:rPr>
        <w:t xml:space="preserve"> 565671</w:t>
      </w:r>
    </w:p>
    <w:bookmarkStart w:id="8" w:name="_Hlk205248649"/>
    <w:p w14:paraId="133E2CCD" w14:textId="23F4CA6B" w:rsidR="00D5367F" w:rsidRDefault="00D5367F" w:rsidP="00D5367F">
      <w:pPr>
        <w:rPr>
          <w:rFonts w:ascii="Times New Roman" w:hAnsi="Times New Roman" w:cs="Times New Roman"/>
          <w:sz w:val="24"/>
          <w:szCs w:val="24"/>
          <w:lang w:val="en-GB"/>
        </w:rPr>
      </w:pPr>
      <w:r w:rsidRPr="009125BB">
        <w:rPr>
          <w:rFonts w:ascii="Times New Roman" w:hAnsi="Times New Roman" w:cs="Times New Roman"/>
          <w:sz w:val="24"/>
          <w:szCs w:val="24"/>
          <w:highlight w:val="yellow"/>
          <w:lang w:val="en-GB"/>
        </w:rPr>
        <w:fldChar w:fldCharType="begin"/>
      </w:r>
      <w:r w:rsidRPr="009125BB">
        <w:rPr>
          <w:rFonts w:ascii="Times New Roman" w:hAnsi="Times New Roman" w:cs="Times New Roman"/>
          <w:sz w:val="24"/>
          <w:szCs w:val="24"/>
          <w:highlight w:val="yellow"/>
          <w:lang w:val="en-GB"/>
        </w:rPr>
        <w:instrText xml:space="preserve"> ADDIN ZOTERO_ITEM CSL_CITATION {"citationID":"DWFNR57Z","properties":{"formattedCitation":"(Hennessey et al., 2025)","plainCitation":"(Hennessey et al., 2025)","noteIndex":0},"citationItems":[{"id":2353,"uris":["http://zotero.org/users/4984961/items/SDJM2TL3"],"itemData":{"id":2353,"type":"article-journal","abstract":"Chicken meat (broiler) production is a rapidly growing livestock sector in India, and one dominated by contract farming. Studies have reported high levels of antibiotic use in Indian broiler farms which is concerning given this is one of the driving forces for the development of antibiotic resistance. This study used the economic lens of agency theory to examine strategic decisions which occur during contract broiler production and their potential impact on antibiotic use, using West Bengal as a case study. Agency theory focuses on the informational asymmetry and opportunism between service providers and seekers and the subsequent agency cost needed to avoid aberrant outcomes. Interviews were conducted with key informants (n = 6) and stakeholders (n = 20) associated with broiler production, and broiler farmers (17 contract and four non-contract), using online and face-to-face interviews. Data were analysed descriptively using manifest content analysis and interpretatively using reflexive thematic analysis. Contract farming in West Bengal exists within a series of inter-dependent relationships, many of which contain information asymmetry and can be subject to opportunism. Positioning contract companies as principals seeking labour from agents, we see how out-sourcing of production to distal farms led to antibiotics being used as a risk mitigation strategy. This was further compounded by concerns about the Mycoplasma status of breeding stock, and a perception that broiler day old chicks were infected, resulting in use of antibiotics belonging to classes deemed critically important for human health. While antibiotic use decisions were predominately made by contract companies, they were dependent on the decisions farmers and breeding companies made concerning biosecurity and production practices. In turn, farmers’ decisions were shaped by factors such as access to financial and social capital. Thus, efforts to reduce antibiotic use in West Bengal’s broilers must not just focus on changing the prescribing behavior of individuals but more broadly consider the environment within which contracting exists.","container-title":"PLOS ONE","DOI":"10.1371/journal.pone.0314090","ISSN":"1932-6203","issue":"1","journalAbbreviation":"PLOS ONE","language":"en","note":"publisher: Public Library of Science","page":"e0314090","source":"PLoS Journals","title":"Broiler farming and antibiotic use through an agency theory lens. A case study from West Bengal, India","volume":"20","author":[{"family":"Hennessey","given":"Mathew"},{"family":"Samanta","given":"Indranil"},{"family":"Fournié","given":"Guillaume"},{"family":"Quaife","given":"Matthew"},{"family":"Gautham","given":"Meenakshi"},{"family":"Paleja","given":"Haidaruliman"},{"family":"Papaiyan","given":"Kumaravel"},{"family":"Biswas","given":"Ripan"},{"family":"Alarcon","given":"Pablo"}],"issued":{"date-parts":[["2025",1,9]]}}}],"schema":"https://github.com/citation-style-language/schema/raw/master/csl-citation.json"} </w:instrText>
      </w:r>
      <w:r w:rsidRPr="009125BB">
        <w:rPr>
          <w:rFonts w:ascii="Times New Roman" w:hAnsi="Times New Roman" w:cs="Times New Roman"/>
          <w:sz w:val="24"/>
          <w:szCs w:val="24"/>
          <w:highlight w:val="yellow"/>
          <w:lang w:val="en-GB"/>
        </w:rPr>
        <w:fldChar w:fldCharType="separate"/>
      </w:r>
      <w:r w:rsidRPr="00D5367F">
        <w:rPr>
          <w:rFonts w:ascii="Times New Roman" w:hAnsi="Times New Roman" w:cs="Times New Roman"/>
          <w:sz w:val="24"/>
          <w:highlight w:val="yellow"/>
          <w:lang w:val="en-US"/>
        </w:rPr>
        <w:t>(Hennessey et al., 2025)</w:t>
      </w:r>
      <w:r w:rsidRPr="009125BB">
        <w:rPr>
          <w:rFonts w:ascii="Times New Roman" w:hAnsi="Times New Roman" w:cs="Times New Roman"/>
          <w:sz w:val="24"/>
          <w:szCs w:val="24"/>
          <w:highlight w:val="yellow"/>
          <w:lang w:val="en-GB"/>
        </w:rPr>
        <w:fldChar w:fldCharType="end"/>
      </w:r>
      <w:bookmarkEnd w:id="8"/>
      <w:r>
        <w:rPr>
          <w:rFonts w:ascii="Times New Roman" w:hAnsi="Times New Roman" w:cs="Times New Roman"/>
          <w:sz w:val="24"/>
          <w:szCs w:val="24"/>
          <w:lang w:val="en-GB"/>
        </w:rPr>
        <w:t xml:space="preserve"> </w:t>
      </w:r>
    </w:p>
    <w:p w14:paraId="3DC4E77F" w14:textId="77777777" w:rsidR="00641D30" w:rsidRDefault="00290A60" w:rsidP="00641D30">
      <w:pPr>
        <w:spacing w:line="480" w:lineRule="auto"/>
        <w:jc w:val="both"/>
        <w:rPr>
          <w:highlight w:val="yellow"/>
          <w:lang w:val="en-US"/>
        </w:rPr>
      </w:pPr>
      <w:r w:rsidRPr="00CD5EC3">
        <w:rPr>
          <w:rFonts w:ascii="Times New Roman" w:hAnsi="Times New Roman" w:cs="Times New Roman"/>
          <w:sz w:val="24"/>
          <w:highlight w:val="yellow"/>
          <w:lang w:val="en-US"/>
        </w:rPr>
        <w:lastRenderedPageBreak/>
        <w:t>Hennessey</w:t>
      </w:r>
      <w:r w:rsidRPr="00CD5EC3">
        <w:rPr>
          <w:highlight w:val="yellow"/>
          <w:lang w:val="en-US"/>
        </w:rPr>
        <w:t xml:space="preserve"> M</w:t>
      </w:r>
      <w:r w:rsidR="006904FB" w:rsidRPr="00CD5EC3">
        <w:rPr>
          <w:highlight w:val="yellow"/>
          <w:lang w:val="en-US"/>
        </w:rPr>
        <w:t>.,</w:t>
      </w:r>
      <w:r w:rsidR="008C4EC5" w:rsidRPr="00CD5EC3">
        <w:rPr>
          <w:highlight w:val="yellow"/>
          <w:lang w:val="en-US"/>
        </w:rPr>
        <w:t xml:space="preserve"> </w:t>
      </w:r>
      <w:proofErr w:type="gramStart"/>
      <w:r w:rsidR="008C4EC5" w:rsidRPr="00CD5EC3">
        <w:rPr>
          <w:highlight w:val="yellow"/>
          <w:lang w:val="en-US"/>
        </w:rPr>
        <w:t>Samanta</w:t>
      </w:r>
      <w:r w:rsidRPr="00CD5EC3">
        <w:rPr>
          <w:highlight w:val="yellow"/>
          <w:lang w:val="en-US"/>
        </w:rPr>
        <w:t xml:space="preserve"> </w:t>
      </w:r>
      <w:r w:rsidR="006904FB" w:rsidRPr="00CD5EC3">
        <w:rPr>
          <w:highlight w:val="yellow"/>
          <w:lang w:val="en-US"/>
        </w:rPr>
        <w:t>.</w:t>
      </w:r>
      <w:proofErr w:type="gramEnd"/>
      <w:r w:rsidR="006904FB" w:rsidRPr="00CD5EC3">
        <w:rPr>
          <w:highlight w:val="yellow"/>
          <w:lang w:val="en-US"/>
        </w:rPr>
        <w:t xml:space="preserve">, </w:t>
      </w:r>
      <w:r w:rsidR="00245EE0" w:rsidRPr="00CD5EC3">
        <w:rPr>
          <w:highlight w:val="yellow"/>
          <w:lang w:val="en-US"/>
        </w:rPr>
        <w:t>Fournié G</w:t>
      </w:r>
      <w:r w:rsidR="006904FB" w:rsidRPr="00CD5EC3">
        <w:rPr>
          <w:highlight w:val="yellow"/>
          <w:lang w:val="en-US"/>
        </w:rPr>
        <w:t>.</w:t>
      </w:r>
      <w:r w:rsidR="00245EE0" w:rsidRPr="00CD5EC3">
        <w:rPr>
          <w:highlight w:val="yellow"/>
          <w:lang w:val="en-US"/>
        </w:rPr>
        <w:t>, Quaife M</w:t>
      </w:r>
      <w:r w:rsidR="005B6A28" w:rsidRPr="00CD5EC3">
        <w:rPr>
          <w:highlight w:val="yellow"/>
          <w:lang w:val="en-US"/>
        </w:rPr>
        <w:t>.</w:t>
      </w:r>
      <w:r w:rsidR="00245EE0" w:rsidRPr="00CD5EC3">
        <w:rPr>
          <w:highlight w:val="yellow"/>
          <w:lang w:val="en-US"/>
        </w:rPr>
        <w:t xml:space="preserve">, </w:t>
      </w:r>
      <w:r w:rsidR="00F665F2" w:rsidRPr="00CD5EC3">
        <w:rPr>
          <w:highlight w:val="yellow"/>
          <w:lang w:val="en-US"/>
        </w:rPr>
        <w:t>Gautham</w:t>
      </w:r>
      <w:r w:rsidR="00F665F2" w:rsidRPr="00CD5EC3">
        <w:rPr>
          <w:highlight w:val="yellow"/>
          <w:lang w:val="en-US"/>
        </w:rPr>
        <w:t xml:space="preserve"> M</w:t>
      </w:r>
      <w:r w:rsidR="005B6A28" w:rsidRPr="00CD5EC3">
        <w:rPr>
          <w:highlight w:val="yellow"/>
          <w:lang w:val="en-US"/>
        </w:rPr>
        <w:t>.</w:t>
      </w:r>
      <w:r w:rsidR="00F665F2" w:rsidRPr="00CD5EC3">
        <w:rPr>
          <w:highlight w:val="yellow"/>
          <w:lang w:val="en-US"/>
        </w:rPr>
        <w:t xml:space="preserve">, </w:t>
      </w:r>
      <w:proofErr w:type="spellStart"/>
      <w:r w:rsidR="00F665F2" w:rsidRPr="00CD5EC3">
        <w:rPr>
          <w:highlight w:val="yellow"/>
          <w:lang w:val="en-US"/>
        </w:rPr>
        <w:t>Paleja</w:t>
      </w:r>
      <w:proofErr w:type="spellEnd"/>
      <w:r w:rsidR="00F665F2" w:rsidRPr="00CD5EC3">
        <w:rPr>
          <w:highlight w:val="yellow"/>
          <w:lang w:val="en-US"/>
        </w:rPr>
        <w:t xml:space="preserve"> H</w:t>
      </w:r>
      <w:r w:rsidR="005B6A28" w:rsidRPr="00CD5EC3">
        <w:rPr>
          <w:highlight w:val="yellow"/>
          <w:lang w:val="en-US"/>
        </w:rPr>
        <w:t>.</w:t>
      </w:r>
      <w:r w:rsidR="00C559A0" w:rsidRPr="00CD5EC3">
        <w:rPr>
          <w:highlight w:val="yellow"/>
          <w:lang w:val="en-US"/>
        </w:rPr>
        <w:t xml:space="preserve">, </w:t>
      </w:r>
      <w:proofErr w:type="spellStart"/>
      <w:r w:rsidR="00C559A0" w:rsidRPr="00CD5EC3">
        <w:rPr>
          <w:highlight w:val="yellow"/>
          <w:lang w:val="en-US"/>
        </w:rPr>
        <w:t>Papaiyan</w:t>
      </w:r>
      <w:proofErr w:type="spellEnd"/>
      <w:r w:rsidR="00C559A0" w:rsidRPr="00CD5EC3">
        <w:rPr>
          <w:highlight w:val="yellow"/>
          <w:lang w:val="en-US"/>
        </w:rPr>
        <w:t xml:space="preserve"> K</w:t>
      </w:r>
      <w:r w:rsidR="005B6A28" w:rsidRPr="00CD5EC3">
        <w:rPr>
          <w:highlight w:val="yellow"/>
          <w:lang w:val="en-US"/>
        </w:rPr>
        <w:t>.</w:t>
      </w:r>
      <w:r w:rsidR="00C559A0" w:rsidRPr="00CD5EC3">
        <w:rPr>
          <w:highlight w:val="yellow"/>
          <w:lang w:val="en-US"/>
        </w:rPr>
        <w:t xml:space="preserve">, </w:t>
      </w:r>
      <w:r w:rsidR="00C559A0" w:rsidRPr="00CD5EC3">
        <w:rPr>
          <w:highlight w:val="yellow"/>
          <w:lang w:val="en-US"/>
        </w:rPr>
        <w:t>Biswas</w:t>
      </w:r>
      <w:r w:rsidR="00C559A0" w:rsidRPr="00CD5EC3">
        <w:rPr>
          <w:highlight w:val="yellow"/>
          <w:lang w:val="en-US"/>
        </w:rPr>
        <w:t xml:space="preserve"> R</w:t>
      </w:r>
      <w:r w:rsidR="005B6A28" w:rsidRPr="00CD5EC3">
        <w:rPr>
          <w:highlight w:val="yellow"/>
          <w:lang w:val="en-US"/>
        </w:rPr>
        <w:t>.</w:t>
      </w:r>
      <w:r w:rsidR="00C559A0" w:rsidRPr="00CD5EC3">
        <w:rPr>
          <w:highlight w:val="yellow"/>
          <w:lang w:val="en-US"/>
        </w:rPr>
        <w:t xml:space="preserve">, </w:t>
      </w:r>
      <w:r w:rsidR="00C559A0" w:rsidRPr="00CD5EC3">
        <w:rPr>
          <w:highlight w:val="yellow"/>
          <w:lang w:val="en-US"/>
        </w:rPr>
        <w:t>Alarcon</w:t>
      </w:r>
      <w:r w:rsidR="006904FB" w:rsidRPr="00CD5EC3">
        <w:rPr>
          <w:highlight w:val="yellow"/>
          <w:lang w:val="en-US"/>
        </w:rPr>
        <w:t xml:space="preserve"> P</w:t>
      </w:r>
      <w:r w:rsidR="005B6A28" w:rsidRPr="00CD5EC3">
        <w:rPr>
          <w:highlight w:val="yellow"/>
          <w:lang w:val="en-US"/>
        </w:rPr>
        <w:t xml:space="preserve">. (2025). </w:t>
      </w:r>
      <w:r w:rsidR="005B6A28" w:rsidRPr="00CD5EC3">
        <w:rPr>
          <w:highlight w:val="yellow"/>
          <w:lang w:val="en-US"/>
        </w:rPr>
        <w:t>Broiler farming and antibiotic use through an agency theory lens. A case study from West Bengal, India</w:t>
      </w:r>
      <w:r w:rsidR="00CD5EC3" w:rsidRPr="00CD5EC3">
        <w:rPr>
          <w:highlight w:val="yellow"/>
          <w:lang w:val="en-US"/>
        </w:rPr>
        <w:t xml:space="preserve">. </w:t>
      </w:r>
      <w:proofErr w:type="spellStart"/>
      <w:r w:rsidR="00CD5EC3" w:rsidRPr="00CD5EC3">
        <w:rPr>
          <w:highlight w:val="yellow"/>
          <w:lang w:val="en-US"/>
        </w:rPr>
        <w:t>PLoS</w:t>
      </w:r>
      <w:proofErr w:type="spellEnd"/>
      <w:r w:rsidR="00CD5EC3" w:rsidRPr="00CD5EC3">
        <w:rPr>
          <w:highlight w:val="yellow"/>
          <w:lang w:val="en-US"/>
        </w:rPr>
        <w:t xml:space="preserve"> ONE20(1): e0314090. </w:t>
      </w:r>
    </w:p>
    <w:p w14:paraId="47A235CB" w14:textId="1383AE5D" w:rsidR="005B6A28" w:rsidRPr="00641D30" w:rsidRDefault="00CD5EC3" w:rsidP="00641D30">
      <w:pPr>
        <w:spacing w:line="480" w:lineRule="auto"/>
        <w:jc w:val="both"/>
        <w:rPr>
          <w:lang w:val="fr-CI"/>
        </w:rPr>
      </w:pPr>
      <w:proofErr w:type="gramStart"/>
      <w:r w:rsidRPr="00641D30">
        <w:rPr>
          <w:highlight w:val="yellow"/>
          <w:lang w:val="fr-CI"/>
        </w:rPr>
        <w:t>https</w:t>
      </w:r>
      <w:proofErr w:type="gramEnd"/>
      <w:r w:rsidRPr="00641D30">
        <w:rPr>
          <w:highlight w:val="yellow"/>
          <w:lang w:val="fr-CI"/>
        </w:rPr>
        <w:t>:// doi.org/10.1371/journal.pone.0314090</w:t>
      </w:r>
    </w:p>
    <w:p w14:paraId="68D08F19" w14:textId="34F68430" w:rsidR="008C4EC5" w:rsidRPr="00641D30" w:rsidRDefault="008C4EC5" w:rsidP="00D5367F">
      <w:pPr>
        <w:rPr>
          <w:rFonts w:ascii="Times New Roman" w:hAnsi="Times New Roman" w:cs="Times New Roman"/>
          <w:sz w:val="24"/>
          <w:szCs w:val="24"/>
          <w:lang w:val="fr-CI"/>
        </w:rPr>
      </w:pPr>
    </w:p>
    <w:p w14:paraId="013ECB87" w14:textId="77777777" w:rsidR="00925C34" w:rsidRPr="00925C34" w:rsidRDefault="00925C34" w:rsidP="00925C34">
      <w:pPr>
        <w:pStyle w:val="Bibliographie"/>
        <w:rPr>
          <w:rFonts w:ascii="Times New Roman" w:hAnsi="Times New Roman" w:cs="Times New Roman"/>
          <w:sz w:val="24"/>
          <w:lang w:val="en-US"/>
        </w:rPr>
      </w:pPr>
      <w:proofErr w:type="spellStart"/>
      <w:proofErr w:type="gramStart"/>
      <w:r w:rsidRPr="00925C34">
        <w:rPr>
          <w:rFonts w:ascii="Times New Roman" w:hAnsi="Times New Roman" w:cs="Times New Roman"/>
          <w:sz w:val="24"/>
          <w:lang w:val="en-US"/>
        </w:rPr>
        <w:t>Kashosi</w:t>
      </w:r>
      <w:proofErr w:type="spellEnd"/>
      <w:r w:rsidRPr="00925C34">
        <w:rPr>
          <w:rFonts w:ascii="Times New Roman" w:hAnsi="Times New Roman" w:cs="Times New Roman"/>
          <w:sz w:val="24"/>
          <w:lang w:val="en-US"/>
        </w:rPr>
        <w:t xml:space="preserve"> ,</w:t>
      </w:r>
      <w:proofErr w:type="gramEnd"/>
      <w:r w:rsidRPr="00925C34">
        <w:rPr>
          <w:rFonts w:ascii="Times New Roman" w:hAnsi="Times New Roman" w:cs="Times New Roman"/>
          <w:sz w:val="24"/>
          <w:lang w:val="en-US"/>
        </w:rPr>
        <w:t xml:space="preserve"> T. </w:t>
      </w:r>
      <w:proofErr w:type="gramStart"/>
      <w:r w:rsidRPr="00925C34">
        <w:rPr>
          <w:rFonts w:ascii="Times New Roman" w:hAnsi="Times New Roman" w:cs="Times New Roman"/>
          <w:sz w:val="24"/>
          <w:lang w:val="en-US"/>
        </w:rPr>
        <w:t>M. ,</w:t>
      </w:r>
      <w:proofErr w:type="gramEnd"/>
      <w:r w:rsidRPr="00925C34">
        <w:rPr>
          <w:rFonts w:ascii="Times New Roman" w:hAnsi="Times New Roman" w:cs="Times New Roman"/>
          <w:sz w:val="24"/>
          <w:lang w:val="en-US"/>
        </w:rPr>
        <w:t xml:space="preserve"> </w:t>
      </w:r>
      <w:proofErr w:type="gramStart"/>
      <w:r w:rsidRPr="00925C34">
        <w:rPr>
          <w:rFonts w:ascii="Times New Roman" w:hAnsi="Times New Roman" w:cs="Times New Roman"/>
          <w:sz w:val="24"/>
          <w:lang w:val="en-US"/>
        </w:rPr>
        <w:t>Muhandule ,</w:t>
      </w:r>
      <w:proofErr w:type="gramEnd"/>
      <w:r w:rsidRPr="00925C34">
        <w:rPr>
          <w:rFonts w:ascii="Times New Roman" w:hAnsi="Times New Roman" w:cs="Times New Roman"/>
          <w:sz w:val="24"/>
          <w:lang w:val="en-US"/>
        </w:rPr>
        <w:t xml:space="preserve"> A. </w:t>
      </w:r>
      <w:proofErr w:type="gramStart"/>
      <w:r w:rsidRPr="00925C34">
        <w:rPr>
          <w:rFonts w:ascii="Times New Roman" w:hAnsi="Times New Roman" w:cs="Times New Roman"/>
          <w:sz w:val="24"/>
          <w:lang w:val="en-US"/>
        </w:rPr>
        <w:t>B. ,</w:t>
      </w:r>
      <w:proofErr w:type="gramEnd"/>
      <w:r w:rsidRPr="00925C34">
        <w:rPr>
          <w:rFonts w:ascii="Times New Roman" w:hAnsi="Times New Roman" w:cs="Times New Roman"/>
          <w:sz w:val="24"/>
          <w:lang w:val="en-US"/>
        </w:rPr>
        <w:t xml:space="preserve"> </w:t>
      </w:r>
      <w:proofErr w:type="gramStart"/>
      <w:r w:rsidRPr="00925C34">
        <w:rPr>
          <w:rFonts w:ascii="Times New Roman" w:hAnsi="Times New Roman" w:cs="Times New Roman"/>
          <w:sz w:val="24"/>
          <w:lang w:val="en-US"/>
        </w:rPr>
        <w:t>Mwenebitu ,</w:t>
      </w:r>
      <w:proofErr w:type="gramEnd"/>
      <w:r w:rsidRPr="00925C34">
        <w:rPr>
          <w:rFonts w:ascii="Times New Roman" w:hAnsi="Times New Roman" w:cs="Times New Roman"/>
          <w:sz w:val="24"/>
          <w:lang w:val="en-US"/>
        </w:rPr>
        <w:t xml:space="preserve"> D. </w:t>
      </w:r>
      <w:proofErr w:type="gramStart"/>
      <w:r w:rsidRPr="00925C34">
        <w:rPr>
          <w:rFonts w:ascii="Times New Roman" w:hAnsi="Times New Roman" w:cs="Times New Roman"/>
          <w:sz w:val="24"/>
          <w:lang w:val="en-US"/>
        </w:rPr>
        <w:t>L. ,</w:t>
      </w:r>
      <w:proofErr w:type="gramEnd"/>
      <w:r w:rsidRPr="00925C34">
        <w:rPr>
          <w:rFonts w:ascii="Times New Roman" w:hAnsi="Times New Roman" w:cs="Times New Roman"/>
          <w:sz w:val="24"/>
          <w:lang w:val="en-US"/>
        </w:rPr>
        <w:t xml:space="preserve"> </w:t>
      </w:r>
      <w:proofErr w:type="gramStart"/>
      <w:r w:rsidRPr="00925C34">
        <w:rPr>
          <w:rFonts w:ascii="Times New Roman" w:hAnsi="Times New Roman" w:cs="Times New Roman"/>
          <w:sz w:val="24"/>
          <w:lang w:val="en-US"/>
        </w:rPr>
        <w:t>Mihuhi ,</w:t>
      </w:r>
      <w:proofErr w:type="gramEnd"/>
      <w:r w:rsidRPr="00925C34">
        <w:rPr>
          <w:rFonts w:ascii="Times New Roman" w:hAnsi="Times New Roman" w:cs="Times New Roman"/>
          <w:sz w:val="24"/>
          <w:lang w:val="en-US"/>
        </w:rPr>
        <w:t xml:space="preserve"> </w:t>
      </w:r>
      <w:proofErr w:type="gramStart"/>
      <w:r w:rsidRPr="00925C34">
        <w:rPr>
          <w:rFonts w:ascii="Times New Roman" w:hAnsi="Times New Roman" w:cs="Times New Roman"/>
          <w:sz w:val="24"/>
          <w:lang w:val="en-US"/>
        </w:rPr>
        <w:t>N. ,</w:t>
      </w:r>
      <w:proofErr w:type="gramEnd"/>
      <w:r w:rsidRPr="00925C34">
        <w:rPr>
          <w:rFonts w:ascii="Times New Roman" w:hAnsi="Times New Roman" w:cs="Times New Roman"/>
          <w:sz w:val="24"/>
          <w:lang w:val="en-US"/>
        </w:rPr>
        <w:t xml:space="preserve"> </w:t>
      </w:r>
      <w:proofErr w:type="gramStart"/>
      <w:r w:rsidRPr="00925C34">
        <w:rPr>
          <w:rFonts w:ascii="Times New Roman" w:hAnsi="Times New Roman" w:cs="Times New Roman"/>
          <w:sz w:val="24"/>
          <w:lang w:val="en-US"/>
        </w:rPr>
        <w:t>Mutendela ,</w:t>
      </w:r>
      <w:proofErr w:type="gramEnd"/>
      <w:r w:rsidRPr="00925C34">
        <w:rPr>
          <w:rFonts w:ascii="Times New Roman" w:hAnsi="Times New Roman" w:cs="Times New Roman"/>
          <w:sz w:val="24"/>
          <w:lang w:val="en-US"/>
        </w:rPr>
        <w:t xml:space="preserve"> J. </w:t>
      </w:r>
      <w:proofErr w:type="gramStart"/>
      <w:r w:rsidRPr="00925C34">
        <w:rPr>
          <w:rFonts w:ascii="Times New Roman" w:hAnsi="Times New Roman" w:cs="Times New Roman"/>
          <w:sz w:val="24"/>
          <w:lang w:val="en-US"/>
        </w:rPr>
        <w:t>K. ,</w:t>
      </w:r>
      <w:proofErr w:type="gramEnd"/>
      <w:r w:rsidRPr="00925C34">
        <w:rPr>
          <w:rFonts w:ascii="Times New Roman" w:hAnsi="Times New Roman" w:cs="Times New Roman"/>
          <w:sz w:val="24"/>
          <w:lang w:val="en-US"/>
        </w:rPr>
        <w:t xml:space="preserve"> &amp; </w:t>
      </w:r>
      <w:proofErr w:type="gramStart"/>
      <w:r w:rsidRPr="00925C34">
        <w:rPr>
          <w:rFonts w:ascii="Times New Roman" w:hAnsi="Times New Roman" w:cs="Times New Roman"/>
          <w:sz w:val="24"/>
          <w:lang w:val="en-US"/>
        </w:rPr>
        <w:t>Mubagwa ,</w:t>
      </w:r>
      <w:proofErr w:type="gramEnd"/>
      <w:r w:rsidRPr="00925C34">
        <w:rPr>
          <w:rFonts w:ascii="Times New Roman" w:hAnsi="Times New Roman" w:cs="Times New Roman"/>
          <w:sz w:val="24"/>
          <w:lang w:val="en-US"/>
        </w:rPr>
        <w:t xml:space="preserve"> K. (2018). Antibio-resistance of Salmonella spp strains isolated from haemocultures in Bukavu in DR Congo. The Pan African Medical Journal , 29 , 42</w:t>
      </w:r>
    </w:p>
    <w:p w14:paraId="6112AD98" w14:textId="77777777" w:rsidR="00925C34" w:rsidRPr="00925C34" w:rsidRDefault="00925C34" w:rsidP="00925C34">
      <w:pPr>
        <w:pStyle w:val="Bibliographie"/>
        <w:rPr>
          <w:rFonts w:ascii="Times New Roman" w:hAnsi="Times New Roman" w:cs="Times New Roman"/>
          <w:sz w:val="24"/>
          <w:lang w:val="en-US"/>
        </w:rPr>
      </w:pPr>
      <w:r w:rsidRPr="00925C34">
        <w:rPr>
          <w:rFonts w:ascii="Times New Roman" w:hAnsi="Times New Roman" w:cs="Times New Roman"/>
          <w:sz w:val="24"/>
          <w:lang w:val="en-US"/>
        </w:rPr>
        <w:t>KebailiI , A. , &amp; Azmani , I. (2019). Antibioresistance of enterobacteria of avian origin.</w:t>
      </w:r>
    </w:p>
    <w:p w14:paraId="249A78DD" w14:textId="337A1EDC" w:rsidR="00925C34" w:rsidRPr="00925C34" w:rsidRDefault="00651A96" w:rsidP="00925C34">
      <w:pPr>
        <w:pStyle w:val="Bibliographie"/>
        <w:rPr>
          <w:rFonts w:ascii="Times New Roman" w:hAnsi="Times New Roman" w:cs="Times New Roman"/>
          <w:sz w:val="24"/>
          <w:lang w:val="en-US"/>
        </w:rPr>
      </w:pPr>
      <w:r w:rsidRPr="009120EC">
        <w:rPr>
          <w:rFonts w:ascii="Times New Roman" w:hAnsi="Times New Roman" w:cs="Times New Roman"/>
          <w:sz w:val="24"/>
          <w:highlight w:val="yellow"/>
          <w:lang w:val="en-US"/>
        </w:rPr>
        <w:t>Koné</w:t>
      </w:r>
      <w:r w:rsidR="00925C34" w:rsidRPr="00925C34">
        <w:rPr>
          <w:rFonts w:ascii="Times New Roman" w:hAnsi="Times New Roman" w:cs="Times New Roman"/>
          <w:sz w:val="24"/>
          <w:lang w:val="en-US"/>
        </w:rPr>
        <w:t xml:space="preserve"> , S. , &amp; Danho , T. (2008). Poultry Sector Review—</w:t>
      </w:r>
      <w:r w:rsidR="009120EC" w:rsidRPr="009120EC">
        <w:rPr>
          <w:rFonts w:ascii="Times New Roman" w:hAnsi="Times New Roman" w:cs="Times New Roman"/>
          <w:sz w:val="24"/>
          <w:highlight w:val="yellow"/>
          <w:lang w:val="en-US"/>
        </w:rPr>
        <w:t>Côte d'Ivoire</w:t>
      </w:r>
      <w:r w:rsidR="00925C34" w:rsidRPr="00925C34">
        <w:rPr>
          <w:rFonts w:ascii="Times New Roman" w:hAnsi="Times New Roman" w:cs="Times New Roman"/>
          <w:sz w:val="24"/>
          <w:lang w:val="en-US"/>
        </w:rPr>
        <w:t>. https://openknowledge.fao.org/items/e9fb8ec3-6b9a-48d2-9b55-41958b8182cf</w:t>
      </w:r>
    </w:p>
    <w:p w14:paraId="74755753" w14:textId="77777777" w:rsidR="00EB146A" w:rsidRPr="007D0FF7" w:rsidRDefault="00925C34" w:rsidP="00925C34">
      <w:pPr>
        <w:pStyle w:val="Bibliographie"/>
        <w:rPr>
          <w:rFonts w:ascii="Times New Roman" w:hAnsi="Times New Roman" w:cs="Times New Roman"/>
          <w:sz w:val="24"/>
          <w:lang w:val="en-US"/>
        </w:rPr>
      </w:pPr>
      <w:r w:rsidRPr="007D0FF7">
        <w:rPr>
          <w:rFonts w:ascii="Times New Roman" w:hAnsi="Times New Roman" w:cs="Times New Roman"/>
          <w:sz w:val="24"/>
          <w:lang w:val="en-US"/>
        </w:rPr>
        <w:t xml:space="preserve">http://dx.doi.org/10.1037/0021-843X.102.2.220 </w:t>
      </w:r>
    </w:p>
    <w:p w14:paraId="551B70A7" w14:textId="61DCF379" w:rsidR="00925C34" w:rsidRPr="00925C34" w:rsidRDefault="00925C34" w:rsidP="00925C34">
      <w:pPr>
        <w:pStyle w:val="Bibliographie"/>
        <w:rPr>
          <w:rFonts w:ascii="Times New Roman" w:hAnsi="Times New Roman" w:cs="Times New Roman"/>
          <w:sz w:val="24"/>
          <w:lang w:val="en-US"/>
        </w:rPr>
      </w:pPr>
      <w:r w:rsidRPr="00D5367F">
        <w:rPr>
          <w:rFonts w:ascii="Times New Roman" w:hAnsi="Times New Roman" w:cs="Times New Roman"/>
          <w:sz w:val="24"/>
          <w:lang w:val="en-US"/>
        </w:rPr>
        <w:t xml:space="preserve">Kouao, J.-M., </w:t>
      </w:r>
      <w:proofErr w:type="spellStart"/>
      <w:r w:rsidRPr="00D5367F">
        <w:rPr>
          <w:rFonts w:ascii="Times New Roman" w:hAnsi="Times New Roman" w:cs="Times New Roman"/>
          <w:sz w:val="24"/>
          <w:lang w:val="en-US"/>
        </w:rPr>
        <w:t>Tagnon</w:t>
      </w:r>
      <w:proofErr w:type="spellEnd"/>
      <w:r w:rsidRPr="00D5367F">
        <w:rPr>
          <w:rFonts w:ascii="Times New Roman" w:hAnsi="Times New Roman" w:cs="Times New Roman"/>
          <w:sz w:val="24"/>
          <w:lang w:val="en-US"/>
        </w:rPr>
        <w:t xml:space="preserve">, B. O., Koffi, B., Kouassi, A. M., Kouassi, K. A., &amp; Gone, D. L. (2024). </w:t>
      </w:r>
      <w:r w:rsidRPr="00925C34">
        <w:rPr>
          <w:rFonts w:ascii="Times New Roman" w:hAnsi="Times New Roman" w:cs="Times New Roman"/>
          <w:sz w:val="24"/>
          <w:lang w:val="en-US"/>
        </w:rPr>
        <w:t>Interannual climate variability and trends at the scale of the Ivory Coast over the period 1961-2016. European Scientific Journal, ESJ, 20(33), Article 33. https://doi.org/10.19044/esj.2024.v20n33p218</w:t>
      </w:r>
    </w:p>
    <w:p w14:paraId="4B9BF9A4" w14:textId="01C5A1C3" w:rsidR="0078675F" w:rsidRPr="00CF3C91" w:rsidRDefault="00925C34" w:rsidP="00925C34">
      <w:pPr>
        <w:pStyle w:val="Bibliographie"/>
        <w:rPr>
          <w:rFonts w:ascii="Times New Roman" w:hAnsi="Times New Roman" w:cs="Times New Roman"/>
          <w:sz w:val="24"/>
          <w:lang w:val="en-US"/>
        </w:rPr>
      </w:pPr>
      <w:r w:rsidRPr="00CF3C91">
        <w:rPr>
          <w:rFonts w:ascii="Times New Roman" w:hAnsi="Times New Roman" w:cs="Times New Roman"/>
          <w:sz w:val="24"/>
          <w:highlight w:val="yellow"/>
          <w:lang w:val="en-US"/>
        </w:rPr>
        <w:t xml:space="preserve">http://dx.doi.org/10.1037/0021-843X.103.2.202 </w:t>
      </w:r>
      <w:r w:rsidR="00CF3C91" w:rsidRPr="00CF3C91">
        <w:rPr>
          <w:rFonts w:ascii="Times New Roman" w:hAnsi="Times New Roman" w:cs="Times New Roman"/>
          <w:sz w:val="24"/>
          <w:highlight w:val="yellow"/>
          <w:lang w:val="en-US"/>
        </w:rPr>
        <w:t>to delete please</w:t>
      </w:r>
    </w:p>
    <w:p w14:paraId="18BDA39E" w14:textId="6D2BFD29" w:rsidR="00925C34" w:rsidRPr="00925C34" w:rsidRDefault="00925C34" w:rsidP="00925C34">
      <w:pPr>
        <w:pStyle w:val="Bibliographie"/>
        <w:rPr>
          <w:rFonts w:ascii="Times New Roman" w:hAnsi="Times New Roman" w:cs="Times New Roman"/>
          <w:sz w:val="24"/>
          <w:lang w:val="en-US"/>
        </w:rPr>
      </w:pPr>
      <w:r w:rsidRPr="00925C34">
        <w:rPr>
          <w:rFonts w:ascii="Times New Roman" w:hAnsi="Times New Roman" w:cs="Times New Roman"/>
          <w:sz w:val="24"/>
          <w:lang w:val="en-US"/>
        </w:rPr>
        <w:t>Luangtongkum, T., Morishita, T. Y., Ison, A. J., Huang, S., McDermott, P. F., &amp; Zhang, Q. (2006). Effect of Conventional and Organic Production Practices on the Prevalence and Antimicrobial Resistance of Campylobacter spp. In Poultry. Applied and Environmental Microbiology, 72(5), 3600‐3607. https://doi.org/10.1128/AEM.72.5.3600-3607.2006</w:t>
      </w:r>
    </w:p>
    <w:p w14:paraId="0F55080F" w14:textId="77777777" w:rsidR="00DA6476" w:rsidRDefault="00925C34" w:rsidP="00DA6476">
      <w:pPr>
        <w:pStyle w:val="Bibliographie"/>
        <w:rPr>
          <w:rFonts w:ascii="Times New Roman" w:hAnsi="Times New Roman" w:cs="Times New Roman"/>
          <w:sz w:val="24"/>
          <w:lang w:val="en-US"/>
        </w:rPr>
      </w:pPr>
      <w:r w:rsidRPr="00925C34">
        <w:rPr>
          <w:rFonts w:ascii="Times New Roman" w:hAnsi="Times New Roman" w:cs="Times New Roman"/>
          <w:sz w:val="24"/>
          <w:lang w:val="en-US"/>
        </w:rPr>
        <w:t xml:space="preserve">Lutful Kabir, S. M. (2010). Avian colibacillosis and salmonellosis: A closer look at epidemiology, pathogenesis, diagnosis, control and public health concerns. </w:t>
      </w:r>
      <w:r w:rsidRPr="00925C34">
        <w:rPr>
          <w:rFonts w:ascii="Times New Roman" w:hAnsi="Times New Roman" w:cs="Times New Roman"/>
          <w:sz w:val="24"/>
          <w:lang w:val="en-US"/>
        </w:rPr>
        <w:lastRenderedPageBreak/>
        <w:t xml:space="preserve">International Journal of Environmental Research and Public Health, 7(1), 89‐114. </w:t>
      </w:r>
      <w:r w:rsidR="00DA6476" w:rsidRPr="00937828">
        <w:rPr>
          <w:rFonts w:ascii="Times New Roman" w:hAnsi="Times New Roman" w:cs="Times New Roman"/>
          <w:sz w:val="24"/>
          <w:lang w:val="en-US"/>
        </w:rPr>
        <w:t>https://doi.org/10.3390/ijerph7010089</w:t>
      </w:r>
    </w:p>
    <w:p w14:paraId="599E014E" w14:textId="77777777" w:rsidR="000B0147" w:rsidRDefault="000B0147" w:rsidP="00F537F6">
      <w:pPr>
        <w:rPr>
          <w:rFonts w:ascii="Times New Roman" w:hAnsi="Times New Roman" w:cs="Times New Roman"/>
          <w:sz w:val="24"/>
          <w:szCs w:val="24"/>
          <w:highlight w:val="yellow"/>
          <w:lang w:val="en-GB"/>
        </w:rPr>
      </w:pPr>
    </w:p>
    <w:p w14:paraId="49284EA2" w14:textId="77777777" w:rsidR="00641D30" w:rsidRPr="00641D30" w:rsidRDefault="000B0147" w:rsidP="00B7478B">
      <w:pPr>
        <w:spacing w:line="480" w:lineRule="auto"/>
        <w:jc w:val="both"/>
        <w:rPr>
          <w:highlight w:val="yellow"/>
          <w:lang w:val="en-US"/>
        </w:rPr>
      </w:pPr>
      <w:r w:rsidRPr="00641D30">
        <w:rPr>
          <w:rFonts w:ascii="Times New Roman" w:hAnsi="Times New Roman" w:cs="Times New Roman"/>
          <w:sz w:val="24"/>
          <w:szCs w:val="24"/>
          <w:highlight w:val="yellow"/>
          <w:lang w:val="en-GB"/>
        </w:rPr>
        <w:t>Medrano</w:t>
      </w:r>
      <w:r w:rsidRPr="00641D30">
        <w:rPr>
          <w:rFonts w:ascii="Times New Roman" w:hAnsi="Times New Roman" w:cs="Times New Roman"/>
          <w:sz w:val="24"/>
          <w:szCs w:val="24"/>
          <w:highlight w:val="yellow"/>
          <w:lang w:val="en-GB"/>
        </w:rPr>
        <w:t xml:space="preserve"> H.,</w:t>
      </w:r>
      <w:r w:rsidRPr="00641D30">
        <w:rPr>
          <w:rFonts w:ascii="Times New Roman" w:hAnsi="Times New Roman" w:cs="Times New Roman"/>
          <w:sz w:val="24"/>
          <w:szCs w:val="24"/>
          <w:highlight w:val="yellow"/>
          <w:lang w:val="en-GB"/>
        </w:rPr>
        <w:t xml:space="preserve"> Hill</w:t>
      </w:r>
      <w:r w:rsidR="00475B8A" w:rsidRPr="00641D30">
        <w:rPr>
          <w:rFonts w:ascii="Times New Roman" w:hAnsi="Times New Roman" w:cs="Times New Roman"/>
          <w:sz w:val="24"/>
          <w:szCs w:val="24"/>
          <w:highlight w:val="yellow"/>
          <w:lang w:val="en-GB"/>
        </w:rPr>
        <w:t xml:space="preserve"> S.</w:t>
      </w:r>
      <w:r w:rsidRPr="00641D30">
        <w:rPr>
          <w:rFonts w:ascii="Times New Roman" w:hAnsi="Times New Roman" w:cs="Times New Roman"/>
          <w:sz w:val="24"/>
          <w:szCs w:val="24"/>
          <w:highlight w:val="yellow"/>
          <w:lang w:val="en-GB"/>
        </w:rPr>
        <w:t xml:space="preserve">, </w:t>
      </w:r>
      <w:proofErr w:type="spellStart"/>
      <w:r w:rsidRPr="00641D30">
        <w:rPr>
          <w:rFonts w:ascii="Times New Roman" w:hAnsi="Times New Roman" w:cs="Times New Roman"/>
          <w:sz w:val="24"/>
          <w:szCs w:val="24"/>
          <w:highlight w:val="yellow"/>
          <w:lang w:val="en-GB"/>
        </w:rPr>
        <w:t>Boulianne</w:t>
      </w:r>
      <w:proofErr w:type="spellEnd"/>
      <w:r w:rsidR="00475B8A" w:rsidRPr="00641D30">
        <w:rPr>
          <w:rFonts w:ascii="Times New Roman" w:hAnsi="Times New Roman" w:cs="Times New Roman"/>
          <w:sz w:val="24"/>
          <w:szCs w:val="24"/>
          <w:highlight w:val="yellow"/>
          <w:lang w:val="en-GB"/>
        </w:rPr>
        <w:t xml:space="preserve"> M.</w:t>
      </w:r>
      <w:r w:rsidRPr="00641D30">
        <w:rPr>
          <w:rFonts w:ascii="Times New Roman" w:hAnsi="Times New Roman" w:cs="Times New Roman"/>
          <w:sz w:val="24"/>
          <w:szCs w:val="24"/>
          <w:highlight w:val="yellow"/>
          <w:lang w:val="en-GB"/>
        </w:rPr>
        <w:t>, Cereno</w:t>
      </w:r>
      <w:r w:rsidR="00475B8A" w:rsidRPr="00641D30">
        <w:rPr>
          <w:rFonts w:ascii="Times New Roman" w:hAnsi="Times New Roman" w:cs="Times New Roman"/>
          <w:sz w:val="24"/>
          <w:szCs w:val="24"/>
          <w:highlight w:val="yellow"/>
          <w:lang w:val="en-GB"/>
        </w:rPr>
        <w:t xml:space="preserve"> T.</w:t>
      </w:r>
      <w:r w:rsidRPr="00641D30">
        <w:rPr>
          <w:rFonts w:ascii="Times New Roman" w:hAnsi="Times New Roman" w:cs="Times New Roman"/>
          <w:sz w:val="24"/>
          <w:szCs w:val="24"/>
          <w:highlight w:val="yellow"/>
          <w:lang w:val="en-GB"/>
        </w:rPr>
        <w:t>, Deckert</w:t>
      </w:r>
      <w:r w:rsidR="00F6798C" w:rsidRPr="00641D30">
        <w:rPr>
          <w:rFonts w:ascii="Times New Roman" w:hAnsi="Times New Roman" w:cs="Times New Roman"/>
          <w:sz w:val="24"/>
          <w:szCs w:val="24"/>
          <w:highlight w:val="yellow"/>
          <w:lang w:val="en-GB"/>
        </w:rPr>
        <w:t xml:space="preserve"> A.E.</w:t>
      </w:r>
      <w:r w:rsidRPr="00641D30">
        <w:rPr>
          <w:rFonts w:ascii="Times New Roman" w:hAnsi="Times New Roman" w:cs="Times New Roman"/>
          <w:sz w:val="24"/>
          <w:szCs w:val="24"/>
          <w:highlight w:val="yellow"/>
          <w:lang w:val="en-GB"/>
        </w:rPr>
        <w:t>, Charlebois</w:t>
      </w:r>
      <w:r w:rsidR="00F6798C" w:rsidRPr="00641D30">
        <w:rPr>
          <w:rFonts w:ascii="Times New Roman" w:hAnsi="Times New Roman" w:cs="Times New Roman"/>
          <w:sz w:val="24"/>
          <w:szCs w:val="24"/>
          <w:highlight w:val="yellow"/>
          <w:lang w:val="en-GB"/>
        </w:rPr>
        <w:t xml:space="preserve"> A.</w:t>
      </w:r>
      <w:r w:rsidRPr="00641D30">
        <w:rPr>
          <w:rFonts w:ascii="Times New Roman" w:hAnsi="Times New Roman" w:cs="Times New Roman"/>
          <w:sz w:val="24"/>
          <w:szCs w:val="24"/>
          <w:highlight w:val="yellow"/>
          <w:lang w:val="en-GB"/>
        </w:rPr>
        <w:t>, Gow</w:t>
      </w:r>
      <w:r w:rsidR="00F6798C" w:rsidRPr="00641D30">
        <w:rPr>
          <w:rFonts w:ascii="Times New Roman" w:hAnsi="Times New Roman" w:cs="Times New Roman"/>
          <w:sz w:val="24"/>
          <w:szCs w:val="24"/>
          <w:highlight w:val="yellow"/>
          <w:lang w:val="en-GB"/>
        </w:rPr>
        <w:t xml:space="preserve"> </w:t>
      </w:r>
      <w:proofErr w:type="gramStart"/>
      <w:r w:rsidR="00F6798C" w:rsidRPr="00641D30">
        <w:rPr>
          <w:rFonts w:ascii="Times New Roman" w:hAnsi="Times New Roman" w:cs="Times New Roman"/>
          <w:sz w:val="24"/>
          <w:szCs w:val="24"/>
          <w:highlight w:val="yellow"/>
          <w:lang w:val="en-GB"/>
        </w:rPr>
        <w:t>S.P.,</w:t>
      </w:r>
      <w:r w:rsidRPr="00641D30">
        <w:rPr>
          <w:rFonts w:ascii="Times New Roman" w:hAnsi="Times New Roman" w:cs="Times New Roman"/>
          <w:sz w:val="24"/>
          <w:szCs w:val="24"/>
          <w:highlight w:val="yellow"/>
          <w:lang w:val="en-GB"/>
        </w:rPr>
        <w:t>,</w:t>
      </w:r>
      <w:proofErr w:type="gramEnd"/>
      <w:r w:rsidRPr="00641D30">
        <w:rPr>
          <w:rFonts w:ascii="Times New Roman" w:hAnsi="Times New Roman" w:cs="Times New Roman"/>
          <w:sz w:val="24"/>
          <w:szCs w:val="24"/>
          <w:highlight w:val="yellow"/>
          <w:lang w:val="en-GB"/>
        </w:rPr>
        <w:t xml:space="preserve"> Kathryn McDonald</w:t>
      </w:r>
      <w:r w:rsidR="00EB2733" w:rsidRPr="00641D30">
        <w:rPr>
          <w:rFonts w:ascii="Times New Roman" w:hAnsi="Times New Roman" w:cs="Times New Roman"/>
          <w:sz w:val="24"/>
          <w:szCs w:val="24"/>
          <w:highlight w:val="yellow"/>
          <w:lang w:val="en-GB"/>
        </w:rPr>
        <w:t xml:space="preserve"> </w:t>
      </w:r>
      <w:proofErr w:type="gramStart"/>
      <w:r w:rsidR="00EB2733" w:rsidRPr="00641D30">
        <w:rPr>
          <w:rFonts w:ascii="Times New Roman" w:hAnsi="Times New Roman" w:cs="Times New Roman"/>
          <w:sz w:val="24"/>
          <w:szCs w:val="24"/>
          <w:highlight w:val="yellow"/>
          <w:lang w:val="en-GB"/>
        </w:rPr>
        <w:t>K.,</w:t>
      </w:r>
      <w:r w:rsidRPr="00641D30">
        <w:rPr>
          <w:rFonts w:ascii="Times New Roman" w:hAnsi="Times New Roman" w:cs="Times New Roman"/>
          <w:sz w:val="24"/>
          <w:szCs w:val="24"/>
          <w:highlight w:val="yellow"/>
          <w:lang w:val="en-GB"/>
        </w:rPr>
        <w:t>.</w:t>
      </w:r>
      <w:proofErr w:type="gramEnd"/>
      <w:r w:rsidRPr="00641D30">
        <w:rPr>
          <w:rFonts w:ascii="Times New Roman" w:hAnsi="Times New Roman" w:cs="Times New Roman"/>
          <w:sz w:val="24"/>
          <w:szCs w:val="24"/>
          <w:highlight w:val="yellow"/>
          <w:lang w:val="en-GB"/>
        </w:rPr>
        <w:t xml:space="preserve"> Reid-</w:t>
      </w:r>
      <w:proofErr w:type="gramStart"/>
      <w:r w:rsidRPr="00641D30">
        <w:rPr>
          <w:rFonts w:ascii="Times New Roman" w:hAnsi="Times New Roman" w:cs="Times New Roman"/>
          <w:sz w:val="24"/>
          <w:szCs w:val="24"/>
          <w:highlight w:val="yellow"/>
          <w:lang w:val="en-GB"/>
        </w:rPr>
        <w:t>Smith</w:t>
      </w:r>
      <w:r w:rsidR="00EB2733" w:rsidRPr="00641D30">
        <w:rPr>
          <w:rFonts w:ascii="Times New Roman" w:hAnsi="Times New Roman" w:cs="Times New Roman"/>
          <w:sz w:val="24"/>
          <w:szCs w:val="24"/>
          <w:highlight w:val="yellow"/>
          <w:lang w:val="en-GB"/>
        </w:rPr>
        <w:t xml:space="preserve"> .</w:t>
      </w:r>
      <w:proofErr w:type="gramEnd"/>
      <w:r w:rsidR="00EB2733" w:rsidRPr="00641D30">
        <w:rPr>
          <w:rFonts w:ascii="Times New Roman" w:hAnsi="Times New Roman" w:cs="Times New Roman"/>
          <w:sz w:val="24"/>
          <w:szCs w:val="24"/>
          <w:highlight w:val="yellow"/>
          <w:lang w:val="en-GB"/>
        </w:rPr>
        <w:t>J.</w:t>
      </w:r>
      <w:r w:rsidRPr="00641D30">
        <w:rPr>
          <w:rFonts w:ascii="Times New Roman" w:hAnsi="Times New Roman" w:cs="Times New Roman"/>
          <w:sz w:val="24"/>
          <w:szCs w:val="24"/>
          <w:highlight w:val="yellow"/>
          <w:lang w:val="en-GB"/>
        </w:rPr>
        <w:t>2, Agunos</w:t>
      </w:r>
      <w:r w:rsidR="008349F3" w:rsidRPr="00641D30">
        <w:rPr>
          <w:rFonts w:ascii="Times New Roman" w:hAnsi="Times New Roman" w:cs="Times New Roman"/>
          <w:sz w:val="24"/>
          <w:szCs w:val="24"/>
          <w:highlight w:val="yellow"/>
          <w:lang w:val="en-GB"/>
        </w:rPr>
        <w:t xml:space="preserve"> </w:t>
      </w:r>
      <w:r w:rsidR="00EB2733" w:rsidRPr="00641D30">
        <w:rPr>
          <w:rFonts w:ascii="Times New Roman" w:hAnsi="Times New Roman" w:cs="Times New Roman"/>
          <w:sz w:val="24"/>
          <w:szCs w:val="24"/>
          <w:highlight w:val="yellow"/>
          <w:lang w:val="en-GB"/>
        </w:rPr>
        <w:t xml:space="preserve">A. </w:t>
      </w:r>
      <w:r w:rsidR="008349F3" w:rsidRPr="00641D30">
        <w:rPr>
          <w:rFonts w:ascii="Times New Roman" w:hAnsi="Times New Roman" w:cs="Times New Roman"/>
          <w:sz w:val="24"/>
          <w:szCs w:val="24"/>
          <w:highlight w:val="yellow"/>
          <w:lang w:val="en-GB"/>
        </w:rPr>
        <w:t xml:space="preserve">(2025). </w:t>
      </w:r>
      <w:r w:rsidR="005547A4" w:rsidRPr="00641D30">
        <w:rPr>
          <w:highlight w:val="yellow"/>
          <w:lang w:val="en-US"/>
        </w:rPr>
        <w:t>Widespread dissemination of Salmonella, Escherichia coli and Campylobacter resistant to medically important antimicrobials in the poultry production continuum in Canada</w:t>
      </w:r>
      <w:r w:rsidR="00B7478B" w:rsidRPr="00641D30">
        <w:rPr>
          <w:highlight w:val="yellow"/>
          <w:lang w:val="en-US"/>
        </w:rPr>
        <w:t xml:space="preserve">. </w:t>
      </w:r>
      <w:proofErr w:type="spellStart"/>
      <w:r w:rsidR="00B7478B" w:rsidRPr="00641D30">
        <w:rPr>
          <w:highlight w:val="yellow"/>
          <w:lang w:val="en-US"/>
        </w:rPr>
        <w:t>PLoS</w:t>
      </w:r>
      <w:proofErr w:type="spellEnd"/>
      <w:r w:rsidR="00B7478B" w:rsidRPr="00641D30">
        <w:rPr>
          <w:highlight w:val="yellow"/>
          <w:lang w:val="en-US"/>
        </w:rPr>
        <w:t xml:space="preserve"> ONE 20(2): e0319086. </w:t>
      </w:r>
    </w:p>
    <w:p w14:paraId="4DBEB010" w14:textId="6094D7D1" w:rsidR="005547A4" w:rsidRPr="00641D30" w:rsidRDefault="00B7478B" w:rsidP="00B7478B">
      <w:pPr>
        <w:spacing w:line="480" w:lineRule="auto"/>
        <w:jc w:val="both"/>
        <w:rPr>
          <w:lang w:val="fr-CI"/>
        </w:rPr>
      </w:pPr>
      <w:r w:rsidRPr="00641D30">
        <w:rPr>
          <w:highlight w:val="yellow"/>
          <w:lang w:val="fr-CI"/>
        </w:rPr>
        <w:t xml:space="preserve">https://doi. </w:t>
      </w:r>
      <w:proofErr w:type="spellStart"/>
      <w:r w:rsidRPr="00641D30">
        <w:rPr>
          <w:highlight w:val="yellow"/>
          <w:lang w:val="fr-CI"/>
        </w:rPr>
        <w:t>org</w:t>
      </w:r>
      <w:proofErr w:type="spellEnd"/>
      <w:r w:rsidRPr="00641D30">
        <w:rPr>
          <w:highlight w:val="yellow"/>
          <w:lang w:val="fr-CI"/>
        </w:rPr>
        <w:t>/10.1371/journal.pone.0319086</w:t>
      </w:r>
    </w:p>
    <w:p w14:paraId="3052E43C" w14:textId="27752ED4" w:rsidR="000B0147" w:rsidRPr="00641D30" w:rsidRDefault="000B0147" w:rsidP="00F537F6">
      <w:pPr>
        <w:rPr>
          <w:rFonts w:ascii="Times New Roman" w:hAnsi="Times New Roman" w:cs="Times New Roman"/>
          <w:sz w:val="24"/>
          <w:szCs w:val="24"/>
          <w:highlight w:val="yellow"/>
          <w:lang w:val="fr-CI"/>
        </w:rPr>
      </w:pPr>
    </w:p>
    <w:p w14:paraId="697C7710" w14:textId="4C22E44A" w:rsidR="00925C34" w:rsidRPr="00925C34" w:rsidRDefault="00925C34" w:rsidP="00925C34">
      <w:pPr>
        <w:pStyle w:val="Bibliographie"/>
        <w:rPr>
          <w:rFonts w:ascii="Times New Roman" w:hAnsi="Times New Roman" w:cs="Times New Roman"/>
          <w:sz w:val="24"/>
          <w:lang w:val="en-US"/>
        </w:rPr>
      </w:pPr>
      <w:proofErr w:type="gramStart"/>
      <w:r w:rsidRPr="005547A4">
        <w:rPr>
          <w:rFonts w:ascii="Times New Roman" w:hAnsi="Times New Roman" w:cs="Times New Roman"/>
          <w:sz w:val="24"/>
          <w:lang w:val="fr-CI"/>
        </w:rPr>
        <w:t>Miranda ,</w:t>
      </w:r>
      <w:proofErr w:type="gramEnd"/>
      <w:r w:rsidRPr="005547A4">
        <w:rPr>
          <w:rFonts w:ascii="Times New Roman" w:hAnsi="Times New Roman" w:cs="Times New Roman"/>
          <w:sz w:val="24"/>
          <w:lang w:val="fr-CI"/>
        </w:rPr>
        <w:t xml:space="preserve"> J. </w:t>
      </w:r>
      <w:proofErr w:type="gramStart"/>
      <w:r w:rsidRPr="005547A4">
        <w:rPr>
          <w:rFonts w:ascii="Times New Roman" w:hAnsi="Times New Roman" w:cs="Times New Roman"/>
          <w:sz w:val="24"/>
          <w:lang w:val="fr-CI"/>
        </w:rPr>
        <w:t>M. ,</w:t>
      </w:r>
      <w:proofErr w:type="gramEnd"/>
      <w:r w:rsidRPr="005547A4">
        <w:rPr>
          <w:rFonts w:ascii="Times New Roman" w:hAnsi="Times New Roman" w:cs="Times New Roman"/>
          <w:sz w:val="24"/>
          <w:lang w:val="fr-CI"/>
        </w:rPr>
        <w:t xml:space="preserve"> </w:t>
      </w:r>
      <w:proofErr w:type="spellStart"/>
      <w:proofErr w:type="gramStart"/>
      <w:r w:rsidRPr="005547A4">
        <w:rPr>
          <w:rFonts w:ascii="Times New Roman" w:hAnsi="Times New Roman" w:cs="Times New Roman"/>
          <w:sz w:val="24"/>
          <w:lang w:val="fr-CI"/>
        </w:rPr>
        <w:t>Guarddon</w:t>
      </w:r>
      <w:proofErr w:type="spellEnd"/>
      <w:r w:rsidRPr="005547A4">
        <w:rPr>
          <w:rFonts w:ascii="Times New Roman" w:hAnsi="Times New Roman" w:cs="Times New Roman"/>
          <w:sz w:val="24"/>
          <w:lang w:val="fr-CI"/>
        </w:rPr>
        <w:t xml:space="preserve"> ,</w:t>
      </w:r>
      <w:proofErr w:type="gramEnd"/>
      <w:r w:rsidRPr="005547A4">
        <w:rPr>
          <w:rFonts w:ascii="Times New Roman" w:hAnsi="Times New Roman" w:cs="Times New Roman"/>
          <w:sz w:val="24"/>
          <w:lang w:val="fr-CI"/>
        </w:rPr>
        <w:t xml:space="preserve"> </w:t>
      </w:r>
      <w:proofErr w:type="gramStart"/>
      <w:r w:rsidRPr="005547A4">
        <w:rPr>
          <w:rFonts w:ascii="Times New Roman" w:hAnsi="Times New Roman" w:cs="Times New Roman"/>
          <w:sz w:val="24"/>
          <w:lang w:val="fr-CI"/>
        </w:rPr>
        <w:t>M. ,</w:t>
      </w:r>
      <w:proofErr w:type="gramEnd"/>
      <w:r w:rsidRPr="005547A4">
        <w:rPr>
          <w:rFonts w:ascii="Times New Roman" w:hAnsi="Times New Roman" w:cs="Times New Roman"/>
          <w:sz w:val="24"/>
          <w:lang w:val="fr-CI"/>
        </w:rPr>
        <w:t xml:space="preserve"> </w:t>
      </w:r>
      <w:proofErr w:type="gramStart"/>
      <w:r w:rsidRPr="005547A4">
        <w:rPr>
          <w:rFonts w:ascii="Times New Roman" w:hAnsi="Times New Roman" w:cs="Times New Roman"/>
          <w:sz w:val="24"/>
          <w:lang w:val="fr-CI"/>
        </w:rPr>
        <w:t>Vazquez ,</w:t>
      </w:r>
      <w:proofErr w:type="gramEnd"/>
      <w:r w:rsidRPr="005547A4">
        <w:rPr>
          <w:rFonts w:ascii="Times New Roman" w:hAnsi="Times New Roman" w:cs="Times New Roman"/>
          <w:sz w:val="24"/>
          <w:lang w:val="fr-CI"/>
        </w:rPr>
        <w:t xml:space="preserve"> B. </w:t>
      </w:r>
      <w:proofErr w:type="gramStart"/>
      <w:r w:rsidRPr="005547A4">
        <w:rPr>
          <w:rFonts w:ascii="Times New Roman" w:hAnsi="Times New Roman" w:cs="Times New Roman"/>
          <w:sz w:val="24"/>
          <w:lang w:val="fr-CI"/>
        </w:rPr>
        <w:t>I. ,</w:t>
      </w:r>
      <w:proofErr w:type="gramEnd"/>
      <w:r w:rsidRPr="005547A4">
        <w:rPr>
          <w:rFonts w:ascii="Times New Roman" w:hAnsi="Times New Roman" w:cs="Times New Roman"/>
          <w:sz w:val="24"/>
          <w:lang w:val="fr-CI"/>
        </w:rPr>
        <w:t xml:space="preserve"> </w:t>
      </w:r>
      <w:proofErr w:type="gramStart"/>
      <w:r w:rsidRPr="005547A4">
        <w:rPr>
          <w:rFonts w:ascii="Times New Roman" w:hAnsi="Times New Roman" w:cs="Times New Roman"/>
          <w:sz w:val="24"/>
          <w:lang w:val="fr-CI"/>
        </w:rPr>
        <w:t>Fente ,</w:t>
      </w:r>
      <w:proofErr w:type="gramEnd"/>
      <w:r w:rsidRPr="005547A4">
        <w:rPr>
          <w:rFonts w:ascii="Times New Roman" w:hAnsi="Times New Roman" w:cs="Times New Roman"/>
          <w:sz w:val="24"/>
          <w:lang w:val="fr-CI"/>
        </w:rPr>
        <w:t xml:space="preserve"> C. </w:t>
      </w:r>
      <w:proofErr w:type="gramStart"/>
      <w:r w:rsidRPr="005547A4">
        <w:rPr>
          <w:rFonts w:ascii="Times New Roman" w:hAnsi="Times New Roman" w:cs="Times New Roman"/>
          <w:sz w:val="24"/>
          <w:lang w:val="fr-CI"/>
        </w:rPr>
        <w:t>A. ,</w:t>
      </w:r>
      <w:proofErr w:type="gramEnd"/>
      <w:r w:rsidRPr="005547A4">
        <w:rPr>
          <w:rFonts w:ascii="Times New Roman" w:hAnsi="Times New Roman" w:cs="Times New Roman"/>
          <w:sz w:val="24"/>
          <w:lang w:val="fr-CI"/>
        </w:rPr>
        <w:t xml:space="preserve"> Barros-</w:t>
      </w:r>
      <w:proofErr w:type="spellStart"/>
      <w:proofErr w:type="gramStart"/>
      <w:r w:rsidRPr="005547A4">
        <w:rPr>
          <w:rFonts w:ascii="Times New Roman" w:hAnsi="Times New Roman" w:cs="Times New Roman"/>
          <w:sz w:val="24"/>
          <w:lang w:val="fr-CI"/>
        </w:rPr>
        <w:t>Velazquez</w:t>
      </w:r>
      <w:proofErr w:type="spellEnd"/>
      <w:r w:rsidRPr="005547A4">
        <w:rPr>
          <w:rFonts w:ascii="Times New Roman" w:hAnsi="Times New Roman" w:cs="Times New Roman"/>
          <w:sz w:val="24"/>
          <w:lang w:val="fr-CI"/>
        </w:rPr>
        <w:t xml:space="preserve"> ,</w:t>
      </w:r>
      <w:proofErr w:type="gramEnd"/>
      <w:r w:rsidRPr="005547A4">
        <w:rPr>
          <w:rFonts w:ascii="Times New Roman" w:hAnsi="Times New Roman" w:cs="Times New Roman"/>
          <w:sz w:val="24"/>
          <w:lang w:val="fr-CI"/>
        </w:rPr>
        <w:t xml:space="preserve"> </w:t>
      </w:r>
      <w:proofErr w:type="gramStart"/>
      <w:r w:rsidRPr="005547A4">
        <w:rPr>
          <w:rFonts w:ascii="Times New Roman" w:hAnsi="Times New Roman" w:cs="Times New Roman"/>
          <w:sz w:val="24"/>
          <w:lang w:val="fr-CI"/>
        </w:rPr>
        <w:t>J. ,</w:t>
      </w:r>
      <w:proofErr w:type="gramEnd"/>
      <w:r w:rsidRPr="005547A4">
        <w:rPr>
          <w:rFonts w:ascii="Times New Roman" w:hAnsi="Times New Roman" w:cs="Times New Roman"/>
          <w:sz w:val="24"/>
          <w:lang w:val="fr-CI"/>
        </w:rPr>
        <w:t xml:space="preserve"> </w:t>
      </w:r>
      <w:proofErr w:type="spellStart"/>
      <w:proofErr w:type="gramStart"/>
      <w:r w:rsidRPr="005547A4">
        <w:rPr>
          <w:rFonts w:ascii="Times New Roman" w:hAnsi="Times New Roman" w:cs="Times New Roman"/>
          <w:sz w:val="24"/>
          <w:lang w:val="fr-CI"/>
        </w:rPr>
        <w:t>Cepeda</w:t>
      </w:r>
      <w:proofErr w:type="spellEnd"/>
      <w:r w:rsidRPr="005547A4">
        <w:rPr>
          <w:rFonts w:ascii="Times New Roman" w:hAnsi="Times New Roman" w:cs="Times New Roman"/>
          <w:sz w:val="24"/>
          <w:lang w:val="fr-CI"/>
        </w:rPr>
        <w:t xml:space="preserve"> ,</w:t>
      </w:r>
      <w:proofErr w:type="gramEnd"/>
      <w:r w:rsidRPr="005547A4">
        <w:rPr>
          <w:rFonts w:ascii="Times New Roman" w:hAnsi="Times New Roman" w:cs="Times New Roman"/>
          <w:sz w:val="24"/>
          <w:lang w:val="fr-CI"/>
        </w:rPr>
        <w:t xml:space="preserve"> </w:t>
      </w:r>
      <w:proofErr w:type="gramStart"/>
      <w:r w:rsidRPr="005547A4">
        <w:rPr>
          <w:rFonts w:ascii="Times New Roman" w:hAnsi="Times New Roman" w:cs="Times New Roman"/>
          <w:sz w:val="24"/>
          <w:lang w:val="fr-CI"/>
        </w:rPr>
        <w:t>A. ,</w:t>
      </w:r>
      <w:proofErr w:type="gramEnd"/>
      <w:r w:rsidRPr="005547A4">
        <w:rPr>
          <w:rFonts w:ascii="Times New Roman" w:hAnsi="Times New Roman" w:cs="Times New Roman"/>
          <w:sz w:val="24"/>
          <w:lang w:val="fr-CI"/>
        </w:rPr>
        <w:t xml:space="preserve"> &amp; </w:t>
      </w:r>
      <w:proofErr w:type="gramStart"/>
      <w:r w:rsidRPr="005547A4">
        <w:rPr>
          <w:rFonts w:ascii="Times New Roman" w:hAnsi="Times New Roman" w:cs="Times New Roman"/>
          <w:sz w:val="24"/>
          <w:lang w:val="fr-CI"/>
        </w:rPr>
        <w:t>Franco ,</w:t>
      </w:r>
      <w:proofErr w:type="gramEnd"/>
      <w:r w:rsidRPr="005547A4">
        <w:rPr>
          <w:rFonts w:ascii="Times New Roman" w:hAnsi="Times New Roman" w:cs="Times New Roman"/>
          <w:sz w:val="24"/>
          <w:lang w:val="fr-CI"/>
        </w:rPr>
        <w:t xml:space="preserve"> C. M. (2008). </w:t>
      </w:r>
      <w:r w:rsidRPr="00925C34">
        <w:rPr>
          <w:rFonts w:ascii="Times New Roman" w:hAnsi="Times New Roman" w:cs="Times New Roman"/>
          <w:sz w:val="24"/>
          <w:lang w:val="en-US"/>
        </w:rPr>
        <w:t>Antimicrobial resistance in Enterobacteriaceae strains isolated from organic chicken, conventional chicken and conventional turkey meat: A comparative survey. Food Control, 19(4), 412‐4 https://doi.org/10.1016/j.foodcont.2007.05.002</w:t>
      </w:r>
    </w:p>
    <w:p w14:paraId="66F081D8" w14:textId="77777777" w:rsidR="00925C34" w:rsidRPr="00925C34" w:rsidRDefault="00925C34" w:rsidP="00925C34">
      <w:pPr>
        <w:pStyle w:val="Bibliographie"/>
        <w:rPr>
          <w:rFonts w:ascii="Times New Roman" w:hAnsi="Times New Roman" w:cs="Times New Roman"/>
          <w:sz w:val="24"/>
          <w:lang w:val="en-US"/>
        </w:rPr>
      </w:pPr>
      <w:r w:rsidRPr="00925C34">
        <w:rPr>
          <w:rFonts w:ascii="Times New Roman" w:hAnsi="Times New Roman" w:cs="Times New Roman"/>
          <w:sz w:val="24"/>
          <w:lang w:val="en-US"/>
        </w:rPr>
        <w:t>WHO. (2020). Antibiotic resistance. https://www.who.int/en/news-room/fact-sheets/detail/antibiotic-resistance</w:t>
      </w:r>
    </w:p>
    <w:p w14:paraId="552726C4" w14:textId="4BA73EDE" w:rsidR="00925C34" w:rsidRPr="00925C34" w:rsidRDefault="00925C34" w:rsidP="00925C34">
      <w:pPr>
        <w:pStyle w:val="Bibliographie"/>
        <w:rPr>
          <w:rFonts w:ascii="Times New Roman" w:hAnsi="Times New Roman" w:cs="Times New Roman"/>
          <w:sz w:val="24"/>
          <w:lang w:val="en-US"/>
        </w:rPr>
      </w:pPr>
      <w:r w:rsidRPr="00925C34">
        <w:rPr>
          <w:rFonts w:ascii="Times New Roman" w:hAnsi="Times New Roman" w:cs="Times New Roman"/>
          <w:sz w:val="24"/>
          <w:lang w:val="en-US"/>
        </w:rPr>
        <w:t>Pourhoseingholi, M.A., Heads</w:t>
      </w:r>
      <w:r w:rsidRPr="000555C9">
        <w:rPr>
          <w:lang w:val="en-US"/>
        </w:rPr>
        <w:t xml:space="preserve"> </w:t>
      </w:r>
      <w:r w:rsidRPr="00925C34">
        <w:rPr>
          <w:rFonts w:ascii="Times New Roman" w:hAnsi="Times New Roman" w:cs="Times New Roman"/>
          <w:sz w:val="24"/>
          <w:lang w:val="en-US"/>
        </w:rPr>
        <w:t>i, M., &amp; Rahimzadeh, M. (2013). Sample size calculation in medical studies. Gastroenterology and Hepatology From Bed to Bench, 6(1), 14-17.</w:t>
      </w:r>
    </w:p>
    <w:p w14:paraId="5A072191" w14:textId="77777777" w:rsidR="00925C34" w:rsidRPr="00925C34" w:rsidRDefault="00925C34" w:rsidP="00925C34">
      <w:pPr>
        <w:pStyle w:val="Bibliographie"/>
        <w:rPr>
          <w:rFonts w:ascii="Times New Roman" w:hAnsi="Times New Roman" w:cs="Times New Roman"/>
          <w:sz w:val="24"/>
          <w:lang w:val="en-US"/>
        </w:rPr>
      </w:pPr>
      <w:r w:rsidRPr="00925C34">
        <w:rPr>
          <w:rFonts w:ascii="Times New Roman" w:hAnsi="Times New Roman" w:cs="Times New Roman"/>
          <w:sz w:val="24"/>
          <w:lang w:val="en-US"/>
        </w:rPr>
        <w:t>Puterflam, J., Galliot, P., Balaine, L., Kempf, I., Le Devendec, L., Lucas, C., Bougeard, S., Delannoy, S., Schouler, C., Le Bouquin, S., &amp; Souillard, R. (2022, March). Triggering factors of broiler colibacillosis: Epidemiological study in 80 farms in France. https://hal.inrae.fr/hal-03775530</w:t>
      </w:r>
    </w:p>
    <w:p w14:paraId="5E9F94E3" w14:textId="77777777" w:rsidR="00925C34" w:rsidRPr="00925C34" w:rsidRDefault="00925C34" w:rsidP="00925C34">
      <w:pPr>
        <w:pStyle w:val="Bibliographie"/>
        <w:rPr>
          <w:rFonts w:ascii="Times New Roman" w:hAnsi="Times New Roman" w:cs="Times New Roman"/>
          <w:sz w:val="24"/>
          <w:lang w:val="en-US"/>
        </w:rPr>
      </w:pPr>
      <w:r w:rsidRPr="00925C34">
        <w:rPr>
          <w:rFonts w:ascii="Times New Roman" w:hAnsi="Times New Roman" w:cs="Times New Roman"/>
          <w:sz w:val="24"/>
          <w:lang w:val="en-US"/>
        </w:rPr>
        <w:t>Rokiatou, B., Naka, T., &amp; Thierry, K. F. M. (2023). Biochemical characteristics of some agricultural by-products from Côte d'Ivoire for use in poultry feed.</w:t>
      </w:r>
    </w:p>
    <w:p w14:paraId="2B1FA0CF" w14:textId="77777777" w:rsidR="00925C34" w:rsidRPr="00925C34" w:rsidRDefault="00925C34" w:rsidP="00925C34">
      <w:pPr>
        <w:pStyle w:val="Bibliographie"/>
        <w:rPr>
          <w:rFonts w:ascii="Times New Roman" w:hAnsi="Times New Roman" w:cs="Times New Roman"/>
          <w:sz w:val="24"/>
          <w:lang w:val="en-US"/>
        </w:rPr>
      </w:pPr>
      <w:r w:rsidRPr="00925C34">
        <w:rPr>
          <w:rFonts w:ascii="Times New Roman" w:hAnsi="Times New Roman" w:cs="Times New Roman"/>
          <w:sz w:val="24"/>
          <w:lang w:val="en-US"/>
        </w:rPr>
        <w:lastRenderedPageBreak/>
        <w:t>Sidibé, M. (2020). Phenotypic characterization of antibiotic resistance in Escherichia coli and Klebsiella spp. strains isolated from humans, animals, and the environment at the Rodolphe Merieux laboratory in Bamako.</w:t>
      </w:r>
    </w:p>
    <w:p w14:paraId="7768DE97" w14:textId="77777777" w:rsidR="00925C34" w:rsidRPr="00925C34" w:rsidRDefault="00925C34" w:rsidP="00925C34">
      <w:pPr>
        <w:pStyle w:val="Bibliographie"/>
        <w:rPr>
          <w:rFonts w:ascii="Times New Roman" w:hAnsi="Times New Roman" w:cs="Times New Roman"/>
          <w:sz w:val="24"/>
          <w:lang w:val="en-US"/>
        </w:rPr>
      </w:pPr>
      <w:r w:rsidRPr="00925C34">
        <w:rPr>
          <w:rFonts w:ascii="Times New Roman" w:hAnsi="Times New Roman" w:cs="Times New Roman"/>
          <w:sz w:val="24"/>
          <w:lang w:val="en-US"/>
        </w:rPr>
        <w:t>Silbergeld, E. K., Graham, J., &amp; Price, L. B. (2008). Industrial Food Animal Production, Antimicrobial Resistance, and Human Health. Annual Review of Public Health, 29 (Volume 29, 2008), 151-169. https://doi.org/10.1146/annurev.publhealth.29.020907.090904</w:t>
      </w:r>
    </w:p>
    <w:p w14:paraId="0D304C4E" w14:textId="77777777" w:rsidR="00925C34" w:rsidRPr="000555C9" w:rsidRDefault="00925C34" w:rsidP="00925C34">
      <w:pPr>
        <w:pStyle w:val="Bibliographie"/>
        <w:rPr>
          <w:rFonts w:ascii="Times New Roman" w:hAnsi="Times New Roman" w:cs="Times New Roman"/>
          <w:sz w:val="24"/>
          <w:lang w:val="fr-CI"/>
        </w:rPr>
      </w:pPr>
      <w:r w:rsidRPr="00925C34">
        <w:rPr>
          <w:rFonts w:ascii="Times New Roman" w:hAnsi="Times New Roman" w:cs="Times New Roman"/>
          <w:sz w:val="24"/>
          <w:lang w:val="en-US"/>
        </w:rPr>
        <w:t xml:space="preserve">Van Immerseel, F., Fievez, V., de Buck, J., Pasmans, F., Martel, A., Haesebrouck, F., &amp; Ducatelle, R. (2004). Microencapsulated short-chain fatty acids in feed modify colonization and invasion early after infection with Salmonella enteritidis in young chickens. </w:t>
      </w:r>
      <w:r w:rsidRPr="000555C9">
        <w:rPr>
          <w:rFonts w:ascii="Times New Roman" w:hAnsi="Times New Roman" w:cs="Times New Roman"/>
          <w:sz w:val="24"/>
          <w:lang w:val="fr-CI"/>
        </w:rPr>
        <w:t>Poultry Science, 83(1), 69-74. https://doi.org/10.1093/ps/83.1.69</w:t>
      </w:r>
    </w:p>
    <w:p w14:paraId="19108829" w14:textId="10EC1325" w:rsidR="00A97D1E" w:rsidRPr="00A97D1E" w:rsidRDefault="00925C34" w:rsidP="00925C34">
      <w:pPr>
        <w:pStyle w:val="Bibliographie"/>
        <w:rPr>
          <w:rFonts w:ascii="Times New Roman" w:hAnsi="Times New Roman" w:cs="Times New Roman"/>
          <w:sz w:val="24"/>
        </w:rPr>
      </w:pPr>
      <w:r w:rsidRPr="000555C9">
        <w:rPr>
          <w:rFonts w:ascii="Times New Roman" w:hAnsi="Times New Roman" w:cs="Times New Roman"/>
          <w:sz w:val="24"/>
          <w:lang w:val="fr-CI"/>
        </w:rPr>
        <w:t xml:space="preserve">Yu, Y., Ji, S., Chen, Y., Zhou, W., Wei, Z., Li, L., &amp; Ma, Y. (2007). </w:t>
      </w:r>
      <w:r w:rsidRPr="00925C34">
        <w:rPr>
          <w:rFonts w:ascii="Times New Roman" w:hAnsi="Times New Roman" w:cs="Times New Roman"/>
          <w:sz w:val="24"/>
          <w:lang w:val="en-US"/>
        </w:rPr>
        <w:t>Resistance of strains producing extended-spectrum beta-lactamases and genotype distribution in China. The Journal of Infection, 54(1), 53-57. https://doi.org/10.1016/j.jinf.2006.01.014</w:t>
      </w:r>
    </w:p>
    <w:p w14:paraId="06527AED" w14:textId="1BD89AF9" w:rsidR="000A32A4" w:rsidRPr="00D726BB" w:rsidRDefault="00907137" w:rsidP="00D726BB">
      <w:pPr>
        <w:spacing w:line="360" w:lineRule="auto"/>
        <w:jc w:val="both"/>
        <w:rPr>
          <w:rFonts w:ascii="Times New Roman" w:hAnsi="Times New Roman" w:cs="Times New Roman"/>
          <w:sz w:val="24"/>
          <w:szCs w:val="24"/>
        </w:rPr>
      </w:pPr>
      <w:r w:rsidRPr="00D726BB">
        <w:rPr>
          <w:rFonts w:ascii="Times New Roman" w:hAnsi="Times New Roman" w:cs="Times New Roman"/>
          <w:color w:val="EE0000"/>
          <w:sz w:val="24"/>
          <w:szCs w:val="24"/>
        </w:rPr>
        <w:fldChar w:fldCharType="end"/>
      </w:r>
    </w:p>
    <w:sectPr w:rsidR="000A32A4" w:rsidRPr="00D726BB" w:rsidSect="00430BE9">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06AE1" w14:textId="77777777" w:rsidR="000C32E9" w:rsidRDefault="000C32E9" w:rsidP="00AC11D1">
      <w:pPr>
        <w:spacing w:after="0" w:line="240" w:lineRule="auto"/>
      </w:pPr>
      <w:r>
        <w:separator/>
      </w:r>
    </w:p>
  </w:endnote>
  <w:endnote w:type="continuationSeparator" w:id="0">
    <w:p w14:paraId="20F3CA56" w14:textId="77777777" w:rsidR="000C32E9" w:rsidRDefault="000C32E9" w:rsidP="00AC1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39461" w14:textId="77777777" w:rsidR="00430BE9" w:rsidRDefault="00430BE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2845227"/>
      <w:docPartObj>
        <w:docPartGallery w:val="Page Numbers (Bottom of Page)"/>
        <w:docPartUnique/>
      </w:docPartObj>
    </w:sdtPr>
    <w:sdtContent>
      <w:p w14:paraId="4EA95FF2" w14:textId="74EF6379" w:rsidR="00AC11D1" w:rsidRDefault="00AC11D1">
        <w:pPr>
          <w:pStyle w:val="Pieddepage"/>
          <w:jc w:val="right"/>
        </w:pPr>
        <w:r>
          <w:fldChar w:fldCharType="begin"/>
        </w:r>
        <w:r>
          <w:instrText>PAGE   \* MERGEFORMAT</w:instrText>
        </w:r>
        <w:r>
          <w:fldChar w:fldCharType="separate"/>
        </w:r>
        <w:r>
          <w:t>2</w:t>
        </w:r>
        <w:r>
          <w:fldChar w:fldCharType="end"/>
        </w:r>
      </w:p>
    </w:sdtContent>
  </w:sdt>
  <w:p w14:paraId="603556CC" w14:textId="77777777" w:rsidR="00AC11D1" w:rsidRDefault="00AC11D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F3402" w14:textId="77777777" w:rsidR="00430BE9" w:rsidRDefault="00430BE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98108A" w14:textId="77777777" w:rsidR="000C32E9" w:rsidRDefault="000C32E9" w:rsidP="00AC11D1">
      <w:pPr>
        <w:spacing w:after="0" w:line="240" w:lineRule="auto"/>
      </w:pPr>
      <w:r>
        <w:separator/>
      </w:r>
    </w:p>
  </w:footnote>
  <w:footnote w:type="continuationSeparator" w:id="0">
    <w:p w14:paraId="6E2274A6" w14:textId="77777777" w:rsidR="000C32E9" w:rsidRDefault="000C32E9" w:rsidP="00AC11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4B786" w14:textId="7181733B" w:rsidR="00430BE9" w:rsidRDefault="00000000">
    <w:pPr>
      <w:pStyle w:val="En-tte"/>
    </w:pPr>
    <w:r>
      <w:rPr>
        <w:noProof/>
      </w:rPr>
      <w:pict w14:anchorId="441194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10219" o:spid="_x0000_s1026"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4F8A5" w14:textId="32C41A54" w:rsidR="00430BE9" w:rsidRDefault="00000000">
    <w:pPr>
      <w:pStyle w:val="En-tte"/>
    </w:pPr>
    <w:r>
      <w:rPr>
        <w:noProof/>
      </w:rPr>
      <w:pict w14:anchorId="2D9E73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10220" o:spid="_x0000_s1027"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6975B" w14:textId="23715E0F" w:rsidR="00430BE9" w:rsidRDefault="00000000">
    <w:pPr>
      <w:pStyle w:val="En-tte"/>
    </w:pPr>
    <w:r>
      <w:rPr>
        <w:noProof/>
      </w:rPr>
      <w:pict w14:anchorId="7D7598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10218" o:spid="_x0000_s1025"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1477D"/>
    <w:multiLevelType w:val="hybridMultilevel"/>
    <w:tmpl w:val="AAF06B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11E417A"/>
    <w:multiLevelType w:val="multilevel"/>
    <w:tmpl w:val="6D82A10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375665A"/>
    <w:multiLevelType w:val="hybridMultilevel"/>
    <w:tmpl w:val="CA28DA56"/>
    <w:lvl w:ilvl="0" w:tplc="300C000B">
      <w:start w:val="1"/>
      <w:numFmt w:val="bullet"/>
      <w:lvlText w:val=""/>
      <w:lvlJc w:val="left"/>
      <w:pPr>
        <w:ind w:left="720" w:hanging="360"/>
      </w:pPr>
      <w:rPr>
        <w:rFonts w:ascii="Wingdings" w:hAnsi="Wingdings"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3" w15:restartNumberingAfterBreak="0">
    <w:nsid w:val="274E0A70"/>
    <w:multiLevelType w:val="multilevel"/>
    <w:tmpl w:val="7352AE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 w15:restartNumberingAfterBreak="0">
    <w:nsid w:val="5AFE78AC"/>
    <w:multiLevelType w:val="hybridMultilevel"/>
    <w:tmpl w:val="6498BA1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E4F3545"/>
    <w:multiLevelType w:val="hybridMultilevel"/>
    <w:tmpl w:val="62140742"/>
    <w:lvl w:ilvl="0" w:tplc="300C000B">
      <w:start w:val="1"/>
      <w:numFmt w:val="bullet"/>
      <w:lvlText w:val=""/>
      <w:lvlJc w:val="left"/>
      <w:pPr>
        <w:ind w:left="720" w:hanging="360"/>
      </w:pPr>
      <w:rPr>
        <w:rFonts w:ascii="Wingdings" w:hAnsi="Wingdings"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6" w15:restartNumberingAfterBreak="0">
    <w:nsid w:val="64A026E8"/>
    <w:multiLevelType w:val="hybridMultilevel"/>
    <w:tmpl w:val="BA0A994E"/>
    <w:lvl w:ilvl="0" w:tplc="300C000B">
      <w:start w:val="1"/>
      <w:numFmt w:val="bullet"/>
      <w:lvlText w:val=""/>
      <w:lvlJc w:val="left"/>
      <w:pPr>
        <w:ind w:left="720" w:hanging="360"/>
      </w:pPr>
      <w:rPr>
        <w:rFonts w:ascii="Wingdings" w:hAnsi="Wingdings"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7" w15:restartNumberingAfterBreak="0">
    <w:nsid w:val="70E3100E"/>
    <w:multiLevelType w:val="hybridMultilevel"/>
    <w:tmpl w:val="0CAC9A10"/>
    <w:lvl w:ilvl="0" w:tplc="5DE81B84">
      <w:start w:val="1"/>
      <w:numFmt w:val="decimal"/>
      <w:lvlText w:val="%1-"/>
      <w:lvlJc w:val="left"/>
      <w:pPr>
        <w:ind w:left="720" w:hanging="360"/>
      </w:pPr>
      <w:rPr>
        <w:rFonts w:hint="default"/>
      </w:rPr>
    </w:lvl>
    <w:lvl w:ilvl="1" w:tplc="300C0019" w:tentative="1">
      <w:start w:val="1"/>
      <w:numFmt w:val="lowerLetter"/>
      <w:lvlText w:val="%2."/>
      <w:lvlJc w:val="left"/>
      <w:pPr>
        <w:ind w:left="1440" w:hanging="360"/>
      </w:pPr>
    </w:lvl>
    <w:lvl w:ilvl="2" w:tplc="300C001B" w:tentative="1">
      <w:start w:val="1"/>
      <w:numFmt w:val="lowerRoman"/>
      <w:lvlText w:val="%3."/>
      <w:lvlJc w:val="right"/>
      <w:pPr>
        <w:ind w:left="2160" w:hanging="180"/>
      </w:pPr>
    </w:lvl>
    <w:lvl w:ilvl="3" w:tplc="300C000F" w:tentative="1">
      <w:start w:val="1"/>
      <w:numFmt w:val="decimal"/>
      <w:lvlText w:val="%4."/>
      <w:lvlJc w:val="left"/>
      <w:pPr>
        <w:ind w:left="2880" w:hanging="360"/>
      </w:pPr>
    </w:lvl>
    <w:lvl w:ilvl="4" w:tplc="300C0019" w:tentative="1">
      <w:start w:val="1"/>
      <w:numFmt w:val="lowerLetter"/>
      <w:lvlText w:val="%5."/>
      <w:lvlJc w:val="left"/>
      <w:pPr>
        <w:ind w:left="3600" w:hanging="360"/>
      </w:pPr>
    </w:lvl>
    <w:lvl w:ilvl="5" w:tplc="300C001B" w:tentative="1">
      <w:start w:val="1"/>
      <w:numFmt w:val="lowerRoman"/>
      <w:lvlText w:val="%6."/>
      <w:lvlJc w:val="right"/>
      <w:pPr>
        <w:ind w:left="4320" w:hanging="180"/>
      </w:pPr>
    </w:lvl>
    <w:lvl w:ilvl="6" w:tplc="300C000F" w:tentative="1">
      <w:start w:val="1"/>
      <w:numFmt w:val="decimal"/>
      <w:lvlText w:val="%7."/>
      <w:lvlJc w:val="left"/>
      <w:pPr>
        <w:ind w:left="5040" w:hanging="360"/>
      </w:pPr>
    </w:lvl>
    <w:lvl w:ilvl="7" w:tplc="300C0019" w:tentative="1">
      <w:start w:val="1"/>
      <w:numFmt w:val="lowerLetter"/>
      <w:lvlText w:val="%8."/>
      <w:lvlJc w:val="left"/>
      <w:pPr>
        <w:ind w:left="5760" w:hanging="360"/>
      </w:pPr>
    </w:lvl>
    <w:lvl w:ilvl="8" w:tplc="300C001B" w:tentative="1">
      <w:start w:val="1"/>
      <w:numFmt w:val="lowerRoman"/>
      <w:lvlText w:val="%9."/>
      <w:lvlJc w:val="right"/>
      <w:pPr>
        <w:ind w:left="6480" w:hanging="180"/>
      </w:pPr>
    </w:lvl>
  </w:abstractNum>
  <w:num w:numId="1" w16cid:durableId="1118917948">
    <w:abstractNumId w:val="4"/>
  </w:num>
  <w:num w:numId="2" w16cid:durableId="1133014408">
    <w:abstractNumId w:val="3"/>
  </w:num>
  <w:num w:numId="3" w16cid:durableId="1783106372">
    <w:abstractNumId w:val="1"/>
  </w:num>
  <w:num w:numId="4" w16cid:durableId="2016955550">
    <w:abstractNumId w:val="6"/>
  </w:num>
  <w:num w:numId="5" w16cid:durableId="1060590683">
    <w:abstractNumId w:val="2"/>
  </w:num>
  <w:num w:numId="6" w16cid:durableId="2090885570">
    <w:abstractNumId w:val="5"/>
  </w:num>
  <w:num w:numId="7" w16cid:durableId="1713920460">
    <w:abstractNumId w:val="7"/>
  </w:num>
  <w:num w:numId="8" w16cid:durableId="741178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633"/>
    <w:rsid w:val="00000B20"/>
    <w:rsid w:val="00000C79"/>
    <w:rsid w:val="0000478D"/>
    <w:rsid w:val="0001227B"/>
    <w:rsid w:val="00014192"/>
    <w:rsid w:val="00016490"/>
    <w:rsid w:val="00017CE0"/>
    <w:rsid w:val="000209EE"/>
    <w:rsid w:val="000238EC"/>
    <w:rsid w:val="00026F01"/>
    <w:rsid w:val="00030046"/>
    <w:rsid w:val="000322B3"/>
    <w:rsid w:val="0004606E"/>
    <w:rsid w:val="00046207"/>
    <w:rsid w:val="000462D4"/>
    <w:rsid w:val="00047183"/>
    <w:rsid w:val="00054FBC"/>
    <w:rsid w:val="000555C9"/>
    <w:rsid w:val="000579E0"/>
    <w:rsid w:val="00063214"/>
    <w:rsid w:val="00071500"/>
    <w:rsid w:val="00071B41"/>
    <w:rsid w:val="00080B89"/>
    <w:rsid w:val="00081D22"/>
    <w:rsid w:val="00084507"/>
    <w:rsid w:val="0008619B"/>
    <w:rsid w:val="00090C0E"/>
    <w:rsid w:val="000A32A4"/>
    <w:rsid w:val="000A74FC"/>
    <w:rsid w:val="000B0147"/>
    <w:rsid w:val="000B0764"/>
    <w:rsid w:val="000B0E62"/>
    <w:rsid w:val="000B2653"/>
    <w:rsid w:val="000B2FAE"/>
    <w:rsid w:val="000B39FD"/>
    <w:rsid w:val="000B3FDA"/>
    <w:rsid w:val="000B60D1"/>
    <w:rsid w:val="000B6EE4"/>
    <w:rsid w:val="000C32E9"/>
    <w:rsid w:val="000C4866"/>
    <w:rsid w:val="000C72DD"/>
    <w:rsid w:val="000D187D"/>
    <w:rsid w:val="000D233B"/>
    <w:rsid w:val="000D5D96"/>
    <w:rsid w:val="000E02C8"/>
    <w:rsid w:val="000E3FC2"/>
    <w:rsid w:val="000F3FCD"/>
    <w:rsid w:val="000F7004"/>
    <w:rsid w:val="00115D44"/>
    <w:rsid w:val="00122876"/>
    <w:rsid w:val="0012375F"/>
    <w:rsid w:val="00126B91"/>
    <w:rsid w:val="00126D69"/>
    <w:rsid w:val="00140BAE"/>
    <w:rsid w:val="00142B20"/>
    <w:rsid w:val="00150E3D"/>
    <w:rsid w:val="00154E4C"/>
    <w:rsid w:val="00156B28"/>
    <w:rsid w:val="00160756"/>
    <w:rsid w:val="00165940"/>
    <w:rsid w:val="00173E89"/>
    <w:rsid w:val="001811D6"/>
    <w:rsid w:val="00183EF4"/>
    <w:rsid w:val="0018435C"/>
    <w:rsid w:val="00190A97"/>
    <w:rsid w:val="00197F6D"/>
    <w:rsid w:val="001A02FC"/>
    <w:rsid w:val="001A3223"/>
    <w:rsid w:val="001A6864"/>
    <w:rsid w:val="001B06A7"/>
    <w:rsid w:val="001B18B2"/>
    <w:rsid w:val="001B4DAD"/>
    <w:rsid w:val="001C7DE9"/>
    <w:rsid w:val="001D1070"/>
    <w:rsid w:val="001D39CE"/>
    <w:rsid w:val="001D4F36"/>
    <w:rsid w:val="001E2E1F"/>
    <w:rsid w:val="001E3276"/>
    <w:rsid w:val="001E4BD2"/>
    <w:rsid w:val="001E5C00"/>
    <w:rsid w:val="001F09AE"/>
    <w:rsid w:val="001F1A17"/>
    <w:rsid w:val="001F2574"/>
    <w:rsid w:val="001F35FF"/>
    <w:rsid w:val="00200A7D"/>
    <w:rsid w:val="0020606D"/>
    <w:rsid w:val="0021063D"/>
    <w:rsid w:val="0021416E"/>
    <w:rsid w:val="00217072"/>
    <w:rsid w:val="00217445"/>
    <w:rsid w:val="00236AD6"/>
    <w:rsid w:val="00244BCB"/>
    <w:rsid w:val="002456B8"/>
    <w:rsid w:val="00245EE0"/>
    <w:rsid w:val="0024754D"/>
    <w:rsid w:val="00261467"/>
    <w:rsid w:val="00261A47"/>
    <w:rsid w:val="00261FFC"/>
    <w:rsid w:val="002720EC"/>
    <w:rsid w:val="00272CDD"/>
    <w:rsid w:val="0027527E"/>
    <w:rsid w:val="0027557C"/>
    <w:rsid w:val="00275EBD"/>
    <w:rsid w:val="0028014B"/>
    <w:rsid w:val="00280AB6"/>
    <w:rsid w:val="00281662"/>
    <w:rsid w:val="00287354"/>
    <w:rsid w:val="00287778"/>
    <w:rsid w:val="00290A60"/>
    <w:rsid w:val="002972E1"/>
    <w:rsid w:val="002A15A7"/>
    <w:rsid w:val="002A272F"/>
    <w:rsid w:val="002A6FE7"/>
    <w:rsid w:val="002C222C"/>
    <w:rsid w:val="002C2ED8"/>
    <w:rsid w:val="002C4147"/>
    <w:rsid w:val="002D01C7"/>
    <w:rsid w:val="002D4A18"/>
    <w:rsid w:val="002E132B"/>
    <w:rsid w:val="002E212F"/>
    <w:rsid w:val="002E3731"/>
    <w:rsid w:val="002E5650"/>
    <w:rsid w:val="002E639B"/>
    <w:rsid w:val="002F0FD6"/>
    <w:rsid w:val="00304950"/>
    <w:rsid w:val="003068B4"/>
    <w:rsid w:val="003072C0"/>
    <w:rsid w:val="00307DA6"/>
    <w:rsid w:val="003113C9"/>
    <w:rsid w:val="003139B2"/>
    <w:rsid w:val="00313FB6"/>
    <w:rsid w:val="003146BB"/>
    <w:rsid w:val="00314D0E"/>
    <w:rsid w:val="0031528C"/>
    <w:rsid w:val="0031586B"/>
    <w:rsid w:val="00322305"/>
    <w:rsid w:val="003312C9"/>
    <w:rsid w:val="00334ED8"/>
    <w:rsid w:val="00335EF2"/>
    <w:rsid w:val="00337321"/>
    <w:rsid w:val="003457E1"/>
    <w:rsid w:val="003457E9"/>
    <w:rsid w:val="003502D7"/>
    <w:rsid w:val="00350CD9"/>
    <w:rsid w:val="00351703"/>
    <w:rsid w:val="00357EF0"/>
    <w:rsid w:val="00363A1B"/>
    <w:rsid w:val="00370456"/>
    <w:rsid w:val="00371279"/>
    <w:rsid w:val="00376527"/>
    <w:rsid w:val="00382C80"/>
    <w:rsid w:val="003852FC"/>
    <w:rsid w:val="003919E2"/>
    <w:rsid w:val="003A3E61"/>
    <w:rsid w:val="003A5048"/>
    <w:rsid w:val="003A6A22"/>
    <w:rsid w:val="003B1BBB"/>
    <w:rsid w:val="003B55DB"/>
    <w:rsid w:val="003C2ACA"/>
    <w:rsid w:val="003C2BCE"/>
    <w:rsid w:val="003C2E10"/>
    <w:rsid w:val="003C3E90"/>
    <w:rsid w:val="003C4E37"/>
    <w:rsid w:val="003D006A"/>
    <w:rsid w:val="003D7D82"/>
    <w:rsid w:val="003E4BC8"/>
    <w:rsid w:val="003E7DDE"/>
    <w:rsid w:val="003F1A8D"/>
    <w:rsid w:val="003F3050"/>
    <w:rsid w:val="003F4865"/>
    <w:rsid w:val="00402FCB"/>
    <w:rsid w:val="00403D07"/>
    <w:rsid w:val="00406960"/>
    <w:rsid w:val="00407A08"/>
    <w:rsid w:val="00407CAF"/>
    <w:rsid w:val="004134D7"/>
    <w:rsid w:val="00413B53"/>
    <w:rsid w:val="00414665"/>
    <w:rsid w:val="0041562B"/>
    <w:rsid w:val="00430BE9"/>
    <w:rsid w:val="00436367"/>
    <w:rsid w:val="00442441"/>
    <w:rsid w:val="0045373E"/>
    <w:rsid w:val="00457797"/>
    <w:rsid w:val="00457DB3"/>
    <w:rsid w:val="00463B4E"/>
    <w:rsid w:val="00465C7E"/>
    <w:rsid w:val="004666AD"/>
    <w:rsid w:val="00473B78"/>
    <w:rsid w:val="00475B8A"/>
    <w:rsid w:val="00481FFF"/>
    <w:rsid w:val="00484BA0"/>
    <w:rsid w:val="00485FCE"/>
    <w:rsid w:val="00487B65"/>
    <w:rsid w:val="00493AFA"/>
    <w:rsid w:val="004941D6"/>
    <w:rsid w:val="004954F2"/>
    <w:rsid w:val="004A3282"/>
    <w:rsid w:val="004A39DC"/>
    <w:rsid w:val="004B5FA9"/>
    <w:rsid w:val="004B63CB"/>
    <w:rsid w:val="004D0CA5"/>
    <w:rsid w:val="004D272D"/>
    <w:rsid w:val="004D39D5"/>
    <w:rsid w:val="004D4751"/>
    <w:rsid w:val="004D4FD8"/>
    <w:rsid w:val="004D6067"/>
    <w:rsid w:val="004D6A86"/>
    <w:rsid w:val="004E3BC6"/>
    <w:rsid w:val="004E4BC1"/>
    <w:rsid w:val="004F10C7"/>
    <w:rsid w:val="004F1804"/>
    <w:rsid w:val="004F4F36"/>
    <w:rsid w:val="0050254F"/>
    <w:rsid w:val="0050269F"/>
    <w:rsid w:val="005026BE"/>
    <w:rsid w:val="005040F2"/>
    <w:rsid w:val="00505D28"/>
    <w:rsid w:val="00506678"/>
    <w:rsid w:val="00516491"/>
    <w:rsid w:val="00523622"/>
    <w:rsid w:val="005245EE"/>
    <w:rsid w:val="00526467"/>
    <w:rsid w:val="00536128"/>
    <w:rsid w:val="0055234C"/>
    <w:rsid w:val="005547A4"/>
    <w:rsid w:val="005612D4"/>
    <w:rsid w:val="00564589"/>
    <w:rsid w:val="00572E04"/>
    <w:rsid w:val="0057414B"/>
    <w:rsid w:val="005840FD"/>
    <w:rsid w:val="00584A35"/>
    <w:rsid w:val="00595437"/>
    <w:rsid w:val="005954C4"/>
    <w:rsid w:val="00597C01"/>
    <w:rsid w:val="005A35F5"/>
    <w:rsid w:val="005A6368"/>
    <w:rsid w:val="005A72D4"/>
    <w:rsid w:val="005B09B9"/>
    <w:rsid w:val="005B1043"/>
    <w:rsid w:val="005B6A28"/>
    <w:rsid w:val="005C64A3"/>
    <w:rsid w:val="005D1036"/>
    <w:rsid w:val="005D4FF0"/>
    <w:rsid w:val="005D7A0E"/>
    <w:rsid w:val="005E107F"/>
    <w:rsid w:val="005E4F4A"/>
    <w:rsid w:val="005E587F"/>
    <w:rsid w:val="005E59DD"/>
    <w:rsid w:val="005E6736"/>
    <w:rsid w:val="005E6E1A"/>
    <w:rsid w:val="005E71D1"/>
    <w:rsid w:val="005F1D46"/>
    <w:rsid w:val="005F7FC9"/>
    <w:rsid w:val="00606548"/>
    <w:rsid w:val="00607021"/>
    <w:rsid w:val="006070F0"/>
    <w:rsid w:val="006345C0"/>
    <w:rsid w:val="00634688"/>
    <w:rsid w:val="00634FCD"/>
    <w:rsid w:val="00636439"/>
    <w:rsid w:val="00641D30"/>
    <w:rsid w:val="00644EA1"/>
    <w:rsid w:val="00645EEC"/>
    <w:rsid w:val="00646ADD"/>
    <w:rsid w:val="00651A96"/>
    <w:rsid w:val="0065310C"/>
    <w:rsid w:val="006541D3"/>
    <w:rsid w:val="00661148"/>
    <w:rsid w:val="006627A0"/>
    <w:rsid w:val="00664450"/>
    <w:rsid w:val="00664CBE"/>
    <w:rsid w:val="00670267"/>
    <w:rsid w:val="0067446D"/>
    <w:rsid w:val="00676D4C"/>
    <w:rsid w:val="00680F22"/>
    <w:rsid w:val="00682EE9"/>
    <w:rsid w:val="00683838"/>
    <w:rsid w:val="00687209"/>
    <w:rsid w:val="006904FB"/>
    <w:rsid w:val="00696D62"/>
    <w:rsid w:val="006A169D"/>
    <w:rsid w:val="006A3E11"/>
    <w:rsid w:val="006A43D5"/>
    <w:rsid w:val="006B1068"/>
    <w:rsid w:val="006B2145"/>
    <w:rsid w:val="006B6889"/>
    <w:rsid w:val="006C3446"/>
    <w:rsid w:val="006C46FA"/>
    <w:rsid w:val="006D1475"/>
    <w:rsid w:val="006D3712"/>
    <w:rsid w:val="006D5174"/>
    <w:rsid w:val="006D749D"/>
    <w:rsid w:val="006E06C1"/>
    <w:rsid w:val="006E1EB6"/>
    <w:rsid w:val="006E4359"/>
    <w:rsid w:val="006F0685"/>
    <w:rsid w:val="006F48CA"/>
    <w:rsid w:val="0070387F"/>
    <w:rsid w:val="00711C0F"/>
    <w:rsid w:val="00712875"/>
    <w:rsid w:val="00716232"/>
    <w:rsid w:val="007224CA"/>
    <w:rsid w:val="00724436"/>
    <w:rsid w:val="00724CE8"/>
    <w:rsid w:val="0072509C"/>
    <w:rsid w:val="007251B9"/>
    <w:rsid w:val="007301E2"/>
    <w:rsid w:val="007322D1"/>
    <w:rsid w:val="007322DB"/>
    <w:rsid w:val="00733E02"/>
    <w:rsid w:val="00736784"/>
    <w:rsid w:val="00736CC1"/>
    <w:rsid w:val="0074010A"/>
    <w:rsid w:val="007409C1"/>
    <w:rsid w:val="00742144"/>
    <w:rsid w:val="00744C2C"/>
    <w:rsid w:val="007456A9"/>
    <w:rsid w:val="00746F87"/>
    <w:rsid w:val="00746F9B"/>
    <w:rsid w:val="00754FEB"/>
    <w:rsid w:val="00762B1F"/>
    <w:rsid w:val="00766CDC"/>
    <w:rsid w:val="00766DF6"/>
    <w:rsid w:val="00767908"/>
    <w:rsid w:val="00770F13"/>
    <w:rsid w:val="00771FBD"/>
    <w:rsid w:val="00774B68"/>
    <w:rsid w:val="00775BF5"/>
    <w:rsid w:val="00776A13"/>
    <w:rsid w:val="007776BE"/>
    <w:rsid w:val="00780492"/>
    <w:rsid w:val="0078284A"/>
    <w:rsid w:val="0078440D"/>
    <w:rsid w:val="00785005"/>
    <w:rsid w:val="0078675F"/>
    <w:rsid w:val="007871B3"/>
    <w:rsid w:val="007905BA"/>
    <w:rsid w:val="00791FD7"/>
    <w:rsid w:val="0079433D"/>
    <w:rsid w:val="007971A9"/>
    <w:rsid w:val="007A141F"/>
    <w:rsid w:val="007A2AC3"/>
    <w:rsid w:val="007C064C"/>
    <w:rsid w:val="007C1386"/>
    <w:rsid w:val="007C3F71"/>
    <w:rsid w:val="007C5FFE"/>
    <w:rsid w:val="007D0FF7"/>
    <w:rsid w:val="007D1D93"/>
    <w:rsid w:val="007E36D6"/>
    <w:rsid w:val="007E3C79"/>
    <w:rsid w:val="007F12CF"/>
    <w:rsid w:val="007F292B"/>
    <w:rsid w:val="007F2C86"/>
    <w:rsid w:val="007F2E05"/>
    <w:rsid w:val="007F5D7A"/>
    <w:rsid w:val="007F693D"/>
    <w:rsid w:val="007F756E"/>
    <w:rsid w:val="007F7F36"/>
    <w:rsid w:val="0080274A"/>
    <w:rsid w:val="00802E87"/>
    <w:rsid w:val="00814398"/>
    <w:rsid w:val="00817EDA"/>
    <w:rsid w:val="00822317"/>
    <w:rsid w:val="008241CB"/>
    <w:rsid w:val="00832A5D"/>
    <w:rsid w:val="00832DE6"/>
    <w:rsid w:val="008349F3"/>
    <w:rsid w:val="00843E90"/>
    <w:rsid w:val="00850C52"/>
    <w:rsid w:val="00851EDA"/>
    <w:rsid w:val="0085540B"/>
    <w:rsid w:val="008612EA"/>
    <w:rsid w:val="0086312A"/>
    <w:rsid w:val="00863406"/>
    <w:rsid w:val="00864457"/>
    <w:rsid w:val="0086756D"/>
    <w:rsid w:val="00867C8A"/>
    <w:rsid w:val="00874052"/>
    <w:rsid w:val="00874D2D"/>
    <w:rsid w:val="00877124"/>
    <w:rsid w:val="00877D55"/>
    <w:rsid w:val="0088080D"/>
    <w:rsid w:val="00881BE4"/>
    <w:rsid w:val="00882FB7"/>
    <w:rsid w:val="008833C6"/>
    <w:rsid w:val="00893734"/>
    <w:rsid w:val="00893EA5"/>
    <w:rsid w:val="008A2D2C"/>
    <w:rsid w:val="008A5839"/>
    <w:rsid w:val="008A5CF7"/>
    <w:rsid w:val="008B0A17"/>
    <w:rsid w:val="008B584B"/>
    <w:rsid w:val="008B67E5"/>
    <w:rsid w:val="008C0EB7"/>
    <w:rsid w:val="008C1B62"/>
    <w:rsid w:val="008C4EC5"/>
    <w:rsid w:val="008D430E"/>
    <w:rsid w:val="008E1082"/>
    <w:rsid w:val="008E23C8"/>
    <w:rsid w:val="008E53A5"/>
    <w:rsid w:val="008F22A9"/>
    <w:rsid w:val="008F6072"/>
    <w:rsid w:val="008F77D3"/>
    <w:rsid w:val="008F7ACD"/>
    <w:rsid w:val="00900516"/>
    <w:rsid w:val="00900CAD"/>
    <w:rsid w:val="00902ECE"/>
    <w:rsid w:val="00903AC1"/>
    <w:rsid w:val="00907137"/>
    <w:rsid w:val="00911104"/>
    <w:rsid w:val="0091186C"/>
    <w:rsid w:val="009120EC"/>
    <w:rsid w:val="00915465"/>
    <w:rsid w:val="009179FD"/>
    <w:rsid w:val="009224AF"/>
    <w:rsid w:val="00923F97"/>
    <w:rsid w:val="00925C34"/>
    <w:rsid w:val="00927966"/>
    <w:rsid w:val="00932757"/>
    <w:rsid w:val="009353BA"/>
    <w:rsid w:val="00937B24"/>
    <w:rsid w:val="009551F3"/>
    <w:rsid w:val="009608EC"/>
    <w:rsid w:val="009615E1"/>
    <w:rsid w:val="00967A46"/>
    <w:rsid w:val="00970E7E"/>
    <w:rsid w:val="00973631"/>
    <w:rsid w:val="009737FC"/>
    <w:rsid w:val="009777AA"/>
    <w:rsid w:val="00980BEF"/>
    <w:rsid w:val="00982409"/>
    <w:rsid w:val="009846F0"/>
    <w:rsid w:val="009863FE"/>
    <w:rsid w:val="00986F96"/>
    <w:rsid w:val="0098794E"/>
    <w:rsid w:val="0099085D"/>
    <w:rsid w:val="00992172"/>
    <w:rsid w:val="00992D13"/>
    <w:rsid w:val="009A6E86"/>
    <w:rsid w:val="009B2A7A"/>
    <w:rsid w:val="009C02B7"/>
    <w:rsid w:val="009C0DCD"/>
    <w:rsid w:val="009C4D4C"/>
    <w:rsid w:val="009C6C74"/>
    <w:rsid w:val="009D006D"/>
    <w:rsid w:val="009D04FF"/>
    <w:rsid w:val="009D3397"/>
    <w:rsid w:val="009D3A2B"/>
    <w:rsid w:val="009E043C"/>
    <w:rsid w:val="009E3A8F"/>
    <w:rsid w:val="009E5574"/>
    <w:rsid w:val="009F2973"/>
    <w:rsid w:val="009F46E1"/>
    <w:rsid w:val="009F562D"/>
    <w:rsid w:val="009F667A"/>
    <w:rsid w:val="00A003B5"/>
    <w:rsid w:val="00A03C8D"/>
    <w:rsid w:val="00A04612"/>
    <w:rsid w:val="00A049E2"/>
    <w:rsid w:val="00A10BB0"/>
    <w:rsid w:val="00A146C9"/>
    <w:rsid w:val="00A16D2E"/>
    <w:rsid w:val="00A27B1E"/>
    <w:rsid w:val="00A3550E"/>
    <w:rsid w:val="00A3636A"/>
    <w:rsid w:val="00A36E35"/>
    <w:rsid w:val="00A40EE0"/>
    <w:rsid w:val="00A41EBB"/>
    <w:rsid w:val="00A44229"/>
    <w:rsid w:val="00A505BB"/>
    <w:rsid w:val="00A55C26"/>
    <w:rsid w:val="00A64656"/>
    <w:rsid w:val="00A7147D"/>
    <w:rsid w:val="00A76132"/>
    <w:rsid w:val="00A8330B"/>
    <w:rsid w:val="00A978CC"/>
    <w:rsid w:val="00A97D1E"/>
    <w:rsid w:val="00AA2421"/>
    <w:rsid w:val="00AA798B"/>
    <w:rsid w:val="00AB1D6A"/>
    <w:rsid w:val="00AC11D1"/>
    <w:rsid w:val="00AC6B59"/>
    <w:rsid w:val="00AD1779"/>
    <w:rsid w:val="00AE31C4"/>
    <w:rsid w:val="00AE5247"/>
    <w:rsid w:val="00AE6E83"/>
    <w:rsid w:val="00AF3380"/>
    <w:rsid w:val="00AF7B20"/>
    <w:rsid w:val="00B120C8"/>
    <w:rsid w:val="00B13AD2"/>
    <w:rsid w:val="00B146B4"/>
    <w:rsid w:val="00B14D91"/>
    <w:rsid w:val="00B15A82"/>
    <w:rsid w:val="00B21D04"/>
    <w:rsid w:val="00B249FC"/>
    <w:rsid w:val="00B31535"/>
    <w:rsid w:val="00B345DB"/>
    <w:rsid w:val="00B36911"/>
    <w:rsid w:val="00B4209F"/>
    <w:rsid w:val="00B45582"/>
    <w:rsid w:val="00B53F55"/>
    <w:rsid w:val="00B543F5"/>
    <w:rsid w:val="00B57168"/>
    <w:rsid w:val="00B62ADF"/>
    <w:rsid w:val="00B62B4C"/>
    <w:rsid w:val="00B63C54"/>
    <w:rsid w:val="00B66257"/>
    <w:rsid w:val="00B7478B"/>
    <w:rsid w:val="00B76A25"/>
    <w:rsid w:val="00B76A38"/>
    <w:rsid w:val="00B80C47"/>
    <w:rsid w:val="00B86111"/>
    <w:rsid w:val="00B92A88"/>
    <w:rsid w:val="00B946DF"/>
    <w:rsid w:val="00BA3481"/>
    <w:rsid w:val="00BA588E"/>
    <w:rsid w:val="00BA6BFC"/>
    <w:rsid w:val="00BA7E59"/>
    <w:rsid w:val="00BB081D"/>
    <w:rsid w:val="00BB3339"/>
    <w:rsid w:val="00BB397F"/>
    <w:rsid w:val="00BB618C"/>
    <w:rsid w:val="00BB71C5"/>
    <w:rsid w:val="00BB7F6C"/>
    <w:rsid w:val="00BC0536"/>
    <w:rsid w:val="00BC691F"/>
    <w:rsid w:val="00BC7266"/>
    <w:rsid w:val="00BC7AAF"/>
    <w:rsid w:val="00BD04E0"/>
    <w:rsid w:val="00BD05D3"/>
    <w:rsid w:val="00BD2E56"/>
    <w:rsid w:val="00BD43F6"/>
    <w:rsid w:val="00BD6991"/>
    <w:rsid w:val="00BE7A59"/>
    <w:rsid w:val="00BF580E"/>
    <w:rsid w:val="00C02724"/>
    <w:rsid w:val="00C17D05"/>
    <w:rsid w:val="00C218EC"/>
    <w:rsid w:val="00C221E2"/>
    <w:rsid w:val="00C26075"/>
    <w:rsid w:val="00C30394"/>
    <w:rsid w:val="00C3150B"/>
    <w:rsid w:val="00C31F99"/>
    <w:rsid w:val="00C35647"/>
    <w:rsid w:val="00C41F26"/>
    <w:rsid w:val="00C45923"/>
    <w:rsid w:val="00C53988"/>
    <w:rsid w:val="00C559A0"/>
    <w:rsid w:val="00C63D5B"/>
    <w:rsid w:val="00C80CC7"/>
    <w:rsid w:val="00C81C90"/>
    <w:rsid w:val="00C92C8A"/>
    <w:rsid w:val="00C96514"/>
    <w:rsid w:val="00CA513F"/>
    <w:rsid w:val="00CA5978"/>
    <w:rsid w:val="00CB0D8C"/>
    <w:rsid w:val="00CB1AE1"/>
    <w:rsid w:val="00CB6A6D"/>
    <w:rsid w:val="00CC0364"/>
    <w:rsid w:val="00CC0B85"/>
    <w:rsid w:val="00CC21DB"/>
    <w:rsid w:val="00CC4E34"/>
    <w:rsid w:val="00CC58DB"/>
    <w:rsid w:val="00CC59FB"/>
    <w:rsid w:val="00CD4742"/>
    <w:rsid w:val="00CD5290"/>
    <w:rsid w:val="00CD5DB1"/>
    <w:rsid w:val="00CD5EC3"/>
    <w:rsid w:val="00CE0D2C"/>
    <w:rsid w:val="00CE2888"/>
    <w:rsid w:val="00CE4095"/>
    <w:rsid w:val="00CE7AA2"/>
    <w:rsid w:val="00CF0F08"/>
    <w:rsid w:val="00CF2DAF"/>
    <w:rsid w:val="00CF36EA"/>
    <w:rsid w:val="00CF3C91"/>
    <w:rsid w:val="00CF5199"/>
    <w:rsid w:val="00D02BF5"/>
    <w:rsid w:val="00D1112F"/>
    <w:rsid w:val="00D205C8"/>
    <w:rsid w:val="00D235EA"/>
    <w:rsid w:val="00D23AFA"/>
    <w:rsid w:val="00D24076"/>
    <w:rsid w:val="00D3075F"/>
    <w:rsid w:val="00D30EAE"/>
    <w:rsid w:val="00D3231D"/>
    <w:rsid w:val="00D37CBF"/>
    <w:rsid w:val="00D40859"/>
    <w:rsid w:val="00D42ED0"/>
    <w:rsid w:val="00D50752"/>
    <w:rsid w:val="00D5078A"/>
    <w:rsid w:val="00D5367F"/>
    <w:rsid w:val="00D62A2C"/>
    <w:rsid w:val="00D63000"/>
    <w:rsid w:val="00D6471E"/>
    <w:rsid w:val="00D702E0"/>
    <w:rsid w:val="00D726BB"/>
    <w:rsid w:val="00D74D25"/>
    <w:rsid w:val="00D7501A"/>
    <w:rsid w:val="00D77667"/>
    <w:rsid w:val="00D81555"/>
    <w:rsid w:val="00D901B9"/>
    <w:rsid w:val="00D95C64"/>
    <w:rsid w:val="00D97575"/>
    <w:rsid w:val="00DA20F8"/>
    <w:rsid w:val="00DA6476"/>
    <w:rsid w:val="00DA74E4"/>
    <w:rsid w:val="00DB02FB"/>
    <w:rsid w:val="00DB0BCD"/>
    <w:rsid w:val="00DB4B42"/>
    <w:rsid w:val="00DB6618"/>
    <w:rsid w:val="00DC6751"/>
    <w:rsid w:val="00DD0F1D"/>
    <w:rsid w:val="00DD4E64"/>
    <w:rsid w:val="00DE6249"/>
    <w:rsid w:val="00DF1B92"/>
    <w:rsid w:val="00DF3C0D"/>
    <w:rsid w:val="00DF3F31"/>
    <w:rsid w:val="00DF584E"/>
    <w:rsid w:val="00DF791F"/>
    <w:rsid w:val="00E00CF3"/>
    <w:rsid w:val="00E01A3C"/>
    <w:rsid w:val="00E020C5"/>
    <w:rsid w:val="00E02926"/>
    <w:rsid w:val="00E0607E"/>
    <w:rsid w:val="00E16940"/>
    <w:rsid w:val="00E25A03"/>
    <w:rsid w:val="00E312E1"/>
    <w:rsid w:val="00E4144E"/>
    <w:rsid w:val="00E43B18"/>
    <w:rsid w:val="00E44298"/>
    <w:rsid w:val="00E543FD"/>
    <w:rsid w:val="00E604C1"/>
    <w:rsid w:val="00E61993"/>
    <w:rsid w:val="00E675B9"/>
    <w:rsid w:val="00E73F55"/>
    <w:rsid w:val="00E75406"/>
    <w:rsid w:val="00E762B6"/>
    <w:rsid w:val="00E87F68"/>
    <w:rsid w:val="00E913ED"/>
    <w:rsid w:val="00E97324"/>
    <w:rsid w:val="00EA36BD"/>
    <w:rsid w:val="00EB146A"/>
    <w:rsid w:val="00EB1C9A"/>
    <w:rsid w:val="00EB200B"/>
    <w:rsid w:val="00EB2733"/>
    <w:rsid w:val="00EB2E05"/>
    <w:rsid w:val="00EC00AA"/>
    <w:rsid w:val="00EC4B94"/>
    <w:rsid w:val="00ED4F3A"/>
    <w:rsid w:val="00EE5A6F"/>
    <w:rsid w:val="00EF0D0B"/>
    <w:rsid w:val="00EF2CDD"/>
    <w:rsid w:val="00EF4FA5"/>
    <w:rsid w:val="00EF7CE4"/>
    <w:rsid w:val="00F017C9"/>
    <w:rsid w:val="00F05C04"/>
    <w:rsid w:val="00F05E22"/>
    <w:rsid w:val="00F06633"/>
    <w:rsid w:val="00F10C4C"/>
    <w:rsid w:val="00F22C65"/>
    <w:rsid w:val="00F243FB"/>
    <w:rsid w:val="00F26519"/>
    <w:rsid w:val="00F27CC9"/>
    <w:rsid w:val="00F30966"/>
    <w:rsid w:val="00F30C7A"/>
    <w:rsid w:val="00F400EB"/>
    <w:rsid w:val="00F4256B"/>
    <w:rsid w:val="00F42E5D"/>
    <w:rsid w:val="00F43FDD"/>
    <w:rsid w:val="00F46060"/>
    <w:rsid w:val="00F5112C"/>
    <w:rsid w:val="00F5322F"/>
    <w:rsid w:val="00F537F6"/>
    <w:rsid w:val="00F55649"/>
    <w:rsid w:val="00F57B7F"/>
    <w:rsid w:val="00F665F2"/>
    <w:rsid w:val="00F6798C"/>
    <w:rsid w:val="00F72958"/>
    <w:rsid w:val="00F7368D"/>
    <w:rsid w:val="00F802F4"/>
    <w:rsid w:val="00F853AF"/>
    <w:rsid w:val="00F85607"/>
    <w:rsid w:val="00F86DDC"/>
    <w:rsid w:val="00F9334A"/>
    <w:rsid w:val="00FA2840"/>
    <w:rsid w:val="00FA599C"/>
    <w:rsid w:val="00FA6150"/>
    <w:rsid w:val="00FB4BF4"/>
    <w:rsid w:val="00FB6670"/>
    <w:rsid w:val="00FC3514"/>
    <w:rsid w:val="00FC54AE"/>
    <w:rsid w:val="00FC5674"/>
    <w:rsid w:val="00FC639B"/>
    <w:rsid w:val="00FD5493"/>
    <w:rsid w:val="00FE1E5B"/>
    <w:rsid w:val="00FE4DEC"/>
    <w:rsid w:val="00FE6E3C"/>
    <w:rsid w:val="00FE6F0F"/>
    <w:rsid w:val="00FE71E8"/>
    <w:rsid w:val="00FF2E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173D1A"/>
  <w15:chartTrackingRefBased/>
  <w15:docId w15:val="{28EB06D5-3DC4-4E34-A845-33BD5336B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535"/>
  </w:style>
  <w:style w:type="paragraph" w:styleId="Titre2">
    <w:name w:val="heading 2"/>
    <w:basedOn w:val="Normal"/>
    <w:next w:val="Normal"/>
    <w:link w:val="Titre2Car"/>
    <w:qFormat/>
    <w:rsid w:val="007D0FF7"/>
    <w:pPr>
      <w:keepNext/>
      <w:spacing w:after="0" w:line="240" w:lineRule="auto"/>
      <w:jc w:val="both"/>
      <w:outlineLvl w:val="1"/>
    </w:pPr>
    <w:rPr>
      <w:rFonts w:ascii="Helvetica" w:eastAsia="MS Mincho" w:hAnsi="Helvetica" w:cs="Helvetica"/>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06633"/>
    <w:pPr>
      <w:ind w:left="720"/>
      <w:contextualSpacing/>
    </w:pPr>
  </w:style>
  <w:style w:type="character" w:styleId="Lienhypertexte">
    <w:name w:val="Hyperlink"/>
    <w:basedOn w:val="Policepardfaut"/>
    <w:uiPriority w:val="99"/>
    <w:unhideWhenUsed/>
    <w:rsid w:val="008E53A5"/>
    <w:rPr>
      <w:color w:val="0563C1" w:themeColor="hyperlink"/>
      <w:u w:val="single"/>
    </w:rPr>
  </w:style>
  <w:style w:type="paragraph" w:customStyle="1" w:styleId="Default">
    <w:name w:val="Default"/>
    <w:rsid w:val="00E16940"/>
    <w:pPr>
      <w:autoSpaceDE w:val="0"/>
      <w:autoSpaceDN w:val="0"/>
      <w:adjustRightInd w:val="0"/>
      <w:spacing w:after="0" w:line="240" w:lineRule="auto"/>
    </w:pPr>
    <w:rPr>
      <w:rFonts w:ascii="Times New Roman" w:hAnsi="Times New Roman" w:cs="Times New Roman"/>
      <w:color w:val="000000"/>
      <w:sz w:val="24"/>
      <w:szCs w:val="24"/>
    </w:rPr>
  </w:style>
  <w:style w:type="table" w:styleId="Grilledutableau">
    <w:name w:val="Table Grid"/>
    <w:basedOn w:val="TableauNormal"/>
    <w:uiPriority w:val="39"/>
    <w:rsid w:val="00197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900516"/>
    <w:rPr>
      <w:color w:val="605E5C"/>
      <w:shd w:val="clear" w:color="auto" w:fill="E1DFDD"/>
    </w:rPr>
  </w:style>
  <w:style w:type="table" w:styleId="TableauGrille5Fonc-Accentuation5">
    <w:name w:val="Grid Table 5 Dark Accent 5"/>
    <w:basedOn w:val="TableauNormal"/>
    <w:uiPriority w:val="50"/>
    <w:rsid w:val="00F10C4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leauGrille4-Accentuation5">
    <w:name w:val="Grid Table 4 Accent 5"/>
    <w:basedOn w:val="TableauNormal"/>
    <w:uiPriority w:val="49"/>
    <w:rsid w:val="00F243FB"/>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ibliographie">
    <w:name w:val="Bibliography"/>
    <w:basedOn w:val="Normal"/>
    <w:next w:val="Normal"/>
    <w:uiPriority w:val="37"/>
    <w:unhideWhenUsed/>
    <w:rsid w:val="00907137"/>
    <w:pPr>
      <w:spacing w:after="0" w:line="480" w:lineRule="auto"/>
      <w:ind w:left="720" w:hanging="720"/>
    </w:pPr>
  </w:style>
  <w:style w:type="paragraph" w:styleId="Rvision">
    <w:name w:val="Revision"/>
    <w:hidden/>
    <w:uiPriority w:val="99"/>
    <w:semiHidden/>
    <w:rsid w:val="00BD04E0"/>
    <w:pPr>
      <w:spacing w:after="0" w:line="240" w:lineRule="auto"/>
    </w:pPr>
  </w:style>
  <w:style w:type="paragraph" w:styleId="NormalWeb">
    <w:name w:val="Normal (Web)"/>
    <w:basedOn w:val="Normal"/>
    <w:uiPriority w:val="99"/>
    <w:semiHidden/>
    <w:unhideWhenUsed/>
    <w:rsid w:val="007F5D7A"/>
    <w:pPr>
      <w:spacing w:before="100" w:beforeAutospacing="1" w:after="100" w:afterAutospacing="1" w:line="240" w:lineRule="auto"/>
    </w:pPr>
    <w:rPr>
      <w:rFonts w:ascii="Times New Roman" w:eastAsia="Times New Roman" w:hAnsi="Times New Roman" w:cs="Times New Roman"/>
      <w:sz w:val="24"/>
      <w:szCs w:val="24"/>
      <w:lang w:val="fr-CI" w:eastAsia="fr-CI"/>
    </w:rPr>
  </w:style>
  <w:style w:type="table" w:styleId="Tableausimple2">
    <w:name w:val="Plain Table 2"/>
    <w:basedOn w:val="TableauNormal"/>
    <w:uiPriority w:val="42"/>
    <w:rsid w:val="005236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En-tte">
    <w:name w:val="header"/>
    <w:basedOn w:val="Normal"/>
    <w:link w:val="En-tteCar"/>
    <w:uiPriority w:val="99"/>
    <w:unhideWhenUsed/>
    <w:rsid w:val="00AC11D1"/>
    <w:pPr>
      <w:tabs>
        <w:tab w:val="center" w:pos="4536"/>
        <w:tab w:val="right" w:pos="9072"/>
      </w:tabs>
      <w:spacing w:after="0" w:line="240" w:lineRule="auto"/>
    </w:pPr>
  </w:style>
  <w:style w:type="character" w:customStyle="1" w:styleId="En-tteCar">
    <w:name w:val="En-tête Car"/>
    <w:basedOn w:val="Policepardfaut"/>
    <w:link w:val="En-tte"/>
    <w:uiPriority w:val="99"/>
    <w:rsid w:val="00AC11D1"/>
  </w:style>
  <w:style w:type="paragraph" w:styleId="Pieddepage">
    <w:name w:val="footer"/>
    <w:basedOn w:val="Normal"/>
    <w:link w:val="PieddepageCar"/>
    <w:uiPriority w:val="99"/>
    <w:unhideWhenUsed/>
    <w:rsid w:val="00AC11D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C11D1"/>
  </w:style>
  <w:style w:type="table" w:styleId="Tableausimple4">
    <w:name w:val="Plain Table 4"/>
    <w:basedOn w:val="TableauNormal"/>
    <w:uiPriority w:val="44"/>
    <w:rsid w:val="003F1A8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Textedelespacerserv">
    <w:name w:val="Placeholder Text"/>
    <w:basedOn w:val="Policepardfaut"/>
    <w:uiPriority w:val="99"/>
    <w:semiHidden/>
    <w:rsid w:val="001E4BD2"/>
    <w:rPr>
      <w:color w:val="666666"/>
    </w:rPr>
  </w:style>
  <w:style w:type="character" w:styleId="Numrodeligne">
    <w:name w:val="line number"/>
    <w:basedOn w:val="Policepardfaut"/>
    <w:uiPriority w:val="99"/>
    <w:semiHidden/>
    <w:unhideWhenUsed/>
    <w:rsid w:val="001E4BD2"/>
  </w:style>
  <w:style w:type="character" w:customStyle="1" w:styleId="Titre2Car">
    <w:name w:val="Titre 2 Car"/>
    <w:basedOn w:val="Policepardfaut"/>
    <w:link w:val="Titre2"/>
    <w:rsid w:val="007D0FF7"/>
    <w:rPr>
      <w:rFonts w:ascii="Helvetica" w:eastAsia="MS Mincho" w:hAnsi="Helvetica" w:cs="Helvetic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616621">
      <w:bodyDiv w:val="1"/>
      <w:marLeft w:val="0"/>
      <w:marRight w:val="0"/>
      <w:marTop w:val="0"/>
      <w:marBottom w:val="0"/>
      <w:divBdr>
        <w:top w:val="none" w:sz="0" w:space="0" w:color="auto"/>
        <w:left w:val="none" w:sz="0" w:space="0" w:color="auto"/>
        <w:bottom w:val="none" w:sz="0" w:space="0" w:color="auto"/>
        <w:right w:val="none" w:sz="0" w:space="0" w:color="auto"/>
      </w:divBdr>
    </w:div>
    <w:div w:id="396249644">
      <w:bodyDiv w:val="1"/>
      <w:marLeft w:val="0"/>
      <w:marRight w:val="0"/>
      <w:marTop w:val="0"/>
      <w:marBottom w:val="0"/>
      <w:divBdr>
        <w:top w:val="none" w:sz="0" w:space="0" w:color="auto"/>
        <w:left w:val="none" w:sz="0" w:space="0" w:color="auto"/>
        <w:bottom w:val="none" w:sz="0" w:space="0" w:color="auto"/>
        <w:right w:val="none" w:sz="0" w:space="0" w:color="auto"/>
      </w:divBdr>
    </w:div>
    <w:div w:id="712970889">
      <w:bodyDiv w:val="1"/>
      <w:marLeft w:val="0"/>
      <w:marRight w:val="0"/>
      <w:marTop w:val="0"/>
      <w:marBottom w:val="0"/>
      <w:divBdr>
        <w:top w:val="none" w:sz="0" w:space="0" w:color="auto"/>
        <w:left w:val="none" w:sz="0" w:space="0" w:color="auto"/>
        <w:bottom w:val="none" w:sz="0" w:space="0" w:color="auto"/>
        <w:right w:val="none" w:sz="0" w:space="0" w:color="auto"/>
      </w:divBdr>
    </w:div>
    <w:div w:id="1087654113">
      <w:bodyDiv w:val="1"/>
      <w:marLeft w:val="0"/>
      <w:marRight w:val="0"/>
      <w:marTop w:val="0"/>
      <w:marBottom w:val="0"/>
      <w:divBdr>
        <w:top w:val="none" w:sz="0" w:space="0" w:color="auto"/>
        <w:left w:val="none" w:sz="0" w:space="0" w:color="auto"/>
        <w:bottom w:val="none" w:sz="0" w:space="0" w:color="auto"/>
        <w:right w:val="none" w:sz="0" w:space="0" w:color="auto"/>
      </w:divBdr>
    </w:div>
    <w:div w:id="1170486737">
      <w:bodyDiv w:val="1"/>
      <w:marLeft w:val="0"/>
      <w:marRight w:val="0"/>
      <w:marTop w:val="0"/>
      <w:marBottom w:val="0"/>
      <w:divBdr>
        <w:top w:val="none" w:sz="0" w:space="0" w:color="auto"/>
        <w:left w:val="none" w:sz="0" w:space="0" w:color="auto"/>
        <w:bottom w:val="none" w:sz="0" w:space="0" w:color="auto"/>
        <w:right w:val="none" w:sz="0" w:space="0" w:color="auto"/>
      </w:divBdr>
    </w:div>
    <w:div w:id="137766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Classeur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Lenovo\Desktop\Phenotypes%20par%20commune.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0277777777777776E-2"/>
          <c:y val="0.1440752696857357"/>
          <c:w val="0.81388888888888888"/>
          <c:h val="0.57383219739909586"/>
        </c:manualLayout>
      </c:layout>
      <c:pie3DChart>
        <c:varyColors val="1"/>
        <c:ser>
          <c:idx val="0"/>
          <c:order val="0"/>
          <c:dPt>
            <c:idx val="0"/>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1-3A21-4CBA-9BB5-CC61B3FFCA15}"/>
              </c:ext>
            </c:extLst>
          </c:dPt>
          <c:dPt>
            <c:idx val="1"/>
            <c:bubble3D val="0"/>
            <c:explosion val="16"/>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3-3A21-4CBA-9BB5-CC61B3FFCA15}"/>
              </c:ext>
            </c:extLst>
          </c:dPt>
          <c:dPt>
            <c:idx val="2"/>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5-3A21-4CBA-9BB5-CC61B3FFCA15}"/>
              </c:ext>
            </c:extLst>
          </c:dPt>
          <c:dLbls>
            <c:dLbl>
              <c:idx val="0"/>
              <c:layout>
                <c:manualLayout>
                  <c:x val="3.1612860892388454E-2"/>
                  <c:y val="2.1015602216389619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A21-4CBA-9BB5-CC61B3FFCA15}"/>
                </c:ext>
              </c:extLst>
            </c:dLbl>
            <c:dLbl>
              <c:idx val="1"/>
              <c:layout>
                <c:manualLayout>
                  <c:x val="-0.11732370953630795"/>
                  <c:y val="-4.1970691163604551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A21-4CBA-9BB5-CC61B3FFCA15}"/>
                </c:ext>
              </c:extLst>
            </c:dLbl>
            <c:dLbl>
              <c:idx val="2"/>
              <c:layout>
                <c:manualLayout>
                  <c:x val="0.11561559492563429"/>
                  <c:y val="-1.84135316418781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A21-4CBA-9BB5-CC61B3FFCA15}"/>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0"/>
            <c:showSerName val="0"/>
            <c:showPercent val="0"/>
            <c:showBubbleSize val="0"/>
            <c:showLeaderLines val="0"/>
            <c:extLst>
              <c:ext xmlns:c15="http://schemas.microsoft.com/office/drawing/2012/chart" uri="{CE6537A1-D6FC-4f65-9D91-7224C49458BB}"/>
            </c:extLst>
          </c:dLbls>
          <c:cat>
            <c:strRef>
              <c:f>Feuil4!$A$1:$A$3</c:f>
              <c:strCache>
                <c:ptCount val="3"/>
                <c:pt idx="0">
                  <c:v>COCODY</c:v>
                </c:pt>
                <c:pt idx="1">
                  <c:v>BINGERVILLE</c:v>
                </c:pt>
                <c:pt idx="2">
                  <c:v>YOPOUGON</c:v>
                </c:pt>
              </c:strCache>
            </c:strRef>
          </c:cat>
          <c:val>
            <c:numRef>
              <c:f>Feuil4!$B$1:$B$3</c:f>
              <c:numCache>
                <c:formatCode>0.00%</c:formatCode>
                <c:ptCount val="3"/>
                <c:pt idx="0">
                  <c:v>0.9375</c:v>
                </c:pt>
                <c:pt idx="1">
                  <c:v>4.6899999999999997E-2</c:v>
                </c:pt>
                <c:pt idx="2">
                  <c:v>1.5599999999999999E-2</c:v>
                </c:pt>
              </c:numCache>
            </c:numRef>
          </c:val>
          <c:extLst>
            <c:ext xmlns:c16="http://schemas.microsoft.com/office/drawing/2014/chart" uri="{C3380CC4-5D6E-409C-BE32-E72D297353CC}">
              <c16:uniqueId val="{00000006-3A21-4CBA-9BB5-CC61B3FFCA15}"/>
            </c:ext>
          </c:extLst>
        </c:ser>
        <c:dLbls>
          <c:dLblPos val="bestFit"/>
          <c:showLegendKey val="0"/>
          <c:showVal val="1"/>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05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Feuil1!$E$10</c:f>
              <c:strCache>
                <c:ptCount val="1"/>
                <c:pt idx="0">
                  <c:v>FQ-R</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Feuil1!$F$8:$H$9</c:f>
              <c:multiLvlStrCache>
                <c:ptCount val="3"/>
                <c:lvl>
                  <c:pt idx="0">
                    <c:v>(%)</c:v>
                  </c:pt>
                  <c:pt idx="1">
                    <c:v>(%)</c:v>
                  </c:pt>
                  <c:pt idx="2">
                    <c:v>(%)</c:v>
                  </c:pt>
                </c:lvl>
                <c:lvl>
                  <c:pt idx="0">
                    <c:v>Cocody</c:v>
                  </c:pt>
                  <c:pt idx="1">
                    <c:v>Bingerville</c:v>
                  </c:pt>
                  <c:pt idx="2">
                    <c:v>Yopougon</c:v>
                  </c:pt>
                </c:lvl>
              </c:multiLvlStrCache>
            </c:multiLvlStrRef>
          </c:cat>
          <c:val>
            <c:numRef>
              <c:f>Feuil1!$F$10:$H$10</c:f>
              <c:numCache>
                <c:formatCode>0%</c:formatCode>
                <c:ptCount val="3"/>
                <c:pt idx="0">
                  <c:v>0.3</c:v>
                </c:pt>
                <c:pt idx="1">
                  <c:v>0</c:v>
                </c:pt>
                <c:pt idx="2">
                  <c:v>0</c:v>
                </c:pt>
              </c:numCache>
            </c:numRef>
          </c:val>
          <c:extLst>
            <c:ext xmlns:c16="http://schemas.microsoft.com/office/drawing/2014/chart" uri="{C3380CC4-5D6E-409C-BE32-E72D297353CC}">
              <c16:uniqueId val="{00000000-B8C2-4F22-A66E-BAD3CF033020}"/>
            </c:ext>
          </c:extLst>
        </c:ser>
        <c:ser>
          <c:idx val="1"/>
          <c:order val="1"/>
          <c:tx>
            <c:strRef>
              <c:f>Feuil1!$E$11</c:f>
              <c:strCache>
                <c:ptCount val="1"/>
                <c:pt idx="0">
                  <c:v>C3G-R</c:v>
                </c:pt>
              </c:strCache>
            </c:strRef>
          </c:tx>
          <c:spPr>
            <a:solidFill>
              <a:srgbClr val="FFFF00">
                <a:alpha val="89000"/>
              </a:srgb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Feuil1!$F$8:$H$9</c:f>
              <c:multiLvlStrCache>
                <c:ptCount val="3"/>
                <c:lvl>
                  <c:pt idx="0">
                    <c:v>(%)</c:v>
                  </c:pt>
                  <c:pt idx="1">
                    <c:v>(%)</c:v>
                  </c:pt>
                  <c:pt idx="2">
                    <c:v>(%)</c:v>
                  </c:pt>
                </c:lvl>
                <c:lvl>
                  <c:pt idx="0">
                    <c:v>Cocody</c:v>
                  </c:pt>
                  <c:pt idx="1">
                    <c:v>Bingerville</c:v>
                  </c:pt>
                  <c:pt idx="2">
                    <c:v>Yopougon</c:v>
                  </c:pt>
                </c:lvl>
              </c:multiLvlStrCache>
            </c:multiLvlStrRef>
          </c:cat>
          <c:val>
            <c:numRef>
              <c:f>Feuil1!$F$11:$H$11</c:f>
              <c:numCache>
                <c:formatCode>0%</c:formatCode>
                <c:ptCount val="3"/>
                <c:pt idx="0">
                  <c:v>0.1</c:v>
                </c:pt>
                <c:pt idx="1">
                  <c:v>0.33</c:v>
                </c:pt>
                <c:pt idx="2">
                  <c:v>0</c:v>
                </c:pt>
              </c:numCache>
            </c:numRef>
          </c:val>
          <c:extLst>
            <c:ext xmlns:c16="http://schemas.microsoft.com/office/drawing/2014/chart" uri="{C3380CC4-5D6E-409C-BE32-E72D297353CC}">
              <c16:uniqueId val="{00000001-B8C2-4F22-A66E-BAD3CF033020}"/>
            </c:ext>
          </c:extLst>
        </c:ser>
        <c:ser>
          <c:idx val="2"/>
          <c:order val="2"/>
          <c:tx>
            <c:strRef>
              <c:f>Feuil1!$E$12</c:f>
              <c:strCache>
                <c:ptCount val="1"/>
                <c:pt idx="0">
                  <c:v>C3G-R/Carba-R/FQ-R</c:v>
                </c:pt>
              </c:strCache>
            </c:strRef>
          </c:tx>
          <c:spPr>
            <a:solidFill>
              <a:srgbClr val="FF0000">
                <a:alpha val="83000"/>
              </a:srgbClr>
            </a:solidFill>
            <a:ln>
              <a:noFill/>
            </a:ln>
            <a:effectLst/>
          </c:spPr>
          <c:invertIfNegative val="0"/>
          <c:dLbls>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1,6%</a:t>
                    </a:r>
                  </a:p>
                </c:rich>
              </c:tx>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B8C2-4F22-A66E-BAD3CF033020}"/>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Feuil1!$F$8:$H$9</c:f>
              <c:multiLvlStrCache>
                <c:ptCount val="3"/>
                <c:lvl>
                  <c:pt idx="0">
                    <c:v>(%)</c:v>
                  </c:pt>
                  <c:pt idx="1">
                    <c:v>(%)</c:v>
                  </c:pt>
                  <c:pt idx="2">
                    <c:v>(%)</c:v>
                  </c:pt>
                </c:lvl>
                <c:lvl>
                  <c:pt idx="0">
                    <c:v>Cocody</c:v>
                  </c:pt>
                  <c:pt idx="1">
                    <c:v>Bingerville</c:v>
                  </c:pt>
                  <c:pt idx="2">
                    <c:v>Yopougon</c:v>
                  </c:pt>
                </c:lvl>
              </c:multiLvlStrCache>
            </c:multiLvlStrRef>
          </c:cat>
          <c:val>
            <c:numRef>
              <c:f>Feuil1!$F$12:$H$12</c:f>
              <c:numCache>
                <c:formatCode>0%</c:formatCode>
                <c:ptCount val="3"/>
                <c:pt idx="0" formatCode="0.00%">
                  <c:v>1.6E-2</c:v>
                </c:pt>
                <c:pt idx="1">
                  <c:v>0</c:v>
                </c:pt>
                <c:pt idx="2">
                  <c:v>0</c:v>
                </c:pt>
              </c:numCache>
            </c:numRef>
          </c:val>
          <c:extLst>
            <c:ext xmlns:c16="http://schemas.microsoft.com/office/drawing/2014/chart" uri="{C3380CC4-5D6E-409C-BE32-E72D297353CC}">
              <c16:uniqueId val="{00000003-B8C2-4F22-A66E-BAD3CF033020}"/>
            </c:ext>
          </c:extLst>
        </c:ser>
        <c:ser>
          <c:idx val="3"/>
          <c:order val="3"/>
          <c:tx>
            <c:strRef>
              <c:f>Feuil1!$E$13</c:f>
              <c:strCache>
                <c:ptCount val="1"/>
                <c:pt idx="0">
                  <c:v>Sauvage</c:v>
                </c:pt>
              </c:strCache>
            </c:strRef>
          </c:tx>
          <c:spPr>
            <a:solidFill>
              <a:schemeClr val="accent6"/>
            </a:solidFill>
            <a:ln>
              <a:noFill/>
            </a:ln>
            <a:effectLst/>
          </c:spPr>
          <c:invertIfNegative val="0"/>
          <c:dLbls>
            <c:dLbl>
              <c:idx val="0"/>
              <c:tx>
                <c:rich>
                  <a:bodyPr/>
                  <a:lstStyle/>
                  <a:p>
                    <a:r>
                      <a:rPr lang="en-US"/>
                      <a:t>43,3%</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B8C2-4F22-A66E-BAD3CF033020}"/>
                </c:ext>
              </c:extLst>
            </c:dLbl>
            <c:dLbl>
              <c:idx val="1"/>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66,7%</a:t>
                    </a:r>
                  </a:p>
                </c:rich>
              </c:tx>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B8C2-4F22-A66E-BAD3CF03302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Feuil1!$F$8:$H$9</c:f>
              <c:multiLvlStrCache>
                <c:ptCount val="3"/>
                <c:lvl>
                  <c:pt idx="0">
                    <c:v>(%)</c:v>
                  </c:pt>
                  <c:pt idx="1">
                    <c:v>(%)</c:v>
                  </c:pt>
                  <c:pt idx="2">
                    <c:v>(%)</c:v>
                  </c:pt>
                </c:lvl>
                <c:lvl>
                  <c:pt idx="0">
                    <c:v>Cocody</c:v>
                  </c:pt>
                  <c:pt idx="1">
                    <c:v>Bingerville</c:v>
                  </c:pt>
                  <c:pt idx="2">
                    <c:v>Yopougon</c:v>
                  </c:pt>
                </c:lvl>
              </c:multiLvlStrCache>
            </c:multiLvlStrRef>
          </c:cat>
          <c:val>
            <c:numRef>
              <c:f>Feuil1!$F$13:$H$13</c:f>
              <c:numCache>
                <c:formatCode>0.00%</c:formatCode>
                <c:ptCount val="3"/>
                <c:pt idx="0">
                  <c:v>0.433</c:v>
                </c:pt>
                <c:pt idx="1">
                  <c:v>0.66700000000000004</c:v>
                </c:pt>
                <c:pt idx="2" formatCode="0%">
                  <c:v>0</c:v>
                </c:pt>
              </c:numCache>
            </c:numRef>
          </c:val>
          <c:extLst>
            <c:ext xmlns:c16="http://schemas.microsoft.com/office/drawing/2014/chart" uri="{C3380CC4-5D6E-409C-BE32-E72D297353CC}">
              <c16:uniqueId val="{00000006-B8C2-4F22-A66E-BAD3CF033020}"/>
            </c:ext>
          </c:extLst>
        </c:ser>
        <c:dLbls>
          <c:dLblPos val="outEnd"/>
          <c:showLegendKey val="0"/>
          <c:showVal val="1"/>
          <c:showCatName val="0"/>
          <c:showSerName val="0"/>
          <c:showPercent val="0"/>
          <c:showBubbleSize val="0"/>
        </c:dLbls>
        <c:gapWidth val="219"/>
        <c:overlap val="-27"/>
        <c:axId val="2100336192"/>
        <c:axId val="2100334752"/>
      </c:barChart>
      <c:catAx>
        <c:axId val="2100336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00334752"/>
        <c:crosses val="autoZero"/>
        <c:auto val="1"/>
        <c:lblAlgn val="ctr"/>
        <c:lblOffset val="100"/>
        <c:noMultiLvlLbl val="0"/>
      </c:catAx>
      <c:valAx>
        <c:axId val="21003347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003361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498E9-3DCF-4D4C-8D0C-4CF4E1963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14666</Words>
  <Characters>80669</Characters>
  <Application>Microsoft Office Word</Application>
  <DocSecurity>0</DocSecurity>
  <Lines>672</Lines>
  <Paragraphs>190</Paragraphs>
  <ScaleCrop>false</ScaleCrop>
  <HeadingPairs>
    <vt:vector size="2" baseType="variant">
      <vt:variant>
        <vt:lpstr>Titre</vt:lpstr>
      </vt:variant>
      <vt:variant>
        <vt:i4>1</vt:i4>
      </vt:variant>
    </vt:vector>
  </HeadingPairs>
  <TitlesOfParts>
    <vt:vector size="1" baseType="lpstr">
      <vt:lpstr/>
    </vt:vector>
  </TitlesOfParts>
  <Company>SACC</Company>
  <LinksUpToDate>false</LinksUpToDate>
  <CharactersWithSpaces>95145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Gouli Gnanazan</dc:creator>
  <cp:keywords/>
  <dc:description/>
  <cp:lastModifiedBy>Lenovo</cp:lastModifiedBy>
  <cp:revision>2</cp:revision>
  <dcterms:created xsi:type="dcterms:W3CDTF">2025-08-05T01:47:00Z</dcterms:created>
  <dcterms:modified xsi:type="dcterms:W3CDTF">2025-08-05T01:47:00Z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id="eOExoX4T"/&gt;&lt;style id="http://www.zotero.org/styles/apa" locale="fr-FR"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