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8E2" w:rsidRDefault="00C118C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Usage Pattern of e-resources by post-graduate students of </w:t>
      </w:r>
      <w:proofErr w:type="gramStart"/>
      <w:r>
        <w:rPr>
          <w:rFonts w:ascii="Times New Roman" w:eastAsia="Times New Roman" w:hAnsi="Times New Roman" w:cs="Times New Roman"/>
          <w:b/>
          <w:sz w:val="24"/>
          <w:szCs w:val="24"/>
        </w:rPr>
        <w:t>VNMKV ,</w:t>
      </w:r>
      <w:proofErr w:type="gram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Parbhani</w:t>
      </w:r>
      <w:proofErr w:type="spellEnd"/>
    </w:p>
    <w:p w:rsidR="00E408E2" w:rsidRDefault="00E408E2">
      <w:pPr>
        <w:spacing w:line="360" w:lineRule="auto"/>
        <w:ind w:left="284" w:hanging="284"/>
        <w:jc w:val="both"/>
        <w:rPr>
          <w:rFonts w:ascii="Times New Roman" w:eastAsia="Times New Roman" w:hAnsi="Times New Roman" w:cs="Times New Roman"/>
          <w:b/>
          <w:sz w:val="24"/>
          <w:szCs w:val="24"/>
        </w:rPr>
      </w:pPr>
    </w:p>
    <w:p w:rsidR="00E408E2" w:rsidRDefault="00E408E2">
      <w:pPr>
        <w:spacing w:line="360" w:lineRule="auto"/>
        <w:ind w:left="284" w:hanging="284"/>
        <w:jc w:val="both"/>
        <w:rPr>
          <w:rFonts w:ascii="Times New Roman" w:eastAsia="Times New Roman" w:hAnsi="Times New Roman" w:cs="Times New Roman"/>
          <w:b/>
          <w:sz w:val="24"/>
          <w:szCs w:val="24"/>
        </w:rPr>
      </w:pPr>
    </w:p>
    <w:p w:rsidR="00E408E2" w:rsidRDefault="00C118CE">
      <w:pPr>
        <w:spacing w:line="36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study was conducted at the College of Agriculture, </w:t>
      </w:r>
      <w:proofErr w:type="spellStart"/>
      <w:r>
        <w:rPr>
          <w:rFonts w:ascii="Times New Roman" w:eastAsia="Times New Roman" w:hAnsi="Times New Roman" w:cs="Times New Roman"/>
          <w:sz w:val="24"/>
          <w:szCs w:val="24"/>
        </w:rPr>
        <w:t>Parbhani</w:t>
      </w:r>
      <w:proofErr w:type="spellEnd"/>
      <w:r>
        <w:rPr>
          <w:rFonts w:ascii="Times New Roman" w:eastAsia="Times New Roman" w:hAnsi="Times New Roman" w:cs="Times New Roman"/>
          <w:sz w:val="24"/>
          <w:szCs w:val="24"/>
        </w:rPr>
        <w:t xml:space="preserve">, Latur, and </w:t>
      </w:r>
      <w:proofErr w:type="spellStart"/>
      <w:r>
        <w:rPr>
          <w:rFonts w:ascii="Times New Roman" w:eastAsia="Times New Roman" w:hAnsi="Times New Roman" w:cs="Times New Roman"/>
          <w:sz w:val="24"/>
          <w:szCs w:val="24"/>
        </w:rPr>
        <w:t>Badnapur</w:t>
      </w:r>
      <w:proofErr w:type="spellEnd"/>
      <w:r>
        <w:rPr>
          <w:rFonts w:ascii="Times New Roman" w:eastAsia="Times New Roman" w:hAnsi="Times New Roman" w:cs="Times New Roman"/>
          <w:sz w:val="24"/>
          <w:szCs w:val="24"/>
        </w:rPr>
        <w:t xml:space="preserve">, which fall under the jurisdiction of </w:t>
      </w:r>
      <w:proofErr w:type="spellStart"/>
      <w:r>
        <w:rPr>
          <w:rFonts w:ascii="Times New Roman" w:eastAsia="Times New Roman" w:hAnsi="Times New Roman" w:cs="Times New Roman"/>
          <w:sz w:val="24"/>
          <w:szCs w:val="24"/>
        </w:rPr>
        <w:t>Vasantrao</w:t>
      </w:r>
      <w:proofErr w:type="spellEnd"/>
      <w:r>
        <w:rPr>
          <w:rFonts w:ascii="Times New Roman" w:eastAsia="Times New Roman" w:hAnsi="Times New Roman" w:cs="Times New Roman"/>
          <w:sz w:val="24"/>
          <w:szCs w:val="24"/>
        </w:rPr>
        <w:t xml:space="preserve"> Naik Marathwada Krishi Vidyapeeth (VNMKV), </w:t>
      </w:r>
      <w:proofErr w:type="spellStart"/>
      <w:r>
        <w:rPr>
          <w:rFonts w:ascii="Times New Roman" w:eastAsia="Times New Roman" w:hAnsi="Times New Roman" w:cs="Times New Roman"/>
          <w:sz w:val="24"/>
          <w:szCs w:val="24"/>
        </w:rPr>
        <w:t>Parbhani</w:t>
      </w:r>
      <w:proofErr w:type="spellEnd"/>
      <w:r>
        <w:rPr>
          <w:rFonts w:ascii="Times New Roman" w:eastAsia="Times New Roman" w:hAnsi="Times New Roman" w:cs="Times New Roman"/>
          <w:sz w:val="24"/>
          <w:szCs w:val="24"/>
        </w:rPr>
        <w:t>, during the academic year 2024–2025. To realize usage pattern o</w:t>
      </w:r>
      <w:r>
        <w:rPr>
          <w:rFonts w:ascii="Times New Roman" w:eastAsia="Times New Roman" w:hAnsi="Times New Roman" w:cs="Times New Roman"/>
          <w:sz w:val="24"/>
          <w:szCs w:val="24"/>
        </w:rPr>
        <w:t>f e-resources by respondents. A proportionate random sampling method was employed, selecting 30 per cent of the total post-graduate student’s population from the aforementioned colleges, resulting in a sample size of 173 students. This study was based on a</w:t>
      </w:r>
      <w:r>
        <w:rPr>
          <w:rFonts w:ascii="Times New Roman" w:eastAsia="Times New Roman" w:hAnsi="Times New Roman" w:cs="Times New Roman"/>
          <w:sz w:val="24"/>
          <w:szCs w:val="24"/>
        </w:rPr>
        <w:t xml:space="preserve">n ex-post facto research design. The primary data was collected using </w:t>
      </w:r>
      <w:proofErr w:type="gramStart"/>
      <w:r>
        <w:rPr>
          <w:rFonts w:ascii="Times New Roman" w:eastAsia="Times New Roman" w:hAnsi="Times New Roman" w:cs="Times New Roman"/>
          <w:sz w:val="24"/>
          <w:szCs w:val="24"/>
        </w:rPr>
        <w:t>a  well</w:t>
      </w:r>
      <w:proofErr w:type="gramEnd"/>
      <w:r>
        <w:rPr>
          <w:rFonts w:ascii="Times New Roman" w:eastAsia="Times New Roman" w:hAnsi="Times New Roman" w:cs="Times New Roman"/>
          <w:sz w:val="24"/>
          <w:szCs w:val="24"/>
        </w:rPr>
        <w:t>-structured questionnaire and was circulated to the respondents through online mode using google forms. To measure the usage pattern of e-resources by students (post-graduate), ma</w:t>
      </w:r>
      <w:r>
        <w:rPr>
          <w:rFonts w:ascii="Times New Roman" w:eastAsia="Times New Roman" w:hAnsi="Times New Roman" w:cs="Times New Roman"/>
          <w:sz w:val="24"/>
          <w:szCs w:val="24"/>
        </w:rPr>
        <w:t>jor components were used viz. Type of e-resources used, Preferred place of access, Frequency of using e-resources, Preferred format for reading full text articles and access of e-resources of different medium. By the sum of all these above-mentioned compon</w:t>
      </w:r>
      <w:r>
        <w:rPr>
          <w:rFonts w:ascii="Times New Roman" w:eastAsia="Times New Roman" w:hAnsi="Times New Roman" w:cs="Times New Roman"/>
          <w:sz w:val="24"/>
          <w:szCs w:val="24"/>
        </w:rPr>
        <w:t xml:space="preserve">ents were used to find the level of usage. </w:t>
      </w:r>
      <w:proofErr w:type="gramStart"/>
      <w:r>
        <w:rPr>
          <w:rFonts w:ascii="Times New Roman" w:eastAsia="Times New Roman" w:hAnsi="Times New Roman" w:cs="Times New Roman"/>
          <w:sz w:val="24"/>
          <w:szCs w:val="24"/>
        </w:rPr>
        <w:t>The  majority</w:t>
      </w:r>
      <w:proofErr w:type="gramEnd"/>
      <w:r>
        <w:rPr>
          <w:rFonts w:ascii="Times New Roman" w:eastAsia="Times New Roman" w:hAnsi="Times New Roman" w:cs="Times New Roman"/>
          <w:sz w:val="24"/>
          <w:szCs w:val="24"/>
        </w:rPr>
        <w:t xml:space="preserve"> of respondent (64.65%) had medium level of usage of e-resources.</w:t>
      </w:r>
    </w:p>
    <w:p w:rsidR="00E408E2" w:rsidRDefault="00C118CE">
      <w:pPr>
        <w:spacing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VNMKV; Usage </w:t>
      </w:r>
      <w:proofErr w:type="spellStart"/>
      <w:r>
        <w:rPr>
          <w:rFonts w:ascii="Times New Roman" w:eastAsia="Times New Roman" w:hAnsi="Times New Roman" w:cs="Times New Roman"/>
          <w:sz w:val="24"/>
          <w:szCs w:val="24"/>
        </w:rPr>
        <w:t>patten</w:t>
      </w:r>
      <w:proofErr w:type="spellEnd"/>
      <w:r>
        <w:rPr>
          <w:rFonts w:ascii="Times New Roman" w:eastAsia="Times New Roman" w:hAnsi="Times New Roman" w:cs="Times New Roman"/>
          <w:sz w:val="24"/>
          <w:szCs w:val="24"/>
        </w:rPr>
        <w:t xml:space="preserve">; e-resources; post-graduate; students </w:t>
      </w:r>
    </w:p>
    <w:p w:rsidR="00E408E2" w:rsidRDefault="00C118CE">
      <w:pPr>
        <w:spacing w:line="36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Introduction </w:t>
      </w:r>
    </w:p>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E-resources, or electronic resources, refer to d</w:t>
      </w:r>
      <w:r>
        <w:rPr>
          <w:rFonts w:ascii="Times New Roman" w:eastAsia="Times New Roman" w:hAnsi="Times New Roman" w:cs="Times New Roman"/>
          <w:sz w:val="24"/>
          <w:szCs w:val="24"/>
        </w:rPr>
        <w:t xml:space="preserve">igital materials and tools that provide access to information, knowledge, and services through electronic </w:t>
      </w:r>
      <w:proofErr w:type="spellStart"/>
      <w:r>
        <w:rPr>
          <w:rFonts w:ascii="Times New Roman" w:eastAsia="Times New Roman" w:hAnsi="Times New Roman" w:cs="Times New Roman"/>
          <w:sz w:val="24"/>
          <w:szCs w:val="24"/>
        </w:rPr>
        <w:t>means.“Electronic</w:t>
      </w:r>
      <w:proofErr w:type="spellEnd"/>
      <w:r>
        <w:rPr>
          <w:rFonts w:ascii="Times New Roman" w:eastAsia="Times New Roman" w:hAnsi="Times New Roman" w:cs="Times New Roman"/>
          <w:sz w:val="24"/>
          <w:szCs w:val="24"/>
        </w:rPr>
        <w:t xml:space="preserve"> resources refer to the sources that require computer access or any electronic product that delivers a collection of data, be it text</w:t>
      </w:r>
      <w:r>
        <w:rPr>
          <w:rFonts w:ascii="Times New Roman" w:eastAsia="Times New Roman" w:hAnsi="Times New Roman" w:cs="Times New Roman"/>
          <w:sz w:val="24"/>
          <w:szCs w:val="24"/>
        </w:rPr>
        <w:t xml:space="preserve"> referring to full-text bases, electronic journals, image collections, other multimedia products, and numerical, graphical or time-based, as a commercially available title that has been published with an aim to being marketed.” (Chowdhury and Chowdhury,200</w:t>
      </w:r>
      <w:r>
        <w:rPr>
          <w:rFonts w:ascii="Times New Roman" w:eastAsia="Times New Roman" w:hAnsi="Times New Roman" w:cs="Times New Roman"/>
          <w:sz w:val="24"/>
          <w:szCs w:val="24"/>
        </w:rPr>
        <w:t xml:space="preserve">1). </w:t>
      </w:r>
    </w:p>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 electronic resource is defined as a resource which require computer access or any electronic product that delivers a collection of data, be it text referring to full text bases, electronic journals, image collections, other multimedia products an</w:t>
      </w:r>
      <w:r>
        <w:rPr>
          <w:rFonts w:ascii="Times New Roman" w:eastAsia="Times New Roman" w:hAnsi="Times New Roman" w:cs="Times New Roman"/>
          <w:sz w:val="24"/>
          <w:szCs w:val="24"/>
        </w:rPr>
        <w:t>d numerical, graphical or time based, as a commercially available title that has been published with an aim to being marketed. These may be delivered on CD ROM, on tape, via internet and so on” (</w:t>
      </w:r>
      <w:proofErr w:type="spellStart"/>
      <w:r>
        <w:rPr>
          <w:rFonts w:ascii="Times New Roman" w:eastAsia="Times New Roman" w:hAnsi="Times New Roman" w:cs="Times New Roman"/>
          <w:sz w:val="24"/>
          <w:szCs w:val="24"/>
        </w:rPr>
        <w:t>Dr.</w:t>
      </w:r>
      <w:proofErr w:type="spellEnd"/>
      <w:r>
        <w:rPr>
          <w:rFonts w:ascii="Times New Roman" w:eastAsia="Times New Roman" w:hAnsi="Times New Roman" w:cs="Times New Roman"/>
          <w:sz w:val="24"/>
          <w:szCs w:val="24"/>
        </w:rPr>
        <w:t xml:space="preserve"> B. S. </w:t>
      </w:r>
      <w:proofErr w:type="spellStart"/>
      <w:r>
        <w:rPr>
          <w:rFonts w:ascii="Times New Roman" w:eastAsia="Times New Roman" w:hAnsi="Times New Roman" w:cs="Times New Roman"/>
          <w:sz w:val="24"/>
          <w:szCs w:val="24"/>
        </w:rPr>
        <w:t>Padval</w:t>
      </w:r>
      <w:proofErr w:type="spellEnd"/>
      <w:r>
        <w:rPr>
          <w:rFonts w:ascii="Times New Roman" w:eastAsia="Times New Roman" w:hAnsi="Times New Roman" w:cs="Times New Roman"/>
          <w:sz w:val="24"/>
          <w:szCs w:val="24"/>
        </w:rPr>
        <w:t>, 2022). It was also found that the universit</w:t>
      </w:r>
      <w:r>
        <w:rPr>
          <w:rFonts w:ascii="Times New Roman" w:eastAsia="Times New Roman" w:hAnsi="Times New Roman" w:cs="Times New Roman"/>
          <w:sz w:val="24"/>
          <w:szCs w:val="24"/>
        </w:rPr>
        <w:t>y library of Ibadan frequently conducts an orientation programme for students on how to disseminate information on the obtained e-resources because the information provided through e resources could be used for the purposes of project writing, theses writi</w:t>
      </w:r>
      <w:r>
        <w:rPr>
          <w:rFonts w:ascii="Times New Roman" w:eastAsia="Times New Roman" w:hAnsi="Times New Roman" w:cs="Times New Roman"/>
          <w:sz w:val="24"/>
          <w:szCs w:val="24"/>
        </w:rPr>
        <w:t>ng and assignments among others (</w:t>
      </w:r>
      <w:proofErr w:type="spellStart"/>
      <w:r>
        <w:rPr>
          <w:rFonts w:ascii="Times New Roman" w:eastAsia="Times New Roman" w:hAnsi="Times New Roman" w:cs="Times New Roman"/>
          <w:sz w:val="24"/>
          <w:szCs w:val="24"/>
        </w:rPr>
        <w:t>Adeshina</w:t>
      </w:r>
      <w:proofErr w:type="spellEnd"/>
      <w:r>
        <w:rPr>
          <w:rFonts w:ascii="Times New Roman" w:eastAsia="Times New Roman" w:hAnsi="Times New Roman" w:cs="Times New Roman"/>
          <w:sz w:val="24"/>
          <w:szCs w:val="24"/>
        </w:rPr>
        <w:t xml:space="preserve">, 2021). </w:t>
      </w:r>
    </w:p>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Electronic resources are, those in which the information is stored electronically and which are accessible through electronic network and electronic systems. These e-resources constitute a variety of publi</w:t>
      </w:r>
      <w:r>
        <w:rPr>
          <w:rFonts w:ascii="Times New Roman" w:eastAsia="Times New Roman" w:hAnsi="Times New Roman" w:cs="Times New Roman"/>
          <w:sz w:val="24"/>
          <w:szCs w:val="24"/>
        </w:rPr>
        <w:t xml:space="preserve">shing </w:t>
      </w:r>
      <w:r>
        <w:rPr>
          <w:rFonts w:ascii="Times New Roman" w:eastAsia="Times New Roman" w:hAnsi="Times New Roman" w:cs="Times New Roman"/>
          <w:sz w:val="24"/>
          <w:szCs w:val="24"/>
        </w:rPr>
        <w:lastRenderedPageBreak/>
        <w:t>models, which include OPACs, e-mail publishing, wireless publishing, electronic link and web publishing etc. Hence, “Any electronic product that delivers collection of data in text, numerical, graphical, or time based as a commercially available reso</w:t>
      </w:r>
      <w:r>
        <w:rPr>
          <w:rFonts w:ascii="Times New Roman" w:eastAsia="Times New Roman" w:hAnsi="Times New Roman" w:cs="Times New Roman"/>
          <w:sz w:val="24"/>
          <w:szCs w:val="24"/>
        </w:rPr>
        <w:t>urce” (</w:t>
      </w:r>
      <w:proofErr w:type="spellStart"/>
      <w:r>
        <w:rPr>
          <w:rFonts w:ascii="Times New Roman" w:eastAsia="Times New Roman" w:hAnsi="Times New Roman" w:cs="Times New Roman"/>
          <w:sz w:val="24"/>
          <w:szCs w:val="24"/>
        </w:rPr>
        <w:t>Bavakenty</w:t>
      </w:r>
      <w:proofErr w:type="spellEnd"/>
      <w:r>
        <w:rPr>
          <w:rFonts w:ascii="Times New Roman" w:eastAsia="Times New Roman" w:hAnsi="Times New Roman" w:cs="Times New Roman"/>
          <w:sz w:val="24"/>
          <w:szCs w:val="24"/>
        </w:rPr>
        <w:t xml:space="preserve"> et al. 2003). Here, some types of e-resources are mentioned. </w:t>
      </w:r>
    </w:p>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Online e-resources, which may include:</w:t>
      </w:r>
    </w:p>
    <w:p w:rsidR="00E408E2" w:rsidRDefault="00C118C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E-journal (Full text &amp; bibliographic)</w:t>
      </w:r>
    </w:p>
    <w:p w:rsidR="00E408E2" w:rsidRDefault="00C118C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E-books </w:t>
      </w:r>
    </w:p>
    <w:p w:rsidR="00E408E2" w:rsidRDefault="00C118C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databases </w:t>
      </w:r>
    </w:p>
    <w:p w:rsidR="00E408E2" w:rsidRDefault="00C118C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Web sites</w:t>
      </w:r>
    </w:p>
    <w:p w:rsidR="00E408E2" w:rsidRDefault="00C118C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E-library</w:t>
      </w:r>
    </w:p>
    <w:p w:rsidR="00E408E2" w:rsidRDefault="00C118C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E-newspaper</w:t>
      </w:r>
    </w:p>
    <w:p w:rsidR="00E408E2" w:rsidRDefault="00C118C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E-prints</w:t>
      </w:r>
    </w:p>
    <w:p w:rsidR="00E408E2" w:rsidRDefault="00C118C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E-analysis of data</w:t>
      </w:r>
    </w:p>
    <w:p w:rsidR="00E408E2" w:rsidRDefault="00C118C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E-payments</w:t>
      </w:r>
    </w:p>
    <w:p w:rsidR="00E408E2" w:rsidRDefault="00C118C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E-map</w:t>
      </w:r>
    </w:p>
    <w:p w:rsidR="00E408E2" w:rsidRDefault="00C118CE">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E-banking</w:t>
      </w:r>
    </w:p>
    <w:p w:rsidR="00E408E2" w:rsidRDefault="00C118CE">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E-shopping. etc</w:t>
      </w:r>
    </w:p>
    <w:p w:rsidR="00E408E2" w:rsidRDefault="00C118CE">
      <w:pPr>
        <w:spacing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Other electronic resources may include: </w:t>
      </w:r>
    </w:p>
    <w:p w:rsidR="00E408E2" w:rsidRDefault="00C118CE">
      <w:pPr>
        <w:numPr>
          <w:ilvl w:val="0"/>
          <w:numId w:val="2"/>
        </w:numPr>
        <w:pBdr>
          <w:top w:val="nil"/>
          <w:left w:val="nil"/>
          <w:bottom w:val="nil"/>
          <w:right w:val="nil"/>
          <w:between w:val="nil"/>
        </w:pBdr>
        <w:spacing w:after="0" w:line="36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CD ROM </w:t>
      </w:r>
    </w:p>
    <w:p w:rsidR="00E408E2" w:rsidRDefault="00C118CE">
      <w:pPr>
        <w:numPr>
          <w:ilvl w:val="0"/>
          <w:numId w:val="2"/>
        </w:numPr>
        <w:pBdr>
          <w:top w:val="nil"/>
          <w:left w:val="nil"/>
          <w:bottom w:val="nil"/>
          <w:right w:val="nil"/>
          <w:between w:val="nil"/>
        </w:pBdr>
        <w:spacing w:after="0" w:line="36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Diskettes </w:t>
      </w:r>
    </w:p>
    <w:p w:rsidR="00E408E2" w:rsidRDefault="00C118CE">
      <w:pPr>
        <w:numPr>
          <w:ilvl w:val="0"/>
          <w:numId w:val="2"/>
        </w:numPr>
        <w:pBdr>
          <w:top w:val="nil"/>
          <w:left w:val="nil"/>
          <w:bottom w:val="nil"/>
          <w:right w:val="nil"/>
          <w:between w:val="nil"/>
        </w:pBdr>
        <w:spacing w:after="0" w:line="360" w:lineRule="auto"/>
        <w:ind w:left="709"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Presentation software. Etc</w:t>
      </w:r>
    </w:p>
    <w:p w:rsidR="00E408E2" w:rsidRDefault="00E408E2">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E408E2" w:rsidRDefault="00C118CE">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Importance of study</w:t>
      </w:r>
    </w:p>
    <w:p w:rsidR="00E408E2" w:rsidRDefault="00C118CE">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COVID-19 pandemic accelerated the importance of e-resources in academic settings, highlighting their crucial role in supporting remote learning and research activities. This global crisis has prompted many institutions to reassess their collection deve</w:t>
      </w:r>
      <w:r>
        <w:rPr>
          <w:rFonts w:ascii="Times New Roman" w:eastAsia="Times New Roman" w:hAnsi="Times New Roman" w:cs="Times New Roman"/>
          <w:sz w:val="24"/>
          <w:szCs w:val="24"/>
        </w:rPr>
        <w:t>lopment strategies and increase their investment in electronic resources. As we move forward, the continued evolution of e-resources will likely be shaped by emerging technologies, changing pedagogical approaches, and the growing emphasis on open access an</w:t>
      </w:r>
      <w:r>
        <w:rPr>
          <w:rFonts w:ascii="Times New Roman" w:eastAsia="Times New Roman" w:hAnsi="Times New Roman" w:cs="Times New Roman"/>
          <w:sz w:val="24"/>
          <w:szCs w:val="24"/>
        </w:rPr>
        <w:t>d digital scholarship.</w:t>
      </w:r>
    </w:p>
    <w:p w:rsidR="00E408E2" w:rsidRDefault="00C118CE">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Indian Council of Agricultural Research (ICAR) and State Agricultural Universities (SAUs) have committed themselves to advancing ICT-driven technology and information dissemination systems, providing quick, efficient, and cost-ef</w:t>
      </w:r>
      <w:r>
        <w:rPr>
          <w:rFonts w:ascii="Times New Roman" w:eastAsia="Times New Roman" w:hAnsi="Times New Roman" w:cs="Times New Roman"/>
          <w:sz w:val="24"/>
          <w:szCs w:val="24"/>
        </w:rPr>
        <w:t>fective services to agricultural students, researchers, and knowledge seekers. This initiative aligns with contemporary knowledge diffusion trends through electronic and web-based platforms. Through its education division, ICAR oversees the planning, devel</w:t>
      </w:r>
      <w:r>
        <w:rPr>
          <w:rFonts w:ascii="Times New Roman" w:eastAsia="Times New Roman" w:hAnsi="Times New Roman" w:cs="Times New Roman"/>
          <w:sz w:val="24"/>
          <w:szCs w:val="24"/>
        </w:rPr>
        <w:t xml:space="preserve">opment, coordination, and quality assurance of higher agricultural education nationwide, striving </w:t>
      </w:r>
      <w:r>
        <w:rPr>
          <w:rFonts w:ascii="Times New Roman" w:eastAsia="Times New Roman" w:hAnsi="Times New Roman" w:cs="Times New Roman"/>
          <w:sz w:val="24"/>
          <w:szCs w:val="24"/>
        </w:rPr>
        <w:lastRenderedPageBreak/>
        <w:t>to maintain and enhance the quality and relevance of higher education. This is accomplished through collaborative partnerships among various components of the</w:t>
      </w:r>
      <w:r>
        <w:rPr>
          <w:rFonts w:ascii="Times New Roman" w:eastAsia="Times New Roman" w:hAnsi="Times New Roman" w:cs="Times New Roman"/>
          <w:sz w:val="24"/>
          <w:szCs w:val="24"/>
        </w:rPr>
        <w:t xml:space="preserve"> agricultural education system, including ICAR-Agricultural Universities (AUs), Deemed Universities (DUs), Central Universities (CUs), and Central Agricultural Universities (CAUs) with agricultural faculties.</w:t>
      </w:r>
    </w:p>
    <w:p w:rsidR="00E408E2" w:rsidRDefault="00C118CE">
      <w:pPr>
        <w:spacing w:line="36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Method and Materials </w:t>
      </w:r>
    </w:p>
    <w:p w:rsidR="00E408E2" w:rsidRDefault="00C118CE">
      <w:pPr>
        <w:spacing w:line="360" w:lineRule="auto"/>
        <w:ind w:left="284" w:hanging="284"/>
        <w:rPr>
          <w:rFonts w:ascii="Times New Roman" w:eastAsia="Times New Roman" w:hAnsi="Times New Roman" w:cs="Times New Roman"/>
          <w:sz w:val="24"/>
          <w:szCs w:val="24"/>
        </w:rPr>
      </w:pPr>
      <w:r>
        <w:rPr>
          <w:rFonts w:ascii="Times New Roman" w:eastAsia="Times New Roman" w:hAnsi="Times New Roman" w:cs="Times New Roman"/>
          <w:b/>
          <w:sz w:val="24"/>
          <w:szCs w:val="24"/>
        </w:rPr>
        <w:t>Study Locale and Design</w:t>
      </w:r>
      <w:r>
        <w:rPr>
          <w:rFonts w:ascii="Times New Roman" w:eastAsia="Times New Roman" w:hAnsi="Times New Roman" w:cs="Times New Roman"/>
          <w:sz w:val="24"/>
          <w:szCs w:val="24"/>
        </w:rPr>
        <w:t xml:space="preserve"> </w:t>
      </w:r>
    </w:p>
    <w:p w:rsidR="00E408E2" w:rsidRDefault="00C118CE">
      <w:pPr>
        <w:spacing w:line="360" w:lineRule="auto"/>
        <w:ind w:left="284"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present study was conducted across three constituent colleges under the jurisdiction of </w:t>
      </w:r>
      <w:proofErr w:type="spellStart"/>
      <w:r>
        <w:rPr>
          <w:rFonts w:ascii="Times New Roman" w:eastAsia="Times New Roman" w:hAnsi="Times New Roman" w:cs="Times New Roman"/>
          <w:sz w:val="24"/>
          <w:szCs w:val="24"/>
        </w:rPr>
        <w:t>Vasantrao</w:t>
      </w:r>
      <w:proofErr w:type="spellEnd"/>
      <w:r>
        <w:rPr>
          <w:rFonts w:ascii="Times New Roman" w:eastAsia="Times New Roman" w:hAnsi="Times New Roman" w:cs="Times New Roman"/>
          <w:sz w:val="24"/>
          <w:szCs w:val="24"/>
        </w:rPr>
        <w:t xml:space="preserve"> Naik Marathwada Krishi Vidyapeeth (VNMKV), specifically the College of Agriculture located at </w:t>
      </w:r>
      <w:proofErr w:type="spellStart"/>
      <w:r>
        <w:rPr>
          <w:rFonts w:ascii="Times New Roman" w:eastAsia="Times New Roman" w:hAnsi="Times New Roman" w:cs="Times New Roman"/>
          <w:sz w:val="24"/>
          <w:szCs w:val="24"/>
        </w:rPr>
        <w:t>Parbhani</w:t>
      </w:r>
      <w:proofErr w:type="spellEnd"/>
      <w:r>
        <w:rPr>
          <w:rFonts w:ascii="Times New Roman" w:eastAsia="Times New Roman" w:hAnsi="Times New Roman" w:cs="Times New Roman"/>
          <w:sz w:val="24"/>
          <w:szCs w:val="24"/>
        </w:rPr>
        <w:t xml:space="preserve">, Latur, and </w:t>
      </w:r>
      <w:proofErr w:type="spellStart"/>
      <w:r>
        <w:rPr>
          <w:rFonts w:ascii="Times New Roman" w:eastAsia="Times New Roman" w:hAnsi="Times New Roman" w:cs="Times New Roman"/>
          <w:sz w:val="24"/>
          <w:szCs w:val="24"/>
        </w:rPr>
        <w:t>Badnapur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These institutions were chosen as they represent a significant portion of the post-graduate agricultural education ecosystem within the university.</w:t>
      </w:r>
    </w:p>
    <w:p w:rsidR="00E408E2" w:rsidRDefault="00C118CE">
      <w:pPr>
        <w:spacing w:line="360" w:lineRule="auto"/>
        <w:ind w:left="284" w:hanging="284"/>
        <w:rPr>
          <w:rFonts w:ascii="Times New Roman" w:eastAsia="Times New Roman" w:hAnsi="Times New Roman" w:cs="Times New Roman"/>
          <w:sz w:val="24"/>
          <w:szCs w:val="24"/>
        </w:rPr>
      </w:pPr>
      <w:r>
        <w:rPr>
          <w:rFonts w:ascii="Times New Roman" w:eastAsia="Times New Roman" w:hAnsi="Times New Roman" w:cs="Times New Roman"/>
          <w:b/>
          <w:sz w:val="24"/>
          <w:szCs w:val="24"/>
        </w:rPr>
        <w:t>Sampling Methodology</w:t>
      </w:r>
      <w:r>
        <w:rPr>
          <w:rFonts w:ascii="Times New Roman" w:eastAsia="Times New Roman" w:hAnsi="Times New Roman" w:cs="Times New Roman"/>
          <w:sz w:val="24"/>
          <w:szCs w:val="24"/>
        </w:rPr>
        <w:br/>
        <w:t>A proportionate random sampling technique was employed to ensure fair and representativ</w:t>
      </w:r>
      <w:r>
        <w:rPr>
          <w:rFonts w:ascii="Times New Roman" w:eastAsia="Times New Roman" w:hAnsi="Times New Roman" w:cs="Times New Roman"/>
          <w:sz w:val="24"/>
          <w:szCs w:val="24"/>
        </w:rPr>
        <w:t>e inclusion of respondents from all three locations. A total of 173 post-graduate students were selected, which accounted for 30% of the entire post-graduate student population across the mentioned colleges. This sampling approach helped ensure that the sa</w:t>
      </w:r>
      <w:r>
        <w:rPr>
          <w:rFonts w:ascii="Times New Roman" w:eastAsia="Times New Roman" w:hAnsi="Times New Roman" w:cs="Times New Roman"/>
          <w:sz w:val="24"/>
          <w:szCs w:val="24"/>
        </w:rPr>
        <w:t>mple accurately reflected the demographics and diversity of the student body.</w:t>
      </w:r>
    </w:p>
    <w:p w:rsidR="00E408E2" w:rsidRDefault="00C118CE">
      <w:pPr>
        <w:spacing w:line="360" w:lineRule="auto"/>
        <w:ind w:left="284" w:hanging="284"/>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Design</w:t>
      </w:r>
      <w:r>
        <w:rPr>
          <w:rFonts w:ascii="Times New Roman" w:eastAsia="Times New Roman" w:hAnsi="Times New Roman" w:cs="Times New Roman"/>
          <w:sz w:val="24"/>
          <w:szCs w:val="24"/>
        </w:rPr>
        <w:br/>
        <w:t>The study followed an ex-post facto research design. This type of design is particularly suited for exploring existing conditions or relationships without the dir</w:t>
      </w:r>
      <w:r>
        <w:rPr>
          <w:rFonts w:ascii="Times New Roman" w:eastAsia="Times New Roman" w:hAnsi="Times New Roman" w:cs="Times New Roman"/>
          <w:sz w:val="24"/>
          <w:szCs w:val="24"/>
        </w:rPr>
        <w:t>ect manipulation of variables. It allows researchers to observe natural associations and draw inferences based on already established phenomena or behaviours.</w:t>
      </w:r>
    </w:p>
    <w:p w:rsidR="00E408E2" w:rsidRDefault="00C118CE">
      <w:pPr>
        <w:spacing w:line="360" w:lineRule="auto"/>
        <w:ind w:left="284" w:hanging="284"/>
        <w:rPr>
          <w:rFonts w:ascii="Times New Roman" w:eastAsia="Times New Roman" w:hAnsi="Times New Roman" w:cs="Times New Roman"/>
          <w:sz w:val="24"/>
          <w:szCs w:val="24"/>
        </w:rPr>
      </w:pPr>
      <w:r>
        <w:rPr>
          <w:rFonts w:ascii="Times New Roman" w:eastAsia="Times New Roman" w:hAnsi="Times New Roman" w:cs="Times New Roman"/>
          <w:b/>
          <w:sz w:val="24"/>
          <w:szCs w:val="24"/>
        </w:rPr>
        <w:t>Data Collection Procedure</w:t>
      </w:r>
      <w:r>
        <w:rPr>
          <w:rFonts w:ascii="Times New Roman" w:eastAsia="Times New Roman" w:hAnsi="Times New Roman" w:cs="Times New Roman"/>
          <w:sz w:val="24"/>
          <w:szCs w:val="24"/>
        </w:rPr>
        <w:br/>
        <w:t>Primary data was collected through a well-structured questionnaire, met</w:t>
      </w:r>
      <w:r>
        <w:rPr>
          <w:rFonts w:ascii="Times New Roman" w:eastAsia="Times New Roman" w:hAnsi="Times New Roman" w:cs="Times New Roman"/>
          <w:sz w:val="24"/>
          <w:szCs w:val="24"/>
        </w:rPr>
        <w:t>iculously developed to align with the objectives of the study. To accommodate a wider reach and ensure ease of participation, the questionnaire was distributed via online mode using Google Forms. This approach not only facilitated timely data collection bu</w:t>
      </w:r>
      <w:r>
        <w:rPr>
          <w:rFonts w:ascii="Times New Roman" w:eastAsia="Times New Roman" w:hAnsi="Times New Roman" w:cs="Times New Roman"/>
          <w:sz w:val="24"/>
          <w:szCs w:val="24"/>
        </w:rPr>
        <w:t>t also ensured accessibility for all participants regardless of their geographical location.</w:t>
      </w:r>
    </w:p>
    <w:p w:rsidR="00E408E2" w:rsidRDefault="00C118CE">
      <w:pPr>
        <w:spacing w:line="360" w:lineRule="auto"/>
        <w:ind w:left="284" w:hanging="284"/>
        <w:rPr>
          <w:rFonts w:ascii="Times New Roman" w:eastAsia="Times New Roman" w:hAnsi="Times New Roman" w:cs="Times New Roman"/>
          <w:sz w:val="24"/>
          <w:szCs w:val="24"/>
        </w:rPr>
      </w:pPr>
      <w:r>
        <w:rPr>
          <w:rFonts w:ascii="Times New Roman" w:eastAsia="Times New Roman" w:hAnsi="Times New Roman" w:cs="Times New Roman"/>
          <w:b/>
          <w:sz w:val="24"/>
          <w:szCs w:val="24"/>
        </w:rPr>
        <w:t>Data Analysis</w:t>
      </w:r>
      <w:r>
        <w:rPr>
          <w:rFonts w:ascii="Times New Roman" w:eastAsia="Times New Roman" w:hAnsi="Times New Roman" w:cs="Times New Roman"/>
          <w:sz w:val="24"/>
          <w:szCs w:val="24"/>
        </w:rPr>
        <w:br/>
        <w:t>After the data collection phase, responses were carefully organized, tabulated, and subjected to statistical analysis. Descriptive statistics such as</w:t>
      </w:r>
      <w:r>
        <w:rPr>
          <w:rFonts w:ascii="Times New Roman" w:eastAsia="Times New Roman" w:hAnsi="Times New Roman" w:cs="Times New Roman"/>
          <w:sz w:val="24"/>
          <w:szCs w:val="24"/>
        </w:rPr>
        <w:t xml:space="preserve"> frequency, mean, percentage, and standard deviation were utilized to summarize the findings and draw meaningful interpretations. These tools allowed for the systematic presentation and understanding of patterns, trends, and variations within the data.</w:t>
      </w:r>
    </w:p>
    <w:p w:rsidR="00E408E2" w:rsidRDefault="00C118CE">
      <w:pPr>
        <w:spacing w:line="36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sz w:val="24"/>
          <w:szCs w:val="24"/>
        </w:rPr>
        <w:t>Result and Discussion</w:t>
      </w:r>
    </w:p>
    <w:p w:rsidR="00E408E2" w:rsidRDefault="00C118CE">
      <w:pPr>
        <w:spacing w:line="36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4.1 Usage pattern of e-resources by post-graduate students</w:t>
      </w:r>
    </w:p>
    <w:p w:rsidR="00E408E2" w:rsidRDefault="00C118CE">
      <w:pPr>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institutions and systems heavily rely on learning, teaching, and research, all of which depend on information resources. These resources serve as key drivers in shapi</w:t>
      </w:r>
      <w:r>
        <w:rPr>
          <w:rFonts w:ascii="Times New Roman" w:eastAsia="Times New Roman" w:hAnsi="Times New Roman" w:cs="Times New Roman"/>
          <w:sz w:val="24"/>
          <w:szCs w:val="24"/>
        </w:rPr>
        <w:t>ng a knowledgeable society. Information and communication tools play a crucial role in education. With this in mind, an effort was made to assess the level of usage of use e-resources by post-graduate students. The findings are presented under the followin</w:t>
      </w:r>
      <w:r>
        <w:rPr>
          <w:rFonts w:ascii="Times New Roman" w:eastAsia="Times New Roman" w:hAnsi="Times New Roman" w:cs="Times New Roman"/>
          <w:sz w:val="24"/>
          <w:szCs w:val="24"/>
        </w:rPr>
        <w:t>g sections.</w:t>
      </w:r>
    </w:p>
    <w:p w:rsidR="00E408E2" w:rsidRDefault="00C118CE">
      <w:pPr>
        <w:spacing w:line="36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1: Distribution of components used according to their usage pattern of e-resources </w:t>
      </w:r>
    </w:p>
    <w:p w:rsidR="00E408E2" w:rsidRDefault="00C118CE">
      <w:pPr>
        <w:spacing w:line="360" w:lineRule="auto"/>
        <w:ind w:left="284"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 </w:t>
      </w:r>
    </w:p>
    <w:tbl>
      <w:tblPr>
        <w:tblStyle w:val="a"/>
        <w:tblW w:w="7189"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
        <w:gridCol w:w="2466"/>
        <w:gridCol w:w="1068"/>
        <w:gridCol w:w="956"/>
        <w:gridCol w:w="956"/>
        <w:gridCol w:w="948"/>
      </w:tblGrid>
      <w:tr w:rsidR="00E408E2">
        <w:tc>
          <w:tcPr>
            <w:tcW w:w="795"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Sr. No</w:t>
            </w:r>
          </w:p>
        </w:tc>
        <w:tc>
          <w:tcPr>
            <w:tcW w:w="2466"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e-resources</w:t>
            </w:r>
          </w:p>
        </w:tc>
        <w:tc>
          <w:tcPr>
            <w:tcW w:w="1068"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MF</w:t>
            </w:r>
          </w:p>
        </w:tc>
        <w:tc>
          <w:tcPr>
            <w:tcW w:w="956"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tc>
        <w:tc>
          <w:tcPr>
            <w:tcW w:w="956"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LF</w:t>
            </w:r>
          </w:p>
        </w:tc>
        <w:tc>
          <w:tcPr>
            <w:tcW w:w="948"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6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Web Portals</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54.911%</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35.26%</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7.51%</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6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Websites Related to </w:t>
            </w:r>
          </w:p>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Agriculture</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5.78%</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32.94%</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8.67%</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0.57%</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6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E-Journals in Agriculture / </w:t>
            </w:r>
            <w:proofErr w:type="spellStart"/>
            <w:r>
              <w:rPr>
                <w:rFonts w:ascii="Times New Roman" w:eastAsia="Times New Roman" w:hAnsi="Times New Roman" w:cs="Times New Roman"/>
                <w:sz w:val="24"/>
                <w:szCs w:val="24"/>
              </w:rPr>
              <w:t>Cera</w:t>
            </w:r>
            <w:proofErr w:type="spellEnd"/>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41.61%</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39.88%</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13.87%</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4.62%</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6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E-Books in Agriculture</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43.93%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43.35%</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9.82%</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46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E-Newspaper</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42.77%</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36.99%</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15.02%</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66" w:type="dxa"/>
          </w:tcPr>
          <w:p w:rsidR="00E408E2" w:rsidRDefault="00C118CE">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Etd’s</w:t>
            </w:r>
            <w:proofErr w:type="spellEnd"/>
            <w:r>
              <w:rPr>
                <w:rFonts w:ascii="Times New Roman" w:eastAsia="Times New Roman" w:hAnsi="Times New Roman" w:cs="Times New Roman"/>
                <w:sz w:val="24"/>
                <w:szCs w:val="24"/>
              </w:rPr>
              <w:t xml:space="preserve"> (Electronic Thesis Dissertation) Krishi </w:t>
            </w:r>
            <w:proofErr w:type="spellStart"/>
            <w:r>
              <w:rPr>
                <w:rFonts w:ascii="Times New Roman" w:eastAsia="Times New Roman" w:hAnsi="Times New Roman" w:cs="Times New Roman"/>
                <w:sz w:val="24"/>
                <w:szCs w:val="24"/>
              </w:rPr>
              <w:t>Kosh</w:t>
            </w:r>
            <w:proofErr w:type="spellEnd"/>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37.57%</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43.35%</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15.02%</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4.04%</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E-Prints</w:t>
            </w:r>
            <w:r>
              <w:rPr>
                <w:rFonts w:ascii="Times New Roman" w:eastAsia="Times New Roman" w:hAnsi="Times New Roman" w:cs="Times New Roman"/>
                <w:sz w:val="24"/>
                <w:szCs w:val="24"/>
              </w:rPr>
              <w:tab/>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36.99%</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43.35%</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16.76%</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w:t>
            </w:r>
          </w:p>
        </w:tc>
      </w:tr>
      <w:tr w:rsidR="00E408E2">
        <w:trPr>
          <w:trHeight w:val="814"/>
        </w:trPr>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E-Magazines</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30.63%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43.93%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16.76%</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Touch Screen Kiosk</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26.58%</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45.66%</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16.18%</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11.56%</w:t>
            </w:r>
          </w:p>
        </w:tc>
      </w:tr>
      <w:tr w:rsidR="00E408E2">
        <w:trPr>
          <w:trHeight w:val="864"/>
        </w:trPr>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Agri.Mobile</w:t>
            </w:r>
            <w:proofErr w:type="spellEnd"/>
            <w:r>
              <w:rPr>
                <w:rFonts w:ascii="Times New Roman" w:eastAsia="Times New Roman" w:hAnsi="Times New Roman" w:cs="Times New Roman"/>
                <w:sz w:val="24"/>
                <w:szCs w:val="24"/>
              </w:rPr>
              <w:t xml:space="preserve"> apps</w:t>
            </w:r>
          </w:p>
          <w:p w:rsidR="00E408E2" w:rsidRDefault="00E408E2">
            <w:pPr>
              <w:tabs>
                <w:tab w:val="right" w:pos="2703"/>
              </w:tabs>
              <w:spacing w:line="360" w:lineRule="auto"/>
              <w:jc w:val="both"/>
              <w:rPr>
                <w:rFonts w:ascii="Times New Roman" w:eastAsia="Times New Roman" w:hAnsi="Times New Roman" w:cs="Times New Roman"/>
                <w:sz w:val="24"/>
                <w:szCs w:val="24"/>
              </w:rPr>
            </w:pPr>
          </w:p>
        </w:tc>
        <w:tc>
          <w:tcPr>
            <w:tcW w:w="1068" w:type="dxa"/>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46.82%</w:t>
            </w:r>
          </w:p>
        </w:tc>
        <w:tc>
          <w:tcPr>
            <w:tcW w:w="956" w:type="dxa"/>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34.68%</w:t>
            </w:r>
          </w:p>
        </w:tc>
        <w:tc>
          <w:tcPr>
            <w:tcW w:w="956" w:type="dxa"/>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16.18%</w:t>
            </w:r>
          </w:p>
        </w:tc>
        <w:tc>
          <w:tcPr>
            <w:tcW w:w="948" w:type="dxa"/>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E-analysis of data</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35.83%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43.35%</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16.18%</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4.62%</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Presentation software</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42.19%</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34.68%</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17.34%</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5.78%</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E-payment</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61.27%</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27.74%</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9.82%</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E-chat</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46.82%</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35.83%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13.29%</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4.04%</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Wikipedia</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62.42%</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25.43%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9.82%</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E-map</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55.49%</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34.68%</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6.93%</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E-ticket</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52.02%</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32.36%</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9.24%</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E-shopping</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54.33%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34.10%</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6.93%</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4.62%</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E-banking</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61.84%</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27.74%</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8.09%</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E-library</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47.97%</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38.72%</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9.82%</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w:t>
            </w:r>
          </w:p>
        </w:tc>
      </w:tr>
      <w:tr w:rsidR="00E408E2">
        <w:trPr>
          <w:trHeight w:val="850"/>
        </w:trPr>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Portable Computer Database (CD/DVD etc)</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43.35%</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42.19%</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10.98%</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w:t>
            </w:r>
          </w:p>
        </w:tc>
      </w:tr>
      <w:tr w:rsidR="00E408E2">
        <w:tc>
          <w:tcPr>
            <w:tcW w:w="79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466" w:type="dxa"/>
          </w:tcPr>
          <w:p w:rsidR="00E408E2" w:rsidRDefault="00C118CE">
            <w:pPr>
              <w:tabs>
                <w:tab w:val="right" w:pos="2703"/>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Presentation Software’s</w:t>
            </w:r>
          </w:p>
        </w:tc>
        <w:tc>
          <w:tcPr>
            <w:tcW w:w="106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38.72%</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40.46%</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12.13%</w:t>
            </w:r>
          </w:p>
        </w:tc>
        <w:tc>
          <w:tcPr>
            <w:tcW w:w="948"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8.67%</w:t>
            </w:r>
          </w:p>
        </w:tc>
      </w:tr>
    </w:tbl>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Note: MF- Most frequently; F- Frequently; NU- Not used  </w:t>
      </w:r>
    </w:p>
    <w:p w:rsidR="00E408E2" w:rsidRDefault="00C118CE">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data in the Table: A indicates online and offline e-resources highlights a strong preference for general-purpose and easily accessible digital tools among users. Wikipe</w:t>
      </w:r>
      <w:r>
        <w:rPr>
          <w:rFonts w:ascii="Times New Roman" w:eastAsia="Times New Roman" w:hAnsi="Times New Roman" w:cs="Times New Roman"/>
          <w:sz w:val="24"/>
          <w:szCs w:val="24"/>
        </w:rPr>
        <w:t xml:space="preserve">dia, e-banking, and e-payment emerged as the top three most used online resources, reflecting a tendency toward platforms that support quick access to information and practical digital services. Other frequently used resources include e-maps, web portals, </w:t>
      </w:r>
      <w:r>
        <w:rPr>
          <w:rFonts w:ascii="Times New Roman" w:eastAsia="Times New Roman" w:hAnsi="Times New Roman" w:cs="Times New Roman"/>
          <w:sz w:val="24"/>
          <w:szCs w:val="24"/>
        </w:rPr>
        <w:t xml:space="preserve">e-shopping, and e-ticketing, all of which cater to convenience and daily utility. In contrast, more specialized academic tools such as e-journals, e-books in agriculture, ETDs (Krishi </w:t>
      </w:r>
      <w:proofErr w:type="spellStart"/>
      <w:r>
        <w:rPr>
          <w:rFonts w:ascii="Times New Roman" w:eastAsia="Times New Roman" w:hAnsi="Times New Roman" w:cs="Times New Roman"/>
          <w:sz w:val="24"/>
          <w:szCs w:val="24"/>
        </w:rPr>
        <w:t>Kosh</w:t>
      </w:r>
      <w:proofErr w:type="spellEnd"/>
      <w:r>
        <w:rPr>
          <w:rFonts w:ascii="Times New Roman" w:eastAsia="Times New Roman" w:hAnsi="Times New Roman" w:cs="Times New Roman"/>
          <w:sz w:val="24"/>
          <w:szCs w:val="24"/>
        </w:rPr>
        <w:t>), and e-prints received moderate to low usage, indicating limited e</w:t>
      </w:r>
      <w:r>
        <w:rPr>
          <w:rFonts w:ascii="Times New Roman" w:eastAsia="Times New Roman" w:hAnsi="Times New Roman" w:cs="Times New Roman"/>
          <w:sz w:val="24"/>
          <w:szCs w:val="24"/>
        </w:rPr>
        <w:t>ngagement with scholarly content. Resources like touch screen kiosks, e-magazines, and websites related to agriculture ranked the lowest, possibly due to accessibility issues or lack of awareness. Among offline e-resources, portable computer databases were</w:t>
      </w:r>
      <w:r>
        <w:rPr>
          <w:rFonts w:ascii="Times New Roman" w:eastAsia="Times New Roman" w:hAnsi="Times New Roman" w:cs="Times New Roman"/>
          <w:sz w:val="24"/>
          <w:szCs w:val="24"/>
        </w:rPr>
        <w:t xml:space="preserve"> slightly more preferred than offline presentation software, though both ranked lower than most online tools. Overall, the data suggests a clear user preference for easily navigable and service-oriented online platforms over academic or offline resources, </w:t>
      </w:r>
      <w:r>
        <w:rPr>
          <w:rFonts w:ascii="Times New Roman" w:eastAsia="Times New Roman" w:hAnsi="Times New Roman" w:cs="Times New Roman"/>
          <w:sz w:val="24"/>
          <w:szCs w:val="24"/>
        </w:rPr>
        <w:t xml:space="preserve">underlining the </w:t>
      </w:r>
      <w:r>
        <w:rPr>
          <w:rFonts w:ascii="Times New Roman" w:eastAsia="Times New Roman" w:hAnsi="Times New Roman" w:cs="Times New Roman"/>
          <w:sz w:val="24"/>
          <w:szCs w:val="24"/>
        </w:rPr>
        <w:lastRenderedPageBreak/>
        <w:t>importance of enhancing accessibility and awareness of educational digital tools for broader adoption in research and learning contexts.</w:t>
      </w:r>
    </w:p>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
    <w:tbl>
      <w:tblPr>
        <w:tblStyle w:val="a0"/>
        <w:tblpPr w:leftFromText="180" w:rightFromText="180" w:vertAnchor="text" w:tblpX="2082" w:tblpY="121"/>
        <w:tblW w:w="55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8"/>
        <w:gridCol w:w="1490"/>
        <w:gridCol w:w="956"/>
        <w:gridCol w:w="1323"/>
        <w:gridCol w:w="956"/>
      </w:tblGrid>
      <w:tr w:rsidR="00E408E2">
        <w:tc>
          <w:tcPr>
            <w:tcW w:w="84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Sr. No</w:t>
            </w:r>
          </w:p>
        </w:tc>
        <w:tc>
          <w:tcPr>
            <w:tcW w:w="1490"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Access point</w:t>
            </w:r>
          </w:p>
        </w:tc>
        <w:tc>
          <w:tcPr>
            <w:tcW w:w="95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Mostly</w:t>
            </w:r>
          </w:p>
        </w:tc>
        <w:tc>
          <w:tcPr>
            <w:tcW w:w="1323"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Sometimes</w:t>
            </w:r>
          </w:p>
        </w:tc>
        <w:tc>
          <w:tcPr>
            <w:tcW w:w="95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Never</w:t>
            </w:r>
          </w:p>
        </w:tc>
      </w:tr>
      <w:tr w:rsidR="00E408E2">
        <w:tc>
          <w:tcPr>
            <w:tcW w:w="84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90"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Library</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58.95%</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35.83%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tc>
      </w:tr>
      <w:tr w:rsidR="00E408E2">
        <w:tc>
          <w:tcPr>
            <w:tcW w:w="84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90"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Cyber cafe</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47.39%</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39.47%</w:t>
            </w:r>
          </w:p>
        </w:tc>
      </w:tr>
      <w:tr w:rsidR="00E408E2">
        <w:tc>
          <w:tcPr>
            <w:tcW w:w="84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90"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home</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68.20%</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26.58%</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tc>
      </w:tr>
      <w:tr w:rsidR="00E408E2">
        <w:tc>
          <w:tcPr>
            <w:tcW w:w="84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90"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Hostels</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30.63%</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37.57%</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31.79%</w:t>
            </w:r>
          </w:p>
        </w:tc>
      </w:tr>
      <w:tr w:rsidR="00E408E2">
        <w:tc>
          <w:tcPr>
            <w:tcW w:w="84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90"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63.58%</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33.52%</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w:t>
            </w:r>
          </w:p>
        </w:tc>
      </w:tr>
    </w:tbl>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408E2" w:rsidRDefault="00E408E2">
      <w:pPr>
        <w:spacing w:line="360" w:lineRule="auto"/>
        <w:jc w:val="both"/>
        <w:rPr>
          <w:rFonts w:ascii="Times New Roman" w:eastAsia="Times New Roman" w:hAnsi="Times New Roman" w:cs="Times New Roman"/>
          <w:sz w:val="24"/>
          <w:szCs w:val="24"/>
        </w:rPr>
      </w:pPr>
    </w:p>
    <w:p w:rsidR="00E408E2" w:rsidRDefault="00E408E2">
      <w:pPr>
        <w:spacing w:line="360" w:lineRule="auto"/>
        <w:ind w:firstLine="720"/>
        <w:jc w:val="both"/>
        <w:rPr>
          <w:rFonts w:ascii="Times New Roman" w:eastAsia="Times New Roman" w:hAnsi="Times New Roman" w:cs="Times New Roman"/>
          <w:sz w:val="24"/>
          <w:szCs w:val="24"/>
        </w:rPr>
      </w:pPr>
    </w:p>
    <w:p w:rsidR="00E408E2" w:rsidRDefault="00E408E2">
      <w:pPr>
        <w:spacing w:line="360" w:lineRule="auto"/>
        <w:ind w:firstLine="720"/>
        <w:jc w:val="both"/>
        <w:rPr>
          <w:rFonts w:ascii="Times New Roman" w:eastAsia="Times New Roman" w:hAnsi="Times New Roman" w:cs="Times New Roman"/>
          <w:sz w:val="24"/>
          <w:szCs w:val="24"/>
        </w:rPr>
      </w:pPr>
    </w:p>
    <w:p w:rsidR="00E408E2" w:rsidRDefault="00E408E2">
      <w:pPr>
        <w:spacing w:line="360" w:lineRule="auto"/>
        <w:ind w:firstLine="720"/>
        <w:jc w:val="both"/>
        <w:rPr>
          <w:rFonts w:ascii="Times New Roman" w:eastAsia="Times New Roman" w:hAnsi="Times New Roman" w:cs="Times New Roman"/>
          <w:sz w:val="24"/>
          <w:szCs w:val="24"/>
        </w:rPr>
      </w:pPr>
    </w:p>
    <w:p w:rsidR="00E408E2" w:rsidRDefault="00E408E2">
      <w:pPr>
        <w:spacing w:line="360" w:lineRule="auto"/>
        <w:ind w:firstLine="720"/>
        <w:jc w:val="both"/>
        <w:rPr>
          <w:rFonts w:ascii="Times New Roman" w:eastAsia="Times New Roman" w:hAnsi="Times New Roman" w:cs="Times New Roman"/>
          <w:sz w:val="24"/>
          <w:szCs w:val="24"/>
        </w:rPr>
      </w:pPr>
    </w:p>
    <w:p w:rsidR="00E408E2" w:rsidRDefault="00E408E2">
      <w:pPr>
        <w:spacing w:line="360" w:lineRule="auto"/>
        <w:ind w:firstLine="720"/>
        <w:jc w:val="both"/>
        <w:rPr>
          <w:rFonts w:ascii="Times New Roman" w:eastAsia="Times New Roman" w:hAnsi="Times New Roman" w:cs="Times New Roman"/>
          <w:sz w:val="24"/>
          <w:szCs w:val="24"/>
        </w:rPr>
      </w:pPr>
    </w:p>
    <w:p w:rsidR="00E408E2" w:rsidRDefault="00E408E2">
      <w:pPr>
        <w:spacing w:line="360" w:lineRule="auto"/>
        <w:ind w:firstLine="720"/>
        <w:jc w:val="both"/>
        <w:rPr>
          <w:rFonts w:ascii="Times New Roman" w:eastAsia="Times New Roman" w:hAnsi="Times New Roman" w:cs="Times New Roman"/>
          <w:sz w:val="24"/>
          <w:szCs w:val="24"/>
        </w:rPr>
      </w:pPr>
    </w:p>
    <w:p w:rsidR="00E408E2" w:rsidRDefault="00E408E2">
      <w:pPr>
        <w:spacing w:line="360" w:lineRule="auto"/>
        <w:ind w:firstLine="720"/>
        <w:jc w:val="both"/>
        <w:rPr>
          <w:rFonts w:ascii="Times New Roman" w:eastAsia="Times New Roman" w:hAnsi="Times New Roman" w:cs="Times New Roman"/>
          <w:sz w:val="24"/>
          <w:szCs w:val="24"/>
        </w:rPr>
      </w:pPr>
    </w:p>
    <w:p w:rsidR="00E408E2" w:rsidRDefault="00C118C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shows that, home is the most preferred internet access point, used mostly by 68.20 per cent of users, followed by the department 63.58 per cent and library 58.95 per cent. Hostels and cyber cafes are the least preferred, with only 30.63 per cent a</w:t>
      </w:r>
      <w:r>
        <w:rPr>
          <w:rFonts w:ascii="Times New Roman" w:eastAsia="Times New Roman" w:hAnsi="Times New Roman" w:cs="Times New Roman"/>
          <w:sz w:val="24"/>
          <w:szCs w:val="24"/>
        </w:rPr>
        <w:t>nd 23.12 per cent using them mostly, respectively. This indicates a strong preference for personal and institutional access over public or shared facilities.</w:t>
      </w:r>
    </w:p>
    <w:p w:rsidR="00E408E2" w:rsidRDefault="00C118C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w:t>
      </w:r>
    </w:p>
    <w:tbl>
      <w:tblPr>
        <w:tblStyle w:val="a1"/>
        <w:tblpPr w:leftFromText="180" w:rightFromText="180" w:vertAnchor="text" w:tblpX="1150" w:tblpY="9"/>
        <w:tblW w:w="76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998"/>
        <w:gridCol w:w="956"/>
        <w:gridCol w:w="956"/>
        <w:gridCol w:w="956"/>
        <w:gridCol w:w="956"/>
        <w:gridCol w:w="956"/>
      </w:tblGrid>
      <w:tr w:rsidR="00E408E2">
        <w:trPr>
          <w:trHeight w:val="556"/>
        </w:trPr>
        <w:tc>
          <w:tcPr>
            <w:tcW w:w="846"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Sr. No</w:t>
            </w:r>
          </w:p>
        </w:tc>
        <w:tc>
          <w:tcPr>
            <w:tcW w:w="1998"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E-resources</w:t>
            </w:r>
          </w:p>
        </w:tc>
        <w:tc>
          <w:tcPr>
            <w:tcW w:w="956"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Daily</w:t>
            </w:r>
          </w:p>
        </w:tc>
        <w:tc>
          <w:tcPr>
            <w:tcW w:w="956"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w:t>
            </w:r>
          </w:p>
        </w:tc>
        <w:tc>
          <w:tcPr>
            <w:tcW w:w="956"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OW</w:t>
            </w:r>
          </w:p>
        </w:tc>
        <w:tc>
          <w:tcPr>
            <w:tcW w:w="956"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w:t>
            </w:r>
          </w:p>
          <w:p w:rsidR="00E408E2" w:rsidRDefault="00E408E2">
            <w:pPr>
              <w:spacing w:line="360" w:lineRule="auto"/>
              <w:jc w:val="both"/>
              <w:rPr>
                <w:rFonts w:ascii="Times New Roman" w:eastAsia="Times New Roman" w:hAnsi="Times New Roman" w:cs="Times New Roman"/>
                <w:b/>
                <w:sz w:val="24"/>
                <w:szCs w:val="24"/>
              </w:rPr>
            </w:pPr>
          </w:p>
        </w:tc>
        <w:tc>
          <w:tcPr>
            <w:tcW w:w="956"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w:t>
            </w:r>
          </w:p>
        </w:tc>
      </w:tr>
      <w:tr w:rsidR="00E408E2">
        <w:trPr>
          <w:trHeight w:val="422"/>
        </w:trPr>
        <w:tc>
          <w:tcPr>
            <w:tcW w:w="84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9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E-catalogue</w:t>
            </w:r>
          </w:p>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(OPAC)</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22.54%</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16.18%</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28.90%</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12.13%</w:t>
            </w:r>
          </w:p>
        </w:tc>
      </w:tr>
      <w:tr w:rsidR="00E408E2">
        <w:trPr>
          <w:trHeight w:val="422"/>
        </w:trPr>
        <w:tc>
          <w:tcPr>
            <w:tcW w:w="84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9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Internet</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80.92%</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8.09%</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6.35%</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r>
      <w:tr w:rsidR="00E408E2">
        <w:trPr>
          <w:trHeight w:val="422"/>
        </w:trPr>
        <w:tc>
          <w:tcPr>
            <w:tcW w:w="84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9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E-books</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39.30%</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28.32%</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16.18%</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15.60%</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0.57%</w:t>
            </w:r>
          </w:p>
        </w:tc>
      </w:tr>
      <w:tr w:rsidR="00E408E2">
        <w:trPr>
          <w:trHeight w:val="422"/>
        </w:trPr>
        <w:tc>
          <w:tcPr>
            <w:tcW w:w="84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9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E-journals</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31.21%</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24.43%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19.65%</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20.80%</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w:t>
            </w:r>
          </w:p>
        </w:tc>
      </w:tr>
      <w:tr w:rsidR="00E408E2">
        <w:trPr>
          <w:trHeight w:val="422"/>
        </w:trPr>
        <w:tc>
          <w:tcPr>
            <w:tcW w:w="84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9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Online databases</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42.19%</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27.74%</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13.87%</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13.87%</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r>
      <w:tr w:rsidR="00E408E2">
        <w:trPr>
          <w:trHeight w:val="400"/>
        </w:trPr>
        <w:tc>
          <w:tcPr>
            <w:tcW w:w="84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98"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Online thesis</w:t>
            </w:r>
            <w:r>
              <w:rPr>
                <w:rFonts w:ascii="Times New Roman" w:eastAsia="Times New Roman" w:hAnsi="Times New Roman" w:cs="Times New Roman"/>
                <w:b/>
                <w:sz w:val="24"/>
                <w:szCs w:val="24"/>
              </w:rPr>
              <w:t xml:space="preserve"> </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34.10%</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30.63%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19.07%</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13.87%</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w:t>
            </w:r>
          </w:p>
        </w:tc>
      </w:tr>
    </w:tbl>
    <w:p w:rsidR="00E408E2" w:rsidRDefault="00E408E2">
      <w:pPr>
        <w:rPr>
          <w:rFonts w:ascii="Times New Roman" w:eastAsia="Times New Roman" w:hAnsi="Times New Roman" w:cs="Times New Roman"/>
          <w:b/>
          <w:sz w:val="24"/>
          <w:szCs w:val="24"/>
        </w:rPr>
      </w:pPr>
    </w:p>
    <w:p w:rsidR="00E408E2" w:rsidRDefault="00C118C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408E2" w:rsidRDefault="00C118C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Note: TW-Twice a week; OW-Once a week; O-Occasionally; NU-Not used</w:t>
      </w:r>
    </w:p>
    <w:p w:rsidR="00E408E2" w:rsidRDefault="00C118CE">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Pr>
          <w:rFonts w:ascii="Times New Roman" w:eastAsia="Times New Roman" w:hAnsi="Times New Roman" w:cs="Times New Roman"/>
          <w:sz w:val="24"/>
          <w:szCs w:val="24"/>
        </w:rPr>
        <w:t>The data in Table: C indicates the internet is the most frequently used digital resource (80.92%), followed by online databases (42.19%) and e-books (39.30%). Online theses and e-journals have moderate usage, respectively. The e-catalogue (OPAC) is the lea</w:t>
      </w:r>
      <w:r>
        <w:rPr>
          <w:rFonts w:ascii="Times New Roman" w:eastAsia="Times New Roman" w:hAnsi="Times New Roman" w:cs="Times New Roman"/>
          <w:sz w:val="24"/>
          <w:szCs w:val="24"/>
        </w:rPr>
        <w:t>st used (20.23%), indicating a preference for broader, easily accessible online tools over traditional library systems.</w:t>
      </w:r>
    </w:p>
    <w:p w:rsidR="00E408E2" w:rsidRDefault="00E408E2">
      <w:pPr>
        <w:rPr>
          <w:rFonts w:ascii="Times New Roman" w:eastAsia="Times New Roman" w:hAnsi="Times New Roman" w:cs="Times New Roman"/>
          <w:b/>
          <w:sz w:val="24"/>
          <w:szCs w:val="24"/>
        </w:rPr>
      </w:pPr>
    </w:p>
    <w:p w:rsidR="00E408E2" w:rsidRDefault="00C118C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D.</w:t>
      </w:r>
    </w:p>
    <w:tbl>
      <w:tblPr>
        <w:tblStyle w:val="a2"/>
        <w:tblW w:w="5366"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8"/>
        <w:gridCol w:w="1223"/>
        <w:gridCol w:w="956"/>
        <w:gridCol w:w="1323"/>
        <w:gridCol w:w="956"/>
      </w:tblGrid>
      <w:tr w:rsidR="00E408E2">
        <w:tc>
          <w:tcPr>
            <w:tcW w:w="909"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Sr. No</w:t>
            </w:r>
          </w:p>
        </w:tc>
        <w:tc>
          <w:tcPr>
            <w:tcW w:w="1223"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Formats</w:t>
            </w:r>
          </w:p>
        </w:tc>
        <w:tc>
          <w:tcPr>
            <w:tcW w:w="956"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Mostly</w:t>
            </w:r>
          </w:p>
        </w:tc>
        <w:tc>
          <w:tcPr>
            <w:tcW w:w="1323"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Sometimes</w:t>
            </w:r>
          </w:p>
        </w:tc>
        <w:tc>
          <w:tcPr>
            <w:tcW w:w="956"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Never</w:t>
            </w:r>
          </w:p>
        </w:tc>
      </w:tr>
      <w:tr w:rsidR="00E408E2">
        <w:tc>
          <w:tcPr>
            <w:tcW w:w="909"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23"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PDF</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86.70%</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r>
      <w:tr w:rsidR="00E408E2">
        <w:tc>
          <w:tcPr>
            <w:tcW w:w="909"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3"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PPT</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59.53%</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37.57%</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2.89%</w:t>
            </w:r>
          </w:p>
        </w:tc>
      </w:tr>
      <w:tr w:rsidR="00E408E2">
        <w:tc>
          <w:tcPr>
            <w:tcW w:w="909"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23"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HTML</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31.79%</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45.66%</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22.54%</w:t>
            </w:r>
          </w:p>
        </w:tc>
      </w:tr>
      <w:tr w:rsidR="00E408E2">
        <w:tc>
          <w:tcPr>
            <w:tcW w:w="909"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23"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Hard copy</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67.63%</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30.63%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r>
      <w:tr w:rsidR="00E408E2">
        <w:tc>
          <w:tcPr>
            <w:tcW w:w="909"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23"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Word</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57.80%</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38.72%</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w:t>
            </w:r>
          </w:p>
        </w:tc>
      </w:tr>
    </w:tbl>
    <w:p w:rsidR="00E408E2" w:rsidRDefault="00E408E2">
      <w:pPr>
        <w:rPr>
          <w:rFonts w:ascii="Times New Roman" w:eastAsia="Times New Roman" w:hAnsi="Times New Roman" w:cs="Times New Roman"/>
          <w:b/>
          <w:sz w:val="24"/>
          <w:szCs w:val="24"/>
        </w:rPr>
      </w:pPr>
    </w:p>
    <w:p w:rsidR="00E408E2" w:rsidRDefault="00C118C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possible reason is that PDF is a portable document format compatible with Windows and independent of hardware specifications. Therefore, post-graduate students largely preferred the PDF format for reading full-text articles.</w:t>
      </w:r>
    </w:p>
    <w:p w:rsidR="00E408E2" w:rsidRDefault="00C118C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 </w:t>
      </w:r>
    </w:p>
    <w:tbl>
      <w:tblPr>
        <w:tblStyle w:val="a3"/>
        <w:tblW w:w="5445"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8"/>
        <w:gridCol w:w="1362"/>
        <w:gridCol w:w="956"/>
        <w:gridCol w:w="1323"/>
        <w:gridCol w:w="956"/>
      </w:tblGrid>
      <w:tr w:rsidR="00E408E2">
        <w:tc>
          <w:tcPr>
            <w:tcW w:w="848"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Sr. No</w:t>
            </w:r>
          </w:p>
        </w:tc>
        <w:tc>
          <w:tcPr>
            <w:tcW w:w="1362"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Medium</w:t>
            </w:r>
          </w:p>
        </w:tc>
        <w:tc>
          <w:tcPr>
            <w:tcW w:w="956"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Mostly</w:t>
            </w:r>
          </w:p>
        </w:tc>
        <w:tc>
          <w:tcPr>
            <w:tcW w:w="1323"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Sometimes</w:t>
            </w:r>
          </w:p>
        </w:tc>
        <w:tc>
          <w:tcPr>
            <w:tcW w:w="956"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Never</w:t>
            </w:r>
          </w:p>
        </w:tc>
      </w:tr>
      <w:tr w:rsidR="00E408E2">
        <w:tc>
          <w:tcPr>
            <w:tcW w:w="84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2"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68.20%</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4.62%</w:t>
            </w:r>
          </w:p>
        </w:tc>
      </w:tr>
      <w:tr w:rsidR="00E408E2">
        <w:tc>
          <w:tcPr>
            <w:tcW w:w="84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62"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Www</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75.72%</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21.96%</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r>
      <w:tr w:rsidR="00E408E2">
        <w:tc>
          <w:tcPr>
            <w:tcW w:w="84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62"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E-journals</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45.66%</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47.3%</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6.93%</w:t>
            </w:r>
          </w:p>
        </w:tc>
      </w:tr>
      <w:tr w:rsidR="00E408E2">
        <w:tc>
          <w:tcPr>
            <w:tcW w:w="84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62"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E-books</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54.3%</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40.46%</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tc>
      </w:tr>
      <w:tr w:rsidR="00E408E2">
        <w:tc>
          <w:tcPr>
            <w:tcW w:w="848"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362"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E-magazine</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39.88%</w:t>
            </w:r>
          </w:p>
        </w:tc>
        <w:tc>
          <w:tcPr>
            <w:tcW w:w="1323"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47.39%</w:t>
            </w:r>
          </w:p>
        </w:tc>
        <w:tc>
          <w:tcPr>
            <w:tcW w:w="956" w:type="dxa"/>
            <w:vAlign w:val="center"/>
          </w:tcPr>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p w:rsidR="00E408E2" w:rsidRDefault="00C118C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12.71%</w:t>
            </w:r>
          </w:p>
        </w:tc>
      </w:tr>
    </w:tbl>
    <w:p w:rsidR="00E408E2" w:rsidRDefault="00E408E2">
      <w:pPr>
        <w:rPr>
          <w:rFonts w:ascii="Times New Roman" w:eastAsia="Times New Roman" w:hAnsi="Times New Roman" w:cs="Times New Roman"/>
          <w:b/>
          <w:sz w:val="24"/>
          <w:szCs w:val="24"/>
        </w:rPr>
      </w:pPr>
    </w:p>
    <w:p w:rsidR="00E408E2" w:rsidRDefault="00C118C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reason could be that the World Wide Web offers unlimited access to information from diverse sources, provides information at minimal cost, and is also commonly used for online learning.</w:t>
      </w:r>
    </w:p>
    <w:p w:rsidR="00E408E2" w:rsidRDefault="00E408E2">
      <w:pPr>
        <w:spacing w:line="360" w:lineRule="auto"/>
        <w:ind w:firstLine="720"/>
        <w:jc w:val="both"/>
        <w:rPr>
          <w:rFonts w:ascii="Times New Roman" w:eastAsia="Times New Roman" w:hAnsi="Times New Roman" w:cs="Times New Roman"/>
          <w:sz w:val="24"/>
          <w:szCs w:val="24"/>
        </w:rPr>
      </w:pPr>
    </w:p>
    <w:p w:rsidR="00E408E2" w:rsidRDefault="00C118CE">
      <w:pPr>
        <w:spacing w:line="360" w:lineRule="auto"/>
        <w:ind w:left="1276" w:hanging="127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Distribution of post-graduate students according to thei</w:t>
      </w:r>
      <w:r>
        <w:rPr>
          <w:rFonts w:ascii="Times New Roman" w:eastAsia="Times New Roman" w:hAnsi="Times New Roman" w:cs="Times New Roman"/>
          <w:b/>
          <w:sz w:val="24"/>
          <w:szCs w:val="24"/>
        </w:rPr>
        <w:t>r overall usage of e-resources</w:t>
      </w:r>
    </w:p>
    <w:tbl>
      <w:tblPr>
        <w:tblStyle w:val="a4"/>
        <w:tblW w:w="5681" w:type="dxa"/>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0"/>
        <w:gridCol w:w="2126"/>
        <w:gridCol w:w="1305"/>
        <w:gridCol w:w="1390"/>
      </w:tblGrid>
      <w:tr w:rsidR="00E408E2">
        <w:trPr>
          <w:trHeight w:val="126"/>
        </w:trPr>
        <w:tc>
          <w:tcPr>
            <w:tcW w:w="860" w:type="dxa"/>
            <w:vMerge w:val="restart"/>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Sr. No</w:t>
            </w:r>
          </w:p>
        </w:tc>
        <w:tc>
          <w:tcPr>
            <w:tcW w:w="2126" w:type="dxa"/>
            <w:vMerge w:val="restart"/>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Category</w:t>
            </w:r>
          </w:p>
        </w:tc>
        <w:tc>
          <w:tcPr>
            <w:tcW w:w="2695" w:type="dxa"/>
            <w:gridSpan w:val="2"/>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 (N=173)</w:t>
            </w:r>
          </w:p>
        </w:tc>
      </w:tr>
      <w:tr w:rsidR="00E408E2">
        <w:trPr>
          <w:trHeight w:val="126"/>
        </w:trPr>
        <w:tc>
          <w:tcPr>
            <w:tcW w:w="860" w:type="dxa"/>
            <w:vMerge/>
          </w:tcPr>
          <w:p w:rsidR="00E408E2" w:rsidRDefault="00E408E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26" w:type="dxa"/>
            <w:vMerge/>
          </w:tcPr>
          <w:p w:rsidR="00E408E2" w:rsidRDefault="00E408E2">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305"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390"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E408E2">
        <w:tc>
          <w:tcPr>
            <w:tcW w:w="860"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2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 (Up to </w:t>
            </w:r>
            <w:proofErr w:type="gramStart"/>
            <w:r>
              <w:rPr>
                <w:rFonts w:ascii="Times New Roman" w:eastAsia="Times New Roman" w:hAnsi="Times New Roman" w:cs="Times New Roman"/>
                <w:sz w:val="24"/>
                <w:szCs w:val="24"/>
              </w:rPr>
              <w:t>113 )</w:t>
            </w:r>
            <w:proofErr w:type="gramEnd"/>
          </w:p>
        </w:tc>
        <w:tc>
          <w:tcPr>
            <w:tcW w:w="130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390"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15.60</w:t>
            </w:r>
          </w:p>
        </w:tc>
      </w:tr>
      <w:tr w:rsidR="00E408E2">
        <w:tc>
          <w:tcPr>
            <w:tcW w:w="860"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2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Medium (114-149)</w:t>
            </w:r>
          </w:p>
        </w:tc>
        <w:tc>
          <w:tcPr>
            <w:tcW w:w="130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1390"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64.65</w:t>
            </w:r>
          </w:p>
        </w:tc>
      </w:tr>
      <w:tr w:rsidR="00E408E2">
        <w:tc>
          <w:tcPr>
            <w:tcW w:w="860"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126"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(above 149)</w:t>
            </w:r>
          </w:p>
        </w:tc>
        <w:tc>
          <w:tcPr>
            <w:tcW w:w="1305"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390" w:type="dxa"/>
          </w:tcPr>
          <w:p w:rsidR="00E408E2" w:rsidRDefault="00C118C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19.75</w:t>
            </w:r>
          </w:p>
        </w:tc>
      </w:tr>
      <w:tr w:rsidR="00E408E2">
        <w:tc>
          <w:tcPr>
            <w:tcW w:w="2986" w:type="dxa"/>
            <w:gridSpan w:val="2"/>
          </w:tcPr>
          <w:p w:rsidR="00E408E2" w:rsidRDefault="00C118CE">
            <w:pPr>
              <w:tabs>
                <w:tab w:val="left" w:pos="3996"/>
                <w:tab w:val="right" w:pos="6757"/>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Total</w:t>
            </w:r>
          </w:p>
        </w:tc>
        <w:tc>
          <w:tcPr>
            <w:tcW w:w="1305"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173</w:t>
            </w:r>
          </w:p>
        </w:tc>
        <w:tc>
          <w:tcPr>
            <w:tcW w:w="1390" w:type="dxa"/>
          </w:tcPr>
          <w:p w:rsidR="00E408E2" w:rsidRDefault="00C118C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100.00</w:t>
            </w:r>
          </w:p>
        </w:tc>
      </w:tr>
      <w:tr w:rsidR="00E408E2">
        <w:tc>
          <w:tcPr>
            <w:tcW w:w="5681" w:type="dxa"/>
            <w:gridSpan w:val="4"/>
          </w:tcPr>
          <w:p w:rsidR="00E408E2" w:rsidRDefault="00C118CE">
            <w:pPr>
              <w:tabs>
                <w:tab w:val="left" w:pos="864"/>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Mean=133.6                                                    S. D=18.8</w:t>
            </w:r>
          </w:p>
        </w:tc>
      </w:tr>
    </w:tbl>
    <w:p w:rsidR="00E408E2" w:rsidRDefault="00E408E2">
      <w:pPr>
        <w:spacing w:line="360" w:lineRule="auto"/>
        <w:jc w:val="both"/>
        <w:rPr>
          <w:rFonts w:ascii="Times New Roman" w:eastAsia="Times New Roman" w:hAnsi="Times New Roman" w:cs="Times New Roman"/>
          <w:sz w:val="24"/>
          <w:szCs w:val="24"/>
        </w:rPr>
      </w:pPr>
    </w:p>
    <w:p w:rsidR="00E408E2" w:rsidRDefault="00C118C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measure the overall usage of e-resources by Students (Post-graduate), major components were used viz. Type of e-resources used, Preferred place of access, Frequency of using e-res</w:t>
      </w:r>
      <w:r>
        <w:rPr>
          <w:rFonts w:ascii="Times New Roman" w:eastAsia="Times New Roman" w:hAnsi="Times New Roman" w:cs="Times New Roman"/>
          <w:sz w:val="24"/>
          <w:szCs w:val="24"/>
        </w:rPr>
        <w:t>ources, Preferred format for reading full text articles and access of e-resources of different medium. The information about these components were collected through pre-structured questionnaire (Google form) from the students and results are presented unde</w:t>
      </w:r>
      <w:r>
        <w:rPr>
          <w:rFonts w:ascii="Times New Roman" w:eastAsia="Times New Roman" w:hAnsi="Times New Roman" w:cs="Times New Roman"/>
          <w:sz w:val="24"/>
          <w:szCs w:val="24"/>
        </w:rPr>
        <w:t>r following heads.</w:t>
      </w:r>
    </w:p>
    <w:p w:rsidR="00E408E2" w:rsidRDefault="00C118CE" w:rsidP="00D26EA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According to the data in Table 2, the majority (64.65%) of post-graduate students at VNMKV, </w:t>
      </w:r>
      <w:proofErr w:type="spellStart"/>
      <w:r>
        <w:rPr>
          <w:rFonts w:ascii="Times New Roman" w:eastAsia="Times New Roman" w:hAnsi="Times New Roman" w:cs="Times New Roman"/>
          <w:sz w:val="24"/>
          <w:szCs w:val="24"/>
        </w:rPr>
        <w:t>Parbhani</w:t>
      </w:r>
      <w:proofErr w:type="spellEnd"/>
      <w:r>
        <w:rPr>
          <w:rFonts w:ascii="Times New Roman" w:eastAsia="Times New Roman" w:hAnsi="Times New Roman" w:cs="Times New Roman"/>
          <w:sz w:val="24"/>
          <w:szCs w:val="24"/>
        </w:rPr>
        <w:t xml:space="preserve"> were found to, usage of e-resources at a moderate level. Meanwhile, 19.75 per cent demonstrated a high level of usage, and only 15.6 pe</w:t>
      </w:r>
      <w:r>
        <w:rPr>
          <w:rFonts w:ascii="Times New Roman" w:eastAsia="Times New Roman" w:hAnsi="Times New Roman" w:cs="Times New Roman"/>
          <w:sz w:val="24"/>
          <w:szCs w:val="24"/>
        </w:rPr>
        <w:t xml:space="preserve">r cent reported a low-level use of e-resource. </w:t>
      </w:r>
      <w:r>
        <w:rPr>
          <w:rFonts w:ascii="Times New Roman" w:eastAsia="Times New Roman" w:hAnsi="Times New Roman" w:cs="Times New Roman"/>
          <w:sz w:val="24"/>
          <w:szCs w:val="24"/>
        </w:rPr>
        <w:t>This result supports with the Ajith K S and Asha Kumari.</w:t>
      </w:r>
    </w:p>
    <w:p w:rsidR="00D26EAB" w:rsidRDefault="00D26EAB" w:rsidP="00D26EAB">
      <w:pPr>
        <w:spacing w:line="360" w:lineRule="auto"/>
        <w:ind w:firstLine="720"/>
        <w:jc w:val="both"/>
        <w:rPr>
          <w:rFonts w:ascii="Times New Roman" w:eastAsia="Times New Roman" w:hAnsi="Times New Roman" w:cs="Times New Roman"/>
          <w:sz w:val="24"/>
          <w:szCs w:val="24"/>
        </w:rPr>
      </w:pPr>
    </w:p>
    <w:p w:rsidR="00D26EAB" w:rsidRPr="00D26EAB" w:rsidRDefault="00D26EAB" w:rsidP="00D26EAB">
      <w:pPr>
        <w:spacing w:line="360" w:lineRule="auto"/>
        <w:jc w:val="both"/>
        <w:rPr>
          <w:rFonts w:ascii="Times New Roman" w:eastAsia="Times New Roman" w:hAnsi="Times New Roman" w:cs="Times New Roman"/>
          <w:b/>
          <w:sz w:val="24"/>
          <w:szCs w:val="24"/>
        </w:rPr>
      </w:pPr>
      <w:r w:rsidRPr="00D26EAB">
        <w:rPr>
          <w:rFonts w:ascii="Times New Roman" w:eastAsia="Times New Roman" w:hAnsi="Times New Roman" w:cs="Times New Roman"/>
          <w:b/>
          <w:sz w:val="24"/>
          <w:szCs w:val="24"/>
        </w:rPr>
        <w:t xml:space="preserve">Conclusion </w:t>
      </w:r>
    </w:p>
    <w:p w:rsidR="00E408E2" w:rsidRDefault="00D26EA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concluded that</w:t>
      </w:r>
      <w:r w:rsidR="00C118CE">
        <w:rPr>
          <w:rFonts w:ascii="Times New Roman" w:eastAsia="Times New Roman" w:hAnsi="Times New Roman" w:cs="Times New Roman"/>
          <w:sz w:val="24"/>
          <w:szCs w:val="24"/>
        </w:rPr>
        <w:t xml:space="preserve"> students'</w:t>
      </w:r>
      <w:bookmarkStart w:id="0" w:name="_GoBack"/>
      <w:bookmarkEnd w:id="0"/>
      <w:r w:rsidR="00C118CE">
        <w:rPr>
          <w:rFonts w:ascii="Times New Roman" w:eastAsia="Times New Roman" w:hAnsi="Times New Roman" w:cs="Times New Roman"/>
          <w:sz w:val="24"/>
          <w:szCs w:val="24"/>
        </w:rPr>
        <w:t xml:space="preserve"> level of engagement, the structure of the syllabus, a supportive academic environment, available infrastructu</w:t>
      </w:r>
      <w:r w:rsidR="00C118CE">
        <w:rPr>
          <w:rFonts w:ascii="Times New Roman" w:eastAsia="Times New Roman" w:hAnsi="Times New Roman" w:cs="Times New Roman"/>
          <w:sz w:val="24"/>
          <w:szCs w:val="24"/>
        </w:rPr>
        <w:t>re, access to ICT, and other conducive factors. The swift advancement of ICT has significantly transformed the information landscape, offering users a wide range of options and enabling them to access and manage information sources more easily and efficien</w:t>
      </w:r>
      <w:r w:rsidR="00C118CE">
        <w:rPr>
          <w:rFonts w:ascii="Times New Roman" w:eastAsia="Times New Roman" w:hAnsi="Times New Roman" w:cs="Times New Roman"/>
          <w:sz w:val="24"/>
          <w:szCs w:val="24"/>
        </w:rPr>
        <w:t>tly. it is imperative that the university enhances its infrastructure by upgrading the networking systems across departments, hostels, and libraries. Providing high-speed internet access will significantly improve students’ ability to efficiently access e-</w:t>
      </w:r>
      <w:r w:rsidR="00C118CE">
        <w:rPr>
          <w:rFonts w:ascii="Times New Roman" w:eastAsia="Times New Roman" w:hAnsi="Times New Roman" w:cs="Times New Roman"/>
          <w:sz w:val="24"/>
          <w:szCs w:val="24"/>
        </w:rPr>
        <w:t>resources.</w:t>
      </w:r>
    </w:p>
    <w:p w:rsidR="00E408E2" w:rsidRDefault="00E408E2">
      <w:pPr>
        <w:spacing w:line="360" w:lineRule="auto"/>
        <w:ind w:firstLine="720"/>
        <w:jc w:val="both"/>
        <w:rPr>
          <w:rFonts w:ascii="Times New Roman" w:eastAsia="Times New Roman" w:hAnsi="Times New Roman" w:cs="Times New Roman"/>
          <w:sz w:val="24"/>
          <w:szCs w:val="24"/>
        </w:rPr>
      </w:pPr>
    </w:p>
    <w:p w:rsidR="00E408E2" w:rsidRDefault="00C118CE">
      <w:pPr>
        <w:rPr>
          <w:highlight w:val="yellow"/>
        </w:rPr>
      </w:pPr>
      <w:r>
        <w:rPr>
          <w:highlight w:val="yellow"/>
        </w:rPr>
        <w:t>Disclaimer (Artificial intelligence)</w:t>
      </w:r>
    </w:p>
    <w:p w:rsidR="00E408E2" w:rsidRDefault="00E408E2">
      <w:pPr>
        <w:rPr>
          <w:highlight w:val="yellow"/>
        </w:rPr>
      </w:pPr>
    </w:p>
    <w:p w:rsidR="00E408E2" w:rsidRDefault="00C118CE">
      <w:pPr>
        <w:rPr>
          <w:highlight w:val="yellow"/>
        </w:rPr>
      </w:pPr>
      <w:r>
        <w:rPr>
          <w:highlight w:val="yellow"/>
        </w:rPr>
        <w:t xml:space="preserve">Option 1: </w:t>
      </w:r>
    </w:p>
    <w:p w:rsidR="00E408E2" w:rsidRDefault="00E408E2">
      <w:pPr>
        <w:rPr>
          <w:highlight w:val="yellow"/>
        </w:rPr>
      </w:pPr>
    </w:p>
    <w:p w:rsidR="00E408E2" w:rsidRDefault="00C118CE">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COPILOT, etc.) and text-to-image generators have been used during the writing or editing of th</w:t>
      </w:r>
      <w:r>
        <w:rPr>
          <w:highlight w:val="yellow"/>
        </w:rPr>
        <w:t xml:space="preserve">is manuscript. </w:t>
      </w:r>
    </w:p>
    <w:p w:rsidR="00E408E2" w:rsidRDefault="00E408E2">
      <w:pPr>
        <w:rPr>
          <w:highlight w:val="yellow"/>
        </w:rPr>
      </w:pPr>
    </w:p>
    <w:p w:rsidR="00E408E2" w:rsidRDefault="00C118CE">
      <w:pPr>
        <w:rPr>
          <w:highlight w:val="yellow"/>
        </w:rPr>
      </w:pPr>
      <w:r>
        <w:rPr>
          <w:highlight w:val="yellow"/>
        </w:rPr>
        <w:t xml:space="preserve">Option 2: </w:t>
      </w:r>
    </w:p>
    <w:p w:rsidR="00E408E2" w:rsidRDefault="00E408E2">
      <w:pPr>
        <w:rPr>
          <w:highlight w:val="yellow"/>
        </w:rPr>
      </w:pPr>
    </w:p>
    <w:p w:rsidR="00E408E2" w:rsidRDefault="00C118CE">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w:t>
      </w:r>
      <w:r>
        <w:rPr>
          <w:highlight w:val="yellow"/>
        </w:rPr>
        <w:t xml:space="preserve"> generative AI technology and as well as all input prompts provided to the generative AI technology</w:t>
      </w:r>
    </w:p>
    <w:p w:rsidR="00E408E2" w:rsidRDefault="00E408E2">
      <w:pPr>
        <w:rPr>
          <w:highlight w:val="yellow"/>
        </w:rPr>
      </w:pPr>
    </w:p>
    <w:p w:rsidR="00E408E2" w:rsidRDefault="00C118CE">
      <w:pPr>
        <w:rPr>
          <w:highlight w:val="yellow"/>
        </w:rPr>
      </w:pPr>
      <w:r>
        <w:rPr>
          <w:highlight w:val="yellow"/>
        </w:rPr>
        <w:t>Details of the AI usage are given below:</w:t>
      </w:r>
    </w:p>
    <w:p w:rsidR="00E408E2" w:rsidRDefault="00C118CE">
      <w:pPr>
        <w:rPr>
          <w:highlight w:val="yellow"/>
        </w:rPr>
      </w:pPr>
      <w:r>
        <w:rPr>
          <w:highlight w:val="yellow"/>
        </w:rPr>
        <w:t>1.</w:t>
      </w:r>
    </w:p>
    <w:p w:rsidR="00E408E2" w:rsidRDefault="00C118CE">
      <w:pPr>
        <w:rPr>
          <w:highlight w:val="yellow"/>
        </w:rPr>
      </w:pPr>
      <w:r>
        <w:rPr>
          <w:highlight w:val="yellow"/>
        </w:rPr>
        <w:t>2.</w:t>
      </w:r>
    </w:p>
    <w:p w:rsidR="00E408E2" w:rsidRDefault="00C118CE">
      <w:r>
        <w:rPr>
          <w:highlight w:val="yellow"/>
        </w:rPr>
        <w:t>3.</w:t>
      </w:r>
    </w:p>
    <w:p w:rsidR="00E408E2" w:rsidRDefault="00E408E2">
      <w:pPr>
        <w:spacing w:line="360" w:lineRule="auto"/>
        <w:ind w:firstLine="720"/>
        <w:jc w:val="both"/>
        <w:rPr>
          <w:rFonts w:ascii="Times New Roman" w:eastAsia="Times New Roman" w:hAnsi="Times New Roman" w:cs="Times New Roman"/>
          <w:sz w:val="24"/>
          <w:szCs w:val="24"/>
        </w:rPr>
      </w:pPr>
      <w:bookmarkStart w:id="1" w:name="_crlhuib9e7gc" w:colFirst="0" w:colLast="0"/>
      <w:bookmarkEnd w:id="1"/>
    </w:p>
    <w:p w:rsidR="00E408E2" w:rsidRDefault="00C118C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rsidR="00E408E2" w:rsidRDefault="00C118CE">
      <w:pPr>
        <w:tabs>
          <w:tab w:val="left" w:pos="90"/>
        </w:tabs>
        <w:spacing w:after="240" w:line="360" w:lineRule="auto"/>
        <w:ind w:left="811" w:right="-164" w:hanging="8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Ajith K S (2021). “</w:t>
      </w:r>
      <w:r>
        <w:rPr>
          <w:rFonts w:ascii="Times New Roman" w:eastAsia="Times New Roman" w:hAnsi="Times New Roman" w:cs="Times New Roman"/>
          <w:i/>
          <w:sz w:val="24"/>
          <w:szCs w:val="24"/>
        </w:rPr>
        <w:t xml:space="preserve">Use of e-resources among the postgraduate students of DBSKKV, </w:t>
      </w:r>
      <w:proofErr w:type="spellStart"/>
      <w:r>
        <w:rPr>
          <w:rFonts w:ascii="Times New Roman" w:eastAsia="Times New Roman" w:hAnsi="Times New Roman" w:cs="Times New Roman"/>
          <w:i/>
          <w:sz w:val="24"/>
          <w:szCs w:val="24"/>
        </w:rPr>
        <w:t>Dapoli</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hyperlink r:id="rId7">
        <w:r>
          <w:rPr>
            <w:rFonts w:ascii="Times New Roman" w:eastAsia="Times New Roman" w:hAnsi="Times New Roman" w:cs="Times New Roman"/>
            <w:color w:val="0563C1"/>
            <w:sz w:val="24"/>
            <w:szCs w:val="24"/>
            <w:u w:val="single"/>
          </w:rPr>
          <w:t>https://krishikosh.egranth.ac.in/handle/1/5810191326</w:t>
        </w:r>
      </w:hyperlink>
    </w:p>
    <w:p w:rsidR="00E408E2" w:rsidRDefault="00C118CE">
      <w:pPr>
        <w:spacing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Adeshina</w:t>
      </w:r>
      <w:proofErr w:type="spellEnd"/>
      <w:r>
        <w:rPr>
          <w:rFonts w:ascii="Times New Roman" w:eastAsia="Times New Roman" w:hAnsi="Times New Roman" w:cs="Times New Roman"/>
          <w:sz w:val="24"/>
          <w:szCs w:val="24"/>
        </w:rPr>
        <w:t xml:space="preserve"> K. </w:t>
      </w:r>
      <w:r>
        <w:rPr>
          <w:rFonts w:ascii="Times New Roman" w:eastAsia="Times New Roman" w:hAnsi="Times New Roman" w:cs="Times New Roman"/>
          <w:i/>
          <w:sz w:val="24"/>
          <w:szCs w:val="24"/>
        </w:rPr>
        <w:t>Collection management and utilization of e-resources by post graduate student in university of Ibadan, Nigeria</w:t>
      </w:r>
      <w:r>
        <w:rPr>
          <w:rFonts w:ascii="Times New Roman" w:eastAsia="Times New Roman" w:hAnsi="Times New Roman" w:cs="Times New Roman"/>
          <w:sz w:val="24"/>
          <w:szCs w:val="24"/>
        </w:rPr>
        <w:t>. Library P</w:t>
      </w:r>
      <w:r>
        <w:rPr>
          <w:rFonts w:ascii="Times New Roman" w:eastAsia="Times New Roman" w:hAnsi="Times New Roman" w:cs="Times New Roman"/>
          <w:sz w:val="24"/>
          <w:szCs w:val="24"/>
        </w:rPr>
        <w:t>hilosophy and Practice. 2021; 1:1-31.</w:t>
      </w:r>
      <w:r>
        <w:rPr>
          <w:rFonts w:ascii="Times New Roman" w:eastAsia="Times New Roman" w:hAnsi="Times New Roman" w:cs="Times New Roman"/>
          <w:sz w:val="24"/>
          <w:szCs w:val="24"/>
        </w:rPr>
        <w:tab/>
      </w:r>
    </w:p>
    <w:p w:rsidR="00E408E2" w:rsidRDefault="00C118CE">
      <w:pPr>
        <w:tabs>
          <w:tab w:val="left" w:pos="90"/>
        </w:tabs>
        <w:spacing w:after="240" w:line="360" w:lineRule="auto"/>
        <w:ind w:left="851" w:right="-164" w:hanging="811"/>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Asha Kumari (2024).</w:t>
      </w:r>
      <w:r>
        <w:rPr>
          <w:rFonts w:ascii="Times New Roman" w:eastAsia="Times New Roman" w:hAnsi="Times New Roman" w:cs="Times New Roman"/>
          <w:i/>
          <w:sz w:val="24"/>
          <w:szCs w:val="24"/>
        </w:rPr>
        <w:t xml:space="preserve"> ‘Study on Awareness and Access to e-resources among the students (Post- Graduate and Ph.D. level) in academic and research work of Agriculture Universities of Uttar Pradesh’  </w:t>
      </w:r>
      <w:hyperlink r:id="rId8">
        <w:r>
          <w:rPr>
            <w:rFonts w:ascii="Times New Roman" w:eastAsia="Times New Roman" w:hAnsi="Times New Roman" w:cs="Times New Roman"/>
            <w:color w:val="0563C1"/>
            <w:sz w:val="24"/>
            <w:szCs w:val="24"/>
            <w:u w:val="single"/>
          </w:rPr>
          <w:t>https://krishikosh.egranth.ac.in/handle/1/5810208020</w:t>
        </w:r>
      </w:hyperlink>
    </w:p>
    <w:p w:rsidR="00E408E2" w:rsidRDefault="00C118CE">
      <w:pPr>
        <w:spacing w:line="360" w:lineRule="auto"/>
        <w:ind w:left="284" w:hanging="28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Bavakenty</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Veeran</w:t>
      </w:r>
      <w:proofErr w:type="spellEnd"/>
      <w:r>
        <w:rPr>
          <w:rFonts w:ascii="Times New Roman" w:eastAsia="Times New Roman" w:hAnsi="Times New Roman" w:cs="Times New Roman"/>
          <w:sz w:val="24"/>
          <w:szCs w:val="24"/>
        </w:rPr>
        <w:t>, M.C.K &amp; Salih, T.K.M (2003).</w:t>
      </w:r>
      <w:r>
        <w:rPr>
          <w:rFonts w:ascii="Times New Roman" w:eastAsia="Times New Roman" w:hAnsi="Times New Roman" w:cs="Times New Roman"/>
          <w:i/>
          <w:sz w:val="24"/>
          <w:szCs w:val="24"/>
        </w:rPr>
        <w:t xml:space="preserve"> ‘Information Access Management and Exchange in the Technological Age’: </w:t>
      </w:r>
      <w:r>
        <w:rPr>
          <w:rFonts w:ascii="Times New Roman" w:eastAsia="Times New Roman" w:hAnsi="Times New Roman" w:cs="Times New Roman"/>
          <w:sz w:val="24"/>
          <w:szCs w:val="24"/>
        </w:rPr>
        <w:t>New Delhi:</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Ess</w:t>
      </w:r>
      <w:proofErr w:type="spellEnd"/>
      <w:r>
        <w:rPr>
          <w:rFonts w:ascii="Times New Roman" w:eastAsia="Times New Roman" w:hAnsi="Times New Roman" w:cs="Times New Roman"/>
          <w:sz w:val="24"/>
          <w:szCs w:val="24"/>
        </w:rPr>
        <w:t xml:space="preserve"> Publications.</w:t>
      </w:r>
    </w:p>
    <w:p w:rsidR="00E408E2" w:rsidRDefault="00C118CE">
      <w:pPr>
        <w:spacing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Chowdhury &amp; Chowdhury, (2001) “Information Sources and Searching on the World Wide Web”. (</w:t>
      </w:r>
      <w:r>
        <w:rPr>
          <w:rFonts w:ascii="Times New Roman" w:eastAsia="Times New Roman" w:hAnsi="Times New Roman" w:cs="Times New Roman"/>
          <w:i/>
          <w:sz w:val="24"/>
          <w:szCs w:val="24"/>
        </w:rPr>
        <w:t>e-journal</w:t>
      </w:r>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color w:val="1155CC"/>
            <w:sz w:val="24"/>
            <w:szCs w:val="24"/>
            <w:u w:val="single"/>
          </w:rPr>
          <w:t>https://w</w:t>
        </w:r>
        <w:r>
          <w:rPr>
            <w:rFonts w:ascii="Times New Roman" w:eastAsia="Times New Roman" w:hAnsi="Times New Roman" w:cs="Times New Roman"/>
            <w:color w:val="1155CC"/>
            <w:sz w:val="24"/>
            <w:szCs w:val="24"/>
            <w:u w:val="single"/>
          </w:rPr>
          <w:t>ww.researchgate.net/publication/263378507_Information_Sources_and_Searching_on_the_World_Wide_Web</w:t>
        </w:r>
      </w:hyperlink>
    </w:p>
    <w:p w:rsidR="00E408E2" w:rsidRDefault="00C118CE">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Meena, R.S. (2013). ‘</w:t>
      </w:r>
      <w:r>
        <w:rPr>
          <w:rFonts w:ascii="Times New Roman" w:eastAsia="Times New Roman" w:hAnsi="Times New Roman" w:cs="Times New Roman"/>
          <w:i/>
          <w:sz w:val="24"/>
          <w:szCs w:val="24"/>
        </w:rPr>
        <w:t>A Study on e-resources among the students of extension education institute of Agricultural Sciences BHU’</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M.Sc</w:t>
      </w:r>
      <w:proofErr w:type="spellEnd"/>
      <w:r>
        <w:rPr>
          <w:rFonts w:ascii="Times New Roman" w:eastAsia="Times New Roman" w:hAnsi="Times New Roman" w:cs="Times New Roman"/>
          <w:sz w:val="24"/>
          <w:szCs w:val="24"/>
        </w:rPr>
        <w:t xml:space="preserve"> thesis, </w:t>
      </w:r>
      <w:r>
        <w:rPr>
          <w:rFonts w:ascii="Times New Roman" w:eastAsia="Times New Roman" w:hAnsi="Times New Roman" w:cs="Times New Roman"/>
          <w:i/>
          <w:sz w:val="24"/>
          <w:szCs w:val="24"/>
        </w:rPr>
        <w:t>Banaras Hindu Univ</w:t>
      </w:r>
      <w:r>
        <w:rPr>
          <w:rFonts w:ascii="Times New Roman" w:eastAsia="Times New Roman" w:hAnsi="Times New Roman" w:cs="Times New Roman"/>
          <w:i/>
          <w:sz w:val="24"/>
          <w:szCs w:val="24"/>
        </w:rPr>
        <w:t>ersity, Varanasi.</w:t>
      </w:r>
      <w:r>
        <w:rPr>
          <w:rFonts w:ascii="Times New Roman" w:eastAsia="Times New Roman" w:hAnsi="Times New Roman" w:cs="Times New Roman"/>
          <w:sz w:val="24"/>
          <w:szCs w:val="24"/>
        </w:rPr>
        <w:t xml:space="preserve"> </w:t>
      </w:r>
      <w:hyperlink r:id="rId10">
        <w:r>
          <w:rPr>
            <w:rFonts w:ascii="Times New Roman" w:eastAsia="Times New Roman" w:hAnsi="Times New Roman" w:cs="Times New Roman"/>
            <w:color w:val="1155CC"/>
            <w:sz w:val="24"/>
            <w:szCs w:val="24"/>
            <w:u w:val="single"/>
          </w:rPr>
          <w:t>http://krishikosh.egranth.ac.in/handle/1/82972</w:t>
        </w:r>
      </w:hyperlink>
    </w:p>
    <w:p w:rsidR="00E408E2" w:rsidRDefault="00C118CE">
      <w:pPr>
        <w:spacing w:line="360" w:lineRule="auto"/>
        <w:ind w:left="284" w:hanging="284"/>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Padval</w:t>
      </w:r>
      <w:proofErr w:type="spellEnd"/>
      <w:r>
        <w:rPr>
          <w:rFonts w:ascii="Times New Roman" w:eastAsia="Times New Roman" w:hAnsi="Times New Roman" w:cs="Times New Roman"/>
          <w:sz w:val="24"/>
          <w:szCs w:val="24"/>
        </w:rPr>
        <w:t xml:space="preserve">, B. S (2022). “E-Resources: Definition, Need and Types”. </w:t>
      </w:r>
      <w:r>
        <w:rPr>
          <w:rFonts w:ascii="Times New Roman" w:eastAsia="Times New Roman" w:hAnsi="Times New Roman" w:cs="Times New Roman"/>
          <w:i/>
          <w:sz w:val="24"/>
          <w:szCs w:val="24"/>
        </w:rPr>
        <w:t xml:space="preserve">International Journal of Scientific Development and Research </w:t>
      </w:r>
      <w:r>
        <w:rPr>
          <w:rFonts w:ascii="Times New Roman" w:eastAsia="Times New Roman" w:hAnsi="Times New Roman" w:cs="Times New Roman"/>
          <w:i/>
          <w:sz w:val="24"/>
          <w:szCs w:val="24"/>
        </w:rPr>
        <w:t>(IJSDR).</w:t>
      </w:r>
    </w:p>
    <w:p w:rsidR="00E408E2" w:rsidRDefault="00C118CE">
      <w:pPr>
        <w:spacing w:line="360" w:lineRule="auto"/>
        <w:ind w:left="284" w:hanging="284"/>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Ravta</w:t>
      </w:r>
      <w:proofErr w:type="spellEnd"/>
      <w:r>
        <w:rPr>
          <w:rFonts w:ascii="Times New Roman" w:eastAsia="Times New Roman" w:hAnsi="Times New Roman" w:cs="Times New Roman"/>
          <w:sz w:val="24"/>
          <w:szCs w:val="24"/>
        </w:rPr>
        <w:t xml:space="preserve"> Ram (2021). “</w:t>
      </w:r>
      <w:r>
        <w:rPr>
          <w:rFonts w:ascii="Times New Roman" w:eastAsia="Times New Roman" w:hAnsi="Times New Roman" w:cs="Times New Roman"/>
          <w:i/>
          <w:sz w:val="24"/>
          <w:szCs w:val="24"/>
        </w:rPr>
        <w:t>Awareness and utilization pattern of e-resources among postgraduate students of RAJUVAS, Bikaner</w:t>
      </w:r>
      <w:r>
        <w:rPr>
          <w:rFonts w:ascii="Times New Roman" w:eastAsia="Times New Roman" w:hAnsi="Times New Roman" w:cs="Times New Roman"/>
          <w:sz w:val="24"/>
          <w:szCs w:val="24"/>
        </w:rPr>
        <w:t xml:space="preserve">”. Rajasthan University of Veterinary and Animal Sciences Bikaner. </w:t>
      </w:r>
      <w:hyperlink r:id="rId11">
        <w:r>
          <w:rPr>
            <w:rFonts w:ascii="Times New Roman" w:eastAsia="Times New Roman" w:hAnsi="Times New Roman" w:cs="Times New Roman"/>
            <w:color w:val="0563C1"/>
            <w:sz w:val="24"/>
            <w:szCs w:val="24"/>
            <w:u w:val="single"/>
          </w:rPr>
          <w:t>https://krishikosh.egranth.ac.in/handle/1/5810180364</w:t>
        </w:r>
      </w:hyperlink>
    </w:p>
    <w:p w:rsidR="00E408E2" w:rsidRDefault="00C118CE">
      <w:pPr>
        <w:spacing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Yadav &amp; Hansa (2018). ‘</w:t>
      </w:r>
      <w:r>
        <w:rPr>
          <w:rFonts w:ascii="Times New Roman" w:eastAsia="Times New Roman" w:hAnsi="Times New Roman" w:cs="Times New Roman"/>
          <w:i/>
          <w:sz w:val="24"/>
          <w:szCs w:val="24"/>
        </w:rPr>
        <w:t xml:space="preserve">Utilization Pattern of e-Resources Among the Agriculture Students of S.K.N. College of Agriculture, </w:t>
      </w:r>
      <w:proofErr w:type="spellStart"/>
      <w:r>
        <w:rPr>
          <w:rFonts w:ascii="Times New Roman" w:eastAsia="Times New Roman" w:hAnsi="Times New Roman" w:cs="Times New Roman"/>
          <w:i/>
          <w:sz w:val="24"/>
          <w:szCs w:val="24"/>
        </w:rPr>
        <w:t>Jobner</w:t>
      </w:r>
      <w:proofErr w:type="spellEnd"/>
      <w:r>
        <w:rPr>
          <w:rFonts w:ascii="Times New Roman" w:eastAsia="Times New Roman" w:hAnsi="Times New Roman" w:cs="Times New Roman"/>
          <w:i/>
          <w:sz w:val="24"/>
          <w:szCs w:val="24"/>
        </w:rPr>
        <w:t>, Jaipur (Rajasthan)(SKNAU)’</w:t>
      </w:r>
      <w:r>
        <w:rPr>
          <w:rFonts w:ascii="Times New Roman" w:eastAsia="Times New Roman" w:hAnsi="Times New Roman" w:cs="Times New Roman"/>
          <w:sz w:val="24"/>
          <w:szCs w:val="24"/>
        </w:rPr>
        <w:t xml:space="preserve">. </w:t>
      </w:r>
      <w:hyperlink r:id="rId12">
        <w:r>
          <w:rPr>
            <w:rFonts w:ascii="Times New Roman" w:eastAsia="Times New Roman" w:hAnsi="Times New Roman" w:cs="Times New Roman"/>
            <w:color w:val="1155CC"/>
            <w:sz w:val="24"/>
            <w:szCs w:val="24"/>
            <w:u w:val="single"/>
          </w:rPr>
          <w:t>http://krishikosh.egranth.ac.in/handle/1/5810081076</w:t>
        </w:r>
      </w:hyperlink>
    </w:p>
    <w:p w:rsidR="00E408E2" w:rsidRDefault="00C118CE">
      <w:pPr>
        <w:spacing w:line="36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Yebowaah</w:t>
      </w:r>
      <w:proofErr w:type="spellEnd"/>
      <w:r>
        <w:rPr>
          <w:rFonts w:ascii="Times New Roman" w:eastAsia="Times New Roman" w:hAnsi="Times New Roman" w:cs="Times New Roman"/>
          <w:sz w:val="24"/>
          <w:szCs w:val="24"/>
        </w:rPr>
        <w:t xml:space="preserve">, F. A. Ms. &amp; </w:t>
      </w:r>
      <w:proofErr w:type="spellStart"/>
      <w:r>
        <w:rPr>
          <w:rFonts w:ascii="Times New Roman" w:eastAsia="Times New Roman" w:hAnsi="Times New Roman" w:cs="Times New Roman"/>
          <w:sz w:val="24"/>
          <w:szCs w:val="24"/>
        </w:rPr>
        <w:t>Plockey</w:t>
      </w:r>
      <w:proofErr w:type="spellEnd"/>
      <w:r>
        <w:rPr>
          <w:rFonts w:ascii="Times New Roman" w:eastAsia="Times New Roman" w:hAnsi="Times New Roman" w:cs="Times New Roman"/>
          <w:sz w:val="24"/>
          <w:szCs w:val="24"/>
        </w:rPr>
        <w:t>, F. D. D. Mrs. (2017). ‘</w:t>
      </w:r>
      <w:r>
        <w:rPr>
          <w:rFonts w:ascii="Times New Roman" w:eastAsia="Times New Roman" w:hAnsi="Times New Roman" w:cs="Times New Roman"/>
          <w:i/>
          <w:sz w:val="24"/>
          <w:szCs w:val="24"/>
        </w:rPr>
        <w:t>Awareness and Use of Electronic Resources in University Libraries: A Case Study of University for Development Studie</w:t>
      </w:r>
      <w:r>
        <w:rPr>
          <w:rFonts w:ascii="Times New Roman" w:eastAsia="Times New Roman" w:hAnsi="Times New Roman" w:cs="Times New Roman"/>
          <w:i/>
          <w:sz w:val="24"/>
          <w:szCs w:val="24"/>
        </w:rPr>
        <w:t>s Library’</w:t>
      </w:r>
      <w:r>
        <w:rPr>
          <w:rFonts w:ascii="Times New Roman" w:eastAsia="Times New Roman" w:hAnsi="Times New Roman" w:cs="Times New Roman"/>
          <w:sz w:val="24"/>
          <w:szCs w:val="24"/>
        </w:rPr>
        <w:t>. Library Philosophy and Practice (e- journal).</w:t>
      </w:r>
      <w:hyperlink r:id="rId13">
        <w:r>
          <w:rPr>
            <w:rFonts w:ascii="Times New Roman" w:eastAsia="Times New Roman" w:hAnsi="Times New Roman" w:cs="Times New Roman"/>
            <w:sz w:val="24"/>
            <w:szCs w:val="24"/>
          </w:rPr>
          <w:t xml:space="preserve"> </w:t>
        </w:r>
      </w:hyperlink>
      <w:hyperlink r:id="rId14">
        <w:r>
          <w:rPr>
            <w:rFonts w:ascii="Times New Roman" w:eastAsia="Times New Roman" w:hAnsi="Times New Roman" w:cs="Times New Roman"/>
            <w:color w:val="1155CC"/>
            <w:sz w:val="24"/>
            <w:szCs w:val="24"/>
            <w:u w:val="single"/>
          </w:rPr>
          <w:t>https://digitalcommons.unl.edu/libphilprac/1562/</w:t>
        </w:r>
      </w:hyperlink>
    </w:p>
    <w:p w:rsidR="00E408E2" w:rsidRDefault="00E408E2">
      <w:pPr>
        <w:spacing w:line="360" w:lineRule="auto"/>
        <w:ind w:left="720" w:hanging="720"/>
        <w:rPr>
          <w:rFonts w:ascii="Times New Roman" w:eastAsia="Times New Roman" w:hAnsi="Times New Roman" w:cs="Times New Roman"/>
          <w:sz w:val="24"/>
          <w:szCs w:val="24"/>
        </w:rPr>
      </w:pPr>
    </w:p>
    <w:sectPr w:rsidR="00E408E2">
      <w:headerReference w:type="even" r:id="rId15"/>
      <w:headerReference w:type="default" r:id="rId16"/>
      <w:footerReference w:type="even" r:id="rId17"/>
      <w:footerReference w:type="default" r:id="rId18"/>
      <w:headerReference w:type="first" r:id="rId19"/>
      <w:footerReference w:type="first" r:id="rId20"/>
      <w:pgSz w:w="11910" w:h="16840"/>
      <w:pgMar w:top="720" w:right="992" w:bottom="720" w:left="992" w:header="357" w:footer="3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8CE" w:rsidRDefault="00C118CE">
      <w:pPr>
        <w:spacing w:after="0" w:line="240" w:lineRule="auto"/>
      </w:pPr>
      <w:r>
        <w:separator/>
      </w:r>
    </w:p>
  </w:endnote>
  <w:endnote w:type="continuationSeparator" w:id="0">
    <w:p w:rsidR="00C118CE" w:rsidRDefault="00C11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8E2" w:rsidRDefault="00E408E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8E2" w:rsidRDefault="00E408E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8E2" w:rsidRDefault="00E408E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8CE" w:rsidRDefault="00C118CE">
      <w:pPr>
        <w:spacing w:after="0" w:line="240" w:lineRule="auto"/>
      </w:pPr>
      <w:r>
        <w:separator/>
      </w:r>
    </w:p>
  </w:footnote>
  <w:footnote w:type="continuationSeparator" w:id="0">
    <w:p w:rsidR="00C118CE" w:rsidRDefault="00C11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8E2" w:rsidRDefault="00C118CE">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89.2pt;height:110.45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8E2" w:rsidRDefault="00C118CE">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89.2pt;height:110.45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8E2" w:rsidRDefault="00C118CE">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89.2pt;height:110.45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D76B1"/>
    <w:multiLevelType w:val="multilevel"/>
    <w:tmpl w:val="51BC15F6"/>
    <w:lvl w:ilvl="0">
      <w:start w:val="1"/>
      <w:numFmt w:val="bullet"/>
      <w:lvlText w:val="●"/>
      <w:lvlJc w:val="left"/>
      <w:pPr>
        <w:ind w:left="1779" w:hanging="360"/>
      </w:pPr>
      <w:rPr>
        <w:rFonts w:ascii="Noto Sans Symbols" w:eastAsia="Noto Sans Symbols" w:hAnsi="Noto Sans Symbols" w:cs="Noto Sans Symbols"/>
      </w:rPr>
    </w:lvl>
    <w:lvl w:ilvl="1">
      <w:start w:val="1"/>
      <w:numFmt w:val="lowerLetter"/>
      <w:lvlText w:val="%2."/>
      <w:lvlJc w:val="left"/>
      <w:pPr>
        <w:ind w:left="2499" w:hanging="360"/>
      </w:pPr>
    </w:lvl>
    <w:lvl w:ilvl="2">
      <w:start w:val="1"/>
      <w:numFmt w:val="lowerRoman"/>
      <w:lvlText w:val="%3."/>
      <w:lvlJc w:val="right"/>
      <w:pPr>
        <w:ind w:left="3219" w:hanging="180"/>
      </w:pPr>
    </w:lvl>
    <w:lvl w:ilvl="3">
      <w:start w:val="1"/>
      <w:numFmt w:val="decimal"/>
      <w:lvlText w:val="%4."/>
      <w:lvlJc w:val="left"/>
      <w:pPr>
        <w:ind w:left="3939" w:hanging="360"/>
      </w:pPr>
    </w:lvl>
    <w:lvl w:ilvl="4">
      <w:start w:val="1"/>
      <w:numFmt w:val="lowerLetter"/>
      <w:lvlText w:val="%5."/>
      <w:lvlJc w:val="left"/>
      <w:pPr>
        <w:ind w:left="4659" w:hanging="360"/>
      </w:pPr>
    </w:lvl>
    <w:lvl w:ilvl="5">
      <w:start w:val="1"/>
      <w:numFmt w:val="lowerRoman"/>
      <w:lvlText w:val="%6."/>
      <w:lvlJc w:val="right"/>
      <w:pPr>
        <w:ind w:left="5379" w:hanging="180"/>
      </w:pPr>
    </w:lvl>
    <w:lvl w:ilvl="6">
      <w:start w:val="1"/>
      <w:numFmt w:val="decimal"/>
      <w:lvlText w:val="%7."/>
      <w:lvlJc w:val="left"/>
      <w:pPr>
        <w:ind w:left="6099" w:hanging="360"/>
      </w:pPr>
    </w:lvl>
    <w:lvl w:ilvl="7">
      <w:start w:val="1"/>
      <w:numFmt w:val="lowerLetter"/>
      <w:lvlText w:val="%8."/>
      <w:lvlJc w:val="left"/>
      <w:pPr>
        <w:ind w:left="6819" w:hanging="360"/>
      </w:pPr>
    </w:lvl>
    <w:lvl w:ilvl="8">
      <w:start w:val="1"/>
      <w:numFmt w:val="lowerRoman"/>
      <w:lvlText w:val="%9."/>
      <w:lvlJc w:val="right"/>
      <w:pPr>
        <w:ind w:left="7539" w:hanging="180"/>
      </w:pPr>
    </w:lvl>
  </w:abstractNum>
  <w:abstractNum w:abstractNumId="1" w15:restartNumberingAfterBreak="0">
    <w:nsid w:val="460154F3"/>
    <w:multiLevelType w:val="multilevel"/>
    <w:tmpl w:val="6150C6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0NTYzNzEzNzQztzBQ0lEKTi0uzszPAykwrAUAvxvwAywAAAA="/>
  </w:docVars>
  <w:rsids>
    <w:rsidRoot w:val="00E408E2"/>
    <w:rsid w:val="00C118CE"/>
    <w:rsid w:val="00D26EAB"/>
    <w:rsid w:val="00E40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A01E92"/>
  <w15:docId w15:val="{6E7465A4-9558-4815-92B8-AE8B7444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krishikosh.egranth.ac.in/handle/1/5810208020" TargetMode="External"/><Relationship Id="rId13" Type="http://schemas.openxmlformats.org/officeDocument/2006/relationships/hyperlink" Target="https://digitalcommons.unl.edu/libphilprac/156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krishikosh.egranth.ac.in/handle/1/5810191326" TargetMode="External"/><Relationship Id="rId12" Type="http://schemas.openxmlformats.org/officeDocument/2006/relationships/hyperlink" Target="http://krishikosh.egranth.ac.in/handle/1/581008107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rishikosh.egranth.ac.in/handle/1/581018036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krishikosh.egranth.ac.in/handle/1/82972"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researchgate.net/publication/263378507_Information_Sources_and_Searching_on_the_World_Wide_Web" TargetMode="External"/><Relationship Id="rId14" Type="http://schemas.openxmlformats.org/officeDocument/2006/relationships/hyperlink" Target="https://digitalcommons.unl.edu/libphilprac/156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2710</Words>
  <Characters>15447</Characters>
  <Application>Microsoft Office Word</Application>
  <DocSecurity>0</DocSecurity>
  <Lines>128</Lines>
  <Paragraphs>36</Paragraphs>
  <ScaleCrop>false</ScaleCrop>
  <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2</cp:revision>
  <dcterms:created xsi:type="dcterms:W3CDTF">2025-08-20T08:54:00Z</dcterms:created>
  <dcterms:modified xsi:type="dcterms:W3CDTF">2025-08-20T08:55:00Z</dcterms:modified>
</cp:coreProperties>
</file>