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CF9" w:rsidRPr="00F61EB9" w:rsidRDefault="00651CF9" w:rsidP="00651CF9">
      <w:pPr>
        <w:spacing w:line="360" w:lineRule="auto"/>
        <w:jc w:val="center"/>
        <w:rPr>
          <w:rFonts w:ascii="Times New Roman" w:hAnsi="Times New Roman" w:cs="Times New Roman"/>
          <w:b/>
          <w:sz w:val="28"/>
          <w:highlight w:val="yellow"/>
        </w:rPr>
      </w:pPr>
      <w:bookmarkStart w:id="0" w:name="_GoBack"/>
      <w:bookmarkEnd w:id="0"/>
      <w:r w:rsidRPr="00651CF9">
        <w:rPr>
          <w:rFonts w:ascii="Times New Roman" w:hAnsi="Times New Roman" w:cs="Times New Roman"/>
          <w:b/>
          <w:sz w:val="28"/>
        </w:rPr>
        <w:t xml:space="preserve">A </w:t>
      </w:r>
      <w:r w:rsidRPr="00F61EB9">
        <w:rPr>
          <w:rFonts w:ascii="Times New Roman" w:hAnsi="Times New Roman" w:cs="Times New Roman"/>
          <w:b/>
          <w:sz w:val="28"/>
          <w:highlight w:val="yellow"/>
        </w:rPr>
        <w:t xml:space="preserve">Comprehensive Review of </w:t>
      </w:r>
      <w:r w:rsidRPr="00F61EB9">
        <w:rPr>
          <w:rFonts w:ascii="Times New Roman" w:hAnsi="Times New Roman" w:cs="Times New Roman"/>
          <w:b/>
          <w:i/>
          <w:sz w:val="28"/>
          <w:highlight w:val="yellow"/>
        </w:rPr>
        <w:t>Terminalia arjuna</w:t>
      </w:r>
      <w:r w:rsidRPr="00F61EB9">
        <w:rPr>
          <w:rFonts w:ascii="Times New Roman" w:hAnsi="Times New Roman" w:cs="Times New Roman"/>
          <w:b/>
          <w:sz w:val="28"/>
          <w:highlight w:val="yellow"/>
        </w:rPr>
        <w:t xml:space="preserve"> Seedling</w:t>
      </w:r>
    </w:p>
    <w:p w:rsidR="00D123B7" w:rsidRDefault="00651CF9" w:rsidP="00651CF9">
      <w:pPr>
        <w:spacing w:line="360" w:lineRule="auto"/>
        <w:jc w:val="center"/>
        <w:rPr>
          <w:rFonts w:ascii="Times New Roman" w:hAnsi="Times New Roman" w:cs="Times New Roman"/>
          <w:b/>
          <w:sz w:val="28"/>
        </w:rPr>
      </w:pPr>
      <w:r w:rsidRPr="00F61EB9">
        <w:rPr>
          <w:rFonts w:ascii="Times New Roman" w:hAnsi="Times New Roman" w:cs="Times New Roman"/>
          <w:b/>
          <w:sz w:val="28"/>
          <w:highlight w:val="yellow"/>
        </w:rPr>
        <w:t>Growth Dynamics in Nursery</w:t>
      </w:r>
      <w:r w:rsidRPr="00651CF9">
        <w:rPr>
          <w:rFonts w:ascii="Times New Roman" w:hAnsi="Times New Roman" w:cs="Times New Roman"/>
          <w:b/>
          <w:sz w:val="28"/>
        </w:rPr>
        <w:t xml:space="preserve"> Condition</w:t>
      </w:r>
    </w:p>
    <w:p w:rsidR="0070434A" w:rsidRDefault="0070434A" w:rsidP="00925E1A">
      <w:pPr>
        <w:spacing w:line="360" w:lineRule="auto"/>
        <w:jc w:val="center"/>
        <w:rPr>
          <w:rFonts w:ascii="Times New Roman" w:hAnsi="Times New Roman" w:cs="Times New Roman"/>
          <w:b/>
          <w:sz w:val="28"/>
        </w:rPr>
      </w:pPr>
    </w:p>
    <w:p w:rsidR="00F61EB9" w:rsidRDefault="001A5044" w:rsidP="007E59F3">
      <w:pPr>
        <w:spacing w:line="360" w:lineRule="auto"/>
        <w:jc w:val="both"/>
        <w:rPr>
          <w:rFonts w:ascii="Times New Roman" w:hAnsi="Times New Roman" w:cs="Times New Roman"/>
          <w:b/>
          <w:sz w:val="24"/>
        </w:rPr>
      </w:pPr>
      <w:r w:rsidRPr="007E59F3">
        <w:rPr>
          <w:rFonts w:ascii="Times New Roman" w:hAnsi="Times New Roman" w:cs="Times New Roman"/>
          <w:b/>
          <w:sz w:val="24"/>
        </w:rPr>
        <w:t>A</w:t>
      </w:r>
      <w:r w:rsidR="00C74B83" w:rsidRPr="007E59F3">
        <w:rPr>
          <w:rFonts w:ascii="Times New Roman" w:hAnsi="Times New Roman" w:cs="Times New Roman"/>
          <w:b/>
          <w:sz w:val="24"/>
        </w:rPr>
        <w:t>bstract:</w:t>
      </w:r>
    </w:p>
    <w:p w:rsidR="007E59F3" w:rsidRPr="007E59F3" w:rsidRDefault="00881140" w:rsidP="007E59F3">
      <w:pPr>
        <w:spacing w:line="360" w:lineRule="auto"/>
        <w:jc w:val="both"/>
        <w:rPr>
          <w:rFonts w:ascii="Times New Roman" w:hAnsi="Times New Roman" w:cs="Times New Roman"/>
          <w:sz w:val="24"/>
        </w:rPr>
      </w:pPr>
      <w:r w:rsidRPr="00881140">
        <w:rPr>
          <w:rFonts w:ascii="Times New Roman" w:hAnsi="Times New Roman" w:cs="Times New Roman"/>
          <w:sz w:val="24"/>
          <w:highlight w:val="yellow"/>
        </w:rPr>
        <w:t>Nurseries provide the means to control moisture, light physical and chemical soil constituents in such a way as to produce healthy and uniform seedlings for planting. Several factors can influence seedling growth in the nursery.</w:t>
      </w:r>
      <w:r w:rsidRPr="00881140">
        <w:rPr>
          <w:rFonts w:ascii="Times New Roman" w:hAnsi="Times New Roman" w:cs="Times New Roman"/>
          <w:sz w:val="24"/>
        </w:rPr>
        <w:t xml:space="preserve"> </w:t>
      </w:r>
      <w:r w:rsidR="00925E1A" w:rsidRPr="00925E1A">
        <w:rPr>
          <w:rFonts w:ascii="Times New Roman" w:hAnsi="Times New Roman" w:cs="Times New Roman"/>
          <w:i/>
          <w:sz w:val="24"/>
        </w:rPr>
        <w:t>Terminalia arjuna</w:t>
      </w:r>
      <w:r w:rsidR="00B01BC2">
        <w:rPr>
          <w:rFonts w:ascii="Times New Roman" w:hAnsi="Times New Roman" w:cs="Times New Roman"/>
          <w:i/>
          <w:sz w:val="24"/>
        </w:rPr>
        <w:t xml:space="preserve"> </w:t>
      </w:r>
      <w:r w:rsidR="007E59F3" w:rsidRPr="007E59F3">
        <w:rPr>
          <w:rFonts w:ascii="Times New Roman" w:hAnsi="Times New Roman" w:cs="Times New Roman"/>
          <w:sz w:val="24"/>
        </w:rPr>
        <w:t>(</w:t>
      </w:r>
      <w:proofErr w:type="spellStart"/>
      <w:r w:rsidR="007E59F3" w:rsidRPr="007E59F3">
        <w:rPr>
          <w:rFonts w:ascii="Times New Roman" w:hAnsi="Times New Roman" w:cs="Times New Roman"/>
          <w:sz w:val="24"/>
        </w:rPr>
        <w:t>Roxb</w:t>
      </w:r>
      <w:proofErr w:type="spellEnd"/>
      <w:r w:rsidR="007E59F3" w:rsidRPr="007E59F3">
        <w:rPr>
          <w:rFonts w:ascii="Times New Roman" w:hAnsi="Times New Roman" w:cs="Times New Roman"/>
          <w:sz w:val="24"/>
        </w:rPr>
        <w:t xml:space="preserve">.) Wight &amp; </w:t>
      </w:r>
      <w:proofErr w:type="spellStart"/>
      <w:r w:rsidR="007E59F3" w:rsidRPr="007E59F3">
        <w:rPr>
          <w:rFonts w:ascii="Times New Roman" w:hAnsi="Times New Roman" w:cs="Times New Roman"/>
          <w:sz w:val="24"/>
        </w:rPr>
        <w:t>Arn</w:t>
      </w:r>
      <w:proofErr w:type="spellEnd"/>
      <w:r w:rsidR="007E59F3" w:rsidRPr="007E59F3">
        <w:rPr>
          <w:rFonts w:ascii="Times New Roman" w:hAnsi="Times New Roman" w:cs="Times New Roman"/>
          <w:sz w:val="24"/>
        </w:rPr>
        <w:t xml:space="preserve">., a widely recognized medicinal and ecologically significant tree species, faces propagation challenges due to seed dormancy, irregular germination, and environmental stress sensitivity. This review explores the key factors influencing the seedling growth of </w:t>
      </w:r>
      <w:r w:rsidR="007E59F3" w:rsidRPr="00281D21">
        <w:rPr>
          <w:rFonts w:ascii="Times New Roman" w:hAnsi="Times New Roman" w:cs="Times New Roman"/>
          <w:i/>
          <w:sz w:val="24"/>
          <w:highlight w:val="yellow"/>
        </w:rPr>
        <w:t>T. arjuna</w:t>
      </w:r>
      <w:r w:rsidR="007E59F3" w:rsidRPr="007E59F3">
        <w:rPr>
          <w:rFonts w:ascii="Times New Roman" w:hAnsi="Times New Roman" w:cs="Times New Roman"/>
          <w:sz w:val="24"/>
        </w:rPr>
        <w:t xml:space="preserve"> under controlled nursery conditions, focusing on soil composition, water availability, light intensity, temperature, and the impact of industrial residues such as fly ash. Evidence indicates that seedling development is highly responsive to nursery management practices, including pre-sowing seed treatments, shade regulation, watering regimes, and soil amendments. While environmental pollutants such as heavy metals pose threats to seedling health, their bioavailability can be mitigated through </w:t>
      </w:r>
      <w:r w:rsidR="00BF0FB7">
        <w:rPr>
          <w:rFonts w:ascii="Times New Roman" w:hAnsi="Times New Roman" w:cs="Times New Roman"/>
          <w:sz w:val="24"/>
        </w:rPr>
        <w:t xml:space="preserve">the </w:t>
      </w:r>
      <w:r w:rsidR="007E59F3" w:rsidRPr="007E59F3">
        <w:rPr>
          <w:rFonts w:ascii="Times New Roman" w:hAnsi="Times New Roman" w:cs="Times New Roman"/>
          <w:sz w:val="24"/>
        </w:rPr>
        <w:t xml:space="preserve">responsible use of materials like fly ash, which may also enhance soil fertility. Furthermore, integrating hormonal priming and biotechnological approaches shows promise in improving germination rates and seedling vigor. This synthesis underlines the importance of </w:t>
      </w:r>
      <w:proofErr w:type="spellStart"/>
      <w:r w:rsidR="007E59F3" w:rsidRPr="007E59F3">
        <w:rPr>
          <w:rFonts w:ascii="Times New Roman" w:hAnsi="Times New Roman" w:cs="Times New Roman"/>
          <w:sz w:val="24"/>
        </w:rPr>
        <w:t>optimi</w:t>
      </w:r>
      <w:r w:rsidR="00BF0FB7">
        <w:rPr>
          <w:rFonts w:ascii="Times New Roman" w:hAnsi="Times New Roman" w:cs="Times New Roman"/>
          <w:sz w:val="24"/>
        </w:rPr>
        <w:t>s</w:t>
      </w:r>
      <w:r w:rsidR="007E59F3" w:rsidRPr="007E59F3">
        <w:rPr>
          <w:rFonts w:ascii="Times New Roman" w:hAnsi="Times New Roman" w:cs="Times New Roman"/>
          <w:sz w:val="24"/>
        </w:rPr>
        <w:t>ed</w:t>
      </w:r>
      <w:proofErr w:type="spellEnd"/>
      <w:r w:rsidR="007E59F3" w:rsidRPr="007E59F3">
        <w:rPr>
          <w:rFonts w:ascii="Times New Roman" w:hAnsi="Times New Roman" w:cs="Times New Roman"/>
          <w:sz w:val="24"/>
        </w:rPr>
        <w:t xml:space="preserve"> nursery practices for successful seedling establishment and long-term conservation of </w:t>
      </w:r>
      <w:r w:rsidR="007E59F3" w:rsidRPr="00281D21">
        <w:rPr>
          <w:rFonts w:ascii="Times New Roman" w:hAnsi="Times New Roman" w:cs="Times New Roman"/>
          <w:i/>
          <w:sz w:val="24"/>
        </w:rPr>
        <w:t>T. arjuna</w:t>
      </w:r>
      <w:r w:rsidR="007E59F3" w:rsidRPr="007E59F3">
        <w:rPr>
          <w:rFonts w:ascii="Times New Roman" w:hAnsi="Times New Roman" w:cs="Times New Roman"/>
          <w:sz w:val="24"/>
        </w:rPr>
        <w:t>.</w:t>
      </w:r>
      <w:r w:rsidR="00281D21">
        <w:rPr>
          <w:rFonts w:ascii="Times New Roman" w:hAnsi="Times New Roman" w:cs="Times New Roman"/>
          <w:sz w:val="24"/>
        </w:rPr>
        <w:t xml:space="preserve"> </w:t>
      </w:r>
      <w:r w:rsidR="00D264FC">
        <w:rPr>
          <w:rFonts w:ascii="Times New Roman" w:hAnsi="Times New Roman" w:cs="Times New Roman"/>
          <w:sz w:val="24"/>
          <w:highlight w:val="yellow"/>
        </w:rPr>
        <w:t>C</w:t>
      </w:r>
      <w:r w:rsidR="00281D21" w:rsidRPr="00281D21">
        <w:rPr>
          <w:rFonts w:ascii="Times New Roman" w:hAnsi="Times New Roman" w:cs="Times New Roman"/>
          <w:sz w:val="24"/>
          <w:highlight w:val="yellow"/>
        </w:rPr>
        <w:t>ombining advanced nursery technique</w:t>
      </w:r>
      <w:r w:rsidR="00BF0FB7">
        <w:rPr>
          <w:rFonts w:ascii="Times New Roman" w:hAnsi="Times New Roman" w:cs="Times New Roman"/>
          <w:sz w:val="24"/>
          <w:highlight w:val="yellow"/>
        </w:rPr>
        <w:t>s</w:t>
      </w:r>
      <w:r w:rsidR="00281D21" w:rsidRPr="00281D21">
        <w:rPr>
          <w:rFonts w:ascii="Times New Roman" w:hAnsi="Times New Roman" w:cs="Times New Roman"/>
          <w:sz w:val="24"/>
          <w:highlight w:val="yellow"/>
        </w:rPr>
        <w:t xml:space="preserve"> with ecological restoration efforts can facilitate large-scale afforestation, supporting both environmental sustainability and the medicinal plant sector.</w:t>
      </w:r>
    </w:p>
    <w:p w:rsidR="007E59F3" w:rsidRPr="007E59F3" w:rsidRDefault="007E59F3" w:rsidP="00925E1A">
      <w:pPr>
        <w:spacing w:line="360" w:lineRule="auto"/>
        <w:jc w:val="both"/>
        <w:rPr>
          <w:rFonts w:ascii="Times New Roman" w:hAnsi="Times New Roman" w:cs="Times New Roman"/>
          <w:sz w:val="24"/>
        </w:rPr>
      </w:pPr>
      <w:r w:rsidRPr="00EF17E5">
        <w:rPr>
          <w:rFonts w:ascii="Times New Roman" w:hAnsi="Times New Roman" w:cs="Times New Roman"/>
          <w:b/>
          <w:sz w:val="24"/>
          <w:highlight w:val="yellow"/>
        </w:rPr>
        <w:t>Keyword</w:t>
      </w:r>
      <w:r w:rsidR="00EF17E5">
        <w:rPr>
          <w:rFonts w:ascii="Times New Roman" w:hAnsi="Times New Roman" w:cs="Times New Roman"/>
          <w:b/>
          <w:sz w:val="24"/>
          <w:highlight w:val="yellow"/>
        </w:rPr>
        <w:t>s</w:t>
      </w:r>
      <w:r w:rsidRPr="00EF17E5">
        <w:rPr>
          <w:rFonts w:ascii="Times New Roman" w:hAnsi="Times New Roman" w:cs="Times New Roman"/>
          <w:b/>
          <w:sz w:val="24"/>
          <w:highlight w:val="yellow"/>
        </w:rPr>
        <w:t>:</w:t>
      </w:r>
      <w:r w:rsidR="00F61EB9" w:rsidRPr="00EF17E5">
        <w:rPr>
          <w:rFonts w:ascii="Times New Roman" w:hAnsi="Times New Roman" w:cs="Times New Roman"/>
          <w:b/>
          <w:sz w:val="24"/>
          <w:highlight w:val="yellow"/>
        </w:rPr>
        <w:t xml:space="preserve"> </w:t>
      </w:r>
      <w:r w:rsidR="00925E1A" w:rsidRPr="00EF17E5">
        <w:rPr>
          <w:rFonts w:ascii="Times New Roman" w:hAnsi="Times New Roman" w:cs="Times New Roman"/>
          <w:sz w:val="24"/>
          <w:highlight w:val="yellow"/>
        </w:rPr>
        <w:t>Environmental pollutants, Fly ash,</w:t>
      </w:r>
      <w:r w:rsidR="00494569" w:rsidRPr="00EF17E5">
        <w:rPr>
          <w:rFonts w:ascii="Times New Roman" w:hAnsi="Times New Roman" w:cs="Times New Roman"/>
          <w:sz w:val="24"/>
          <w:highlight w:val="yellow"/>
        </w:rPr>
        <w:t xml:space="preserve"> </w:t>
      </w:r>
      <w:r w:rsidR="00925E1A" w:rsidRPr="00EF17E5">
        <w:rPr>
          <w:rFonts w:ascii="Times New Roman" w:hAnsi="Times New Roman" w:cs="Times New Roman"/>
          <w:sz w:val="24"/>
          <w:highlight w:val="yellow"/>
        </w:rPr>
        <w:t>Heavy metal stress, Light intensity, Nursery management, Seed dormancy, Seedling growth</w:t>
      </w:r>
    </w:p>
    <w:p w:rsidR="001A5044" w:rsidRPr="007E59F3" w:rsidRDefault="007E59F3" w:rsidP="001A5044">
      <w:pPr>
        <w:spacing w:line="360" w:lineRule="auto"/>
        <w:rPr>
          <w:rFonts w:ascii="Times New Roman" w:hAnsi="Times New Roman" w:cs="Times New Roman"/>
          <w:b/>
          <w:sz w:val="24"/>
        </w:rPr>
      </w:pPr>
      <w:r w:rsidRPr="007E59F3">
        <w:rPr>
          <w:rFonts w:ascii="Times New Roman" w:hAnsi="Times New Roman" w:cs="Times New Roman"/>
          <w:b/>
          <w:sz w:val="24"/>
        </w:rPr>
        <w:t>1.</w:t>
      </w:r>
      <w:r w:rsidR="00BF0FB7">
        <w:rPr>
          <w:rFonts w:ascii="Times New Roman" w:hAnsi="Times New Roman" w:cs="Times New Roman"/>
          <w:b/>
          <w:sz w:val="24"/>
        </w:rPr>
        <w:t xml:space="preserve"> </w:t>
      </w:r>
      <w:r w:rsidR="00C74B83" w:rsidRPr="007E59F3">
        <w:rPr>
          <w:rFonts w:ascii="Times New Roman" w:hAnsi="Times New Roman" w:cs="Times New Roman"/>
          <w:b/>
          <w:sz w:val="24"/>
        </w:rPr>
        <w:t>Introduction</w:t>
      </w:r>
    </w:p>
    <w:p w:rsidR="00F97D21" w:rsidRPr="007E59F3" w:rsidRDefault="003E7873" w:rsidP="008C2C80">
      <w:pPr>
        <w:spacing w:line="360" w:lineRule="auto"/>
        <w:jc w:val="both"/>
        <w:rPr>
          <w:rFonts w:ascii="Times New Roman" w:hAnsi="Times New Roman" w:cs="Times New Roman"/>
          <w:sz w:val="24"/>
        </w:rPr>
      </w:pPr>
      <w:r w:rsidRPr="00252727">
        <w:rPr>
          <w:rFonts w:ascii="Times New Roman" w:hAnsi="Times New Roman" w:cs="Times New Roman"/>
          <w:sz w:val="24"/>
          <w:szCs w:val="24"/>
          <w:highlight w:val="yellow"/>
        </w:rPr>
        <w:t>Seed germination and seedling growth are influenced by the age of the seed. Seed germination and growth occur in mature seeds. Seed germination increased with an increasing collection period (Kusuma et al., 2024).</w:t>
      </w:r>
      <w:r w:rsidRPr="003E7873">
        <w:rPr>
          <w:rFonts w:ascii="Times New Roman" w:hAnsi="Times New Roman" w:cs="Times New Roman"/>
          <w:sz w:val="24"/>
          <w:szCs w:val="24"/>
        </w:rPr>
        <w:t xml:space="preserve"> </w:t>
      </w:r>
      <w:r w:rsidR="00F1466E" w:rsidRPr="00F1466E">
        <w:rPr>
          <w:rFonts w:ascii="Times New Roman" w:hAnsi="Times New Roman" w:cs="Times New Roman"/>
          <w:sz w:val="24"/>
          <w:szCs w:val="24"/>
        </w:rPr>
        <w:t xml:space="preserve">Seed germination is a complex process that leads to the resumption </w:t>
      </w:r>
      <w:r w:rsidR="00F1466E" w:rsidRPr="00F1466E">
        <w:rPr>
          <w:rFonts w:ascii="Times New Roman" w:hAnsi="Times New Roman" w:cs="Times New Roman"/>
          <w:sz w:val="24"/>
          <w:szCs w:val="24"/>
        </w:rPr>
        <w:lastRenderedPageBreak/>
        <w:t>of active growth in the embryonic axis, rupture of the seed co</w:t>
      </w:r>
      <w:r w:rsidR="0084253F">
        <w:rPr>
          <w:rFonts w:ascii="Times New Roman" w:hAnsi="Times New Roman" w:cs="Times New Roman"/>
          <w:sz w:val="24"/>
          <w:szCs w:val="24"/>
        </w:rPr>
        <w:t>at</w:t>
      </w:r>
      <w:r w:rsidR="00F1466E" w:rsidRPr="00F1466E">
        <w:rPr>
          <w:rFonts w:ascii="Times New Roman" w:hAnsi="Times New Roman" w:cs="Times New Roman"/>
          <w:sz w:val="24"/>
          <w:szCs w:val="24"/>
        </w:rPr>
        <w:t xml:space="preserve"> and emergence of the young plants. For physiologists and biochemists, germination is complete when the radicle ruptures and the cover becomes visible. For seed technologists, foresters, nursery growers, etc.</w:t>
      </w:r>
      <w:r w:rsidR="002A7A3A">
        <w:rPr>
          <w:rFonts w:ascii="Times New Roman" w:hAnsi="Times New Roman" w:cs="Times New Roman"/>
          <w:sz w:val="24"/>
          <w:szCs w:val="24"/>
        </w:rPr>
        <w:t xml:space="preserve"> </w:t>
      </w:r>
      <w:proofErr w:type="gramStart"/>
      <w:r w:rsidR="00F1466E" w:rsidRPr="00F1466E">
        <w:rPr>
          <w:rFonts w:ascii="Times New Roman" w:hAnsi="Times New Roman" w:cs="Times New Roman"/>
          <w:sz w:val="24"/>
          <w:szCs w:val="24"/>
        </w:rPr>
        <w:t>(</w:t>
      </w:r>
      <w:proofErr w:type="spellStart"/>
      <w:proofErr w:type="gramEnd"/>
      <w:r w:rsidR="00F1466E" w:rsidRPr="00F1466E">
        <w:rPr>
          <w:rFonts w:ascii="Times New Roman" w:hAnsi="Times New Roman" w:cs="Times New Roman"/>
          <w:sz w:val="24"/>
          <w:szCs w:val="24"/>
        </w:rPr>
        <w:t>Bargah</w:t>
      </w:r>
      <w:r w:rsidR="00F1466E" w:rsidRPr="00F1466E">
        <w:rPr>
          <w:rFonts w:ascii="Times New Roman" w:hAnsi="Times New Roman" w:cs="Times New Roman"/>
          <w:i/>
          <w:sz w:val="24"/>
          <w:szCs w:val="24"/>
        </w:rPr>
        <w:t>et</w:t>
      </w:r>
      <w:proofErr w:type="spellEnd"/>
      <w:r w:rsidR="00F1466E" w:rsidRPr="00F1466E">
        <w:rPr>
          <w:rFonts w:ascii="Times New Roman" w:hAnsi="Times New Roman" w:cs="Times New Roman"/>
          <w:i/>
          <w:sz w:val="24"/>
          <w:szCs w:val="24"/>
        </w:rPr>
        <w:t xml:space="preserve"> al .,</w:t>
      </w:r>
      <w:r w:rsidR="00F1466E" w:rsidRPr="00F1466E">
        <w:rPr>
          <w:rFonts w:ascii="Times New Roman" w:hAnsi="Times New Roman" w:cs="Times New Roman"/>
          <w:sz w:val="24"/>
          <w:szCs w:val="24"/>
        </w:rPr>
        <w:t xml:space="preserve"> 2025</w:t>
      </w:r>
      <w:r w:rsidR="00F1466E" w:rsidRPr="00A76351">
        <w:rPr>
          <w:sz w:val="24"/>
          <w:szCs w:val="24"/>
        </w:rPr>
        <w:t>)</w:t>
      </w:r>
      <w:r w:rsidR="00D57FAA">
        <w:rPr>
          <w:sz w:val="24"/>
          <w:szCs w:val="24"/>
        </w:rPr>
        <w:t xml:space="preserve">. </w:t>
      </w:r>
      <w:r w:rsidR="00925E1A" w:rsidRPr="00925E1A">
        <w:rPr>
          <w:rFonts w:ascii="Times New Roman" w:hAnsi="Times New Roman" w:cs="Times New Roman"/>
          <w:i/>
          <w:sz w:val="24"/>
        </w:rPr>
        <w:t xml:space="preserve">Terminalia </w:t>
      </w:r>
      <w:proofErr w:type="gramStart"/>
      <w:r w:rsidR="00925E1A" w:rsidRPr="00925E1A">
        <w:rPr>
          <w:rFonts w:ascii="Times New Roman" w:hAnsi="Times New Roman" w:cs="Times New Roman"/>
          <w:i/>
          <w:sz w:val="24"/>
        </w:rPr>
        <w:t>arjuna</w:t>
      </w:r>
      <w:r w:rsidR="00F97D21" w:rsidRPr="007E59F3">
        <w:rPr>
          <w:rFonts w:ascii="Times New Roman" w:hAnsi="Times New Roman" w:cs="Times New Roman"/>
          <w:sz w:val="24"/>
        </w:rPr>
        <w:t>(</w:t>
      </w:r>
      <w:proofErr w:type="spellStart"/>
      <w:proofErr w:type="gramEnd"/>
      <w:r w:rsidR="00F97D21" w:rsidRPr="007E59F3">
        <w:rPr>
          <w:rFonts w:ascii="Times New Roman" w:hAnsi="Times New Roman" w:cs="Times New Roman"/>
          <w:sz w:val="24"/>
        </w:rPr>
        <w:t>Roxb</w:t>
      </w:r>
      <w:proofErr w:type="spellEnd"/>
      <w:r w:rsidR="00F97D21" w:rsidRPr="007E59F3">
        <w:rPr>
          <w:rFonts w:ascii="Times New Roman" w:hAnsi="Times New Roman" w:cs="Times New Roman"/>
          <w:sz w:val="24"/>
        </w:rPr>
        <w:t xml:space="preserve">.) Wight &amp; </w:t>
      </w:r>
      <w:proofErr w:type="spellStart"/>
      <w:r w:rsidR="00F97D21" w:rsidRPr="007E59F3">
        <w:rPr>
          <w:rFonts w:ascii="Times New Roman" w:hAnsi="Times New Roman" w:cs="Times New Roman"/>
          <w:sz w:val="24"/>
        </w:rPr>
        <w:t>Arn</w:t>
      </w:r>
      <w:proofErr w:type="spellEnd"/>
      <w:r w:rsidR="00F97D21" w:rsidRPr="007E59F3">
        <w:rPr>
          <w:rFonts w:ascii="Times New Roman" w:hAnsi="Times New Roman" w:cs="Times New Roman"/>
          <w:sz w:val="24"/>
        </w:rPr>
        <w:t xml:space="preserve">., commonly known as Arjuna, is a prominent evergreen tree species belonging to the </w:t>
      </w:r>
      <w:proofErr w:type="spellStart"/>
      <w:r w:rsidR="00F97D21" w:rsidRPr="007E59F3">
        <w:rPr>
          <w:rFonts w:ascii="Times New Roman" w:hAnsi="Times New Roman" w:cs="Times New Roman"/>
          <w:sz w:val="24"/>
        </w:rPr>
        <w:t>Combretaceae</w:t>
      </w:r>
      <w:proofErr w:type="spellEnd"/>
      <w:r w:rsidR="00F97D21" w:rsidRPr="007E59F3">
        <w:rPr>
          <w:rFonts w:ascii="Times New Roman" w:hAnsi="Times New Roman" w:cs="Times New Roman"/>
          <w:sz w:val="24"/>
        </w:rPr>
        <w:t xml:space="preserve"> family. The genus name Terminalia is derived from the Latin word “Terminus” or “Terminalis”, meaning “end,” which refers to the characteristic arrangement of its leaves clustered at the tips of branches (</w:t>
      </w:r>
      <w:proofErr w:type="spellStart"/>
      <w:r w:rsidR="00F97D21" w:rsidRPr="007E59F3">
        <w:rPr>
          <w:rFonts w:ascii="Times New Roman" w:hAnsi="Times New Roman" w:cs="Times New Roman"/>
          <w:sz w:val="24"/>
        </w:rPr>
        <w:t>Wadhai</w:t>
      </w:r>
      <w:proofErr w:type="spellEnd"/>
      <w:r w:rsidR="00F97D21" w:rsidRPr="007E59F3">
        <w:rPr>
          <w:rFonts w:ascii="Times New Roman" w:hAnsi="Times New Roman" w:cs="Times New Roman"/>
          <w:sz w:val="24"/>
        </w:rPr>
        <w:t>, 2012</w:t>
      </w:r>
      <w:proofErr w:type="gramStart"/>
      <w:r w:rsidR="00F97D21" w:rsidRPr="007E59F3">
        <w:rPr>
          <w:rFonts w:ascii="Times New Roman" w:hAnsi="Times New Roman" w:cs="Times New Roman"/>
          <w:sz w:val="24"/>
        </w:rPr>
        <w:t>).</w:t>
      </w:r>
      <w:r w:rsidR="001D5873" w:rsidRPr="001D5873">
        <w:rPr>
          <w:rFonts w:ascii="Times New Roman" w:hAnsi="Times New Roman" w:cs="Times New Roman"/>
          <w:sz w:val="24"/>
        </w:rPr>
        <w:t>Fly</w:t>
      </w:r>
      <w:proofErr w:type="gramEnd"/>
      <w:r w:rsidR="001D5873" w:rsidRPr="001D5873">
        <w:rPr>
          <w:rFonts w:ascii="Times New Roman" w:hAnsi="Times New Roman" w:cs="Times New Roman"/>
          <w:sz w:val="24"/>
        </w:rPr>
        <w:t xml:space="preserve"> ash is a waste product that is produced by coal</w:t>
      </w:r>
      <w:r w:rsidR="0084253F">
        <w:rPr>
          <w:rFonts w:ascii="Times New Roman" w:hAnsi="Times New Roman" w:cs="Times New Roman"/>
          <w:sz w:val="24"/>
        </w:rPr>
        <w:t>-</w:t>
      </w:r>
      <w:r w:rsidR="001D5873" w:rsidRPr="001D5873">
        <w:rPr>
          <w:rFonts w:ascii="Times New Roman" w:hAnsi="Times New Roman" w:cs="Times New Roman"/>
          <w:sz w:val="24"/>
        </w:rPr>
        <w:t>fired thermal power stations after generating large amounts of energy. About 57% of the electricity in India is generated by thermal power plants using coal as fuel, where it includes significant levels of ash (up to 40%), sulfur (0.2–6%), and various quantities of heavy metals such as Hg, Mn, Cu, Pb, Ni, Fe, Cr and Cd (Sharma</w:t>
      </w:r>
      <w:r w:rsidR="001D5873" w:rsidRPr="001D5873">
        <w:rPr>
          <w:rFonts w:ascii="Times New Roman" w:hAnsi="Times New Roman" w:cs="Times New Roman"/>
          <w:i/>
          <w:sz w:val="24"/>
        </w:rPr>
        <w:t xml:space="preserve"> et al.,</w:t>
      </w:r>
      <w:r w:rsidR="001D5873" w:rsidRPr="001D5873">
        <w:rPr>
          <w:rFonts w:ascii="Times New Roman" w:hAnsi="Times New Roman" w:cs="Times New Roman"/>
          <w:sz w:val="24"/>
        </w:rPr>
        <w:t xml:space="preserve"> 2024).</w:t>
      </w:r>
      <w:r w:rsidR="00F97D21" w:rsidRPr="007E59F3">
        <w:rPr>
          <w:rFonts w:ascii="Times New Roman" w:hAnsi="Times New Roman" w:cs="Times New Roman"/>
          <w:sz w:val="24"/>
        </w:rPr>
        <w:t>T. arjuna is widely distributed across the Indian subcontinent, particularly in regions such as Uttar Pradesh, Bihar, Maharashtra, Madhya Pradesh, West Bengal, Odisha, southern and central India, and also extends to Sri Lanka and Bangladesh (</w:t>
      </w:r>
      <w:proofErr w:type="spellStart"/>
      <w:r w:rsidR="00F97D21" w:rsidRPr="007E59F3">
        <w:rPr>
          <w:rFonts w:ascii="Times New Roman" w:hAnsi="Times New Roman" w:cs="Times New Roman"/>
          <w:sz w:val="24"/>
        </w:rPr>
        <w:t>Soni</w:t>
      </w:r>
      <w:proofErr w:type="spellEnd"/>
      <w:r w:rsidR="00F97D21" w:rsidRPr="007E59F3">
        <w:rPr>
          <w:rFonts w:ascii="Times New Roman" w:hAnsi="Times New Roman" w:cs="Times New Roman"/>
          <w:sz w:val="24"/>
        </w:rPr>
        <w:t xml:space="preserve"> &amp; Singh, 2019).</w:t>
      </w:r>
      <w:r w:rsidR="0084253F">
        <w:rPr>
          <w:rFonts w:ascii="Times New Roman" w:hAnsi="Times New Roman" w:cs="Times New Roman"/>
          <w:sz w:val="24"/>
        </w:rPr>
        <w:t xml:space="preserve"> </w:t>
      </w:r>
      <w:r w:rsidR="00F1466E" w:rsidRPr="00253BFF">
        <w:rPr>
          <w:rFonts w:ascii="Times New Roman" w:hAnsi="Times New Roman" w:cs="Times New Roman"/>
          <w:sz w:val="24"/>
        </w:rPr>
        <w:t>The tamarind tree (</w:t>
      </w:r>
      <w:proofErr w:type="spellStart"/>
      <w:r w:rsidR="00F1466E" w:rsidRPr="00253BFF">
        <w:rPr>
          <w:rFonts w:ascii="Times New Roman" w:hAnsi="Times New Roman" w:cs="Times New Roman"/>
          <w:sz w:val="24"/>
        </w:rPr>
        <w:t>Tamarindus</w:t>
      </w:r>
      <w:proofErr w:type="spellEnd"/>
      <w:r w:rsidR="00F1466E" w:rsidRPr="00253BFF">
        <w:rPr>
          <w:rFonts w:ascii="Times New Roman" w:hAnsi="Times New Roman" w:cs="Times New Roman"/>
          <w:sz w:val="24"/>
        </w:rPr>
        <w:t xml:space="preserve"> </w:t>
      </w:r>
      <w:proofErr w:type="spellStart"/>
      <w:r w:rsidR="00F1466E" w:rsidRPr="00253BFF">
        <w:rPr>
          <w:rFonts w:ascii="Times New Roman" w:hAnsi="Times New Roman" w:cs="Times New Roman"/>
          <w:sz w:val="24"/>
        </w:rPr>
        <w:t>indica</w:t>
      </w:r>
      <w:proofErr w:type="spellEnd"/>
      <w:r w:rsidR="00F1466E" w:rsidRPr="00253BFF">
        <w:rPr>
          <w:rFonts w:ascii="Times New Roman" w:hAnsi="Times New Roman" w:cs="Times New Roman"/>
          <w:sz w:val="24"/>
        </w:rPr>
        <w:t>) is a valuable perennial legume of significant economic, health, and nutritional importance, deeply rooted in Indian and African heritage. This review examines its systematics, botanical description, chemical composition, and applications. The tamarind fruit is notable for its pulp, rich in tartaric acid, carbohydrates, vitamins, and essential minerals. The pulp of a mature fruit comprises 30% to 50%, whereas the seeds constitute approx</w:t>
      </w:r>
      <w:r w:rsidR="00253BFF">
        <w:rPr>
          <w:rFonts w:ascii="Times New Roman" w:hAnsi="Times New Roman" w:cs="Times New Roman"/>
          <w:sz w:val="24"/>
        </w:rPr>
        <w:t xml:space="preserve">imately 25% to 40% of the </w:t>
      </w:r>
      <w:proofErr w:type="gramStart"/>
      <w:r w:rsidR="00253BFF">
        <w:rPr>
          <w:rFonts w:ascii="Times New Roman" w:hAnsi="Times New Roman" w:cs="Times New Roman"/>
          <w:sz w:val="24"/>
        </w:rPr>
        <w:t>fruit(</w:t>
      </w:r>
      <w:proofErr w:type="gramEnd"/>
      <w:r w:rsidR="00253BFF">
        <w:rPr>
          <w:rFonts w:ascii="Times New Roman" w:hAnsi="Times New Roman" w:cs="Times New Roman"/>
          <w:sz w:val="24"/>
        </w:rPr>
        <w:t xml:space="preserve">Sharma </w:t>
      </w:r>
      <w:r w:rsidR="00253BFF" w:rsidRPr="00253BFF">
        <w:rPr>
          <w:rFonts w:ascii="Times New Roman" w:hAnsi="Times New Roman" w:cs="Times New Roman"/>
          <w:i/>
          <w:sz w:val="24"/>
        </w:rPr>
        <w:t>et al.,</w:t>
      </w:r>
      <w:r w:rsidR="00253BFF">
        <w:rPr>
          <w:rFonts w:ascii="Times New Roman" w:hAnsi="Times New Roman" w:cs="Times New Roman"/>
          <w:sz w:val="24"/>
        </w:rPr>
        <w:t xml:space="preserve"> 2025)</w:t>
      </w:r>
      <w:r w:rsidR="00F97D21" w:rsidRPr="007E59F3">
        <w:rPr>
          <w:rFonts w:ascii="Times New Roman" w:hAnsi="Times New Roman" w:cs="Times New Roman"/>
          <w:sz w:val="24"/>
        </w:rPr>
        <w:t xml:space="preserve"> It thrives in tropical and subtropical climates (Kumar &amp; Prabhakar, 1987) and produces large orthodox seeds, making it a suitable species for propagation (Chandrashekar </w:t>
      </w:r>
      <w:r w:rsidR="008C2C80" w:rsidRPr="007E59F3">
        <w:rPr>
          <w:rFonts w:ascii="Times New Roman" w:hAnsi="Times New Roman" w:cs="Times New Roman"/>
          <w:i/>
          <w:sz w:val="24"/>
        </w:rPr>
        <w:t xml:space="preserve">et al., </w:t>
      </w:r>
      <w:r w:rsidR="00F97D21" w:rsidRPr="007E59F3">
        <w:rPr>
          <w:rFonts w:ascii="Times New Roman" w:hAnsi="Times New Roman" w:cs="Times New Roman"/>
          <w:sz w:val="24"/>
        </w:rPr>
        <w:t>2013).</w:t>
      </w:r>
    </w:p>
    <w:p w:rsidR="00F97D21" w:rsidRPr="00253BFF" w:rsidRDefault="00F97D21" w:rsidP="001A5044">
      <w:pPr>
        <w:spacing w:line="360" w:lineRule="auto"/>
        <w:jc w:val="both"/>
        <w:rPr>
          <w:rFonts w:ascii="Times New Roman" w:hAnsi="Times New Roman" w:cs="Times New Roman"/>
          <w:sz w:val="24"/>
          <w:szCs w:val="24"/>
        </w:rPr>
      </w:pPr>
      <w:r w:rsidRPr="007E59F3">
        <w:rPr>
          <w:rFonts w:ascii="Times New Roman" w:hAnsi="Times New Roman" w:cs="Times New Roman"/>
          <w:sz w:val="24"/>
        </w:rPr>
        <w:t xml:space="preserve">The species plays a vital role in sericulture, serving as an important host plant for the </w:t>
      </w:r>
      <w:proofErr w:type="spellStart"/>
      <w:r w:rsidRPr="007E59F3">
        <w:rPr>
          <w:rFonts w:ascii="Times New Roman" w:hAnsi="Times New Roman" w:cs="Times New Roman"/>
          <w:sz w:val="24"/>
        </w:rPr>
        <w:t>Tasar</w:t>
      </w:r>
      <w:proofErr w:type="spellEnd"/>
      <w:r w:rsidRPr="007E59F3">
        <w:rPr>
          <w:rFonts w:ascii="Times New Roman" w:hAnsi="Times New Roman" w:cs="Times New Roman"/>
          <w:sz w:val="24"/>
        </w:rPr>
        <w:t xml:space="preserve"> silkworm (</w:t>
      </w:r>
      <w:proofErr w:type="spellStart"/>
      <w:r w:rsidRPr="007E59F3">
        <w:rPr>
          <w:rFonts w:ascii="Times New Roman" w:hAnsi="Times New Roman" w:cs="Times New Roman"/>
          <w:sz w:val="24"/>
        </w:rPr>
        <w:t>Antheraeamylitta</w:t>
      </w:r>
      <w:proofErr w:type="spellEnd"/>
      <w:r w:rsidRPr="007E59F3">
        <w:rPr>
          <w:rFonts w:ascii="Times New Roman" w:hAnsi="Times New Roman" w:cs="Times New Roman"/>
          <w:sz w:val="24"/>
        </w:rPr>
        <w:t>), which feeds on its leaves (Dutta, 1995). Additionally, the Arjuna tree holds mythological and cultural significance in Indian traditions (Agarwal, 1981</w:t>
      </w:r>
      <w:r w:rsidRPr="00253BFF">
        <w:rPr>
          <w:rFonts w:ascii="Times New Roman" w:hAnsi="Times New Roman" w:cs="Times New Roman"/>
          <w:sz w:val="24"/>
          <w:szCs w:val="24"/>
        </w:rPr>
        <w:t>).</w:t>
      </w:r>
      <w:r w:rsidR="00253BFF" w:rsidRPr="00253BFF">
        <w:rPr>
          <w:rFonts w:ascii="Times New Roman" w:hAnsi="Times New Roman" w:cs="Times New Roman"/>
          <w:sz w:val="24"/>
          <w:szCs w:val="24"/>
        </w:rPr>
        <w:t xml:space="preserve"> Nurseries provide the means to control moisture, light</w:t>
      </w:r>
      <w:r w:rsidR="0084253F">
        <w:rPr>
          <w:rFonts w:ascii="Times New Roman" w:hAnsi="Times New Roman" w:cs="Times New Roman"/>
          <w:sz w:val="24"/>
          <w:szCs w:val="24"/>
        </w:rPr>
        <w:t>,</w:t>
      </w:r>
      <w:r w:rsidR="00253BFF" w:rsidRPr="00253BFF">
        <w:rPr>
          <w:rFonts w:ascii="Times New Roman" w:hAnsi="Times New Roman" w:cs="Times New Roman"/>
          <w:sz w:val="24"/>
          <w:szCs w:val="24"/>
        </w:rPr>
        <w:t xml:space="preserve"> physical and chemical soil constituents in such a way as to produce healthy and un</w:t>
      </w:r>
      <w:r w:rsidR="00253BFF">
        <w:rPr>
          <w:rFonts w:ascii="Times New Roman" w:hAnsi="Times New Roman" w:cs="Times New Roman"/>
          <w:sz w:val="24"/>
          <w:szCs w:val="24"/>
        </w:rPr>
        <w:t>iform seedlings for planting</w:t>
      </w:r>
      <w:r w:rsidR="00253BFF" w:rsidRPr="00253BFF">
        <w:rPr>
          <w:rFonts w:ascii="Times New Roman" w:hAnsi="Times New Roman" w:cs="Times New Roman"/>
          <w:sz w:val="24"/>
          <w:szCs w:val="24"/>
        </w:rPr>
        <w:t xml:space="preserve">. Several factors can influence seedling growth in the nursery. But potting substrate is the most important factor </w:t>
      </w:r>
      <w:r w:rsidR="0084253F">
        <w:rPr>
          <w:rFonts w:ascii="Times New Roman" w:hAnsi="Times New Roman" w:cs="Times New Roman"/>
          <w:sz w:val="24"/>
          <w:szCs w:val="24"/>
        </w:rPr>
        <w:t>in</w:t>
      </w:r>
      <w:r w:rsidR="00253BFF" w:rsidRPr="00253BFF">
        <w:rPr>
          <w:rFonts w:ascii="Times New Roman" w:hAnsi="Times New Roman" w:cs="Times New Roman"/>
          <w:sz w:val="24"/>
          <w:szCs w:val="24"/>
        </w:rPr>
        <w:t xml:space="preserve"> the nursery environment. This is because, first</w:t>
      </w:r>
      <w:r w:rsidR="0084253F">
        <w:rPr>
          <w:rFonts w:ascii="Times New Roman" w:hAnsi="Times New Roman" w:cs="Times New Roman"/>
          <w:sz w:val="24"/>
          <w:szCs w:val="24"/>
        </w:rPr>
        <w:t>,</w:t>
      </w:r>
      <w:r w:rsidR="00253BFF" w:rsidRPr="00253BFF">
        <w:rPr>
          <w:rFonts w:ascii="Times New Roman" w:hAnsi="Times New Roman" w:cs="Times New Roman"/>
          <w:sz w:val="24"/>
          <w:szCs w:val="24"/>
        </w:rPr>
        <w:t xml:space="preserve"> it is a plant's first food; secondly, it physically supports a growing seedling and thirdly, it stores and supplies nutrients, water and air to the root </w:t>
      </w:r>
      <w:proofErr w:type="gramStart"/>
      <w:r w:rsidR="00253BFF" w:rsidRPr="00253BFF">
        <w:rPr>
          <w:rFonts w:ascii="Times New Roman" w:hAnsi="Times New Roman" w:cs="Times New Roman"/>
          <w:sz w:val="24"/>
          <w:szCs w:val="24"/>
        </w:rPr>
        <w:t>system(</w:t>
      </w:r>
      <w:proofErr w:type="spellStart"/>
      <w:proofErr w:type="gramEnd"/>
      <w:r w:rsidR="00253BFF" w:rsidRPr="00253BFF">
        <w:rPr>
          <w:rFonts w:ascii="Times New Roman" w:hAnsi="Times New Roman" w:cs="Times New Roman"/>
          <w:sz w:val="24"/>
          <w:szCs w:val="24"/>
        </w:rPr>
        <w:t>Bargah</w:t>
      </w:r>
      <w:proofErr w:type="spellEnd"/>
      <w:r w:rsidR="00253BFF" w:rsidRPr="00253BFF">
        <w:rPr>
          <w:rFonts w:ascii="Times New Roman" w:hAnsi="Times New Roman" w:cs="Times New Roman"/>
          <w:i/>
          <w:sz w:val="24"/>
          <w:szCs w:val="24"/>
        </w:rPr>
        <w:t xml:space="preserve"> et al.,</w:t>
      </w:r>
      <w:r w:rsidR="00253BFF" w:rsidRPr="00253BFF">
        <w:rPr>
          <w:rFonts w:ascii="Times New Roman" w:hAnsi="Times New Roman" w:cs="Times New Roman"/>
          <w:sz w:val="24"/>
          <w:szCs w:val="24"/>
        </w:rPr>
        <w:t>2024)</w:t>
      </w:r>
    </w:p>
    <w:p w:rsidR="00F97D21" w:rsidRPr="007E59F3" w:rsidRDefault="00925E1A" w:rsidP="001A5044">
      <w:pPr>
        <w:spacing w:line="360" w:lineRule="auto"/>
        <w:jc w:val="both"/>
        <w:rPr>
          <w:rFonts w:ascii="Times New Roman" w:hAnsi="Times New Roman" w:cs="Times New Roman"/>
          <w:sz w:val="24"/>
        </w:rPr>
      </w:pPr>
      <w:r w:rsidRPr="00925E1A">
        <w:rPr>
          <w:rFonts w:ascii="Times New Roman" w:hAnsi="Times New Roman" w:cs="Times New Roman"/>
          <w:i/>
          <w:sz w:val="24"/>
        </w:rPr>
        <w:lastRenderedPageBreak/>
        <w:t xml:space="preserve">Terminalia arjuna </w:t>
      </w:r>
      <w:r w:rsidR="00F97D21" w:rsidRPr="007E59F3">
        <w:rPr>
          <w:rFonts w:ascii="Times New Roman" w:hAnsi="Times New Roman" w:cs="Times New Roman"/>
          <w:sz w:val="24"/>
        </w:rPr>
        <w:t xml:space="preserve">is best known for its extensive use in traditional Ayurvedic medicine. For nearly three centuries, its stem bark has been utilized for preparing herbal formulations, primarily as a cardiac tonic, and is particularly beneficial in treating heart-related disorders such as heart failure, ischemia, cardiomyopathy, atherosclerosis, and myocardial necrosis (Ram </w:t>
      </w:r>
      <w:r w:rsidR="008C2C80" w:rsidRPr="007E59F3">
        <w:rPr>
          <w:rFonts w:ascii="Times New Roman" w:hAnsi="Times New Roman" w:cs="Times New Roman"/>
          <w:i/>
          <w:sz w:val="24"/>
        </w:rPr>
        <w:t xml:space="preserve">et al., </w:t>
      </w:r>
      <w:r w:rsidR="00F97D21" w:rsidRPr="007E59F3">
        <w:rPr>
          <w:rFonts w:ascii="Times New Roman" w:hAnsi="Times New Roman" w:cs="Times New Roman"/>
          <w:sz w:val="24"/>
        </w:rPr>
        <w:t xml:space="preserve">1997; Sultana </w:t>
      </w:r>
      <w:r w:rsidR="008C2C80" w:rsidRPr="007E59F3">
        <w:rPr>
          <w:rFonts w:ascii="Times New Roman" w:hAnsi="Times New Roman" w:cs="Times New Roman"/>
          <w:i/>
          <w:sz w:val="24"/>
        </w:rPr>
        <w:t xml:space="preserve">et al., </w:t>
      </w:r>
      <w:r w:rsidR="00F97D21" w:rsidRPr="007E59F3">
        <w:rPr>
          <w:rFonts w:ascii="Times New Roman" w:hAnsi="Times New Roman" w:cs="Times New Roman"/>
          <w:sz w:val="24"/>
        </w:rPr>
        <w:t xml:space="preserve">2007; </w:t>
      </w:r>
      <w:proofErr w:type="spellStart"/>
      <w:r w:rsidR="00F97D21" w:rsidRPr="007E59F3">
        <w:rPr>
          <w:rFonts w:ascii="Times New Roman" w:hAnsi="Times New Roman" w:cs="Times New Roman"/>
          <w:sz w:val="24"/>
        </w:rPr>
        <w:t>Phani</w:t>
      </w:r>
      <w:proofErr w:type="spellEnd"/>
      <w:r w:rsidR="00F97D21" w:rsidRPr="007E59F3">
        <w:rPr>
          <w:rFonts w:ascii="Times New Roman" w:hAnsi="Times New Roman" w:cs="Times New Roman"/>
          <w:sz w:val="24"/>
        </w:rPr>
        <w:t xml:space="preserve"> </w:t>
      </w:r>
      <w:r w:rsidR="008C2C80" w:rsidRPr="007E59F3">
        <w:rPr>
          <w:rFonts w:ascii="Times New Roman" w:hAnsi="Times New Roman" w:cs="Times New Roman"/>
          <w:i/>
          <w:sz w:val="24"/>
        </w:rPr>
        <w:t xml:space="preserve">et al., </w:t>
      </w:r>
      <w:r w:rsidR="00F97D21" w:rsidRPr="007E59F3">
        <w:rPr>
          <w:rFonts w:ascii="Times New Roman" w:hAnsi="Times New Roman" w:cs="Times New Roman"/>
          <w:sz w:val="24"/>
        </w:rPr>
        <w:t xml:space="preserve">2013). In addition, it is used to manage </w:t>
      </w:r>
      <w:proofErr w:type="spellStart"/>
      <w:r w:rsidR="00F97D21" w:rsidRPr="007E59F3">
        <w:rPr>
          <w:rFonts w:ascii="Times New Roman" w:hAnsi="Times New Roman" w:cs="Times New Roman"/>
          <w:sz w:val="24"/>
        </w:rPr>
        <w:t>an</w:t>
      </w:r>
      <w:r w:rsidR="0084253F">
        <w:rPr>
          <w:rFonts w:ascii="Times New Roman" w:hAnsi="Times New Roman" w:cs="Times New Roman"/>
          <w:sz w:val="24"/>
        </w:rPr>
        <w:t>a</w:t>
      </w:r>
      <w:r w:rsidR="00F97D21" w:rsidRPr="007E59F3">
        <w:rPr>
          <w:rFonts w:ascii="Times New Roman" w:hAnsi="Times New Roman" w:cs="Times New Roman"/>
          <w:sz w:val="24"/>
        </w:rPr>
        <w:t>emia</w:t>
      </w:r>
      <w:proofErr w:type="spellEnd"/>
      <w:r w:rsidR="00F97D21" w:rsidRPr="007E59F3">
        <w:rPr>
          <w:rFonts w:ascii="Times New Roman" w:hAnsi="Times New Roman" w:cs="Times New Roman"/>
          <w:sz w:val="24"/>
        </w:rPr>
        <w:t xml:space="preserve">, blood disorders, venereal and viral diseases, and other general health issues. Pharmacologically, T. arjuna exhibits a wide spectrum of biological activities, including antioxidant, </w:t>
      </w:r>
      <w:proofErr w:type="spellStart"/>
      <w:r w:rsidR="00F97D21" w:rsidRPr="007E59F3">
        <w:rPr>
          <w:rFonts w:ascii="Times New Roman" w:hAnsi="Times New Roman" w:cs="Times New Roman"/>
          <w:sz w:val="24"/>
        </w:rPr>
        <w:t>hypocholesterolemic</w:t>
      </w:r>
      <w:proofErr w:type="spellEnd"/>
      <w:r w:rsidR="00F97D21" w:rsidRPr="007E59F3">
        <w:rPr>
          <w:rFonts w:ascii="Times New Roman" w:hAnsi="Times New Roman" w:cs="Times New Roman"/>
          <w:sz w:val="24"/>
        </w:rPr>
        <w:t>, antibacterial, antimicrobial, antitumoral, antiallergic, antifertility, antifeedant, and anti-HIV properties.</w:t>
      </w:r>
    </w:p>
    <w:p w:rsidR="00F97D21" w:rsidRPr="007E59F3" w:rsidRDefault="00F97D21"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Another critical aspect of T. arjuna research pertains to its seed germination, a vital phase in the plant’s life cycle. Germination requires suitable environmental factors such as water, oxygen, temperature, and light, and proceeds through phases of imbibition, physiological activation, and visible growth (Biswas </w:t>
      </w:r>
      <w:r w:rsidR="008C2C80" w:rsidRPr="007E59F3">
        <w:rPr>
          <w:rFonts w:ascii="Times New Roman" w:hAnsi="Times New Roman" w:cs="Times New Roman"/>
          <w:i/>
          <w:sz w:val="24"/>
        </w:rPr>
        <w:t xml:space="preserve">et al., </w:t>
      </w:r>
      <w:r w:rsidRPr="007E59F3">
        <w:rPr>
          <w:rFonts w:ascii="Times New Roman" w:hAnsi="Times New Roman" w:cs="Times New Roman"/>
          <w:sz w:val="24"/>
        </w:rPr>
        <w:t xml:space="preserve">2011; Chandra </w:t>
      </w:r>
      <w:r w:rsidR="008C2C80" w:rsidRPr="007E59F3">
        <w:rPr>
          <w:rFonts w:ascii="Times New Roman" w:hAnsi="Times New Roman" w:cs="Times New Roman"/>
          <w:i/>
          <w:sz w:val="24"/>
        </w:rPr>
        <w:t xml:space="preserve">et al., </w:t>
      </w:r>
      <w:r w:rsidRPr="007E59F3">
        <w:rPr>
          <w:rFonts w:ascii="Times New Roman" w:hAnsi="Times New Roman" w:cs="Times New Roman"/>
          <w:sz w:val="24"/>
        </w:rPr>
        <w:t xml:space="preserve">2021b; Kumar </w:t>
      </w:r>
      <w:r w:rsidR="008C2C80" w:rsidRPr="007E59F3">
        <w:rPr>
          <w:rFonts w:ascii="Times New Roman" w:hAnsi="Times New Roman" w:cs="Times New Roman"/>
          <w:i/>
          <w:sz w:val="24"/>
        </w:rPr>
        <w:t xml:space="preserve">et al., </w:t>
      </w:r>
      <w:r w:rsidRPr="007E59F3">
        <w:rPr>
          <w:rFonts w:ascii="Times New Roman" w:hAnsi="Times New Roman" w:cs="Times New Roman"/>
          <w:sz w:val="24"/>
        </w:rPr>
        <w:t>2023</w:t>
      </w:r>
      <w:proofErr w:type="gramStart"/>
      <w:r w:rsidRPr="007E59F3">
        <w:rPr>
          <w:rFonts w:ascii="Times New Roman" w:hAnsi="Times New Roman" w:cs="Times New Roman"/>
          <w:sz w:val="24"/>
        </w:rPr>
        <w:t>).</w:t>
      </w:r>
      <w:r w:rsidR="001D5873" w:rsidRPr="001D5873">
        <w:rPr>
          <w:rFonts w:ascii="Times New Roman" w:hAnsi="Times New Roman" w:cs="Times New Roman"/>
          <w:sz w:val="24"/>
        </w:rPr>
        <w:t>The</w:t>
      </w:r>
      <w:proofErr w:type="gramEnd"/>
      <w:r w:rsidR="001D5873" w:rsidRPr="001D5873">
        <w:rPr>
          <w:rFonts w:ascii="Times New Roman" w:hAnsi="Times New Roman" w:cs="Times New Roman"/>
          <w:sz w:val="24"/>
        </w:rPr>
        <w:t xml:space="preserve"> manufacturing of forest seedlings is therefore a constantly developing technique in reforestation. Understanding the development of seedlings in the nursery and their future growth and survival in the field depend</w:t>
      </w:r>
      <w:r w:rsidR="0084253F">
        <w:rPr>
          <w:rFonts w:ascii="Times New Roman" w:hAnsi="Times New Roman" w:cs="Times New Roman"/>
          <w:sz w:val="24"/>
        </w:rPr>
        <w:t>s</w:t>
      </w:r>
      <w:r w:rsidR="001D5873" w:rsidRPr="001D5873">
        <w:rPr>
          <w:rFonts w:ascii="Times New Roman" w:hAnsi="Times New Roman" w:cs="Times New Roman"/>
          <w:sz w:val="24"/>
        </w:rPr>
        <w:t xml:space="preserve"> heavily on the evaluation of seedling quality. On the other hand, stock quality is frequently evaluated imperfectly and infrequently. While some forestry managers and nurseries evaluate their stock extensively every year, others </w:t>
      </w:r>
      <w:r w:rsidR="001D5873">
        <w:rPr>
          <w:rFonts w:ascii="Times New Roman" w:hAnsi="Times New Roman" w:cs="Times New Roman"/>
          <w:sz w:val="24"/>
        </w:rPr>
        <w:t xml:space="preserve">only do so when an issue </w:t>
      </w:r>
      <w:proofErr w:type="gramStart"/>
      <w:r w:rsidR="001D5873">
        <w:rPr>
          <w:rFonts w:ascii="Times New Roman" w:hAnsi="Times New Roman" w:cs="Times New Roman"/>
          <w:sz w:val="24"/>
        </w:rPr>
        <w:t>occurs(</w:t>
      </w:r>
      <w:proofErr w:type="spellStart"/>
      <w:proofErr w:type="gramEnd"/>
      <w:r w:rsidR="001D5873">
        <w:rPr>
          <w:rFonts w:ascii="Times New Roman" w:hAnsi="Times New Roman" w:cs="Times New Roman"/>
          <w:sz w:val="24"/>
        </w:rPr>
        <w:t>Sahu</w:t>
      </w:r>
      <w:proofErr w:type="spellEnd"/>
      <w:r w:rsidR="001D5873">
        <w:rPr>
          <w:rFonts w:ascii="Times New Roman" w:hAnsi="Times New Roman" w:cs="Times New Roman"/>
          <w:sz w:val="24"/>
        </w:rPr>
        <w:t xml:space="preserve"> and </w:t>
      </w:r>
      <w:proofErr w:type="spellStart"/>
      <w:r w:rsidR="001D5873">
        <w:rPr>
          <w:rFonts w:ascii="Times New Roman" w:hAnsi="Times New Roman" w:cs="Times New Roman"/>
          <w:sz w:val="24"/>
        </w:rPr>
        <w:t>Nema</w:t>
      </w:r>
      <w:proofErr w:type="spellEnd"/>
      <w:r w:rsidR="001D5873">
        <w:rPr>
          <w:rFonts w:ascii="Times New Roman" w:hAnsi="Times New Roman" w:cs="Times New Roman"/>
          <w:sz w:val="24"/>
        </w:rPr>
        <w:t xml:space="preserve"> </w:t>
      </w:r>
      <w:r w:rsidR="001D5873" w:rsidRPr="001D5873">
        <w:rPr>
          <w:rFonts w:ascii="Times New Roman" w:hAnsi="Times New Roman" w:cs="Times New Roman"/>
          <w:i/>
          <w:sz w:val="24"/>
        </w:rPr>
        <w:t>et al.,</w:t>
      </w:r>
      <w:r w:rsidR="001D5873">
        <w:rPr>
          <w:rFonts w:ascii="Times New Roman" w:hAnsi="Times New Roman" w:cs="Times New Roman"/>
          <w:sz w:val="24"/>
        </w:rPr>
        <w:t>2025).</w:t>
      </w:r>
      <w:r w:rsidRPr="007E59F3">
        <w:rPr>
          <w:rFonts w:ascii="Times New Roman" w:hAnsi="Times New Roman" w:cs="Times New Roman"/>
          <w:sz w:val="24"/>
        </w:rPr>
        <w:t xml:space="preserve"> However, the germination and growth of such trees can be significantly influenced by external factors like fly ash</w:t>
      </w:r>
      <w:r w:rsidR="0084253F">
        <w:rPr>
          <w:rFonts w:ascii="Times New Roman" w:hAnsi="Times New Roman" w:cs="Times New Roman"/>
          <w:sz w:val="24"/>
        </w:rPr>
        <w:t xml:space="preserve">, </w:t>
      </w:r>
      <w:r w:rsidRPr="007E59F3">
        <w:rPr>
          <w:rFonts w:ascii="Times New Roman" w:hAnsi="Times New Roman" w:cs="Times New Roman"/>
          <w:sz w:val="24"/>
        </w:rPr>
        <w:t>a major industrial by-product.</w:t>
      </w:r>
    </w:p>
    <w:p w:rsidR="00F97D21" w:rsidRPr="007E59F3" w:rsidRDefault="00F97D21"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Fly ash contains numerous toxic heavy metals, including mercury (Hg), arsenic (As), cadmium (Cd), barium (Ba), selenium (Se), nickel (Ni), chromium (Cr), vanadium (V), zinc (Zn), and lead (Pb) (Dwivedi &amp; Jain, 2014). These elements are known to inhibit seed germination and adversely affect plant development (Ahmad </w:t>
      </w:r>
      <w:r w:rsidR="008C2C80" w:rsidRPr="007E59F3">
        <w:rPr>
          <w:rFonts w:ascii="Times New Roman" w:hAnsi="Times New Roman" w:cs="Times New Roman"/>
          <w:i/>
          <w:sz w:val="24"/>
        </w:rPr>
        <w:t xml:space="preserve">et al., </w:t>
      </w:r>
      <w:r w:rsidRPr="007E59F3">
        <w:rPr>
          <w:rFonts w:ascii="Times New Roman" w:hAnsi="Times New Roman" w:cs="Times New Roman"/>
          <w:sz w:val="24"/>
        </w:rPr>
        <w:t xml:space="preserve">2014). Despite its toxicity, fly ash has found widespread industrial applications in cement, bricks, concrete, synthetic wood, reclamation of degraded land, road construction, and mine filling (Kaur &amp; Goyal, 2015). </w:t>
      </w:r>
      <w:r w:rsidR="00253BFF" w:rsidRPr="00253BFF">
        <w:rPr>
          <w:rFonts w:ascii="Times New Roman" w:hAnsi="Times New Roman" w:cs="Times New Roman"/>
          <w:sz w:val="24"/>
        </w:rPr>
        <w:t xml:space="preserve">Plants are propagated and grown to a size that can be planted in a nursery. A quality nursery stock is necessary to create a good plantation. The necessity of forest nurseries in order to properly nurture seedlings before planting them on land that needs to be replanted. Some essential benefits of the standard or functional medium are that it yields robust seedlings that can establish themselves in field </w:t>
      </w:r>
      <w:r w:rsidR="00253BFF" w:rsidRPr="00253BFF">
        <w:rPr>
          <w:rFonts w:ascii="Times New Roman" w:hAnsi="Times New Roman" w:cs="Times New Roman"/>
          <w:sz w:val="24"/>
        </w:rPr>
        <w:lastRenderedPageBreak/>
        <w:t>conditions; it promotes seedling growth, which shortens the time the seedlings spend in the nursery and increases costs; it establishes the standard or proportion of potting mixture, which prevents the wastage of media ingredients; and more (</w:t>
      </w:r>
      <w:proofErr w:type="spellStart"/>
      <w:r w:rsidR="00253BFF" w:rsidRPr="00253BFF">
        <w:rPr>
          <w:rFonts w:ascii="Times New Roman" w:hAnsi="Times New Roman" w:cs="Times New Roman"/>
          <w:sz w:val="24"/>
        </w:rPr>
        <w:t>Bargah</w:t>
      </w:r>
      <w:r w:rsidR="00253BFF" w:rsidRPr="00253BFF">
        <w:rPr>
          <w:rFonts w:ascii="Times New Roman" w:hAnsi="Times New Roman" w:cs="Times New Roman"/>
          <w:i/>
          <w:sz w:val="24"/>
        </w:rPr>
        <w:t>et</w:t>
      </w:r>
      <w:proofErr w:type="spellEnd"/>
      <w:r w:rsidR="00253BFF" w:rsidRPr="00253BFF">
        <w:rPr>
          <w:rFonts w:ascii="Times New Roman" w:hAnsi="Times New Roman" w:cs="Times New Roman"/>
          <w:i/>
          <w:sz w:val="24"/>
        </w:rPr>
        <w:t xml:space="preserve"> al.,</w:t>
      </w:r>
      <w:r w:rsidR="00253BFF" w:rsidRPr="00253BFF">
        <w:rPr>
          <w:rFonts w:ascii="Times New Roman" w:hAnsi="Times New Roman" w:cs="Times New Roman"/>
          <w:sz w:val="24"/>
        </w:rPr>
        <w:t>2024).</w:t>
      </w:r>
      <w:r w:rsidR="0084253F">
        <w:rPr>
          <w:rFonts w:ascii="Times New Roman" w:hAnsi="Times New Roman" w:cs="Times New Roman"/>
          <w:sz w:val="24"/>
        </w:rPr>
        <w:t xml:space="preserve"> </w:t>
      </w:r>
      <w:proofErr w:type="gramStart"/>
      <w:r w:rsidRPr="007E59F3">
        <w:rPr>
          <w:rFonts w:ascii="Times New Roman" w:hAnsi="Times New Roman" w:cs="Times New Roman"/>
          <w:sz w:val="24"/>
        </w:rPr>
        <w:t>More</w:t>
      </w:r>
      <w:proofErr w:type="gramEnd"/>
      <w:r w:rsidRPr="007E59F3">
        <w:rPr>
          <w:rFonts w:ascii="Times New Roman" w:hAnsi="Times New Roman" w:cs="Times New Roman"/>
          <w:sz w:val="24"/>
        </w:rPr>
        <w:t xml:space="preserve"> recently, its use in forestry and nurseries has gained attention. When applied cautiously, fly ash can assist in tree plantation and may aid in </w:t>
      </w:r>
      <w:proofErr w:type="spellStart"/>
      <w:r w:rsidRPr="007E59F3">
        <w:rPr>
          <w:rFonts w:ascii="Times New Roman" w:hAnsi="Times New Roman" w:cs="Times New Roman"/>
          <w:sz w:val="24"/>
        </w:rPr>
        <w:t>immobili</w:t>
      </w:r>
      <w:r w:rsidR="0084253F">
        <w:rPr>
          <w:rFonts w:ascii="Times New Roman" w:hAnsi="Times New Roman" w:cs="Times New Roman"/>
          <w:sz w:val="24"/>
        </w:rPr>
        <w:t>s</w:t>
      </w:r>
      <w:r w:rsidRPr="007E59F3">
        <w:rPr>
          <w:rFonts w:ascii="Times New Roman" w:hAnsi="Times New Roman" w:cs="Times New Roman"/>
          <w:sz w:val="24"/>
        </w:rPr>
        <w:t>ing</w:t>
      </w:r>
      <w:proofErr w:type="spellEnd"/>
      <w:r w:rsidRPr="007E59F3">
        <w:rPr>
          <w:rFonts w:ascii="Times New Roman" w:hAnsi="Times New Roman" w:cs="Times New Roman"/>
          <w:sz w:val="24"/>
        </w:rPr>
        <w:t xml:space="preserve"> heavy metals within plant biomass, potentially reducing their environmental impact (Chandra </w:t>
      </w:r>
      <w:r w:rsidR="008C2C80" w:rsidRPr="007E59F3">
        <w:rPr>
          <w:rFonts w:ascii="Times New Roman" w:hAnsi="Times New Roman" w:cs="Times New Roman"/>
          <w:i/>
          <w:sz w:val="24"/>
        </w:rPr>
        <w:t xml:space="preserve">et al., </w:t>
      </w:r>
      <w:r w:rsidRPr="007E59F3">
        <w:rPr>
          <w:rFonts w:ascii="Times New Roman" w:hAnsi="Times New Roman" w:cs="Times New Roman"/>
          <w:sz w:val="24"/>
        </w:rPr>
        <w:t>2021a).</w:t>
      </w:r>
    </w:p>
    <w:p w:rsidR="00851B19" w:rsidRPr="007E59F3" w:rsidRDefault="007E59F3" w:rsidP="001A5044">
      <w:pPr>
        <w:spacing w:line="360" w:lineRule="auto"/>
        <w:jc w:val="both"/>
        <w:rPr>
          <w:rFonts w:ascii="Times New Roman" w:hAnsi="Times New Roman" w:cs="Times New Roman"/>
        </w:rPr>
      </w:pPr>
      <w:r w:rsidRPr="007E59F3">
        <w:rPr>
          <w:rFonts w:ascii="Times New Roman" w:hAnsi="Times New Roman" w:cs="Times New Roman"/>
          <w:b/>
          <w:sz w:val="24"/>
        </w:rPr>
        <w:t>2.</w:t>
      </w:r>
      <w:r w:rsidR="0084253F">
        <w:rPr>
          <w:rFonts w:ascii="Times New Roman" w:hAnsi="Times New Roman" w:cs="Times New Roman"/>
          <w:b/>
          <w:sz w:val="24"/>
        </w:rPr>
        <w:t xml:space="preserve"> </w:t>
      </w:r>
      <w:r w:rsidR="00851B19" w:rsidRPr="007E59F3">
        <w:rPr>
          <w:rFonts w:ascii="Times New Roman" w:hAnsi="Times New Roman" w:cs="Times New Roman"/>
          <w:b/>
          <w:sz w:val="24"/>
        </w:rPr>
        <w:t>Seed Germination:</w:t>
      </w:r>
      <w:r w:rsidR="00851B19" w:rsidRPr="007E59F3">
        <w:rPr>
          <w:rFonts w:ascii="Times New Roman" w:hAnsi="Times New Roman" w:cs="Times New Roman"/>
        </w:rPr>
        <w:t xml:space="preserve"> Seed germination is the process in which the embryo develops into a seedling under </w:t>
      </w:r>
      <w:proofErr w:type="spellStart"/>
      <w:r w:rsidR="00851B19" w:rsidRPr="007E59F3">
        <w:rPr>
          <w:rFonts w:ascii="Times New Roman" w:hAnsi="Times New Roman" w:cs="Times New Roman"/>
        </w:rPr>
        <w:t>favo</w:t>
      </w:r>
      <w:r w:rsidR="0084253F">
        <w:rPr>
          <w:rFonts w:ascii="Times New Roman" w:hAnsi="Times New Roman" w:cs="Times New Roman"/>
        </w:rPr>
        <w:t>u</w:t>
      </w:r>
      <w:r w:rsidR="00851B19" w:rsidRPr="007E59F3">
        <w:rPr>
          <w:rFonts w:ascii="Times New Roman" w:hAnsi="Times New Roman" w:cs="Times New Roman"/>
        </w:rPr>
        <w:t>rable</w:t>
      </w:r>
      <w:proofErr w:type="spellEnd"/>
      <w:r w:rsidR="00851B19" w:rsidRPr="007E59F3">
        <w:rPr>
          <w:rFonts w:ascii="Times New Roman" w:hAnsi="Times New Roman" w:cs="Times New Roman"/>
        </w:rPr>
        <w:t xml:space="preserve"> conditions (</w:t>
      </w:r>
      <w:proofErr w:type="spellStart"/>
      <w:r w:rsidR="00851B19" w:rsidRPr="007E59F3">
        <w:rPr>
          <w:rFonts w:ascii="Times New Roman" w:hAnsi="Times New Roman" w:cs="Times New Roman"/>
        </w:rPr>
        <w:t>Bargah</w:t>
      </w:r>
      <w:proofErr w:type="spellEnd"/>
      <w:r w:rsidR="0084253F">
        <w:rPr>
          <w:rFonts w:ascii="Times New Roman" w:hAnsi="Times New Roman" w:cs="Times New Roman"/>
        </w:rPr>
        <w:t xml:space="preserve"> </w:t>
      </w:r>
      <w:r w:rsidR="008C2C80" w:rsidRPr="007E59F3">
        <w:rPr>
          <w:rFonts w:ascii="Times New Roman" w:hAnsi="Times New Roman" w:cs="Times New Roman"/>
          <w:i/>
        </w:rPr>
        <w:t xml:space="preserve">et al., </w:t>
      </w:r>
      <w:r w:rsidR="00851B19" w:rsidRPr="007E59F3">
        <w:rPr>
          <w:rFonts w:ascii="Times New Roman" w:hAnsi="Times New Roman" w:cs="Times New Roman"/>
        </w:rPr>
        <w:t xml:space="preserve">2025). It involves a series of physiological, biochemical, and morphological changes that together lead to </w:t>
      </w:r>
      <w:proofErr w:type="gramStart"/>
      <w:r w:rsidR="00851B19" w:rsidRPr="007E59F3">
        <w:rPr>
          <w:rFonts w:ascii="Times New Roman" w:hAnsi="Times New Roman" w:cs="Times New Roman"/>
        </w:rPr>
        <w:t>germination.</w:t>
      </w:r>
      <w:r w:rsidR="00057355">
        <w:rPr>
          <w:rFonts w:ascii="Times New Roman" w:hAnsi="Times New Roman" w:cs="Times New Roman"/>
        </w:rPr>
        <w:t>(</w:t>
      </w:r>
      <w:proofErr w:type="gramEnd"/>
      <w:r w:rsidR="00057355" w:rsidRPr="00057355">
        <w:rPr>
          <w:rFonts w:ascii="Times New Roman" w:hAnsi="Times New Roman" w:cs="Times New Roman"/>
        </w:rPr>
        <w:t>Fig:1</w:t>
      </w:r>
      <w:r w:rsidR="00057355">
        <w:rPr>
          <w:rFonts w:ascii="Times New Roman" w:hAnsi="Times New Roman" w:cs="Times New Roman"/>
        </w:rPr>
        <w:t>).</w:t>
      </w:r>
    </w:p>
    <w:p w:rsidR="00D61D99" w:rsidRDefault="00212591" w:rsidP="00D61D99">
      <w:pPr>
        <w:spacing w:line="360" w:lineRule="auto"/>
        <w:jc w:val="center"/>
        <w:rPr>
          <w:rFonts w:ascii="Times New Roman" w:hAnsi="Times New Roman" w:cs="Times New Roman"/>
        </w:rPr>
      </w:pPr>
      <w:r>
        <w:rPr>
          <w:noProof/>
        </w:rPr>
        <w:drawing>
          <wp:inline distT="0" distB="0" distL="0" distR="0">
            <wp:extent cx="5947410" cy="3970020"/>
            <wp:effectExtent l="38100" t="57150" r="110490" b="87630"/>
            <wp:docPr id="4" name="Picture 4" descr="Diagram of Seed Germination - GeeksforG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 of Seed Germination - GeeksforGeeks"/>
                    <pic:cNvPicPr>
                      <a:picLocks noChangeAspect="1" noChangeArrowheads="1"/>
                    </pic:cNvPicPr>
                  </pic:nvPicPr>
                  <pic:blipFill>
                    <a:blip r:embed="rId6"/>
                    <a:srcRect b="6631"/>
                    <a:stretch>
                      <a:fillRect/>
                    </a:stretch>
                  </pic:blipFill>
                  <pic:spPr bwMode="auto">
                    <a:xfrm>
                      <a:off x="0" y="0"/>
                      <a:ext cx="5947410" cy="39700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E59F3" w:rsidRDefault="007E59F3" w:rsidP="00D61D99">
      <w:pPr>
        <w:spacing w:line="360" w:lineRule="auto"/>
        <w:jc w:val="center"/>
        <w:rPr>
          <w:rFonts w:ascii="Times New Roman" w:hAnsi="Times New Roman" w:cs="Times New Roman"/>
          <w:b/>
          <w:sz w:val="24"/>
          <w:szCs w:val="24"/>
        </w:rPr>
      </w:pPr>
      <w:r w:rsidRPr="007E59F3">
        <w:rPr>
          <w:rFonts w:ascii="Times New Roman" w:hAnsi="Times New Roman" w:cs="Times New Roman"/>
          <w:b/>
          <w:sz w:val="24"/>
          <w:szCs w:val="24"/>
        </w:rPr>
        <w:t>Fig:</w:t>
      </w:r>
      <w:r>
        <w:rPr>
          <w:rFonts w:ascii="Times New Roman" w:hAnsi="Times New Roman" w:cs="Times New Roman"/>
          <w:b/>
          <w:sz w:val="24"/>
          <w:szCs w:val="24"/>
        </w:rPr>
        <w:t xml:space="preserve">1 </w:t>
      </w:r>
      <w:r w:rsidR="00212591">
        <w:rPr>
          <w:rFonts w:ascii="Times New Roman" w:hAnsi="Times New Roman" w:cs="Times New Roman"/>
          <w:b/>
          <w:sz w:val="24"/>
          <w:szCs w:val="24"/>
        </w:rPr>
        <w:t>Seed germination.</w:t>
      </w:r>
    </w:p>
    <w:p w:rsidR="00212591" w:rsidRPr="007E59F3" w:rsidRDefault="00212591" w:rsidP="00D61D99">
      <w:pPr>
        <w:spacing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Source:</w:t>
      </w:r>
      <w:r w:rsidRPr="00212591">
        <w:rPr>
          <w:rFonts w:ascii="Times New Roman" w:hAnsi="Times New Roman" w:cs="Times New Roman"/>
          <w:b/>
          <w:sz w:val="24"/>
          <w:szCs w:val="24"/>
        </w:rPr>
        <w:t>https://www.geeksforgeeks.org/biology/diagram-of-seed-germination-process/</w:t>
      </w:r>
      <w:proofErr w:type="gramEnd"/>
    </w:p>
    <w:p w:rsidR="00851B19" w:rsidRPr="007E59F3" w:rsidRDefault="007E59F3" w:rsidP="001A5044">
      <w:pPr>
        <w:spacing w:line="360" w:lineRule="auto"/>
        <w:jc w:val="both"/>
        <w:rPr>
          <w:rFonts w:ascii="Times New Roman" w:hAnsi="Times New Roman" w:cs="Times New Roman"/>
          <w:i/>
        </w:rPr>
      </w:pPr>
      <w:r w:rsidRPr="007E59F3">
        <w:rPr>
          <w:rFonts w:ascii="Times New Roman" w:hAnsi="Times New Roman" w:cs="Times New Roman"/>
          <w:b/>
          <w:sz w:val="24"/>
        </w:rPr>
        <w:t xml:space="preserve">2.1 </w:t>
      </w:r>
      <w:r w:rsidR="00851B19" w:rsidRPr="007E59F3">
        <w:rPr>
          <w:rFonts w:ascii="Times New Roman" w:hAnsi="Times New Roman" w:cs="Times New Roman"/>
          <w:b/>
          <w:sz w:val="24"/>
        </w:rPr>
        <w:t>Epigeal Germination:</w:t>
      </w:r>
      <w:r w:rsidR="00851B19" w:rsidRPr="007E59F3">
        <w:rPr>
          <w:rFonts w:ascii="Times New Roman" w:hAnsi="Times New Roman" w:cs="Times New Roman"/>
        </w:rPr>
        <w:t xml:space="preserve"> This process involves the cotyledon being pushed out of the soil due to the rapid growth and elongation of the hypocotyl, as seen in species like </w:t>
      </w:r>
      <w:r w:rsidR="00851B19" w:rsidRPr="007E59F3">
        <w:rPr>
          <w:rFonts w:ascii="Times New Roman" w:hAnsi="Times New Roman" w:cs="Times New Roman"/>
          <w:i/>
        </w:rPr>
        <w:t xml:space="preserve">Acacia, </w:t>
      </w:r>
      <w:proofErr w:type="spellStart"/>
      <w:r w:rsidR="00851B19" w:rsidRPr="007E59F3">
        <w:rPr>
          <w:rFonts w:ascii="Times New Roman" w:hAnsi="Times New Roman" w:cs="Times New Roman"/>
          <w:i/>
        </w:rPr>
        <w:t>Adenanthera</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Albizia</w:t>
      </w:r>
      <w:proofErr w:type="spellEnd"/>
      <w:r w:rsidR="00851B19" w:rsidRPr="007E59F3">
        <w:rPr>
          <w:rFonts w:ascii="Times New Roman" w:hAnsi="Times New Roman" w:cs="Times New Roman"/>
          <w:i/>
        </w:rPr>
        <w:t xml:space="preserve">, </w:t>
      </w:r>
      <w:r w:rsidR="00851B19" w:rsidRPr="007E59F3">
        <w:rPr>
          <w:rFonts w:ascii="Times New Roman" w:hAnsi="Times New Roman" w:cs="Times New Roman"/>
          <w:i/>
        </w:rPr>
        <w:lastRenderedPageBreak/>
        <w:t xml:space="preserve">Cassia, </w:t>
      </w:r>
      <w:proofErr w:type="spellStart"/>
      <w:r w:rsidR="00851B19" w:rsidRPr="007E59F3">
        <w:rPr>
          <w:rFonts w:ascii="Times New Roman" w:hAnsi="Times New Roman" w:cs="Times New Roman"/>
          <w:i/>
        </w:rPr>
        <w:t>Dipteryx</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Diphysa</w:t>
      </w:r>
      <w:proofErr w:type="spellEnd"/>
      <w:r w:rsidR="00851B19" w:rsidRPr="007E59F3">
        <w:rPr>
          <w:rFonts w:ascii="Times New Roman" w:hAnsi="Times New Roman" w:cs="Times New Roman"/>
          <w:i/>
        </w:rPr>
        <w:t xml:space="preserve">, Erythrina, </w:t>
      </w:r>
      <w:proofErr w:type="spellStart"/>
      <w:r w:rsidR="00851B19" w:rsidRPr="007E59F3">
        <w:rPr>
          <w:rFonts w:ascii="Times New Roman" w:hAnsi="Times New Roman" w:cs="Times New Roman"/>
          <w:i/>
        </w:rPr>
        <w:t>Gliricidia</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Haematoxylum</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Hymenaea</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Hymenolobium</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Parkia</w:t>
      </w:r>
      <w:proofErr w:type="spellEnd"/>
      <w:r w:rsidR="00851B19" w:rsidRPr="007E59F3">
        <w:rPr>
          <w:rFonts w:ascii="Times New Roman" w:hAnsi="Times New Roman" w:cs="Times New Roman"/>
          <w:i/>
        </w:rPr>
        <w:t xml:space="preserve">, Parkinsonia, Pterocarpus, </w:t>
      </w:r>
      <w:proofErr w:type="spellStart"/>
      <w:r w:rsidR="00851B19" w:rsidRPr="007E59F3">
        <w:rPr>
          <w:rFonts w:ascii="Times New Roman" w:hAnsi="Times New Roman" w:cs="Times New Roman"/>
          <w:i/>
        </w:rPr>
        <w:t>Samaneasaman</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Sclerolobium</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Tamarindus</w:t>
      </w:r>
      <w:proofErr w:type="spellEnd"/>
      <w:r w:rsidR="00851B19" w:rsidRPr="007E59F3">
        <w:rPr>
          <w:rFonts w:ascii="Times New Roman" w:hAnsi="Times New Roman" w:cs="Times New Roman"/>
          <w:i/>
        </w:rPr>
        <w:t xml:space="preserve">, Casuarina, Annona, </w:t>
      </w:r>
      <w:proofErr w:type="spellStart"/>
      <w:r w:rsidR="00851B19" w:rsidRPr="007E59F3">
        <w:rPr>
          <w:rFonts w:ascii="Times New Roman" w:hAnsi="Times New Roman" w:cs="Times New Roman"/>
          <w:i/>
        </w:rPr>
        <w:t>Cordiaalliodora</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Myrcia</w:t>
      </w:r>
      <w:proofErr w:type="spellEnd"/>
      <w:r w:rsidR="00851B19" w:rsidRPr="007E59F3">
        <w:rPr>
          <w:rFonts w:ascii="Times New Roman" w:hAnsi="Times New Roman" w:cs="Times New Roman"/>
          <w:i/>
        </w:rPr>
        <w:t xml:space="preserve">, Capparis, </w:t>
      </w:r>
      <w:proofErr w:type="spellStart"/>
      <w:r w:rsidR="00851B19" w:rsidRPr="007E59F3">
        <w:rPr>
          <w:rFonts w:ascii="Times New Roman" w:hAnsi="Times New Roman" w:cs="Times New Roman"/>
          <w:i/>
        </w:rPr>
        <w:t>Cedrela</w:t>
      </w:r>
      <w:proofErr w:type="spellEnd"/>
      <w:r w:rsidR="00851B19" w:rsidRPr="007E59F3">
        <w:rPr>
          <w:rFonts w:ascii="Times New Roman" w:hAnsi="Times New Roman" w:cs="Times New Roman"/>
          <w:i/>
        </w:rPr>
        <w:t xml:space="preserve">, Melia, </w:t>
      </w:r>
      <w:proofErr w:type="spellStart"/>
      <w:r w:rsidR="00851B19" w:rsidRPr="007E59F3">
        <w:rPr>
          <w:rFonts w:ascii="Times New Roman" w:hAnsi="Times New Roman" w:cs="Times New Roman"/>
          <w:i/>
        </w:rPr>
        <w:t>Zizyphus</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Anacardiumexcelsum</w:t>
      </w:r>
      <w:proofErr w:type="spellEnd"/>
      <w:r w:rsidR="00851B19" w:rsidRPr="007E59F3">
        <w:rPr>
          <w:rFonts w:ascii="Times New Roman" w:hAnsi="Times New Roman" w:cs="Times New Roman"/>
          <w:i/>
        </w:rPr>
        <w:t>, Jacaranda</w:t>
      </w:r>
      <w:r w:rsidR="00057355">
        <w:rPr>
          <w:rFonts w:ascii="Times New Roman" w:hAnsi="Times New Roman" w:cs="Times New Roman"/>
          <w:i/>
        </w:rPr>
        <w:t xml:space="preserve">, </w:t>
      </w:r>
      <w:proofErr w:type="spellStart"/>
      <w:r w:rsidR="00057355">
        <w:rPr>
          <w:rFonts w:ascii="Times New Roman" w:hAnsi="Times New Roman" w:cs="Times New Roman"/>
          <w:i/>
        </w:rPr>
        <w:t>Ulmus</w:t>
      </w:r>
      <w:proofErr w:type="spellEnd"/>
      <w:r w:rsidR="00057355">
        <w:rPr>
          <w:rFonts w:ascii="Times New Roman" w:hAnsi="Times New Roman" w:cs="Times New Roman"/>
          <w:i/>
        </w:rPr>
        <w:t>, Ilex, and Elaeocarpus</w:t>
      </w:r>
      <w:r w:rsidR="00057355" w:rsidRPr="00057355">
        <w:rPr>
          <w:rFonts w:ascii="Times New Roman" w:hAnsi="Times New Roman" w:cs="Times New Roman"/>
        </w:rPr>
        <w:t>.(Fig: 2)</w:t>
      </w:r>
    </w:p>
    <w:p w:rsidR="00212591" w:rsidRDefault="00212591" w:rsidP="001A5044">
      <w:pPr>
        <w:spacing w:line="360" w:lineRule="auto"/>
        <w:jc w:val="both"/>
        <w:rPr>
          <w:rFonts w:ascii="Times New Roman" w:hAnsi="Times New Roman" w:cs="Times New Roman"/>
          <w:b/>
          <w:sz w:val="24"/>
        </w:rPr>
      </w:pPr>
    </w:p>
    <w:p w:rsidR="00212591" w:rsidRDefault="00212591" w:rsidP="001A5044">
      <w:pPr>
        <w:spacing w:line="360" w:lineRule="auto"/>
        <w:jc w:val="both"/>
        <w:rPr>
          <w:rFonts w:ascii="Times New Roman" w:hAnsi="Times New Roman" w:cs="Times New Roman"/>
          <w:b/>
          <w:sz w:val="24"/>
        </w:rPr>
      </w:pPr>
    </w:p>
    <w:p w:rsidR="001A5044"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2.2 </w:t>
      </w:r>
      <w:r w:rsidR="001A5044" w:rsidRPr="007E59F3">
        <w:rPr>
          <w:rFonts w:ascii="Times New Roman" w:hAnsi="Times New Roman" w:cs="Times New Roman"/>
          <w:b/>
          <w:sz w:val="24"/>
        </w:rPr>
        <w:t>Hypogeal Germination:</w:t>
      </w:r>
    </w:p>
    <w:p w:rsidR="00851B19" w:rsidRDefault="001A5044" w:rsidP="001A5044">
      <w:pPr>
        <w:spacing w:line="360" w:lineRule="auto"/>
        <w:jc w:val="both"/>
        <w:rPr>
          <w:rFonts w:ascii="Times New Roman" w:hAnsi="Times New Roman" w:cs="Times New Roman"/>
        </w:rPr>
      </w:pPr>
      <w:r w:rsidRPr="007E59F3">
        <w:rPr>
          <w:rFonts w:ascii="Times New Roman" w:hAnsi="Times New Roman" w:cs="Times New Roman"/>
        </w:rPr>
        <w:t xml:space="preserve"> In this type, cotyledons remain below the soil due to the rapid elongation of the epicotyl. This predominantly occurs in monocotyledonous seeds, e.g., </w:t>
      </w:r>
      <w:proofErr w:type="spellStart"/>
      <w:r w:rsidRPr="007E59F3">
        <w:rPr>
          <w:rFonts w:ascii="Times New Roman" w:hAnsi="Times New Roman" w:cs="Times New Roman"/>
        </w:rPr>
        <w:t>Calophyllum</w:t>
      </w:r>
      <w:proofErr w:type="spellEnd"/>
      <w:r w:rsidRPr="007E59F3">
        <w:rPr>
          <w:rFonts w:ascii="Times New Roman" w:hAnsi="Times New Roman" w:cs="Times New Roman"/>
        </w:rPr>
        <w:t xml:space="preserve">, </w:t>
      </w:r>
      <w:proofErr w:type="spellStart"/>
      <w:r w:rsidRPr="007E59F3">
        <w:rPr>
          <w:rFonts w:ascii="Times New Roman" w:hAnsi="Times New Roman" w:cs="Times New Roman"/>
        </w:rPr>
        <w:t>Swartzia</w:t>
      </w:r>
      <w:proofErr w:type="spellEnd"/>
      <w:r w:rsidRPr="007E59F3">
        <w:rPr>
          <w:rFonts w:ascii="Times New Roman" w:hAnsi="Times New Roman" w:cs="Times New Roman"/>
        </w:rPr>
        <w:t xml:space="preserve">, </w:t>
      </w:r>
      <w:proofErr w:type="spellStart"/>
      <w:r w:rsidRPr="007E59F3">
        <w:rPr>
          <w:rFonts w:ascii="Times New Roman" w:hAnsi="Times New Roman" w:cs="Times New Roman"/>
        </w:rPr>
        <w:t>Syzygium</w:t>
      </w:r>
      <w:proofErr w:type="spellEnd"/>
      <w:r w:rsidRPr="007E59F3">
        <w:rPr>
          <w:rFonts w:ascii="Times New Roman" w:hAnsi="Times New Roman" w:cs="Times New Roman"/>
        </w:rPr>
        <w:t xml:space="preserve">, </w:t>
      </w:r>
      <w:proofErr w:type="spellStart"/>
      <w:r w:rsidRPr="007E59F3">
        <w:rPr>
          <w:rFonts w:ascii="Times New Roman" w:hAnsi="Times New Roman" w:cs="Times New Roman"/>
        </w:rPr>
        <w:t>Swietenia</w:t>
      </w:r>
      <w:proofErr w:type="spellEnd"/>
      <w:r w:rsidRPr="007E59F3">
        <w:rPr>
          <w:rFonts w:ascii="Times New Roman" w:hAnsi="Times New Roman" w:cs="Times New Roman"/>
        </w:rPr>
        <w:t xml:space="preserve">, Prunus, </w:t>
      </w:r>
      <w:proofErr w:type="spellStart"/>
      <w:r w:rsidRPr="007E59F3">
        <w:rPr>
          <w:rFonts w:ascii="Times New Roman" w:hAnsi="Times New Roman" w:cs="Times New Roman"/>
        </w:rPr>
        <w:t>catappa</w:t>
      </w:r>
      <w:proofErr w:type="spellEnd"/>
      <w:r w:rsidRPr="007E59F3">
        <w:rPr>
          <w:rFonts w:ascii="Times New Roman" w:hAnsi="Times New Roman" w:cs="Times New Roman"/>
        </w:rPr>
        <w:t xml:space="preserve">, </w:t>
      </w:r>
      <w:proofErr w:type="gramStart"/>
      <w:r w:rsidRPr="007E59F3">
        <w:rPr>
          <w:rFonts w:ascii="Times New Roman" w:hAnsi="Times New Roman" w:cs="Times New Roman"/>
        </w:rPr>
        <w:t>etc.</w:t>
      </w:r>
      <w:r w:rsidR="00057355">
        <w:rPr>
          <w:rFonts w:ascii="Times New Roman" w:hAnsi="Times New Roman" w:cs="Times New Roman"/>
        </w:rPr>
        <w:t>(</w:t>
      </w:r>
      <w:proofErr w:type="gramEnd"/>
      <w:r w:rsidR="00057355" w:rsidRPr="00057355">
        <w:rPr>
          <w:rFonts w:ascii="Times New Roman" w:hAnsi="Times New Roman" w:cs="Times New Roman"/>
        </w:rPr>
        <w:t>Fig: 2</w:t>
      </w:r>
      <w:r w:rsidR="00057355">
        <w:rPr>
          <w:rFonts w:ascii="Times New Roman" w:hAnsi="Times New Roman" w:cs="Times New Roman"/>
        </w:rPr>
        <w:t>)</w:t>
      </w:r>
    </w:p>
    <w:p w:rsidR="00212591" w:rsidRDefault="007F3448" w:rsidP="007F3448">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5246370" cy="4777740"/>
            <wp:effectExtent l="38100" t="57150" r="106680" b="99060"/>
            <wp:docPr id="3" name="Picture 2" descr="Types-of-Seed-Germin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es-of-Seed-Germination.jpg"/>
                    <pic:cNvPicPr/>
                  </pic:nvPicPr>
                  <pic:blipFill>
                    <a:blip r:embed="rId7"/>
                    <a:srcRect b="2031"/>
                    <a:stretch>
                      <a:fillRect/>
                    </a:stretch>
                  </pic:blipFill>
                  <pic:spPr>
                    <a:xfrm>
                      <a:off x="0" y="0"/>
                      <a:ext cx="5246370" cy="47777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F3448" w:rsidRDefault="007F3448" w:rsidP="007F3448">
      <w:pPr>
        <w:spacing w:line="360" w:lineRule="auto"/>
        <w:jc w:val="center"/>
        <w:rPr>
          <w:rFonts w:ascii="Times New Roman" w:hAnsi="Times New Roman" w:cs="Times New Roman"/>
          <w:b/>
        </w:rPr>
      </w:pPr>
      <w:r w:rsidRPr="007F3448">
        <w:rPr>
          <w:rFonts w:ascii="Times New Roman" w:hAnsi="Times New Roman" w:cs="Times New Roman"/>
          <w:b/>
          <w:sz w:val="24"/>
        </w:rPr>
        <w:lastRenderedPageBreak/>
        <w:t xml:space="preserve">Fig: </w:t>
      </w:r>
      <w:r w:rsidRPr="007F3448">
        <w:rPr>
          <w:rFonts w:ascii="Times New Roman" w:hAnsi="Times New Roman" w:cs="Times New Roman"/>
          <w:b/>
        </w:rPr>
        <w:t>2 Seed Germination</w:t>
      </w:r>
      <w:r>
        <w:rPr>
          <w:rFonts w:ascii="Times New Roman" w:hAnsi="Times New Roman" w:cs="Times New Roman"/>
          <w:b/>
        </w:rPr>
        <w:t xml:space="preserve"> Types</w:t>
      </w:r>
      <w:r w:rsidRPr="007F3448">
        <w:rPr>
          <w:rFonts w:ascii="Times New Roman" w:hAnsi="Times New Roman" w:cs="Times New Roman"/>
          <w:b/>
        </w:rPr>
        <w:t>.</w:t>
      </w:r>
    </w:p>
    <w:p w:rsidR="007F3448" w:rsidRPr="007F3448" w:rsidRDefault="007F3448" w:rsidP="007F3448">
      <w:pPr>
        <w:spacing w:line="360" w:lineRule="auto"/>
        <w:jc w:val="center"/>
        <w:rPr>
          <w:rFonts w:ascii="Times New Roman" w:hAnsi="Times New Roman" w:cs="Times New Roman"/>
          <w:b/>
        </w:rPr>
      </w:pPr>
      <w:proofErr w:type="gramStart"/>
      <w:r w:rsidRPr="007F3448">
        <w:rPr>
          <w:rFonts w:ascii="Times New Roman" w:hAnsi="Times New Roman" w:cs="Times New Roman"/>
          <w:b/>
        </w:rPr>
        <w:t>Source:https://www.preachbio.com/2024/04/exploring-types-and-physiological.html</w:t>
      </w:r>
      <w:proofErr w:type="gramEnd"/>
    </w:p>
    <w:p w:rsidR="00212591" w:rsidRPr="007E59F3" w:rsidRDefault="00212591" w:rsidP="001A5044">
      <w:pPr>
        <w:spacing w:line="360" w:lineRule="auto"/>
        <w:jc w:val="both"/>
        <w:rPr>
          <w:rFonts w:ascii="Times New Roman" w:hAnsi="Times New Roman" w:cs="Times New Roman"/>
        </w:rPr>
      </w:pPr>
    </w:p>
    <w:p w:rsidR="007F3448" w:rsidRDefault="007F3448" w:rsidP="001A5044">
      <w:pPr>
        <w:spacing w:line="360" w:lineRule="auto"/>
        <w:jc w:val="both"/>
        <w:rPr>
          <w:rFonts w:ascii="Times New Roman" w:hAnsi="Times New Roman" w:cs="Times New Roman"/>
          <w:b/>
          <w:sz w:val="24"/>
        </w:rPr>
      </w:pPr>
    </w:p>
    <w:p w:rsidR="007F3448" w:rsidRDefault="007F3448" w:rsidP="001A5044">
      <w:pPr>
        <w:spacing w:line="360" w:lineRule="auto"/>
        <w:jc w:val="both"/>
        <w:rPr>
          <w:rFonts w:ascii="Times New Roman" w:hAnsi="Times New Roman" w:cs="Times New Roman"/>
          <w:b/>
          <w:sz w:val="24"/>
        </w:rPr>
      </w:pPr>
    </w:p>
    <w:p w:rsidR="001A5044"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3.</w:t>
      </w:r>
      <w:r w:rsidR="0084253F">
        <w:rPr>
          <w:rFonts w:ascii="Times New Roman" w:hAnsi="Times New Roman" w:cs="Times New Roman"/>
          <w:b/>
          <w:sz w:val="24"/>
        </w:rPr>
        <w:t xml:space="preserve"> </w:t>
      </w:r>
      <w:r w:rsidR="001A5044" w:rsidRPr="007E59F3">
        <w:rPr>
          <w:rFonts w:ascii="Times New Roman" w:hAnsi="Times New Roman" w:cs="Times New Roman"/>
          <w:b/>
          <w:sz w:val="24"/>
        </w:rPr>
        <w:t>MECHANISM OF SEED GERMINATION</w:t>
      </w:r>
    </w:p>
    <w:p w:rsidR="001A5044" w:rsidRPr="007E59F3" w:rsidRDefault="001A5044" w:rsidP="00057355">
      <w:pPr>
        <w:spacing w:before="240" w:line="360" w:lineRule="auto"/>
        <w:jc w:val="both"/>
        <w:rPr>
          <w:rFonts w:ascii="Times New Roman" w:hAnsi="Times New Roman" w:cs="Times New Roman"/>
        </w:rPr>
      </w:pPr>
      <w:r w:rsidRPr="007E59F3">
        <w:rPr>
          <w:rFonts w:ascii="Times New Roman" w:hAnsi="Times New Roman" w:cs="Times New Roman"/>
        </w:rPr>
        <w:t>Germination is a multifaceted biological process that begins with imbibition, where the seed absorbs water. Following this, enzymes are activated to convert starches into sugars, supplying the embryo with vital nutrients. The initial indication of germination is the swelling of the radicle, marking the start of growth. The time required for seedlings to emerge depends on the size of the seed. Larger seeds, with more nutrient reserves, can germinate at greater depths and extend their epicotyl to the surface. Smaller seeds, however, tend to emerge more rapidly and typically grow closer to the surface (</w:t>
      </w:r>
      <w:proofErr w:type="spellStart"/>
      <w:r w:rsidRPr="007E59F3">
        <w:rPr>
          <w:rFonts w:ascii="Times New Roman" w:hAnsi="Times New Roman" w:cs="Times New Roman"/>
        </w:rPr>
        <w:t>Bargah</w:t>
      </w:r>
      <w:proofErr w:type="spellEnd"/>
      <w:r w:rsidR="0084253F">
        <w:rPr>
          <w:rFonts w:ascii="Times New Roman" w:hAnsi="Times New Roman" w:cs="Times New Roman"/>
        </w:rPr>
        <w:t xml:space="preserve"> </w:t>
      </w:r>
      <w:r w:rsidRPr="007E59F3">
        <w:rPr>
          <w:rFonts w:ascii="Times New Roman" w:hAnsi="Times New Roman" w:cs="Times New Roman"/>
          <w:i/>
        </w:rPr>
        <w:t>et al.,</w:t>
      </w:r>
      <w:proofErr w:type="gramStart"/>
      <w:r w:rsidRPr="007E59F3">
        <w:rPr>
          <w:rFonts w:ascii="Times New Roman" w:hAnsi="Times New Roman" w:cs="Times New Roman"/>
        </w:rPr>
        <w:t>2025)</w:t>
      </w:r>
      <w:r w:rsidR="00057355">
        <w:rPr>
          <w:rFonts w:ascii="Times New Roman" w:hAnsi="Times New Roman" w:cs="Times New Roman"/>
        </w:rPr>
        <w:t>(</w:t>
      </w:r>
      <w:proofErr w:type="gramEnd"/>
      <w:r w:rsidR="00057355" w:rsidRPr="00057355">
        <w:rPr>
          <w:rFonts w:ascii="Times New Roman" w:hAnsi="Times New Roman" w:cs="Times New Roman"/>
        </w:rPr>
        <w:t>Fig:3</w:t>
      </w:r>
      <w:r w:rsidR="00057355">
        <w:rPr>
          <w:rFonts w:ascii="Times New Roman" w:hAnsi="Times New Roman" w:cs="Times New Roman"/>
        </w:rPr>
        <w:t>)</w:t>
      </w:r>
      <w:r w:rsidRPr="007E59F3">
        <w:rPr>
          <w:rFonts w:ascii="Times New Roman" w:hAnsi="Times New Roman" w:cs="Times New Roman"/>
        </w:rPr>
        <w:t>.</w:t>
      </w:r>
    </w:p>
    <w:p w:rsidR="007E59F3" w:rsidRDefault="00212591" w:rsidP="001A5044">
      <w:pPr>
        <w:spacing w:line="360" w:lineRule="auto"/>
        <w:jc w:val="both"/>
        <w:rPr>
          <w:rFonts w:ascii="Times New Roman" w:hAnsi="Times New Roman" w:cs="Times New Roman"/>
        </w:rPr>
      </w:pPr>
      <w:r>
        <w:rPr>
          <w:noProof/>
        </w:rPr>
        <w:lastRenderedPageBreak/>
        <w:drawing>
          <wp:inline distT="0" distB="0" distL="0" distR="0">
            <wp:extent cx="5943600" cy="4339620"/>
            <wp:effectExtent l="38100" t="57150" r="114300" b="99030"/>
            <wp:docPr id="2" name="Picture 1" descr="Seed Germination: Steps, Factors, Importance, Seed Dorm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d Germination: Steps, Factors, Importance, Seed Dormancy"/>
                    <pic:cNvPicPr>
                      <a:picLocks noChangeAspect="1" noChangeArrowheads="1"/>
                    </pic:cNvPicPr>
                  </pic:nvPicPr>
                  <pic:blipFill>
                    <a:blip r:embed="rId8"/>
                    <a:srcRect/>
                    <a:stretch>
                      <a:fillRect/>
                    </a:stretch>
                  </pic:blipFill>
                  <pic:spPr bwMode="auto">
                    <a:xfrm>
                      <a:off x="0" y="0"/>
                      <a:ext cx="5943600" cy="4339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E59F3" w:rsidRDefault="007E59F3" w:rsidP="00C51300">
      <w:pPr>
        <w:spacing w:line="360" w:lineRule="auto"/>
        <w:jc w:val="center"/>
        <w:rPr>
          <w:rFonts w:ascii="Times New Roman" w:hAnsi="Times New Roman" w:cs="Times New Roman"/>
          <w:b/>
          <w:sz w:val="24"/>
        </w:rPr>
      </w:pPr>
      <w:r w:rsidRPr="00C51300">
        <w:rPr>
          <w:rFonts w:ascii="Times New Roman" w:hAnsi="Times New Roman" w:cs="Times New Roman"/>
          <w:b/>
          <w:sz w:val="24"/>
        </w:rPr>
        <w:t>Fig</w:t>
      </w:r>
      <w:r w:rsidR="007F3448">
        <w:rPr>
          <w:rFonts w:ascii="Times New Roman" w:hAnsi="Times New Roman" w:cs="Times New Roman"/>
          <w:b/>
          <w:sz w:val="24"/>
        </w:rPr>
        <w:t>:3</w:t>
      </w:r>
      <w:r w:rsidR="00C51300" w:rsidRPr="00C51300">
        <w:rPr>
          <w:rFonts w:ascii="Times New Roman" w:hAnsi="Times New Roman" w:cs="Times New Roman"/>
          <w:b/>
          <w:sz w:val="24"/>
        </w:rPr>
        <w:t xml:space="preserve"> Mechanism of seed germination</w:t>
      </w:r>
      <w:r w:rsidR="00212591">
        <w:rPr>
          <w:rFonts w:ascii="Times New Roman" w:hAnsi="Times New Roman" w:cs="Times New Roman"/>
          <w:b/>
          <w:sz w:val="24"/>
        </w:rPr>
        <w:t>.</w:t>
      </w:r>
    </w:p>
    <w:p w:rsidR="00212591" w:rsidRPr="00C51300" w:rsidRDefault="00212591" w:rsidP="00C51300">
      <w:pPr>
        <w:spacing w:line="360" w:lineRule="auto"/>
        <w:jc w:val="center"/>
        <w:rPr>
          <w:rFonts w:ascii="Times New Roman" w:hAnsi="Times New Roman" w:cs="Times New Roman"/>
          <w:b/>
          <w:sz w:val="24"/>
        </w:rPr>
      </w:pPr>
      <w:proofErr w:type="spellStart"/>
      <w:proofErr w:type="gramStart"/>
      <w:r>
        <w:rPr>
          <w:rFonts w:ascii="Times New Roman" w:hAnsi="Times New Roman" w:cs="Times New Roman"/>
          <w:b/>
          <w:sz w:val="24"/>
        </w:rPr>
        <w:t>Source:</w:t>
      </w:r>
      <w:r w:rsidRPr="00212591">
        <w:rPr>
          <w:rFonts w:ascii="Times New Roman" w:hAnsi="Times New Roman" w:cs="Times New Roman"/>
          <w:b/>
          <w:sz w:val="24"/>
        </w:rPr>
        <w:t>https</w:t>
      </w:r>
      <w:proofErr w:type="spellEnd"/>
      <w:r w:rsidRPr="00212591">
        <w:rPr>
          <w:rFonts w:ascii="Times New Roman" w:hAnsi="Times New Roman" w:cs="Times New Roman"/>
          <w:b/>
          <w:sz w:val="24"/>
        </w:rPr>
        <w:t>://microbenotes.com/seed-germination/</w:t>
      </w:r>
      <w:proofErr w:type="gramEnd"/>
    </w:p>
    <w:p w:rsidR="00C51300" w:rsidRDefault="00C51300" w:rsidP="001A5044">
      <w:pPr>
        <w:spacing w:line="360" w:lineRule="auto"/>
        <w:jc w:val="both"/>
        <w:rPr>
          <w:rFonts w:ascii="Times New Roman" w:hAnsi="Times New Roman" w:cs="Times New Roman"/>
          <w:b/>
          <w:sz w:val="24"/>
        </w:rPr>
      </w:pPr>
    </w:p>
    <w:p w:rsidR="007F3448" w:rsidRDefault="007F3448" w:rsidP="001A5044">
      <w:pPr>
        <w:spacing w:line="360" w:lineRule="auto"/>
        <w:jc w:val="both"/>
        <w:rPr>
          <w:rFonts w:ascii="Times New Roman" w:hAnsi="Times New Roman" w:cs="Times New Roman"/>
          <w:b/>
          <w:sz w:val="24"/>
        </w:rPr>
      </w:pPr>
    </w:p>
    <w:p w:rsidR="001A5044"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4.</w:t>
      </w:r>
      <w:r w:rsidR="001A5044" w:rsidRPr="007E59F3">
        <w:rPr>
          <w:rFonts w:ascii="Times New Roman" w:hAnsi="Times New Roman" w:cs="Times New Roman"/>
          <w:b/>
          <w:sz w:val="24"/>
        </w:rPr>
        <w:t>Factors</w:t>
      </w:r>
      <w:r w:rsidR="00D61D99" w:rsidRPr="007E59F3">
        <w:rPr>
          <w:rFonts w:ascii="Times New Roman" w:hAnsi="Times New Roman" w:cs="Times New Roman"/>
          <w:b/>
          <w:sz w:val="24"/>
        </w:rPr>
        <w:t xml:space="preserve"> Affecting Seed Germination </w:t>
      </w:r>
    </w:p>
    <w:p w:rsidR="00057355" w:rsidRPr="007E59F3" w:rsidRDefault="00057355" w:rsidP="00057355">
      <w:pPr>
        <w:spacing w:line="360" w:lineRule="auto"/>
        <w:jc w:val="both"/>
        <w:rPr>
          <w:rFonts w:ascii="Times New Roman" w:hAnsi="Times New Roman" w:cs="Times New Roman"/>
        </w:rPr>
      </w:pPr>
      <w:r>
        <w:rPr>
          <w:rFonts w:ascii="Times New Roman" w:hAnsi="Times New Roman" w:cs="Times New Roman"/>
        </w:rPr>
        <w:t>G</w:t>
      </w:r>
      <w:r w:rsidRPr="007E59F3">
        <w:rPr>
          <w:rFonts w:ascii="Times New Roman" w:hAnsi="Times New Roman" w:cs="Times New Roman"/>
        </w:rPr>
        <w:t>ermination is affected by both internal and external factors. Internal factors, such as genetic traits, seed viability, and dormancy, are inherited from the parent plants and significantly influence the seed’s germination potential and subsequent growth (</w:t>
      </w:r>
      <w:proofErr w:type="spellStart"/>
      <w:r w:rsidRPr="007E59F3">
        <w:rPr>
          <w:rFonts w:ascii="Times New Roman" w:hAnsi="Times New Roman" w:cs="Times New Roman"/>
        </w:rPr>
        <w:t>Bargah</w:t>
      </w:r>
      <w:r w:rsidRPr="007E59F3">
        <w:rPr>
          <w:rFonts w:ascii="Times New Roman" w:hAnsi="Times New Roman" w:cs="Times New Roman"/>
          <w:i/>
        </w:rPr>
        <w:t>et</w:t>
      </w:r>
      <w:proofErr w:type="spellEnd"/>
      <w:r w:rsidRPr="007E59F3">
        <w:rPr>
          <w:rFonts w:ascii="Times New Roman" w:hAnsi="Times New Roman" w:cs="Times New Roman"/>
          <w:i/>
        </w:rPr>
        <w:t xml:space="preserve"> al., </w:t>
      </w:r>
      <w:r w:rsidRPr="007E59F3">
        <w:rPr>
          <w:rFonts w:ascii="Times New Roman" w:hAnsi="Times New Roman" w:cs="Times New Roman"/>
        </w:rPr>
        <w:t xml:space="preserve">2025). External factors include moisture, temperature, oxygen, light, and soil conditions. Additionally, internal aspects like the maturity of the embryo, seed viability, and dormancy play a critical role in the germination process. A thorough </w:t>
      </w:r>
      <w:r w:rsidRPr="007E59F3">
        <w:rPr>
          <w:rFonts w:ascii="Times New Roman" w:hAnsi="Times New Roman" w:cs="Times New Roman"/>
        </w:rPr>
        <w:lastRenderedPageBreak/>
        <w:t>understanding and manipulation of these</w:t>
      </w:r>
      <w:r w:rsidR="0084253F">
        <w:rPr>
          <w:rFonts w:ascii="Times New Roman" w:hAnsi="Times New Roman" w:cs="Times New Roman"/>
        </w:rPr>
        <w:t xml:space="preserve"> </w:t>
      </w:r>
      <w:r w:rsidRPr="007E59F3">
        <w:rPr>
          <w:rFonts w:ascii="Times New Roman" w:hAnsi="Times New Roman" w:cs="Times New Roman"/>
        </w:rPr>
        <w:t xml:space="preserve">factors are essential for </w:t>
      </w:r>
      <w:proofErr w:type="spellStart"/>
      <w:r w:rsidRPr="007E59F3">
        <w:rPr>
          <w:rFonts w:ascii="Times New Roman" w:hAnsi="Times New Roman" w:cs="Times New Roman"/>
        </w:rPr>
        <w:t>optimi</w:t>
      </w:r>
      <w:r w:rsidR="0084253F">
        <w:rPr>
          <w:rFonts w:ascii="Times New Roman" w:hAnsi="Times New Roman" w:cs="Times New Roman"/>
        </w:rPr>
        <w:t>s</w:t>
      </w:r>
      <w:r w:rsidRPr="007E59F3">
        <w:rPr>
          <w:rFonts w:ascii="Times New Roman" w:hAnsi="Times New Roman" w:cs="Times New Roman"/>
        </w:rPr>
        <w:t>ing</w:t>
      </w:r>
      <w:proofErr w:type="spellEnd"/>
      <w:r w:rsidRPr="007E59F3">
        <w:rPr>
          <w:rFonts w:ascii="Times New Roman" w:hAnsi="Times New Roman" w:cs="Times New Roman"/>
        </w:rPr>
        <w:t xml:space="preserve"> th</w:t>
      </w:r>
      <w:r>
        <w:rPr>
          <w:rFonts w:ascii="Times New Roman" w:hAnsi="Times New Roman" w:cs="Times New Roman"/>
        </w:rPr>
        <w:t>e germination of tree seedlings (</w:t>
      </w:r>
      <w:r w:rsidRPr="00057355">
        <w:rPr>
          <w:rFonts w:ascii="Times New Roman" w:hAnsi="Times New Roman" w:cs="Times New Roman"/>
        </w:rPr>
        <w:t>Fig:4</w:t>
      </w:r>
      <w:r>
        <w:rPr>
          <w:rFonts w:ascii="Times New Roman" w:hAnsi="Times New Roman" w:cs="Times New Roman"/>
        </w:rPr>
        <w:t>).</w:t>
      </w:r>
    </w:p>
    <w:p w:rsidR="00057355" w:rsidRPr="007E59F3" w:rsidRDefault="00057355" w:rsidP="001A5044">
      <w:pPr>
        <w:spacing w:line="360" w:lineRule="auto"/>
        <w:jc w:val="both"/>
        <w:rPr>
          <w:rFonts w:ascii="Times New Roman" w:hAnsi="Times New Roman" w:cs="Times New Roman"/>
          <w:b/>
          <w:sz w:val="24"/>
        </w:rPr>
      </w:pPr>
    </w:p>
    <w:p w:rsidR="008C2C80" w:rsidRDefault="007F3448" w:rsidP="008C2C80">
      <w:pPr>
        <w:spacing w:line="360" w:lineRule="auto"/>
        <w:jc w:val="center"/>
        <w:rPr>
          <w:rFonts w:ascii="Times New Roman" w:hAnsi="Times New Roman" w:cs="Times New Roman"/>
          <w:b/>
          <w:sz w:val="24"/>
        </w:rPr>
      </w:pPr>
      <w:r>
        <w:rPr>
          <w:noProof/>
        </w:rPr>
        <w:drawing>
          <wp:inline distT="0" distB="0" distL="0" distR="0">
            <wp:extent cx="5943600" cy="3825845"/>
            <wp:effectExtent l="38100" t="57150" r="114300" b="98455"/>
            <wp:docPr id="16" name="Picture 16" descr="Abiotic and biotic factors affecting crop seed germination and seedling  emergence: a conceptual framework | Plant and 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biotic and biotic factors affecting crop seed germination and seedling  emergence: a conceptual framework | Plant and Soil"/>
                    <pic:cNvPicPr>
                      <a:picLocks noChangeAspect="1" noChangeArrowheads="1"/>
                    </pic:cNvPicPr>
                  </pic:nvPicPr>
                  <pic:blipFill>
                    <a:blip r:embed="rId9"/>
                    <a:srcRect/>
                    <a:stretch>
                      <a:fillRect/>
                    </a:stretch>
                  </pic:blipFill>
                  <pic:spPr bwMode="auto">
                    <a:xfrm>
                      <a:off x="0" y="0"/>
                      <a:ext cx="5943600" cy="38258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51300" w:rsidRDefault="007F3448" w:rsidP="008C2C80">
      <w:pPr>
        <w:spacing w:line="360" w:lineRule="auto"/>
        <w:jc w:val="center"/>
        <w:rPr>
          <w:rFonts w:ascii="Times New Roman" w:hAnsi="Times New Roman" w:cs="Times New Roman"/>
          <w:b/>
          <w:sz w:val="24"/>
        </w:rPr>
      </w:pPr>
      <w:r>
        <w:rPr>
          <w:rFonts w:ascii="Times New Roman" w:hAnsi="Times New Roman" w:cs="Times New Roman"/>
          <w:b/>
          <w:sz w:val="24"/>
        </w:rPr>
        <w:t xml:space="preserve">Fig:4 </w:t>
      </w:r>
      <w:r w:rsidR="00C51300" w:rsidRPr="00C51300">
        <w:rPr>
          <w:rFonts w:ascii="Times New Roman" w:hAnsi="Times New Roman" w:cs="Times New Roman"/>
          <w:b/>
          <w:sz w:val="24"/>
        </w:rPr>
        <w:t>Factors Affecting Seed Germination</w:t>
      </w:r>
    </w:p>
    <w:p w:rsidR="007F3448" w:rsidRPr="007E59F3" w:rsidRDefault="007F3448" w:rsidP="008C2C80">
      <w:pPr>
        <w:spacing w:line="360" w:lineRule="auto"/>
        <w:jc w:val="center"/>
        <w:rPr>
          <w:rFonts w:ascii="Times New Roman" w:hAnsi="Times New Roman" w:cs="Times New Roman"/>
          <w:b/>
          <w:sz w:val="24"/>
        </w:rPr>
      </w:pPr>
      <w:proofErr w:type="gramStart"/>
      <w:r>
        <w:rPr>
          <w:rFonts w:ascii="Times New Roman" w:hAnsi="Times New Roman" w:cs="Times New Roman"/>
          <w:b/>
          <w:sz w:val="24"/>
        </w:rPr>
        <w:t>Source:</w:t>
      </w:r>
      <w:r w:rsidRPr="007F3448">
        <w:rPr>
          <w:rFonts w:ascii="Times New Roman" w:hAnsi="Times New Roman" w:cs="Times New Roman"/>
          <w:b/>
          <w:sz w:val="24"/>
        </w:rPr>
        <w:t>https://link.springer.com/article/10.1007/s11104-018-3780-9</w:t>
      </w:r>
      <w:proofErr w:type="gramEnd"/>
    </w:p>
    <w:p w:rsidR="00057355" w:rsidRDefault="00057355" w:rsidP="001A5044">
      <w:pPr>
        <w:spacing w:line="360" w:lineRule="auto"/>
        <w:jc w:val="both"/>
        <w:rPr>
          <w:rFonts w:ascii="Times New Roman" w:hAnsi="Times New Roman" w:cs="Times New Roman"/>
          <w:b/>
          <w:sz w:val="24"/>
        </w:rPr>
      </w:pPr>
    </w:p>
    <w:p w:rsidR="001A5044"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5.</w:t>
      </w:r>
      <w:r w:rsidR="0084253F">
        <w:rPr>
          <w:rFonts w:ascii="Times New Roman" w:hAnsi="Times New Roman" w:cs="Times New Roman"/>
          <w:b/>
          <w:sz w:val="24"/>
        </w:rPr>
        <w:t xml:space="preserve"> </w:t>
      </w:r>
      <w:r w:rsidR="001A5044" w:rsidRPr="007E59F3">
        <w:rPr>
          <w:rFonts w:ascii="Times New Roman" w:hAnsi="Times New Roman" w:cs="Times New Roman"/>
          <w:b/>
          <w:sz w:val="24"/>
        </w:rPr>
        <w:t xml:space="preserve">SEED DORMANCY </w:t>
      </w:r>
    </w:p>
    <w:p w:rsidR="001A5044" w:rsidRPr="007E59F3" w:rsidRDefault="001A5044" w:rsidP="001A5044">
      <w:pPr>
        <w:spacing w:line="360" w:lineRule="auto"/>
        <w:jc w:val="both"/>
        <w:rPr>
          <w:rFonts w:ascii="Times New Roman" w:hAnsi="Times New Roman" w:cs="Times New Roman"/>
        </w:rPr>
      </w:pPr>
      <w:r w:rsidRPr="007E59F3">
        <w:rPr>
          <w:rFonts w:ascii="Times New Roman" w:hAnsi="Times New Roman" w:cs="Times New Roman"/>
        </w:rPr>
        <w:t>Seed dormancy is a physiological condition that prevents a viable seed from germinating, even when conditions are ideal for growth (Baskin and Baskin, 2004). The duration of dormancy varies significantly among species, with some seeds remaining viable for months, while others quickly lose their ability to germinate. Seeds consist of an outer protective coat and an inner embryo that eventually develops into a plant. Germination begins when water enters the seed coat, causing it to swell and triggering the growth of the plant (</w:t>
      </w:r>
      <w:proofErr w:type="spellStart"/>
      <w:r w:rsidRPr="007E59F3">
        <w:rPr>
          <w:rFonts w:ascii="Times New Roman" w:hAnsi="Times New Roman" w:cs="Times New Roman"/>
        </w:rPr>
        <w:t>Bargah</w:t>
      </w:r>
      <w:proofErr w:type="spellEnd"/>
      <w:r w:rsidR="0084253F">
        <w:rPr>
          <w:rFonts w:ascii="Times New Roman" w:hAnsi="Times New Roman" w:cs="Times New Roman"/>
        </w:rPr>
        <w:t xml:space="preserve"> </w:t>
      </w:r>
      <w:r w:rsidR="008C2C80" w:rsidRPr="007E59F3">
        <w:rPr>
          <w:rFonts w:ascii="Times New Roman" w:hAnsi="Times New Roman" w:cs="Times New Roman"/>
          <w:i/>
        </w:rPr>
        <w:t xml:space="preserve">et al., </w:t>
      </w:r>
      <w:r w:rsidR="007E59F3">
        <w:rPr>
          <w:rFonts w:ascii="Times New Roman" w:hAnsi="Times New Roman" w:cs="Times New Roman"/>
        </w:rPr>
        <w:t>2025</w:t>
      </w:r>
      <w:proofErr w:type="gramStart"/>
      <w:r w:rsidR="00057355">
        <w:rPr>
          <w:rFonts w:ascii="Times New Roman" w:hAnsi="Times New Roman" w:cs="Times New Roman"/>
        </w:rPr>
        <w:t>).(</w:t>
      </w:r>
      <w:proofErr w:type="gramEnd"/>
      <w:r w:rsidR="00057355" w:rsidRPr="00057355">
        <w:rPr>
          <w:rFonts w:ascii="Times New Roman" w:hAnsi="Times New Roman" w:cs="Times New Roman"/>
        </w:rPr>
        <w:t>Fig:5</w:t>
      </w:r>
      <w:r w:rsidR="00057355">
        <w:rPr>
          <w:rFonts w:ascii="Times New Roman" w:hAnsi="Times New Roman" w:cs="Times New Roman"/>
        </w:rPr>
        <w:t>)</w:t>
      </w:r>
    </w:p>
    <w:p w:rsidR="00CE0962" w:rsidRDefault="00E17A3E" w:rsidP="001A5044">
      <w:pPr>
        <w:spacing w:line="360" w:lineRule="auto"/>
        <w:jc w:val="both"/>
        <w:rPr>
          <w:rFonts w:ascii="Times New Roman" w:hAnsi="Times New Roman" w:cs="Times New Roman"/>
        </w:rPr>
      </w:pPr>
      <w:r>
        <w:rPr>
          <w:noProof/>
        </w:rPr>
        <w:lastRenderedPageBreak/>
        <w:drawing>
          <wp:inline distT="0" distB="0" distL="0" distR="0">
            <wp:extent cx="5943600" cy="3710484"/>
            <wp:effectExtent l="38100" t="57150" r="114300" b="99516"/>
            <wp:docPr id="19" name="Picture 19" descr="Seed Dormancy: Definition, Meaning, Causes, Types, &amp; Impor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ed Dormancy: Definition, Meaning, Causes, Types, &amp; Importance"/>
                    <pic:cNvPicPr>
                      <a:picLocks noChangeAspect="1" noChangeArrowheads="1"/>
                    </pic:cNvPicPr>
                  </pic:nvPicPr>
                  <pic:blipFill>
                    <a:blip r:embed="rId10"/>
                    <a:srcRect/>
                    <a:stretch>
                      <a:fillRect/>
                    </a:stretch>
                  </pic:blipFill>
                  <pic:spPr bwMode="auto">
                    <a:xfrm>
                      <a:off x="0" y="0"/>
                      <a:ext cx="5943600" cy="37104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51300" w:rsidRDefault="00E17A3E" w:rsidP="00C51300">
      <w:pPr>
        <w:spacing w:line="360" w:lineRule="auto"/>
        <w:jc w:val="center"/>
        <w:rPr>
          <w:rFonts w:ascii="Times New Roman" w:hAnsi="Times New Roman" w:cs="Times New Roman"/>
          <w:b/>
          <w:sz w:val="24"/>
        </w:rPr>
      </w:pPr>
      <w:r>
        <w:rPr>
          <w:rFonts w:ascii="Times New Roman" w:hAnsi="Times New Roman" w:cs="Times New Roman"/>
          <w:b/>
        </w:rPr>
        <w:t>Fig:5</w:t>
      </w:r>
      <w:r w:rsidR="00C51300" w:rsidRPr="00C51300">
        <w:rPr>
          <w:rFonts w:ascii="Times New Roman" w:hAnsi="Times New Roman" w:cs="Times New Roman"/>
          <w:b/>
          <w:sz w:val="24"/>
        </w:rPr>
        <w:t>Seed Dormancy</w:t>
      </w:r>
      <w:r>
        <w:rPr>
          <w:rFonts w:ascii="Times New Roman" w:hAnsi="Times New Roman" w:cs="Times New Roman"/>
          <w:b/>
          <w:sz w:val="24"/>
        </w:rPr>
        <w:t>.</w:t>
      </w:r>
    </w:p>
    <w:p w:rsidR="00E17A3E" w:rsidRPr="00C51300" w:rsidRDefault="00E17A3E" w:rsidP="00C51300">
      <w:pPr>
        <w:spacing w:line="360" w:lineRule="auto"/>
        <w:jc w:val="center"/>
        <w:rPr>
          <w:rFonts w:ascii="Times New Roman" w:hAnsi="Times New Roman" w:cs="Times New Roman"/>
          <w:b/>
          <w:sz w:val="24"/>
        </w:rPr>
      </w:pPr>
      <w:proofErr w:type="spellStart"/>
      <w:proofErr w:type="gramStart"/>
      <w:r>
        <w:rPr>
          <w:rFonts w:ascii="Times New Roman" w:hAnsi="Times New Roman" w:cs="Times New Roman"/>
          <w:b/>
          <w:sz w:val="24"/>
        </w:rPr>
        <w:t>Source:</w:t>
      </w:r>
      <w:r w:rsidRPr="00E17A3E">
        <w:rPr>
          <w:rFonts w:ascii="Times New Roman" w:hAnsi="Times New Roman" w:cs="Times New Roman"/>
          <w:b/>
          <w:sz w:val="24"/>
        </w:rPr>
        <w:t>https</w:t>
      </w:r>
      <w:proofErr w:type="spellEnd"/>
      <w:r w:rsidRPr="00E17A3E">
        <w:rPr>
          <w:rFonts w:ascii="Times New Roman" w:hAnsi="Times New Roman" w:cs="Times New Roman"/>
          <w:b/>
          <w:sz w:val="24"/>
        </w:rPr>
        <w:t>://www.sciencefacts.net/seed-dormancy.html</w:t>
      </w:r>
      <w:proofErr w:type="gramEnd"/>
    </w:p>
    <w:p w:rsidR="001A5044" w:rsidRPr="007E59F3" w:rsidRDefault="007E59F3" w:rsidP="001A5044">
      <w:pPr>
        <w:spacing w:line="360" w:lineRule="auto"/>
        <w:jc w:val="both"/>
        <w:rPr>
          <w:rFonts w:ascii="Times New Roman" w:hAnsi="Times New Roman" w:cs="Times New Roman"/>
          <w:b/>
        </w:rPr>
      </w:pPr>
      <w:r w:rsidRPr="007E59F3">
        <w:rPr>
          <w:rFonts w:ascii="Times New Roman" w:hAnsi="Times New Roman" w:cs="Times New Roman"/>
          <w:b/>
        </w:rPr>
        <w:t>6.</w:t>
      </w:r>
      <w:r w:rsidR="0084253F">
        <w:rPr>
          <w:rFonts w:ascii="Times New Roman" w:hAnsi="Times New Roman" w:cs="Times New Roman"/>
          <w:b/>
        </w:rPr>
        <w:t xml:space="preserve"> </w:t>
      </w:r>
      <w:r w:rsidR="001A5044" w:rsidRPr="007E59F3">
        <w:rPr>
          <w:rFonts w:ascii="Times New Roman" w:hAnsi="Times New Roman" w:cs="Times New Roman"/>
          <w:b/>
        </w:rPr>
        <w:t>SEED TREATMENT</w:t>
      </w:r>
    </w:p>
    <w:p w:rsidR="00057355" w:rsidRDefault="001A5044" w:rsidP="001A5044">
      <w:pPr>
        <w:spacing w:line="360" w:lineRule="auto"/>
        <w:jc w:val="both"/>
        <w:rPr>
          <w:rFonts w:ascii="Times New Roman" w:hAnsi="Times New Roman" w:cs="Times New Roman"/>
        </w:rPr>
      </w:pPr>
      <w:r w:rsidRPr="007E59F3">
        <w:rPr>
          <w:rFonts w:ascii="Times New Roman" w:hAnsi="Times New Roman" w:cs="Times New Roman"/>
        </w:rPr>
        <w:t xml:space="preserve"> Seed treatment refers to the application of physical, chemical, or biological methods to seeds before sowing to enhance their germination, improve seedling </w:t>
      </w:r>
      <w:proofErr w:type="spellStart"/>
      <w:r w:rsidRPr="007E59F3">
        <w:rPr>
          <w:rFonts w:ascii="Times New Roman" w:hAnsi="Times New Roman" w:cs="Times New Roman"/>
        </w:rPr>
        <w:t>vigo</w:t>
      </w:r>
      <w:r w:rsidR="0084253F">
        <w:rPr>
          <w:rFonts w:ascii="Times New Roman" w:hAnsi="Times New Roman" w:cs="Times New Roman"/>
        </w:rPr>
        <w:t>u</w:t>
      </w:r>
      <w:r w:rsidRPr="007E59F3">
        <w:rPr>
          <w:rFonts w:ascii="Times New Roman" w:hAnsi="Times New Roman" w:cs="Times New Roman"/>
        </w:rPr>
        <w:t>r</w:t>
      </w:r>
      <w:proofErr w:type="spellEnd"/>
      <w:r w:rsidRPr="007E59F3">
        <w:rPr>
          <w:rFonts w:ascii="Times New Roman" w:hAnsi="Times New Roman" w:cs="Times New Roman"/>
        </w:rPr>
        <w:t>, and protect them from diseases, pests, and environmental stresses. The goal of seed treatment is to improve the overall</w:t>
      </w:r>
      <w:r w:rsidR="0084253F">
        <w:rPr>
          <w:rFonts w:ascii="Times New Roman" w:hAnsi="Times New Roman" w:cs="Times New Roman"/>
        </w:rPr>
        <w:t xml:space="preserve"> </w:t>
      </w:r>
      <w:r w:rsidRPr="007E59F3">
        <w:rPr>
          <w:rFonts w:ascii="Times New Roman" w:hAnsi="Times New Roman" w:cs="Times New Roman"/>
        </w:rPr>
        <w:t>success of seed germination and establishment, leading to healthier and more productive plants (</w:t>
      </w:r>
      <w:proofErr w:type="spellStart"/>
      <w:r w:rsidRPr="007E59F3">
        <w:rPr>
          <w:rFonts w:ascii="Times New Roman" w:hAnsi="Times New Roman" w:cs="Times New Roman"/>
        </w:rPr>
        <w:t>Bargah</w:t>
      </w:r>
      <w:proofErr w:type="spellEnd"/>
      <w:r w:rsidR="0084253F">
        <w:rPr>
          <w:rFonts w:ascii="Times New Roman" w:hAnsi="Times New Roman" w:cs="Times New Roman"/>
        </w:rPr>
        <w:t xml:space="preserve"> </w:t>
      </w:r>
      <w:r w:rsidR="008C2C80" w:rsidRPr="007E59F3">
        <w:rPr>
          <w:rFonts w:ascii="Times New Roman" w:hAnsi="Times New Roman" w:cs="Times New Roman"/>
          <w:i/>
        </w:rPr>
        <w:t xml:space="preserve">et al., </w:t>
      </w:r>
      <w:r w:rsidR="00057355">
        <w:rPr>
          <w:rFonts w:ascii="Times New Roman" w:hAnsi="Times New Roman" w:cs="Times New Roman"/>
        </w:rPr>
        <w:t>2025) (</w:t>
      </w:r>
      <w:r w:rsidR="00057355" w:rsidRPr="00057355">
        <w:rPr>
          <w:rFonts w:ascii="Times New Roman" w:hAnsi="Times New Roman" w:cs="Times New Roman"/>
        </w:rPr>
        <w:t>Fig:6</w:t>
      </w:r>
      <w:r w:rsidR="00057355">
        <w:rPr>
          <w:rFonts w:ascii="Times New Roman" w:hAnsi="Times New Roman" w:cs="Times New Roman"/>
        </w:rPr>
        <w:t>)</w:t>
      </w:r>
    </w:p>
    <w:p w:rsidR="00E17A3E" w:rsidRDefault="00E17A3E" w:rsidP="001A5044">
      <w:pPr>
        <w:spacing w:line="360" w:lineRule="auto"/>
        <w:jc w:val="both"/>
        <w:rPr>
          <w:rFonts w:ascii="Times New Roman" w:hAnsi="Times New Roman" w:cs="Times New Roman"/>
          <w:b/>
          <w:sz w:val="24"/>
        </w:rPr>
      </w:pPr>
    </w:p>
    <w:p w:rsidR="00E17A3E" w:rsidRDefault="00E17A3E" w:rsidP="001A5044">
      <w:pPr>
        <w:spacing w:line="360" w:lineRule="auto"/>
        <w:jc w:val="both"/>
        <w:rPr>
          <w:rFonts w:ascii="Times New Roman" w:hAnsi="Times New Roman" w:cs="Times New Roman"/>
          <w:b/>
          <w:sz w:val="24"/>
        </w:rPr>
      </w:pPr>
      <w:r>
        <w:rPr>
          <w:noProof/>
        </w:rPr>
        <w:lastRenderedPageBreak/>
        <w:drawing>
          <wp:inline distT="0" distB="0" distL="0" distR="0">
            <wp:extent cx="5943600" cy="3356663"/>
            <wp:effectExtent l="38100" t="57150" r="114300" b="91387"/>
            <wp:docPr id="22" name="Picture 22" descr="www.frontiersi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ww.frontiersin.org"/>
                    <pic:cNvPicPr>
                      <a:picLocks noChangeAspect="1" noChangeArrowheads="1"/>
                    </pic:cNvPicPr>
                  </pic:nvPicPr>
                  <pic:blipFill>
                    <a:blip r:embed="rId11" cstate="print"/>
                    <a:srcRect/>
                    <a:stretch>
                      <a:fillRect/>
                    </a:stretch>
                  </pic:blipFill>
                  <pic:spPr bwMode="auto">
                    <a:xfrm>
                      <a:off x="0" y="0"/>
                      <a:ext cx="5943600" cy="33566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17A3E" w:rsidRPr="00E17A3E" w:rsidRDefault="00E17A3E" w:rsidP="00E17A3E">
      <w:pPr>
        <w:spacing w:line="360" w:lineRule="auto"/>
        <w:jc w:val="center"/>
        <w:rPr>
          <w:rFonts w:ascii="Times New Roman" w:hAnsi="Times New Roman" w:cs="Times New Roman"/>
          <w:b/>
          <w:sz w:val="24"/>
        </w:rPr>
      </w:pPr>
      <w:r>
        <w:rPr>
          <w:rFonts w:ascii="Times New Roman" w:hAnsi="Times New Roman" w:cs="Times New Roman"/>
          <w:b/>
          <w:sz w:val="24"/>
        </w:rPr>
        <w:t>Fig:6</w:t>
      </w:r>
      <w:r w:rsidRPr="00E17A3E">
        <w:rPr>
          <w:rFonts w:ascii="Times New Roman" w:hAnsi="Times New Roman" w:cs="Times New Roman"/>
          <w:b/>
          <w:sz w:val="24"/>
        </w:rPr>
        <w:t xml:space="preserve"> Seed Dormancy.</w:t>
      </w:r>
    </w:p>
    <w:p w:rsidR="00E17A3E" w:rsidRDefault="00E17A3E" w:rsidP="00E17A3E">
      <w:pPr>
        <w:spacing w:line="360" w:lineRule="auto"/>
        <w:jc w:val="center"/>
        <w:rPr>
          <w:rFonts w:ascii="Times New Roman" w:hAnsi="Times New Roman" w:cs="Times New Roman"/>
          <w:b/>
          <w:sz w:val="24"/>
        </w:rPr>
      </w:pPr>
      <w:proofErr w:type="gramStart"/>
      <w:r>
        <w:rPr>
          <w:rFonts w:ascii="Times New Roman" w:hAnsi="Times New Roman" w:cs="Times New Roman"/>
          <w:b/>
          <w:sz w:val="24"/>
        </w:rPr>
        <w:t>Source:</w:t>
      </w:r>
      <w:r w:rsidRPr="00E17A3E">
        <w:rPr>
          <w:rFonts w:ascii="Times New Roman" w:hAnsi="Times New Roman" w:cs="Times New Roman"/>
          <w:b/>
          <w:sz w:val="24"/>
        </w:rPr>
        <w:t>https://www</w:t>
      </w:r>
      <w:r>
        <w:rPr>
          <w:rFonts w:ascii="Times New Roman" w:hAnsi="Times New Roman" w:cs="Times New Roman"/>
          <w:b/>
          <w:sz w:val="24"/>
        </w:rPr>
        <w:t>.frontiersin.org/journals/plant</w:t>
      </w:r>
      <w:r w:rsidRPr="00E17A3E">
        <w:rPr>
          <w:rFonts w:ascii="Times New Roman" w:hAnsi="Times New Roman" w:cs="Times New Roman"/>
          <w:b/>
          <w:sz w:val="24"/>
        </w:rPr>
        <w:t>science/articles/10.3389/fpls.2021.654512/full</w:t>
      </w:r>
      <w:proofErr w:type="gramEnd"/>
    </w:p>
    <w:p w:rsidR="00E17A3E" w:rsidRDefault="00E17A3E" w:rsidP="001A5044">
      <w:pPr>
        <w:spacing w:line="360" w:lineRule="auto"/>
        <w:jc w:val="both"/>
        <w:rPr>
          <w:rFonts w:ascii="Times New Roman" w:hAnsi="Times New Roman" w:cs="Times New Roman"/>
          <w:b/>
          <w:sz w:val="24"/>
        </w:rPr>
      </w:pPr>
    </w:p>
    <w:p w:rsidR="00057355" w:rsidRDefault="00057355" w:rsidP="001A5044">
      <w:pPr>
        <w:spacing w:line="360" w:lineRule="auto"/>
        <w:jc w:val="both"/>
        <w:rPr>
          <w:rFonts w:ascii="Times New Roman" w:hAnsi="Times New Roman" w:cs="Times New Roman"/>
          <w:b/>
          <w:sz w:val="24"/>
        </w:rPr>
      </w:pPr>
    </w:p>
    <w:p w:rsidR="00057355" w:rsidRDefault="00057355" w:rsidP="001A5044">
      <w:pPr>
        <w:spacing w:line="360" w:lineRule="auto"/>
        <w:jc w:val="both"/>
        <w:rPr>
          <w:rFonts w:ascii="Times New Roman" w:hAnsi="Times New Roman" w:cs="Times New Roman"/>
          <w:b/>
          <w:sz w:val="24"/>
        </w:rPr>
      </w:pPr>
    </w:p>
    <w:p w:rsidR="00057355" w:rsidRDefault="00057355" w:rsidP="001A5044">
      <w:pPr>
        <w:spacing w:line="360" w:lineRule="auto"/>
        <w:jc w:val="both"/>
        <w:rPr>
          <w:rFonts w:ascii="Times New Roman" w:hAnsi="Times New Roman" w:cs="Times New Roman"/>
          <w:b/>
          <w:sz w:val="24"/>
        </w:rPr>
      </w:pPr>
    </w:p>
    <w:p w:rsidR="00057355" w:rsidRDefault="00057355" w:rsidP="001A5044">
      <w:pPr>
        <w:spacing w:line="360" w:lineRule="auto"/>
        <w:jc w:val="both"/>
        <w:rPr>
          <w:rFonts w:ascii="Times New Roman" w:hAnsi="Times New Roman" w:cs="Times New Roman"/>
          <w:b/>
          <w:sz w:val="24"/>
        </w:rPr>
      </w:pPr>
    </w:p>
    <w:p w:rsidR="00057355" w:rsidRDefault="00057355" w:rsidP="001A5044">
      <w:pPr>
        <w:spacing w:line="360" w:lineRule="auto"/>
        <w:jc w:val="both"/>
        <w:rPr>
          <w:rFonts w:ascii="Times New Roman" w:hAnsi="Times New Roman" w:cs="Times New Roman"/>
          <w:b/>
          <w:sz w:val="24"/>
        </w:rPr>
      </w:pPr>
    </w:p>
    <w:p w:rsidR="00057355" w:rsidRDefault="00057355" w:rsidP="001A5044">
      <w:pPr>
        <w:spacing w:line="360" w:lineRule="auto"/>
        <w:jc w:val="both"/>
        <w:rPr>
          <w:rFonts w:ascii="Times New Roman" w:hAnsi="Times New Roman" w:cs="Times New Roman"/>
          <w:b/>
          <w:sz w:val="24"/>
        </w:rPr>
      </w:pPr>
    </w:p>
    <w:p w:rsidR="00057355" w:rsidRDefault="00057355" w:rsidP="001A5044">
      <w:pPr>
        <w:spacing w:line="360" w:lineRule="auto"/>
        <w:jc w:val="both"/>
        <w:rPr>
          <w:rFonts w:ascii="Times New Roman" w:hAnsi="Times New Roman" w:cs="Times New Roman"/>
          <w:b/>
          <w:sz w:val="24"/>
        </w:rPr>
      </w:pPr>
    </w:p>
    <w:p w:rsidR="000F1B1E" w:rsidRDefault="000F1B1E" w:rsidP="001A5044">
      <w:pPr>
        <w:spacing w:line="360" w:lineRule="auto"/>
        <w:jc w:val="both"/>
        <w:rPr>
          <w:rFonts w:ascii="Times New Roman" w:hAnsi="Times New Roman" w:cs="Times New Roman"/>
          <w:b/>
          <w:sz w:val="24"/>
        </w:rPr>
      </w:pPr>
    </w:p>
    <w:p w:rsidR="00CE0962" w:rsidRPr="007E59F3" w:rsidRDefault="00213FA4" w:rsidP="001A5044">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Table: 1 Types of Seed </w:t>
      </w:r>
      <w:proofErr w:type="spellStart"/>
      <w:r>
        <w:rPr>
          <w:rFonts w:ascii="Times New Roman" w:hAnsi="Times New Roman" w:cs="Times New Roman"/>
          <w:b/>
          <w:sz w:val="24"/>
        </w:rPr>
        <w:t>Treatement</w:t>
      </w:r>
      <w:proofErr w:type="spellEnd"/>
    </w:p>
    <w:tbl>
      <w:tblPr>
        <w:tblStyle w:val="ColorfulList-Accent3"/>
        <w:tblW w:w="10530" w:type="dxa"/>
        <w:jc w:val="center"/>
        <w:tblLook w:val="04A0" w:firstRow="1" w:lastRow="0" w:firstColumn="1" w:lastColumn="0" w:noHBand="0" w:noVBand="1"/>
      </w:tblPr>
      <w:tblGrid>
        <w:gridCol w:w="2250"/>
        <w:gridCol w:w="2520"/>
        <w:gridCol w:w="2340"/>
        <w:gridCol w:w="3420"/>
      </w:tblGrid>
      <w:tr w:rsidR="00BD3F5D" w:rsidRPr="00AC13C5" w:rsidTr="00760485">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2250" w:type="dxa"/>
            <w:hideMark/>
          </w:tcPr>
          <w:p w:rsidR="00BD3F5D" w:rsidRPr="00AC13C5" w:rsidRDefault="00BD3F5D" w:rsidP="00CE7A46">
            <w:pPr>
              <w:spacing w:after="160"/>
              <w:jc w:val="center"/>
              <w:rPr>
                <w:rFonts w:ascii="Times New Roman" w:eastAsia="Times New Roman" w:hAnsi="Times New Roman" w:cs="Times New Roman"/>
                <w:b w:val="0"/>
                <w:sz w:val="28"/>
                <w:szCs w:val="28"/>
                <w:lang w:val="en-IN"/>
              </w:rPr>
            </w:pPr>
            <w:r w:rsidRPr="00AC13C5">
              <w:rPr>
                <w:rFonts w:ascii="Times New Roman" w:eastAsia="Times New Roman" w:hAnsi="Times New Roman" w:cs="Times New Roman"/>
                <w:sz w:val="28"/>
                <w:szCs w:val="28"/>
                <w:lang w:val="en-IN"/>
              </w:rPr>
              <w:t>Type of Seed Treatment</w:t>
            </w:r>
          </w:p>
        </w:tc>
        <w:tc>
          <w:tcPr>
            <w:tcW w:w="2520" w:type="dxa"/>
            <w:hideMark/>
          </w:tcPr>
          <w:p w:rsidR="00BD3F5D" w:rsidRPr="00AC13C5" w:rsidRDefault="00BD3F5D" w:rsidP="00CE7A46">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val="en-IN"/>
              </w:rPr>
            </w:pPr>
            <w:r w:rsidRPr="00AC13C5">
              <w:rPr>
                <w:rFonts w:ascii="Times New Roman" w:eastAsia="Times New Roman" w:hAnsi="Times New Roman" w:cs="Times New Roman"/>
                <w:sz w:val="28"/>
                <w:szCs w:val="28"/>
                <w:lang w:val="en-IN"/>
              </w:rPr>
              <w:t>Description</w:t>
            </w:r>
          </w:p>
        </w:tc>
        <w:tc>
          <w:tcPr>
            <w:tcW w:w="2340" w:type="dxa"/>
            <w:hideMark/>
          </w:tcPr>
          <w:p w:rsidR="00BD3F5D" w:rsidRPr="00AC13C5" w:rsidRDefault="00BD3F5D" w:rsidP="00CE7A46">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val="en-IN"/>
              </w:rPr>
            </w:pPr>
            <w:r w:rsidRPr="00AC13C5">
              <w:rPr>
                <w:rFonts w:ascii="Times New Roman" w:eastAsia="Times New Roman" w:hAnsi="Times New Roman" w:cs="Times New Roman"/>
                <w:sz w:val="28"/>
                <w:szCs w:val="28"/>
                <w:lang w:val="en-IN"/>
              </w:rPr>
              <w:t>Purpose</w:t>
            </w:r>
          </w:p>
        </w:tc>
        <w:tc>
          <w:tcPr>
            <w:tcW w:w="3420" w:type="dxa"/>
            <w:hideMark/>
          </w:tcPr>
          <w:p w:rsidR="00BD3F5D" w:rsidRPr="00AC13C5" w:rsidRDefault="00BD3F5D" w:rsidP="00CE7A46">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val="en-IN"/>
              </w:rPr>
            </w:pPr>
            <w:r w:rsidRPr="00AC13C5">
              <w:rPr>
                <w:rFonts w:ascii="Times New Roman" w:eastAsia="Times New Roman" w:hAnsi="Times New Roman" w:cs="Times New Roman"/>
                <w:sz w:val="28"/>
                <w:szCs w:val="28"/>
                <w:lang w:val="en-IN"/>
              </w:rPr>
              <w:t>Reference</w:t>
            </w:r>
          </w:p>
        </w:tc>
      </w:tr>
      <w:tr w:rsidR="00BD3F5D" w:rsidRPr="00AC13C5" w:rsidTr="00760485">
        <w:trPr>
          <w:cnfStyle w:val="000000100000" w:firstRow="0" w:lastRow="0" w:firstColumn="0" w:lastColumn="0" w:oddVBand="0" w:evenVBand="0" w:oddHBand="1" w:evenHBand="0" w:firstRowFirstColumn="0" w:firstRowLastColumn="0" w:lastRowFirstColumn="0" w:lastRowLastColumn="0"/>
          <w:trHeight w:val="1376"/>
          <w:jc w:val="center"/>
        </w:trPr>
        <w:tc>
          <w:tcPr>
            <w:cnfStyle w:val="001000000000" w:firstRow="0" w:lastRow="0" w:firstColumn="1" w:lastColumn="0" w:oddVBand="0" w:evenVBand="0" w:oddHBand="0" w:evenHBand="0" w:firstRowFirstColumn="0" w:firstRowLastColumn="0" w:lastRowFirstColumn="0" w:lastRowLastColumn="0"/>
            <w:tcW w:w="2250" w:type="dxa"/>
            <w:hideMark/>
          </w:tcPr>
          <w:p w:rsidR="00BD3F5D" w:rsidRPr="00AC13C5" w:rsidRDefault="00BD3F5D" w:rsidP="00CE7A46">
            <w:pPr>
              <w:spacing w:after="160"/>
              <w:jc w:val="center"/>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1. Scarification</w:t>
            </w:r>
          </w:p>
        </w:tc>
        <w:tc>
          <w:tcPr>
            <w:tcW w:w="2520" w:type="dxa"/>
            <w:hideMark/>
          </w:tcPr>
          <w:p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Mechanical or chemical abrasion of the seed coat to promote germination.</w:t>
            </w:r>
          </w:p>
        </w:tc>
        <w:tc>
          <w:tcPr>
            <w:tcW w:w="2340" w:type="dxa"/>
            <w:hideMark/>
          </w:tcPr>
          <w:p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To break physical dormancy and enhance germination rates.</w:t>
            </w:r>
          </w:p>
        </w:tc>
        <w:tc>
          <w:tcPr>
            <w:tcW w:w="3420" w:type="dxa"/>
            <w:hideMark/>
          </w:tcPr>
          <w:p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Bewley </w:t>
            </w:r>
            <w:proofErr w:type="gramStart"/>
            <w:r w:rsidRPr="00AC13C5">
              <w:rPr>
                <w:rFonts w:ascii="Times New Roman" w:eastAsia="Times New Roman" w:hAnsi="Times New Roman" w:cs="Times New Roman"/>
                <w:i/>
                <w:iCs/>
                <w:sz w:val="28"/>
                <w:szCs w:val="28"/>
                <w:lang w:val="en-IN"/>
              </w:rPr>
              <w:t>et.al</w:t>
            </w:r>
            <w:r w:rsidRPr="00AC13C5">
              <w:rPr>
                <w:rFonts w:ascii="Times New Roman" w:eastAsia="Times New Roman" w:hAnsi="Times New Roman" w:cs="Times New Roman"/>
                <w:sz w:val="28"/>
                <w:szCs w:val="28"/>
                <w:lang w:val="en-IN"/>
              </w:rPr>
              <w:t>,(</w:t>
            </w:r>
            <w:proofErr w:type="gramEnd"/>
            <w:r w:rsidRPr="00AC13C5">
              <w:rPr>
                <w:rFonts w:ascii="Times New Roman" w:eastAsia="Times New Roman" w:hAnsi="Times New Roman" w:cs="Times New Roman"/>
                <w:sz w:val="28"/>
                <w:szCs w:val="28"/>
                <w:lang w:val="en-IN"/>
              </w:rPr>
              <w:t>1994).</w:t>
            </w:r>
          </w:p>
        </w:tc>
      </w:tr>
      <w:tr w:rsidR="00BD3F5D" w:rsidRPr="00AC13C5" w:rsidTr="00760485">
        <w:trPr>
          <w:trHeight w:val="2412"/>
          <w:jc w:val="center"/>
        </w:trPr>
        <w:tc>
          <w:tcPr>
            <w:cnfStyle w:val="001000000000" w:firstRow="0" w:lastRow="0" w:firstColumn="1" w:lastColumn="0" w:oddVBand="0" w:evenVBand="0" w:oddHBand="0" w:evenHBand="0" w:firstRowFirstColumn="0" w:firstRowLastColumn="0" w:lastRowFirstColumn="0" w:lastRowLastColumn="0"/>
            <w:tcW w:w="2250" w:type="dxa"/>
            <w:hideMark/>
          </w:tcPr>
          <w:p w:rsidR="00BD3F5D" w:rsidRPr="00AC13C5" w:rsidRDefault="00BD3F5D" w:rsidP="00CE7A46">
            <w:pPr>
              <w:spacing w:after="160"/>
              <w:jc w:val="center"/>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2. Stratification</w:t>
            </w:r>
          </w:p>
        </w:tc>
        <w:tc>
          <w:tcPr>
            <w:tcW w:w="2520" w:type="dxa"/>
            <w:hideMark/>
          </w:tcPr>
          <w:p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Cooling seeds for a period to simulate winter conditions.</w:t>
            </w:r>
          </w:p>
        </w:tc>
        <w:tc>
          <w:tcPr>
            <w:tcW w:w="2340" w:type="dxa"/>
            <w:hideMark/>
          </w:tcPr>
          <w:p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To break physiological dormancy and synchronize germination.</w:t>
            </w:r>
          </w:p>
        </w:tc>
        <w:tc>
          <w:tcPr>
            <w:tcW w:w="3420" w:type="dxa"/>
            <w:hideMark/>
          </w:tcPr>
          <w:p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proofErr w:type="spellStart"/>
            <w:r w:rsidRPr="00AC13C5">
              <w:rPr>
                <w:rFonts w:ascii="Times New Roman" w:eastAsia="Times New Roman" w:hAnsi="Times New Roman" w:cs="Times New Roman"/>
                <w:sz w:val="28"/>
                <w:szCs w:val="28"/>
                <w:lang w:val="en-IN"/>
              </w:rPr>
              <w:t>Gutterman</w:t>
            </w:r>
            <w:proofErr w:type="spellEnd"/>
            <w:r w:rsidRPr="00AC13C5">
              <w:rPr>
                <w:rFonts w:ascii="Times New Roman" w:eastAsia="Times New Roman" w:hAnsi="Times New Roman" w:cs="Times New Roman"/>
                <w:sz w:val="28"/>
                <w:szCs w:val="28"/>
                <w:lang w:val="en-IN"/>
              </w:rPr>
              <w:t>, Y. (2000).</w:t>
            </w:r>
          </w:p>
        </w:tc>
      </w:tr>
      <w:tr w:rsidR="00BD3F5D" w:rsidRPr="00AC13C5" w:rsidTr="00760485">
        <w:trPr>
          <w:cnfStyle w:val="000000100000" w:firstRow="0" w:lastRow="0" w:firstColumn="0" w:lastColumn="0" w:oddVBand="0" w:evenVBand="0" w:oddHBand="1" w:evenHBand="0" w:firstRowFirstColumn="0" w:firstRowLastColumn="0" w:lastRowFirstColumn="0" w:lastRowLastColumn="0"/>
          <w:trHeight w:val="1871"/>
          <w:jc w:val="center"/>
        </w:trPr>
        <w:tc>
          <w:tcPr>
            <w:cnfStyle w:val="001000000000" w:firstRow="0" w:lastRow="0" w:firstColumn="1" w:lastColumn="0" w:oddVBand="0" w:evenVBand="0" w:oddHBand="0" w:evenHBand="0" w:firstRowFirstColumn="0" w:firstRowLastColumn="0" w:lastRowFirstColumn="0" w:lastRowLastColumn="0"/>
            <w:tcW w:w="2250" w:type="dxa"/>
            <w:hideMark/>
          </w:tcPr>
          <w:p w:rsidR="00BD3F5D" w:rsidRPr="00AC13C5" w:rsidRDefault="00BD3F5D" w:rsidP="00CE7A46">
            <w:pPr>
              <w:spacing w:after="160"/>
              <w:jc w:val="center"/>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3. Priming</w:t>
            </w:r>
          </w:p>
        </w:tc>
        <w:tc>
          <w:tcPr>
            <w:tcW w:w="2520" w:type="dxa"/>
            <w:hideMark/>
          </w:tcPr>
          <w:p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Pre-soaking seeds in a solution to initiate germination processes without full germination.</w:t>
            </w:r>
          </w:p>
        </w:tc>
        <w:tc>
          <w:tcPr>
            <w:tcW w:w="2340" w:type="dxa"/>
            <w:hideMark/>
          </w:tcPr>
          <w:p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To improve seed </w:t>
            </w:r>
            <w:proofErr w:type="spellStart"/>
            <w:r w:rsidRPr="00AC13C5">
              <w:rPr>
                <w:rFonts w:ascii="Times New Roman" w:eastAsia="Times New Roman" w:hAnsi="Times New Roman" w:cs="Times New Roman"/>
                <w:sz w:val="28"/>
                <w:szCs w:val="28"/>
                <w:lang w:val="en-IN"/>
              </w:rPr>
              <w:t>vigor</w:t>
            </w:r>
            <w:proofErr w:type="spellEnd"/>
            <w:r w:rsidRPr="00AC13C5">
              <w:rPr>
                <w:rFonts w:ascii="Times New Roman" w:eastAsia="Times New Roman" w:hAnsi="Times New Roman" w:cs="Times New Roman"/>
                <w:sz w:val="28"/>
                <w:szCs w:val="28"/>
                <w:lang w:val="en-IN"/>
              </w:rPr>
              <w:t xml:space="preserve"> and uniformity of germination.</w:t>
            </w:r>
          </w:p>
        </w:tc>
        <w:tc>
          <w:tcPr>
            <w:tcW w:w="3420" w:type="dxa"/>
            <w:hideMark/>
          </w:tcPr>
          <w:p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Bradford </w:t>
            </w:r>
            <w:r w:rsidRPr="00AC13C5">
              <w:rPr>
                <w:rFonts w:ascii="Times New Roman" w:eastAsia="Times New Roman" w:hAnsi="Times New Roman" w:cs="Times New Roman"/>
                <w:i/>
                <w:iCs/>
                <w:sz w:val="28"/>
                <w:szCs w:val="28"/>
                <w:lang w:val="en-IN"/>
              </w:rPr>
              <w:t>et al</w:t>
            </w:r>
            <w:r w:rsidRPr="00AC13C5">
              <w:rPr>
                <w:rFonts w:ascii="Times New Roman" w:eastAsia="Times New Roman" w:hAnsi="Times New Roman" w:cs="Times New Roman"/>
                <w:sz w:val="28"/>
                <w:szCs w:val="28"/>
                <w:lang w:val="en-IN"/>
              </w:rPr>
              <w:t>, (1995).</w:t>
            </w:r>
          </w:p>
        </w:tc>
      </w:tr>
      <w:tr w:rsidR="00BD3F5D" w:rsidRPr="00AC13C5" w:rsidTr="00760485">
        <w:trPr>
          <w:trHeight w:val="1871"/>
          <w:jc w:val="center"/>
        </w:trPr>
        <w:tc>
          <w:tcPr>
            <w:cnfStyle w:val="001000000000" w:firstRow="0" w:lastRow="0" w:firstColumn="1" w:lastColumn="0" w:oddVBand="0" w:evenVBand="0" w:oddHBand="0" w:evenHBand="0" w:firstRowFirstColumn="0" w:firstRowLastColumn="0" w:lastRowFirstColumn="0" w:lastRowLastColumn="0"/>
            <w:tcW w:w="2250" w:type="dxa"/>
            <w:hideMark/>
          </w:tcPr>
          <w:p w:rsidR="00BD3F5D" w:rsidRPr="00AC13C5" w:rsidRDefault="00BD3F5D" w:rsidP="00CE7A46">
            <w:pPr>
              <w:spacing w:after="160"/>
              <w:jc w:val="center"/>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4. Hot Water Treatment</w:t>
            </w:r>
          </w:p>
        </w:tc>
        <w:tc>
          <w:tcPr>
            <w:tcW w:w="2520" w:type="dxa"/>
            <w:hideMark/>
          </w:tcPr>
          <w:p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Immersing seeds in hot water for a specific time. </w:t>
            </w:r>
          </w:p>
        </w:tc>
        <w:tc>
          <w:tcPr>
            <w:tcW w:w="2340" w:type="dxa"/>
            <w:hideMark/>
          </w:tcPr>
          <w:p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To kill pathogens and break dormancy. </w:t>
            </w:r>
          </w:p>
        </w:tc>
        <w:tc>
          <w:tcPr>
            <w:tcW w:w="3420" w:type="dxa"/>
            <w:hideMark/>
          </w:tcPr>
          <w:p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McDonald et al, (2004)</w:t>
            </w:r>
          </w:p>
        </w:tc>
      </w:tr>
      <w:tr w:rsidR="00BD3F5D" w:rsidRPr="00AC13C5" w:rsidTr="00760485">
        <w:trPr>
          <w:cnfStyle w:val="000000100000" w:firstRow="0" w:lastRow="0" w:firstColumn="0" w:lastColumn="0" w:oddVBand="0" w:evenVBand="0" w:oddHBand="1" w:evenHBand="0" w:firstRowFirstColumn="0" w:firstRowLastColumn="0" w:lastRowFirstColumn="0" w:lastRowLastColumn="0"/>
          <w:trHeight w:val="1871"/>
          <w:jc w:val="center"/>
        </w:trPr>
        <w:tc>
          <w:tcPr>
            <w:cnfStyle w:val="001000000000" w:firstRow="0" w:lastRow="0" w:firstColumn="1" w:lastColumn="0" w:oddVBand="0" w:evenVBand="0" w:oddHBand="0" w:evenHBand="0" w:firstRowFirstColumn="0" w:firstRowLastColumn="0" w:lastRowFirstColumn="0" w:lastRowLastColumn="0"/>
            <w:tcW w:w="2250" w:type="dxa"/>
            <w:hideMark/>
          </w:tcPr>
          <w:p w:rsidR="00BD3F5D" w:rsidRPr="00AC13C5" w:rsidRDefault="00BD3F5D" w:rsidP="00CE7A46">
            <w:pPr>
              <w:spacing w:after="160"/>
              <w:jc w:val="center"/>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5. Chemical Treatment</w:t>
            </w:r>
          </w:p>
        </w:tc>
        <w:tc>
          <w:tcPr>
            <w:tcW w:w="2520" w:type="dxa"/>
            <w:hideMark/>
          </w:tcPr>
          <w:p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Using fungicides, insecticides, or growth regulators to treat seeds. </w:t>
            </w:r>
          </w:p>
        </w:tc>
        <w:tc>
          <w:tcPr>
            <w:tcW w:w="2340" w:type="dxa"/>
            <w:hideMark/>
          </w:tcPr>
          <w:p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To protect seeds from diseases and pests. </w:t>
            </w:r>
          </w:p>
        </w:tc>
        <w:tc>
          <w:tcPr>
            <w:tcW w:w="3420" w:type="dxa"/>
            <w:hideMark/>
          </w:tcPr>
          <w:p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proofErr w:type="spellStart"/>
            <w:r w:rsidRPr="00AC13C5">
              <w:rPr>
                <w:rFonts w:ascii="Times New Roman" w:eastAsia="Times New Roman" w:hAnsi="Times New Roman" w:cs="Times New Roman"/>
                <w:sz w:val="28"/>
                <w:szCs w:val="28"/>
                <w:lang w:val="en-IN"/>
              </w:rPr>
              <w:t>Delouche</w:t>
            </w:r>
            <w:proofErr w:type="spellEnd"/>
            <w:r w:rsidRPr="00AC13C5">
              <w:rPr>
                <w:rFonts w:ascii="Times New Roman" w:eastAsia="Times New Roman" w:hAnsi="Times New Roman" w:cs="Times New Roman"/>
                <w:sz w:val="28"/>
                <w:szCs w:val="28"/>
                <w:lang w:val="en-IN"/>
              </w:rPr>
              <w:t xml:space="preserve"> et al, (1973). </w:t>
            </w:r>
          </w:p>
        </w:tc>
      </w:tr>
      <w:tr w:rsidR="00BD3F5D" w:rsidRPr="00AC13C5" w:rsidTr="00760485">
        <w:trPr>
          <w:trHeight w:val="1871"/>
          <w:jc w:val="center"/>
        </w:trPr>
        <w:tc>
          <w:tcPr>
            <w:cnfStyle w:val="001000000000" w:firstRow="0" w:lastRow="0" w:firstColumn="1" w:lastColumn="0" w:oddVBand="0" w:evenVBand="0" w:oddHBand="0" w:evenHBand="0" w:firstRowFirstColumn="0" w:firstRowLastColumn="0" w:lastRowFirstColumn="0" w:lastRowLastColumn="0"/>
            <w:tcW w:w="2250" w:type="dxa"/>
            <w:hideMark/>
          </w:tcPr>
          <w:p w:rsidR="00BD3F5D" w:rsidRPr="00AC13C5" w:rsidRDefault="00BD3F5D" w:rsidP="00CE7A46">
            <w:pPr>
              <w:spacing w:after="160"/>
              <w:jc w:val="center"/>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lastRenderedPageBreak/>
              <w:t>6. Coating</w:t>
            </w:r>
          </w:p>
        </w:tc>
        <w:tc>
          <w:tcPr>
            <w:tcW w:w="2520" w:type="dxa"/>
            <w:hideMark/>
          </w:tcPr>
          <w:p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Applying a layer of materials (e.g., polymers, nutrients) to the seed surface. </w:t>
            </w:r>
          </w:p>
        </w:tc>
        <w:tc>
          <w:tcPr>
            <w:tcW w:w="2340" w:type="dxa"/>
            <w:hideMark/>
          </w:tcPr>
          <w:p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To improve seed handling, protect seeds, and supply nutrients. </w:t>
            </w:r>
          </w:p>
        </w:tc>
        <w:tc>
          <w:tcPr>
            <w:tcW w:w="3420" w:type="dxa"/>
            <w:hideMark/>
          </w:tcPr>
          <w:p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Anderson et al, (2015). </w:t>
            </w:r>
          </w:p>
        </w:tc>
      </w:tr>
      <w:tr w:rsidR="00BD3F5D" w:rsidRPr="00AC13C5" w:rsidTr="00760485">
        <w:trPr>
          <w:cnfStyle w:val="000000100000" w:firstRow="0" w:lastRow="0" w:firstColumn="0" w:lastColumn="0" w:oddVBand="0" w:evenVBand="0" w:oddHBand="1" w:evenHBand="0" w:firstRowFirstColumn="0" w:firstRowLastColumn="0" w:lastRowFirstColumn="0" w:lastRowLastColumn="0"/>
          <w:trHeight w:val="1871"/>
          <w:jc w:val="center"/>
        </w:trPr>
        <w:tc>
          <w:tcPr>
            <w:cnfStyle w:val="001000000000" w:firstRow="0" w:lastRow="0" w:firstColumn="1" w:lastColumn="0" w:oddVBand="0" w:evenVBand="0" w:oddHBand="0" w:evenHBand="0" w:firstRowFirstColumn="0" w:firstRowLastColumn="0" w:lastRowFirstColumn="0" w:lastRowLastColumn="0"/>
            <w:tcW w:w="2250" w:type="dxa"/>
            <w:hideMark/>
          </w:tcPr>
          <w:p w:rsidR="00BD3F5D" w:rsidRPr="00AC13C5" w:rsidRDefault="00BD3F5D" w:rsidP="00CE7A46">
            <w:pPr>
              <w:spacing w:after="160"/>
              <w:jc w:val="center"/>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7. Dry Heat Treatment</w:t>
            </w:r>
          </w:p>
        </w:tc>
        <w:tc>
          <w:tcPr>
            <w:tcW w:w="2520" w:type="dxa"/>
            <w:hideMark/>
          </w:tcPr>
          <w:p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Exposing seeds to high temperatures for a short period. </w:t>
            </w:r>
          </w:p>
        </w:tc>
        <w:tc>
          <w:tcPr>
            <w:tcW w:w="2340" w:type="dxa"/>
            <w:hideMark/>
          </w:tcPr>
          <w:p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To kill pathogens and insects. </w:t>
            </w:r>
          </w:p>
        </w:tc>
        <w:tc>
          <w:tcPr>
            <w:tcW w:w="3420" w:type="dxa"/>
            <w:hideMark/>
          </w:tcPr>
          <w:p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Harlan et </w:t>
            </w:r>
            <w:proofErr w:type="gramStart"/>
            <w:r w:rsidRPr="00AC13C5">
              <w:rPr>
                <w:rFonts w:ascii="Times New Roman" w:eastAsia="Times New Roman" w:hAnsi="Times New Roman" w:cs="Times New Roman"/>
                <w:sz w:val="28"/>
                <w:szCs w:val="28"/>
                <w:lang w:val="en-IN"/>
              </w:rPr>
              <w:t>al,(</w:t>
            </w:r>
            <w:proofErr w:type="gramEnd"/>
            <w:r w:rsidRPr="00AC13C5">
              <w:rPr>
                <w:rFonts w:ascii="Times New Roman" w:eastAsia="Times New Roman" w:hAnsi="Times New Roman" w:cs="Times New Roman"/>
                <w:sz w:val="28"/>
                <w:szCs w:val="28"/>
                <w:lang w:val="en-IN"/>
              </w:rPr>
              <w:t>1971).</w:t>
            </w:r>
          </w:p>
        </w:tc>
      </w:tr>
    </w:tbl>
    <w:p w:rsidR="00C51300" w:rsidRDefault="00C51300" w:rsidP="001A5044">
      <w:pPr>
        <w:spacing w:line="360" w:lineRule="auto"/>
        <w:jc w:val="both"/>
        <w:rPr>
          <w:rFonts w:ascii="Times New Roman" w:hAnsi="Times New Roman" w:cs="Times New Roman"/>
          <w:b/>
          <w:sz w:val="24"/>
        </w:rPr>
      </w:pPr>
    </w:p>
    <w:p w:rsidR="002750C8"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7. </w:t>
      </w:r>
      <w:r w:rsidR="002750C8" w:rsidRPr="007E59F3">
        <w:rPr>
          <w:rFonts w:ascii="Times New Roman" w:hAnsi="Times New Roman" w:cs="Times New Roman"/>
          <w:b/>
          <w:sz w:val="24"/>
        </w:rPr>
        <w:t xml:space="preserve">Propagation and Seedling Growth Process of </w:t>
      </w:r>
      <w:r w:rsidR="00925E1A" w:rsidRPr="00925E1A">
        <w:rPr>
          <w:rFonts w:ascii="Times New Roman" w:hAnsi="Times New Roman" w:cs="Times New Roman"/>
          <w:b/>
          <w:i/>
          <w:sz w:val="24"/>
        </w:rPr>
        <w:t xml:space="preserve">Terminalia arjuna </w:t>
      </w:r>
      <w:r w:rsidR="002750C8" w:rsidRPr="007E59F3">
        <w:rPr>
          <w:rFonts w:ascii="Times New Roman" w:hAnsi="Times New Roman" w:cs="Times New Roman"/>
          <w:b/>
          <w:sz w:val="24"/>
        </w:rPr>
        <w:t>with key steps:</w:t>
      </w:r>
    </w:p>
    <w:p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1. Seed Collection</w:t>
      </w:r>
    </w:p>
    <w:p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2. Pre-sowing Treatments (Soaking, Scarification, Chemical treatment)</w:t>
      </w:r>
    </w:p>
    <w:p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3. Seed Sowing in Nursery (Prepared soil + amendments)</w:t>
      </w:r>
    </w:p>
    <w:p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4. Germination Monitoring (Temperature, moisture, light control)</w:t>
      </w:r>
    </w:p>
    <w:p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5. Seedling Growth Assessment (Height, collar diameter, leaf number, biomass)</w:t>
      </w:r>
    </w:p>
    <w:p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6. Nursery Management (Watering, shading, weeding, pest control)</w:t>
      </w:r>
    </w:p>
    <w:p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7. Seedling Hardening (Gradual exposure to outdoor conditions)</w:t>
      </w:r>
    </w:p>
    <w:p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8. Transplantation / Plantation</w:t>
      </w:r>
    </w:p>
    <w:p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9. Growth and Survival Monitoring</w:t>
      </w:r>
    </w:p>
    <w:p w:rsidR="00F97D21"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8. </w:t>
      </w:r>
      <w:r w:rsidR="00F97D21" w:rsidRPr="007E59F3">
        <w:rPr>
          <w:rFonts w:ascii="Times New Roman" w:hAnsi="Times New Roman" w:cs="Times New Roman"/>
          <w:b/>
          <w:sz w:val="24"/>
        </w:rPr>
        <w:t>Botanical Profile of Terminalia arjuna</w:t>
      </w:r>
      <w:r w:rsidR="008A2AB1" w:rsidRPr="007E59F3">
        <w:rPr>
          <w:rFonts w:ascii="Times New Roman" w:hAnsi="Times New Roman" w:cs="Times New Roman"/>
          <w:b/>
          <w:sz w:val="24"/>
        </w:rPr>
        <w:t>:</w:t>
      </w:r>
    </w:p>
    <w:p w:rsidR="00F97D21" w:rsidRPr="007E59F3" w:rsidRDefault="00925E1A" w:rsidP="001A5044">
      <w:pPr>
        <w:spacing w:line="360" w:lineRule="auto"/>
        <w:jc w:val="both"/>
        <w:rPr>
          <w:rFonts w:ascii="Times New Roman" w:hAnsi="Times New Roman" w:cs="Times New Roman"/>
          <w:sz w:val="24"/>
        </w:rPr>
      </w:pPr>
      <w:r w:rsidRPr="00925E1A">
        <w:rPr>
          <w:rFonts w:ascii="Times New Roman" w:hAnsi="Times New Roman" w:cs="Times New Roman"/>
          <w:i/>
          <w:sz w:val="24"/>
        </w:rPr>
        <w:t xml:space="preserve">Terminalia </w:t>
      </w:r>
      <w:proofErr w:type="gramStart"/>
      <w:r w:rsidRPr="00925E1A">
        <w:rPr>
          <w:rFonts w:ascii="Times New Roman" w:hAnsi="Times New Roman" w:cs="Times New Roman"/>
          <w:i/>
          <w:sz w:val="24"/>
        </w:rPr>
        <w:t>arjuna</w:t>
      </w:r>
      <w:r w:rsidR="00F97D21" w:rsidRPr="007E59F3">
        <w:rPr>
          <w:rFonts w:ascii="Times New Roman" w:hAnsi="Times New Roman" w:cs="Times New Roman"/>
          <w:sz w:val="24"/>
        </w:rPr>
        <w:t>(</w:t>
      </w:r>
      <w:proofErr w:type="spellStart"/>
      <w:proofErr w:type="gramEnd"/>
      <w:r w:rsidR="00F97D21" w:rsidRPr="007E59F3">
        <w:rPr>
          <w:rFonts w:ascii="Times New Roman" w:hAnsi="Times New Roman" w:cs="Times New Roman"/>
          <w:sz w:val="24"/>
        </w:rPr>
        <w:t>Roxb</w:t>
      </w:r>
      <w:proofErr w:type="spellEnd"/>
      <w:r w:rsidR="00F97D21" w:rsidRPr="007E59F3">
        <w:rPr>
          <w:rFonts w:ascii="Times New Roman" w:hAnsi="Times New Roman" w:cs="Times New Roman"/>
          <w:sz w:val="24"/>
        </w:rPr>
        <w:t xml:space="preserve">.) Wight &amp; </w:t>
      </w:r>
      <w:proofErr w:type="spellStart"/>
      <w:r w:rsidR="00F97D21" w:rsidRPr="007E59F3">
        <w:rPr>
          <w:rFonts w:ascii="Times New Roman" w:hAnsi="Times New Roman" w:cs="Times New Roman"/>
          <w:sz w:val="24"/>
        </w:rPr>
        <w:t>Arn</w:t>
      </w:r>
      <w:proofErr w:type="spellEnd"/>
      <w:r w:rsidR="00F97D21" w:rsidRPr="007E59F3">
        <w:rPr>
          <w:rFonts w:ascii="Times New Roman" w:hAnsi="Times New Roman" w:cs="Times New Roman"/>
          <w:sz w:val="24"/>
        </w:rPr>
        <w:t xml:space="preserve">. is a prominent tree species in the </w:t>
      </w:r>
      <w:proofErr w:type="spellStart"/>
      <w:r w:rsidR="00F97D21" w:rsidRPr="007E59F3">
        <w:rPr>
          <w:rFonts w:ascii="Times New Roman" w:hAnsi="Times New Roman" w:cs="Times New Roman"/>
          <w:sz w:val="24"/>
        </w:rPr>
        <w:t>Combretaceae</w:t>
      </w:r>
      <w:proofErr w:type="spellEnd"/>
      <w:r w:rsidR="00F97D21" w:rsidRPr="007E59F3">
        <w:rPr>
          <w:rFonts w:ascii="Times New Roman" w:hAnsi="Times New Roman" w:cs="Times New Roman"/>
          <w:sz w:val="24"/>
        </w:rPr>
        <w:t xml:space="preserve"> family, known for being large and either deciduous or evergreen in </w:t>
      </w:r>
      <w:proofErr w:type="gramStart"/>
      <w:r w:rsidR="00F97D21" w:rsidRPr="007E59F3">
        <w:rPr>
          <w:rFonts w:ascii="Times New Roman" w:hAnsi="Times New Roman" w:cs="Times New Roman"/>
          <w:sz w:val="24"/>
        </w:rPr>
        <w:t>nature.</w:t>
      </w:r>
      <w:proofErr w:type="gramEnd"/>
      <w:r w:rsidR="00F97D21" w:rsidRPr="007E59F3">
        <w:rPr>
          <w:rFonts w:ascii="Times New Roman" w:hAnsi="Times New Roman" w:cs="Times New Roman"/>
          <w:sz w:val="24"/>
        </w:rPr>
        <w:t xml:space="preserve"> It commonly thrives in moist forested areas and along riverbanks, reaching heights of 20 to 25 meters, with a broad canopy and gracefully drooping branches. Its bark is smooth, pale grey to pinkish-white, and peels away </w:t>
      </w:r>
      <w:r w:rsidR="00F97D21" w:rsidRPr="007E59F3">
        <w:rPr>
          <w:rFonts w:ascii="Times New Roman" w:hAnsi="Times New Roman" w:cs="Times New Roman"/>
          <w:sz w:val="24"/>
        </w:rPr>
        <w:lastRenderedPageBreak/>
        <w:t>in large flakes. The leaves are simple, sub-opposite, and oblong to elliptic, typically appearing in clusters at the tips of branches—a distinctive trait that inspired the genus name Terminalia, derived from the Latin term “Terminalis”, meaning "end" (</w:t>
      </w:r>
      <w:proofErr w:type="spellStart"/>
      <w:r w:rsidR="00F97D21" w:rsidRPr="007E59F3">
        <w:rPr>
          <w:rFonts w:ascii="Times New Roman" w:hAnsi="Times New Roman" w:cs="Times New Roman"/>
          <w:sz w:val="24"/>
        </w:rPr>
        <w:t>Wadhai</w:t>
      </w:r>
      <w:proofErr w:type="spellEnd"/>
      <w:r w:rsidR="00F97D21" w:rsidRPr="007E59F3">
        <w:rPr>
          <w:rFonts w:ascii="Times New Roman" w:hAnsi="Times New Roman" w:cs="Times New Roman"/>
          <w:sz w:val="24"/>
        </w:rPr>
        <w:t xml:space="preserve">, 2012). The tree yields large, winged fruits with prominent fibrous ridges. Its seeds are classified as orthodox, indicating that they require specific environmental conditions for successful germination (Chandrashekar </w:t>
      </w:r>
      <w:r w:rsidR="00057355" w:rsidRPr="00057355">
        <w:rPr>
          <w:rFonts w:ascii="Times New Roman" w:hAnsi="Times New Roman" w:cs="Times New Roman"/>
          <w:i/>
          <w:sz w:val="24"/>
        </w:rPr>
        <w:t>et al.,</w:t>
      </w:r>
      <w:r w:rsidR="00F97D21" w:rsidRPr="007E59F3">
        <w:rPr>
          <w:rFonts w:ascii="Times New Roman" w:hAnsi="Times New Roman" w:cs="Times New Roman"/>
          <w:sz w:val="24"/>
        </w:rPr>
        <w:t xml:space="preserve">2013). Native to the Indian subcontinent, T. arjuna flourishes in tropical and subtropical climates, especially in well-drained alluvial soils along river valleys (Kumar &amp; Prabhakar, 1987; </w:t>
      </w:r>
      <w:proofErr w:type="spellStart"/>
      <w:r w:rsidR="00F97D21" w:rsidRPr="007E59F3">
        <w:rPr>
          <w:rFonts w:ascii="Times New Roman" w:hAnsi="Times New Roman" w:cs="Times New Roman"/>
          <w:sz w:val="24"/>
        </w:rPr>
        <w:t>Orwa</w:t>
      </w:r>
      <w:proofErr w:type="spellEnd"/>
      <w:r w:rsidR="00F97D21" w:rsidRPr="007E59F3">
        <w:rPr>
          <w:rFonts w:ascii="Times New Roman" w:hAnsi="Times New Roman" w:cs="Times New Roman"/>
          <w:sz w:val="24"/>
        </w:rPr>
        <w:t xml:space="preserve"> </w:t>
      </w:r>
      <w:r w:rsidR="00057355" w:rsidRPr="00057355">
        <w:rPr>
          <w:rFonts w:ascii="Times New Roman" w:hAnsi="Times New Roman" w:cs="Times New Roman"/>
          <w:i/>
          <w:sz w:val="24"/>
        </w:rPr>
        <w:t>et al.,</w:t>
      </w:r>
      <w:r w:rsidR="00F97D21" w:rsidRPr="007E59F3">
        <w:rPr>
          <w:rFonts w:ascii="Times New Roman" w:hAnsi="Times New Roman" w:cs="Times New Roman"/>
          <w:sz w:val="24"/>
        </w:rPr>
        <w:t>2009). Aside from its ecological role, the species is highly valued for its medicinal bark and holds cultural significance, establishing it as a versatile and important tree in India and neighboring regions</w:t>
      </w:r>
      <w:r w:rsidR="008A2AB1" w:rsidRPr="007E59F3">
        <w:rPr>
          <w:rFonts w:ascii="Times New Roman" w:hAnsi="Times New Roman" w:cs="Times New Roman"/>
          <w:sz w:val="24"/>
        </w:rPr>
        <w:t>.</w:t>
      </w:r>
    </w:p>
    <w:p w:rsidR="008A2AB1"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9. </w:t>
      </w:r>
      <w:r w:rsidR="008A2AB1" w:rsidRPr="007E59F3">
        <w:rPr>
          <w:rFonts w:ascii="Times New Roman" w:hAnsi="Times New Roman" w:cs="Times New Roman"/>
          <w:b/>
          <w:sz w:val="24"/>
        </w:rPr>
        <w:t xml:space="preserve">Importance of Seedling Growth </w:t>
      </w:r>
      <w:proofErr w:type="gramStart"/>
      <w:r w:rsidR="008A2AB1" w:rsidRPr="007E59F3">
        <w:rPr>
          <w:rFonts w:ascii="Times New Roman" w:hAnsi="Times New Roman" w:cs="Times New Roman"/>
          <w:b/>
          <w:sz w:val="24"/>
        </w:rPr>
        <w:t>Studies :</w:t>
      </w:r>
      <w:proofErr w:type="gramEnd"/>
    </w:p>
    <w:p w:rsidR="008A2AB1" w:rsidRPr="007E59F3" w:rsidRDefault="008A2AB1"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Studying seedling growth is essential for the effective propagation and preservation of Terminalia arjuna, a tree known for its ecological importance and medicinal uses. The successful establishment of seedlings significantly impacts the tree’s survival, development, and productivity in both natural habitats and managed plantations (Chandrashekar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2013). Since T. arjuna is widely employed in reforestation and agroforestry initiatives, it is crucial to optimize factors like germination percentage, seedling vigor, and biomass growth to ensure successful planting and conserve genetic diversity (Sultana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2007). Additionally, investigating seedling growth allows for the identification of key environmental and physiological influences during early development stages, which aids in enhancing nursery practices and producing healthy, resilient plants for restoration efforts (Kumar &amp; Prabhakar, 1987). Consequently, research on the seedling growth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is fundamental for sustainable forest management and the continued utilization of this species in medicinal and ecological contexts.</w:t>
      </w:r>
    </w:p>
    <w:p w:rsidR="008A2AB1"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10. </w:t>
      </w:r>
      <w:r w:rsidR="008A2AB1" w:rsidRPr="007E59F3">
        <w:rPr>
          <w:rFonts w:ascii="Times New Roman" w:hAnsi="Times New Roman" w:cs="Times New Roman"/>
          <w:b/>
          <w:sz w:val="24"/>
        </w:rPr>
        <w:t>Environmental Factors Affecting Seedling Growth</w:t>
      </w:r>
    </w:p>
    <w:p w:rsidR="008A2AB1" w:rsidRPr="007E59F3" w:rsidRDefault="008A2AB1"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The growth and development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seedlings are affected by several environmental factors that are crucial for their survival and establishment both in natural habitats and nursery conditions. Important elements include soil fertility, water availability, temperature, light exposure, and air quality. Proper soil nutrition and well-drained conditions are necessary to support healthy root growth and vigorous seedlings (Kumar &amp; Prabhakar, 1987). Water </w:t>
      </w:r>
      <w:r w:rsidRPr="007E59F3">
        <w:rPr>
          <w:rFonts w:ascii="Times New Roman" w:hAnsi="Times New Roman" w:cs="Times New Roman"/>
          <w:sz w:val="24"/>
        </w:rPr>
        <w:lastRenderedPageBreak/>
        <w:t xml:space="preserve">availability is especially important, as drought stress can significantly decrease germination rates and hinder seedling development (Chandrashekar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2013). Additionally, temperature and light influence key physiological activities like photosynthesis and respiration, which in turn affect the overall growth and biomass of seedlings (Biswas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2011). Furthermore, pollutants such as heavy metals—commonly found in industrial waste products like fly ash—can negatively impact seedling growth by disrupting cellular processes and nutrient absorption (Dwivedi &amp; Jain, 2014; Chandra </w:t>
      </w:r>
      <w:r w:rsidR="00057355" w:rsidRPr="00057355">
        <w:rPr>
          <w:rFonts w:ascii="Times New Roman" w:hAnsi="Times New Roman" w:cs="Times New Roman"/>
          <w:i/>
          <w:sz w:val="24"/>
        </w:rPr>
        <w:t>et al.,</w:t>
      </w:r>
      <w:r w:rsidRPr="007E59F3">
        <w:rPr>
          <w:rFonts w:ascii="Times New Roman" w:hAnsi="Times New Roman" w:cs="Times New Roman"/>
          <w:sz w:val="24"/>
        </w:rPr>
        <w:t>2021a). Therefore, a thorough understanding and proper management of these factors are essential for enhancing nursery performance and promoting the sustainable regeneration of T. arjuna.</w:t>
      </w:r>
    </w:p>
    <w:p w:rsidR="008A2AB1"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11. </w:t>
      </w:r>
      <w:r w:rsidR="008A2AB1" w:rsidRPr="007E59F3">
        <w:rPr>
          <w:rFonts w:ascii="Times New Roman" w:hAnsi="Times New Roman" w:cs="Times New Roman"/>
          <w:b/>
          <w:sz w:val="24"/>
        </w:rPr>
        <w:t>Pre-sowing Treatments and Germination Enhancement</w:t>
      </w:r>
    </w:p>
    <w:p w:rsidR="008A2AB1" w:rsidRPr="007E59F3" w:rsidRDefault="008A2AB1"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Pre-sowing treatments play a vital role in enhancing the germination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seeds, which often exhibit dormancy due to their hard seed coats. Techniques such as soaking seeds in water for specific durations have been shown to soften the seed coat, facilitating water uptake and activating metabolic processes essential for germination (Biswas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2011). Mechanical scarification, involving gentle abrasion of the seed surface, is another effective method that breaks physical dormancy and promotes quicker germination (Chandrashekar </w:t>
      </w:r>
      <w:r w:rsidR="00057355" w:rsidRPr="00057355">
        <w:rPr>
          <w:rFonts w:ascii="Times New Roman" w:hAnsi="Times New Roman" w:cs="Times New Roman"/>
          <w:i/>
          <w:sz w:val="24"/>
        </w:rPr>
        <w:t>et al.,</w:t>
      </w:r>
      <w:r w:rsidRPr="007E59F3">
        <w:rPr>
          <w:rFonts w:ascii="Times New Roman" w:hAnsi="Times New Roman" w:cs="Times New Roman"/>
          <w:sz w:val="24"/>
        </w:rPr>
        <w:t>2013). Additionally, chemical treatments using growth regulators or nutrients, such as potassium nitrate and gibberellic acid, have been found to improve germination percentage and uniformity (Kumar &amp; Prabhakar, 1987). Implementing these pre-sowing treatments is critical in nursery practices to achieve higher germination rates and vigorous seedling growth, which ultimately supports successful establishment of T. arjuna plantations.</w:t>
      </w:r>
    </w:p>
    <w:p w:rsidR="002D70FC"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12. </w:t>
      </w:r>
      <w:r w:rsidR="002D70FC" w:rsidRPr="007E59F3">
        <w:rPr>
          <w:rFonts w:ascii="Times New Roman" w:hAnsi="Times New Roman" w:cs="Times New Roman"/>
          <w:b/>
          <w:sz w:val="24"/>
        </w:rPr>
        <w:t>Nursery Management Practices</w:t>
      </w:r>
    </w:p>
    <w:p w:rsidR="002D70FC" w:rsidRPr="007E59F3" w:rsidRDefault="002D70FC"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Effective nursery management is crucial for the successful propagation and healthy growth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seedlings. Proper seedbed preparation, including the use of well-drained, fertile soil mixed with organic matter, provides an optimal environment for seed germination and seedling development (Kumar &amp; Prabhakar, 1987). Maintaining adequate moisture levels through regular watering is essential, as T. arjuna seeds are sensitive to water stress during germination and early growth stages (Chandrashekar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2013). Shade management is also important; young seedlings benefit from partial shade to protect them from excessive sunlight </w:t>
      </w:r>
      <w:r w:rsidRPr="007E59F3">
        <w:rPr>
          <w:rFonts w:ascii="Times New Roman" w:hAnsi="Times New Roman" w:cs="Times New Roman"/>
          <w:sz w:val="24"/>
        </w:rPr>
        <w:lastRenderedPageBreak/>
        <w:t xml:space="preserve">and temperature fluctuations (Biswas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2011). Furthermore, the use of soil amendments such as fly ash in appropriate quantities has shown potential in enhancing soil fertility and supporting seedling vigor, although care must be taken to avoid heavy metal toxicity (Dwivedi &amp; Jain, 2014; Chandra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2021a). Proper pest and disease control measures, alongside timely weeding and thinning, ensure that seedlings receive adequate nutrients and space for robust growth. Overall, meticulous nursery practices directly influence the survival and quality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seedlings, contributing to successful plantation establishment.</w:t>
      </w:r>
    </w:p>
    <w:p w:rsidR="002D70FC"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13. </w:t>
      </w:r>
      <w:r w:rsidR="002D70FC" w:rsidRPr="007E59F3">
        <w:rPr>
          <w:rFonts w:ascii="Times New Roman" w:hAnsi="Times New Roman" w:cs="Times New Roman"/>
          <w:b/>
          <w:sz w:val="24"/>
        </w:rPr>
        <w:t>Role of Fly Ash and Other Industrial Amendments</w:t>
      </w:r>
    </w:p>
    <w:p w:rsidR="002D70FC" w:rsidRPr="007E59F3" w:rsidRDefault="002D70FC"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Fly ash, an industrial waste from thermal power plants, has been investigated for its application in improving soil conditions for the growth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seedlings. When incorporated in suitable proportions, fly ash enhances soil texture, nutrient content, and moisture retention, creating a </w:t>
      </w:r>
      <w:proofErr w:type="spellStart"/>
      <w:r w:rsidRPr="007E59F3">
        <w:rPr>
          <w:rFonts w:ascii="Times New Roman" w:hAnsi="Times New Roman" w:cs="Times New Roman"/>
          <w:sz w:val="24"/>
        </w:rPr>
        <w:t>favo</w:t>
      </w:r>
      <w:r w:rsidR="0084253F">
        <w:rPr>
          <w:rFonts w:ascii="Times New Roman" w:hAnsi="Times New Roman" w:cs="Times New Roman"/>
          <w:sz w:val="24"/>
        </w:rPr>
        <w:t>u</w:t>
      </w:r>
      <w:r w:rsidRPr="007E59F3">
        <w:rPr>
          <w:rFonts w:ascii="Times New Roman" w:hAnsi="Times New Roman" w:cs="Times New Roman"/>
          <w:sz w:val="24"/>
        </w:rPr>
        <w:t>rable</w:t>
      </w:r>
      <w:proofErr w:type="spellEnd"/>
      <w:r w:rsidRPr="007E59F3">
        <w:rPr>
          <w:rFonts w:ascii="Times New Roman" w:hAnsi="Times New Roman" w:cs="Times New Roman"/>
          <w:sz w:val="24"/>
        </w:rPr>
        <w:t xml:space="preserve"> environment for Arjun seedling development (Kaur &amp; Goyal, 2015). However, the presence of heavy metals such as mercury, arsenic, and cadmium in fly ash poses potential toxicity risks that can inhibit seed germination and seedling growth of T. arjuna if not carefully managed (Dwivedi &amp; Jain, 2014). Research indicates that fly ash amendments in nursery soils can help in immobilizing these heavy metals within the biomass of Terminalia arjuna, thereby reducing their bioavailability and promoting safer seedling growth (Chandra </w:t>
      </w:r>
      <w:r w:rsidR="00057355" w:rsidRPr="00057355">
        <w:rPr>
          <w:rFonts w:ascii="Times New Roman" w:hAnsi="Times New Roman" w:cs="Times New Roman"/>
          <w:i/>
          <w:sz w:val="24"/>
        </w:rPr>
        <w:t>et al.,</w:t>
      </w:r>
      <w:r w:rsidRPr="007E59F3">
        <w:rPr>
          <w:rFonts w:ascii="Times New Roman" w:hAnsi="Times New Roman" w:cs="Times New Roman"/>
          <w:sz w:val="24"/>
        </w:rPr>
        <w:t>2021a). Alongside fly ash, other industrial by-products like biochar have shown promise in enhancing soil fertility and supporting the propagation of Arjun trees, contributing to sustainable forestry practices and effective afforestation programs.</w:t>
      </w:r>
    </w:p>
    <w:p w:rsidR="002750C8"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14. </w:t>
      </w:r>
      <w:r w:rsidR="002750C8" w:rsidRPr="007E59F3">
        <w:rPr>
          <w:rFonts w:ascii="Times New Roman" w:hAnsi="Times New Roman" w:cs="Times New Roman"/>
          <w:b/>
          <w:sz w:val="24"/>
        </w:rPr>
        <w:t>Growth Parameters for Assessment</w:t>
      </w:r>
    </w:p>
    <w:p w:rsidR="002D70FC" w:rsidRPr="007E59F3" w:rsidRDefault="002D70FC"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Assessing the growth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seedlings involves measuring several vital parameters that indicate their overall health and development. Key indicators typically include germination rate, seedling height, collar diameter, leaf count, and biomass production (Chandrashekar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2013). The root-to-shoot ratio is also a significant measure of seedling vigor and stability, which affects their ability to successfully establish after transplantation (Sultana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2007). Tracking these growth factors under various nursery conditions or treatment methods aids in refining propagation practices and enhancing seedling quality. Furthermore, the survival rate during the nursery stage is an essential metric for predicting the </w:t>
      </w:r>
      <w:r w:rsidRPr="007E59F3">
        <w:rPr>
          <w:rFonts w:ascii="Times New Roman" w:hAnsi="Times New Roman" w:cs="Times New Roman"/>
          <w:sz w:val="24"/>
        </w:rPr>
        <w:lastRenderedPageBreak/>
        <w:t>success of plantation efforts and the species’ regeneration potential in natural settings (Kumar &amp; Prabhakar, 1987). Together, these growth evaluations offer important insights into how nursery management and environmental factors impact the performance of T. arjuna seedlings.</w:t>
      </w:r>
    </w:p>
    <w:p w:rsidR="002750C8"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15. </w:t>
      </w:r>
      <w:r w:rsidR="002750C8" w:rsidRPr="007E59F3">
        <w:rPr>
          <w:rFonts w:ascii="Times New Roman" w:hAnsi="Times New Roman" w:cs="Times New Roman"/>
          <w:b/>
          <w:sz w:val="24"/>
        </w:rPr>
        <w:t>Summary of Past Research Findings</w:t>
      </w:r>
    </w:p>
    <w:p w:rsidR="002750C8" w:rsidRPr="007E59F3" w:rsidRDefault="002750C8"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Previous studies on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have revealed important insights into seed dormancy, germination, and seedling growth. Research shows that pre-sowing treatments such as soaking, mechanical scarification, and chemical applications significantly enhance germination rates and seedling vigor (Biswas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2011; Chandrashekar </w:t>
      </w:r>
      <w:r w:rsidR="00057355" w:rsidRPr="00057355">
        <w:rPr>
          <w:rFonts w:ascii="Times New Roman" w:hAnsi="Times New Roman" w:cs="Times New Roman"/>
          <w:i/>
          <w:sz w:val="24"/>
        </w:rPr>
        <w:t>et al.,</w:t>
      </w:r>
      <w:r w:rsidRPr="007E59F3">
        <w:rPr>
          <w:rFonts w:ascii="Times New Roman" w:hAnsi="Times New Roman" w:cs="Times New Roman"/>
          <w:sz w:val="24"/>
        </w:rPr>
        <w:t>2013; Kumar &amp; Prabhakar, 1987). Environmental conditions</w:t>
      </w:r>
      <w:r w:rsidR="0084253F">
        <w:rPr>
          <w:rFonts w:ascii="Times New Roman" w:hAnsi="Times New Roman" w:cs="Times New Roman"/>
          <w:sz w:val="24"/>
        </w:rPr>
        <w:t>,</w:t>
      </w:r>
      <w:r w:rsidRPr="007E59F3">
        <w:rPr>
          <w:rFonts w:ascii="Times New Roman" w:hAnsi="Times New Roman" w:cs="Times New Roman"/>
          <w:sz w:val="24"/>
        </w:rPr>
        <w:t xml:space="preserve"> including soil fertility, moisture levels, temperature, and light availability</w:t>
      </w:r>
      <w:r w:rsidR="0084253F">
        <w:rPr>
          <w:rFonts w:ascii="Times New Roman" w:hAnsi="Times New Roman" w:cs="Times New Roman"/>
          <w:sz w:val="24"/>
        </w:rPr>
        <w:t>,</w:t>
      </w:r>
      <w:r w:rsidRPr="007E59F3">
        <w:rPr>
          <w:rFonts w:ascii="Times New Roman" w:hAnsi="Times New Roman" w:cs="Times New Roman"/>
          <w:sz w:val="24"/>
        </w:rPr>
        <w:t xml:space="preserve"> are critical factors influencing seedling development and survival (Kumar &amp; Prabhakar, 1987; Biswas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2011). Moreover, recent investigations into the use of industrial by-products like fly ash in nursery media demonstrate potential benefits for soil improvement and seedling growth, although attention to heavy metal toxicity remains essential (Dwivedi &amp; Jain, 2014; Chandra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2021a). Collectively, these findings underscore the importance of integrating effective pre-sowing treatments, environmental management, and sustainable soil amendments to </w:t>
      </w:r>
      <w:proofErr w:type="spellStart"/>
      <w:r w:rsidRPr="007E59F3">
        <w:rPr>
          <w:rFonts w:ascii="Times New Roman" w:hAnsi="Times New Roman" w:cs="Times New Roman"/>
          <w:sz w:val="24"/>
        </w:rPr>
        <w:t>optimi</w:t>
      </w:r>
      <w:r w:rsidR="0084253F">
        <w:rPr>
          <w:rFonts w:ascii="Times New Roman" w:hAnsi="Times New Roman" w:cs="Times New Roman"/>
          <w:sz w:val="24"/>
        </w:rPr>
        <w:t>s</w:t>
      </w:r>
      <w:r w:rsidRPr="007E59F3">
        <w:rPr>
          <w:rFonts w:ascii="Times New Roman" w:hAnsi="Times New Roman" w:cs="Times New Roman"/>
          <w:sz w:val="24"/>
        </w:rPr>
        <w:t>e</w:t>
      </w:r>
      <w:proofErr w:type="spellEnd"/>
      <w:r w:rsidRPr="007E59F3">
        <w:rPr>
          <w:rFonts w:ascii="Times New Roman" w:hAnsi="Times New Roman" w:cs="Times New Roman"/>
          <w:sz w:val="24"/>
        </w:rPr>
        <w:t xml:space="preserve"> T. arjuna propagation and contribute to successful afforestation efforts.</w:t>
      </w:r>
    </w:p>
    <w:p w:rsidR="002750C8"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16. </w:t>
      </w:r>
      <w:r w:rsidR="002750C8" w:rsidRPr="007E59F3">
        <w:rPr>
          <w:rFonts w:ascii="Times New Roman" w:hAnsi="Times New Roman" w:cs="Times New Roman"/>
          <w:b/>
          <w:sz w:val="24"/>
        </w:rPr>
        <w:t>Challenges and Opportunities</w:t>
      </w:r>
    </w:p>
    <w:p w:rsidR="002750C8" w:rsidRPr="007E59F3" w:rsidRDefault="002750C8"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The propagation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encounters multiple challenges, mainly due to seed dormancy, inconsistent and slow germination, and vulnerability to environmental stresses such as drought and soil pollution. The species’ hard seed coat restricts water absorption, requiring pre-sowing treatments that may not always yield consistent results (Chandrashekar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2013). Additionally, environmental contaminants like heavy metals from industrial wastes—including fly ash—pose further threats by impairing seedling growth and health (Dwivedi &amp; Jain, 2014). Effective nursery management demands a delicate balance of water, light, and nutrient supply, which can be resource-demanding. Nevertheless, several promising opportunities exist to improve T. arjuna propagation. Innovations in seed treatment methods, such as hormonal priming and biotechnological interventions, have the potential to enhance germination efficiency and seedling robustness. The responsible use of industrial by-products like fly ash may boost soil fertility and contribute to waste recycling (Chandra </w:t>
      </w:r>
      <w:r w:rsidR="00057355" w:rsidRPr="00057355">
        <w:rPr>
          <w:rFonts w:ascii="Times New Roman" w:hAnsi="Times New Roman" w:cs="Times New Roman"/>
          <w:i/>
          <w:sz w:val="24"/>
        </w:rPr>
        <w:t>et al.,</w:t>
      </w:r>
      <w:r w:rsidRPr="007E59F3">
        <w:rPr>
          <w:rFonts w:ascii="Times New Roman" w:hAnsi="Times New Roman" w:cs="Times New Roman"/>
          <w:sz w:val="24"/>
        </w:rPr>
        <w:t xml:space="preserve">2021a). Moreover, combining </w:t>
      </w:r>
      <w:r w:rsidRPr="007E59F3">
        <w:rPr>
          <w:rFonts w:ascii="Times New Roman" w:hAnsi="Times New Roman" w:cs="Times New Roman"/>
          <w:sz w:val="24"/>
        </w:rPr>
        <w:lastRenderedPageBreak/>
        <w:t>advanced nursery techniques with ecological restoration efforts can facilitate large-scale afforestation, supporting both environmental sustainability and the medicinal plant sector. Ongoing research and flexible management strategies are crucial to capitalize on these opportunities and ensure the long-term sustainable cultivation of Terminalia arjuna.</w:t>
      </w:r>
    </w:p>
    <w:p w:rsidR="002750C8"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17. </w:t>
      </w:r>
      <w:r w:rsidR="002750C8" w:rsidRPr="007E59F3">
        <w:rPr>
          <w:rFonts w:ascii="Times New Roman" w:hAnsi="Times New Roman" w:cs="Times New Roman"/>
          <w:b/>
          <w:sz w:val="24"/>
        </w:rPr>
        <w:t>Conclusion:</w:t>
      </w:r>
    </w:p>
    <w:p w:rsidR="002D70FC" w:rsidRPr="007E59F3" w:rsidRDefault="00925E1A" w:rsidP="001A5044">
      <w:pPr>
        <w:spacing w:line="360" w:lineRule="auto"/>
        <w:jc w:val="both"/>
        <w:rPr>
          <w:rFonts w:ascii="Times New Roman" w:hAnsi="Times New Roman" w:cs="Times New Roman"/>
          <w:sz w:val="24"/>
        </w:rPr>
      </w:pPr>
      <w:r w:rsidRPr="00925E1A">
        <w:rPr>
          <w:rFonts w:ascii="Times New Roman" w:hAnsi="Times New Roman" w:cs="Times New Roman"/>
          <w:i/>
          <w:sz w:val="24"/>
        </w:rPr>
        <w:t xml:space="preserve">Terminalia arjuna </w:t>
      </w:r>
      <w:r w:rsidR="002750C8" w:rsidRPr="007E59F3">
        <w:rPr>
          <w:rFonts w:ascii="Times New Roman" w:hAnsi="Times New Roman" w:cs="Times New Roman"/>
          <w:sz w:val="24"/>
        </w:rPr>
        <w:t>is a valuable multipurpose tree species with significant ecological, medicinal, and economic importance. Successful propagation and seedling establishment are vital for its conservation and large-scale cultivation. Research highlights that overcoming seed dormancy through effective pre-sowing treatments, managing key environmental factors, and applying sound nursery practices are crucial to improving seed germination and seedling vigor. The integration of industrial amendments such as fly ash, when carefully managed, offers promising avenues for enhancing soil fertility and sustainable nursery management. Despite existing challenges like seed dormancy and environmental stressors, advances in seed technology and adaptive nursery management provide opportunities to enhance propagation success. Continued research and innovation are essential to support afforestation programs, conservation efforts, and the sustainable utilization of T. arjuna for future generations.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6"/>
        <w:gridCol w:w="3296"/>
      </w:tblGrid>
      <w:tr w:rsidR="007E59F3" w:rsidRPr="007E59F3" w:rsidTr="007E59F3">
        <w:trPr>
          <w:tblHeader/>
          <w:tblCellSpacing w:w="15" w:type="dxa"/>
        </w:trPr>
        <w:tc>
          <w:tcPr>
            <w:tcW w:w="0" w:type="auto"/>
            <w:vAlign w:val="center"/>
            <w:hideMark/>
          </w:tcPr>
          <w:p w:rsidR="007E59F3" w:rsidRPr="007E59F3" w:rsidRDefault="007E59F3" w:rsidP="007E59F3">
            <w:pPr>
              <w:spacing w:after="0" w:line="240" w:lineRule="auto"/>
              <w:jc w:val="center"/>
              <w:rPr>
                <w:rFonts w:ascii="Times New Roman" w:eastAsia="Times New Roman" w:hAnsi="Times New Roman" w:cs="Times New Roman"/>
                <w:b/>
                <w:bCs/>
                <w:sz w:val="24"/>
                <w:szCs w:val="24"/>
              </w:rPr>
            </w:pPr>
            <w:r w:rsidRPr="007E59F3">
              <w:rPr>
                <w:rFonts w:ascii="Times New Roman" w:eastAsia="Times New Roman" w:hAnsi="Times New Roman" w:cs="Times New Roman"/>
                <w:b/>
                <w:bCs/>
                <w:sz w:val="24"/>
                <w:szCs w:val="24"/>
              </w:rPr>
              <w:t>Abbreviation</w:t>
            </w:r>
          </w:p>
        </w:tc>
        <w:tc>
          <w:tcPr>
            <w:tcW w:w="0" w:type="auto"/>
            <w:vAlign w:val="center"/>
            <w:hideMark/>
          </w:tcPr>
          <w:p w:rsidR="007E59F3" w:rsidRPr="007E59F3" w:rsidRDefault="007E59F3" w:rsidP="007E59F3">
            <w:pPr>
              <w:spacing w:after="0" w:line="240" w:lineRule="auto"/>
              <w:jc w:val="center"/>
              <w:rPr>
                <w:rFonts w:ascii="Times New Roman" w:eastAsia="Times New Roman" w:hAnsi="Times New Roman" w:cs="Times New Roman"/>
                <w:b/>
                <w:bCs/>
                <w:sz w:val="24"/>
                <w:szCs w:val="24"/>
              </w:rPr>
            </w:pPr>
            <w:r w:rsidRPr="007E59F3">
              <w:rPr>
                <w:rFonts w:ascii="Times New Roman" w:eastAsia="Times New Roman" w:hAnsi="Times New Roman" w:cs="Times New Roman"/>
                <w:b/>
                <w:bCs/>
                <w:sz w:val="24"/>
                <w:szCs w:val="24"/>
              </w:rPr>
              <w:t>Full Form</w:t>
            </w:r>
          </w:p>
        </w:tc>
      </w:tr>
      <w:tr w:rsidR="007E59F3" w:rsidRPr="007E59F3" w:rsidTr="007E59F3">
        <w:trPr>
          <w:tblCellSpacing w:w="15" w:type="dxa"/>
        </w:trPr>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T. arjuna</w:t>
            </w:r>
          </w:p>
        </w:tc>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i/>
                <w:iCs/>
                <w:sz w:val="24"/>
                <w:szCs w:val="24"/>
              </w:rPr>
              <w:t>Terminalia arjuna</w:t>
            </w:r>
          </w:p>
        </w:tc>
      </w:tr>
      <w:tr w:rsidR="007E59F3" w:rsidRPr="007E59F3" w:rsidTr="007E59F3">
        <w:trPr>
          <w:tblCellSpacing w:w="15" w:type="dxa"/>
        </w:trPr>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FA</w:t>
            </w:r>
          </w:p>
        </w:tc>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Fly Ash</w:t>
            </w:r>
          </w:p>
        </w:tc>
      </w:tr>
      <w:tr w:rsidR="007E59F3" w:rsidRPr="007E59F3" w:rsidTr="007E59F3">
        <w:trPr>
          <w:tblCellSpacing w:w="15" w:type="dxa"/>
        </w:trPr>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GA3</w:t>
            </w:r>
          </w:p>
        </w:tc>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Gibberellic Acid</w:t>
            </w:r>
          </w:p>
        </w:tc>
      </w:tr>
      <w:tr w:rsidR="007E59F3" w:rsidRPr="007E59F3" w:rsidTr="007E59F3">
        <w:trPr>
          <w:tblCellSpacing w:w="15" w:type="dxa"/>
        </w:trPr>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NPK</w:t>
            </w:r>
          </w:p>
        </w:tc>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Nitrogen, Phosphorus, Potassium</w:t>
            </w:r>
          </w:p>
        </w:tc>
      </w:tr>
      <w:tr w:rsidR="007E59F3" w:rsidRPr="007E59F3" w:rsidTr="007E59F3">
        <w:trPr>
          <w:tblCellSpacing w:w="15" w:type="dxa"/>
        </w:trPr>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RH</w:t>
            </w:r>
          </w:p>
        </w:tc>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Relative Humidity</w:t>
            </w:r>
          </w:p>
        </w:tc>
      </w:tr>
      <w:tr w:rsidR="007E59F3" w:rsidRPr="007E59F3" w:rsidTr="007E59F3">
        <w:trPr>
          <w:tblCellSpacing w:w="15" w:type="dxa"/>
        </w:trPr>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DW</w:t>
            </w:r>
          </w:p>
        </w:tc>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Dry Weight</w:t>
            </w:r>
          </w:p>
        </w:tc>
      </w:tr>
      <w:tr w:rsidR="007E59F3" w:rsidRPr="007E59F3" w:rsidTr="007E59F3">
        <w:trPr>
          <w:tblCellSpacing w:w="15" w:type="dxa"/>
        </w:trPr>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PEG</w:t>
            </w:r>
          </w:p>
        </w:tc>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Polyethylene Glycol</w:t>
            </w:r>
          </w:p>
        </w:tc>
      </w:tr>
      <w:tr w:rsidR="007E59F3" w:rsidRPr="007E59F3" w:rsidTr="007E59F3">
        <w:trPr>
          <w:tblCellSpacing w:w="15" w:type="dxa"/>
        </w:trPr>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°C</w:t>
            </w:r>
          </w:p>
        </w:tc>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Degree Celsius</w:t>
            </w:r>
          </w:p>
        </w:tc>
      </w:tr>
      <w:tr w:rsidR="007E59F3" w:rsidRPr="007E59F3" w:rsidTr="007E59F3">
        <w:trPr>
          <w:tblCellSpacing w:w="15" w:type="dxa"/>
        </w:trPr>
        <w:tc>
          <w:tcPr>
            <w:tcW w:w="0" w:type="auto"/>
            <w:vAlign w:val="center"/>
            <w:hideMark/>
          </w:tcPr>
          <w:p w:rsidR="007E59F3" w:rsidRPr="007E59F3" w:rsidRDefault="00BA4810"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C</w:t>
            </w:r>
            <w:r w:rsidR="007E59F3" w:rsidRPr="007E59F3">
              <w:rPr>
                <w:rFonts w:ascii="Times New Roman" w:eastAsia="Times New Roman" w:hAnsi="Times New Roman" w:cs="Times New Roman"/>
                <w:sz w:val="24"/>
                <w:szCs w:val="24"/>
              </w:rPr>
              <w:t>m</w:t>
            </w:r>
          </w:p>
        </w:tc>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Centimeter</w:t>
            </w:r>
          </w:p>
        </w:tc>
      </w:tr>
      <w:tr w:rsidR="007E59F3" w:rsidRPr="007E59F3" w:rsidTr="007E59F3">
        <w:trPr>
          <w:tblCellSpacing w:w="15" w:type="dxa"/>
        </w:trPr>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ppm</w:t>
            </w:r>
          </w:p>
        </w:tc>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Parts Per Million</w:t>
            </w:r>
          </w:p>
        </w:tc>
      </w:tr>
      <w:tr w:rsidR="007E59F3" w:rsidRPr="007E59F3" w:rsidTr="007E59F3">
        <w:trPr>
          <w:tblCellSpacing w:w="15" w:type="dxa"/>
        </w:trPr>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mg/L</w:t>
            </w:r>
          </w:p>
        </w:tc>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Milligrams per Liter</w:t>
            </w:r>
          </w:p>
        </w:tc>
      </w:tr>
      <w:tr w:rsidR="007E59F3" w:rsidRPr="007E59F3" w:rsidTr="007E59F3">
        <w:trPr>
          <w:tblCellSpacing w:w="15" w:type="dxa"/>
        </w:trPr>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FYM</w:t>
            </w:r>
          </w:p>
        </w:tc>
        <w:tc>
          <w:tcPr>
            <w:tcW w:w="0" w:type="auto"/>
            <w:vAlign w:val="center"/>
            <w:hideMark/>
          </w:tcPr>
          <w:p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Farmyard Manure</w:t>
            </w:r>
          </w:p>
        </w:tc>
      </w:tr>
    </w:tbl>
    <w:p w:rsidR="007E59F3" w:rsidRDefault="007E59F3" w:rsidP="001A5044">
      <w:pPr>
        <w:spacing w:line="360" w:lineRule="auto"/>
        <w:jc w:val="both"/>
        <w:rPr>
          <w:rFonts w:ascii="Times New Roman" w:hAnsi="Times New Roman" w:cs="Times New Roman"/>
          <w:sz w:val="24"/>
        </w:rPr>
      </w:pPr>
    </w:p>
    <w:p w:rsidR="00707010" w:rsidRDefault="00707010" w:rsidP="001A5044">
      <w:pPr>
        <w:spacing w:line="360" w:lineRule="auto"/>
        <w:jc w:val="both"/>
        <w:rPr>
          <w:rFonts w:ascii="Times New Roman" w:hAnsi="Times New Roman" w:cs="Times New Roman"/>
          <w:sz w:val="24"/>
        </w:rPr>
      </w:pPr>
    </w:p>
    <w:p w:rsidR="00707010" w:rsidRPr="00346C4C" w:rsidRDefault="00707010" w:rsidP="00707010">
      <w:pPr>
        <w:rPr>
          <w:highlight w:val="yellow"/>
        </w:rPr>
      </w:pPr>
      <w:r w:rsidRPr="00346C4C">
        <w:rPr>
          <w:highlight w:val="yellow"/>
        </w:rPr>
        <w:lastRenderedPageBreak/>
        <w:t>Disclaimer (Artificial intelligence)</w:t>
      </w:r>
    </w:p>
    <w:p w:rsidR="00707010" w:rsidRPr="00346C4C" w:rsidRDefault="00707010" w:rsidP="00707010">
      <w:pPr>
        <w:rPr>
          <w:highlight w:val="yellow"/>
        </w:rPr>
      </w:pPr>
    </w:p>
    <w:p w:rsidR="00707010" w:rsidRPr="00651CF9" w:rsidRDefault="00707010" w:rsidP="00651CF9">
      <w:pPr>
        <w:jc w:val="both"/>
        <w:rPr>
          <w:rFonts w:ascii="Times New Roman" w:hAnsi="Times New Roman" w:cs="Times New Roman"/>
          <w:sz w:val="24"/>
          <w:szCs w:val="24"/>
        </w:rPr>
      </w:pPr>
      <w:r w:rsidRPr="00651CF9">
        <w:rPr>
          <w:rFonts w:ascii="Times New Roman" w:hAnsi="Times New Roman" w:cs="Times New Roman"/>
          <w:sz w:val="24"/>
          <w:szCs w:val="24"/>
        </w:rPr>
        <w:t>Author(s) hereby declare that NO generative AI technologies such as Large Language Models (</w:t>
      </w:r>
      <w:proofErr w:type="spellStart"/>
      <w:r w:rsidRPr="00651CF9">
        <w:rPr>
          <w:rFonts w:ascii="Times New Roman" w:hAnsi="Times New Roman" w:cs="Times New Roman"/>
          <w:sz w:val="24"/>
          <w:szCs w:val="24"/>
        </w:rPr>
        <w:t>ChatGPT</w:t>
      </w:r>
      <w:proofErr w:type="spellEnd"/>
      <w:r w:rsidRPr="00651CF9">
        <w:rPr>
          <w:rFonts w:ascii="Times New Roman" w:hAnsi="Times New Roman" w:cs="Times New Roman"/>
          <w:sz w:val="24"/>
          <w:szCs w:val="24"/>
        </w:rPr>
        <w:t xml:space="preserve">, COPILOT, etc.) and text-to-image generators have been used during the writing or editing of this manuscript. </w:t>
      </w:r>
    </w:p>
    <w:p w:rsidR="00707010" w:rsidRPr="00346C4C" w:rsidRDefault="00707010" w:rsidP="00707010">
      <w:pPr>
        <w:rPr>
          <w:highlight w:val="yellow"/>
        </w:rPr>
      </w:pPr>
    </w:p>
    <w:p w:rsidR="00707010" w:rsidRPr="007E59F3" w:rsidRDefault="00707010" w:rsidP="001A5044">
      <w:pPr>
        <w:spacing w:line="360" w:lineRule="auto"/>
        <w:jc w:val="both"/>
        <w:rPr>
          <w:rFonts w:ascii="Times New Roman" w:hAnsi="Times New Roman" w:cs="Times New Roman"/>
          <w:sz w:val="24"/>
        </w:rPr>
      </w:pPr>
    </w:p>
    <w:p w:rsidR="00057355" w:rsidRDefault="00057355" w:rsidP="00CF684D">
      <w:pPr>
        <w:spacing w:line="360" w:lineRule="auto"/>
        <w:jc w:val="both"/>
        <w:rPr>
          <w:rFonts w:ascii="Times New Roman" w:hAnsi="Times New Roman" w:cs="Times New Roman"/>
          <w:b/>
          <w:sz w:val="24"/>
        </w:rPr>
      </w:pPr>
    </w:p>
    <w:p w:rsidR="009F0D3A" w:rsidRPr="007E59F3" w:rsidRDefault="009F0D3A" w:rsidP="00CF684D">
      <w:pPr>
        <w:spacing w:line="360" w:lineRule="auto"/>
        <w:jc w:val="both"/>
        <w:rPr>
          <w:rFonts w:ascii="Times New Roman" w:hAnsi="Times New Roman" w:cs="Times New Roman"/>
          <w:b/>
          <w:sz w:val="24"/>
        </w:rPr>
      </w:pPr>
      <w:r w:rsidRPr="007E59F3">
        <w:rPr>
          <w:rFonts w:ascii="Times New Roman" w:hAnsi="Times New Roman" w:cs="Times New Roman"/>
          <w:b/>
          <w:sz w:val="24"/>
        </w:rPr>
        <w:t>REFERENCE:</w:t>
      </w:r>
    </w:p>
    <w:p w:rsidR="00213FA4" w:rsidRPr="007E59F3" w:rsidRDefault="00213FA4" w:rsidP="00CF684D">
      <w:pPr>
        <w:spacing w:line="360" w:lineRule="auto"/>
        <w:jc w:val="both"/>
        <w:rPr>
          <w:rFonts w:ascii="Times New Roman" w:hAnsi="Times New Roman" w:cs="Times New Roman"/>
          <w:sz w:val="24"/>
        </w:rPr>
      </w:pPr>
    </w:p>
    <w:p w:rsidR="000F1B1E" w:rsidRPr="007E59F3" w:rsidRDefault="000F1B1E"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Ahmad, M., et al. (2014). Impact of heavy metals on seed germination and plant growth. </w:t>
      </w:r>
      <w:r w:rsidRPr="007E59F3">
        <w:rPr>
          <w:rFonts w:ascii="Times New Roman" w:hAnsi="Times New Roman" w:cs="Times New Roman"/>
          <w:sz w:val="24"/>
        </w:rPr>
        <w:tab/>
        <w:t>Environmental Toxicology and Chemistry, 33(5), 1000–1008</w:t>
      </w:r>
    </w:p>
    <w:p w:rsidR="000F1B1E" w:rsidRDefault="000F1B1E" w:rsidP="00CF684D">
      <w:pPr>
        <w:spacing w:line="360" w:lineRule="auto"/>
        <w:jc w:val="both"/>
        <w:rPr>
          <w:rFonts w:ascii="Times New Roman" w:hAnsi="Times New Roman" w:cs="Times New Roman"/>
          <w:sz w:val="24"/>
        </w:rPr>
      </w:pPr>
      <w:proofErr w:type="spellStart"/>
      <w:r w:rsidRPr="000F1B1E">
        <w:rPr>
          <w:rFonts w:ascii="Times New Roman" w:hAnsi="Times New Roman" w:cs="Times New Roman"/>
          <w:sz w:val="24"/>
        </w:rPr>
        <w:t>Bargah</w:t>
      </w:r>
      <w:proofErr w:type="spellEnd"/>
      <w:r w:rsidRPr="000F1B1E">
        <w:rPr>
          <w:rFonts w:ascii="Times New Roman" w:hAnsi="Times New Roman" w:cs="Times New Roman"/>
          <w:sz w:val="24"/>
        </w:rPr>
        <w:t xml:space="preserve">, A. S., Pratap Toppo, D. L. S., </w:t>
      </w:r>
      <w:proofErr w:type="spellStart"/>
      <w:r w:rsidRPr="000F1B1E">
        <w:rPr>
          <w:rFonts w:ascii="Times New Roman" w:hAnsi="Times New Roman" w:cs="Times New Roman"/>
          <w:sz w:val="24"/>
        </w:rPr>
        <w:t>Tuteja</w:t>
      </w:r>
      <w:proofErr w:type="spellEnd"/>
      <w:r w:rsidRPr="000F1B1E">
        <w:rPr>
          <w:rFonts w:ascii="Times New Roman" w:hAnsi="Times New Roman" w:cs="Times New Roman"/>
          <w:sz w:val="24"/>
        </w:rPr>
        <w:t xml:space="preserve">, S. S., </w:t>
      </w:r>
      <w:proofErr w:type="spellStart"/>
      <w:r w:rsidRPr="000F1B1E">
        <w:rPr>
          <w:rFonts w:ascii="Times New Roman" w:hAnsi="Times New Roman" w:cs="Times New Roman"/>
          <w:sz w:val="24"/>
        </w:rPr>
        <w:t>Mankur</w:t>
      </w:r>
      <w:proofErr w:type="spellEnd"/>
      <w:r w:rsidRPr="000F1B1E">
        <w:rPr>
          <w:rFonts w:ascii="Times New Roman" w:hAnsi="Times New Roman" w:cs="Times New Roman"/>
          <w:sz w:val="24"/>
        </w:rPr>
        <w:t>, M. K., &amp;</w:t>
      </w:r>
      <w:proofErr w:type="spellStart"/>
      <w:r w:rsidRPr="000F1B1E">
        <w:rPr>
          <w:rFonts w:ascii="Times New Roman" w:hAnsi="Times New Roman" w:cs="Times New Roman"/>
          <w:sz w:val="24"/>
        </w:rPr>
        <w:t>PainkraandPankaj</w:t>
      </w:r>
      <w:proofErr w:type="spellEnd"/>
      <w:r w:rsidRPr="000F1B1E">
        <w:rPr>
          <w:rFonts w:ascii="Times New Roman" w:hAnsi="Times New Roman" w:cs="Times New Roman"/>
          <w:sz w:val="24"/>
        </w:rPr>
        <w:t xml:space="preserve">, D. S. </w:t>
      </w:r>
      <w:r>
        <w:rPr>
          <w:rFonts w:ascii="Times New Roman" w:hAnsi="Times New Roman" w:cs="Times New Roman"/>
          <w:sz w:val="24"/>
        </w:rPr>
        <w:tab/>
      </w:r>
      <w:r w:rsidRPr="000F1B1E">
        <w:rPr>
          <w:rFonts w:ascii="Times New Roman" w:hAnsi="Times New Roman" w:cs="Times New Roman"/>
          <w:sz w:val="24"/>
        </w:rPr>
        <w:t xml:space="preserve">Effect of nutrient management on growth performance of Geranium (Pelargonium </w:t>
      </w:r>
      <w:r>
        <w:rPr>
          <w:rFonts w:ascii="Times New Roman" w:hAnsi="Times New Roman" w:cs="Times New Roman"/>
          <w:sz w:val="24"/>
        </w:rPr>
        <w:tab/>
      </w:r>
      <w:proofErr w:type="spellStart"/>
      <w:r w:rsidRPr="000F1B1E">
        <w:rPr>
          <w:rFonts w:ascii="Times New Roman" w:hAnsi="Times New Roman" w:cs="Times New Roman"/>
          <w:sz w:val="24"/>
        </w:rPr>
        <w:t>graveolens</w:t>
      </w:r>
      <w:proofErr w:type="spellEnd"/>
      <w:r w:rsidRPr="000F1B1E">
        <w:rPr>
          <w:rFonts w:ascii="Times New Roman" w:hAnsi="Times New Roman" w:cs="Times New Roman"/>
          <w:sz w:val="24"/>
        </w:rPr>
        <w:t xml:space="preserve">) under </w:t>
      </w:r>
      <w:proofErr w:type="spellStart"/>
      <w:r w:rsidRPr="000F1B1E">
        <w:rPr>
          <w:rFonts w:ascii="Times New Roman" w:hAnsi="Times New Roman" w:cs="Times New Roman"/>
          <w:sz w:val="24"/>
        </w:rPr>
        <w:t>Karanj</w:t>
      </w:r>
      <w:proofErr w:type="spellEnd"/>
      <w:r w:rsidRPr="000F1B1E">
        <w:rPr>
          <w:rFonts w:ascii="Times New Roman" w:hAnsi="Times New Roman" w:cs="Times New Roman"/>
          <w:sz w:val="24"/>
        </w:rPr>
        <w:t xml:space="preserve"> (</w:t>
      </w:r>
      <w:proofErr w:type="spellStart"/>
      <w:r w:rsidRPr="000F1B1E">
        <w:rPr>
          <w:rFonts w:ascii="Times New Roman" w:hAnsi="Times New Roman" w:cs="Times New Roman"/>
          <w:sz w:val="24"/>
        </w:rPr>
        <w:t>Pongamiapinnata</w:t>
      </w:r>
      <w:proofErr w:type="spellEnd"/>
      <w:r w:rsidRPr="000F1B1E">
        <w:rPr>
          <w:rFonts w:ascii="Times New Roman" w:hAnsi="Times New Roman" w:cs="Times New Roman"/>
          <w:sz w:val="24"/>
        </w:rPr>
        <w:t xml:space="preserve">) based agroforestry system in Chhattisgarh </w:t>
      </w:r>
      <w:r>
        <w:rPr>
          <w:rFonts w:ascii="Times New Roman" w:hAnsi="Times New Roman" w:cs="Times New Roman"/>
          <w:sz w:val="24"/>
        </w:rPr>
        <w:tab/>
      </w:r>
      <w:r w:rsidRPr="000F1B1E">
        <w:rPr>
          <w:rFonts w:ascii="Times New Roman" w:hAnsi="Times New Roman" w:cs="Times New Roman"/>
          <w:sz w:val="24"/>
        </w:rPr>
        <w:t>plain.</w:t>
      </w:r>
    </w:p>
    <w:p w:rsidR="000F1B1E" w:rsidRPr="007E59F3" w:rsidRDefault="000F1B1E" w:rsidP="00CF684D">
      <w:pPr>
        <w:spacing w:line="360" w:lineRule="auto"/>
        <w:jc w:val="both"/>
        <w:rPr>
          <w:rFonts w:ascii="Times New Roman" w:hAnsi="Times New Roman" w:cs="Times New Roman"/>
          <w:sz w:val="24"/>
        </w:rPr>
      </w:pPr>
      <w:proofErr w:type="spellStart"/>
      <w:r w:rsidRPr="007E59F3">
        <w:rPr>
          <w:rFonts w:ascii="Times New Roman" w:hAnsi="Times New Roman" w:cs="Times New Roman"/>
          <w:sz w:val="24"/>
        </w:rPr>
        <w:t>Bargah</w:t>
      </w:r>
      <w:proofErr w:type="spellEnd"/>
      <w:r w:rsidRPr="007E59F3">
        <w:rPr>
          <w:rFonts w:ascii="Times New Roman" w:hAnsi="Times New Roman" w:cs="Times New Roman"/>
          <w:sz w:val="24"/>
        </w:rPr>
        <w:t xml:space="preserve">, A. S., Sharma, D., Kumar, R., Nag, R., &amp; Pradhan, R. (2025). Enhancing Germination </w:t>
      </w:r>
      <w:r w:rsidRPr="007E59F3">
        <w:rPr>
          <w:rFonts w:ascii="Times New Roman" w:hAnsi="Times New Roman" w:cs="Times New Roman"/>
          <w:sz w:val="24"/>
        </w:rPr>
        <w:tab/>
        <w:t xml:space="preserve">of Forest Tree Seeds in Chhattisgarh through PGR-Based Treatments: A Review. Journal </w:t>
      </w:r>
      <w:r w:rsidRPr="007E59F3">
        <w:rPr>
          <w:rFonts w:ascii="Times New Roman" w:hAnsi="Times New Roman" w:cs="Times New Roman"/>
          <w:sz w:val="24"/>
        </w:rPr>
        <w:tab/>
        <w:t>of Advances in Biology &amp; Biotechnology, 28(7), 851-863.</w:t>
      </w:r>
    </w:p>
    <w:p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Baskin, C. C., &amp; Baskin, J. M. (2004). Seeds: Ecology, biogeography, and evolution of </w:t>
      </w:r>
      <w:r w:rsidRPr="007E59F3">
        <w:rPr>
          <w:rFonts w:ascii="Times New Roman" w:hAnsi="Times New Roman" w:cs="Times New Roman"/>
          <w:sz w:val="24"/>
        </w:rPr>
        <w:tab/>
        <w:t>dormancy and germination</w:t>
      </w:r>
    </w:p>
    <w:p w:rsidR="000F1B1E" w:rsidRDefault="000F1B1E" w:rsidP="00CF684D">
      <w:pPr>
        <w:spacing w:line="360" w:lineRule="auto"/>
        <w:jc w:val="both"/>
        <w:rPr>
          <w:rFonts w:ascii="Times New Roman" w:hAnsi="Times New Roman" w:cs="Times New Roman"/>
          <w:sz w:val="24"/>
        </w:rPr>
      </w:pPr>
      <w:r w:rsidRPr="00213FA4">
        <w:rPr>
          <w:rFonts w:ascii="Times New Roman" w:hAnsi="Times New Roman" w:cs="Times New Roman"/>
          <w:sz w:val="24"/>
        </w:rPr>
        <w:t xml:space="preserve">Bewley, J. D., &amp; Black, M. (1994). Dormancy and the control of germination. In Seeds: </w:t>
      </w:r>
      <w:r>
        <w:rPr>
          <w:rFonts w:ascii="Times New Roman" w:hAnsi="Times New Roman" w:cs="Times New Roman"/>
          <w:sz w:val="24"/>
        </w:rPr>
        <w:tab/>
      </w:r>
      <w:r w:rsidRPr="00213FA4">
        <w:rPr>
          <w:rFonts w:ascii="Times New Roman" w:hAnsi="Times New Roman" w:cs="Times New Roman"/>
          <w:sz w:val="24"/>
        </w:rPr>
        <w:t>physiology of development and germination (pp. 199-271). Boston, MA: Springer US.</w:t>
      </w:r>
    </w:p>
    <w:p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t xml:space="preserve">Biswas, S., Ghosh, A., &amp; Roy, M. (2011). Influence of temperature and light on seed </w:t>
      </w:r>
      <w:r w:rsidRPr="007E59F3">
        <w:rPr>
          <w:rFonts w:ascii="Times New Roman" w:hAnsi="Times New Roman" w:cs="Times New Roman"/>
          <w:sz w:val="24"/>
        </w:rPr>
        <w:tab/>
        <w:t xml:space="preserve">germination and seedling growth in some multipurpose tree species. Journal of Tropical </w:t>
      </w:r>
      <w:r w:rsidRPr="007E59F3">
        <w:rPr>
          <w:rFonts w:ascii="Times New Roman" w:hAnsi="Times New Roman" w:cs="Times New Roman"/>
          <w:sz w:val="24"/>
        </w:rPr>
        <w:tab/>
        <w:t>Forest Science, 23(2), 175–181.</w:t>
      </w:r>
    </w:p>
    <w:p w:rsidR="000F1B1E" w:rsidRDefault="000F1B1E" w:rsidP="00CF684D">
      <w:pPr>
        <w:spacing w:line="360" w:lineRule="auto"/>
        <w:jc w:val="both"/>
        <w:rPr>
          <w:rFonts w:ascii="Times New Roman" w:hAnsi="Times New Roman" w:cs="Times New Roman"/>
          <w:sz w:val="24"/>
        </w:rPr>
      </w:pPr>
      <w:r w:rsidRPr="00213FA4">
        <w:rPr>
          <w:rFonts w:ascii="Times New Roman" w:hAnsi="Times New Roman" w:cs="Times New Roman"/>
          <w:sz w:val="24"/>
        </w:rPr>
        <w:lastRenderedPageBreak/>
        <w:t xml:space="preserve">Bradford, M. J. (1995). Comparative review of Pacific salmon survival rates. Canadian Journal </w:t>
      </w:r>
      <w:r>
        <w:rPr>
          <w:rFonts w:ascii="Times New Roman" w:hAnsi="Times New Roman" w:cs="Times New Roman"/>
          <w:sz w:val="24"/>
        </w:rPr>
        <w:tab/>
      </w:r>
      <w:r w:rsidRPr="00213FA4">
        <w:rPr>
          <w:rFonts w:ascii="Times New Roman" w:hAnsi="Times New Roman" w:cs="Times New Roman"/>
          <w:sz w:val="24"/>
        </w:rPr>
        <w:t>of Fisheries and Aquatic Sciences, 52(6), 1327-1338.</w:t>
      </w:r>
    </w:p>
    <w:p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Chandra, R., et al. (2021b). Seed germination and growth dynamics of </w:t>
      </w:r>
      <w:r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under </w:t>
      </w:r>
      <w:r w:rsidRPr="007E59F3">
        <w:rPr>
          <w:rFonts w:ascii="Times New Roman" w:hAnsi="Times New Roman" w:cs="Times New Roman"/>
          <w:sz w:val="24"/>
        </w:rPr>
        <w:tab/>
        <w:t xml:space="preserve">environmental stress. Forest Ecology and Management, 489, 119057. </w:t>
      </w:r>
    </w:p>
    <w:p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t xml:space="preserve">Chandra, R., Yadav, S., &amp; Srivastava, R. K. (2021a). Application of fly ash in forestry: </w:t>
      </w:r>
      <w:r w:rsidRPr="007E59F3">
        <w:rPr>
          <w:rFonts w:ascii="Times New Roman" w:hAnsi="Times New Roman" w:cs="Times New Roman"/>
          <w:sz w:val="24"/>
        </w:rPr>
        <w:tab/>
        <w:t xml:space="preserve">Implications for sustainable soil and plant health. Environmental Science and Pollution </w:t>
      </w:r>
      <w:r w:rsidRPr="007E59F3">
        <w:rPr>
          <w:rFonts w:ascii="Times New Roman" w:hAnsi="Times New Roman" w:cs="Times New Roman"/>
          <w:sz w:val="24"/>
        </w:rPr>
        <w:tab/>
        <w:t>Research, 28(3), 3267–3281. https://doi.org/10.1007/s11356-020-10758-2</w:t>
      </w:r>
    </w:p>
    <w:p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Chandrashekar, V., et al. (2013). Propagation and seed dormancy in Terminalia arjuna. Indian </w:t>
      </w:r>
      <w:r w:rsidRPr="007E59F3">
        <w:rPr>
          <w:rFonts w:ascii="Times New Roman" w:hAnsi="Times New Roman" w:cs="Times New Roman"/>
          <w:sz w:val="24"/>
        </w:rPr>
        <w:tab/>
        <w:t>Forester, 139(10), 978–985.</w:t>
      </w:r>
    </w:p>
    <w:p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t xml:space="preserve">Chandrashekar, V., Prakash, B. G., &amp; Ramesh, S. (2013). Studies on seed dormancy and </w:t>
      </w:r>
      <w:r w:rsidRPr="007E59F3">
        <w:rPr>
          <w:rFonts w:ascii="Times New Roman" w:hAnsi="Times New Roman" w:cs="Times New Roman"/>
          <w:sz w:val="24"/>
        </w:rPr>
        <w:tab/>
        <w:t xml:space="preserve">germination in </w:t>
      </w:r>
      <w:r w:rsidRPr="00925E1A">
        <w:rPr>
          <w:rFonts w:ascii="Times New Roman" w:hAnsi="Times New Roman" w:cs="Times New Roman"/>
          <w:i/>
          <w:sz w:val="24"/>
        </w:rPr>
        <w:t xml:space="preserve">Terminalia </w:t>
      </w:r>
      <w:proofErr w:type="gramStart"/>
      <w:r w:rsidRPr="00925E1A">
        <w:rPr>
          <w:rFonts w:ascii="Times New Roman" w:hAnsi="Times New Roman" w:cs="Times New Roman"/>
          <w:i/>
          <w:sz w:val="24"/>
        </w:rPr>
        <w:t>arjuna</w:t>
      </w:r>
      <w:r w:rsidRPr="007E59F3">
        <w:rPr>
          <w:rFonts w:ascii="Times New Roman" w:hAnsi="Times New Roman" w:cs="Times New Roman"/>
          <w:sz w:val="24"/>
        </w:rPr>
        <w:t>(</w:t>
      </w:r>
      <w:proofErr w:type="spellStart"/>
      <w:proofErr w:type="gramEnd"/>
      <w:r w:rsidRPr="007E59F3">
        <w:rPr>
          <w:rFonts w:ascii="Times New Roman" w:hAnsi="Times New Roman" w:cs="Times New Roman"/>
          <w:sz w:val="24"/>
        </w:rPr>
        <w:t>Roxb</w:t>
      </w:r>
      <w:proofErr w:type="spellEnd"/>
      <w:r w:rsidRPr="007E59F3">
        <w:rPr>
          <w:rFonts w:ascii="Times New Roman" w:hAnsi="Times New Roman" w:cs="Times New Roman"/>
          <w:sz w:val="24"/>
        </w:rPr>
        <w:t xml:space="preserve">.) Wight &amp; </w:t>
      </w:r>
      <w:proofErr w:type="spellStart"/>
      <w:r w:rsidRPr="007E59F3">
        <w:rPr>
          <w:rFonts w:ascii="Times New Roman" w:hAnsi="Times New Roman" w:cs="Times New Roman"/>
          <w:sz w:val="24"/>
        </w:rPr>
        <w:t>Arn</w:t>
      </w:r>
      <w:proofErr w:type="spellEnd"/>
      <w:r w:rsidRPr="007E59F3">
        <w:rPr>
          <w:rFonts w:ascii="Times New Roman" w:hAnsi="Times New Roman" w:cs="Times New Roman"/>
          <w:sz w:val="24"/>
        </w:rPr>
        <w:t>. Indian Forester, 139(10), 978–</w:t>
      </w:r>
      <w:r w:rsidRPr="007E59F3">
        <w:rPr>
          <w:rFonts w:ascii="Times New Roman" w:hAnsi="Times New Roman" w:cs="Times New Roman"/>
          <w:sz w:val="24"/>
        </w:rPr>
        <w:tab/>
        <w:t>985.</w:t>
      </w:r>
    </w:p>
    <w:p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Dutta, P. (1995). </w:t>
      </w:r>
      <w:proofErr w:type="spellStart"/>
      <w:r w:rsidRPr="007E59F3">
        <w:rPr>
          <w:rFonts w:ascii="Times New Roman" w:hAnsi="Times New Roman" w:cs="Times New Roman"/>
          <w:sz w:val="24"/>
        </w:rPr>
        <w:t>Tasar</w:t>
      </w:r>
      <w:proofErr w:type="spellEnd"/>
      <w:r w:rsidRPr="007E59F3">
        <w:rPr>
          <w:rFonts w:ascii="Times New Roman" w:hAnsi="Times New Roman" w:cs="Times New Roman"/>
          <w:sz w:val="24"/>
        </w:rPr>
        <w:t xml:space="preserve"> silkworm and host plant relationships. </w:t>
      </w:r>
      <w:proofErr w:type="spellStart"/>
      <w:r w:rsidRPr="007E59F3">
        <w:rPr>
          <w:rFonts w:ascii="Times New Roman" w:hAnsi="Times New Roman" w:cs="Times New Roman"/>
          <w:sz w:val="24"/>
        </w:rPr>
        <w:t>Sericultural</w:t>
      </w:r>
      <w:proofErr w:type="spellEnd"/>
      <w:r w:rsidRPr="007E59F3">
        <w:rPr>
          <w:rFonts w:ascii="Times New Roman" w:hAnsi="Times New Roman" w:cs="Times New Roman"/>
          <w:sz w:val="24"/>
        </w:rPr>
        <w:t xml:space="preserve"> Journal, 12(3), 45-52.</w:t>
      </w:r>
    </w:p>
    <w:p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t xml:space="preserve">Dwivedi, S. K., &amp; Jain, N. (2014). Effect of heavy metals on seed germination and seedling </w:t>
      </w:r>
      <w:r w:rsidRPr="007E59F3">
        <w:rPr>
          <w:rFonts w:ascii="Times New Roman" w:hAnsi="Times New Roman" w:cs="Times New Roman"/>
          <w:sz w:val="24"/>
        </w:rPr>
        <w:tab/>
        <w:t>growth: A review. International Journal of Environmental Sciences, 5(1), 89–96.</w:t>
      </w:r>
    </w:p>
    <w:p w:rsidR="000F1B1E" w:rsidRDefault="000F1B1E" w:rsidP="00CF684D">
      <w:pPr>
        <w:spacing w:line="360" w:lineRule="auto"/>
        <w:jc w:val="both"/>
        <w:rPr>
          <w:rFonts w:ascii="Times New Roman" w:hAnsi="Times New Roman" w:cs="Times New Roman"/>
          <w:sz w:val="24"/>
        </w:rPr>
      </w:pPr>
      <w:r w:rsidRPr="00213FA4">
        <w:rPr>
          <w:rFonts w:ascii="Times New Roman" w:hAnsi="Times New Roman" w:cs="Times New Roman"/>
          <w:sz w:val="24"/>
        </w:rPr>
        <w:t xml:space="preserve">Harlan, J. R., &amp; de Wet, J. M. (1971). Toward a rational classification of cultivated plants. </w:t>
      </w:r>
      <w:r>
        <w:rPr>
          <w:rFonts w:ascii="Times New Roman" w:hAnsi="Times New Roman" w:cs="Times New Roman"/>
          <w:sz w:val="24"/>
        </w:rPr>
        <w:tab/>
      </w:r>
      <w:r w:rsidRPr="00213FA4">
        <w:rPr>
          <w:rFonts w:ascii="Times New Roman" w:hAnsi="Times New Roman" w:cs="Times New Roman"/>
          <w:sz w:val="24"/>
        </w:rPr>
        <w:t>Taxon, 20(4), 509-517.</w:t>
      </w:r>
    </w:p>
    <w:p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Kaur, R., &amp; Goyal, D. (2015). Fly ash utilization in forestry: a review. International Journal of </w:t>
      </w:r>
      <w:r w:rsidRPr="007E59F3">
        <w:rPr>
          <w:rFonts w:ascii="Times New Roman" w:hAnsi="Times New Roman" w:cs="Times New Roman"/>
          <w:sz w:val="24"/>
        </w:rPr>
        <w:tab/>
        <w:t>Forestry Research, 2015, Article ID 783462.</w:t>
      </w:r>
    </w:p>
    <w:p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t xml:space="preserve">Kumar, A., &amp; Prabhakar, S. (1987). Ecology and distribution of </w:t>
      </w:r>
      <w:r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in tropical </w:t>
      </w:r>
      <w:r w:rsidRPr="007E59F3">
        <w:rPr>
          <w:rFonts w:ascii="Times New Roman" w:hAnsi="Times New Roman" w:cs="Times New Roman"/>
          <w:sz w:val="24"/>
        </w:rPr>
        <w:tab/>
        <w:t>India. Tropical Ecology, 28(2), 170–175.</w:t>
      </w:r>
    </w:p>
    <w:p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Kumar, S., et al. (2023). Environmental factors affecting seed germination of Terminalia arjuna. </w:t>
      </w:r>
      <w:r w:rsidRPr="007E59F3">
        <w:rPr>
          <w:rFonts w:ascii="Times New Roman" w:hAnsi="Times New Roman" w:cs="Times New Roman"/>
          <w:sz w:val="24"/>
        </w:rPr>
        <w:tab/>
        <w:t>Plant Biology, 25(4), 567–574.</w:t>
      </w:r>
    </w:p>
    <w:p w:rsidR="000F1B1E" w:rsidRDefault="000F1B1E" w:rsidP="00CF684D">
      <w:pPr>
        <w:spacing w:line="360" w:lineRule="auto"/>
        <w:jc w:val="both"/>
        <w:rPr>
          <w:rFonts w:ascii="Times New Roman" w:hAnsi="Times New Roman" w:cs="Times New Roman"/>
          <w:sz w:val="24"/>
        </w:rPr>
      </w:pPr>
      <w:r w:rsidRPr="00253BFF">
        <w:rPr>
          <w:rFonts w:ascii="Times New Roman" w:hAnsi="Times New Roman" w:cs="Times New Roman"/>
          <w:sz w:val="24"/>
        </w:rPr>
        <w:t xml:space="preserve"> </w:t>
      </w:r>
      <w:proofErr w:type="spellStart"/>
      <w:r w:rsidRPr="00253BFF">
        <w:rPr>
          <w:rFonts w:ascii="Times New Roman" w:hAnsi="Times New Roman" w:cs="Times New Roman"/>
          <w:sz w:val="24"/>
        </w:rPr>
        <w:t>Minj</w:t>
      </w:r>
      <w:proofErr w:type="spellEnd"/>
      <w:r w:rsidRPr="00253BFF">
        <w:rPr>
          <w:rFonts w:ascii="Times New Roman" w:hAnsi="Times New Roman" w:cs="Times New Roman"/>
          <w:sz w:val="24"/>
        </w:rPr>
        <w:t xml:space="preserve">, N., Toppo, P., </w:t>
      </w:r>
      <w:proofErr w:type="spellStart"/>
      <w:r w:rsidRPr="00253BFF">
        <w:rPr>
          <w:rFonts w:ascii="Times New Roman" w:hAnsi="Times New Roman" w:cs="Times New Roman"/>
          <w:sz w:val="24"/>
        </w:rPr>
        <w:t>Tuteja</w:t>
      </w:r>
      <w:proofErr w:type="spellEnd"/>
      <w:r w:rsidRPr="00253BFF">
        <w:rPr>
          <w:rFonts w:ascii="Times New Roman" w:hAnsi="Times New Roman" w:cs="Times New Roman"/>
          <w:sz w:val="24"/>
        </w:rPr>
        <w:t xml:space="preserve">, S. S., Singh, L., </w:t>
      </w:r>
      <w:proofErr w:type="spellStart"/>
      <w:r w:rsidRPr="00253BFF">
        <w:rPr>
          <w:rFonts w:ascii="Times New Roman" w:hAnsi="Times New Roman" w:cs="Times New Roman"/>
          <w:sz w:val="24"/>
        </w:rPr>
        <w:t>Mankur</w:t>
      </w:r>
      <w:proofErr w:type="spellEnd"/>
      <w:r w:rsidRPr="00253BFF">
        <w:rPr>
          <w:rFonts w:ascii="Times New Roman" w:hAnsi="Times New Roman" w:cs="Times New Roman"/>
          <w:sz w:val="24"/>
        </w:rPr>
        <w:t xml:space="preserve">, M. K., </w:t>
      </w:r>
      <w:proofErr w:type="spellStart"/>
      <w:r w:rsidRPr="00253BFF">
        <w:rPr>
          <w:rFonts w:ascii="Times New Roman" w:hAnsi="Times New Roman" w:cs="Times New Roman"/>
          <w:sz w:val="24"/>
        </w:rPr>
        <w:t>Bargah</w:t>
      </w:r>
      <w:proofErr w:type="spellEnd"/>
      <w:r w:rsidRPr="00253BFF">
        <w:rPr>
          <w:rFonts w:ascii="Times New Roman" w:hAnsi="Times New Roman" w:cs="Times New Roman"/>
          <w:sz w:val="24"/>
        </w:rPr>
        <w:t xml:space="preserve">, A. S., &amp; Verma, S. Effect </w:t>
      </w:r>
      <w:r>
        <w:rPr>
          <w:rFonts w:ascii="Times New Roman" w:hAnsi="Times New Roman" w:cs="Times New Roman"/>
          <w:sz w:val="24"/>
        </w:rPr>
        <w:tab/>
      </w:r>
      <w:r w:rsidRPr="00253BFF">
        <w:rPr>
          <w:rFonts w:ascii="Times New Roman" w:hAnsi="Times New Roman" w:cs="Times New Roman"/>
          <w:sz w:val="24"/>
        </w:rPr>
        <w:t xml:space="preserve">of Different Potting Media on Seeds Germination &amp; Growth of </w:t>
      </w:r>
      <w:proofErr w:type="spellStart"/>
      <w:r w:rsidRPr="00253BFF">
        <w:rPr>
          <w:rFonts w:ascii="Times New Roman" w:hAnsi="Times New Roman" w:cs="Times New Roman"/>
          <w:sz w:val="24"/>
        </w:rPr>
        <w:t>Dahiman</w:t>
      </w:r>
      <w:proofErr w:type="spellEnd"/>
      <w:r w:rsidRPr="00253BFF">
        <w:rPr>
          <w:rFonts w:ascii="Times New Roman" w:hAnsi="Times New Roman" w:cs="Times New Roman"/>
          <w:sz w:val="24"/>
        </w:rPr>
        <w:t xml:space="preserve"> (Cordia</w:t>
      </w:r>
      <w:r>
        <w:rPr>
          <w:rFonts w:ascii="Times New Roman" w:hAnsi="Times New Roman" w:cs="Times New Roman"/>
          <w:sz w:val="24"/>
        </w:rPr>
        <w:tab/>
      </w:r>
      <w:proofErr w:type="spellStart"/>
      <w:r w:rsidRPr="00253BFF">
        <w:rPr>
          <w:rFonts w:ascii="Times New Roman" w:hAnsi="Times New Roman" w:cs="Times New Roman"/>
          <w:sz w:val="24"/>
        </w:rPr>
        <w:t>macleodii</w:t>
      </w:r>
      <w:proofErr w:type="spellEnd"/>
      <w:r w:rsidRPr="00253BFF">
        <w:rPr>
          <w:rFonts w:ascii="Times New Roman" w:hAnsi="Times New Roman" w:cs="Times New Roman"/>
          <w:sz w:val="24"/>
        </w:rPr>
        <w:t xml:space="preserve"> Hook.) in Nursery.</w:t>
      </w:r>
    </w:p>
    <w:p w:rsidR="000F1B1E" w:rsidRDefault="000F1B1E" w:rsidP="00CF684D">
      <w:pPr>
        <w:spacing w:line="360" w:lineRule="auto"/>
        <w:jc w:val="both"/>
        <w:rPr>
          <w:rFonts w:ascii="Times New Roman" w:hAnsi="Times New Roman" w:cs="Times New Roman"/>
          <w:sz w:val="24"/>
        </w:rPr>
      </w:pPr>
      <w:r w:rsidRPr="00213FA4">
        <w:rPr>
          <w:rFonts w:ascii="Times New Roman" w:hAnsi="Times New Roman" w:cs="Times New Roman"/>
          <w:sz w:val="24"/>
        </w:rPr>
        <w:lastRenderedPageBreak/>
        <w:t xml:space="preserve">Niemi, G. J., &amp; McDonald, M. E. (2004). Application of ecological indicators. </w:t>
      </w:r>
      <w:proofErr w:type="spellStart"/>
      <w:r w:rsidRPr="00213FA4">
        <w:rPr>
          <w:rFonts w:ascii="Times New Roman" w:hAnsi="Times New Roman" w:cs="Times New Roman"/>
          <w:sz w:val="24"/>
        </w:rPr>
        <w:t>Annu</w:t>
      </w:r>
      <w:proofErr w:type="spellEnd"/>
      <w:r w:rsidRPr="00213FA4">
        <w:rPr>
          <w:rFonts w:ascii="Times New Roman" w:hAnsi="Times New Roman" w:cs="Times New Roman"/>
          <w:sz w:val="24"/>
        </w:rPr>
        <w:t xml:space="preserve">. Rev. Ecol. </w:t>
      </w:r>
      <w:r>
        <w:rPr>
          <w:rFonts w:ascii="Times New Roman" w:hAnsi="Times New Roman" w:cs="Times New Roman"/>
          <w:sz w:val="24"/>
        </w:rPr>
        <w:tab/>
      </w:r>
      <w:proofErr w:type="spellStart"/>
      <w:r w:rsidRPr="00213FA4">
        <w:rPr>
          <w:rFonts w:ascii="Times New Roman" w:hAnsi="Times New Roman" w:cs="Times New Roman"/>
          <w:sz w:val="24"/>
        </w:rPr>
        <w:t>Evol</w:t>
      </w:r>
      <w:proofErr w:type="spellEnd"/>
      <w:r w:rsidRPr="00213FA4">
        <w:rPr>
          <w:rFonts w:ascii="Times New Roman" w:hAnsi="Times New Roman" w:cs="Times New Roman"/>
          <w:sz w:val="24"/>
        </w:rPr>
        <w:t>. Syst., 35(1), 89-111.</w:t>
      </w:r>
    </w:p>
    <w:p w:rsidR="000F1B1E" w:rsidRPr="007E59F3" w:rsidRDefault="000F1B1E" w:rsidP="00CF684D">
      <w:pPr>
        <w:spacing w:line="360" w:lineRule="auto"/>
        <w:jc w:val="both"/>
        <w:rPr>
          <w:rFonts w:ascii="Times New Roman" w:hAnsi="Times New Roman" w:cs="Times New Roman"/>
          <w:sz w:val="24"/>
        </w:rPr>
      </w:pPr>
      <w:proofErr w:type="spellStart"/>
      <w:r w:rsidRPr="007E59F3">
        <w:rPr>
          <w:rFonts w:ascii="Times New Roman" w:hAnsi="Times New Roman" w:cs="Times New Roman"/>
          <w:sz w:val="24"/>
        </w:rPr>
        <w:t>Orwa</w:t>
      </w:r>
      <w:proofErr w:type="spellEnd"/>
      <w:r w:rsidRPr="007E59F3">
        <w:rPr>
          <w:rFonts w:ascii="Times New Roman" w:hAnsi="Times New Roman" w:cs="Times New Roman"/>
          <w:sz w:val="24"/>
        </w:rPr>
        <w:t xml:space="preserve">, C., Mutua, A., </w:t>
      </w:r>
      <w:proofErr w:type="spellStart"/>
      <w:r w:rsidRPr="007E59F3">
        <w:rPr>
          <w:rFonts w:ascii="Times New Roman" w:hAnsi="Times New Roman" w:cs="Times New Roman"/>
          <w:sz w:val="24"/>
        </w:rPr>
        <w:t>Kindt</w:t>
      </w:r>
      <w:proofErr w:type="spellEnd"/>
      <w:r w:rsidRPr="007E59F3">
        <w:rPr>
          <w:rFonts w:ascii="Times New Roman" w:hAnsi="Times New Roman" w:cs="Times New Roman"/>
          <w:sz w:val="24"/>
        </w:rPr>
        <w:t xml:space="preserve">, R., </w:t>
      </w:r>
      <w:proofErr w:type="spellStart"/>
      <w:r w:rsidRPr="007E59F3">
        <w:rPr>
          <w:rFonts w:ascii="Times New Roman" w:hAnsi="Times New Roman" w:cs="Times New Roman"/>
          <w:sz w:val="24"/>
        </w:rPr>
        <w:t>Jamnadass</w:t>
      </w:r>
      <w:proofErr w:type="spellEnd"/>
      <w:r w:rsidRPr="007E59F3">
        <w:rPr>
          <w:rFonts w:ascii="Times New Roman" w:hAnsi="Times New Roman" w:cs="Times New Roman"/>
          <w:sz w:val="24"/>
        </w:rPr>
        <w:t xml:space="preserve">, R., &amp; Simons, A. (2009). </w:t>
      </w:r>
      <w:proofErr w:type="spellStart"/>
      <w:r w:rsidRPr="007E59F3">
        <w:rPr>
          <w:rFonts w:ascii="Times New Roman" w:hAnsi="Times New Roman" w:cs="Times New Roman"/>
          <w:sz w:val="24"/>
        </w:rPr>
        <w:t>Agroforestree</w:t>
      </w:r>
      <w:proofErr w:type="spellEnd"/>
      <w:r w:rsidRPr="007E59F3">
        <w:rPr>
          <w:rFonts w:ascii="Times New Roman" w:hAnsi="Times New Roman" w:cs="Times New Roman"/>
          <w:sz w:val="24"/>
        </w:rPr>
        <w:t xml:space="preserve"> database: A </w:t>
      </w:r>
      <w:r w:rsidRPr="007E59F3">
        <w:rPr>
          <w:rFonts w:ascii="Times New Roman" w:hAnsi="Times New Roman" w:cs="Times New Roman"/>
          <w:sz w:val="24"/>
        </w:rPr>
        <w:tab/>
        <w:t xml:space="preserve">tree reference and selection guide version 4.0. World Agroforestry Centre (ICRAF), </w:t>
      </w:r>
      <w:r w:rsidRPr="007E59F3">
        <w:rPr>
          <w:rFonts w:ascii="Times New Roman" w:hAnsi="Times New Roman" w:cs="Times New Roman"/>
          <w:sz w:val="24"/>
        </w:rPr>
        <w:tab/>
        <w:t>Nairobi, Kenya. Retrieved from https://www.worldagroforestry.org/</w:t>
      </w:r>
    </w:p>
    <w:p w:rsidR="000F1B1E" w:rsidRPr="007E59F3" w:rsidRDefault="000F1B1E" w:rsidP="00CF684D">
      <w:pPr>
        <w:spacing w:line="360" w:lineRule="auto"/>
        <w:jc w:val="both"/>
        <w:rPr>
          <w:rFonts w:ascii="Times New Roman" w:hAnsi="Times New Roman" w:cs="Times New Roman"/>
          <w:sz w:val="24"/>
        </w:rPr>
      </w:pPr>
      <w:proofErr w:type="spellStart"/>
      <w:r w:rsidRPr="007E59F3">
        <w:rPr>
          <w:rFonts w:ascii="Times New Roman" w:hAnsi="Times New Roman" w:cs="Times New Roman"/>
          <w:sz w:val="24"/>
        </w:rPr>
        <w:t>Phani</w:t>
      </w:r>
      <w:proofErr w:type="spellEnd"/>
      <w:r w:rsidRPr="007E59F3">
        <w:rPr>
          <w:rFonts w:ascii="Times New Roman" w:hAnsi="Times New Roman" w:cs="Times New Roman"/>
          <w:sz w:val="24"/>
        </w:rPr>
        <w:t xml:space="preserve">, R. S., et al. (2013). Therapeutic potential of </w:t>
      </w:r>
      <w:r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in cardiovascular diseases. </w:t>
      </w:r>
      <w:r w:rsidRPr="007E59F3">
        <w:rPr>
          <w:rFonts w:ascii="Times New Roman" w:hAnsi="Times New Roman" w:cs="Times New Roman"/>
          <w:sz w:val="24"/>
        </w:rPr>
        <w:tab/>
        <w:t>Journal of Ethnopharmacology, 146(1), 91–100.</w:t>
      </w:r>
    </w:p>
    <w:p w:rsidR="000F1B1E" w:rsidRDefault="000F1B1E" w:rsidP="00CF684D">
      <w:pPr>
        <w:spacing w:line="360" w:lineRule="auto"/>
        <w:jc w:val="both"/>
        <w:rPr>
          <w:rFonts w:ascii="Times New Roman" w:hAnsi="Times New Roman" w:cs="Times New Roman"/>
          <w:sz w:val="24"/>
        </w:rPr>
      </w:pPr>
      <w:r w:rsidRPr="00F1466E">
        <w:rPr>
          <w:rFonts w:ascii="Times New Roman" w:hAnsi="Times New Roman" w:cs="Times New Roman"/>
          <w:sz w:val="24"/>
        </w:rPr>
        <w:t xml:space="preserve">Priya Gupta, </w:t>
      </w:r>
      <w:proofErr w:type="spellStart"/>
      <w:r w:rsidRPr="00F1466E">
        <w:rPr>
          <w:rFonts w:ascii="Times New Roman" w:hAnsi="Times New Roman" w:cs="Times New Roman"/>
          <w:sz w:val="24"/>
        </w:rPr>
        <w:t>Damini</w:t>
      </w:r>
      <w:proofErr w:type="spellEnd"/>
      <w:r w:rsidRPr="00F1466E">
        <w:rPr>
          <w:rFonts w:ascii="Times New Roman" w:hAnsi="Times New Roman" w:cs="Times New Roman"/>
          <w:sz w:val="24"/>
        </w:rPr>
        <w:t xml:space="preserve"> Sharma, Yamini </w:t>
      </w:r>
      <w:proofErr w:type="spellStart"/>
      <w:r w:rsidRPr="00F1466E">
        <w:rPr>
          <w:rFonts w:ascii="Times New Roman" w:hAnsi="Times New Roman" w:cs="Times New Roman"/>
          <w:sz w:val="24"/>
        </w:rPr>
        <w:t>Baghel</w:t>
      </w:r>
      <w:proofErr w:type="spellEnd"/>
      <w:r w:rsidRPr="00F1466E">
        <w:rPr>
          <w:rFonts w:ascii="Times New Roman" w:hAnsi="Times New Roman" w:cs="Times New Roman"/>
          <w:sz w:val="24"/>
        </w:rPr>
        <w:t xml:space="preserve">, Nalini and Alok Singh </w:t>
      </w:r>
      <w:proofErr w:type="spellStart"/>
      <w:r w:rsidRPr="00F1466E">
        <w:rPr>
          <w:rFonts w:ascii="Times New Roman" w:hAnsi="Times New Roman" w:cs="Times New Roman"/>
          <w:sz w:val="24"/>
        </w:rPr>
        <w:t>Bargah</w:t>
      </w:r>
      <w:proofErr w:type="spellEnd"/>
      <w:r w:rsidRPr="00F1466E">
        <w:rPr>
          <w:rFonts w:ascii="Times New Roman" w:hAnsi="Times New Roman" w:cs="Times New Roman"/>
          <w:sz w:val="24"/>
        </w:rPr>
        <w:t xml:space="preserve">. Physical and </w:t>
      </w:r>
      <w:r>
        <w:rPr>
          <w:rFonts w:ascii="Times New Roman" w:hAnsi="Times New Roman" w:cs="Times New Roman"/>
          <w:sz w:val="24"/>
        </w:rPr>
        <w:tab/>
      </w:r>
      <w:r w:rsidRPr="00F1466E">
        <w:rPr>
          <w:rFonts w:ascii="Times New Roman" w:hAnsi="Times New Roman" w:cs="Times New Roman"/>
          <w:sz w:val="24"/>
        </w:rPr>
        <w:t xml:space="preserve">biological characteristics of </w:t>
      </w:r>
      <w:proofErr w:type="spellStart"/>
      <w:r w:rsidRPr="00F1466E">
        <w:rPr>
          <w:rFonts w:ascii="Times New Roman" w:hAnsi="Times New Roman" w:cs="Times New Roman"/>
          <w:sz w:val="24"/>
        </w:rPr>
        <w:t>Tamarindus</w:t>
      </w:r>
      <w:proofErr w:type="spellEnd"/>
      <w:r w:rsidRPr="00F1466E">
        <w:rPr>
          <w:rFonts w:ascii="Times New Roman" w:hAnsi="Times New Roman" w:cs="Times New Roman"/>
          <w:sz w:val="24"/>
        </w:rPr>
        <w:t xml:space="preserve"> </w:t>
      </w:r>
      <w:proofErr w:type="spellStart"/>
      <w:r w:rsidRPr="00F1466E">
        <w:rPr>
          <w:rFonts w:ascii="Times New Roman" w:hAnsi="Times New Roman" w:cs="Times New Roman"/>
          <w:sz w:val="24"/>
        </w:rPr>
        <w:t>indica</w:t>
      </w:r>
      <w:proofErr w:type="spellEnd"/>
      <w:r w:rsidRPr="00F1466E">
        <w:rPr>
          <w:rFonts w:ascii="Times New Roman" w:hAnsi="Times New Roman" w:cs="Times New Roman"/>
          <w:sz w:val="24"/>
        </w:rPr>
        <w:t xml:space="preserve">: A review. Int. J. Adv. </w:t>
      </w:r>
      <w:proofErr w:type="spellStart"/>
      <w:r w:rsidRPr="00F1466E">
        <w:rPr>
          <w:rFonts w:ascii="Times New Roman" w:hAnsi="Times New Roman" w:cs="Times New Roman"/>
          <w:sz w:val="24"/>
        </w:rPr>
        <w:t>Biochem</w:t>
      </w:r>
      <w:proofErr w:type="spellEnd"/>
      <w:r w:rsidRPr="00F1466E">
        <w:rPr>
          <w:rFonts w:ascii="Times New Roman" w:hAnsi="Times New Roman" w:cs="Times New Roman"/>
          <w:sz w:val="24"/>
        </w:rPr>
        <w:t xml:space="preserve">. Res. </w:t>
      </w:r>
      <w:r>
        <w:rPr>
          <w:rFonts w:ascii="Times New Roman" w:hAnsi="Times New Roman" w:cs="Times New Roman"/>
          <w:sz w:val="24"/>
        </w:rPr>
        <w:tab/>
      </w:r>
      <w:r w:rsidRPr="00F1466E">
        <w:rPr>
          <w:rFonts w:ascii="Times New Roman" w:hAnsi="Times New Roman" w:cs="Times New Roman"/>
          <w:sz w:val="24"/>
        </w:rPr>
        <w:t>2025;9(6):416-424.</w:t>
      </w:r>
    </w:p>
    <w:p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Ram, S., et al. (1997). Pharmacological actions of </w:t>
      </w:r>
      <w:r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bark extracts. </w:t>
      </w:r>
      <w:proofErr w:type="spellStart"/>
      <w:r w:rsidRPr="007E59F3">
        <w:rPr>
          <w:rFonts w:ascii="Times New Roman" w:hAnsi="Times New Roman" w:cs="Times New Roman"/>
          <w:sz w:val="24"/>
        </w:rPr>
        <w:t>Phytotherapy</w:t>
      </w:r>
      <w:proofErr w:type="spellEnd"/>
      <w:r w:rsidRPr="007E59F3">
        <w:rPr>
          <w:rFonts w:ascii="Times New Roman" w:hAnsi="Times New Roman" w:cs="Times New Roman"/>
          <w:sz w:val="24"/>
        </w:rPr>
        <w:t xml:space="preserve"> </w:t>
      </w:r>
      <w:r w:rsidRPr="007E59F3">
        <w:rPr>
          <w:rFonts w:ascii="Times New Roman" w:hAnsi="Times New Roman" w:cs="Times New Roman"/>
          <w:sz w:val="24"/>
        </w:rPr>
        <w:tab/>
        <w:t>Research, 11(6), 484–488.</w:t>
      </w:r>
    </w:p>
    <w:p w:rsidR="000F1B1E" w:rsidRDefault="000F1B1E" w:rsidP="00CF684D">
      <w:pPr>
        <w:spacing w:line="360" w:lineRule="auto"/>
        <w:jc w:val="both"/>
        <w:rPr>
          <w:rFonts w:ascii="Times New Roman" w:hAnsi="Times New Roman" w:cs="Times New Roman"/>
          <w:sz w:val="24"/>
        </w:rPr>
      </w:pPr>
      <w:r w:rsidRPr="001D5873">
        <w:rPr>
          <w:rFonts w:ascii="Times New Roman" w:hAnsi="Times New Roman" w:cs="Times New Roman"/>
          <w:sz w:val="24"/>
        </w:rPr>
        <w:t xml:space="preserve">Ramesh, G. P., Shah, P., Sharma, D., &amp; Kamesh, A. M. (2024). Impacts of fly ash on different </w:t>
      </w:r>
      <w:r>
        <w:rPr>
          <w:rFonts w:ascii="Times New Roman" w:hAnsi="Times New Roman" w:cs="Times New Roman"/>
          <w:sz w:val="24"/>
        </w:rPr>
        <w:tab/>
      </w:r>
      <w:r w:rsidRPr="001D5873">
        <w:rPr>
          <w:rFonts w:ascii="Times New Roman" w:hAnsi="Times New Roman" w:cs="Times New Roman"/>
          <w:sz w:val="24"/>
        </w:rPr>
        <w:t>vegetation near industrial areas: a review. Environment and Ecology, 42(2), 470-478.</w:t>
      </w:r>
    </w:p>
    <w:p w:rsidR="000F1B1E" w:rsidRDefault="000F1B1E" w:rsidP="00CF684D">
      <w:pPr>
        <w:spacing w:line="360" w:lineRule="auto"/>
        <w:jc w:val="both"/>
        <w:rPr>
          <w:rFonts w:ascii="Times New Roman" w:hAnsi="Times New Roman" w:cs="Times New Roman"/>
          <w:sz w:val="24"/>
        </w:rPr>
      </w:pPr>
      <w:r w:rsidRPr="001D5873">
        <w:rPr>
          <w:rFonts w:ascii="Times New Roman" w:hAnsi="Times New Roman" w:cs="Times New Roman"/>
          <w:sz w:val="24"/>
        </w:rPr>
        <w:t xml:space="preserve">Shiva </w:t>
      </w:r>
      <w:proofErr w:type="spellStart"/>
      <w:r w:rsidRPr="001D5873">
        <w:rPr>
          <w:rFonts w:ascii="Times New Roman" w:hAnsi="Times New Roman" w:cs="Times New Roman"/>
          <w:sz w:val="24"/>
        </w:rPr>
        <w:t>Sahu</w:t>
      </w:r>
      <w:proofErr w:type="spellEnd"/>
      <w:r w:rsidRPr="001D5873">
        <w:rPr>
          <w:rFonts w:ascii="Times New Roman" w:hAnsi="Times New Roman" w:cs="Times New Roman"/>
          <w:sz w:val="24"/>
        </w:rPr>
        <w:t xml:space="preserve"> and Sharad </w:t>
      </w:r>
      <w:proofErr w:type="spellStart"/>
      <w:r w:rsidRPr="001D5873">
        <w:rPr>
          <w:rFonts w:ascii="Times New Roman" w:hAnsi="Times New Roman" w:cs="Times New Roman"/>
          <w:sz w:val="24"/>
        </w:rPr>
        <w:t>Nema</w:t>
      </w:r>
      <w:proofErr w:type="spellEnd"/>
      <w:r w:rsidRPr="001D5873">
        <w:rPr>
          <w:rFonts w:ascii="Times New Roman" w:hAnsi="Times New Roman" w:cs="Times New Roman"/>
          <w:sz w:val="24"/>
        </w:rPr>
        <w:t xml:space="preserve">. Assessment of seed germination and seedling biomass of </w:t>
      </w:r>
      <w:r>
        <w:rPr>
          <w:rFonts w:ascii="Times New Roman" w:hAnsi="Times New Roman" w:cs="Times New Roman"/>
          <w:sz w:val="24"/>
        </w:rPr>
        <w:tab/>
      </w:r>
      <w:r w:rsidRPr="001D5873">
        <w:rPr>
          <w:rFonts w:ascii="Times New Roman" w:hAnsi="Times New Roman" w:cs="Times New Roman"/>
          <w:sz w:val="24"/>
        </w:rPr>
        <w:t xml:space="preserve">endangered species </w:t>
      </w:r>
      <w:proofErr w:type="spellStart"/>
      <w:r w:rsidRPr="001D5873">
        <w:rPr>
          <w:rFonts w:ascii="Times New Roman" w:hAnsi="Times New Roman" w:cs="Times New Roman"/>
          <w:sz w:val="24"/>
        </w:rPr>
        <w:t>Pterocarpussantalinus</w:t>
      </w:r>
      <w:proofErr w:type="spellEnd"/>
      <w:r w:rsidRPr="001D5873">
        <w:rPr>
          <w:rFonts w:ascii="Times New Roman" w:hAnsi="Times New Roman" w:cs="Times New Roman"/>
          <w:sz w:val="24"/>
        </w:rPr>
        <w:t xml:space="preserve">. Int. J. Adv. </w:t>
      </w:r>
      <w:proofErr w:type="spellStart"/>
      <w:r w:rsidRPr="001D5873">
        <w:rPr>
          <w:rFonts w:ascii="Times New Roman" w:hAnsi="Times New Roman" w:cs="Times New Roman"/>
          <w:sz w:val="24"/>
        </w:rPr>
        <w:t>Biochem</w:t>
      </w:r>
      <w:proofErr w:type="spellEnd"/>
      <w:r w:rsidRPr="001D5873">
        <w:rPr>
          <w:rFonts w:ascii="Times New Roman" w:hAnsi="Times New Roman" w:cs="Times New Roman"/>
          <w:sz w:val="24"/>
        </w:rPr>
        <w:t>. Res. 2025;9(4):249-</w:t>
      </w:r>
      <w:r>
        <w:rPr>
          <w:rFonts w:ascii="Times New Roman" w:hAnsi="Times New Roman" w:cs="Times New Roman"/>
          <w:sz w:val="24"/>
        </w:rPr>
        <w:tab/>
      </w:r>
      <w:r w:rsidRPr="001D5873">
        <w:rPr>
          <w:rFonts w:ascii="Times New Roman" w:hAnsi="Times New Roman" w:cs="Times New Roman"/>
          <w:sz w:val="24"/>
        </w:rPr>
        <w:t>253.</w:t>
      </w:r>
    </w:p>
    <w:p w:rsidR="000F1B1E" w:rsidRPr="007E59F3" w:rsidRDefault="000F1B1E" w:rsidP="00CF684D">
      <w:pPr>
        <w:spacing w:line="360" w:lineRule="auto"/>
        <w:jc w:val="both"/>
        <w:rPr>
          <w:rFonts w:ascii="Times New Roman" w:hAnsi="Times New Roman" w:cs="Times New Roman"/>
          <w:sz w:val="24"/>
        </w:rPr>
      </w:pPr>
      <w:proofErr w:type="spellStart"/>
      <w:r w:rsidRPr="007E59F3">
        <w:rPr>
          <w:rFonts w:ascii="Times New Roman" w:hAnsi="Times New Roman" w:cs="Times New Roman"/>
          <w:sz w:val="24"/>
        </w:rPr>
        <w:t>Soni</w:t>
      </w:r>
      <w:proofErr w:type="spellEnd"/>
      <w:r w:rsidRPr="007E59F3">
        <w:rPr>
          <w:rFonts w:ascii="Times New Roman" w:hAnsi="Times New Roman" w:cs="Times New Roman"/>
          <w:sz w:val="24"/>
        </w:rPr>
        <w:t xml:space="preserve">, A., &amp; Singh, N. (2019). Distribution and uses of </w:t>
      </w:r>
      <w:r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in India. Indian Journal </w:t>
      </w:r>
      <w:r w:rsidRPr="007E59F3">
        <w:rPr>
          <w:rFonts w:ascii="Times New Roman" w:hAnsi="Times New Roman" w:cs="Times New Roman"/>
          <w:sz w:val="24"/>
        </w:rPr>
        <w:tab/>
        <w:t>of Forestry, 42(1), 12-18.</w:t>
      </w:r>
    </w:p>
    <w:p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Sultana, S., et al. (2007). Cardioprotective effect of </w:t>
      </w:r>
      <w:r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in animal models. </w:t>
      </w:r>
      <w:r w:rsidRPr="007E59F3">
        <w:rPr>
          <w:rFonts w:ascii="Times New Roman" w:hAnsi="Times New Roman" w:cs="Times New Roman"/>
          <w:sz w:val="24"/>
        </w:rPr>
        <w:tab/>
        <w:t>Phytomedicine, 14(5), 301–309.</w:t>
      </w:r>
    </w:p>
    <w:p w:rsidR="000F1B1E" w:rsidRDefault="000F1B1E" w:rsidP="00CF684D">
      <w:pPr>
        <w:spacing w:line="360" w:lineRule="auto"/>
        <w:jc w:val="both"/>
        <w:rPr>
          <w:rFonts w:ascii="Times New Roman" w:hAnsi="Times New Roman" w:cs="Times New Roman"/>
          <w:sz w:val="24"/>
        </w:rPr>
      </w:pPr>
      <w:r w:rsidRPr="00253BFF">
        <w:rPr>
          <w:rFonts w:ascii="Times New Roman" w:hAnsi="Times New Roman" w:cs="Times New Roman"/>
          <w:sz w:val="24"/>
        </w:rPr>
        <w:t xml:space="preserve">Verma, S., Toppo, P., </w:t>
      </w:r>
      <w:proofErr w:type="spellStart"/>
      <w:r w:rsidRPr="00253BFF">
        <w:rPr>
          <w:rFonts w:ascii="Times New Roman" w:hAnsi="Times New Roman" w:cs="Times New Roman"/>
          <w:sz w:val="24"/>
        </w:rPr>
        <w:t>Bhariya</w:t>
      </w:r>
      <w:proofErr w:type="spellEnd"/>
      <w:r w:rsidRPr="00253BFF">
        <w:rPr>
          <w:rFonts w:ascii="Times New Roman" w:hAnsi="Times New Roman" w:cs="Times New Roman"/>
          <w:sz w:val="24"/>
        </w:rPr>
        <w:t xml:space="preserve">, S. K., Singh, L., </w:t>
      </w:r>
      <w:proofErr w:type="spellStart"/>
      <w:r w:rsidRPr="00253BFF">
        <w:rPr>
          <w:rFonts w:ascii="Times New Roman" w:hAnsi="Times New Roman" w:cs="Times New Roman"/>
          <w:sz w:val="24"/>
        </w:rPr>
        <w:t>Mankur</w:t>
      </w:r>
      <w:proofErr w:type="spellEnd"/>
      <w:r w:rsidRPr="00253BFF">
        <w:rPr>
          <w:rFonts w:ascii="Times New Roman" w:hAnsi="Times New Roman" w:cs="Times New Roman"/>
          <w:sz w:val="24"/>
        </w:rPr>
        <w:t xml:space="preserve">, M. K., </w:t>
      </w:r>
      <w:proofErr w:type="spellStart"/>
      <w:r w:rsidRPr="00253BFF">
        <w:rPr>
          <w:rFonts w:ascii="Times New Roman" w:hAnsi="Times New Roman" w:cs="Times New Roman"/>
          <w:sz w:val="24"/>
        </w:rPr>
        <w:t>Bargah</w:t>
      </w:r>
      <w:proofErr w:type="spellEnd"/>
      <w:r w:rsidRPr="00253BFF">
        <w:rPr>
          <w:rFonts w:ascii="Times New Roman" w:hAnsi="Times New Roman" w:cs="Times New Roman"/>
          <w:sz w:val="24"/>
        </w:rPr>
        <w:t xml:space="preserve">, A. S., &amp; </w:t>
      </w:r>
      <w:proofErr w:type="spellStart"/>
      <w:r w:rsidRPr="00253BFF">
        <w:rPr>
          <w:rFonts w:ascii="Times New Roman" w:hAnsi="Times New Roman" w:cs="Times New Roman"/>
          <w:sz w:val="24"/>
        </w:rPr>
        <w:t>Minj</w:t>
      </w:r>
      <w:proofErr w:type="spellEnd"/>
      <w:r w:rsidRPr="00253BFF">
        <w:rPr>
          <w:rFonts w:ascii="Times New Roman" w:hAnsi="Times New Roman" w:cs="Times New Roman"/>
          <w:sz w:val="24"/>
        </w:rPr>
        <w:t xml:space="preserve">, N. Effect </w:t>
      </w:r>
      <w:r>
        <w:rPr>
          <w:rFonts w:ascii="Times New Roman" w:hAnsi="Times New Roman" w:cs="Times New Roman"/>
          <w:sz w:val="24"/>
        </w:rPr>
        <w:tab/>
      </w:r>
      <w:r w:rsidRPr="00253BFF">
        <w:rPr>
          <w:rFonts w:ascii="Times New Roman" w:hAnsi="Times New Roman" w:cs="Times New Roman"/>
          <w:sz w:val="24"/>
        </w:rPr>
        <w:t xml:space="preserve">of different potting mixture on seedling growth and performance of wild jackfruit </w:t>
      </w:r>
      <w:r>
        <w:rPr>
          <w:rFonts w:ascii="Times New Roman" w:hAnsi="Times New Roman" w:cs="Times New Roman"/>
          <w:sz w:val="24"/>
        </w:rPr>
        <w:tab/>
      </w:r>
      <w:r w:rsidRPr="00253BFF">
        <w:rPr>
          <w:rFonts w:ascii="Times New Roman" w:hAnsi="Times New Roman" w:cs="Times New Roman"/>
          <w:sz w:val="24"/>
        </w:rPr>
        <w:t>(</w:t>
      </w:r>
      <w:proofErr w:type="spellStart"/>
      <w:r w:rsidRPr="00253BFF">
        <w:rPr>
          <w:rFonts w:ascii="Times New Roman" w:hAnsi="Times New Roman" w:cs="Times New Roman"/>
          <w:sz w:val="24"/>
        </w:rPr>
        <w:t>ArtocarpuslacuchaBuch</w:t>
      </w:r>
      <w:proofErr w:type="spellEnd"/>
      <w:r w:rsidRPr="00253BFF">
        <w:rPr>
          <w:rFonts w:ascii="Times New Roman" w:hAnsi="Times New Roman" w:cs="Times New Roman"/>
          <w:sz w:val="24"/>
        </w:rPr>
        <w:t>.) in nursery.</w:t>
      </w:r>
    </w:p>
    <w:p w:rsidR="000F1B1E" w:rsidRDefault="000F1B1E" w:rsidP="00CF684D">
      <w:pPr>
        <w:spacing w:line="360" w:lineRule="auto"/>
        <w:jc w:val="both"/>
        <w:rPr>
          <w:rFonts w:ascii="Times New Roman" w:hAnsi="Times New Roman" w:cs="Times New Roman"/>
          <w:sz w:val="24"/>
        </w:rPr>
      </w:pPr>
      <w:proofErr w:type="spellStart"/>
      <w:r w:rsidRPr="007E59F3">
        <w:rPr>
          <w:rFonts w:ascii="Times New Roman" w:hAnsi="Times New Roman" w:cs="Times New Roman"/>
          <w:sz w:val="24"/>
        </w:rPr>
        <w:t>Wadhai</w:t>
      </w:r>
      <w:proofErr w:type="spellEnd"/>
      <w:r w:rsidRPr="007E59F3">
        <w:rPr>
          <w:rFonts w:ascii="Times New Roman" w:hAnsi="Times New Roman" w:cs="Times New Roman"/>
          <w:sz w:val="24"/>
        </w:rPr>
        <w:t xml:space="preserve">, S. (2012). Morphological characteristics of Terminalia species. International Journal of </w:t>
      </w:r>
      <w:r w:rsidRPr="007E59F3">
        <w:rPr>
          <w:rFonts w:ascii="Times New Roman" w:hAnsi="Times New Roman" w:cs="Times New Roman"/>
          <w:sz w:val="24"/>
        </w:rPr>
        <w:tab/>
        <w:t>Botany, 8(4), 234–240.</w:t>
      </w:r>
    </w:p>
    <w:p w:rsidR="003E7873" w:rsidRPr="007E59F3" w:rsidRDefault="003E7873" w:rsidP="00CF684D">
      <w:pPr>
        <w:spacing w:line="360" w:lineRule="auto"/>
        <w:jc w:val="both"/>
        <w:rPr>
          <w:rFonts w:ascii="Times New Roman" w:hAnsi="Times New Roman" w:cs="Times New Roman"/>
          <w:sz w:val="24"/>
        </w:rPr>
      </w:pPr>
      <w:r w:rsidRPr="003E7873">
        <w:rPr>
          <w:rFonts w:ascii="Times New Roman" w:hAnsi="Times New Roman" w:cs="Times New Roman"/>
          <w:sz w:val="24"/>
        </w:rPr>
        <w:lastRenderedPageBreak/>
        <w:t xml:space="preserve">Kusuma, N. H., </w:t>
      </w:r>
      <w:proofErr w:type="spellStart"/>
      <w:r w:rsidRPr="003E7873">
        <w:rPr>
          <w:rFonts w:ascii="Times New Roman" w:hAnsi="Times New Roman" w:cs="Times New Roman"/>
          <w:sz w:val="24"/>
        </w:rPr>
        <w:t>Selvi</w:t>
      </w:r>
      <w:proofErr w:type="spellEnd"/>
      <w:r w:rsidRPr="003E7873">
        <w:rPr>
          <w:rFonts w:ascii="Times New Roman" w:hAnsi="Times New Roman" w:cs="Times New Roman"/>
          <w:sz w:val="24"/>
        </w:rPr>
        <w:t xml:space="preserve">, D. T., </w:t>
      </w:r>
      <w:proofErr w:type="spellStart"/>
      <w:r w:rsidRPr="003E7873">
        <w:rPr>
          <w:rFonts w:ascii="Times New Roman" w:hAnsi="Times New Roman" w:cs="Times New Roman"/>
          <w:sz w:val="24"/>
        </w:rPr>
        <w:t>Umarani</w:t>
      </w:r>
      <w:proofErr w:type="spellEnd"/>
      <w:r w:rsidRPr="003E7873">
        <w:rPr>
          <w:rFonts w:ascii="Times New Roman" w:hAnsi="Times New Roman" w:cs="Times New Roman"/>
          <w:sz w:val="24"/>
        </w:rPr>
        <w:t xml:space="preserve">, R., </w:t>
      </w:r>
      <w:proofErr w:type="spellStart"/>
      <w:r w:rsidRPr="003E7873">
        <w:rPr>
          <w:rFonts w:ascii="Times New Roman" w:hAnsi="Times New Roman" w:cs="Times New Roman"/>
          <w:sz w:val="24"/>
        </w:rPr>
        <w:t>Eevera</w:t>
      </w:r>
      <w:proofErr w:type="spellEnd"/>
      <w:r w:rsidRPr="003E7873">
        <w:rPr>
          <w:rFonts w:ascii="Times New Roman" w:hAnsi="Times New Roman" w:cs="Times New Roman"/>
          <w:sz w:val="24"/>
        </w:rPr>
        <w:t xml:space="preserve">, T., Janaki, P., &amp; </w:t>
      </w:r>
      <w:proofErr w:type="spellStart"/>
      <w:r w:rsidRPr="003E7873">
        <w:rPr>
          <w:rFonts w:ascii="Times New Roman" w:hAnsi="Times New Roman" w:cs="Times New Roman"/>
          <w:sz w:val="24"/>
        </w:rPr>
        <w:t>Vigneshwari</w:t>
      </w:r>
      <w:proofErr w:type="spellEnd"/>
      <w:r w:rsidRPr="003E7873">
        <w:rPr>
          <w:rFonts w:ascii="Times New Roman" w:hAnsi="Times New Roman" w:cs="Times New Roman"/>
          <w:sz w:val="24"/>
        </w:rPr>
        <w:t xml:space="preserve">, R. (2024). Unraveling the mystery: Decoding seed characteristics and germination challenges in Terminalia </w:t>
      </w:r>
      <w:proofErr w:type="spellStart"/>
      <w:r w:rsidRPr="003E7873">
        <w:rPr>
          <w:rFonts w:ascii="Times New Roman" w:hAnsi="Times New Roman" w:cs="Times New Roman"/>
          <w:sz w:val="24"/>
        </w:rPr>
        <w:t>chebula</w:t>
      </w:r>
      <w:proofErr w:type="spellEnd"/>
      <w:r w:rsidRPr="003E7873">
        <w:rPr>
          <w:rFonts w:ascii="Times New Roman" w:hAnsi="Times New Roman" w:cs="Times New Roman"/>
          <w:sz w:val="24"/>
        </w:rPr>
        <w:t xml:space="preserve"> Retz. Trees, Forests and People, 18, 100692.</w:t>
      </w:r>
    </w:p>
    <w:p w:rsidR="000F1B1E" w:rsidRDefault="000F1B1E" w:rsidP="00CF684D">
      <w:pPr>
        <w:spacing w:line="360" w:lineRule="auto"/>
        <w:jc w:val="both"/>
        <w:rPr>
          <w:rFonts w:ascii="Times New Roman" w:hAnsi="Times New Roman" w:cs="Times New Roman"/>
          <w:sz w:val="24"/>
        </w:rPr>
      </w:pPr>
    </w:p>
    <w:sectPr w:rsidR="000F1B1E" w:rsidSect="003A06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ABC" w:rsidRDefault="001B0ABC" w:rsidP="0070434A">
      <w:pPr>
        <w:spacing w:after="0" w:line="240" w:lineRule="auto"/>
      </w:pPr>
      <w:r>
        <w:separator/>
      </w:r>
    </w:p>
  </w:endnote>
  <w:endnote w:type="continuationSeparator" w:id="0">
    <w:p w:rsidR="001B0ABC" w:rsidRDefault="001B0ABC" w:rsidP="0070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34A" w:rsidRDefault="00704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34A" w:rsidRDefault="00704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34A" w:rsidRDefault="00704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ABC" w:rsidRDefault="001B0ABC" w:rsidP="0070434A">
      <w:pPr>
        <w:spacing w:after="0" w:line="240" w:lineRule="auto"/>
      </w:pPr>
      <w:r>
        <w:separator/>
      </w:r>
    </w:p>
  </w:footnote>
  <w:footnote w:type="continuationSeparator" w:id="0">
    <w:p w:rsidR="001B0ABC" w:rsidRDefault="001B0ABC" w:rsidP="00704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34A" w:rsidRDefault="001B0A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22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34A" w:rsidRDefault="001B0A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22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34A" w:rsidRDefault="001B0A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22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2NwZiAyNTSyMTUyUdpeDU4uLM/DyQAsNaAF1OfjMsAAAA"/>
  </w:docVars>
  <w:rsids>
    <w:rsidRoot w:val="00C74B83"/>
    <w:rsid w:val="00015723"/>
    <w:rsid w:val="00057355"/>
    <w:rsid w:val="00076422"/>
    <w:rsid w:val="00077294"/>
    <w:rsid w:val="000B12E3"/>
    <w:rsid w:val="000F1B1E"/>
    <w:rsid w:val="001A5044"/>
    <w:rsid w:val="001B0ABC"/>
    <w:rsid w:val="001D5873"/>
    <w:rsid w:val="00212591"/>
    <w:rsid w:val="00213FA4"/>
    <w:rsid w:val="00251E1D"/>
    <w:rsid w:val="00252727"/>
    <w:rsid w:val="00253BFF"/>
    <w:rsid w:val="002750C8"/>
    <w:rsid w:val="00281D21"/>
    <w:rsid w:val="002A7A3A"/>
    <w:rsid w:val="002D70FC"/>
    <w:rsid w:val="002F0F70"/>
    <w:rsid w:val="00376238"/>
    <w:rsid w:val="003A06F9"/>
    <w:rsid w:val="003E7873"/>
    <w:rsid w:val="00494569"/>
    <w:rsid w:val="00580CC9"/>
    <w:rsid w:val="00651CF9"/>
    <w:rsid w:val="006810B4"/>
    <w:rsid w:val="00687E9D"/>
    <w:rsid w:val="0070434A"/>
    <w:rsid w:val="00707010"/>
    <w:rsid w:val="00760485"/>
    <w:rsid w:val="007E59F3"/>
    <w:rsid w:val="007F3448"/>
    <w:rsid w:val="00831321"/>
    <w:rsid w:val="0084253F"/>
    <w:rsid w:val="00851B19"/>
    <w:rsid w:val="00881140"/>
    <w:rsid w:val="008A2AB1"/>
    <w:rsid w:val="008B0A37"/>
    <w:rsid w:val="008C2C80"/>
    <w:rsid w:val="008F1BC9"/>
    <w:rsid w:val="00925E1A"/>
    <w:rsid w:val="009853A6"/>
    <w:rsid w:val="009F0D3A"/>
    <w:rsid w:val="00AF302F"/>
    <w:rsid w:val="00B01BC2"/>
    <w:rsid w:val="00BA4810"/>
    <w:rsid w:val="00BD3F5D"/>
    <w:rsid w:val="00BE0B4E"/>
    <w:rsid w:val="00BF0FB7"/>
    <w:rsid w:val="00C51300"/>
    <w:rsid w:val="00C72182"/>
    <w:rsid w:val="00C74B83"/>
    <w:rsid w:val="00CE0962"/>
    <w:rsid w:val="00CF684D"/>
    <w:rsid w:val="00D123B7"/>
    <w:rsid w:val="00D264FC"/>
    <w:rsid w:val="00D53962"/>
    <w:rsid w:val="00D57FAA"/>
    <w:rsid w:val="00D61D99"/>
    <w:rsid w:val="00D84C8B"/>
    <w:rsid w:val="00DF6B18"/>
    <w:rsid w:val="00E17A3E"/>
    <w:rsid w:val="00E60E54"/>
    <w:rsid w:val="00EE01A5"/>
    <w:rsid w:val="00EF17E5"/>
    <w:rsid w:val="00F1466E"/>
    <w:rsid w:val="00F61EB9"/>
    <w:rsid w:val="00F97D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236B54"/>
  <w15:docId w15:val="{8AA58189-8ABC-4150-836C-173C372F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D99"/>
    <w:rPr>
      <w:rFonts w:ascii="Tahoma" w:hAnsi="Tahoma" w:cs="Tahoma"/>
      <w:sz w:val="16"/>
      <w:szCs w:val="16"/>
    </w:rPr>
  </w:style>
  <w:style w:type="character" w:styleId="Hyperlink">
    <w:name w:val="Hyperlink"/>
    <w:basedOn w:val="DefaultParagraphFont"/>
    <w:uiPriority w:val="99"/>
    <w:unhideWhenUsed/>
    <w:rsid w:val="009F0D3A"/>
    <w:rPr>
      <w:color w:val="0000FF" w:themeColor="hyperlink"/>
      <w:u w:val="single"/>
    </w:rPr>
  </w:style>
  <w:style w:type="table" w:styleId="ColorfulGrid-Accent5">
    <w:name w:val="Colorful Grid Accent 5"/>
    <w:basedOn w:val="TableNormal"/>
    <w:uiPriority w:val="73"/>
    <w:rsid w:val="0005735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List-Accent3">
    <w:name w:val="Colorful List Accent 3"/>
    <w:basedOn w:val="TableNormal"/>
    <w:uiPriority w:val="72"/>
    <w:rsid w:val="00057355"/>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Default">
    <w:name w:val="Default"/>
    <w:rsid w:val="00D123B7"/>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C72182"/>
    <w:rPr>
      <w:color w:val="605E5C"/>
      <w:shd w:val="clear" w:color="auto" w:fill="E1DFDD"/>
    </w:rPr>
  </w:style>
  <w:style w:type="paragraph" w:styleId="ListParagraph">
    <w:name w:val="List Paragraph"/>
    <w:basedOn w:val="Normal"/>
    <w:uiPriority w:val="34"/>
    <w:qFormat/>
    <w:rsid w:val="00C72182"/>
    <w:pPr>
      <w:ind w:left="720"/>
      <w:contextualSpacing/>
    </w:pPr>
  </w:style>
  <w:style w:type="paragraph" w:styleId="Header">
    <w:name w:val="header"/>
    <w:basedOn w:val="Normal"/>
    <w:link w:val="HeaderChar"/>
    <w:uiPriority w:val="99"/>
    <w:unhideWhenUsed/>
    <w:rsid w:val="00704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34A"/>
  </w:style>
  <w:style w:type="paragraph" w:styleId="Footer">
    <w:name w:val="footer"/>
    <w:basedOn w:val="Normal"/>
    <w:link w:val="FooterChar"/>
    <w:uiPriority w:val="99"/>
    <w:unhideWhenUsed/>
    <w:rsid w:val="00704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40750">
      <w:bodyDiv w:val="1"/>
      <w:marLeft w:val="0"/>
      <w:marRight w:val="0"/>
      <w:marTop w:val="0"/>
      <w:marBottom w:val="0"/>
      <w:divBdr>
        <w:top w:val="none" w:sz="0" w:space="0" w:color="auto"/>
        <w:left w:val="none" w:sz="0" w:space="0" w:color="auto"/>
        <w:bottom w:val="none" w:sz="0" w:space="0" w:color="auto"/>
        <w:right w:val="none" w:sz="0" w:space="0" w:color="auto"/>
      </w:divBdr>
    </w:div>
    <w:div w:id="434372954">
      <w:bodyDiv w:val="1"/>
      <w:marLeft w:val="0"/>
      <w:marRight w:val="0"/>
      <w:marTop w:val="0"/>
      <w:marBottom w:val="0"/>
      <w:divBdr>
        <w:top w:val="none" w:sz="0" w:space="0" w:color="auto"/>
        <w:left w:val="none" w:sz="0" w:space="0" w:color="auto"/>
        <w:bottom w:val="none" w:sz="0" w:space="0" w:color="auto"/>
        <w:right w:val="none" w:sz="0" w:space="0" w:color="auto"/>
      </w:divBdr>
    </w:div>
    <w:div w:id="496926202">
      <w:bodyDiv w:val="1"/>
      <w:marLeft w:val="0"/>
      <w:marRight w:val="0"/>
      <w:marTop w:val="0"/>
      <w:marBottom w:val="0"/>
      <w:divBdr>
        <w:top w:val="none" w:sz="0" w:space="0" w:color="auto"/>
        <w:left w:val="none" w:sz="0" w:space="0" w:color="auto"/>
        <w:bottom w:val="none" w:sz="0" w:space="0" w:color="auto"/>
        <w:right w:val="none" w:sz="0" w:space="0" w:color="auto"/>
      </w:divBdr>
    </w:div>
    <w:div w:id="509829294">
      <w:bodyDiv w:val="1"/>
      <w:marLeft w:val="0"/>
      <w:marRight w:val="0"/>
      <w:marTop w:val="0"/>
      <w:marBottom w:val="0"/>
      <w:divBdr>
        <w:top w:val="none" w:sz="0" w:space="0" w:color="auto"/>
        <w:left w:val="none" w:sz="0" w:space="0" w:color="auto"/>
        <w:bottom w:val="none" w:sz="0" w:space="0" w:color="auto"/>
        <w:right w:val="none" w:sz="0" w:space="0" w:color="auto"/>
      </w:divBdr>
    </w:div>
    <w:div w:id="689844624">
      <w:bodyDiv w:val="1"/>
      <w:marLeft w:val="0"/>
      <w:marRight w:val="0"/>
      <w:marTop w:val="0"/>
      <w:marBottom w:val="0"/>
      <w:divBdr>
        <w:top w:val="none" w:sz="0" w:space="0" w:color="auto"/>
        <w:left w:val="none" w:sz="0" w:space="0" w:color="auto"/>
        <w:bottom w:val="none" w:sz="0" w:space="0" w:color="auto"/>
        <w:right w:val="none" w:sz="0" w:space="0" w:color="auto"/>
      </w:divBdr>
    </w:div>
    <w:div w:id="696468731">
      <w:bodyDiv w:val="1"/>
      <w:marLeft w:val="0"/>
      <w:marRight w:val="0"/>
      <w:marTop w:val="0"/>
      <w:marBottom w:val="0"/>
      <w:divBdr>
        <w:top w:val="none" w:sz="0" w:space="0" w:color="auto"/>
        <w:left w:val="none" w:sz="0" w:space="0" w:color="auto"/>
        <w:bottom w:val="none" w:sz="0" w:space="0" w:color="auto"/>
        <w:right w:val="none" w:sz="0" w:space="0" w:color="auto"/>
      </w:divBdr>
    </w:div>
    <w:div w:id="770009214">
      <w:bodyDiv w:val="1"/>
      <w:marLeft w:val="0"/>
      <w:marRight w:val="0"/>
      <w:marTop w:val="0"/>
      <w:marBottom w:val="0"/>
      <w:divBdr>
        <w:top w:val="none" w:sz="0" w:space="0" w:color="auto"/>
        <w:left w:val="none" w:sz="0" w:space="0" w:color="auto"/>
        <w:bottom w:val="none" w:sz="0" w:space="0" w:color="auto"/>
        <w:right w:val="none" w:sz="0" w:space="0" w:color="auto"/>
      </w:divBdr>
    </w:div>
    <w:div w:id="792332667">
      <w:bodyDiv w:val="1"/>
      <w:marLeft w:val="0"/>
      <w:marRight w:val="0"/>
      <w:marTop w:val="0"/>
      <w:marBottom w:val="0"/>
      <w:divBdr>
        <w:top w:val="none" w:sz="0" w:space="0" w:color="auto"/>
        <w:left w:val="none" w:sz="0" w:space="0" w:color="auto"/>
        <w:bottom w:val="none" w:sz="0" w:space="0" w:color="auto"/>
        <w:right w:val="none" w:sz="0" w:space="0" w:color="auto"/>
      </w:divBdr>
    </w:div>
    <w:div w:id="843394035">
      <w:bodyDiv w:val="1"/>
      <w:marLeft w:val="0"/>
      <w:marRight w:val="0"/>
      <w:marTop w:val="0"/>
      <w:marBottom w:val="0"/>
      <w:divBdr>
        <w:top w:val="none" w:sz="0" w:space="0" w:color="auto"/>
        <w:left w:val="none" w:sz="0" w:space="0" w:color="auto"/>
        <w:bottom w:val="none" w:sz="0" w:space="0" w:color="auto"/>
        <w:right w:val="none" w:sz="0" w:space="0" w:color="auto"/>
      </w:divBdr>
    </w:div>
    <w:div w:id="1057783580">
      <w:bodyDiv w:val="1"/>
      <w:marLeft w:val="0"/>
      <w:marRight w:val="0"/>
      <w:marTop w:val="0"/>
      <w:marBottom w:val="0"/>
      <w:divBdr>
        <w:top w:val="none" w:sz="0" w:space="0" w:color="auto"/>
        <w:left w:val="none" w:sz="0" w:space="0" w:color="auto"/>
        <w:bottom w:val="none" w:sz="0" w:space="0" w:color="auto"/>
        <w:right w:val="none" w:sz="0" w:space="0" w:color="auto"/>
      </w:divBdr>
    </w:div>
    <w:div w:id="1321033133">
      <w:bodyDiv w:val="1"/>
      <w:marLeft w:val="0"/>
      <w:marRight w:val="0"/>
      <w:marTop w:val="0"/>
      <w:marBottom w:val="0"/>
      <w:divBdr>
        <w:top w:val="none" w:sz="0" w:space="0" w:color="auto"/>
        <w:left w:val="none" w:sz="0" w:space="0" w:color="auto"/>
        <w:bottom w:val="none" w:sz="0" w:space="0" w:color="auto"/>
        <w:right w:val="none" w:sz="0" w:space="0" w:color="auto"/>
      </w:divBdr>
    </w:div>
    <w:div w:id="1471557172">
      <w:bodyDiv w:val="1"/>
      <w:marLeft w:val="0"/>
      <w:marRight w:val="0"/>
      <w:marTop w:val="0"/>
      <w:marBottom w:val="0"/>
      <w:divBdr>
        <w:top w:val="none" w:sz="0" w:space="0" w:color="auto"/>
        <w:left w:val="none" w:sz="0" w:space="0" w:color="auto"/>
        <w:bottom w:val="none" w:sz="0" w:space="0" w:color="auto"/>
        <w:right w:val="none" w:sz="0" w:space="0" w:color="auto"/>
      </w:divBdr>
    </w:div>
    <w:div w:id="1488861038">
      <w:bodyDiv w:val="1"/>
      <w:marLeft w:val="0"/>
      <w:marRight w:val="0"/>
      <w:marTop w:val="0"/>
      <w:marBottom w:val="0"/>
      <w:divBdr>
        <w:top w:val="none" w:sz="0" w:space="0" w:color="auto"/>
        <w:left w:val="none" w:sz="0" w:space="0" w:color="auto"/>
        <w:bottom w:val="none" w:sz="0" w:space="0" w:color="auto"/>
        <w:right w:val="none" w:sz="0" w:space="0" w:color="auto"/>
      </w:divBdr>
    </w:div>
    <w:div w:id="1542667195">
      <w:bodyDiv w:val="1"/>
      <w:marLeft w:val="0"/>
      <w:marRight w:val="0"/>
      <w:marTop w:val="0"/>
      <w:marBottom w:val="0"/>
      <w:divBdr>
        <w:top w:val="none" w:sz="0" w:space="0" w:color="auto"/>
        <w:left w:val="none" w:sz="0" w:space="0" w:color="auto"/>
        <w:bottom w:val="none" w:sz="0" w:space="0" w:color="auto"/>
        <w:right w:val="none" w:sz="0" w:space="0" w:color="auto"/>
      </w:divBdr>
    </w:div>
    <w:div w:id="1601837348">
      <w:bodyDiv w:val="1"/>
      <w:marLeft w:val="0"/>
      <w:marRight w:val="0"/>
      <w:marTop w:val="0"/>
      <w:marBottom w:val="0"/>
      <w:divBdr>
        <w:top w:val="none" w:sz="0" w:space="0" w:color="auto"/>
        <w:left w:val="none" w:sz="0" w:space="0" w:color="auto"/>
        <w:bottom w:val="none" w:sz="0" w:space="0" w:color="auto"/>
        <w:right w:val="none" w:sz="0" w:space="0" w:color="auto"/>
      </w:divBdr>
    </w:div>
    <w:div w:id="1657413115">
      <w:bodyDiv w:val="1"/>
      <w:marLeft w:val="0"/>
      <w:marRight w:val="0"/>
      <w:marTop w:val="0"/>
      <w:marBottom w:val="0"/>
      <w:divBdr>
        <w:top w:val="none" w:sz="0" w:space="0" w:color="auto"/>
        <w:left w:val="none" w:sz="0" w:space="0" w:color="auto"/>
        <w:bottom w:val="none" w:sz="0" w:space="0" w:color="auto"/>
        <w:right w:val="none" w:sz="0" w:space="0" w:color="auto"/>
      </w:divBdr>
    </w:div>
    <w:div w:id="1698041731">
      <w:bodyDiv w:val="1"/>
      <w:marLeft w:val="0"/>
      <w:marRight w:val="0"/>
      <w:marTop w:val="0"/>
      <w:marBottom w:val="0"/>
      <w:divBdr>
        <w:top w:val="none" w:sz="0" w:space="0" w:color="auto"/>
        <w:left w:val="none" w:sz="0" w:space="0" w:color="auto"/>
        <w:bottom w:val="none" w:sz="0" w:space="0" w:color="auto"/>
        <w:right w:val="none" w:sz="0" w:space="0" w:color="auto"/>
      </w:divBdr>
    </w:div>
    <w:div w:id="1716539708">
      <w:bodyDiv w:val="1"/>
      <w:marLeft w:val="0"/>
      <w:marRight w:val="0"/>
      <w:marTop w:val="0"/>
      <w:marBottom w:val="0"/>
      <w:divBdr>
        <w:top w:val="none" w:sz="0" w:space="0" w:color="auto"/>
        <w:left w:val="none" w:sz="0" w:space="0" w:color="auto"/>
        <w:bottom w:val="none" w:sz="0" w:space="0" w:color="auto"/>
        <w:right w:val="none" w:sz="0" w:space="0" w:color="auto"/>
      </w:divBdr>
    </w:div>
    <w:div w:id="1728990079">
      <w:bodyDiv w:val="1"/>
      <w:marLeft w:val="0"/>
      <w:marRight w:val="0"/>
      <w:marTop w:val="0"/>
      <w:marBottom w:val="0"/>
      <w:divBdr>
        <w:top w:val="none" w:sz="0" w:space="0" w:color="auto"/>
        <w:left w:val="none" w:sz="0" w:space="0" w:color="auto"/>
        <w:bottom w:val="none" w:sz="0" w:space="0" w:color="auto"/>
        <w:right w:val="none" w:sz="0" w:space="0" w:color="auto"/>
      </w:divBdr>
    </w:div>
    <w:div w:id="1853110732">
      <w:bodyDiv w:val="1"/>
      <w:marLeft w:val="0"/>
      <w:marRight w:val="0"/>
      <w:marTop w:val="0"/>
      <w:marBottom w:val="0"/>
      <w:divBdr>
        <w:top w:val="none" w:sz="0" w:space="0" w:color="auto"/>
        <w:left w:val="none" w:sz="0" w:space="0" w:color="auto"/>
        <w:bottom w:val="none" w:sz="0" w:space="0" w:color="auto"/>
        <w:right w:val="none" w:sz="0" w:space="0" w:color="auto"/>
      </w:divBdr>
    </w:div>
    <w:div w:id="1862088852">
      <w:bodyDiv w:val="1"/>
      <w:marLeft w:val="0"/>
      <w:marRight w:val="0"/>
      <w:marTop w:val="0"/>
      <w:marBottom w:val="0"/>
      <w:divBdr>
        <w:top w:val="none" w:sz="0" w:space="0" w:color="auto"/>
        <w:left w:val="none" w:sz="0" w:space="0" w:color="auto"/>
        <w:bottom w:val="none" w:sz="0" w:space="0" w:color="auto"/>
        <w:right w:val="none" w:sz="0" w:space="0" w:color="auto"/>
      </w:divBdr>
    </w:div>
    <w:div w:id="1961715355">
      <w:bodyDiv w:val="1"/>
      <w:marLeft w:val="0"/>
      <w:marRight w:val="0"/>
      <w:marTop w:val="0"/>
      <w:marBottom w:val="0"/>
      <w:divBdr>
        <w:top w:val="none" w:sz="0" w:space="0" w:color="auto"/>
        <w:left w:val="none" w:sz="0" w:space="0" w:color="auto"/>
        <w:bottom w:val="none" w:sz="0" w:space="0" w:color="auto"/>
        <w:right w:val="none" w:sz="0" w:space="0" w:color="auto"/>
      </w:divBdr>
    </w:div>
    <w:div w:id="2069760767">
      <w:bodyDiv w:val="1"/>
      <w:marLeft w:val="0"/>
      <w:marRight w:val="0"/>
      <w:marTop w:val="0"/>
      <w:marBottom w:val="0"/>
      <w:divBdr>
        <w:top w:val="none" w:sz="0" w:space="0" w:color="auto"/>
        <w:left w:val="none" w:sz="0" w:space="0" w:color="auto"/>
        <w:bottom w:val="none" w:sz="0" w:space="0" w:color="auto"/>
        <w:right w:val="none" w:sz="0" w:space="0" w:color="auto"/>
      </w:divBdr>
    </w:div>
    <w:div w:id="210688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4717</Words>
  <Characters>26891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aloksingh bargah</dc:creator>
  <cp:lastModifiedBy>SDI PC New 16</cp:lastModifiedBy>
  <cp:revision>19</cp:revision>
  <dcterms:created xsi:type="dcterms:W3CDTF">2025-08-02T17:55:00Z</dcterms:created>
  <dcterms:modified xsi:type="dcterms:W3CDTF">2025-08-11T08:31:00Z</dcterms:modified>
</cp:coreProperties>
</file>