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1E81D" w14:textId="670E91EA" w:rsidR="00F841E4" w:rsidRPr="000054E4" w:rsidRDefault="00F841E4" w:rsidP="009E6A8A">
      <w:pPr>
        <w:jc w:val="center"/>
        <w:rPr>
          <w:rFonts w:ascii="Times New Roman" w:hAnsi="Times New Roman" w:cs="Times New Roman"/>
          <w:b/>
          <w:bCs/>
          <w:sz w:val="24"/>
          <w:szCs w:val="24"/>
        </w:rPr>
      </w:pPr>
      <w:bookmarkStart w:id="0" w:name="_Hlk188095847"/>
      <w:r w:rsidRPr="00F841E4">
        <w:rPr>
          <w:rFonts w:ascii="Times New Roman" w:hAnsi="Times New Roman" w:cs="Times New Roman"/>
          <w:b/>
          <w:bCs/>
          <w:sz w:val="24"/>
          <w:szCs w:val="24"/>
        </w:rPr>
        <w:t xml:space="preserve">"Unlocking Potential: A Study </w:t>
      </w:r>
      <w:r w:rsidR="002A7BB6" w:rsidRPr="00F841E4">
        <w:rPr>
          <w:rFonts w:ascii="Times New Roman" w:hAnsi="Times New Roman" w:cs="Times New Roman"/>
          <w:b/>
          <w:bCs/>
          <w:sz w:val="24"/>
          <w:szCs w:val="24"/>
        </w:rPr>
        <w:t xml:space="preserve">on </w:t>
      </w:r>
      <w:r w:rsidRPr="00F841E4">
        <w:rPr>
          <w:rFonts w:ascii="Times New Roman" w:hAnsi="Times New Roman" w:cs="Times New Roman"/>
          <w:b/>
          <w:bCs/>
          <w:sz w:val="24"/>
          <w:szCs w:val="24"/>
        </w:rPr>
        <w:t xml:space="preserve">Utilization </w:t>
      </w:r>
      <w:r w:rsidR="002A7BB6">
        <w:rPr>
          <w:rFonts w:ascii="Times New Roman" w:hAnsi="Times New Roman" w:cs="Times New Roman"/>
          <w:b/>
          <w:bCs/>
          <w:sz w:val="24"/>
          <w:szCs w:val="24"/>
        </w:rPr>
        <w:t xml:space="preserve">of </w:t>
      </w:r>
      <w:r w:rsidR="002A7BB6" w:rsidRPr="000054E4">
        <w:rPr>
          <w:rFonts w:ascii="Times New Roman" w:hAnsi="Times New Roman" w:cs="Times New Roman"/>
          <w:b/>
          <w:bCs/>
          <w:sz w:val="24"/>
          <w:szCs w:val="24"/>
        </w:rPr>
        <w:t xml:space="preserve">Post-Matric Scholarships </w:t>
      </w:r>
      <w:r w:rsidR="002A7BB6">
        <w:rPr>
          <w:rFonts w:ascii="Times New Roman" w:hAnsi="Times New Roman" w:cs="Times New Roman"/>
          <w:b/>
          <w:bCs/>
          <w:sz w:val="24"/>
          <w:szCs w:val="24"/>
        </w:rPr>
        <w:t>b</w:t>
      </w:r>
      <w:r w:rsidR="002A7BB6" w:rsidRPr="00F841E4">
        <w:rPr>
          <w:rFonts w:ascii="Times New Roman" w:hAnsi="Times New Roman" w:cs="Times New Roman"/>
          <w:b/>
          <w:bCs/>
          <w:sz w:val="24"/>
          <w:szCs w:val="24"/>
        </w:rPr>
        <w:t>y</w:t>
      </w:r>
    </w:p>
    <w:p w14:paraId="489C946B" w14:textId="22EF5917" w:rsidR="00530422" w:rsidRPr="000054E4" w:rsidRDefault="002A7BB6" w:rsidP="009E6A8A">
      <w:pPr>
        <w:jc w:val="center"/>
        <w:rPr>
          <w:rFonts w:ascii="Times New Roman" w:hAnsi="Times New Roman" w:cs="Times New Roman"/>
          <w:b/>
          <w:bCs/>
          <w:sz w:val="24"/>
          <w:szCs w:val="24"/>
        </w:rPr>
      </w:pPr>
      <w:r w:rsidRPr="000054E4">
        <w:rPr>
          <w:rFonts w:ascii="Times New Roman" w:hAnsi="Times New Roman" w:cs="Times New Roman"/>
          <w:b/>
          <w:bCs/>
          <w:sz w:val="24"/>
          <w:szCs w:val="24"/>
        </w:rPr>
        <w:t>Undergraduate Students"</w:t>
      </w:r>
    </w:p>
    <w:bookmarkEnd w:id="0"/>
    <w:p w14:paraId="6552187F" w14:textId="77777777" w:rsidR="008F324F" w:rsidRDefault="008F324F" w:rsidP="009E6A8A">
      <w:pPr>
        <w:jc w:val="center"/>
        <w:rPr>
          <w:rFonts w:ascii="Times New Roman" w:eastAsia="Times New Roman" w:hAnsi="Times New Roman" w:cs="Times New Roman"/>
          <w:b/>
          <w:sz w:val="24"/>
          <w:szCs w:val="24"/>
        </w:rPr>
      </w:pPr>
    </w:p>
    <w:p w14:paraId="46F41437" w14:textId="29B6CFE4" w:rsidR="00224EA9" w:rsidRPr="000054E4" w:rsidRDefault="00224EA9" w:rsidP="009E6A8A">
      <w:pPr>
        <w:jc w:val="center"/>
        <w:rPr>
          <w:rFonts w:ascii="Times New Roman" w:eastAsia="Times New Roman" w:hAnsi="Times New Roman" w:cs="Times New Roman"/>
          <w:b/>
          <w:sz w:val="24"/>
          <w:szCs w:val="24"/>
        </w:rPr>
      </w:pPr>
      <w:bookmarkStart w:id="1" w:name="_GoBack"/>
      <w:bookmarkEnd w:id="1"/>
      <w:r w:rsidRPr="000054E4">
        <w:rPr>
          <w:rFonts w:ascii="Times New Roman" w:eastAsia="Times New Roman" w:hAnsi="Times New Roman" w:cs="Times New Roman"/>
          <w:b/>
          <w:sz w:val="24"/>
          <w:szCs w:val="24"/>
        </w:rPr>
        <w:t>ABSTRACT</w:t>
      </w:r>
    </w:p>
    <w:p w14:paraId="0D04067F" w14:textId="6B352C15" w:rsidR="0092509E" w:rsidRPr="0092509E" w:rsidRDefault="0092509E" w:rsidP="0092509E">
      <w:pPr>
        <w:pBdr>
          <w:top w:val="single" w:sz="4" w:space="1" w:color="auto"/>
          <w:bottom w:val="single" w:sz="4" w:space="1" w:color="auto"/>
        </w:pBdr>
        <w:ind w:firstLine="720"/>
        <w:jc w:val="both"/>
        <w:rPr>
          <w:rFonts w:ascii="Times New Roman" w:eastAsia="Calibri" w:hAnsi="Times New Roman" w:cs="Times New Roman"/>
        </w:rPr>
      </w:pPr>
      <w:r w:rsidRPr="0092509E">
        <w:rPr>
          <w:rFonts w:ascii="Times New Roman" w:eastAsia="Calibri" w:hAnsi="Times New Roman" w:cs="Times New Roman"/>
        </w:rPr>
        <w:t>The present research investigates the spending behavior of undergraduate students who benefit from the Post-Matric Scholarship program at two esteemed institutions in Hisar</w:t>
      </w:r>
      <w:r>
        <w:rPr>
          <w:rFonts w:ascii="Times New Roman" w:eastAsia="Calibri" w:hAnsi="Times New Roman" w:cs="Times New Roman"/>
        </w:rPr>
        <w:t xml:space="preserve">, </w:t>
      </w:r>
      <w:r w:rsidRPr="0092509E">
        <w:rPr>
          <w:rFonts w:ascii="Times New Roman" w:eastAsia="Calibri" w:hAnsi="Times New Roman" w:cs="Times New Roman"/>
        </w:rPr>
        <w:t xml:space="preserve">Chaudhary </w:t>
      </w:r>
      <w:proofErr w:type="spellStart"/>
      <w:r w:rsidRPr="0092509E">
        <w:rPr>
          <w:rFonts w:ascii="Times New Roman" w:eastAsia="Calibri" w:hAnsi="Times New Roman" w:cs="Times New Roman"/>
        </w:rPr>
        <w:t>Charan</w:t>
      </w:r>
      <w:proofErr w:type="spellEnd"/>
      <w:r w:rsidRPr="0092509E">
        <w:rPr>
          <w:rFonts w:ascii="Times New Roman" w:eastAsia="Calibri" w:hAnsi="Times New Roman" w:cs="Times New Roman"/>
        </w:rPr>
        <w:t xml:space="preserve"> Singh Haryana Agricultural University and Guru </w:t>
      </w:r>
      <w:proofErr w:type="spellStart"/>
      <w:r w:rsidRPr="0092509E">
        <w:rPr>
          <w:rFonts w:ascii="Times New Roman" w:eastAsia="Calibri" w:hAnsi="Times New Roman" w:cs="Times New Roman"/>
        </w:rPr>
        <w:t>Jambheshwar</w:t>
      </w:r>
      <w:proofErr w:type="spellEnd"/>
      <w:r w:rsidRPr="0092509E">
        <w:rPr>
          <w:rFonts w:ascii="Times New Roman" w:eastAsia="Calibri" w:hAnsi="Times New Roman" w:cs="Times New Roman"/>
        </w:rPr>
        <w:t xml:space="preserve"> University of Science and Technology. A random sampling technique was employed to select 240 students, and data collection was carried out through a structured interview schedule to ensure accuracy and reliability. Analysis of the responses reveals that scholarship funds are utilized in three broad domains: personal expenses, academic-related costs, and financial contributions toward family needs.</w:t>
      </w:r>
      <w:r>
        <w:rPr>
          <w:rFonts w:ascii="Times New Roman" w:eastAsia="Calibri" w:hAnsi="Times New Roman" w:cs="Times New Roman"/>
        </w:rPr>
        <w:t xml:space="preserve"> </w:t>
      </w:r>
      <w:r w:rsidRPr="0092509E">
        <w:rPr>
          <w:rFonts w:ascii="Times New Roman" w:eastAsia="Calibri" w:hAnsi="Times New Roman" w:cs="Times New Roman"/>
        </w:rPr>
        <w:t>In the domain of personal use, a significant portion of students allocated their scholarships to mobile recharges, ranking highest in priority (Garrett score: 17027), followed by clothing purchases (Score: 16439). For academic purposes, buying educational supplies and stationery was the top expenditure (Score: 16645), with college fee payments securing the second rank (Score: 16158). In family-related spending, medical needs emerged as the most important use (Score: 15316), followed closely by furniture acquisitions (Score: 14523).</w:t>
      </w:r>
      <w:r>
        <w:rPr>
          <w:rFonts w:ascii="Times New Roman" w:eastAsia="Calibri" w:hAnsi="Times New Roman" w:cs="Times New Roman"/>
        </w:rPr>
        <w:t xml:space="preserve"> </w:t>
      </w:r>
      <w:r w:rsidRPr="0092509E">
        <w:rPr>
          <w:rFonts w:ascii="Times New Roman" w:eastAsia="Calibri" w:hAnsi="Times New Roman" w:cs="Times New Roman"/>
        </w:rPr>
        <w:t>These findings highlight how scholarships function as a holistic financial resource, helping students address both educational necessities and household obligations. Not only do they enable learners to engage more fully with academic life</w:t>
      </w:r>
      <w:r>
        <w:rPr>
          <w:rFonts w:ascii="Times New Roman" w:eastAsia="Calibri" w:hAnsi="Times New Roman" w:cs="Times New Roman"/>
        </w:rPr>
        <w:t xml:space="preserve">, </w:t>
      </w:r>
      <w:r w:rsidRPr="0092509E">
        <w:rPr>
          <w:rFonts w:ascii="Times New Roman" w:eastAsia="Calibri" w:hAnsi="Times New Roman" w:cs="Times New Roman"/>
        </w:rPr>
        <w:t>by easing expenses for materials, tuition, and digital access</w:t>
      </w:r>
      <w:r>
        <w:rPr>
          <w:rFonts w:ascii="Times New Roman" w:eastAsia="Calibri" w:hAnsi="Times New Roman" w:cs="Times New Roman"/>
        </w:rPr>
        <w:t xml:space="preserve">, </w:t>
      </w:r>
      <w:r w:rsidRPr="0092509E">
        <w:rPr>
          <w:rFonts w:ascii="Times New Roman" w:eastAsia="Calibri" w:hAnsi="Times New Roman" w:cs="Times New Roman"/>
        </w:rPr>
        <w:t>but they also support personal well-being and family stability. Many students act as contributors to their households, using scholarship funds to offset costs in healthcare, utilities, and sibling education, underscoring the scholarships' role in reducing intergenerational financial stress. By documenting these multifaceted usage patterns, the study emphasizes the importance of maintaining and expanding scholarship initiatives to meet the layered realities of economically disadvantaged students in higher education.</w:t>
      </w:r>
    </w:p>
    <w:p w14:paraId="2982788B" w14:textId="5FAF1C42" w:rsidR="00525D71" w:rsidRDefault="00525D71" w:rsidP="009E6A8A">
      <w:pPr>
        <w:jc w:val="both"/>
        <w:rPr>
          <w:rFonts w:ascii="Times New Roman" w:eastAsia="Times New Roman" w:hAnsi="Times New Roman" w:cs="Times New Roman"/>
          <w:bCs/>
          <w:sz w:val="24"/>
          <w:szCs w:val="24"/>
        </w:rPr>
      </w:pPr>
      <w:r w:rsidRPr="000054E4">
        <w:rPr>
          <w:rFonts w:ascii="Times New Roman" w:eastAsia="Times New Roman" w:hAnsi="Times New Roman" w:cs="Times New Roman"/>
          <w:b/>
          <w:sz w:val="24"/>
          <w:szCs w:val="24"/>
        </w:rPr>
        <w:t xml:space="preserve">KEYWORDS:  </w:t>
      </w:r>
      <w:r w:rsidRPr="000054E4">
        <w:rPr>
          <w:rFonts w:ascii="Times New Roman" w:eastAsia="Times New Roman" w:hAnsi="Times New Roman" w:cs="Times New Roman"/>
          <w:bCs/>
          <w:sz w:val="24"/>
          <w:szCs w:val="24"/>
        </w:rPr>
        <w:t>Academic, Achievement, Impact, Student, Scholarship</w:t>
      </w:r>
    </w:p>
    <w:p w14:paraId="4099EF9A" w14:textId="77777777" w:rsidR="0044685C" w:rsidRPr="000054E4" w:rsidRDefault="0044685C" w:rsidP="009E6A8A">
      <w:pPr>
        <w:jc w:val="both"/>
        <w:rPr>
          <w:rFonts w:ascii="Times New Roman" w:eastAsia="Times New Roman" w:hAnsi="Times New Roman" w:cs="Times New Roman"/>
          <w:bCs/>
          <w:sz w:val="24"/>
          <w:szCs w:val="24"/>
        </w:rPr>
      </w:pPr>
    </w:p>
    <w:p w14:paraId="7FF10BFE" w14:textId="77777777" w:rsidR="00525D71" w:rsidRPr="000054E4" w:rsidRDefault="00525D71" w:rsidP="009E6A8A">
      <w:pPr>
        <w:jc w:val="center"/>
        <w:rPr>
          <w:rFonts w:ascii="Times New Roman" w:hAnsi="Times New Roman" w:cs="Times New Roman"/>
          <w:sz w:val="24"/>
          <w:szCs w:val="24"/>
        </w:rPr>
      </w:pPr>
      <w:r w:rsidRPr="000054E4">
        <w:rPr>
          <w:rFonts w:ascii="Times New Roman" w:eastAsia="Times New Roman" w:hAnsi="Times New Roman" w:cs="Times New Roman"/>
          <w:b/>
          <w:sz w:val="24"/>
          <w:szCs w:val="24"/>
        </w:rPr>
        <w:t>INTRODUCTION</w:t>
      </w:r>
    </w:p>
    <w:p w14:paraId="477ED629" w14:textId="7FA3AEA5" w:rsidR="0092509E" w:rsidRPr="0092509E" w:rsidRDefault="0092509E" w:rsidP="0092509E">
      <w:pPr>
        <w:ind w:firstLine="720"/>
        <w:jc w:val="both"/>
        <w:rPr>
          <w:rFonts w:ascii="Times New Roman" w:eastAsia="Times New Roman" w:hAnsi="Times New Roman" w:cs="Times New Roman"/>
          <w:bCs/>
          <w:sz w:val="24"/>
          <w:szCs w:val="24"/>
        </w:rPr>
      </w:pPr>
      <w:r w:rsidRPr="0092509E">
        <w:rPr>
          <w:rFonts w:ascii="Times New Roman" w:eastAsia="Times New Roman" w:hAnsi="Times New Roman" w:cs="Times New Roman"/>
          <w:bCs/>
          <w:sz w:val="24"/>
          <w:szCs w:val="24"/>
        </w:rPr>
        <w:t xml:space="preserve">Education stands as a cornerstone for individual growth and societal progress, widely acknowledged as a key mechanism for promoting social mobility and economic advancement. Yet, numerous students, especially those from historically marginalized groups, often find themselves limited by financial hardship, which becomes a major barrier to accessing higher education. In response to this challenge, the Government of India has launched several scholarship schemes, with the Post-Matric Scholarship being one of the most notable. This </w:t>
      </w:r>
      <w:r w:rsidRPr="0092509E">
        <w:rPr>
          <w:rFonts w:ascii="Times New Roman" w:eastAsia="Times New Roman" w:hAnsi="Times New Roman" w:cs="Times New Roman"/>
          <w:bCs/>
          <w:sz w:val="24"/>
          <w:szCs w:val="24"/>
        </w:rPr>
        <w:lastRenderedPageBreak/>
        <w:t>program specifically targets students belonging to Scheduled Castes, Scheduled Tribes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Other Backward Classes, offering crucial financial support for pursuing studies beyond the secondary level.</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Through the Post-Matric Scholarship, eligible students receive assistance to cover expenses such as tuition fees, books, boarding, transportation, and other academic-related costs. By alleviating financial pressure, the scheme empowers students to continue their education with confidence, enabling them to focus on academic performance rather than economic stress. Beyond improving access to education, this initiative contributes to bridging societal gaps, fostering inclusion, and building a skilled and empowered youth population equipped to contribute meaningfully to India's development.</w:t>
      </w:r>
    </w:p>
    <w:p w14:paraId="751F01E7" w14:textId="31582834" w:rsidR="00F13477" w:rsidRPr="00F13477" w:rsidRDefault="00F13477" w:rsidP="0092509E">
      <w:pPr>
        <w:ind w:firstLine="720"/>
        <w:jc w:val="both"/>
        <w:rPr>
          <w:rFonts w:ascii="Times New Roman" w:eastAsia="Times New Roman" w:hAnsi="Times New Roman" w:cs="Times New Roman"/>
          <w:lang w:eastAsia="en-IN"/>
        </w:rPr>
      </w:pPr>
      <w:r w:rsidRPr="00F13477">
        <w:rPr>
          <w:rFonts w:ascii="Times New Roman" w:eastAsia="Times New Roman" w:hAnsi="Times New Roman" w:cs="Times New Roman"/>
          <w:bCs/>
          <w:sz w:val="24"/>
          <w:szCs w:val="24"/>
        </w:rPr>
        <w:t>The Post-Matric Scholarship is more than just financial aid</w:t>
      </w:r>
      <w:r>
        <w:rPr>
          <w:rFonts w:ascii="Times New Roman" w:eastAsia="Times New Roman" w:hAnsi="Times New Roman" w:cs="Times New Roman"/>
          <w:bCs/>
          <w:sz w:val="24"/>
          <w:szCs w:val="24"/>
        </w:rPr>
        <w:t xml:space="preserve"> </w:t>
      </w:r>
      <w:r w:rsidRPr="00F13477">
        <w:rPr>
          <w:rFonts w:ascii="Times New Roman" w:eastAsia="Times New Roman" w:hAnsi="Times New Roman" w:cs="Times New Roman"/>
          <w:bCs/>
          <w:sz w:val="24"/>
          <w:szCs w:val="24"/>
        </w:rPr>
        <w:t xml:space="preserve">it plays a transformative role by supporting students in managing both academic and personal expenses. </w:t>
      </w:r>
      <w:r w:rsidR="009E6A8A">
        <w:rPr>
          <w:rFonts w:ascii="Times New Roman" w:eastAsia="Times New Roman" w:hAnsi="Times New Roman" w:cs="Times New Roman"/>
          <w:lang w:eastAsia="en-IN"/>
        </w:rPr>
        <w:t>S</w:t>
      </w:r>
      <w:r w:rsidR="009E6A8A" w:rsidRPr="002847EE">
        <w:rPr>
          <w:rFonts w:ascii="Times New Roman" w:eastAsia="Times New Roman" w:hAnsi="Times New Roman" w:cs="Times New Roman"/>
          <w:lang w:eastAsia="en-IN"/>
        </w:rPr>
        <w:t>cholarship funds were vital for students, covering daily expenses such as textbooks, transportation, food and accommodation, as well as enabling them to support their families by contributing to household bills, medical expenses and debt repayment. These funds also facilitate personal development of the students to invest in extracurricular activities. Overall, scholarships provide financial relief and enable the students to focus on their studies also positively impacting their families</w:t>
      </w:r>
      <w:r w:rsidR="009E6A8A">
        <w:rPr>
          <w:rFonts w:ascii="Times New Roman" w:eastAsia="Times New Roman" w:hAnsi="Times New Roman" w:cs="Times New Roman"/>
          <w:lang w:eastAsia="en-IN"/>
        </w:rPr>
        <w:t xml:space="preserve"> (</w:t>
      </w:r>
      <w:r w:rsidR="009E6A8A" w:rsidRPr="002847EE">
        <w:rPr>
          <w:rFonts w:ascii="Times New Roman" w:eastAsia="Times New Roman" w:hAnsi="Times New Roman" w:cs="Times New Roman"/>
          <w:b/>
          <w:bCs/>
          <w:lang w:eastAsia="en-IN"/>
        </w:rPr>
        <w:t xml:space="preserve">Mae </w:t>
      </w:r>
      <w:r w:rsidR="009E6A8A" w:rsidRPr="009B600D">
        <w:rPr>
          <w:rFonts w:ascii="Times New Roman" w:eastAsia="Times New Roman" w:hAnsi="Times New Roman" w:cs="Times New Roman"/>
          <w:b/>
          <w:bCs/>
          <w:lang w:eastAsia="en-IN"/>
        </w:rPr>
        <w:t>et al</w:t>
      </w:r>
      <w:r w:rsidR="009E6A8A">
        <w:rPr>
          <w:rFonts w:ascii="Times New Roman" w:eastAsia="Times New Roman" w:hAnsi="Times New Roman" w:cs="Times New Roman"/>
          <w:b/>
          <w:bCs/>
          <w:i/>
          <w:iCs/>
          <w:lang w:eastAsia="en-IN"/>
        </w:rPr>
        <w:t>.</w:t>
      </w:r>
      <w:r w:rsidR="009E6A8A" w:rsidRPr="002847EE">
        <w:rPr>
          <w:rFonts w:ascii="Times New Roman" w:eastAsia="Times New Roman" w:hAnsi="Times New Roman" w:cs="Times New Roman"/>
          <w:b/>
          <w:bCs/>
          <w:lang w:eastAsia="en-IN"/>
        </w:rPr>
        <w:t xml:space="preserve"> 2016)</w:t>
      </w:r>
      <w:r w:rsidR="009E6A8A">
        <w:rPr>
          <w:rFonts w:ascii="Times New Roman" w:eastAsia="Times New Roman" w:hAnsi="Times New Roman" w:cs="Times New Roman"/>
          <w:b/>
          <w:bCs/>
          <w:lang w:eastAsia="en-IN"/>
        </w:rPr>
        <w:t>.</w:t>
      </w:r>
      <w:r w:rsidR="009E6A8A">
        <w:rPr>
          <w:rFonts w:ascii="Times New Roman" w:eastAsia="Times New Roman" w:hAnsi="Times New Roman" w:cs="Times New Roman"/>
          <w:lang w:eastAsia="en-IN"/>
        </w:rPr>
        <w:t xml:space="preserve"> Sc</w:t>
      </w:r>
      <w:r w:rsidR="009E6A8A" w:rsidRPr="002847EE">
        <w:rPr>
          <w:rFonts w:ascii="Times New Roman" w:eastAsia="Times New Roman" w:hAnsi="Times New Roman" w:cs="Times New Roman"/>
          <w:lang w:eastAsia="en-IN"/>
        </w:rPr>
        <w:t>holarship beneficiary utilized their funds in a variety of ways, including enhancing their skills and knowledge, securing better housing and purchasing higher-quality goods and essential services. Additionally, they supported their families' needs and healthcare expenses. Some respondents chose to invest in savings accounts and cooperatives while</w:t>
      </w:r>
      <w:r w:rsidR="009E6A8A">
        <w:rPr>
          <w:rFonts w:ascii="Times New Roman" w:eastAsia="Times New Roman" w:hAnsi="Times New Roman" w:cs="Times New Roman"/>
          <w:lang w:eastAsia="en-IN"/>
        </w:rPr>
        <w:t>,</w:t>
      </w:r>
      <w:r w:rsidR="009E6A8A" w:rsidRPr="002847EE">
        <w:rPr>
          <w:rFonts w:ascii="Times New Roman" w:eastAsia="Times New Roman" w:hAnsi="Times New Roman" w:cs="Times New Roman"/>
          <w:lang w:eastAsia="en-IN"/>
        </w:rPr>
        <w:t xml:space="preserve"> others took the entrepreneurial route and started their own side businesses. This diverse use of scholarship funds highlights the multifaceted impact such financial aid improves both personal and family welfare</w:t>
      </w:r>
      <w:r w:rsidR="009E6A8A" w:rsidRPr="009E6A8A">
        <w:rPr>
          <w:rFonts w:ascii="Times New Roman" w:eastAsia="Times New Roman" w:hAnsi="Times New Roman" w:cs="Times New Roman"/>
          <w:b/>
          <w:bCs/>
          <w:lang w:eastAsia="en-IN"/>
        </w:rPr>
        <w:t xml:space="preserve"> </w:t>
      </w:r>
      <w:r w:rsidR="009E6A8A">
        <w:rPr>
          <w:rFonts w:ascii="Times New Roman" w:eastAsia="Times New Roman" w:hAnsi="Times New Roman" w:cs="Times New Roman"/>
          <w:b/>
          <w:bCs/>
          <w:lang w:eastAsia="en-IN"/>
        </w:rPr>
        <w:t>(</w:t>
      </w:r>
      <w:proofErr w:type="spellStart"/>
      <w:r w:rsidR="009E6A8A" w:rsidRPr="002847EE">
        <w:rPr>
          <w:rFonts w:ascii="Times New Roman" w:eastAsia="Times New Roman" w:hAnsi="Times New Roman" w:cs="Times New Roman"/>
          <w:b/>
          <w:bCs/>
          <w:lang w:eastAsia="en-IN"/>
        </w:rPr>
        <w:t>Calisang</w:t>
      </w:r>
      <w:proofErr w:type="spellEnd"/>
      <w:r w:rsidR="009E6A8A" w:rsidRPr="002847EE">
        <w:rPr>
          <w:rFonts w:ascii="Times New Roman" w:eastAsia="Times New Roman" w:hAnsi="Times New Roman" w:cs="Times New Roman"/>
          <w:b/>
          <w:bCs/>
          <w:lang w:eastAsia="en-IN"/>
        </w:rPr>
        <w:t xml:space="preserve"> </w:t>
      </w:r>
      <w:r w:rsidR="009E6A8A" w:rsidRPr="009B600D">
        <w:rPr>
          <w:rFonts w:ascii="Times New Roman" w:eastAsia="Times New Roman" w:hAnsi="Times New Roman" w:cs="Times New Roman"/>
          <w:b/>
          <w:bCs/>
          <w:lang w:eastAsia="en-IN"/>
        </w:rPr>
        <w:t>et al.</w:t>
      </w:r>
      <w:r w:rsidR="009E6A8A" w:rsidRPr="002847EE">
        <w:rPr>
          <w:rFonts w:ascii="Times New Roman" w:eastAsia="Times New Roman" w:hAnsi="Times New Roman" w:cs="Times New Roman"/>
          <w:b/>
          <w:bCs/>
          <w:lang w:eastAsia="en-IN"/>
        </w:rPr>
        <w:t xml:space="preserve"> 2024)</w:t>
      </w:r>
      <w:r w:rsidR="009E6A8A">
        <w:rPr>
          <w:rFonts w:ascii="Times New Roman" w:eastAsia="Times New Roman" w:hAnsi="Times New Roman" w:cs="Times New Roman"/>
          <w:b/>
          <w:bCs/>
          <w:lang w:eastAsia="en-IN"/>
        </w:rPr>
        <w:t>.</w:t>
      </w:r>
      <w:r w:rsidR="009E6A8A" w:rsidRPr="002847EE">
        <w:rPr>
          <w:rFonts w:ascii="Times New Roman" w:eastAsia="Times New Roman" w:hAnsi="Times New Roman" w:cs="Times New Roman"/>
          <w:lang w:eastAsia="en-IN"/>
        </w:rPr>
        <w:t xml:space="preserve"> </w:t>
      </w:r>
      <w:r w:rsidRPr="00F13477">
        <w:rPr>
          <w:rFonts w:ascii="Times New Roman" w:eastAsia="Times New Roman" w:hAnsi="Times New Roman" w:cs="Times New Roman"/>
          <w:bCs/>
          <w:sz w:val="24"/>
          <w:szCs w:val="24"/>
        </w:rPr>
        <w:t>Despite its wide-ranging benefits, there is limited empirical research that explores exactly how students allocate and utilize these funds once received.</w:t>
      </w:r>
    </w:p>
    <w:p w14:paraId="7C6DA869" w14:textId="456FF17E" w:rsidR="0044685C" w:rsidRPr="00F13477" w:rsidRDefault="0092509E" w:rsidP="009E6A8A">
      <w:pPr>
        <w:ind w:firstLine="720"/>
        <w:jc w:val="both"/>
        <w:rPr>
          <w:rFonts w:ascii="Times New Roman" w:eastAsia="Times New Roman" w:hAnsi="Times New Roman" w:cs="Times New Roman"/>
          <w:bCs/>
          <w:sz w:val="24"/>
          <w:szCs w:val="24"/>
        </w:rPr>
      </w:pPr>
      <w:r w:rsidRPr="0092509E">
        <w:rPr>
          <w:rFonts w:ascii="Times New Roman" w:eastAsia="Times New Roman" w:hAnsi="Times New Roman" w:cs="Times New Roman"/>
          <w:bCs/>
          <w:sz w:val="24"/>
          <w:szCs w:val="24"/>
        </w:rPr>
        <w:t xml:space="preserve">This study aims to bridge a significant gap in existing scholarship literature by investigating the financial behaviors of undergraduate recipients of the Post-Matric Scholarship at two premier institutions in Hisar: Chaudhary </w:t>
      </w:r>
      <w:proofErr w:type="spellStart"/>
      <w:r w:rsidRPr="0092509E">
        <w:rPr>
          <w:rFonts w:ascii="Times New Roman" w:eastAsia="Times New Roman" w:hAnsi="Times New Roman" w:cs="Times New Roman"/>
          <w:bCs/>
          <w:sz w:val="24"/>
          <w:szCs w:val="24"/>
        </w:rPr>
        <w:t>Charan</w:t>
      </w:r>
      <w:proofErr w:type="spellEnd"/>
      <w:r w:rsidRPr="0092509E">
        <w:rPr>
          <w:rFonts w:ascii="Times New Roman" w:eastAsia="Times New Roman" w:hAnsi="Times New Roman" w:cs="Times New Roman"/>
          <w:bCs/>
          <w:sz w:val="24"/>
          <w:szCs w:val="24"/>
        </w:rPr>
        <w:t xml:space="preserve"> Singh Haryana Agricultural University and Guru </w:t>
      </w:r>
      <w:proofErr w:type="spellStart"/>
      <w:r w:rsidRPr="0092509E">
        <w:rPr>
          <w:rFonts w:ascii="Times New Roman" w:eastAsia="Times New Roman" w:hAnsi="Times New Roman" w:cs="Times New Roman"/>
          <w:bCs/>
          <w:sz w:val="24"/>
          <w:szCs w:val="24"/>
        </w:rPr>
        <w:t>Jambheshwar</w:t>
      </w:r>
      <w:proofErr w:type="spellEnd"/>
      <w:r w:rsidRPr="0092509E">
        <w:rPr>
          <w:rFonts w:ascii="Times New Roman" w:eastAsia="Times New Roman" w:hAnsi="Times New Roman" w:cs="Times New Roman"/>
          <w:bCs/>
          <w:sz w:val="24"/>
          <w:szCs w:val="24"/>
        </w:rPr>
        <w:t xml:space="preserve"> University of Science and Technology. The research focuses on understanding how students utilize their scholarship funds across three distinct domains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i/>
          <w:iCs/>
          <w:sz w:val="24"/>
          <w:szCs w:val="24"/>
        </w:rPr>
        <w:t>i.e.</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academic, personal and family-related expenditures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 xml:space="preserve">thus providing a comprehensive and layered view of how financial aid contributes to student welfare both within and beyond the university context. Academic utilization includes expenditures on tuition fees, stationery, books, training programs and participation in educational activities, reflecting the scholarship’s role in enhancing </w:t>
      </w:r>
      <w:r w:rsidRPr="0092509E">
        <w:rPr>
          <w:rFonts w:ascii="Times New Roman" w:eastAsia="Times New Roman" w:hAnsi="Times New Roman" w:cs="Times New Roman"/>
          <w:bCs/>
          <w:sz w:val="24"/>
          <w:szCs w:val="24"/>
        </w:rPr>
        <w:lastRenderedPageBreak/>
        <w:t>learning access and academic engagement. Personal expenses encompass items such as clothing, basic needs, healthcare, digital connectivity</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recreation, which underscore the scholarship’s contribution to well-being and quality of life. Family-related expenditures reveal that students often extend financial support to their households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covering medical costs, siblings' education, household dues</w:t>
      </w:r>
      <w:r>
        <w:rPr>
          <w:rFonts w:ascii="Times New Roman" w:eastAsia="Times New Roman" w:hAnsi="Times New Roman" w:cs="Times New Roman"/>
          <w:bCs/>
          <w:sz w:val="24"/>
          <w:szCs w:val="24"/>
        </w:rPr>
        <w:t xml:space="preserve"> </w:t>
      </w:r>
      <w:r w:rsidRPr="0092509E">
        <w:rPr>
          <w:rFonts w:ascii="Times New Roman" w:eastAsia="Times New Roman" w:hAnsi="Times New Roman" w:cs="Times New Roman"/>
          <w:bCs/>
          <w:sz w:val="24"/>
          <w:szCs w:val="24"/>
        </w:rPr>
        <w:t>and even future planning like marriage or insurance. Through systematic documentation and analysis of these spending patterns, the study offers valuable insights into the multidimensional impact of scholarships. It provides evidence-based recommendations for policymakers, educational institutions and financial aid administrators to refine scholarship disbursement strategies, strengthen inclusivity, and enhance the socio-academic effectiveness of aid programs in addressing the complex realities faced by students from economically vulnerable backgrounds.</w:t>
      </w:r>
    </w:p>
    <w:p w14:paraId="2ED0C53F" w14:textId="6B876C08" w:rsidR="00511932" w:rsidRPr="000054E4" w:rsidRDefault="003A324A" w:rsidP="009E6A8A">
      <w:pPr>
        <w:ind w:firstLine="720"/>
        <w:jc w:val="center"/>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OBJECTIVES</w:t>
      </w:r>
    </w:p>
    <w:p w14:paraId="3E95136F" w14:textId="2FC7B8A9" w:rsidR="0013654D" w:rsidRDefault="0013654D" w:rsidP="009E6A8A">
      <w:pPr>
        <w:numPr>
          <w:ilvl w:val="0"/>
          <w:numId w:val="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explore the s</w:t>
      </w:r>
      <w:r w:rsidRPr="0013654D">
        <w:rPr>
          <w:rFonts w:ascii="Times New Roman" w:eastAsia="Times New Roman" w:hAnsi="Times New Roman" w:cs="Times New Roman"/>
          <w:sz w:val="24"/>
          <w:szCs w:val="24"/>
        </w:rPr>
        <w:t>ocio- personal profile of the respondents</w:t>
      </w:r>
    </w:p>
    <w:p w14:paraId="416EE9E6" w14:textId="08765484" w:rsidR="008A7B58" w:rsidRDefault="008A7B58" w:rsidP="009E6A8A">
      <w:pPr>
        <w:numPr>
          <w:ilvl w:val="0"/>
          <w:numId w:val="1"/>
        </w:numPr>
        <w:shd w:val="clear" w:color="auto" w:fill="FFFFFF"/>
        <w:jc w:val="both"/>
        <w:rPr>
          <w:rFonts w:ascii="Times New Roman" w:eastAsia="Times New Roman" w:hAnsi="Times New Roman" w:cs="Times New Roman"/>
          <w:sz w:val="24"/>
          <w:szCs w:val="24"/>
        </w:rPr>
      </w:pPr>
      <w:r w:rsidRPr="000054E4">
        <w:rPr>
          <w:rFonts w:ascii="Times New Roman" w:eastAsia="Times New Roman" w:hAnsi="Times New Roman" w:cs="Times New Roman"/>
          <w:sz w:val="24"/>
          <w:szCs w:val="24"/>
        </w:rPr>
        <w:t xml:space="preserve">To explore the utilization of Post Matric Scholarship by the </w:t>
      </w:r>
      <w:r w:rsidR="00F841E4">
        <w:rPr>
          <w:rFonts w:ascii="Times New Roman" w:eastAsia="Times New Roman" w:hAnsi="Times New Roman" w:cs="Times New Roman"/>
          <w:sz w:val="24"/>
          <w:szCs w:val="24"/>
        </w:rPr>
        <w:t xml:space="preserve">Undergraduate </w:t>
      </w:r>
      <w:r w:rsidRPr="000054E4">
        <w:rPr>
          <w:rFonts w:ascii="Times New Roman" w:eastAsia="Times New Roman" w:hAnsi="Times New Roman" w:cs="Times New Roman"/>
          <w:sz w:val="24"/>
          <w:szCs w:val="24"/>
        </w:rPr>
        <w:t>students</w:t>
      </w:r>
      <w:r w:rsidR="00F841E4">
        <w:rPr>
          <w:rFonts w:ascii="Times New Roman" w:eastAsia="Times New Roman" w:hAnsi="Times New Roman" w:cs="Times New Roman"/>
          <w:sz w:val="24"/>
          <w:szCs w:val="24"/>
        </w:rPr>
        <w:t>.</w:t>
      </w:r>
    </w:p>
    <w:p w14:paraId="383FD452" w14:textId="77777777" w:rsidR="0044685C" w:rsidRPr="000054E4" w:rsidRDefault="0044685C" w:rsidP="0044685C">
      <w:pPr>
        <w:shd w:val="clear" w:color="auto" w:fill="FFFFFF"/>
        <w:ind w:left="706"/>
        <w:jc w:val="both"/>
        <w:rPr>
          <w:rFonts w:ascii="Times New Roman" w:eastAsia="Times New Roman" w:hAnsi="Times New Roman" w:cs="Times New Roman"/>
          <w:sz w:val="24"/>
          <w:szCs w:val="24"/>
        </w:rPr>
      </w:pPr>
    </w:p>
    <w:p w14:paraId="44F82261" w14:textId="77777777" w:rsidR="0071755D" w:rsidRPr="000054E4" w:rsidRDefault="0071755D" w:rsidP="009E6A8A">
      <w:pPr>
        <w:ind w:left="346" w:right="4"/>
        <w:jc w:val="center"/>
        <w:rPr>
          <w:rFonts w:ascii="Times New Roman" w:eastAsia="Times New Roman" w:hAnsi="Times New Roman" w:cs="Times New Roman"/>
          <w:b/>
          <w:sz w:val="24"/>
          <w:szCs w:val="24"/>
          <w:highlight w:val="white"/>
        </w:rPr>
      </w:pPr>
      <w:r w:rsidRPr="000054E4">
        <w:rPr>
          <w:rFonts w:ascii="Times New Roman" w:eastAsia="Times New Roman" w:hAnsi="Times New Roman" w:cs="Times New Roman"/>
          <w:b/>
          <w:sz w:val="24"/>
          <w:szCs w:val="24"/>
          <w:highlight w:val="white"/>
        </w:rPr>
        <w:t>MATERIAL AND METHODS</w:t>
      </w:r>
    </w:p>
    <w:p w14:paraId="2729D413" w14:textId="57F1B267" w:rsidR="003A324A" w:rsidRPr="000054E4" w:rsidRDefault="0071755D" w:rsidP="009E6A8A">
      <w:pPr>
        <w:pStyle w:val="ListParagraph"/>
        <w:numPr>
          <w:ilvl w:val="0"/>
          <w:numId w:val="2"/>
        </w:numPr>
        <w:spacing w:before="120" w:after="120"/>
        <w:jc w:val="both"/>
        <w:rPr>
          <w:rFonts w:ascii="Times New Roman" w:eastAsia="Calibri" w:hAnsi="Times New Roman" w:cs="Times New Roman"/>
          <w:b/>
          <w:sz w:val="24"/>
          <w:szCs w:val="24"/>
        </w:rPr>
      </w:pPr>
      <w:r w:rsidRPr="000054E4">
        <w:rPr>
          <w:rFonts w:ascii="Times New Roman" w:eastAsia="Calibri" w:hAnsi="Times New Roman" w:cs="Times New Roman"/>
          <w:b/>
          <w:sz w:val="24"/>
          <w:szCs w:val="24"/>
        </w:rPr>
        <w:t xml:space="preserve">Location of the study: </w:t>
      </w:r>
      <w:r w:rsidR="0044685C" w:rsidRPr="0044685C">
        <w:rPr>
          <w:rFonts w:ascii="Times New Roman" w:eastAsia="Calibri" w:hAnsi="Times New Roman" w:cs="Times New Roman"/>
          <w:sz w:val="24"/>
          <w:szCs w:val="24"/>
        </w:rPr>
        <w:t>This study was carried out in the state of Haryana.</w:t>
      </w:r>
    </w:p>
    <w:p w14:paraId="4CD986FC" w14:textId="5FC1F033" w:rsidR="003A324A" w:rsidRPr="000054E4" w:rsidRDefault="003A324A" w:rsidP="009E6A8A">
      <w:pPr>
        <w:pStyle w:val="ListParagraph"/>
        <w:numPr>
          <w:ilvl w:val="0"/>
          <w:numId w:val="2"/>
        </w:numPr>
        <w:spacing w:before="120" w:after="120"/>
        <w:jc w:val="both"/>
        <w:rPr>
          <w:rFonts w:ascii="Times New Roman" w:eastAsia="Calibri" w:hAnsi="Times New Roman" w:cs="Times New Roman"/>
          <w:b/>
          <w:sz w:val="24"/>
          <w:szCs w:val="24"/>
        </w:rPr>
      </w:pPr>
      <w:r w:rsidRPr="000054E4">
        <w:rPr>
          <w:rFonts w:ascii="Times New Roman" w:eastAsia="Calibri" w:hAnsi="Times New Roman" w:cs="Times New Roman"/>
          <w:b/>
          <w:sz w:val="24"/>
          <w:szCs w:val="24"/>
        </w:rPr>
        <w:t xml:space="preserve">Selection of institute: </w:t>
      </w:r>
      <w:r w:rsidR="0044685C" w:rsidRPr="0044685C">
        <w:rPr>
          <w:rFonts w:ascii="Times New Roman" w:eastAsia="Calibri" w:hAnsi="Times New Roman" w:cs="Times New Roman"/>
          <w:bCs/>
          <w:sz w:val="24"/>
          <w:szCs w:val="24"/>
        </w:rPr>
        <w:t>"The research was conducted at two prominent higher education institutions in Hisar, Haryana</w:t>
      </w:r>
      <w:r w:rsidR="0044685C">
        <w:rPr>
          <w:rFonts w:ascii="Times New Roman" w:eastAsia="Calibri" w:hAnsi="Times New Roman" w:cs="Times New Roman"/>
          <w:bCs/>
          <w:sz w:val="24"/>
          <w:szCs w:val="24"/>
        </w:rPr>
        <w:t xml:space="preserve">, </w:t>
      </w:r>
      <w:r w:rsidR="0044685C" w:rsidRPr="0044685C">
        <w:rPr>
          <w:rFonts w:ascii="Times New Roman" w:eastAsia="Calibri" w:hAnsi="Times New Roman" w:cs="Times New Roman"/>
          <w:bCs/>
          <w:sz w:val="24"/>
          <w:szCs w:val="24"/>
        </w:rPr>
        <w:t xml:space="preserve">Choudhary </w:t>
      </w:r>
      <w:proofErr w:type="spellStart"/>
      <w:r w:rsidR="0044685C" w:rsidRPr="0044685C">
        <w:rPr>
          <w:rFonts w:ascii="Times New Roman" w:eastAsia="Calibri" w:hAnsi="Times New Roman" w:cs="Times New Roman"/>
          <w:bCs/>
          <w:sz w:val="24"/>
          <w:szCs w:val="24"/>
        </w:rPr>
        <w:t>Charan</w:t>
      </w:r>
      <w:proofErr w:type="spellEnd"/>
      <w:r w:rsidR="0044685C" w:rsidRPr="0044685C">
        <w:rPr>
          <w:rFonts w:ascii="Times New Roman" w:eastAsia="Calibri" w:hAnsi="Times New Roman" w:cs="Times New Roman"/>
          <w:bCs/>
          <w:sz w:val="24"/>
          <w:szCs w:val="24"/>
        </w:rPr>
        <w:t xml:space="preserve"> Singh Haryana Agricultural University (CCS HAU), affiliated with the Indian Council of Agricultural Research (ICAR)</w:t>
      </w:r>
      <w:r w:rsidR="0044685C">
        <w:rPr>
          <w:rFonts w:ascii="Times New Roman" w:eastAsia="Calibri" w:hAnsi="Times New Roman" w:cs="Times New Roman"/>
          <w:bCs/>
          <w:sz w:val="24"/>
          <w:szCs w:val="24"/>
        </w:rPr>
        <w:t xml:space="preserve"> </w:t>
      </w:r>
      <w:r w:rsidR="0044685C" w:rsidRPr="0044685C">
        <w:rPr>
          <w:rFonts w:ascii="Times New Roman" w:eastAsia="Calibri" w:hAnsi="Times New Roman" w:cs="Times New Roman"/>
          <w:bCs/>
          <w:sz w:val="24"/>
          <w:szCs w:val="24"/>
        </w:rPr>
        <w:t xml:space="preserve">and Guru </w:t>
      </w:r>
      <w:proofErr w:type="spellStart"/>
      <w:r w:rsidR="0044685C" w:rsidRPr="0044685C">
        <w:rPr>
          <w:rFonts w:ascii="Times New Roman" w:eastAsia="Calibri" w:hAnsi="Times New Roman" w:cs="Times New Roman"/>
          <w:bCs/>
          <w:sz w:val="24"/>
          <w:szCs w:val="24"/>
        </w:rPr>
        <w:t>Jambheshwar</w:t>
      </w:r>
      <w:proofErr w:type="spellEnd"/>
      <w:r w:rsidR="0044685C" w:rsidRPr="0044685C">
        <w:rPr>
          <w:rFonts w:ascii="Times New Roman" w:eastAsia="Calibri" w:hAnsi="Times New Roman" w:cs="Times New Roman"/>
          <w:bCs/>
          <w:sz w:val="24"/>
          <w:szCs w:val="24"/>
        </w:rPr>
        <w:t xml:space="preserve"> University of Science and Technology (GJU), recognized by the University Grants Commission (UGC).</w:t>
      </w:r>
    </w:p>
    <w:p w14:paraId="5135B974" w14:textId="7F020A6D" w:rsidR="00AC3EE2" w:rsidRPr="00421AF2" w:rsidRDefault="0071755D" w:rsidP="009E6A8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0054E4">
        <w:rPr>
          <w:rFonts w:ascii="Times New Roman" w:eastAsia="Calibri" w:hAnsi="Times New Roman" w:cs="Times New Roman"/>
          <w:b/>
          <w:sz w:val="24"/>
          <w:szCs w:val="24"/>
        </w:rPr>
        <w:t>Selection of respondents:</w:t>
      </w:r>
      <w:r w:rsidRPr="000054E4">
        <w:rPr>
          <w:rFonts w:ascii="Times New Roman" w:eastAsia="Calibri" w:hAnsi="Times New Roman" w:cs="Times New Roman"/>
          <w:sz w:val="24"/>
          <w:szCs w:val="24"/>
        </w:rPr>
        <w:t xml:space="preserve"> </w:t>
      </w:r>
      <w:r w:rsidR="0044685C" w:rsidRPr="0044685C">
        <w:rPr>
          <w:rFonts w:ascii="Times New Roman" w:eastAsia="Calibri" w:hAnsi="Times New Roman" w:cs="Times New Roman"/>
          <w:sz w:val="24"/>
          <w:szCs w:val="24"/>
        </w:rPr>
        <w:t xml:space="preserve">"Beneficiaries of the Post Matric Scholarship scheme belonging to Scheduled Castes and Backward Classes were selected as respondents from eight colleges. A </w:t>
      </w:r>
      <w:r w:rsidR="002A7BB6">
        <w:rPr>
          <w:rFonts w:ascii="Times New Roman" w:eastAsia="Calibri" w:hAnsi="Times New Roman" w:cs="Times New Roman"/>
          <w:sz w:val="24"/>
          <w:szCs w:val="24"/>
        </w:rPr>
        <w:t xml:space="preserve">simple </w:t>
      </w:r>
      <w:r w:rsidR="0044685C" w:rsidRPr="0044685C">
        <w:rPr>
          <w:rFonts w:ascii="Times New Roman" w:eastAsia="Calibri" w:hAnsi="Times New Roman" w:cs="Times New Roman"/>
          <w:sz w:val="24"/>
          <w:szCs w:val="24"/>
        </w:rPr>
        <w:t>random sample of 30 students was drawn from each institution, resulting in a total of 240 participants.</w:t>
      </w:r>
    </w:p>
    <w:p w14:paraId="10F4FB17" w14:textId="79895DC2" w:rsidR="0044685C" w:rsidRPr="0044685C" w:rsidRDefault="00AC3EE2" w:rsidP="007314C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44685C">
        <w:rPr>
          <w:rFonts w:ascii="Times New Roman" w:eastAsia="Times New Roman" w:hAnsi="Times New Roman" w:cs="Times New Roman"/>
          <w:b/>
          <w:sz w:val="24"/>
          <w:szCs w:val="24"/>
        </w:rPr>
        <w:t xml:space="preserve">Data collection method: </w:t>
      </w:r>
      <w:r w:rsidR="0044685C" w:rsidRPr="0044685C">
        <w:rPr>
          <w:rFonts w:ascii="Times New Roman" w:eastAsia="Times New Roman" w:hAnsi="Times New Roman" w:cs="Times New Roman"/>
          <w:bCs/>
          <w:sz w:val="24"/>
          <w:szCs w:val="24"/>
        </w:rPr>
        <w:t xml:space="preserve">The study employed a survey-based approach to collect relevant data from </w:t>
      </w:r>
      <w:r w:rsidR="0044685C">
        <w:rPr>
          <w:rFonts w:ascii="Times New Roman" w:eastAsia="Times New Roman" w:hAnsi="Times New Roman" w:cs="Times New Roman"/>
          <w:bCs/>
          <w:sz w:val="24"/>
          <w:szCs w:val="24"/>
        </w:rPr>
        <w:t>the respondents</w:t>
      </w:r>
      <w:r w:rsidR="0044685C" w:rsidRPr="0044685C">
        <w:rPr>
          <w:rFonts w:ascii="Times New Roman" w:eastAsia="Times New Roman" w:hAnsi="Times New Roman" w:cs="Times New Roman"/>
          <w:bCs/>
          <w:sz w:val="24"/>
          <w:szCs w:val="24"/>
        </w:rPr>
        <w:t>.</w:t>
      </w:r>
    </w:p>
    <w:p w14:paraId="6EBD5CDA" w14:textId="29C50EEE" w:rsidR="007051E7" w:rsidRPr="000054E4" w:rsidRDefault="008A34B3" w:rsidP="009E6A8A">
      <w:pPr>
        <w:pStyle w:val="ListParagraph"/>
        <w:numPr>
          <w:ilvl w:val="0"/>
          <w:numId w:val="2"/>
        </w:numPr>
        <w:spacing w:beforeAutospacing="1" w:afterAutospacing="1"/>
        <w:ind w:right="4"/>
        <w:jc w:val="both"/>
        <w:rPr>
          <w:rFonts w:ascii="Times New Roman" w:eastAsia="Times New Roman" w:hAnsi="Times New Roman" w:cs="Times New Roman"/>
          <w:b/>
          <w:sz w:val="24"/>
          <w:szCs w:val="24"/>
        </w:rPr>
      </w:pPr>
      <w:r w:rsidRPr="000054E4">
        <w:rPr>
          <w:rFonts w:ascii="Times New Roman" w:eastAsia="Times New Roman" w:hAnsi="Times New Roman" w:cs="Times New Roman"/>
          <w:b/>
          <w:sz w:val="24"/>
          <w:szCs w:val="24"/>
        </w:rPr>
        <w:t xml:space="preserve">Statistical analysis:  </w:t>
      </w:r>
      <w:r w:rsidR="0044685C" w:rsidRPr="0044685C">
        <w:rPr>
          <w:rFonts w:ascii="Times New Roman" w:eastAsia="Calibri" w:hAnsi="Times New Roman" w:cs="Times New Roman"/>
          <w:sz w:val="24"/>
          <w:szCs w:val="24"/>
        </w:rPr>
        <w:t xml:space="preserve">Data analysis was conducted using Microsoft Office Excel 2010 and the Statistical Package for the Social Sciences (SPSS). A range of statistical techniques </w:t>
      </w:r>
      <w:r w:rsidR="0044685C" w:rsidRPr="0044685C">
        <w:rPr>
          <w:rFonts w:ascii="Times New Roman" w:eastAsia="Calibri" w:hAnsi="Times New Roman" w:cs="Times New Roman"/>
          <w:sz w:val="24"/>
          <w:szCs w:val="24"/>
        </w:rPr>
        <w:lastRenderedPageBreak/>
        <w:t>and tests were applied to ensure comprehensive interpretation and bolster the reliability and validity of the study's findings</w:t>
      </w:r>
      <w:r w:rsidR="0044685C">
        <w:rPr>
          <w:rFonts w:ascii="Times New Roman" w:eastAsia="Calibri" w:hAnsi="Times New Roman" w:cs="Times New Roman"/>
          <w:sz w:val="24"/>
          <w:szCs w:val="24"/>
        </w:rPr>
        <w:t>.</w:t>
      </w:r>
    </w:p>
    <w:p w14:paraId="1C97F348" w14:textId="497D1EC1" w:rsidR="00AC3EE2" w:rsidRPr="000054E4" w:rsidRDefault="007051E7" w:rsidP="009E6A8A">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Frequency</w:t>
      </w:r>
      <w:r w:rsidR="000E12FE" w:rsidRPr="000054E4">
        <w:rPr>
          <w:rFonts w:ascii="Times New Roman" w:eastAsia="Times New Roman" w:hAnsi="Times New Roman" w:cs="Times New Roman"/>
          <w:b/>
          <w:bCs/>
          <w:sz w:val="24"/>
          <w:szCs w:val="24"/>
        </w:rPr>
        <w:t xml:space="preserve"> and </w:t>
      </w:r>
      <w:r w:rsidRPr="000054E4">
        <w:rPr>
          <w:rFonts w:ascii="Times New Roman" w:eastAsia="Times New Roman" w:hAnsi="Times New Roman" w:cs="Times New Roman"/>
          <w:b/>
          <w:bCs/>
          <w:sz w:val="24"/>
          <w:szCs w:val="24"/>
        </w:rPr>
        <w:t>Percentage</w:t>
      </w:r>
      <w:r w:rsidR="000E12FE" w:rsidRPr="000054E4">
        <w:rPr>
          <w:rFonts w:ascii="Times New Roman" w:eastAsia="Times New Roman" w:hAnsi="Times New Roman" w:cs="Times New Roman"/>
          <w:b/>
          <w:bCs/>
          <w:sz w:val="24"/>
          <w:szCs w:val="24"/>
        </w:rPr>
        <w:t>:</w:t>
      </w:r>
      <w:r w:rsidR="000E12FE" w:rsidRPr="000054E4">
        <w:rPr>
          <w:rFonts w:ascii="Times New Roman" w:eastAsia="Times New Roman" w:hAnsi="Times New Roman" w:cs="Times New Roman"/>
          <w:sz w:val="24"/>
          <w:szCs w:val="24"/>
        </w:rPr>
        <w:t xml:space="preserve"> </w:t>
      </w:r>
      <w:r w:rsidR="0044685C" w:rsidRPr="0044685C">
        <w:rPr>
          <w:rFonts w:ascii="Times New Roman" w:eastAsia="Times New Roman" w:hAnsi="Times New Roman" w:cs="Times New Roman"/>
          <w:sz w:val="24"/>
          <w:szCs w:val="24"/>
        </w:rPr>
        <w:t>Frequency indicates how often a particular event or observation takes place within a specified dataset or time frame, whereas percentage represents the share of a whole, articulated as a value out of 100</w:t>
      </w:r>
      <w:r w:rsidR="0044685C">
        <w:rPr>
          <w:rFonts w:ascii="Times New Roman" w:eastAsia="Times New Roman" w:hAnsi="Times New Roman" w:cs="Times New Roman"/>
          <w:sz w:val="24"/>
          <w:szCs w:val="24"/>
        </w:rPr>
        <w:t>.</w:t>
      </w:r>
    </w:p>
    <w:p w14:paraId="04C12880" w14:textId="77777777" w:rsidR="000E12FE" w:rsidRPr="000054E4" w:rsidRDefault="000E12FE" w:rsidP="009E6A8A">
      <w:pPr>
        <w:pStyle w:val="ListParagraph"/>
        <w:numPr>
          <w:ilvl w:val="0"/>
          <w:numId w:val="15"/>
        </w:numPr>
        <w:spacing w:after="200"/>
        <w:jc w:val="both"/>
        <w:rPr>
          <w:rFonts w:ascii="Times New Roman" w:eastAsia="Times New Roman" w:hAnsi="Times New Roman" w:cs="Times New Roman"/>
          <w:b/>
          <w:bCs/>
          <w:sz w:val="24"/>
          <w:szCs w:val="24"/>
          <w:lang w:bidi="hi-IN"/>
        </w:rPr>
      </w:pPr>
      <w:r w:rsidRPr="000054E4">
        <w:rPr>
          <w:rFonts w:ascii="Times New Roman" w:eastAsia="Times New Roman" w:hAnsi="Times New Roman" w:cs="Times New Roman"/>
          <w:b/>
          <w:bCs/>
          <w:sz w:val="24"/>
          <w:szCs w:val="24"/>
          <w:lang w:bidi="hi-IN"/>
        </w:rPr>
        <w:t xml:space="preserve">Frequency calculated with the help of following formula </w:t>
      </w:r>
    </w:p>
    <w:p w14:paraId="013B5A52" w14:textId="77777777" w:rsidR="000E12FE" w:rsidRPr="000054E4" w:rsidRDefault="000E12FE" w:rsidP="009E6A8A">
      <w:pPr>
        <w:pStyle w:val="ListParagraph"/>
        <w:ind w:left="1440"/>
        <w:jc w:val="both"/>
        <w:rPr>
          <w:rFonts w:ascii="Times New Roman" w:eastAsia="Times New Roman" w:hAnsi="Times New Roman" w:cs="Times New Roman"/>
          <w:sz w:val="24"/>
          <w:szCs w:val="24"/>
          <w:lang w:bidi="hi-IN"/>
        </w:rPr>
      </w:pPr>
      <w:r w:rsidRPr="000054E4">
        <w:rPr>
          <w:rFonts w:ascii="Times New Roman" w:eastAsia="Times New Roman" w:hAnsi="Times New Roman" w:cs="Times New Roman"/>
          <w:sz w:val="24"/>
          <w:szCs w:val="24"/>
          <w:lang w:bidi="hi-IN"/>
        </w:rPr>
        <w:t>f=Number of occurrences of an event</w:t>
      </w:r>
    </w:p>
    <w:p w14:paraId="5D04A885" w14:textId="77777777" w:rsidR="000E12FE" w:rsidRPr="000054E4" w:rsidRDefault="000E12FE" w:rsidP="009E6A8A">
      <w:pPr>
        <w:pStyle w:val="ListParagraph"/>
        <w:numPr>
          <w:ilvl w:val="0"/>
          <w:numId w:val="15"/>
        </w:numPr>
        <w:spacing w:after="200"/>
        <w:jc w:val="both"/>
        <w:rPr>
          <w:rFonts w:ascii="Times New Roman" w:eastAsia="Times New Roman" w:hAnsi="Times New Roman" w:cs="Times New Roman"/>
          <w:b/>
          <w:bCs/>
          <w:sz w:val="24"/>
          <w:szCs w:val="24"/>
          <w:lang w:bidi="hi-IN"/>
        </w:rPr>
      </w:pPr>
      <w:r w:rsidRPr="000054E4">
        <w:rPr>
          <w:rFonts w:ascii="Times New Roman" w:hAnsi="Times New Roman" w:cs="Times New Roman"/>
          <w:b/>
          <w:sz w:val="24"/>
          <w:szCs w:val="24"/>
        </w:rPr>
        <w:t xml:space="preserve">Percentage was calculated with the following formula </w:t>
      </w:r>
    </w:p>
    <w:p w14:paraId="26E22E92" w14:textId="77777777" w:rsidR="000E12FE" w:rsidRPr="000054E4" w:rsidRDefault="000E12FE" w:rsidP="009E6A8A">
      <w:pPr>
        <w:pStyle w:val="ListParagraph"/>
        <w:ind w:left="480"/>
        <w:jc w:val="both"/>
        <w:rPr>
          <w:rFonts w:ascii="Times New Roman" w:eastAsiaTheme="minorEastAsia" w:hAnsi="Times New Roman" w:cs="Times New Roman"/>
          <w:sz w:val="24"/>
          <w:szCs w:val="24"/>
        </w:rPr>
      </w:pPr>
      <w:r w:rsidRPr="000054E4">
        <w:rPr>
          <w:rFonts w:ascii="Times New Roman" w:hAnsi="Times New Roman" w:cs="Times New Roman"/>
          <w:b/>
          <w:sz w:val="24"/>
          <w:szCs w:val="24"/>
        </w:rPr>
        <w:t xml:space="preserve">                 </w:t>
      </w:r>
      <w:r w:rsidRPr="000054E4">
        <w:rPr>
          <w:rFonts w:ascii="Times New Roman" w:hAnsi="Times New Roman" w:cs="Times New Roman"/>
          <w:sz w:val="24"/>
          <w:szCs w:val="24"/>
        </w:rPr>
        <w:t xml:space="preserve">Percentage = </w:t>
      </w:r>
      <m:oMath>
        <m:f>
          <m:fPr>
            <m:ctrlPr>
              <w:rPr>
                <w:rFonts w:ascii="Cambria Math" w:hAnsi="Cambria Math" w:cs="Times New Roman"/>
                <w:sz w:val="24"/>
                <w:szCs w:val="24"/>
              </w:rPr>
            </m:ctrlPr>
          </m:fPr>
          <m:num>
            <m:r>
              <m:rPr>
                <m:sty m:val="p"/>
              </m:rPr>
              <w:rPr>
                <w:rFonts w:ascii="Cambria Math" w:hAnsi="Cambria Math" w:cs="Times New Roman"/>
                <w:sz w:val="24"/>
                <w:szCs w:val="24"/>
              </w:rPr>
              <m:t>Number of responses</m:t>
            </m:r>
          </m:num>
          <m:den>
            <m:r>
              <m:rPr>
                <m:sty m:val="p"/>
              </m:rPr>
              <w:rPr>
                <w:rFonts w:ascii="Cambria Math" w:hAnsi="Cambria Math" w:cs="Times New Roman"/>
                <w:sz w:val="24"/>
                <w:szCs w:val="24"/>
              </w:rPr>
              <m:t xml:space="preserve">Total number of respondents </m:t>
            </m:r>
          </m:den>
        </m:f>
        <m:r>
          <m:rPr>
            <m:sty m:val="p"/>
          </m:rPr>
          <w:rPr>
            <w:rFonts w:ascii="Cambria Math" w:hAnsi="Cambria Math" w:cs="Times New Roman"/>
            <w:sz w:val="24"/>
            <w:szCs w:val="24"/>
          </w:rPr>
          <m:t>×100</m:t>
        </m:r>
      </m:oMath>
    </w:p>
    <w:p w14:paraId="4F0D65C4" w14:textId="77777777" w:rsidR="003F7E45" w:rsidRPr="003F7E45" w:rsidRDefault="007051E7" w:rsidP="003F7E45">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0054E4">
        <w:rPr>
          <w:rFonts w:ascii="Times New Roman" w:eastAsia="Times New Roman" w:hAnsi="Times New Roman" w:cs="Times New Roman"/>
          <w:b/>
          <w:bCs/>
          <w:sz w:val="24"/>
          <w:szCs w:val="24"/>
        </w:rPr>
        <w:t>Mean</w:t>
      </w:r>
      <w:r w:rsidR="000E12FE" w:rsidRPr="000054E4">
        <w:rPr>
          <w:rFonts w:ascii="Times New Roman" w:eastAsia="Times New Roman" w:hAnsi="Times New Roman" w:cs="Times New Roman"/>
          <w:b/>
          <w:bCs/>
          <w:sz w:val="24"/>
          <w:szCs w:val="24"/>
        </w:rPr>
        <w:t xml:space="preserve">: </w:t>
      </w:r>
      <w:r w:rsidR="0044685C" w:rsidRPr="0044685C">
        <w:rPr>
          <w:rFonts w:ascii="Times New Roman" w:eastAsia="Times New Roman" w:hAnsi="Times New Roman" w:cs="Times New Roman"/>
          <w:sz w:val="24"/>
          <w:szCs w:val="24"/>
        </w:rPr>
        <w:t>Mean refers to the average value in a dataset, calculated by dividing the sum of all observations by their count</w:t>
      </w:r>
      <w:r w:rsidR="000E12FE" w:rsidRPr="000054E4">
        <w:rPr>
          <w:rFonts w:ascii="Times New Roman" w:eastAsia="Times New Roman" w:hAnsi="Times New Roman" w:cs="Times New Roman"/>
          <w:sz w:val="24"/>
          <w:szCs w:val="24"/>
        </w:rPr>
        <w:t>.</w:t>
      </w:r>
    </w:p>
    <w:p w14:paraId="30C5CC05" w14:textId="001209C4" w:rsidR="0044685C" w:rsidRPr="003F7E45" w:rsidRDefault="0044685C" w:rsidP="003F7E45">
      <w:pPr>
        <w:pStyle w:val="ListParagraph"/>
        <w:numPr>
          <w:ilvl w:val="1"/>
          <w:numId w:val="2"/>
        </w:numPr>
        <w:spacing w:beforeAutospacing="1" w:afterAutospacing="1"/>
        <w:ind w:right="4"/>
        <w:jc w:val="both"/>
        <w:rPr>
          <w:rFonts w:ascii="Times New Roman" w:eastAsia="Times New Roman" w:hAnsi="Times New Roman" w:cs="Times New Roman"/>
          <w:b/>
          <w:bCs/>
          <w:sz w:val="24"/>
          <w:szCs w:val="24"/>
        </w:rPr>
      </w:pPr>
      <w:r w:rsidRPr="003F7E45">
        <w:rPr>
          <w:rFonts w:ascii="Times New Roman" w:eastAsia="Times New Roman" w:hAnsi="Times New Roman" w:cs="Times New Roman"/>
          <w:b/>
          <w:bCs/>
        </w:rPr>
        <w:t>Garret Rank Score:</w:t>
      </w:r>
      <w:r w:rsidRPr="003F7E45">
        <w:rPr>
          <w:rFonts w:ascii="Times New Roman" w:eastAsia="Times New Roman" w:hAnsi="Times New Roman" w:cs="Times New Roman"/>
        </w:rPr>
        <w:t xml:space="preserve"> </w:t>
      </w:r>
      <w:r w:rsidR="003F7E45" w:rsidRPr="003F7E45">
        <w:rPr>
          <w:rFonts w:ascii="Times New Roman" w:eastAsia="Times New Roman" w:hAnsi="Times New Roman" w:cs="Times New Roman"/>
        </w:rPr>
        <w:t>Following Garret’s (1969) Ranking Method, percent positions were transformed into corresponding Garret score values using the Garret Ranking Conversion Table. In this study, the Henry Garret Ranking Technique was employed to prioritize the areas of scholarship utilization. Respondents were asked to rank various utilization domains, and these ranks were then converted into score values using the prescribed formula.</w:t>
      </w:r>
    </w:p>
    <w:p w14:paraId="2F309AAF" w14:textId="77777777" w:rsidR="0044685C" w:rsidRPr="002847EE" w:rsidRDefault="0044685C" w:rsidP="0044685C">
      <w:pPr>
        <w:tabs>
          <w:tab w:val="left" w:pos="270"/>
          <w:tab w:val="left" w:pos="450"/>
        </w:tabs>
        <w:jc w:val="both"/>
        <w:rPr>
          <w:rFonts w:ascii="Times New Roman" w:eastAsia="Calibri" w:hAnsi="Times New Roman" w:cs="Times New Roman"/>
        </w:rPr>
      </w:pPr>
      <w:r w:rsidRPr="002847EE">
        <w:rPr>
          <w:rFonts w:ascii="Times New Roman" w:eastAsia="Calibri" w:hAnsi="Times New Roman" w:cs="Times New Roman"/>
          <w:color w:val="000000"/>
        </w:rPr>
        <w:t xml:space="preserve">              Where, </w:t>
      </w:r>
      <m:oMath>
        <m:r>
          <m:rPr>
            <m:sty m:val="p"/>
          </m:rPr>
          <w:rPr>
            <w:rFonts w:ascii="Cambria Math" w:eastAsia="Calibri" w:hAnsi="Cambria Math" w:cs="Times New Roman"/>
          </w:rPr>
          <w:br/>
        </m:r>
      </m:oMath>
      <m:oMathPara>
        <m:oMath>
          <m:r>
            <m:rPr>
              <m:sty m:val="p"/>
            </m:rPr>
            <w:rPr>
              <w:rFonts w:ascii="Cambria Math" w:eastAsia="Calibri" w:hAnsi="Cambria Math" w:cs="Times New Roman"/>
            </w:rPr>
            <m:t>Percent position</m:t>
          </m:r>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rPr>
                <m:t>100(</m:t>
              </m:r>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ij</m:t>
                  </m:r>
                </m:sub>
              </m:sSub>
              <m:r>
                <w:rPr>
                  <w:rFonts w:ascii="Cambria Math" w:eastAsia="Calibri" w:hAnsi="Cambria Math" w:cs="Times New Roman"/>
                </w:rPr>
                <m:t>-0.5)</m:t>
              </m:r>
            </m:num>
            <m:den>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j</m:t>
                  </m:r>
                </m:sub>
              </m:sSub>
            </m:den>
          </m:f>
        </m:oMath>
      </m:oMathPara>
    </w:p>
    <w:p w14:paraId="76AAEE42" w14:textId="77777777" w:rsidR="0044685C" w:rsidRPr="002847EE" w:rsidRDefault="0044685C" w:rsidP="0044685C">
      <w:pPr>
        <w:jc w:val="both"/>
        <w:rPr>
          <w:rFonts w:ascii="Times New Roman" w:eastAsia="Calibri" w:hAnsi="Times New Roman" w:cs="Times New Roman"/>
        </w:rPr>
      </w:pPr>
      <w:r w:rsidRPr="002847EE">
        <w:rPr>
          <w:rFonts w:ascii="Times New Roman" w:eastAsia="Times New Roman" w:hAnsi="Times New Roman"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ij</m:t>
            </m:r>
          </m:sub>
        </m:sSub>
      </m:oMath>
      <w:r w:rsidRPr="002847EE">
        <w:rPr>
          <w:rFonts w:ascii="Times New Roman" w:eastAsia="Calibri" w:hAnsi="Times New Roman" w:cs="Times New Roman"/>
        </w:rPr>
        <w:t xml:space="preserve">= </w:t>
      </w:r>
      <w:r>
        <w:rPr>
          <w:rFonts w:ascii="Times New Roman" w:eastAsia="Calibri" w:hAnsi="Times New Roman" w:cs="Times New Roman"/>
        </w:rPr>
        <w:t>Rank</w:t>
      </w:r>
      <w:r w:rsidRPr="002847EE">
        <w:rPr>
          <w:rFonts w:ascii="Times New Roman" w:eastAsia="Calibri" w:hAnsi="Times New Roman" w:cs="Times New Roman"/>
        </w:rPr>
        <w:t xml:space="preserve"> given for the </w:t>
      </w:r>
      <w:proofErr w:type="spellStart"/>
      <w:r w:rsidRPr="002847EE">
        <w:rPr>
          <w:rFonts w:ascii="Times New Roman" w:eastAsia="Calibri" w:hAnsi="Times New Roman" w:cs="Times New Roman"/>
        </w:rPr>
        <w:t>ith</w:t>
      </w:r>
      <w:proofErr w:type="spellEnd"/>
      <w:r w:rsidRPr="002847EE">
        <w:rPr>
          <w:rFonts w:ascii="Times New Roman" w:eastAsia="Calibri" w:hAnsi="Times New Roman" w:cs="Times New Roman"/>
        </w:rPr>
        <w:t xml:space="preserve"> utilization by </w:t>
      </w:r>
      <w:proofErr w:type="spellStart"/>
      <w:r w:rsidRPr="002847EE">
        <w:rPr>
          <w:rFonts w:ascii="Times New Roman" w:eastAsia="Calibri" w:hAnsi="Times New Roman" w:cs="Times New Roman"/>
        </w:rPr>
        <w:t>j</w:t>
      </w:r>
      <w:r w:rsidRPr="002847EE">
        <w:rPr>
          <w:rFonts w:ascii="Times New Roman" w:eastAsia="Calibri" w:hAnsi="Times New Roman" w:cs="Times New Roman"/>
          <w:vertAlign w:val="superscript"/>
        </w:rPr>
        <w:t>th</w:t>
      </w:r>
      <w:proofErr w:type="spellEnd"/>
      <w:r w:rsidRPr="002847EE">
        <w:rPr>
          <w:rFonts w:ascii="Times New Roman" w:eastAsia="Calibri" w:hAnsi="Times New Roman" w:cs="Times New Roman"/>
        </w:rPr>
        <w:t xml:space="preserve"> respondents</w:t>
      </w:r>
    </w:p>
    <w:p w14:paraId="16834D25" w14:textId="77777777" w:rsidR="0044685C" w:rsidRPr="002847EE" w:rsidRDefault="0044685C" w:rsidP="0044685C">
      <w:pPr>
        <w:jc w:val="both"/>
        <w:rPr>
          <w:rFonts w:ascii="Times New Roman" w:eastAsia="Calibri" w:hAnsi="Times New Roman" w:cs="Times New Roman"/>
        </w:rPr>
      </w:pPr>
      <w:r w:rsidRPr="002847EE">
        <w:rPr>
          <w:rFonts w:ascii="Times New Roman" w:eastAsia="Times New Roman" w:hAnsi="Times New Roman" w:cs="Times New Roman"/>
        </w:rPr>
        <w:t xml:space="preserve">                                </w:t>
      </w:r>
      <m:oMath>
        <m:sSub>
          <m:sSubPr>
            <m:ctrlPr>
              <w:rPr>
                <w:rFonts w:ascii="Cambria Math" w:eastAsia="Calibri" w:hAnsi="Cambria Math" w:cs="Times New Roman"/>
                <w:i/>
              </w:rPr>
            </m:ctrlPr>
          </m:sSubPr>
          <m:e>
            <m:r>
              <w:rPr>
                <w:rFonts w:ascii="Cambria Math" w:eastAsia="Calibri" w:hAnsi="Cambria Math" w:cs="Times New Roman"/>
              </w:rPr>
              <m:t>N</m:t>
            </m:r>
          </m:e>
          <m:sub>
            <m:r>
              <w:rPr>
                <w:rFonts w:ascii="Cambria Math" w:eastAsia="Calibri" w:hAnsi="Cambria Math" w:cs="Times New Roman"/>
              </w:rPr>
              <m:t>j</m:t>
            </m:r>
          </m:sub>
        </m:sSub>
      </m:oMath>
      <w:r w:rsidRPr="002847EE">
        <w:rPr>
          <w:rFonts w:ascii="Times New Roman" w:eastAsia="Calibri" w:hAnsi="Times New Roman" w:cs="Times New Roman"/>
        </w:rPr>
        <w:t xml:space="preserve">= Number of utilizations </w:t>
      </w:r>
      <w:r>
        <w:rPr>
          <w:rFonts w:ascii="Times New Roman" w:eastAsia="Calibri" w:hAnsi="Times New Roman" w:cs="Times New Roman"/>
        </w:rPr>
        <w:t>Rank</w:t>
      </w:r>
      <w:r w:rsidRPr="002847EE">
        <w:rPr>
          <w:rFonts w:ascii="Times New Roman" w:eastAsia="Calibri" w:hAnsi="Times New Roman" w:cs="Times New Roman"/>
        </w:rPr>
        <w:t xml:space="preserve">ed by the </w:t>
      </w:r>
      <w:proofErr w:type="spellStart"/>
      <w:r w:rsidRPr="002847EE">
        <w:rPr>
          <w:rFonts w:ascii="Times New Roman" w:eastAsia="Calibri" w:hAnsi="Times New Roman" w:cs="Times New Roman"/>
        </w:rPr>
        <w:t>j</w:t>
      </w:r>
      <w:r w:rsidRPr="002847EE">
        <w:rPr>
          <w:rFonts w:ascii="Times New Roman" w:eastAsia="Calibri" w:hAnsi="Times New Roman" w:cs="Times New Roman"/>
          <w:vertAlign w:val="superscript"/>
        </w:rPr>
        <w:t>th</w:t>
      </w:r>
      <w:proofErr w:type="spellEnd"/>
      <w:r w:rsidRPr="002847EE">
        <w:rPr>
          <w:rFonts w:ascii="Times New Roman" w:eastAsia="Calibri" w:hAnsi="Times New Roman" w:cs="Times New Roman"/>
        </w:rPr>
        <w:t xml:space="preserve"> respondents</w:t>
      </w:r>
    </w:p>
    <w:p w14:paraId="46333EF6" w14:textId="10159BA3" w:rsidR="0044685C" w:rsidRPr="002847EE" w:rsidRDefault="003F7E45" w:rsidP="0044685C">
      <w:pPr>
        <w:ind w:firstLine="720"/>
        <w:jc w:val="both"/>
        <w:rPr>
          <w:rFonts w:ascii="Times New Roman" w:eastAsia="Times New Roman" w:hAnsi="Times New Roman" w:cs="Times New Roman"/>
        </w:rPr>
      </w:pPr>
      <w:r w:rsidRPr="003F7E45">
        <w:rPr>
          <w:rFonts w:ascii="Times New Roman" w:eastAsia="Times New Roman" w:hAnsi="Times New Roman" w:cs="Times New Roman"/>
        </w:rPr>
        <w:t>For each scholarship utilization statement, Garret scores obtained from all respondents were aggregated and then averaged to determine the Garret mean score. This process was repeated across all utilization statements. Rankings were assigned based on these mean scores, with the highest score indicating the most significant area of scholarship utilization. The resulting rank order effectively reflected the respondents' prioritization of scholarship use</w:t>
      </w:r>
      <w:r w:rsidR="0044685C" w:rsidRPr="002847EE">
        <w:rPr>
          <w:rFonts w:ascii="Times New Roman" w:eastAsia="Times New Roman" w:hAnsi="Times New Roman" w:cs="Times New Roman"/>
        </w:rPr>
        <w:t xml:space="preserve">. </w:t>
      </w:r>
    </w:p>
    <w:p w14:paraId="7780CCE2" w14:textId="77777777" w:rsidR="008A34B3" w:rsidRDefault="008A34B3" w:rsidP="009E6A8A">
      <w:pPr>
        <w:spacing w:beforeAutospacing="1" w:afterAutospacing="1"/>
        <w:ind w:right="4"/>
        <w:jc w:val="center"/>
        <w:rPr>
          <w:rFonts w:ascii="Times New Roman" w:eastAsia="Times New Roman" w:hAnsi="Times New Roman" w:cs="Times New Roman"/>
          <w:b/>
          <w:sz w:val="24"/>
          <w:szCs w:val="24"/>
          <w:highlight w:val="white"/>
        </w:rPr>
      </w:pPr>
      <w:r w:rsidRPr="006B6B35">
        <w:rPr>
          <w:rFonts w:ascii="Times New Roman" w:eastAsia="Times New Roman" w:hAnsi="Times New Roman" w:cs="Times New Roman"/>
          <w:b/>
          <w:sz w:val="24"/>
          <w:szCs w:val="24"/>
          <w:highlight w:val="white"/>
        </w:rPr>
        <w:t>RESULT AND DISCUSSION</w:t>
      </w:r>
    </w:p>
    <w:p w14:paraId="34CE5237" w14:textId="16E9E43E" w:rsidR="0013654D" w:rsidRPr="0013654D" w:rsidRDefault="0013654D" w:rsidP="0013654D">
      <w:pPr>
        <w:shd w:val="clear" w:color="auto" w:fill="FFFFFF"/>
        <w:jc w:val="both"/>
        <w:rPr>
          <w:rFonts w:ascii="Times New Roman" w:eastAsia="Times New Roman" w:hAnsi="Times New Roman" w:cs="Times New Roman"/>
          <w:b/>
          <w:bCs/>
          <w:sz w:val="24"/>
          <w:szCs w:val="24"/>
        </w:rPr>
      </w:pPr>
      <w:r w:rsidRPr="0013654D">
        <w:rPr>
          <w:rFonts w:ascii="Times New Roman" w:eastAsia="Times New Roman" w:hAnsi="Times New Roman" w:cs="Times New Roman"/>
          <w:b/>
          <w:bCs/>
          <w:sz w:val="24"/>
          <w:szCs w:val="24"/>
        </w:rPr>
        <w:t>Socio- personal profile of the respondents</w:t>
      </w:r>
    </w:p>
    <w:p w14:paraId="5E83A069" w14:textId="03BCA84B" w:rsidR="0013654D" w:rsidRDefault="0013654D" w:rsidP="0013654D">
      <w:pPr>
        <w:ind w:right="4" w:firstLine="720"/>
        <w:jc w:val="both"/>
        <w:rPr>
          <w:rFonts w:ascii="Times New Roman" w:eastAsia="Times New Roman" w:hAnsi="Times New Roman" w:cs="Times New Roman"/>
          <w:bCs/>
        </w:rPr>
      </w:pPr>
      <w:r w:rsidRPr="002847EE">
        <w:rPr>
          <w:rFonts w:ascii="Times New Roman" w:eastAsia="Times New Roman" w:hAnsi="Times New Roman" w:cs="Times New Roman"/>
        </w:rPr>
        <w:lastRenderedPageBreak/>
        <w:t xml:space="preserve">With respect to age of the respondents, it was found that more than half of the respondents from CCS HAU and </w:t>
      </w:r>
      <w:r>
        <w:rPr>
          <w:rFonts w:ascii="Times New Roman" w:eastAsia="Times New Roman" w:hAnsi="Times New Roman" w:cs="Times New Roman"/>
        </w:rPr>
        <w:t xml:space="preserve">GJUS&amp;T </w:t>
      </w:r>
      <w:r w:rsidRPr="002847EE">
        <w:rPr>
          <w:rFonts w:ascii="Times New Roman" w:eastAsia="Times New Roman" w:hAnsi="Times New Roman" w:cs="Times New Roman"/>
        </w:rPr>
        <w:t xml:space="preserve">belonged to </w:t>
      </w:r>
      <w:bookmarkStart w:id="2" w:name="_Hlk195002031"/>
      <w:r w:rsidRPr="002847EE">
        <w:rPr>
          <w:rFonts w:ascii="Times New Roman" w:eastAsia="Times New Roman" w:hAnsi="Times New Roman" w:cs="Times New Roman"/>
        </w:rPr>
        <w:t xml:space="preserve">20 to 22 years </w:t>
      </w:r>
      <w:bookmarkEnd w:id="2"/>
      <w:r w:rsidRPr="002847EE">
        <w:rPr>
          <w:rFonts w:ascii="Times New Roman" w:eastAsia="Times New Roman" w:hAnsi="Times New Roman" w:cs="Times New Roman"/>
        </w:rPr>
        <w:t xml:space="preserve">of the age </w:t>
      </w:r>
      <w:r w:rsidRPr="00AC0E26">
        <w:rPr>
          <w:rFonts w:ascii="Times New Roman" w:eastAsia="Times New Roman" w:hAnsi="Times New Roman" w:cs="Times New Roman"/>
          <w:i/>
          <w:iCs/>
        </w:rPr>
        <w:t>i.e.</w:t>
      </w:r>
      <w:r w:rsidRPr="002847EE">
        <w:rPr>
          <w:rFonts w:ascii="Times New Roman" w:eastAsia="Times New Roman" w:hAnsi="Times New Roman" w:cs="Times New Roman"/>
        </w:rPr>
        <w:t xml:space="preserve"> </w:t>
      </w:r>
      <w:bookmarkStart w:id="3" w:name="_Hlk195002073"/>
      <w:r w:rsidRPr="002847EE">
        <w:rPr>
          <w:rFonts w:ascii="Times New Roman" w:eastAsia="Times New Roman" w:hAnsi="Times New Roman" w:cs="Times New Roman"/>
        </w:rPr>
        <w:t xml:space="preserve">56.67 per cent and 50.83 </w:t>
      </w:r>
      <w:bookmarkEnd w:id="3"/>
      <w:r w:rsidRPr="002847EE">
        <w:rPr>
          <w:rFonts w:ascii="Times New Roman" w:eastAsia="Times New Roman" w:hAnsi="Times New Roman" w:cs="Times New Roman"/>
        </w:rPr>
        <w:t xml:space="preserve">per cent respectively. </w:t>
      </w:r>
      <w:r w:rsidRPr="002847EE">
        <w:rPr>
          <w:rFonts w:ascii="Times New Roman" w:eastAsia="Times New Roman" w:hAnsi="Times New Roman" w:cs="Times New Roman"/>
          <w:bCs/>
        </w:rPr>
        <w:t>In reference with gender,</w:t>
      </w:r>
      <w:r w:rsidRPr="002847EE">
        <w:rPr>
          <w:rFonts w:ascii="Times New Roman" w:eastAsia="Times New Roman" w:hAnsi="Times New Roman" w:cs="Times New Roman"/>
          <w:b/>
        </w:rPr>
        <w:t xml:space="preserve"> </w:t>
      </w:r>
      <w:bookmarkStart w:id="4" w:name="_Hlk195004567"/>
      <w:r w:rsidRPr="002847EE">
        <w:rPr>
          <w:rFonts w:ascii="Times New Roman" w:eastAsia="Times New Roman" w:hAnsi="Times New Roman" w:cs="Times New Roman"/>
          <w:bCs/>
        </w:rPr>
        <w:t xml:space="preserve">57.50 </w:t>
      </w:r>
      <w:bookmarkEnd w:id="4"/>
      <w:r w:rsidRPr="002847EE">
        <w:rPr>
          <w:rFonts w:ascii="Times New Roman" w:eastAsia="Times New Roman" w:hAnsi="Times New Roman" w:cs="Times New Roman"/>
          <w:bCs/>
        </w:rPr>
        <w:t>per cent</w:t>
      </w:r>
      <w:r w:rsidRPr="002847EE">
        <w:rPr>
          <w:rFonts w:ascii="Times New Roman" w:eastAsia="Calibri" w:hAnsi="Times New Roman" w:cs="Times New Roman"/>
        </w:rPr>
        <w:t xml:space="preserve"> of the respondents from </w:t>
      </w:r>
      <w:r w:rsidRPr="002847EE">
        <w:rPr>
          <w:rFonts w:ascii="Times New Roman" w:eastAsia="Times New Roman" w:hAnsi="Times New Roman" w:cs="Times New Roman"/>
        </w:rPr>
        <w:t>CCS HAU were females and rest</w:t>
      </w:r>
      <w:r w:rsidRPr="002847EE">
        <w:rPr>
          <w:rFonts w:ascii="Times New Roman" w:eastAsia="Times New Roman" w:hAnsi="Times New Roman" w:cs="Times New Roman"/>
          <w:bCs/>
        </w:rPr>
        <w:t xml:space="preserve"> 42.50 per cent were males.</w:t>
      </w:r>
      <w:r w:rsidRPr="0013654D">
        <w:rPr>
          <w:rFonts w:ascii="Times New Roman" w:eastAsia="Times New Roman" w:hAnsi="Times New Roman" w:cs="Times New Roman"/>
          <w:bCs/>
        </w:rPr>
        <w:t xml:space="preserve"> </w:t>
      </w:r>
      <w:r w:rsidRPr="002847EE">
        <w:rPr>
          <w:rFonts w:ascii="Times New Roman" w:eastAsia="Times New Roman" w:hAnsi="Times New Roman" w:cs="Times New Roman"/>
          <w:bCs/>
        </w:rPr>
        <w:t>For the caste criteria</w:t>
      </w:r>
      <w:r w:rsidRPr="002847EE">
        <w:rPr>
          <w:rFonts w:ascii="Times New Roman" w:eastAsia="Calibri" w:hAnsi="Times New Roman" w:cs="Times New Roman"/>
          <w:bCs/>
        </w:rPr>
        <w:t>,</w:t>
      </w:r>
      <w:r w:rsidRPr="002847EE">
        <w:rPr>
          <w:rFonts w:ascii="Times New Roman" w:eastAsia="Calibri" w:hAnsi="Times New Roman" w:cs="Times New Roman"/>
        </w:rPr>
        <w:t xml:space="preserve"> a majority of the respondents from CCS HAU </w:t>
      </w:r>
      <w:r w:rsidRPr="0027266F">
        <w:rPr>
          <w:rFonts w:ascii="Times New Roman" w:eastAsia="Calibri" w:hAnsi="Times New Roman" w:cs="Times New Roman"/>
          <w:i/>
          <w:iCs/>
        </w:rPr>
        <w:t>i.e.</w:t>
      </w:r>
      <w:r w:rsidRPr="002847EE">
        <w:rPr>
          <w:rFonts w:ascii="Times New Roman" w:eastAsia="Calibri" w:hAnsi="Times New Roman" w:cs="Times New Roman"/>
        </w:rPr>
        <w:t xml:space="preserve"> </w:t>
      </w:r>
      <w:r w:rsidRPr="002847EE">
        <w:rPr>
          <w:rFonts w:ascii="Times New Roman" w:eastAsia="Times New Roman" w:hAnsi="Times New Roman" w:cs="Times New Roman"/>
          <w:bCs/>
        </w:rPr>
        <w:t>81.17</w:t>
      </w:r>
      <w:r w:rsidRPr="002847EE">
        <w:rPr>
          <w:rFonts w:ascii="Times New Roman" w:eastAsia="Calibri" w:hAnsi="Times New Roman" w:cs="Times New Roman"/>
        </w:rPr>
        <w:t xml:space="preserve"> per cent were belonged to SC category</w:t>
      </w:r>
      <w:r>
        <w:rPr>
          <w:rFonts w:ascii="Times New Roman" w:eastAsia="Calibri" w:hAnsi="Times New Roman" w:cs="Times New Roman"/>
        </w:rPr>
        <w:t xml:space="preserve">. </w:t>
      </w:r>
      <w:r w:rsidRPr="002847EE">
        <w:rPr>
          <w:rFonts w:ascii="Times New Roman" w:eastAsia="Times New Roman" w:hAnsi="Times New Roman" w:cs="Times New Roman"/>
          <w:bCs/>
        </w:rPr>
        <w:t xml:space="preserve">Similarly, from </w:t>
      </w:r>
      <w:r>
        <w:rPr>
          <w:rFonts w:ascii="Times New Roman" w:eastAsia="Times New Roman" w:hAnsi="Times New Roman" w:cs="Times New Roman"/>
          <w:bCs/>
        </w:rPr>
        <w:t>GJUS&amp;T, 74.17</w:t>
      </w:r>
      <w:r w:rsidRPr="002847EE">
        <w:rPr>
          <w:rFonts w:ascii="Times New Roman" w:eastAsia="Times New Roman" w:hAnsi="Times New Roman" w:cs="Times New Roman"/>
          <w:bCs/>
        </w:rPr>
        <w:t xml:space="preserve"> per cent of respondents were came under SC category</w:t>
      </w:r>
      <w:r>
        <w:rPr>
          <w:rFonts w:ascii="Times New Roman" w:eastAsia="Times New Roman" w:hAnsi="Times New Roman" w:cs="Times New Roman"/>
          <w:bCs/>
        </w:rPr>
        <w:t>. U</w:t>
      </w:r>
      <w:r w:rsidRPr="00473819">
        <w:rPr>
          <w:rFonts w:ascii="Times New Roman" w:eastAsia="Times New Roman" w:hAnsi="Times New Roman" w:cs="Times New Roman"/>
          <w:bCs/>
        </w:rPr>
        <w:t xml:space="preserve">niversity wise permanent residence of the respondents and it was revealed that 62.50 </w:t>
      </w:r>
      <w:r w:rsidRPr="00473819">
        <w:rPr>
          <w:rFonts w:ascii="Times New Roman" w:eastAsia="Calibri" w:hAnsi="Times New Roman" w:cs="Times New Roman"/>
        </w:rPr>
        <w:t xml:space="preserve">per cent respondents from CCS HAU </w:t>
      </w:r>
      <w:r>
        <w:rPr>
          <w:rFonts w:ascii="Times New Roman" w:eastAsia="Calibri" w:hAnsi="Times New Roman" w:cs="Times New Roman"/>
        </w:rPr>
        <w:t>belonged</w:t>
      </w:r>
      <w:r w:rsidRPr="00473819">
        <w:rPr>
          <w:rFonts w:ascii="Times New Roman" w:eastAsia="Calibri" w:hAnsi="Times New Roman" w:cs="Times New Roman"/>
        </w:rPr>
        <w:t xml:space="preserve"> from rural area. Almost similar trend was seemed in </w:t>
      </w:r>
      <w:r>
        <w:rPr>
          <w:rFonts w:ascii="Times New Roman" w:eastAsia="Calibri" w:hAnsi="Times New Roman" w:cs="Times New Roman"/>
        </w:rPr>
        <w:t xml:space="preserve">GJUS&amp;T </w:t>
      </w:r>
      <w:r w:rsidRPr="00473819">
        <w:rPr>
          <w:rFonts w:ascii="Times New Roman" w:eastAsia="Calibri" w:hAnsi="Times New Roman" w:cs="Times New Roman"/>
        </w:rPr>
        <w:t>more numbers of respondents (</w:t>
      </w:r>
      <w:r w:rsidRPr="00473819">
        <w:rPr>
          <w:rFonts w:ascii="Times New Roman" w:eastAsia="Times New Roman" w:hAnsi="Times New Roman" w:cs="Times New Roman"/>
          <w:bCs/>
        </w:rPr>
        <w:t>69.17%)</w:t>
      </w:r>
      <w:r w:rsidRPr="00473819">
        <w:rPr>
          <w:rFonts w:ascii="Times New Roman" w:eastAsia="Calibri" w:hAnsi="Times New Roman" w:cs="Times New Roman"/>
        </w:rPr>
        <w:t xml:space="preserve"> belonged to rural area</w:t>
      </w:r>
      <w:r>
        <w:rPr>
          <w:rFonts w:ascii="Times New Roman" w:eastAsia="Calibri" w:hAnsi="Times New Roman" w:cs="Times New Roman"/>
        </w:rPr>
        <w:t>. T</w:t>
      </w:r>
      <w:r w:rsidRPr="002847EE">
        <w:rPr>
          <w:rFonts w:ascii="Times New Roman" w:eastAsia="Calibri" w:hAnsi="Times New Roman" w:cs="Times New Roman"/>
        </w:rPr>
        <w:t xml:space="preserve">he respondents belonged to two types of family </w:t>
      </w:r>
      <w:r w:rsidRPr="002D73D4">
        <w:rPr>
          <w:rFonts w:ascii="Times New Roman" w:eastAsia="Calibri" w:hAnsi="Times New Roman" w:cs="Times New Roman"/>
          <w:i/>
          <w:iCs/>
        </w:rPr>
        <w:t>i.e.</w:t>
      </w:r>
      <w:r w:rsidRPr="002847EE">
        <w:rPr>
          <w:rFonts w:ascii="Times New Roman" w:eastAsia="Calibri" w:hAnsi="Times New Roman" w:cs="Times New Roman"/>
        </w:rPr>
        <w:t xml:space="preserve"> nuclear and joint. It was found from CCS HAU that maximum respondent belonged to nuclear family </w:t>
      </w:r>
      <w:r w:rsidRPr="002D73D4">
        <w:rPr>
          <w:rFonts w:ascii="Times New Roman" w:eastAsia="Calibri" w:hAnsi="Times New Roman" w:cs="Times New Roman"/>
          <w:i/>
          <w:iCs/>
        </w:rPr>
        <w:t>i.e.</w:t>
      </w:r>
      <w:r w:rsidRPr="002847EE">
        <w:rPr>
          <w:rFonts w:ascii="Times New Roman" w:eastAsia="Calibri" w:hAnsi="Times New Roman" w:cs="Times New Roman"/>
        </w:rPr>
        <w:t xml:space="preserve"> 78.33 per cent </w:t>
      </w:r>
      <w:r>
        <w:rPr>
          <w:rFonts w:ascii="Times New Roman" w:eastAsia="Calibri" w:hAnsi="Times New Roman" w:cs="Times New Roman"/>
        </w:rPr>
        <w:t xml:space="preserve">and in </w:t>
      </w:r>
      <w:r>
        <w:rPr>
          <w:rFonts w:ascii="Times New Roman" w:eastAsia="Calibri" w:hAnsi="Times New Roman" w:cs="Times New Roman"/>
          <w:color w:val="000000"/>
        </w:rPr>
        <w:t xml:space="preserve">GJUS&amp;T </w:t>
      </w:r>
      <w:r w:rsidRPr="002847EE">
        <w:rPr>
          <w:rFonts w:ascii="Times New Roman" w:eastAsia="Calibri" w:hAnsi="Times New Roman" w:cs="Times New Roman"/>
          <w:color w:val="000000"/>
        </w:rPr>
        <w:t xml:space="preserve">more than half of the respondents were from nuclear family </w:t>
      </w:r>
      <w:r w:rsidRPr="002D73D4">
        <w:rPr>
          <w:rFonts w:ascii="Times New Roman" w:eastAsia="Calibri" w:hAnsi="Times New Roman" w:cs="Times New Roman"/>
          <w:i/>
          <w:iCs/>
          <w:color w:val="000000"/>
        </w:rPr>
        <w:t>i.e.</w:t>
      </w:r>
      <w:r w:rsidRPr="002847EE">
        <w:rPr>
          <w:rFonts w:ascii="Times New Roman" w:eastAsia="Calibri" w:hAnsi="Times New Roman" w:cs="Times New Roman"/>
          <w:color w:val="000000"/>
        </w:rPr>
        <w:t xml:space="preserve"> </w:t>
      </w:r>
      <w:r w:rsidRPr="002847EE">
        <w:rPr>
          <w:rFonts w:ascii="Times New Roman" w:eastAsia="Times New Roman" w:hAnsi="Times New Roman" w:cs="Times New Roman"/>
          <w:bCs/>
        </w:rPr>
        <w:t>52.50 per cent</w:t>
      </w:r>
      <w:r>
        <w:rPr>
          <w:rFonts w:ascii="Times New Roman" w:eastAsia="Times New Roman" w:hAnsi="Times New Roman" w:cs="Times New Roman"/>
          <w:bCs/>
        </w:rPr>
        <w:t>.</w:t>
      </w:r>
      <w:r w:rsidRPr="0013654D">
        <w:rPr>
          <w:rFonts w:ascii="Times New Roman" w:eastAsia="Times New Roman" w:hAnsi="Times New Roman" w:cs="Times New Roman"/>
          <w:bCs/>
        </w:rPr>
        <w:t xml:space="preserve"> </w:t>
      </w:r>
      <w:r w:rsidRPr="002847EE">
        <w:rPr>
          <w:rFonts w:ascii="Times New Roman" w:eastAsia="Times New Roman" w:hAnsi="Times New Roman" w:cs="Times New Roman"/>
          <w:bCs/>
        </w:rPr>
        <w:t xml:space="preserve">It was indicated that family size of the respondents varied between 2-9 members and </w:t>
      </w:r>
      <w:bookmarkStart w:id="5" w:name="_Hlk195171784"/>
      <w:r w:rsidRPr="002847EE">
        <w:rPr>
          <w:rFonts w:ascii="Times New Roman" w:eastAsia="Calibri" w:hAnsi="Times New Roman" w:cs="Times New Roman"/>
        </w:rPr>
        <w:t xml:space="preserve">most of the respondents in CCS HAU had family size 5 to 7 members </w:t>
      </w:r>
      <w:r w:rsidRPr="002D73D4">
        <w:rPr>
          <w:rFonts w:ascii="Times New Roman" w:eastAsia="Calibri" w:hAnsi="Times New Roman" w:cs="Times New Roman"/>
          <w:i/>
          <w:iCs/>
        </w:rPr>
        <w:t>i.e.</w:t>
      </w:r>
      <w:r w:rsidRPr="002847EE">
        <w:rPr>
          <w:rFonts w:ascii="Times New Roman" w:eastAsia="Calibri" w:hAnsi="Times New Roman" w:cs="Times New Roman"/>
        </w:rPr>
        <w:t xml:space="preserve"> </w:t>
      </w:r>
      <w:r w:rsidRPr="002847EE">
        <w:rPr>
          <w:rFonts w:ascii="Times New Roman" w:eastAsia="Times New Roman" w:hAnsi="Times New Roman" w:cs="Times New Roman"/>
          <w:bCs/>
        </w:rPr>
        <w:t>69.16</w:t>
      </w:r>
      <w:r w:rsidRPr="002847EE">
        <w:rPr>
          <w:rFonts w:ascii="Times New Roman" w:eastAsia="Calibri" w:hAnsi="Times New Roman" w:cs="Times New Roman"/>
        </w:rPr>
        <w:t xml:space="preserve"> per </w:t>
      </w:r>
      <w:bookmarkStart w:id="6" w:name="_Hlk195171808"/>
      <w:bookmarkEnd w:id="5"/>
      <w:r w:rsidRPr="002847EE">
        <w:rPr>
          <w:rFonts w:ascii="Times New Roman" w:eastAsia="Calibri" w:hAnsi="Times New Roman" w:cs="Times New Roman"/>
        </w:rPr>
        <w:t>cent</w:t>
      </w:r>
      <w:r>
        <w:rPr>
          <w:rFonts w:ascii="Times New Roman" w:eastAsia="Calibri" w:hAnsi="Times New Roman" w:cs="Times New Roman"/>
        </w:rPr>
        <w:t xml:space="preserve"> also </w:t>
      </w:r>
      <w:r w:rsidRPr="002847EE">
        <w:rPr>
          <w:rFonts w:ascii="Times New Roman" w:eastAsia="Calibri" w:hAnsi="Times New Roman" w:cs="Times New Roman"/>
        </w:rPr>
        <w:t xml:space="preserve">in </w:t>
      </w:r>
      <w:r>
        <w:rPr>
          <w:rFonts w:ascii="Times New Roman" w:eastAsia="Calibri" w:hAnsi="Times New Roman" w:cs="Times New Roman"/>
        </w:rPr>
        <w:t xml:space="preserve">GJUS&amp;T </w:t>
      </w:r>
      <w:r w:rsidRPr="002847EE">
        <w:rPr>
          <w:rFonts w:ascii="Times New Roman" w:eastAsia="Calibri" w:hAnsi="Times New Roman" w:cs="Times New Roman"/>
        </w:rPr>
        <w:t>majority of the respondents had family size 5 to 7 members (</w:t>
      </w:r>
      <w:r w:rsidRPr="002847EE">
        <w:rPr>
          <w:rFonts w:ascii="Times New Roman" w:eastAsia="Times New Roman" w:hAnsi="Times New Roman" w:cs="Times New Roman"/>
          <w:bCs/>
        </w:rPr>
        <w:t>79.16</w:t>
      </w:r>
      <w:bookmarkEnd w:id="6"/>
      <w:r w:rsidRPr="002847EE">
        <w:rPr>
          <w:rFonts w:ascii="Times New Roman" w:eastAsia="Times New Roman" w:hAnsi="Times New Roman" w:cs="Times New Roman"/>
          <w:bCs/>
        </w:rPr>
        <w:t>%)</w:t>
      </w:r>
      <w:r>
        <w:rPr>
          <w:rFonts w:ascii="Times New Roman" w:eastAsia="Calibri" w:hAnsi="Times New Roman" w:cs="Times New Roman"/>
        </w:rPr>
        <w:t xml:space="preserve">. In the </w:t>
      </w:r>
      <w:r w:rsidRPr="00DB5910">
        <w:rPr>
          <w:rFonts w:ascii="Times New Roman" w:eastAsia="Times New Roman" w:hAnsi="Times New Roman" w:cs="Times New Roman"/>
          <w:bCs/>
        </w:rPr>
        <w:t xml:space="preserve">educational qualification of respondent’s father (CCS HAU) that </w:t>
      </w:r>
      <w:bookmarkStart w:id="7" w:name="_Hlk195173105"/>
      <w:r w:rsidRPr="00DB5910">
        <w:rPr>
          <w:rFonts w:ascii="Times New Roman" w:eastAsia="Times New Roman" w:hAnsi="Times New Roman" w:cs="Times New Roman"/>
          <w:bCs/>
        </w:rPr>
        <w:t>38.33 per cent of respondents’ fathers had education attainment up to secondary level</w:t>
      </w:r>
      <w:bookmarkEnd w:id="7"/>
      <w:r w:rsidRPr="00DB5910">
        <w:rPr>
          <w:rFonts w:ascii="Times New Roman" w:eastAsia="Times New Roman" w:hAnsi="Times New Roman" w:cs="Times New Roman"/>
          <w:bCs/>
        </w:rPr>
        <w:t>,</w:t>
      </w:r>
      <w:r w:rsidRPr="0013654D">
        <w:rPr>
          <w:rFonts w:ascii="Times New Roman" w:eastAsia="Times New Roman" w:hAnsi="Times New Roman" w:cs="Times New Roman"/>
          <w:bCs/>
        </w:rPr>
        <w:t xml:space="preserve"> </w:t>
      </w:r>
      <w:r w:rsidRPr="00DB5910">
        <w:rPr>
          <w:rFonts w:ascii="Times New Roman" w:eastAsia="Times New Roman" w:hAnsi="Times New Roman" w:cs="Times New Roman"/>
          <w:bCs/>
        </w:rPr>
        <w:t xml:space="preserve">While </w:t>
      </w:r>
      <w:bookmarkStart w:id="8" w:name="_Hlk195173186"/>
      <w:r w:rsidRPr="00DB5910">
        <w:rPr>
          <w:rFonts w:ascii="Times New Roman" w:eastAsia="Times New Roman" w:hAnsi="Times New Roman" w:cs="Times New Roman"/>
          <w:bCs/>
        </w:rPr>
        <w:t xml:space="preserve">in </w:t>
      </w:r>
      <w:r>
        <w:rPr>
          <w:rFonts w:ascii="Times New Roman" w:eastAsia="Times New Roman" w:hAnsi="Times New Roman" w:cs="Times New Roman"/>
          <w:bCs/>
        </w:rPr>
        <w:t>GJUS&amp;T,</w:t>
      </w:r>
      <w:r w:rsidRPr="00DB5910">
        <w:rPr>
          <w:rFonts w:ascii="Times New Roman" w:eastAsia="Times New Roman" w:hAnsi="Times New Roman" w:cs="Times New Roman"/>
          <w:bCs/>
        </w:rPr>
        <w:t xml:space="preserve"> more than one third (39.17%) of respondents’ fathers had obtained education up to middle school</w:t>
      </w:r>
      <w:bookmarkEnd w:id="8"/>
      <w:r>
        <w:rPr>
          <w:rFonts w:ascii="Times New Roman" w:eastAsia="Times New Roman" w:hAnsi="Times New Roman" w:cs="Times New Roman"/>
          <w:bCs/>
        </w:rPr>
        <w:t xml:space="preserve">. </w:t>
      </w:r>
      <w:r w:rsidRPr="00DB5910">
        <w:rPr>
          <w:rFonts w:ascii="Times New Roman" w:eastAsia="Times New Roman" w:hAnsi="Times New Roman" w:cs="Times New Roman"/>
          <w:bCs/>
        </w:rPr>
        <w:t xml:space="preserve">It was also found (CCS HAU) that </w:t>
      </w:r>
      <w:bookmarkStart w:id="9" w:name="_Hlk195173123"/>
      <w:r w:rsidRPr="00DB5910">
        <w:rPr>
          <w:rFonts w:ascii="Times New Roman" w:eastAsia="Times New Roman" w:hAnsi="Times New Roman" w:cs="Times New Roman"/>
          <w:bCs/>
        </w:rPr>
        <w:t>43.33 per cent respondents’ mothers had education up to secondary level</w:t>
      </w:r>
      <w:bookmarkEnd w:id="9"/>
      <w:r>
        <w:rPr>
          <w:rFonts w:ascii="Times New Roman" w:eastAsia="Times New Roman" w:hAnsi="Times New Roman" w:cs="Times New Roman"/>
          <w:bCs/>
        </w:rPr>
        <w:t xml:space="preserve">. </w:t>
      </w:r>
      <w:r w:rsidRPr="00DB5910">
        <w:rPr>
          <w:rFonts w:ascii="Times New Roman" w:eastAsia="Times New Roman" w:hAnsi="Times New Roman" w:cs="Times New Roman"/>
          <w:bCs/>
        </w:rPr>
        <w:t xml:space="preserve">On the other hand, in </w:t>
      </w:r>
      <w:r>
        <w:rPr>
          <w:rFonts w:ascii="Times New Roman" w:eastAsia="Times New Roman" w:hAnsi="Times New Roman" w:cs="Times New Roman"/>
          <w:bCs/>
        </w:rPr>
        <w:t>GJUS&amp;T</w:t>
      </w:r>
      <w:r w:rsidRPr="00DB5910">
        <w:rPr>
          <w:rFonts w:ascii="Times New Roman" w:eastAsia="Times New Roman" w:hAnsi="Times New Roman" w:cs="Times New Roman"/>
          <w:bCs/>
        </w:rPr>
        <w:t>, 31.67 per cent respondents’ mothers did not go school but they can read</w:t>
      </w:r>
    </w:p>
    <w:p w14:paraId="702261B6" w14:textId="7F57914C" w:rsidR="0013654D" w:rsidRDefault="0013654D" w:rsidP="0013654D">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Table:1 </w:t>
      </w:r>
      <w:r w:rsidRPr="0013654D">
        <w:rPr>
          <w:rFonts w:ascii="Times New Roman" w:eastAsia="Times New Roman" w:hAnsi="Times New Roman" w:cs="Times New Roman"/>
          <w:b/>
          <w:bCs/>
          <w:sz w:val="24"/>
          <w:szCs w:val="24"/>
        </w:rPr>
        <w:t>Socio- personal profile of the respondents</w:t>
      </w:r>
    </w:p>
    <w:p w14:paraId="24CD38D4" w14:textId="1801F596" w:rsidR="002A7BB6" w:rsidRPr="0013654D" w:rsidRDefault="002A7BB6" w:rsidP="002A7BB6">
      <w:pPr>
        <w:shd w:val="clear" w:color="auto" w:fill="FFFFFF"/>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n=240</w:t>
      </w:r>
    </w:p>
    <w:tbl>
      <w:tblPr>
        <w:tblStyle w:val="TableGrid2"/>
        <w:tblW w:w="5000" w:type="pct"/>
        <w:tblInd w:w="0" w:type="dxa"/>
        <w:tblLook w:val="04A0" w:firstRow="1" w:lastRow="0" w:firstColumn="1" w:lastColumn="0" w:noHBand="0" w:noVBand="1"/>
      </w:tblPr>
      <w:tblGrid>
        <w:gridCol w:w="3156"/>
        <w:gridCol w:w="2061"/>
        <w:gridCol w:w="2048"/>
        <w:gridCol w:w="1995"/>
      </w:tblGrid>
      <w:tr w:rsidR="0013654D" w:rsidRPr="002847EE" w14:paraId="4C15D318"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E51CD7C"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
                <w:lang w:eastAsia="en-IN"/>
              </w:rPr>
            </w:pPr>
            <w:bookmarkStart w:id="10" w:name="_Hlk182817716"/>
            <w:r w:rsidRPr="002847EE">
              <w:rPr>
                <w:rFonts w:ascii="Times New Roman" w:hAnsi="Times New Roman" w:cs="Times New Roman"/>
                <w:b/>
                <w:lang w:eastAsia="en-IN"/>
              </w:rPr>
              <w:t>Variables</w:t>
            </w:r>
          </w:p>
        </w:tc>
        <w:tc>
          <w:tcPr>
            <w:tcW w:w="1113" w:type="pct"/>
            <w:tcBorders>
              <w:top w:val="single" w:sz="4" w:space="0" w:color="000000"/>
              <w:left w:val="single" w:sz="4" w:space="0" w:color="000000"/>
              <w:bottom w:val="single" w:sz="4" w:space="0" w:color="000000"/>
              <w:right w:val="single" w:sz="4" w:space="0" w:color="000000"/>
            </w:tcBorders>
            <w:hideMark/>
          </w:tcPr>
          <w:p w14:paraId="2345137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CCS HAU</w:t>
            </w:r>
          </w:p>
          <w:p w14:paraId="2C09B5F2" w14:textId="77777777" w:rsidR="0013654D"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n</w:t>
            </w:r>
            <w:r w:rsidRPr="002847EE">
              <w:rPr>
                <w:rFonts w:ascii="Times New Roman" w:hAnsi="Times New Roman" w:cs="Times New Roman"/>
                <w:b/>
                <w:vertAlign w:val="subscript"/>
                <w:lang w:eastAsia="en-IN"/>
              </w:rPr>
              <w:t>1</w:t>
            </w:r>
            <w:r w:rsidRPr="002847EE">
              <w:rPr>
                <w:rFonts w:ascii="Times New Roman" w:hAnsi="Times New Roman" w:cs="Times New Roman"/>
                <w:b/>
                <w:lang w:eastAsia="en-IN"/>
              </w:rPr>
              <w:t>=120</w:t>
            </w:r>
          </w:p>
          <w:p w14:paraId="0B95D15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val="en-IN" w:eastAsia="en-IN"/>
              </w:rPr>
              <w:t>f (%)</w:t>
            </w:r>
          </w:p>
        </w:tc>
        <w:tc>
          <w:tcPr>
            <w:tcW w:w="1106" w:type="pct"/>
            <w:tcBorders>
              <w:top w:val="single" w:sz="4" w:space="0" w:color="000000"/>
              <w:left w:val="single" w:sz="4" w:space="0" w:color="000000"/>
              <w:bottom w:val="single" w:sz="4" w:space="0" w:color="000000"/>
              <w:right w:val="single" w:sz="4" w:space="0" w:color="000000"/>
            </w:tcBorders>
            <w:hideMark/>
          </w:tcPr>
          <w:p w14:paraId="0D8CDAF0" w14:textId="6BCBDD3F"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Pr>
                <w:rFonts w:ascii="Times New Roman" w:hAnsi="Times New Roman" w:cs="Times New Roman"/>
                <w:b/>
                <w:lang w:eastAsia="en-IN"/>
              </w:rPr>
              <w:t xml:space="preserve">GJUS&amp;T </w:t>
            </w:r>
          </w:p>
          <w:p w14:paraId="6FB7E4FA" w14:textId="77777777" w:rsidR="0013654D"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n</w:t>
            </w:r>
            <w:r w:rsidRPr="002847EE">
              <w:rPr>
                <w:rFonts w:ascii="Times New Roman" w:hAnsi="Times New Roman" w:cs="Times New Roman"/>
                <w:b/>
                <w:vertAlign w:val="subscript"/>
                <w:lang w:eastAsia="en-IN"/>
              </w:rPr>
              <w:t>2</w:t>
            </w:r>
            <w:r w:rsidRPr="002847EE">
              <w:rPr>
                <w:rFonts w:ascii="Times New Roman" w:hAnsi="Times New Roman" w:cs="Times New Roman"/>
                <w:b/>
                <w:lang w:eastAsia="en-IN"/>
              </w:rPr>
              <w:t>=120</w:t>
            </w:r>
          </w:p>
          <w:p w14:paraId="7CD8491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val="en-IN" w:eastAsia="en-IN"/>
              </w:rPr>
              <w:t>f (%)</w:t>
            </w:r>
          </w:p>
        </w:tc>
        <w:tc>
          <w:tcPr>
            <w:tcW w:w="1077" w:type="pct"/>
            <w:tcBorders>
              <w:top w:val="single" w:sz="4" w:space="0" w:color="000000"/>
              <w:left w:val="single" w:sz="4" w:space="0" w:color="000000"/>
              <w:bottom w:val="single" w:sz="4" w:space="0" w:color="000000"/>
              <w:right w:val="single" w:sz="4" w:space="0" w:color="000000"/>
            </w:tcBorders>
            <w:hideMark/>
          </w:tcPr>
          <w:p w14:paraId="10783A4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Total</w:t>
            </w:r>
          </w:p>
          <w:p w14:paraId="6F61015F" w14:textId="77777777" w:rsidR="0013654D"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eastAsia="en-IN"/>
              </w:rPr>
              <w:t>n</w:t>
            </w:r>
            <w:r w:rsidRPr="002847EE">
              <w:rPr>
                <w:rFonts w:ascii="Times New Roman" w:hAnsi="Times New Roman" w:cs="Times New Roman"/>
                <w:b/>
                <w:vertAlign w:val="subscript"/>
                <w:lang w:eastAsia="en-IN"/>
              </w:rPr>
              <w:t>3</w:t>
            </w:r>
            <w:r w:rsidRPr="002847EE">
              <w:rPr>
                <w:rFonts w:ascii="Times New Roman" w:hAnsi="Times New Roman" w:cs="Times New Roman"/>
                <w:b/>
                <w:lang w:eastAsia="en-IN"/>
              </w:rPr>
              <w:t>=240</w:t>
            </w:r>
          </w:p>
          <w:p w14:paraId="777E873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
                <w:lang w:val="en-IN" w:eastAsia="en-IN"/>
              </w:rPr>
              <w:t>f (%)</w:t>
            </w:r>
          </w:p>
        </w:tc>
      </w:tr>
      <w:tr w:rsidR="0013654D" w:rsidRPr="002847EE" w14:paraId="2AF3B1F7"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502DA3"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Age (in year)</w:t>
            </w:r>
          </w:p>
        </w:tc>
      </w:tr>
      <w:tr w:rsidR="0013654D" w:rsidRPr="002847EE" w14:paraId="06AF8F59"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1FF0BFF"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17-19 </w:t>
            </w:r>
          </w:p>
        </w:tc>
        <w:tc>
          <w:tcPr>
            <w:tcW w:w="1113" w:type="pct"/>
            <w:tcBorders>
              <w:top w:val="single" w:sz="4" w:space="0" w:color="000000"/>
              <w:left w:val="single" w:sz="4" w:space="0" w:color="000000"/>
              <w:bottom w:val="single" w:sz="4" w:space="0" w:color="000000"/>
              <w:right w:val="single" w:sz="4" w:space="0" w:color="000000"/>
            </w:tcBorders>
            <w:hideMark/>
          </w:tcPr>
          <w:p w14:paraId="107C297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40(33.33)</w:t>
            </w:r>
          </w:p>
        </w:tc>
        <w:tc>
          <w:tcPr>
            <w:tcW w:w="1106" w:type="pct"/>
            <w:tcBorders>
              <w:top w:val="single" w:sz="4" w:space="0" w:color="000000"/>
              <w:left w:val="single" w:sz="4" w:space="0" w:color="000000"/>
              <w:bottom w:val="single" w:sz="4" w:space="0" w:color="000000"/>
              <w:right w:val="single" w:sz="4" w:space="0" w:color="000000"/>
            </w:tcBorders>
            <w:hideMark/>
          </w:tcPr>
          <w:p w14:paraId="0650001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35(29.17)</w:t>
            </w:r>
          </w:p>
        </w:tc>
        <w:tc>
          <w:tcPr>
            <w:tcW w:w="1077" w:type="pct"/>
            <w:tcBorders>
              <w:top w:val="single" w:sz="4" w:space="0" w:color="000000"/>
              <w:left w:val="single" w:sz="4" w:space="0" w:color="000000"/>
              <w:bottom w:val="single" w:sz="4" w:space="0" w:color="000000"/>
              <w:right w:val="single" w:sz="4" w:space="0" w:color="000000"/>
            </w:tcBorders>
            <w:hideMark/>
          </w:tcPr>
          <w:p w14:paraId="46214DB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75(31.25)</w:t>
            </w:r>
          </w:p>
        </w:tc>
      </w:tr>
      <w:tr w:rsidR="0013654D" w:rsidRPr="002847EE" w14:paraId="2674EC00"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181AF458"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20-22 </w:t>
            </w:r>
          </w:p>
        </w:tc>
        <w:tc>
          <w:tcPr>
            <w:tcW w:w="1113" w:type="pct"/>
            <w:tcBorders>
              <w:top w:val="single" w:sz="4" w:space="0" w:color="000000"/>
              <w:left w:val="single" w:sz="4" w:space="0" w:color="000000"/>
              <w:bottom w:val="single" w:sz="4" w:space="0" w:color="000000"/>
              <w:right w:val="single" w:sz="4" w:space="0" w:color="000000"/>
            </w:tcBorders>
            <w:hideMark/>
          </w:tcPr>
          <w:p w14:paraId="5D1C917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68(56.67)</w:t>
            </w:r>
          </w:p>
        </w:tc>
        <w:tc>
          <w:tcPr>
            <w:tcW w:w="1106" w:type="pct"/>
            <w:tcBorders>
              <w:top w:val="single" w:sz="4" w:space="0" w:color="000000"/>
              <w:left w:val="single" w:sz="4" w:space="0" w:color="000000"/>
              <w:bottom w:val="single" w:sz="4" w:space="0" w:color="000000"/>
              <w:right w:val="single" w:sz="4" w:space="0" w:color="000000"/>
            </w:tcBorders>
            <w:hideMark/>
          </w:tcPr>
          <w:p w14:paraId="2C0620C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61(50.83)</w:t>
            </w:r>
          </w:p>
        </w:tc>
        <w:tc>
          <w:tcPr>
            <w:tcW w:w="1077" w:type="pct"/>
            <w:tcBorders>
              <w:top w:val="single" w:sz="4" w:space="0" w:color="000000"/>
              <w:left w:val="single" w:sz="4" w:space="0" w:color="000000"/>
              <w:bottom w:val="single" w:sz="4" w:space="0" w:color="000000"/>
              <w:right w:val="single" w:sz="4" w:space="0" w:color="000000"/>
            </w:tcBorders>
            <w:hideMark/>
          </w:tcPr>
          <w:p w14:paraId="02237CB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129(53.75)</w:t>
            </w:r>
          </w:p>
        </w:tc>
      </w:tr>
      <w:tr w:rsidR="0013654D" w:rsidRPr="002847EE" w14:paraId="1753E40B"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E8E7C37"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23-25 </w:t>
            </w:r>
          </w:p>
        </w:tc>
        <w:tc>
          <w:tcPr>
            <w:tcW w:w="1113" w:type="pct"/>
            <w:tcBorders>
              <w:top w:val="single" w:sz="4" w:space="0" w:color="000000"/>
              <w:left w:val="single" w:sz="4" w:space="0" w:color="000000"/>
              <w:bottom w:val="single" w:sz="4" w:space="0" w:color="000000"/>
              <w:right w:val="single" w:sz="4" w:space="0" w:color="000000"/>
            </w:tcBorders>
            <w:hideMark/>
          </w:tcPr>
          <w:p w14:paraId="6B402E0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12(10.00)</w:t>
            </w:r>
          </w:p>
        </w:tc>
        <w:tc>
          <w:tcPr>
            <w:tcW w:w="1106" w:type="pct"/>
            <w:tcBorders>
              <w:top w:val="single" w:sz="4" w:space="0" w:color="000000"/>
              <w:left w:val="single" w:sz="4" w:space="0" w:color="000000"/>
              <w:bottom w:val="single" w:sz="4" w:space="0" w:color="000000"/>
              <w:right w:val="single" w:sz="4" w:space="0" w:color="000000"/>
            </w:tcBorders>
            <w:hideMark/>
          </w:tcPr>
          <w:p w14:paraId="1831EF7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24(20.00)</w:t>
            </w:r>
          </w:p>
        </w:tc>
        <w:tc>
          <w:tcPr>
            <w:tcW w:w="1077" w:type="pct"/>
            <w:tcBorders>
              <w:top w:val="single" w:sz="4" w:space="0" w:color="000000"/>
              <w:left w:val="single" w:sz="4" w:space="0" w:color="000000"/>
              <w:bottom w:val="single" w:sz="4" w:space="0" w:color="000000"/>
              <w:right w:val="single" w:sz="4" w:space="0" w:color="000000"/>
            </w:tcBorders>
            <w:hideMark/>
          </w:tcPr>
          <w:p w14:paraId="4EBBD7D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36(15.00)</w:t>
            </w:r>
          </w:p>
        </w:tc>
      </w:tr>
      <w:tr w:rsidR="0013654D" w:rsidRPr="002847EE" w14:paraId="6D080944"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602F6C"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Gender</w:t>
            </w:r>
          </w:p>
        </w:tc>
      </w:tr>
      <w:tr w:rsidR="0013654D" w:rsidRPr="002847EE" w14:paraId="316E9D48"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8585708"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Male </w:t>
            </w:r>
          </w:p>
        </w:tc>
        <w:tc>
          <w:tcPr>
            <w:tcW w:w="1113" w:type="pct"/>
            <w:tcBorders>
              <w:top w:val="single" w:sz="4" w:space="0" w:color="000000"/>
              <w:left w:val="single" w:sz="4" w:space="0" w:color="000000"/>
              <w:bottom w:val="single" w:sz="4" w:space="0" w:color="000000"/>
              <w:right w:val="single" w:sz="4" w:space="0" w:color="000000"/>
            </w:tcBorders>
            <w:hideMark/>
          </w:tcPr>
          <w:p w14:paraId="200FCC5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51 (42.50)</w:t>
            </w:r>
          </w:p>
        </w:tc>
        <w:tc>
          <w:tcPr>
            <w:tcW w:w="1106" w:type="pct"/>
            <w:tcBorders>
              <w:top w:val="single" w:sz="4" w:space="0" w:color="000000"/>
              <w:left w:val="single" w:sz="4" w:space="0" w:color="000000"/>
              <w:bottom w:val="single" w:sz="4" w:space="0" w:color="000000"/>
              <w:right w:val="single" w:sz="4" w:space="0" w:color="000000"/>
            </w:tcBorders>
            <w:hideMark/>
          </w:tcPr>
          <w:p w14:paraId="191DDCF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55 (45.84)</w:t>
            </w:r>
          </w:p>
        </w:tc>
        <w:tc>
          <w:tcPr>
            <w:tcW w:w="1077" w:type="pct"/>
            <w:tcBorders>
              <w:top w:val="single" w:sz="4" w:space="0" w:color="000000"/>
              <w:left w:val="single" w:sz="4" w:space="0" w:color="000000"/>
              <w:bottom w:val="single" w:sz="4" w:space="0" w:color="000000"/>
              <w:right w:val="single" w:sz="4" w:space="0" w:color="000000"/>
            </w:tcBorders>
            <w:hideMark/>
          </w:tcPr>
          <w:p w14:paraId="29B21F7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106 (44.17)</w:t>
            </w:r>
          </w:p>
        </w:tc>
      </w:tr>
      <w:tr w:rsidR="0013654D" w:rsidRPr="002847EE" w14:paraId="0D764CD2"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B94A6B3"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Female </w:t>
            </w:r>
          </w:p>
        </w:tc>
        <w:tc>
          <w:tcPr>
            <w:tcW w:w="1113" w:type="pct"/>
            <w:tcBorders>
              <w:top w:val="single" w:sz="4" w:space="0" w:color="000000"/>
              <w:left w:val="single" w:sz="4" w:space="0" w:color="000000"/>
              <w:bottom w:val="single" w:sz="4" w:space="0" w:color="000000"/>
              <w:right w:val="single" w:sz="4" w:space="0" w:color="000000"/>
            </w:tcBorders>
            <w:hideMark/>
          </w:tcPr>
          <w:p w14:paraId="10CC0F2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69 (57.50)</w:t>
            </w:r>
          </w:p>
        </w:tc>
        <w:tc>
          <w:tcPr>
            <w:tcW w:w="1106" w:type="pct"/>
            <w:tcBorders>
              <w:top w:val="single" w:sz="4" w:space="0" w:color="000000"/>
              <w:left w:val="single" w:sz="4" w:space="0" w:color="000000"/>
              <w:bottom w:val="single" w:sz="4" w:space="0" w:color="000000"/>
              <w:right w:val="single" w:sz="4" w:space="0" w:color="000000"/>
            </w:tcBorders>
            <w:hideMark/>
          </w:tcPr>
          <w:p w14:paraId="7F6EE56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65 (54.16)</w:t>
            </w:r>
          </w:p>
        </w:tc>
        <w:tc>
          <w:tcPr>
            <w:tcW w:w="1077" w:type="pct"/>
            <w:tcBorders>
              <w:top w:val="single" w:sz="4" w:space="0" w:color="000000"/>
              <w:left w:val="single" w:sz="4" w:space="0" w:color="000000"/>
              <w:bottom w:val="single" w:sz="4" w:space="0" w:color="000000"/>
              <w:right w:val="single" w:sz="4" w:space="0" w:color="000000"/>
            </w:tcBorders>
            <w:hideMark/>
          </w:tcPr>
          <w:p w14:paraId="5C64434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134 (</w:t>
            </w:r>
            <w:bookmarkStart w:id="11" w:name="_Hlk195004783"/>
            <w:r w:rsidRPr="002847EE">
              <w:rPr>
                <w:rFonts w:ascii="Times New Roman" w:hAnsi="Times New Roman" w:cs="Times New Roman"/>
                <w:bCs/>
                <w:lang w:eastAsia="en-IN"/>
              </w:rPr>
              <w:t>55.83</w:t>
            </w:r>
            <w:bookmarkEnd w:id="11"/>
            <w:r w:rsidRPr="002847EE">
              <w:rPr>
                <w:rFonts w:ascii="Times New Roman" w:hAnsi="Times New Roman" w:cs="Times New Roman"/>
                <w:bCs/>
                <w:lang w:eastAsia="en-IN"/>
              </w:rPr>
              <w:t>)</w:t>
            </w:r>
          </w:p>
        </w:tc>
      </w:tr>
      <w:tr w:rsidR="0013654D" w:rsidRPr="002847EE" w14:paraId="256192B2"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0E6DCD17"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Caste</w:t>
            </w:r>
          </w:p>
        </w:tc>
      </w:tr>
      <w:tr w:rsidR="0013654D" w:rsidRPr="002847EE" w14:paraId="6270155A"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B457801"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SC</w:t>
            </w:r>
          </w:p>
        </w:tc>
        <w:tc>
          <w:tcPr>
            <w:tcW w:w="1113" w:type="pct"/>
            <w:tcBorders>
              <w:top w:val="single" w:sz="4" w:space="0" w:color="000000"/>
              <w:left w:val="single" w:sz="4" w:space="0" w:color="000000"/>
              <w:bottom w:val="single" w:sz="4" w:space="0" w:color="000000"/>
              <w:right w:val="single" w:sz="4" w:space="0" w:color="000000"/>
            </w:tcBorders>
            <w:hideMark/>
          </w:tcPr>
          <w:p w14:paraId="231980D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98(81.17)</w:t>
            </w:r>
          </w:p>
        </w:tc>
        <w:tc>
          <w:tcPr>
            <w:tcW w:w="1106" w:type="pct"/>
            <w:tcBorders>
              <w:top w:val="single" w:sz="4" w:space="0" w:color="000000"/>
              <w:left w:val="single" w:sz="4" w:space="0" w:color="000000"/>
              <w:bottom w:val="single" w:sz="4" w:space="0" w:color="000000"/>
              <w:right w:val="single" w:sz="4" w:space="0" w:color="000000"/>
            </w:tcBorders>
            <w:hideMark/>
          </w:tcPr>
          <w:p w14:paraId="246FFCE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89 (74.17)</w:t>
            </w:r>
          </w:p>
        </w:tc>
        <w:tc>
          <w:tcPr>
            <w:tcW w:w="1077" w:type="pct"/>
            <w:tcBorders>
              <w:top w:val="single" w:sz="4" w:space="0" w:color="000000"/>
              <w:left w:val="single" w:sz="4" w:space="0" w:color="000000"/>
              <w:bottom w:val="single" w:sz="4" w:space="0" w:color="000000"/>
              <w:right w:val="single" w:sz="4" w:space="0" w:color="000000"/>
            </w:tcBorders>
            <w:hideMark/>
          </w:tcPr>
          <w:p w14:paraId="774663D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187(77.92)</w:t>
            </w:r>
          </w:p>
        </w:tc>
      </w:tr>
      <w:tr w:rsidR="0013654D" w:rsidRPr="002847EE" w14:paraId="20248851"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00F00207"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BC</w:t>
            </w:r>
          </w:p>
        </w:tc>
        <w:tc>
          <w:tcPr>
            <w:tcW w:w="1113" w:type="pct"/>
            <w:tcBorders>
              <w:top w:val="single" w:sz="4" w:space="0" w:color="000000"/>
              <w:left w:val="single" w:sz="4" w:space="0" w:color="000000"/>
              <w:bottom w:val="single" w:sz="4" w:space="0" w:color="000000"/>
              <w:right w:val="single" w:sz="4" w:space="0" w:color="000000"/>
            </w:tcBorders>
            <w:hideMark/>
          </w:tcPr>
          <w:p w14:paraId="128A8257"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22(18.33)</w:t>
            </w:r>
          </w:p>
        </w:tc>
        <w:tc>
          <w:tcPr>
            <w:tcW w:w="1106" w:type="pct"/>
            <w:tcBorders>
              <w:top w:val="single" w:sz="4" w:space="0" w:color="000000"/>
              <w:left w:val="single" w:sz="4" w:space="0" w:color="000000"/>
              <w:bottom w:val="single" w:sz="4" w:space="0" w:color="000000"/>
              <w:right w:val="single" w:sz="4" w:space="0" w:color="000000"/>
            </w:tcBorders>
            <w:hideMark/>
          </w:tcPr>
          <w:p w14:paraId="66B6F52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31(25.83)</w:t>
            </w:r>
          </w:p>
        </w:tc>
        <w:tc>
          <w:tcPr>
            <w:tcW w:w="1077" w:type="pct"/>
            <w:tcBorders>
              <w:top w:val="single" w:sz="4" w:space="0" w:color="000000"/>
              <w:left w:val="single" w:sz="4" w:space="0" w:color="000000"/>
              <w:bottom w:val="single" w:sz="4" w:space="0" w:color="000000"/>
              <w:right w:val="single" w:sz="4" w:space="0" w:color="000000"/>
            </w:tcBorders>
            <w:hideMark/>
          </w:tcPr>
          <w:p w14:paraId="13E7012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53(22.08)</w:t>
            </w:r>
          </w:p>
        </w:tc>
      </w:tr>
      <w:tr w:rsidR="0013654D" w:rsidRPr="002847EE" w14:paraId="55067C6D"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348E6005"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Permanent Residence</w:t>
            </w:r>
          </w:p>
        </w:tc>
      </w:tr>
      <w:tr w:rsidR="0013654D" w:rsidRPr="002847EE" w14:paraId="013674DC"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4E04EEA"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lastRenderedPageBreak/>
              <w:t xml:space="preserve">Rural </w:t>
            </w:r>
          </w:p>
        </w:tc>
        <w:tc>
          <w:tcPr>
            <w:tcW w:w="1113" w:type="pct"/>
            <w:tcBorders>
              <w:top w:val="single" w:sz="4" w:space="0" w:color="000000"/>
              <w:left w:val="single" w:sz="4" w:space="0" w:color="000000"/>
              <w:bottom w:val="single" w:sz="4" w:space="0" w:color="000000"/>
              <w:right w:val="single" w:sz="4" w:space="0" w:color="000000"/>
            </w:tcBorders>
            <w:hideMark/>
          </w:tcPr>
          <w:p w14:paraId="5C4067B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75(62.50)</w:t>
            </w:r>
          </w:p>
        </w:tc>
        <w:tc>
          <w:tcPr>
            <w:tcW w:w="1106" w:type="pct"/>
            <w:tcBorders>
              <w:top w:val="single" w:sz="4" w:space="0" w:color="000000"/>
              <w:left w:val="single" w:sz="4" w:space="0" w:color="000000"/>
              <w:bottom w:val="single" w:sz="4" w:space="0" w:color="000000"/>
              <w:right w:val="single" w:sz="4" w:space="0" w:color="000000"/>
            </w:tcBorders>
            <w:hideMark/>
          </w:tcPr>
          <w:p w14:paraId="2DD8738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83(69.17)</w:t>
            </w:r>
          </w:p>
        </w:tc>
        <w:tc>
          <w:tcPr>
            <w:tcW w:w="1077" w:type="pct"/>
            <w:tcBorders>
              <w:top w:val="single" w:sz="4" w:space="0" w:color="000000"/>
              <w:left w:val="single" w:sz="4" w:space="0" w:color="000000"/>
              <w:bottom w:val="single" w:sz="4" w:space="0" w:color="000000"/>
              <w:right w:val="single" w:sz="4" w:space="0" w:color="000000"/>
            </w:tcBorders>
            <w:hideMark/>
          </w:tcPr>
          <w:p w14:paraId="63D5193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158 (65.83)</w:t>
            </w:r>
          </w:p>
        </w:tc>
      </w:tr>
      <w:tr w:rsidR="0013654D" w:rsidRPr="002847EE" w14:paraId="154ACDF9"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12DCFC6"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Urban </w:t>
            </w:r>
          </w:p>
        </w:tc>
        <w:tc>
          <w:tcPr>
            <w:tcW w:w="1113" w:type="pct"/>
            <w:tcBorders>
              <w:top w:val="single" w:sz="4" w:space="0" w:color="000000"/>
              <w:left w:val="single" w:sz="4" w:space="0" w:color="000000"/>
              <w:bottom w:val="single" w:sz="4" w:space="0" w:color="000000"/>
              <w:right w:val="single" w:sz="4" w:space="0" w:color="000000"/>
            </w:tcBorders>
            <w:hideMark/>
          </w:tcPr>
          <w:p w14:paraId="7588AD1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45(37.50)</w:t>
            </w:r>
          </w:p>
        </w:tc>
        <w:tc>
          <w:tcPr>
            <w:tcW w:w="1106" w:type="pct"/>
            <w:tcBorders>
              <w:top w:val="single" w:sz="4" w:space="0" w:color="000000"/>
              <w:left w:val="single" w:sz="4" w:space="0" w:color="000000"/>
              <w:bottom w:val="single" w:sz="4" w:space="0" w:color="000000"/>
              <w:right w:val="single" w:sz="4" w:space="0" w:color="000000"/>
            </w:tcBorders>
            <w:hideMark/>
          </w:tcPr>
          <w:p w14:paraId="1764CEE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37(30.83)</w:t>
            </w:r>
          </w:p>
        </w:tc>
        <w:tc>
          <w:tcPr>
            <w:tcW w:w="1077" w:type="pct"/>
            <w:tcBorders>
              <w:top w:val="single" w:sz="4" w:space="0" w:color="000000"/>
              <w:left w:val="single" w:sz="4" w:space="0" w:color="000000"/>
              <w:bottom w:val="single" w:sz="4" w:space="0" w:color="000000"/>
              <w:right w:val="single" w:sz="4" w:space="0" w:color="000000"/>
            </w:tcBorders>
            <w:hideMark/>
          </w:tcPr>
          <w:p w14:paraId="1162C5C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82 (34.17)</w:t>
            </w:r>
          </w:p>
        </w:tc>
      </w:tr>
      <w:tr w:rsidR="0013654D" w:rsidRPr="002847EE" w14:paraId="4C4C3538"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71CC7909"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Family type</w:t>
            </w:r>
          </w:p>
        </w:tc>
      </w:tr>
      <w:tr w:rsidR="0013654D" w:rsidRPr="002847EE" w14:paraId="5783124A"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2A2955D"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Nuclear</w:t>
            </w:r>
          </w:p>
        </w:tc>
        <w:tc>
          <w:tcPr>
            <w:tcW w:w="1113" w:type="pct"/>
            <w:tcBorders>
              <w:top w:val="single" w:sz="4" w:space="0" w:color="000000"/>
              <w:left w:val="single" w:sz="4" w:space="0" w:color="000000"/>
              <w:bottom w:val="single" w:sz="4" w:space="0" w:color="000000"/>
              <w:right w:val="single" w:sz="4" w:space="0" w:color="000000"/>
            </w:tcBorders>
            <w:hideMark/>
          </w:tcPr>
          <w:p w14:paraId="5248D977"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94(78.33)</w:t>
            </w:r>
          </w:p>
        </w:tc>
        <w:tc>
          <w:tcPr>
            <w:tcW w:w="1106" w:type="pct"/>
            <w:tcBorders>
              <w:top w:val="single" w:sz="4" w:space="0" w:color="000000"/>
              <w:left w:val="single" w:sz="4" w:space="0" w:color="000000"/>
              <w:bottom w:val="single" w:sz="4" w:space="0" w:color="000000"/>
              <w:right w:val="single" w:sz="4" w:space="0" w:color="000000"/>
            </w:tcBorders>
            <w:hideMark/>
          </w:tcPr>
          <w:p w14:paraId="4FCB8B6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63(52.50)</w:t>
            </w:r>
          </w:p>
        </w:tc>
        <w:tc>
          <w:tcPr>
            <w:tcW w:w="1077" w:type="pct"/>
            <w:tcBorders>
              <w:top w:val="single" w:sz="4" w:space="0" w:color="000000"/>
              <w:left w:val="single" w:sz="4" w:space="0" w:color="000000"/>
              <w:bottom w:val="single" w:sz="4" w:space="0" w:color="000000"/>
              <w:right w:val="single" w:sz="4" w:space="0" w:color="000000"/>
            </w:tcBorders>
            <w:hideMark/>
          </w:tcPr>
          <w:p w14:paraId="4EB02B8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157(65.42)</w:t>
            </w:r>
          </w:p>
        </w:tc>
      </w:tr>
      <w:tr w:rsidR="0013654D" w:rsidRPr="002847EE" w14:paraId="5A63C358"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5A6193D2"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Joint </w:t>
            </w:r>
          </w:p>
        </w:tc>
        <w:tc>
          <w:tcPr>
            <w:tcW w:w="1113" w:type="pct"/>
            <w:tcBorders>
              <w:top w:val="single" w:sz="4" w:space="0" w:color="000000"/>
              <w:left w:val="single" w:sz="4" w:space="0" w:color="000000"/>
              <w:bottom w:val="single" w:sz="4" w:space="0" w:color="000000"/>
              <w:right w:val="single" w:sz="4" w:space="0" w:color="000000"/>
            </w:tcBorders>
            <w:hideMark/>
          </w:tcPr>
          <w:p w14:paraId="6C70D18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26(21.67)</w:t>
            </w:r>
          </w:p>
        </w:tc>
        <w:tc>
          <w:tcPr>
            <w:tcW w:w="1106" w:type="pct"/>
            <w:tcBorders>
              <w:top w:val="single" w:sz="4" w:space="0" w:color="000000"/>
              <w:left w:val="single" w:sz="4" w:space="0" w:color="000000"/>
              <w:bottom w:val="single" w:sz="4" w:space="0" w:color="000000"/>
              <w:right w:val="single" w:sz="4" w:space="0" w:color="000000"/>
            </w:tcBorders>
            <w:hideMark/>
          </w:tcPr>
          <w:p w14:paraId="3F240E8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57(47.50)</w:t>
            </w:r>
          </w:p>
        </w:tc>
        <w:tc>
          <w:tcPr>
            <w:tcW w:w="1077" w:type="pct"/>
            <w:tcBorders>
              <w:top w:val="single" w:sz="4" w:space="0" w:color="000000"/>
              <w:left w:val="single" w:sz="4" w:space="0" w:color="000000"/>
              <w:bottom w:val="single" w:sz="4" w:space="0" w:color="000000"/>
              <w:right w:val="single" w:sz="4" w:space="0" w:color="000000"/>
            </w:tcBorders>
            <w:hideMark/>
          </w:tcPr>
          <w:p w14:paraId="654D1D2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83(34.58)</w:t>
            </w:r>
          </w:p>
        </w:tc>
      </w:tr>
      <w:tr w:rsidR="0013654D" w:rsidRPr="002847EE" w14:paraId="7152C80D"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4049FBEF"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
                <w:lang w:eastAsia="en-IN"/>
              </w:rPr>
            </w:pPr>
            <w:r w:rsidRPr="002847EE">
              <w:rPr>
                <w:rFonts w:ascii="Times New Roman" w:hAnsi="Times New Roman" w:cs="Times New Roman"/>
                <w:b/>
                <w:lang w:eastAsia="en-IN"/>
              </w:rPr>
              <w:t xml:space="preserve">Family </w:t>
            </w:r>
            <w:r>
              <w:rPr>
                <w:rFonts w:ascii="Times New Roman" w:hAnsi="Times New Roman" w:cs="Times New Roman"/>
                <w:b/>
                <w:lang w:eastAsia="en-IN"/>
              </w:rPr>
              <w:t>s</w:t>
            </w:r>
            <w:r w:rsidRPr="002847EE">
              <w:rPr>
                <w:rFonts w:ascii="Times New Roman" w:hAnsi="Times New Roman" w:cs="Times New Roman"/>
                <w:b/>
                <w:lang w:eastAsia="en-IN"/>
              </w:rPr>
              <w:t xml:space="preserve">ize  </w:t>
            </w:r>
          </w:p>
        </w:tc>
      </w:tr>
      <w:tr w:rsidR="0013654D" w:rsidRPr="002847EE" w14:paraId="47E6F451"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0FD19ED3"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Up to 4 members </w:t>
            </w:r>
          </w:p>
        </w:tc>
        <w:tc>
          <w:tcPr>
            <w:tcW w:w="1113" w:type="pct"/>
            <w:tcBorders>
              <w:top w:val="single" w:sz="4" w:space="0" w:color="000000"/>
              <w:left w:val="single" w:sz="4" w:space="0" w:color="000000"/>
              <w:bottom w:val="single" w:sz="4" w:space="0" w:color="000000"/>
              <w:right w:val="single" w:sz="4" w:space="0" w:color="000000"/>
            </w:tcBorders>
            <w:hideMark/>
          </w:tcPr>
          <w:p w14:paraId="77C6C11E"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30(25.00)</w:t>
            </w:r>
          </w:p>
        </w:tc>
        <w:tc>
          <w:tcPr>
            <w:tcW w:w="1106" w:type="pct"/>
            <w:tcBorders>
              <w:top w:val="single" w:sz="4" w:space="0" w:color="000000"/>
              <w:left w:val="single" w:sz="4" w:space="0" w:color="000000"/>
              <w:bottom w:val="single" w:sz="4" w:space="0" w:color="000000"/>
              <w:right w:val="single" w:sz="4" w:space="0" w:color="000000"/>
            </w:tcBorders>
            <w:hideMark/>
          </w:tcPr>
          <w:p w14:paraId="1EEB8C2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15(12.50)</w:t>
            </w:r>
          </w:p>
        </w:tc>
        <w:tc>
          <w:tcPr>
            <w:tcW w:w="1077" w:type="pct"/>
            <w:tcBorders>
              <w:top w:val="single" w:sz="4" w:space="0" w:color="000000"/>
              <w:left w:val="single" w:sz="4" w:space="0" w:color="000000"/>
              <w:bottom w:val="single" w:sz="4" w:space="0" w:color="000000"/>
              <w:right w:val="single" w:sz="4" w:space="0" w:color="000000"/>
            </w:tcBorders>
            <w:hideMark/>
          </w:tcPr>
          <w:p w14:paraId="4D6C1ED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45(18.75)</w:t>
            </w:r>
          </w:p>
        </w:tc>
      </w:tr>
      <w:tr w:rsidR="0013654D" w:rsidRPr="002847EE" w14:paraId="55011986"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0237B0B4"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5 to 7 members</w:t>
            </w:r>
          </w:p>
        </w:tc>
        <w:tc>
          <w:tcPr>
            <w:tcW w:w="1113" w:type="pct"/>
            <w:tcBorders>
              <w:top w:val="single" w:sz="4" w:space="0" w:color="000000"/>
              <w:left w:val="single" w:sz="4" w:space="0" w:color="000000"/>
              <w:bottom w:val="single" w:sz="4" w:space="0" w:color="000000"/>
              <w:right w:val="single" w:sz="4" w:space="0" w:color="000000"/>
            </w:tcBorders>
            <w:hideMark/>
          </w:tcPr>
          <w:p w14:paraId="2D82A4B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83(69.16)</w:t>
            </w:r>
          </w:p>
        </w:tc>
        <w:tc>
          <w:tcPr>
            <w:tcW w:w="1106" w:type="pct"/>
            <w:tcBorders>
              <w:top w:val="single" w:sz="4" w:space="0" w:color="000000"/>
              <w:left w:val="single" w:sz="4" w:space="0" w:color="000000"/>
              <w:bottom w:val="single" w:sz="4" w:space="0" w:color="000000"/>
              <w:right w:val="single" w:sz="4" w:space="0" w:color="000000"/>
            </w:tcBorders>
            <w:hideMark/>
          </w:tcPr>
          <w:p w14:paraId="07F694B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95(79.16)</w:t>
            </w:r>
          </w:p>
        </w:tc>
        <w:tc>
          <w:tcPr>
            <w:tcW w:w="1077" w:type="pct"/>
            <w:tcBorders>
              <w:top w:val="single" w:sz="4" w:space="0" w:color="000000"/>
              <w:left w:val="single" w:sz="4" w:space="0" w:color="000000"/>
              <w:bottom w:val="single" w:sz="4" w:space="0" w:color="000000"/>
              <w:right w:val="single" w:sz="4" w:space="0" w:color="000000"/>
            </w:tcBorders>
            <w:hideMark/>
          </w:tcPr>
          <w:p w14:paraId="19B522B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178(74.16)</w:t>
            </w:r>
          </w:p>
        </w:tc>
      </w:tr>
      <w:tr w:rsidR="0013654D" w:rsidRPr="002847EE" w14:paraId="44B56C3B"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63D041F"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8 and above </w:t>
            </w:r>
          </w:p>
        </w:tc>
        <w:tc>
          <w:tcPr>
            <w:tcW w:w="1113" w:type="pct"/>
            <w:tcBorders>
              <w:top w:val="single" w:sz="4" w:space="0" w:color="000000"/>
              <w:left w:val="single" w:sz="4" w:space="0" w:color="000000"/>
              <w:bottom w:val="single" w:sz="4" w:space="0" w:color="000000"/>
              <w:right w:val="single" w:sz="4" w:space="0" w:color="000000"/>
            </w:tcBorders>
            <w:hideMark/>
          </w:tcPr>
          <w:p w14:paraId="0DD3D5F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7(5.83)</w:t>
            </w:r>
          </w:p>
        </w:tc>
        <w:tc>
          <w:tcPr>
            <w:tcW w:w="1106" w:type="pct"/>
            <w:tcBorders>
              <w:top w:val="single" w:sz="4" w:space="0" w:color="000000"/>
              <w:left w:val="single" w:sz="4" w:space="0" w:color="000000"/>
              <w:bottom w:val="single" w:sz="4" w:space="0" w:color="000000"/>
              <w:right w:val="single" w:sz="4" w:space="0" w:color="000000"/>
            </w:tcBorders>
            <w:hideMark/>
          </w:tcPr>
          <w:p w14:paraId="12C3D06E"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10(8.33)</w:t>
            </w:r>
          </w:p>
        </w:tc>
        <w:tc>
          <w:tcPr>
            <w:tcW w:w="1077" w:type="pct"/>
            <w:tcBorders>
              <w:top w:val="single" w:sz="4" w:space="0" w:color="000000"/>
              <w:left w:val="single" w:sz="4" w:space="0" w:color="000000"/>
              <w:bottom w:val="single" w:sz="4" w:space="0" w:color="000000"/>
              <w:right w:val="single" w:sz="4" w:space="0" w:color="000000"/>
            </w:tcBorders>
            <w:hideMark/>
          </w:tcPr>
          <w:p w14:paraId="7D1FB6D1"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17(7.08)</w:t>
            </w:r>
          </w:p>
        </w:tc>
      </w:tr>
      <w:tr w:rsidR="0013654D" w:rsidRPr="002847EE" w14:paraId="23665158"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05FA75"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Cs/>
                <w:lang w:eastAsia="en-IN"/>
              </w:rPr>
            </w:pPr>
            <w:r w:rsidRPr="002847EE">
              <w:rPr>
                <w:rFonts w:ascii="Times New Roman" w:hAnsi="Times New Roman" w:cs="Times New Roman"/>
                <w:b/>
                <w:lang w:eastAsia="en-IN"/>
              </w:rPr>
              <w:t>Educational qualification of parents (Father)</w:t>
            </w:r>
          </w:p>
        </w:tc>
      </w:tr>
      <w:tr w:rsidR="0013654D" w:rsidRPr="002847EE" w14:paraId="1D13DE02"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74B53BE"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
                <w:lang w:eastAsia="en-IN"/>
              </w:rPr>
            </w:pPr>
            <w:r w:rsidRPr="002847EE">
              <w:rPr>
                <w:rFonts w:ascii="Times New Roman" w:hAnsi="Times New Roman" w:cs="Times New Roman"/>
                <w:bCs/>
                <w:lang w:eastAsia="en-IN"/>
              </w:rPr>
              <w:t xml:space="preserve">Literate (Only read and write) </w:t>
            </w:r>
          </w:p>
        </w:tc>
        <w:tc>
          <w:tcPr>
            <w:tcW w:w="1113" w:type="pct"/>
            <w:tcBorders>
              <w:top w:val="single" w:sz="4" w:space="0" w:color="000000"/>
              <w:left w:val="single" w:sz="4" w:space="0" w:color="000000"/>
              <w:bottom w:val="single" w:sz="4" w:space="0" w:color="000000"/>
              <w:right w:val="single" w:sz="4" w:space="0" w:color="000000"/>
            </w:tcBorders>
            <w:hideMark/>
          </w:tcPr>
          <w:p w14:paraId="0FD87166"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2(1.67)</w:t>
            </w:r>
          </w:p>
        </w:tc>
        <w:tc>
          <w:tcPr>
            <w:tcW w:w="1106" w:type="pct"/>
            <w:tcBorders>
              <w:top w:val="single" w:sz="4" w:space="0" w:color="000000"/>
              <w:left w:val="single" w:sz="4" w:space="0" w:color="000000"/>
              <w:bottom w:val="single" w:sz="4" w:space="0" w:color="000000"/>
              <w:right w:val="single" w:sz="4" w:space="0" w:color="000000"/>
            </w:tcBorders>
            <w:hideMark/>
          </w:tcPr>
          <w:p w14:paraId="7D831391"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22 (18.33)</w:t>
            </w:r>
          </w:p>
        </w:tc>
        <w:tc>
          <w:tcPr>
            <w:tcW w:w="1077" w:type="pct"/>
            <w:tcBorders>
              <w:top w:val="single" w:sz="4" w:space="0" w:color="000000"/>
              <w:left w:val="single" w:sz="4" w:space="0" w:color="000000"/>
              <w:bottom w:val="single" w:sz="4" w:space="0" w:color="000000"/>
              <w:right w:val="single" w:sz="4" w:space="0" w:color="000000"/>
            </w:tcBorders>
            <w:hideMark/>
          </w:tcPr>
          <w:p w14:paraId="2892A6C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24(10.00)</w:t>
            </w:r>
          </w:p>
        </w:tc>
      </w:tr>
      <w:tr w:rsidR="0013654D" w:rsidRPr="002847EE" w14:paraId="6BD57141"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1E38A66E"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Primary school</w:t>
            </w:r>
          </w:p>
        </w:tc>
        <w:tc>
          <w:tcPr>
            <w:tcW w:w="1113" w:type="pct"/>
            <w:tcBorders>
              <w:top w:val="single" w:sz="4" w:space="0" w:color="000000"/>
              <w:left w:val="single" w:sz="4" w:space="0" w:color="000000"/>
              <w:bottom w:val="single" w:sz="4" w:space="0" w:color="000000"/>
              <w:right w:val="single" w:sz="4" w:space="0" w:color="000000"/>
            </w:tcBorders>
            <w:hideMark/>
          </w:tcPr>
          <w:p w14:paraId="7E558A2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8(6.67)</w:t>
            </w:r>
          </w:p>
        </w:tc>
        <w:tc>
          <w:tcPr>
            <w:tcW w:w="1106" w:type="pct"/>
            <w:tcBorders>
              <w:top w:val="single" w:sz="4" w:space="0" w:color="000000"/>
              <w:left w:val="single" w:sz="4" w:space="0" w:color="000000"/>
              <w:bottom w:val="single" w:sz="4" w:space="0" w:color="000000"/>
              <w:right w:val="single" w:sz="4" w:space="0" w:color="000000"/>
            </w:tcBorders>
            <w:hideMark/>
          </w:tcPr>
          <w:p w14:paraId="32A2AD6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21 (17.50)</w:t>
            </w:r>
          </w:p>
        </w:tc>
        <w:tc>
          <w:tcPr>
            <w:tcW w:w="1077" w:type="pct"/>
            <w:tcBorders>
              <w:top w:val="single" w:sz="4" w:space="0" w:color="000000"/>
              <w:left w:val="single" w:sz="4" w:space="0" w:color="000000"/>
              <w:bottom w:val="single" w:sz="4" w:space="0" w:color="000000"/>
              <w:right w:val="single" w:sz="4" w:space="0" w:color="000000"/>
            </w:tcBorders>
            <w:hideMark/>
          </w:tcPr>
          <w:p w14:paraId="25E20B3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29(12.08)</w:t>
            </w:r>
          </w:p>
        </w:tc>
      </w:tr>
      <w:tr w:rsidR="0013654D" w:rsidRPr="002847EE" w14:paraId="4ED87B96"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666CBDD"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Middle school</w:t>
            </w:r>
          </w:p>
        </w:tc>
        <w:tc>
          <w:tcPr>
            <w:tcW w:w="1113" w:type="pct"/>
            <w:tcBorders>
              <w:top w:val="single" w:sz="4" w:space="0" w:color="000000"/>
              <w:left w:val="single" w:sz="4" w:space="0" w:color="000000"/>
              <w:bottom w:val="single" w:sz="4" w:space="0" w:color="000000"/>
              <w:right w:val="single" w:sz="4" w:space="0" w:color="000000"/>
            </w:tcBorders>
            <w:hideMark/>
          </w:tcPr>
          <w:p w14:paraId="60A7C3D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45(37.50)</w:t>
            </w:r>
          </w:p>
        </w:tc>
        <w:tc>
          <w:tcPr>
            <w:tcW w:w="1106" w:type="pct"/>
            <w:tcBorders>
              <w:top w:val="single" w:sz="4" w:space="0" w:color="000000"/>
              <w:left w:val="single" w:sz="4" w:space="0" w:color="000000"/>
              <w:bottom w:val="single" w:sz="4" w:space="0" w:color="000000"/>
              <w:right w:val="single" w:sz="4" w:space="0" w:color="000000"/>
            </w:tcBorders>
            <w:hideMark/>
          </w:tcPr>
          <w:p w14:paraId="1F11C26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47 (39.17)</w:t>
            </w:r>
          </w:p>
        </w:tc>
        <w:tc>
          <w:tcPr>
            <w:tcW w:w="1077" w:type="pct"/>
            <w:tcBorders>
              <w:top w:val="single" w:sz="4" w:space="0" w:color="000000"/>
              <w:left w:val="single" w:sz="4" w:space="0" w:color="000000"/>
              <w:bottom w:val="single" w:sz="4" w:space="0" w:color="000000"/>
              <w:right w:val="single" w:sz="4" w:space="0" w:color="000000"/>
            </w:tcBorders>
            <w:hideMark/>
          </w:tcPr>
          <w:p w14:paraId="075B2649"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92(38.33)</w:t>
            </w:r>
          </w:p>
        </w:tc>
      </w:tr>
      <w:tr w:rsidR="0013654D" w:rsidRPr="002847EE" w14:paraId="3CE8361B"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20A04C1"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Secondary</w:t>
            </w:r>
          </w:p>
        </w:tc>
        <w:tc>
          <w:tcPr>
            <w:tcW w:w="1113" w:type="pct"/>
            <w:tcBorders>
              <w:top w:val="single" w:sz="4" w:space="0" w:color="000000"/>
              <w:left w:val="single" w:sz="4" w:space="0" w:color="000000"/>
              <w:bottom w:val="single" w:sz="4" w:space="0" w:color="000000"/>
              <w:right w:val="single" w:sz="4" w:space="0" w:color="000000"/>
            </w:tcBorders>
            <w:hideMark/>
          </w:tcPr>
          <w:p w14:paraId="3565431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46(38.33)</w:t>
            </w:r>
          </w:p>
        </w:tc>
        <w:tc>
          <w:tcPr>
            <w:tcW w:w="1106" w:type="pct"/>
            <w:tcBorders>
              <w:top w:val="single" w:sz="4" w:space="0" w:color="000000"/>
              <w:left w:val="single" w:sz="4" w:space="0" w:color="000000"/>
              <w:bottom w:val="single" w:sz="4" w:space="0" w:color="000000"/>
              <w:right w:val="single" w:sz="4" w:space="0" w:color="000000"/>
            </w:tcBorders>
            <w:hideMark/>
          </w:tcPr>
          <w:p w14:paraId="08CBC78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17 (14.17)</w:t>
            </w:r>
          </w:p>
        </w:tc>
        <w:tc>
          <w:tcPr>
            <w:tcW w:w="1077" w:type="pct"/>
            <w:tcBorders>
              <w:top w:val="single" w:sz="4" w:space="0" w:color="000000"/>
              <w:left w:val="single" w:sz="4" w:space="0" w:color="000000"/>
              <w:bottom w:val="single" w:sz="4" w:space="0" w:color="000000"/>
              <w:right w:val="single" w:sz="4" w:space="0" w:color="000000"/>
            </w:tcBorders>
            <w:hideMark/>
          </w:tcPr>
          <w:p w14:paraId="0CB2A81E"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63(26.25)</w:t>
            </w:r>
          </w:p>
        </w:tc>
      </w:tr>
      <w:tr w:rsidR="0013654D" w:rsidRPr="002847EE" w14:paraId="39B67A15"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33706DEB"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Senior Secondary </w:t>
            </w:r>
          </w:p>
        </w:tc>
        <w:tc>
          <w:tcPr>
            <w:tcW w:w="1113" w:type="pct"/>
            <w:tcBorders>
              <w:top w:val="single" w:sz="4" w:space="0" w:color="000000"/>
              <w:left w:val="single" w:sz="4" w:space="0" w:color="000000"/>
              <w:bottom w:val="single" w:sz="4" w:space="0" w:color="000000"/>
              <w:right w:val="single" w:sz="4" w:space="0" w:color="000000"/>
            </w:tcBorders>
            <w:hideMark/>
          </w:tcPr>
          <w:p w14:paraId="7B35AE7A"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12(10.00)</w:t>
            </w:r>
          </w:p>
        </w:tc>
        <w:tc>
          <w:tcPr>
            <w:tcW w:w="1106" w:type="pct"/>
            <w:tcBorders>
              <w:top w:val="single" w:sz="4" w:space="0" w:color="000000"/>
              <w:left w:val="single" w:sz="4" w:space="0" w:color="000000"/>
              <w:bottom w:val="single" w:sz="4" w:space="0" w:color="000000"/>
              <w:right w:val="single" w:sz="4" w:space="0" w:color="000000"/>
            </w:tcBorders>
            <w:hideMark/>
          </w:tcPr>
          <w:p w14:paraId="557383EB"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10(8.33)</w:t>
            </w:r>
          </w:p>
        </w:tc>
        <w:tc>
          <w:tcPr>
            <w:tcW w:w="1077" w:type="pct"/>
            <w:tcBorders>
              <w:top w:val="single" w:sz="4" w:space="0" w:color="000000"/>
              <w:left w:val="single" w:sz="4" w:space="0" w:color="000000"/>
              <w:bottom w:val="single" w:sz="4" w:space="0" w:color="000000"/>
              <w:right w:val="single" w:sz="4" w:space="0" w:color="000000"/>
            </w:tcBorders>
            <w:hideMark/>
          </w:tcPr>
          <w:p w14:paraId="4B98A31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22(9.17)</w:t>
            </w:r>
          </w:p>
        </w:tc>
      </w:tr>
      <w:tr w:rsidR="0013654D" w:rsidRPr="002847EE" w14:paraId="50F24B04"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28765CB5"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Graduate and above </w:t>
            </w:r>
          </w:p>
        </w:tc>
        <w:tc>
          <w:tcPr>
            <w:tcW w:w="1113" w:type="pct"/>
            <w:tcBorders>
              <w:top w:val="single" w:sz="4" w:space="0" w:color="000000"/>
              <w:left w:val="single" w:sz="4" w:space="0" w:color="000000"/>
              <w:bottom w:val="single" w:sz="4" w:space="0" w:color="000000"/>
              <w:right w:val="single" w:sz="4" w:space="0" w:color="000000"/>
            </w:tcBorders>
            <w:hideMark/>
          </w:tcPr>
          <w:p w14:paraId="5FCF66D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7(5.83)</w:t>
            </w:r>
          </w:p>
        </w:tc>
        <w:tc>
          <w:tcPr>
            <w:tcW w:w="1106" w:type="pct"/>
            <w:tcBorders>
              <w:top w:val="single" w:sz="4" w:space="0" w:color="000000"/>
              <w:left w:val="single" w:sz="4" w:space="0" w:color="000000"/>
              <w:bottom w:val="single" w:sz="4" w:space="0" w:color="000000"/>
              <w:right w:val="single" w:sz="4" w:space="0" w:color="000000"/>
            </w:tcBorders>
            <w:hideMark/>
          </w:tcPr>
          <w:p w14:paraId="32AA27B1"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 (2.50)</w:t>
            </w:r>
          </w:p>
        </w:tc>
        <w:tc>
          <w:tcPr>
            <w:tcW w:w="1077" w:type="pct"/>
            <w:tcBorders>
              <w:top w:val="single" w:sz="4" w:space="0" w:color="000000"/>
              <w:left w:val="single" w:sz="4" w:space="0" w:color="000000"/>
              <w:bottom w:val="single" w:sz="4" w:space="0" w:color="000000"/>
              <w:right w:val="single" w:sz="4" w:space="0" w:color="000000"/>
            </w:tcBorders>
            <w:hideMark/>
          </w:tcPr>
          <w:p w14:paraId="44C1915C"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10(4.16)</w:t>
            </w:r>
          </w:p>
        </w:tc>
      </w:tr>
      <w:tr w:rsidR="0013654D" w:rsidRPr="002847EE" w14:paraId="53131422" w14:textId="77777777" w:rsidTr="00206F4E">
        <w:trPr>
          <w:trHeight w:val="20"/>
        </w:trPr>
        <w:tc>
          <w:tcPr>
            <w:tcW w:w="5000" w:type="pct"/>
            <w:gridSpan w:val="4"/>
            <w:tcBorders>
              <w:top w:val="single" w:sz="4" w:space="0" w:color="000000"/>
              <w:left w:val="single" w:sz="4" w:space="0" w:color="000000"/>
              <w:bottom w:val="single" w:sz="4" w:space="0" w:color="000000"/>
              <w:right w:val="single" w:sz="4" w:space="0" w:color="000000"/>
            </w:tcBorders>
            <w:hideMark/>
          </w:tcPr>
          <w:p w14:paraId="7A34B510" w14:textId="77777777" w:rsidR="0013654D" w:rsidRPr="002847EE" w:rsidRDefault="0013654D" w:rsidP="00206F4E">
            <w:pPr>
              <w:autoSpaceDE w:val="0"/>
              <w:autoSpaceDN w:val="0"/>
              <w:adjustRightInd w:val="0"/>
              <w:spacing w:before="50" w:after="50" w:line="240" w:lineRule="auto"/>
              <w:jc w:val="left"/>
              <w:rPr>
                <w:rFonts w:ascii="Times New Roman" w:hAnsi="Times New Roman" w:cs="Times New Roman"/>
                <w:bCs/>
                <w:lang w:eastAsia="en-IN"/>
              </w:rPr>
            </w:pPr>
            <w:r w:rsidRPr="002847EE">
              <w:rPr>
                <w:rFonts w:ascii="Times New Roman" w:hAnsi="Times New Roman" w:cs="Times New Roman"/>
                <w:b/>
                <w:lang w:eastAsia="en-IN"/>
              </w:rPr>
              <w:t>Educational qualification of parents (Mother)</w:t>
            </w:r>
          </w:p>
        </w:tc>
      </w:tr>
      <w:tr w:rsidR="0013654D" w:rsidRPr="002847EE" w14:paraId="216CFEA8"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1DF836CB"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
                <w:lang w:eastAsia="en-IN"/>
              </w:rPr>
            </w:pPr>
            <w:r w:rsidRPr="002847EE">
              <w:rPr>
                <w:rFonts w:ascii="Times New Roman" w:hAnsi="Times New Roman" w:cs="Times New Roman"/>
                <w:bCs/>
                <w:lang w:eastAsia="en-IN"/>
              </w:rPr>
              <w:t xml:space="preserve">Literate (Only read and write) </w:t>
            </w:r>
          </w:p>
        </w:tc>
        <w:tc>
          <w:tcPr>
            <w:tcW w:w="1113" w:type="pct"/>
            <w:tcBorders>
              <w:top w:val="single" w:sz="4" w:space="0" w:color="000000"/>
              <w:left w:val="single" w:sz="4" w:space="0" w:color="000000"/>
              <w:bottom w:val="single" w:sz="4" w:space="0" w:color="000000"/>
              <w:right w:val="single" w:sz="4" w:space="0" w:color="000000"/>
            </w:tcBorders>
            <w:hideMark/>
          </w:tcPr>
          <w:p w14:paraId="565AC670"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9(7.50)</w:t>
            </w:r>
          </w:p>
        </w:tc>
        <w:tc>
          <w:tcPr>
            <w:tcW w:w="1106" w:type="pct"/>
            <w:tcBorders>
              <w:top w:val="single" w:sz="4" w:space="0" w:color="000000"/>
              <w:left w:val="single" w:sz="4" w:space="0" w:color="000000"/>
              <w:bottom w:val="single" w:sz="4" w:space="0" w:color="000000"/>
              <w:right w:val="single" w:sz="4" w:space="0" w:color="000000"/>
            </w:tcBorders>
            <w:hideMark/>
          </w:tcPr>
          <w:p w14:paraId="737B957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38(31.67)</w:t>
            </w:r>
          </w:p>
        </w:tc>
        <w:tc>
          <w:tcPr>
            <w:tcW w:w="1077" w:type="pct"/>
            <w:tcBorders>
              <w:top w:val="single" w:sz="4" w:space="0" w:color="000000"/>
              <w:left w:val="single" w:sz="4" w:space="0" w:color="000000"/>
              <w:bottom w:val="single" w:sz="4" w:space="0" w:color="000000"/>
              <w:right w:val="single" w:sz="4" w:space="0" w:color="000000"/>
            </w:tcBorders>
            <w:hideMark/>
          </w:tcPr>
          <w:p w14:paraId="6722142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
                <w:lang w:eastAsia="en-IN"/>
              </w:rPr>
            </w:pPr>
            <w:r w:rsidRPr="002847EE">
              <w:rPr>
                <w:rFonts w:ascii="Times New Roman" w:hAnsi="Times New Roman" w:cs="Times New Roman"/>
                <w:bCs/>
                <w:lang w:eastAsia="en-IN"/>
              </w:rPr>
              <w:t>47(19.58)</w:t>
            </w:r>
          </w:p>
        </w:tc>
      </w:tr>
      <w:tr w:rsidR="0013654D" w:rsidRPr="002847EE" w14:paraId="1F7DB04C"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D72339E"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Primary school</w:t>
            </w:r>
          </w:p>
        </w:tc>
        <w:tc>
          <w:tcPr>
            <w:tcW w:w="1113" w:type="pct"/>
            <w:tcBorders>
              <w:top w:val="single" w:sz="4" w:space="0" w:color="000000"/>
              <w:left w:val="single" w:sz="4" w:space="0" w:color="000000"/>
              <w:bottom w:val="single" w:sz="4" w:space="0" w:color="000000"/>
              <w:right w:val="single" w:sz="4" w:space="0" w:color="000000"/>
            </w:tcBorders>
            <w:hideMark/>
          </w:tcPr>
          <w:p w14:paraId="51332444"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17(14.67)</w:t>
            </w:r>
          </w:p>
        </w:tc>
        <w:tc>
          <w:tcPr>
            <w:tcW w:w="1106" w:type="pct"/>
            <w:tcBorders>
              <w:top w:val="single" w:sz="4" w:space="0" w:color="000000"/>
              <w:left w:val="single" w:sz="4" w:space="0" w:color="000000"/>
              <w:bottom w:val="single" w:sz="4" w:space="0" w:color="000000"/>
              <w:right w:val="single" w:sz="4" w:space="0" w:color="000000"/>
            </w:tcBorders>
            <w:hideMark/>
          </w:tcPr>
          <w:p w14:paraId="320325E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14(11.67)</w:t>
            </w:r>
          </w:p>
        </w:tc>
        <w:tc>
          <w:tcPr>
            <w:tcW w:w="1077" w:type="pct"/>
            <w:tcBorders>
              <w:top w:val="single" w:sz="4" w:space="0" w:color="000000"/>
              <w:left w:val="single" w:sz="4" w:space="0" w:color="000000"/>
              <w:bottom w:val="single" w:sz="4" w:space="0" w:color="000000"/>
              <w:right w:val="single" w:sz="4" w:space="0" w:color="000000"/>
            </w:tcBorders>
            <w:hideMark/>
          </w:tcPr>
          <w:p w14:paraId="3DD13F7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31(12.92)</w:t>
            </w:r>
          </w:p>
        </w:tc>
      </w:tr>
      <w:tr w:rsidR="0013654D" w:rsidRPr="002847EE" w14:paraId="2F1EC646"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33E12030"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Middle school</w:t>
            </w:r>
          </w:p>
        </w:tc>
        <w:tc>
          <w:tcPr>
            <w:tcW w:w="1113" w:type="pct"/>
            <w:tcBorders>
              <w:top w:val="single" w:sz="4" w:space="0" w:color="000000"/>
              <w:left w:val="single" w:sz="4" w:space="0" w:color="000000"/>
              <w:bottom w:val="single" w:sz="4" w:space="0" w:color="000000"/>
              <w:right w:val="single" w:sz="4" w:space="0" w:color="000000"/>
            </w:tcBorders>
            <w:hideMark/>
          </w:tcPr>
          <w:p w14:paraId="5E9C9D57"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15(12.50)</w:t>
            </w:r>
          </w:p>
        </w:tc>
        <w:tc>
          <w:tcPr>
            <w:tcW w:w="1106" w:type="pct"/>
            <w:tcBorders>
              <w:top w:val="single" w:sz="4" w:space="0" w:color="000000"/>
              <w:left w:val="single" w:sz="4" w:space="0" w:color="000000"/>
              <w:bottom w:val="single" w:sz="4" w:space="0" w:color="000000"/>
              <w:right w:val="single" w:sz="4" w:space="0" w:color="000000"/>
            </w:tcBorders>
            <w:hideMark/>
          </w:tcPr>
          <w:p w14:paraId="394CEC8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33(27.50)</w:t>
            </w:r>
          </w:p>
        </w:tc>
        <w:tc>
          <w:tcPr>
            <w:tcW w:w="1077" w:type="pct"/>
            <w:tcBorders>
              <w:top w:val="single" w:sz="4" w:space="0" w:color="000000"/>
              <w:left w:val="single" w:sz="4" w:space="0" w:color="000000"/>
              <w:bottom w:val="single" w:sz="4" w:space="0" w:color="000000"/>
              <w:right w:val="single" w:sz="4" w:space="0" w:color="000000"/>
            </w:tcBorders>
            <w:hideMark/>
          </w:tcPr>
          <w:p w14:paraId="571A82F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48(20.00)</w:t>
            </w:r>
          </w:p>
        </w:tc>
      </w:tr>
      <w:tr w:rsidR="0013654D" w:rsidRPr="002847EE" w14:paraId="10466DAF"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4AA93A07"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Secondary</w:t>
            </w:r>
          </w:p>
        </w:tc>
        <w:tc>
          <w:tcPr>
            <w:tcW w:w="1113" w:type="pct"/>
            <w:tcBorders>
              <w:top w:val="single" w:sz="4" w:space="0" w:color="000000"/>
              <w:left w:val="single" w:sz="4" w:space="0" w:color="000000"/>
              <w:bottom w:val="single" w:sz="4" w:space="0" w:color="000000"/>
              <w:right w:val="single" w:sz="4" w:space="0" w:color="000000"/>
            </w:tcBorders>
            <w:hideMark/>
          </w:tcPr>
          <w:p w14:paraId="59240D2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52(43.33)</w:t>
            </w:r>
          </w:p>
        </w:tc>
        <w:tc>
          <w:tcPr>
            <w:tcW w:w="1106" w:type="pct"/>
            <w:tcBorders>
              <w:top w:val="single" w:sz="4" w:space="0" w:color="000000"/>
              <w:left w:val="single" w:sz="4" w:space="0" w:color="000000"/>
              <w:bottom w:val="single" w:sz="4" w:space="0" w:color="000000"/>
              <w:right w:val="single" w:sz="4" w:space="0" w:color="000000"/>
            </w:tcBorders>
            <w:hideMark/>
          </w:tcPr>
          <w:p w14:paraId="5718D573"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31(25.83)</w:t>
            </w:r>
          </w:p>
        </w:tc>
        <w:tc>
          <w:tcPr>
            <w:tcW w:w="1077" w:type="pct"/>
            <w:tcBorders>
              <w:top w:val="single" w:sz="4" w:space="0" w:color="000000"/>
              <w:left w:val="single" w:sz="4" w:space="0" w:color="000000"/>
              <w:bottom w:val="single" w:sz="4" w:space="0" w:color="000000"/>
              <w:right w:val="single" w:sz="4" w:space="0" w:color="000000"/>
            </w:tcBorders>
            <w:hideMark/>
          </w:tcPr>
          <w:p w14:paraId="6EC17F8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83(34.58)</w:t>
            </w:r>
          </w:p>
        </w:tc>
      </w:tr>
      <w:tr w:rsidR="0013654D" w:rsidRPr="002847EE" w14:paraId="7274276C"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78EA8DFD"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Higher Secondary </w:t>
            </w:r>
          </w:p>
        </w:tc>
        <w:tc>
          <w:tcPr>
            <w:tcW w:w="1113" w:type="pct"/>
            <w:tcBorders>
              <w:top w:val="single" w:sz="4" w:space="0" w:color="000000"/>
              <w:left w:val="single" w:sz="4" w:space="0" w:color="000000"/>
              <w:bottom w:val="single" w:sz="4" w:space="0" w:color="000000"/>
              <w:right w:val="single" w:sz="4" w:space="0" w:color="000000"/>
            </w:tcBorders>
            <w:hideMark/>
          </w:tcPr>
          <w:p w14:paraId="595624AF"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22(18.33)</w:t>
            </w:r>
          </w:p>
        </w:tc>
        <w:tc>
          <w:tcPr>
            <w:tcW w:w="1106" w:type="pct"/>
            <w:tcBorders>
              <w:top w:val="single" w:sz="4" w:space="0" w:color="000000"/>
              <w:left w:val="single" w:sz="4" w:space="0" w:color="000000"/>
              <w:bottom w:val="single" w:sz="4" w:space="0" w:color="000000"/>
              <w:right w:val="single" w:sz="4" w:space="0" w:color="000000"/>
            </w:tcBorders>
            <w:hideMark/>
          </w:tcPr>
          <w:p w14:paraId="58CA3E7D"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3(2.50)</w:t>
            </w:r>
          </w:p>
        </w:tc>
        <w:tc>
          <w:tcPr>
            <w:tcW w:w="1077" w:type="pct"/>
            <w:tcBorders>
              <w:top w:val="single" w:sz="4" w:space="0" w:color="000000"/>
              <w:left w:val="single" w:sz="4" w:space="0" w:color="000000"/>
              <w:bottom w:val="single" w:sz="4" w:space="0" w:color="000000"/>
              <w:right w:val="single" w:sz="4" w:space="0" w:color="000000"/>
            </w:tcBorders>
            <w:hideMark/>
          </w:tcPr>
          <w:p w14:paraId="61CC3758"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25(10.42)</w:t>
            </w:r>
          </w:p>
        </w:tc>
      </w:tr>
      <w:tr w:rsidR="0013654D" w:rsidRPr="002847EE" w14:paraId="70D4752D" w14:textId="77777777" w:rsidTr="00206F4E">
        <w:trPr>
          <w:trHeight w:val="20"/>
        </w:trPr>
        <w:tc>
          <w:tcPr>
            <w:tcW w:w="1704" w:type="pct"/>
            <w:tcBorders>
              <w:top w:val="single" w:sz="4" w:space="0" w:color="000000"/>
              <w:left w:val="single" w:sz="4" w:space="0" w:color="000000"/>
              <w:bottom w:val="single" w:sz="4" w:space="0" w:color="000000"/>
              <w:right w:val="single" w:sz="4" w:space="0" w:color="000000"/>
            </w:tcBorders>
            <w:hideMark/>
          </w:tcPr>
          <w:p w14:paraId="6D194F1F" w14:textId="77777777" w:rsidR="0013654D" w:rsidRPr="002847EE" w:rsidRDefault="0013654D" w:rsidP="00206F4E">
            <w:pPr>
              <w:autoSpaceDE w:val="0"/>
              <w:autoSpaceDN w:val="0"/>
              <w:adjustRightInd w:val="0"/>
              <w:spacing w:before="50" w:after="50" w:line="240" w:lineRule="auto"/>
              <w:rPr>
                <w:rFonts w:ascii="Times New Roman" w:hAnsi="Times New Roman" w:cs="Times New Roman"/>
                <w:bCs/>
                <w:lang w:eastAsia="en-IN"/>
              </w:rPr>
            </w:pPr>
            <w:r w:rsidRPr="002847EE">
              <w:rPr>
                <w:rFonts w:ascii="Times New Roman" w:hAnsi="Times New Roman" w:cs="Times New Roman"/>
                <w:bCs/>
                <w:lang w:eastAsia="en-IN"/>
              </w:rPr>
              <w:t xml:space="preserve">Graduate and above </w:t>
            </w:r>
          </w:p>
        </w:tc>
        <w:tc>
          <w:tcPr>
            <w:tcW w:w="1113" w:type="pct"/>
            <w:tcBorders>
              <w:top w:val="single" w:sz="4" w:space="0" w:color="000000"/>
              <w:left w:val="single" w:sz="4" w:space="0" w:color="000000"/>
              <w:bottom w:val="single" w:sz="4" w:space="0" w:color="000000"/>
              <w:right w:val="single" w:sz="4" w:space="0" w:color="000000"/>
            </w:tcBorders>
            <w:hideMark/>
          </w:tcPr>
          <w:p w14:paraId="7EFD3FE2"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5(4.17)</w:t>
            </w:r>
          </w:p>
        </w:tc>
        <w:tc>
          <w:tcPr>
            <w:tcW w:w="1106" w:type="pct"/>
            <w:tcBorders>
              <w:top w:val="single" w:sz="4" w:space="0" w:color="000000"/>
              <w:left w:val="single" w:sz="4" w:space="0" w:color="000000"/>
              <w:bottom w:val="single" w:sz="4" w:space="0" w:color="000000"/>
              <w:right w:val="single" w:sz="4" w:space="0" w:color="000000"/>
            </w:tcBorders>
            <w:hideMark/>
          </w:tcPr>
          <w:p w14:paraId="5488C965"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1(0.83)</w:t>
            </w:r>
          </w:p>
        </w:tc>
        <w:tc>
          <w:tcPr>
            <w:tcW w:w="1077" w:type="pct"/>
            <w:tcBorders>
              <w:top w:val="single" w:sz="4" w:space="0" w:color="000000"/>
              <w:left w:val="single" w:sz="4" w:space="0" w:color="000000"/>
              <w:bottom w:val="single" w:sz="4" w:space="0" w:color="000000"/>
              <w:right w:val="single" w:sz="4" w:space="0" w:color="000000"/>
            </w:tcBorders>
            <w:hideMark/>
          </w:tcPr>
          <w:p w14:paraId="1EA3111E" w14:textId="77777777" w:rsidR="0013654D" w:rsidRPr="002847EE" w:rsidRDefault="0013654D" w:rsidP="00206F4E">
            <w:pPr>
              <w:autoSpaceDE w:val="0"/>
              <w:autoSpaceDN w:val="0"/>
              <w:adjustRightInd w:val="0"/>
              <w:spacing w:before="50" w:after="50" w:line="240" w:lineRule="auto"/>
              <w:jc w:val="center"/>
              <w:rPr>
                <w:rFonts w:ascii="Times New Roman" w:hAnsi="Times New Roman" w:cs="Times New Roman"/>
                <w:bCs/>
                <w:lang w:eastAsia="en-IN"/>
              </w:rPr>
            </w:pPr>
            <w:r w:rsidRPr="002847EE">
              <w:rPr>
                <w:rFonts w:ascii="Times New Roman" w:hAnsi="Times New Roman" w:cs="Times New Roman"/>
                <w:bCs/>
                <w:lang w:eastAsia="en-IN"/>
              </w:rPr>
              <w:t>6(2.50)</w:t>
            </w:r>
          </w:p>
        </w:tc>
      </w:tr>
      <w:bookmarkEnd w:id="10"/>
    </w:tbl>
    <w:p w14:paraId="6309276A" w14:textId="77777777" w:rsidR="0013654D" w:rsidRDefault="0013654D" w:rsidP="009E6A8A">
      <w:pPr>
        <w:jc w:val="both"/>
        <w:rPr>
          <w:rFonts w:ascii="Times New Roman" w:eastAsia="Calibri" w:hAnsi="Times New Roman" w:cs="Times New Roman"/>
          <w:b/>
          <w:bCs/>
        </w:rPr>
      </w:pPr>
    </w:p>
    <w:p w14:paraId="3649D174" w14:textId="5D6E142F" w:rsidR="00421AF2" w:rsidRPr="00004ACA" w:rsidRDefault="00421AF2" w:rsidP="009E6A8A">
      <w:pPr>
        <w:jc w:val="both"/>
        <w:rPr>
          <w:rFonts w:ascii="Times New Roman" w:eastAsia="Calibri" w:hAnsi="Times New Roman" w:cs="Times New Roman"/>
          <w:b/>
          <w:bCs/>
        </w:rPr>
      </w:pPr>
      <w:r w:rsidRPr="00004ACA">
        <w:rPr>
          <w:rFonts w:ascii="Times New Roman" w:eastAsia="Calibri" w:hAnsi="Times New Roman" w:cs="Times New Roman"/>
          <w:b/>
          <w:bCs/>
        </w:rPr>
        <w:t>Utilization</w:t>
      </w:r>
      <w:r w:rsidRPr="00004ACA">
        <w:rPr>
          <w:rFonts w:ascii="Times New Roman" w:eastAsia="Times New Roman" w:hAnsi="Times New Roman" w:cs="Times New Roman"/>
          <w:b/>
        </w:rPr>
        <w:t xml:space="preserve"> of Post Matric Scholarship for personal use</w:t>
      </w:r>
      <w:r>
        <w:rPr>
          <w:rFonts w:ascii="Times New Roman" w:eastAsia="Times New Roman" w:hAnsi="Times New Roman" w:cs="Times New Roman"/>
          <w:b/>
        </w:rPr>
        <w:t>d</w:t>
      </w:r>
      <w:r w:rsidRPr="00004ACA">
        <w:rPr>
          <w:rFonts w:ascii="Times New Roman" w:eastAsia="Times New Roman" w:hAnsi="Times New Roman" w:cs="Times New Roman"/>
          <w:b/>
        </w:rPr>
        <w:t xml:space="preserve"> by the respondents.</w:t>
      </w:r>
    </w:p>
    <w:p w14:paraId="302049C1" w14:textId="66265B0B" w:rsidR="00BC6E07" w:rsidRPr="00BC6E07" w:rsidRDefault="00BC6E07" w:rsidP="00BC6E07">
      <w:pPr>
        <w:ind w:firstLine="720"/>
        <w:jc w:val="both"/>
        <w:rPr>
          <w:rFonts w:ascii="Times New Roman" w:eastAsia="Calibri" w:hAnsi="Times New Roman" w:cs="Times New Roman"/>
        </w:rPr>
      </w:pPr>
      <w:r w:rsidRPr="00BC6E07">
        <w:rPr>
          <w:rFonts w:ascii="Times New Roman" w:eastAsia="Calibri" w:hAnsi="Times New Roman" w:cs="Times New Roman"/>
        </w:rPr>
        <w:t xml:space="preserve">The data in Table </w:t>
      </w:r>
      <w:r w:rsidR="0013654D">
        <w:rPr>
          <w:rFonts w:ascii="Times New Roman" w:eastAsia="Calibri" w:hAnsi="Times New Roman" w:cs="Times New Roman"/>
        </w:rPr>
        <w:t>2</w:t>
      </w:r>
      <w:r w:rsidRPr="00BC6E07">
        <w:rPr>
          <w:rFonts w:ascii="Times New Roman" w:eastAsia="Calibri" w:hAnsi="Times New Roman" w:cs="Times New Roman"/>
        </w:rPr>
        <w:t xml:space="preserve"> provides a comprehensive understanding of how scholarship recipients allocate their financial aid across diverse needs. The highest-ranked category was Mobile re</w:t>
      </w:r>
      <w:r w:rsidR="00CF4673">
        <w:rPr>
          <w:rFonts w:ascii="Times New Roman" w:eastAsia="Calibri" w:hAnsi="Times New Roman" w:cs="Times New Roman"/>
        </w:rPr>
        <w:t>charge</w:t>
      </w:r>
      <w:r w:rsidRPr="00BC6E07">
        <w:rPr>
          <w:rFonts w:ascii="Times New Roman" w:eastAsia="Calibri" w:hAnsi="Times New Roman" w:cs="Times New Roman"/>
        </w:rPr>
        <w:t xml:space="preserve"> (Garrett score: 17027, Rank-I), indicating a substantial emphasis on academic enhancement through digital tools and smartphone-based learning</w:t>
      </w:r>
      <w:r>
        <w:rPr>
          <w:rFonts w:ascii="Times New Roman" w:eastAsia="Calibri" w:hAnsi="Times New Roman" w:cs="Times New Roman"/>
        </w:rPr>
        <w:t xml:space="preserve">, </w:t>
      </w:r>
      <w:r w:rsidRPr="00BC6E07">
        <w:rPr>
          <w:rFonts w:ascii="Times New Roman" w:eastAsia="Calibri" w:hAnsi="Times New Roman" w:cs="Times New Roman"/>
        </w:rPr>
        <w:t>a reflection of the increasing reliance on mobile platforms in modern education. Clothing (Score: 16439, Rank-II) followed closely, suggesting that scholarships are crucial in helping students maintain presentable attire, which may contribute not just to personal dignity but also to confidence in academic and social settings. The third priority, Basic needs (Score: 15602, Rank-III), highlights how financial aid supports survival essentials like food, hygiene products</w:t>
      </w:r>
      <w:r>
        <w:rPr>
          <w:rFonts w:ascii="Times New Roman" w:eastAsia="Calibri" w:hAnsi="Times New Roman" w:cs="Times New Roman"/>
        </w:rPr>
        <w:t xml:space="preserve"> </w:t>
      </w:r>
      <w:r w:rsidRPr="00BC6E07">
        <w:rPr>
          <w:rFonts w:ascii="Times New Roman" w:eastAsia="Calibri" w:hAnsi="Times New Roman" w:cs="Times New Roman"/>
        </w:rPr>
        <w:t xml:space="preserve">and other everyday items, underscoring its importance in alleviating financial burdens. Expenditures on Parties and outings (Score: 15287, Rank-IV) and Clearing dues (Score: 15262, Rank-V) suggest a mix of social engagement </w:t>
      </w:r>
      <w:r w:rsidRPr="00BC6E07">
        <w:rPr>
          <w:rFonts w:ascii="Times New Roman" w:eastAsia="Calibri" w:hAnsi="Times New Roman" w:cs="Times New Roman"/>
        </w:rPr>
        <w:lastRenderedPageBreak/>
        <w:t>and fiscal responsibility, indicating that students also use their scholarships to address stress and overdue payments. Internet</w:t>
      </w:r>
      <w:r w:rsidRPr="00BC6E07">
        <w:rPr>
          <w:rFonts w:ascii="Times New Roman" w:eastAsia="Calibri" w:hAnsi="Times New Roman" w:cs="Times New Roman"/>
          <w:i/>
          <w:iCs/>
        </w:rPr>
        <w:t>/Wi-Fi</w:t>
      </w:r>
      <w:r w:rsidRPr="00BC6E07">
        <w:rPr>
          <w:rFonts w:ascii="Times New Roman" w:eastAsia="Calibri" w:hAnsi="Times New Roman" w:cs="Times New Roman"/>
        </w:rPr>
        <w:t xml:space="preserve"> (Score: 14802, Rank-VI) emphasizes the role of digital connectivity, now integral to both academic and personal life. Spending on Electronic accessories (Score: 13851, Rank-VII) and Mobile phones (Score: 13389, Rank-VIII) highlights the importance of tech tools in communication and coursework, while Mess dues (Score: 12624, Rank-IX) show a continued reliance on scholarships for essential nutrition. Expenses related to Health emergencies (Score: 11817, Rank-X) and Medicine (Score: 8891, Rank-XIII) point to scholarships serving as a safety net during times of medical need. Meanwhile, Trips (Score: 11250, Rank-XI) and payments toward Hobbies/skills (Score: 10206, Rank-XII) reflect students' efforts to pursue personal development and experiential learning, further enriching their educational journey. Lower-ranked categories such as Project expenses (Score: 8182, Rank-XIV), Vehicle purchases (Score: 6851, Rank-XV), and Fixed Deposit investments (Score: 6408, Rank-XVI) suggest long-term planning and financial security, although their lower scores might indicate limited affordability or prioritization. Notably, Laptops (Score: 6112, Rank-XVII) ranked lowest, which may be attributed to their high cost despite their clear academic utility. These findings resonate with </w:t>
      </w:r>
      <w:proofErr w:type="spellStart"/>
      <w:r w:rsidRPr="00BC6E07">
        <w:rPr>
          <w:rFonts w:ascii="Times New Roman" w:eastAsia="Calibri" w:hAnsi="Times New Roman" w:cs="Times New Roman"/>
        </w:rPr>
        <w:t>Malenya’s</w:t>
      </w:r>
      <w:proofErr w:type="spellEnd"/>
      <w:r w:rsidRPr="00BC6E07">
        <w:rPr>
          <w:rFonts w:ascii="Times New Roman" w:eastAsia="Calibri" w:hAnsi="Times New Roman" w:cs="Times New Roman"/>
        </w:rPr>
        <w:t xml:space="preserve"> (2017) observations, where scholarship funds were reported to assist low-income beneficiaries in covering tuition, transportation, books, school supplies, healthcare, clothing, food and housing repairs. The comparison reinforces the multidimensional impact of scholarships</w:t>
      </w:r>
      <w:r>
        <w:rPr>
          <w:rFonts w:ascii="Times New Roman" w:eastAsia="Calibri" w:hAnsi="Times New Roman" w:cs="Times New Roman"/>
        </w:rPr>
        <w:t xml:space="preserve">, </w:t>
      </w:r>
      <w:r w:rsidRPr="00BC6E07">
        <w:rPr>
          <w:rFonts w:ascii="Times New Roman" w:eastAsia="Calibri" w:hAnsi="Times New Roman" w:cs="Times New Roman"/>
        </w:rPr>
        <w:t>not only as academic facilitators but also as critical enablers of economic stability, personal well-being, and social mobility among marginalized student populations.</w:t>
      </w:r>
    </w:p>
    <w:p w14:paraId="2C83BE9E" w14:textId="565028C9" w:rsidR="00421AF2" w:rsidRPr="00004ACA" w:rsidRDefault="00421AF2"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w:t>
      </w:r>
      <w:r w:rsidR="0013654D">
        <w:rPr>
          <w:rFonts w:ascii="Times New Roman" w:eastAsia="Calibri" w:hAnsi="Times New Roman" w:cs="Times New Roman"/>
          <w:b/>
          <w:bCs/>
        </w:rPr>
        <w:t>2</w:t>
      </w:r>
      <w:r w:rsidRPr="00004ACA">
        <w:rPr>
          <w:rFonts w:ascii="Times New Roman" w:eastAsia="Calibri" w:hAnsi="Times New Roman" w:cs="Times New Roman"/>
          <w:b/>
          <w:bCs/>
        </w:rPr>
        <w:t xml:space="preserve">: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personal use by the respondents</w:t>
      </w:r>
    </w:p>
    <w:p w14:paraId="24CECC63" w14:textId="55348645" w:rsidR="00421AF2" w:rsidRPr="004A02E7" w:rsidRDefault="00421AF2" w:rsidP="009E6A8A">
      <w:pPr>
        <w:ind w:firstLine="720"/>
        <w:jc w:val="right"/>
        <w:rPr>
          <w:rFonts w:ascii="Times New Roman" w:eastAsia="Calibri" w:hAnsi="Times New Roman" w:cs="Times New Roman"/>
        </w:rPr>
      </w:pPr>
      <w:r w:rsidRPr="00004ACA">
        <w:rPr>
          <w:rFonts w:ascii="Times New Roman" w:eastAsia="Calibri" w:hAnsi="Times New Roman" w:cs="Times New Roman"/>
          <w:b/>
        </w:rPr>
        <w:t>n=240</w:t>
      </w:r>
    </w:p>
    <w:tbl>
      <w:tblPr>
        <w:tblStyle w:val="TableGrid4"/>
        <w:tblW w:w="5000" w:type="pct"/>
        <w:tblInd w:w="0" w:type="dxa"/>
        <w:tblLook w:val="04A0" w:firstRow="1" w:lastRow="0" w:firstColumn="1" w:lastColumn="0" w:noHBand="0" w:noVBand="1"/>
      </w:tblPr>
      <w:tblGrid>
        <w:gridCol w:w="933"/>
        <w:gridCol w:w="4179"/>
        <w:gridCol w:w="1446"/>
        <w:gridCol w:w="1352"/>
        <w:gridCol w:w="1350"/>
      </w:tblGrid>
      <w:tr w:rsidR="00421AF2" w:rsidRPr="009D75E9" w14:paraId="1E7E006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hideMark/>
          </w:tcPr>
          <w:p w14:paraId="0540FAB5" w14:textId="77777777" w:rsidR="00421AF2" w:rsidRPr="009D75E9" w:rsidRDefault="00421AF2" w:rsidP="009E6A8A">
            <w:pPr>
              <w:spacing w:after="40" w:line="360" w:lineRule="auto"/>
              <w:jc w:val="both"/>
              <w:rPr>
                <w:rFonts w:ascii="Times New Roman" w:eastAsia="Times New Roman" w:hAnsi="Times New Roman" w:cs="Times New Roman"/>
                <w:b/>
                <w:sz w:val="20"/>
                <w:szCs w:val="20"/>
              </w:rPr>
            </w:pPr>
            <w:proofErr w:type="spellStart"/>
            <w:r w:rsidRPr="009D75E9">
              <w:rPr>
                <w:rFonts w:ascii="Times New Roman" w:eastAsia="Times New Roman" w:hAnsi="Times New Roman" w:cs="Times New Roman"/>
                <w:b/>
                <w:sz w:val="20"/>
                <w:szCs w:val="20"/>
              </w:rPr>
              <w:t>S.No</w:t>
            </w:r>
            <w:proofErr w:type="spellEnd"/>
            <w:r w:rsidRPr="009D75E9">
              <w:rPr>
                <w:rFonts w:ascii="Times New Roman" w:eastAsia="Times New Roman" w:hAnsi="Times New Roman" w:cs="Times New Roman"/>
                <w:b/>
                <w:sz w:val="20"/>
                <w:szCs w:val="20"/>
              </w:rPr>
              <w:t>.</w:t>
            </w:r>
          </w:p>
        </w:tc>
        <w:tc>
          <w:tcPr>
            <w:tcW w:w="2256" w:type="pct"/>
            <w:tcBorders>
              <w:top w:val="single" w:sz="4" w:space="0" w:color="auto"/>
              <w:left w:val="single" w:sz="4" w:space="0" w:color="auto"/>
              <w:bottom w:val="single" w:sz="4" w:space="0" w:color="auto"/>
              <w:right w:val="single" w:sz="4" w:space="0" w:color="auto"/>
            </w:tcBorders>
            <w:hideMark/>
          </w:tcPr>
          <w:p w14:paraId="28DEB185" w14:textId="77777777" w:rsidR="00421AF2" w:rsidRPr="009D75E9" w:rsidRDefault="00421AF2" w:rsidP="009E6A8A">
            <w:pPr>
              <w:spacing w:after="40" w:line="360" w:lineRule="auto"/>
              <w:jc w:val="both"/>
              <w:rPr>
                <w:rFonts w:ascii="Times New Roman" w:eastAsia="Times New Roman" w:hAnsi="Times New Roman" w:cs="Times New Roman"/>
                <w:b/>
                <w:sz w:val="20"/>
                <w:szCs w:val="20"/>
              </w:rPr>
            </w:pPr>
            <w:r w:rsidRPr="009D75E9">
              <w:rPr>
                <w:rFonts w:ascii="Times New Roman" w:hAnsi="Times New Roman" w:cs="Times New Roman"/>
                <w:b/>
                <w:bCs/>
                <w:sz w:val="20"/>
                <w:szCs w:val="20"/>
              </w:rPr>
              <w:t>Personal use</w:t>
            </w:r>
          </w:p>
        </w:tc>
        <w:tc>
          <w:tcPr>
            <w:tcW w:w="781" w:type="pct"/>
            <w:tcBorders>
              <w:top w:val="single" w:sz="4" w:space="0" w:color="auto"/>
              <w:left w:val="single" w:sz="4" w:space="0" w:color="auto"/>
              <w:bottom w:val="single" w:sz="4" w:space="0" w:color="auto"/>
              <w:right w:val="single" w:sz="4" w:space="0" w:color="auto"/>
            </w:tcBorders>
            <w:hideMark/>
          </w:tcPr>
          <w:p w14:paraId="024D04E6"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Total Garrett Score</w:t>
            </w:r>
          </w:p>
        </w:tc>
        <w:tc>
          <w:tcPr>
            <w:tcW w:w="730" w:type="pct"/>
            <w:tcBorders>
              <w:top w:val="single" w:sz="4" w:space="0" w:color="auto"/>
              <w:left w:val="single" w:sz="4" w:space="0" w:color="auto"/>
              <w:bottom w:val="single" w:sz="4" w:space="0" w:color="auto"/>
              <w:right w:val="single" w:sz="4" w:space="0" w:color="auto"/>
            </w:tcBorders>
            <w:hideMark/>
          </w:tcPr>
          <w:p w14:paraId="5FC1AD44"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Garrett Mean Score</w:t>
            </w:r>
          </w:p>
        </w:tc>
        <w:tc>
          <w:tcPr>
            <w:tcW w:w="729" w:type="pct"/>
            <w:tcBorders>
              <w:top w:val="single" w:sz="4" w:space="0" w:color="auto"/>
              <w:left w:val="single" w:sz="4" w:space="0" w:color="auto"/>
              <w:bottom w:val="single" w:sz="4" w:space="0" w:color="auto"/>
              <w:right w:val="single" w:sz="4" w:space="0" w:color="auto"/>
            </w:tcBorders>
            <w:hideMark/>
          </w:tcPr>
          <w:p w14:paraId="2420EF03" w14:textId="77777777" w:rsidR="00421AF2" w:rsidRPr="009D75E9" w:rsidRDefault="00421AF2" w:rsidP="009E6A8A">
            <w:pPr>
              <w:spacing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Rank</w:t>
            </w:r>
          </w:p>
        </w:tc>
      </w:tr>
      <w:tr w:rsidR="00421AF2" w:rsidRPr="009D75E9" w14:paraId="790DA1C8"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62E19594"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33430C7" w14:textId="77777777" w:rsidR="00421AF2" w:rsidRPr="009D75E9" w:rsidRDefault="00421AF2" w:rsidP="009E6A8A">
            <w:pPr>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Mobile </w:t>
            </w:r>
          </w:p>
        </w:tc>
        <w:tc>
          <w:tcPr>
            <w:tcW w:w="781" w:type="pct"/>
            <w:tcBorders>
              <w:top w:val="single" w:sz="4" w:space="0" w:color="auto"/>
              <w:left w:val="single" w:sz="4" w:space="0" w:color="auto"/>
              <w:bottom w:val="single" w:sz="4" w:space="0" w:color="auto"/>
              <w:right w:val="single" w:sz="4" w:space="0" w:color="auto"/>
            </w:tcBorders>
            <w:hideMark/>
          </w:tcPr>
          <w:p w14:paraId="043FE5E3"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13389</w:t>
            </w:r>
          </w:p>
        </w:tc>
        <w:tc>
          <w:tcPr>
            <w:tcW w:w="730" w:type="pct"/>
            <w:tcBorders>
              <w:top w:val="single" w:sz="4" w:space="0" w:color="auto"/>
              <w:left w:val="single" w:sz="4" w:space="0" w:color="auto"/>
              <w:bottom w:val="single" w:sz="4" w:space="0" w:color="auto"/>
              <w:right w:val="single" w:sz="4" w:space="0" w:color="auto"/>
            </w:tcBorders>
            <w:hideMark/>
          </w:tcPr>
          <w:p w14:paraId="2262F3A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55.78</w:t>
            </w:r>
          </w:p>
        </w:tc>
        <w:tc>
          <w:tcPr>
            <w:tcW w:w="729" w:type="pct"/>
            <w:tcBorders>
              <w:top w:val="single" w:sz="4" w:space="0" w:color="auto"/>
              <w:left w:val="single" w:sz="4" w:space="0" w:color="auto"/>
              <w:bottom w:val="single" w:sz="4" w:space="0" w:color="auto"/>
              <w:right w:val="single" w:sz="4" w:space="0" w:color="auto"/>
            </w:tcBorders>
            <w:hideMark/>
          </w:tcPr>
          <w:p w14:paraId="492A5BB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VIII</w:t>
            </w:r>
          </w:p>
        </w:tc>
      </w:tr>
      <w:tr w:rsidR="00421AF2" w:rsidRPr="009D75E9" w14:paraId="7F14B95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B046873"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327C1B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Laptop</w:t>
            </w:r>
          </w:p>
        </w:tc>
        <w:tc>
          <w:tcPr>
            <w:tcW w:w="781" w:type="pct"/>
            <w:tcBorders>
              <w:top w:val="single" w:sz="4" w:space="0" w:color="auto"/>
              <w:left w:val="single" w:sz="4" w:space="0" w:color="auto"/>
              <w:bottom w:val="single" w:sz="4" w:space="0" w:color="auto"/>
              <w:right w:val="single" w:sz="4" w:space="0" w:color="auto"/>
            </w:tcBorders>
            <w:hideMark/>
          </w:tcPr>
          <w:p w14:paraId="7740782D"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6112</w:t>
            </w:r>
          </w:p>
        </w:tc>
        <w:tc>
          <w:tcPr>
            <w:tcW w:w="730" w:type="pct"/>
            <w:tcBorders>
              <w:top w:val="single" w:sz="4" w:space="0" w:color="auto"/>
              <w:left w:val="single" w:sz="4" w:space="0" w:color="auto"/>
              <w:bottom w:val="single" w:sz="4" w:space="0" w:color="auto"/>
              <w:right w:val="single" w:sz="4" w:space="0" w:color="auto"/>
            </w:tcBorders>
            <w:hideMark/>
          </w:tcPr>
          <w:p w14:paraId="7F4F5499"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25.46</w:t>
            </w:r>
          </w:p>
        </w:tc>
        <w:tc>
          <w:tcPr>
            <w:tcW w:w="729" w:type="pct"/>
            <w:tcBorders>
              <w:top w:val="single" w:sz="4" w:space="0" w:color="auto"/>
              <w:left w:val="single" w:sz="4" w:space="0" w:color="auto"/>
              <w:bottom w:val="single" w:sz="4" w:space="0" w:color="auto"/>
              <w:right w:val="single" w:sz="4" w:space="0" w:color="auto"/>
            </w:tcBorders>
            <w:hideMark/>
          </w:tcPr>
          <w:p w14:paraId="216D7456"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XVII</w:t>
            </w:r>
          </w:p>
        </w:tc>
      </w:tr>
      <w:tr w:rsidR="00421AF2" w:rsidRPr="009D75E9" w14:paraId="66B1416F"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591838D8"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1498D50"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Clothes</w:t>
            </w:r>
          </w:p>
        </w:tc>
        <w:tc>
          <w:tcPr>
            <w:tcW w:w="781" w:type="pct"/>
            <w:tcBorders>
              <w:top w:val="single" w:sz="4" w:space="0" w:color="auto"/>
              <w:left w:val="single" w:sz="4" w:space="0" w:color="auto"/>
              <w:bottom w:val="single" w:sz="4" w:space="0" w:color="auto"/>
              <w:right w:val="single" w:sz="4" w:space="0" w:color="auto"/>
            </w:tcBorders>
            <w:hideMark/>
          </w:tcPr>
          <w:p w14:paraId="4DBEFD8B"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16439</w:t>
            </w:r>
          </w:p>
        </w:tc>
        <w:tc>
          <w:tcPr>
            <w:tcW w:w="730" w:type="pct"/>
            <w:tcBorders>
              <w:top w:val="single" w:sz="4" w:space="0" w:color="auto"/>
              <w:left w:val="single" w:sz="4" w:space="0" w:color="auto"/>
              <w:bottom w:val="single" w:sz="4" w:space="0" w:color="auto"/>
              <w:right w:val="single" w:sz="4" w:space="0" w:color="auto"/>
            </w:tcBorders>
            <w:hideMark/>
          </w:tcPr>
          <w:p w14:paraId="3311A247"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68.49</w:t>
            </w:r>
          </w:p>
        </w:tc>
        <w:tc>
          <w:tcPr>
            <w:tcW w:w="729" w:type="pct"/>
            <w:tcBorders>
              <w:top w:val="single" w:sz="4" w:space="0" w:color="auto"/>
              <w:left w:val="single" w:sz="4" w:space="0" w:color="auto"/>
              <w:bottom w:val="single" w:sz="4" w:space="0" w:color="auto"/>
              <w:right w:val="single" w:sz="4" w:space="0" w:color="auto"/>
            </w:tcBorders>
            <w:hideMark/>
          </w:tcPr>
          <w:p w14:paraId="468B3D08"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w:t>
            </w:r>
          </w:p>
        </w:tc>
      </w:tr>
      <w:tr w:rsidR="00421AF2" w:rsidRPr="009D75E9" w14:paraId="4FAC8FF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9281DE2"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530F49C8"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Project expenses</w:t>
            </w:r>
          </w:p>
        </w:tc>
        <w:tc>
          <w:tcPr>
            <w:tcW w:w="781" w:type="pct"/>
            <w:tcBorders>
              <w:top w:val="single" w:sz="4" w:space="0" w:color="auto"/>
              <w:left w:val="single" w:sz="4" w:space="0" w:color="auto"/>
              <w:bottom w:val="single" w:sz="4" w:space="0" w:color="auto"/>
              <w:right w:val="single" w:sz="4" w:space="0" w:color="auto"/>
            </w:tcBorders>
            <w:hideMark/>
          </w:tcPr>
          <w:p w14:paraId="0C8E5FF7"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8182</w:t>
            </w:r>
          </w:p>
        </w:tc>
        <w:tc>
          <w:tcPr>
            <w:tcW w:w="730" w:type="pct"/>
            <w:tcBorders>
              <w:top w:val="single" w:sz="4" w:space="0" w:color="auto"/>
              <w:left w:val="single" w:sz="4" w:space="0" w:color="auto"/>
              <w:bottom w:val="single" w:sz="4" w:space="0" w:color="auto"/>
              <w:right w:val="single" w:sz="4" w:space="0" w:color="auto"/>
            </w:tcBorders>
            <w:hideMark/>
          </w:tcPr>
          <w:p w14:paraId="4D044632"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34.09</w:t>
            </w:r>
          </w:p>
        </w:tc>
        <w:tc>
          <w:tcPr>
            <w:tcW w:w="729" w:type="pct"/>
            <w:tcBorders>
              <w:top w:val="single" w:sz="4" w:space="0" w:color="auto"/>
              <w:left w:val="single" w:sz="4" w:space="0" w:color="auto"/>
              <w:bottom w:val="single" w:sz="4" w:space="0" w:color="auto"/>
              <w:right w:val="single" w:sz="4" w:space="0" w:color="auto"/>
            </w:tcBorders>
            <w:hideMark/>
          </w:tcPr>
          <w:p w14:paraId="3805C03C"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XIV</w:t>
            </w:r>
          </w:p>
        </w:tc>
      </w:tr>
      <w:tr w:rsidR="00421AF2" w:rsidRPr="009D75E9" w14:paraId="504CB769"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A1CE714"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1D9C202"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Payment for hobbies/skills </w:t>
            </w:r>
            <w:r w:rsidRPr="009D75E9">
              <w:rPr>
                <w:rFonts w:ascii="Times New Roman" w:hAnsi="Times New Roman" w:cs="Times New Roman"/>
                <w:i/>
                <w:iCs/>
                <w:sz w:val="20"/>
                <w:szCs w:val="20"/>
              </w:rPr>
              <w:t>i.e.</w:t>
            </w:r>
            <w:r w:rsidRPr="009D75E9">
              <w:rPr>
                <w:rFonts w:ascii="Times New Roman" w:hAnsi="Times New Roman" w:cs="Times New Roman"/>
                <w:sz w:val="20"/>
                <w:szCs w:val="20"/>
              </w:rPr>
              <w:t xml:space="preserve"> dance, playing with music instruments</w:t>
            </w:r>
          </w:p>
        </w:tc>
        <w:tc>
          <w:tcPr>
            <w:tcW w:w="781" w:type="pct"/>
            <w:tcBorders>
              <w:top w:val="single" w:sz="4" w:space="0" w:color="auto"/>
              <w:left w:val="single" w:sz="4" w:space="0" w:color="auto"/>
              <w:bottom w:val="single" w:sz="4" w:space="0" w:color="auto"/>
              <w:right w:val="single" w:sz="4" w:space="0" w:color="auto"/>
            </w:tcBorders>
            <w:hideMark/>
          </w:tcPr>
          <w:p w14:paraId="09F4951B"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10206</w:t>
            </w:r>
          </w:p>
        </w:tc>
        <w:tc>
          <w:tcPr>
            <w:tcW w:w="730" w:type="pct"/>
            <w:tcBorders>
              <w:top w:val="single" w:sz="4" w:space="0" w:color="auto"/>
              <w:left w:val="single" w:sz="4" w:space="0" w:color="auto"/>
              <w:bottom w:val="single" w:sz="4" w:space="0" w:color="auto"/>
              <w:right w:val="single" w:sz="4" w:space="0" w:color="auto"/>
            </w:tcBorders>
            <w:hideMark/>
          </w:tcPr>
          <w:p w14:paraId="0708E023"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42.52</w:t>
            </w:r>
          </w:p>
        </w:tc>
        <w:tc>
          <w:tcPr>
            <w:tcW w:w="729" w:type="pct"/>
            <w:tcBorders>
              <w:top w:val="single" w:sz="4" w:space="0" w:color="auto"/>
              <w:left w:val="single" w:sz="4" w:space="0" w:color="auto"/>
              <w:bottom w:val="single" w:sz="4" w:space="0" w:color="auto"/>
              <w:right w:val="single" w:sz="4" w:space="0" w:color="auto"/>
            </w:tcBorders>
            <w:hideMark/>
          </w:tcPr>
          <w:p w14:paraId="7A8B6272"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XII</w:t>
            </w:r>
          </w:p>
        </w:tc>
      </w:tr>
      <w:tr w:rsidR="00421AF2" w:rsidRPr="009D75E9" w14:paraId="3FEAE1A5"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A2504B2"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931FA6D"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Parties and outing </w:t>
            </w:r>
          </w:p>
        </w:tc>
        <w:tc>
          <w:tcPr>
            <w:tcW w:w="781" w:type="pct"/>
            <w:tcBorders>
              <w:top w:val="single" w:sz="4" w:space="0" w:color="auto"/>
              <w:left w:val="single" w:sz="4" w:space="0" w:color="auto"/>
              <w:bottom w:val="single" w:sz="4" w:space="0" w:color="auto"/>
              <w:right w:val="single" w:sz="4" w:space="0" w:color="auto"/>
            </w:tcBorders>
            <w:hideMark/>
          </w:tcPr>
          <w:p w14:paraId="3D6118AA"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15287</w:t>
            </w:r>
          </w:p>
        </w:tc>
        <w:tc>
          <w:tcPr>
            <w:tcW w:w="730" w:type="pct"/>
            <w:tcBorders>
              <w:top w:val="single" w:sz="4" w:space="0" w:color="auto"/>
              <w:left w:val="single" w:sz="4" w:space="0" w:color="auto"/>
              <w:bottom w:val="single" w:sz="4" w:space="0" w:color="auto"/>
              <w:right w:val="single" w:sz="4" w:space="0" w:color="auto"/>
            </w:tcBorders>
            <w:hideMark/>
          </w:tcPr>
          <w:p w14:paraId="50FC0F45"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63.69</w:t>
            </w:r>
          </w:p>
        </w:tc>
        <w:tc>
          <w:tcPr>
            <w:tcW w:w="729" w:type="pct"/>
            <w:tcBorders>
              <w:top w:val="single" w:sz="4" w:space="0" w:color="auto"/>
              <w:left w:val="single" w:sz="4" w:space="0" w:color="auto"/>
              <w:bottom w:val="single" w:sz="4" w:space="0" w:color="auto"/>
              <w:right w:val="single" w:sz="4" w:space="0" w:color="auto"/>
            </w:tcBorders>
            <w:hideMark/>
          </w:tcPr>
          <w:p w14:paraId="70E297EA" w14:textId="77777777" w:rsidR="00421AF2" w:rsidRPr="009D75E9" w:rsidRDefault="00421AF2" w:rsidP="009E6A8A">
            <w:pPr>
              <w:spacing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IV</w:t>
            </w:r>
          </w:p>
        </w:tc>
      </w:tr>
      <w:tr w:rsidR="00421AF2" w:rsidRPr="009D75E9" w14:paraId="538F21D9"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0DF57AD"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3334E6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Mobile recharge </w:t>
            </w:r>
          </w:p>
        </w:tc>
        <w:tc>
          <w:tcPr>
            <w:tcW w:w="781" w:type="pct"/>
            <w:tcBorders>
              <w:top w:val="single" w:sz="4" w:space="0" w:color="auto"/>
              <w:left w:val="single" w:sz="4" w:space="0" w:color="auto"/>
              <w:bottom w:val="single" w:sz="4" w:space="0" w:color="auto"/>
              <w:right w:val="single" w:sz="4" w:space="0" w:color="auto"/>
            </w:tcBorders>
            <w:hideMark/>
          </w:tcPr>
          <w:p w14:paraId="6254AFD8"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17027</w:t>
            </w:r>
          </w:p>
        </w:tc>
        <w:tc>
          <w:tcPr>
            <w:tcW w:w="730" w:type="pct"/>
            <w:tcBorders>
              <w:top w:val="single" w:sz="4" w:space="0" w:color="auto"/>
              <w:left w:val="single" w:sz="4" w:space="0" w:color="auto"/>
              <w:bottom w:val="single" w:sz="4" w:space="0" w:color="auto"/>
              <w:right w:val="single" w:sz="4" w:space="0" w:color="auto"/>
            </w:tcBorders>
            <w:hideMark/>
          </w:tcPr>
          <w:p w14:paraId="65EAE229"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70.94</w:t>
            </w:r>
          </w:p>
        </w:tc>
        <w:tc>
          <w:tcPr>
            <w:tcW w:w="729" w:type="pct"/>
            <w:tcBorders>
              <w:top w:val="single" w:sz="4" w:space="0" w:color="auto"/>
              <w:left w:val="single" w:sz="4" w:space="0" w:color="auto"/>
              <w:bottom w:val="single" w:sz="4" w:space="0" w:color="auto"/>
              <w:right w:val="single" w:sz="4" w:space="0" w:color="auto"/>
            </w:tcBorders>
            <w:hideMark/>
          </w:tcPr>
          <w:p w14:paraId="7EF336ED" w14:textId="77777777" w:rsidR="00421AF2" w:rsidRPr="009D75E9" w:rsidRDefault="00421AF2" w:rsidP="009E6A8A">
            <w:pPr>
              <w:spacing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I</w:t>
            </w:r>
          </w:p>
        </w:tc>
      </w:tr>
      <w:tr w:rsidR="00421AF2" w:rsidRPr="009D75E9" w14:paraId="3496B3D2"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512767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058B8DC"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Electronic accessories </w:t>
            </w:r>
            <w:r w:rsidRPr="009D75E9">
              <w:rPr>
                <w:rFonts w:ascii="Times New Roman" w:hAnsi="Times New Roman" w:cs="Times New Roman"/>
                <w:i/>
                <w:iCs/>
                <w:sz w:val="20"/>
                <w:szCs w:val="20"/>
              </w:rPr>
              <w:t>i.e.</w:t>
            </w:r>
            <w:r w:rsidRPr="009D75E9">
              <w:rPr>
                <w:rFonts w:ascii="Times New Roman" w:hAnsi="Times New Roman" w:cs="Times New Roman"/>
                <w:sz w:val="20"/>
                <w:szCs w:val="20"/>
              </w:rPr>
              <w:t xml:space="preserve"> earphone, headphone, phone stand, speaker, tablet</w:t>
            </w:r>
          </w:p>
        </w:tc>
        <w:tc>
          <w:tcPr>
            <w:tcW w:w="781" w:type="pct"/>
            <w:tcBorders>
              <w:top w:val="single" w:sz="4" w:space="0" w:color="auto"/>
              <w:left w:val="single" w:sz="4" w:space="0" w:color="auto"/>
              <w:bottom w:val="single" w:sz="4" w:space="0" w:color="auto"/>
              <w:right w:val="single" w:sz="4" w:space="0" w:color="auto"/>
            </w:tcBorders>
            <w:hideMark/>
          </w:tcPr>
          <w:p w14:paraId="06B897C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13851</w:t>
            </w:r>
          </w:p>
        </w:tc>
        <w:tc>
          <w:tcPr>
            <w:tcW w:w="730" w:type="pct"/>
            <w:tcBorders>
              <w:top w:val="single" w:sz="4" w:space="0" w:color="auto"/>
              <w:left w:val="single" w:sz="4" w:space="0" w:color="auto"/>
              <w:bottom w:val="single" w:sz="4" w:space="0" w:color="auto"/>
              <w:right w:val="single" w:sz="4" w:space="0" w:color="auto"/>
            </w:tcBorders>
            <w:hideMark/>
          </w:tcPr>
          <w:p w14:paraId="72A38E8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57.71</w:t>
            </w:r>
          </w:p>
        </w:tc>
        <w:tc>
          <w:tcPr>
            <w:tcW w:w="729" w:type="pct"/>
            <w:tcBorders>
              <w:top w:val="single" w:sz="4" w:space="0" w:color="auto"/>
              <w:left w:val="single" w:sz="4" w:space="0" w:color="auto"/>
              <w:bottom w:val="single" w:sz="4" w:space="0" w:color="auto"/>
              <w:right w:val="single" w:sz="4" w:space="0" w:color="auto"/>
            </w:tcBorders>
            <w:hideMark/>
          </w:tcPr>
          <w:p w14:paraId="07A0883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VII</w:t>
            </w:r>
          </w:p>
        </w:tc>
      </w:tr>
      <w:tr w:rsidR="00421AF2" w:rsidRPr="009D75E9" w14:paraId="00BB0EF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47D5336"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6EE02E1"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Vehicle </w:t>
            </w:r>
          </w:p>
        </w:tc>
        <w:tc>
          <w:tcPr>
            <w:tcW w:w="781" w:type="pct"/>
            <w:tcBorders>
              <w:top w:val="single" w:sz="4" w:space="0" w:color="auto"/>
              <w:left w:val="single" w:sz="4" w:space="0" w:color="auto"/>
              <w:bottom w:val="single" w:sz="4" w:space="0" w:color="auto"/>
              <w:right w:val="single" w:sz="4" w:space="0" w:color="auto"/>
            </w:tcBorders>
            <w:hideMark/>
          </w:tcPr>
          <w:p w14:paraId="13F1376D"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6851</w:t>
            </w:r>
          </w:p>
        </w:tc>
        <w:tc>
          <w:tcPr>
            <w:tcW w:w="730" w:type="pct"/>
            <w:tcBorders>
              <w:top w:val="single" w:sz="4" w:space="0" w:color="auto"/>
              <w:left w:val="single" w:sz="4" w:space="0" w:color="auto"/>
              <w:bottom w:val="single" w:sz="4" w:space="0" w:color="auto"/>
              <w:right w:val="single" w:sz="4" w:space="0" w:color="auto"/>
            </w:tcBorders>
            <w:hideMark/>
          </w:tcPr>
          <w:p w14:paraId="27E8013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28.54</w:t>
            </w:r>
          </w:p>
        </w:tc>
        <w:tc>
          <w:tcPr>
            <w:tcW w:w="729" w:type="pct"/>
            <w:tcBorders>
              <w:top w:val="single" w:sz="4" w:space="0" w:color="auto"/>
              <w:left w:val="single" w:sz="4" w:space="0" w:color="auto"/>
              <w:bottom w:val="single" w:sz="4" w:space="0" w:color="auto"/>
              <w:right w:val="single" w:sz="4" w:space="0" w:color="auto"/>
            </w:tcBorders>
            <w:hideMark/>
          </w:tcPr>
          <w:p w14:paraId="0A83E37E"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XV</w:t>
            </w:r>
          </w:p>
        </w:tc>
      </w:tr>
      <w:tr w:rsidR="00421AF2" w:rsidRPr="009D75E9" w14:paraId="6755223C"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3394045"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6634F30"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For medicine </w:t>
            </w:r>
          </w:p>
        </w:tc>
        <w:tc>
          <w:tcPr>
            <w:tcW w:w="781" w:type="pct"/>
            <w:tcBorders>
              <w:top w:val="single" w:sz="4" w:space="0" w:color="auto"/>
              <w:left w:val="single" w:sz="4" w:space="0" w:color="auto"/>
              <w:bottom w:val="single" w:sz="4" w:space="0" w:color="auto"/>
              <w:right w:val="single" w:sz="4" w:space="0" w:color="auto"/>
            </w:tcBorders>
            <w:hideMark/>
          </w:tcPr>
          <w:p w14:paraId="0AE1CBA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8891</w:t>
            </w:r>
          </w:p>
        </w:tc>
        <w:tc>
          <w:tcPr>
            <w:tcW w:w="730" w:type="pct"/>
            <w:tcBorders>
              <w:top w:val="single" w:sz="4" w:space="0" w:color="auto"/>
              <w:left w:val="single" w:sz="4" w:space="0" w:color="auto"/>
              <w:bottom w:val="single" w:sz="4" w:space="0" w:color="auto"/>
              <w:right w:val="single" w:sz="4" w:space="0" w:color="auto"/>
            </w:tcBorders>
            <w:hideMark/>
          </w:tcPr>
          <w:p w14:paraId="134E945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37.04</w:t>
            </w:r>
          </w:p>
        </w:tc>
        <w:tc>
          <w:tcPr>
            <w:tcW w:w="729" w:type="pct"/>
            <w:tcBorders>
              <w:top w:val="single" w:sz="4" w:space="0" w:color="auto"/>
              <w:left w:val="single" w:sz="4" w:space="0" w:color="auto"/>
              <w:bottom w:val="single" w:sz="4" w:space="0" w:color="auto"/>
              <w:right w:val="single" w:sz="4" w:space="0" w:color="auto"/>
            </w:tcBorders>
            <w:hideMark/>
          </w:tcPr>
          <w:p w14:paraId="489DC32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XIII</w:t>
            </w:r>
          </w:p>
        </w:tc>
      </w:tr>
      <w:tr w:rsidR="00421AF2" w:rsidRPr="009D75E9" w14:paraId="6D33054E"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480F3AED"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B547BDB"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Health-related emergency </w:t>
            </w:r>
          </w:p>
        </w:tc>
        <w:tc>
          <w:tcPr>
            <w:tcW w:w="781" w:type="pct"/>
            <w:tcBorders>
              <w:top w:val="single" w:sz="4" w:space="0" w:color="auto"/>
              <w:left w:val="single" w:sz="4" w:space="0" w:color="auto"/>
              <w:bottom w:val="single" w:sz="4" w:space="0" w:color="auto"/>
              <w:right w:val="single" w:sz="4" w:space="0" w:color="auto"/>
            </w:tcBorders>
            <w:hideMark/>
          </w:tcPr>
          <w:p w14:paraId="4320274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11817</w:t>
            </w:r>
          </w:p>
        </w:tc>
        <w:tc>
          <w:tcPr>
            <w:tcW w:w="730" w:type="pct"/>
            <w:tcBorders>
              <w:top w:val="single" w:sz="4" w:space="0" w:color="auto"/>
              <w:left w:val="single" w:sz="4" w:space="0" w:color="auto"/>
              <w:bottom w:val="single" w:sz="4" w:space="0" w:color="auto"/>
              <w:right w:val="single" w:sz="4" w:space="0" w:color="auto"/>
            </w:tcBorders>
            <w:hideMark/>
          </w:tcPr>
          <w:p w14:paraId="439064ED"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49.23</w:t>
            </w:r>
          </w:p>
        </w:tc>
        <w:tc>
          <w:tcPr>
            <w:tcW w:w="729" w:type="pct"/>
            <w:tcBorders>
              <w:top w:val="single" w:sz="4" w:space="0" w:color="auto"/>
              <w:left w:val="single" w:sz="4" w:space="0" w:color="auto"/>
              <w:bottom w:val="single" w:sz="4" w:space="0" w:color="auto"/>
              <w:right w:val="single" w:sz="4" w:space="0" w:color="auto"/>
            </w:tcBorders>
            <w:hideMark/>
          </w:tcPr>
          <w:p w14:paraId="157CBB8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w:t>
            </w:r>
          </w:p>
        </w:tc>
      </w:tr>
      <w:tr w:rsidR="00421AF2" w:rsidRPr="009D75E9" w14:paraId="0E8B239F"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595F6451"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B984F51"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Internet/Wi-Fi</w:t>
            </w:r>
          </w:p>
        </w:tc>
        <w:tc>
          <w:tcPr>
            <w:tcW w:w="781" w:type="pct"/>
            <w:tcBorders>
              <w:top w:val="single" w:sz="4" w:space="0" w:color="auto"/>
              <w:left w:val="single" w:sz="4" w:space="0" w:color="auto"/>
              <w:bottom w:val="single" w:sz="4" w:space="0" w:color="auto"/>
              <w:right w:val="single" w:sz="4" w:space="0" w:color="auto"/>
            </w:tcBorders>
            <w:hideMark/>
          </w:tcPr>
          <w:p w14:paraId="5D27B2B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14802</w:t>
            </w:r>
          </w:p>
        </w:tc>
        <w:tc>
          <w:tcPr>
            <w:tcW w:w="730" w:type="pct"/>
            <w:tcBorders>
              <w:top w:val="single" w:sz="4" w:space="0" w:color="auto"/>
              <w:left w:val="single" w:sz="4" w:space="0" w:color="auto"/>
              <w:bottom w:val="single" w:sz="4" w:space="0" w:color="auto"/>
              <w:right w:val="single" w:sz="4" w:space="0" w:color="auto"/>
            </w:tcBorders>
            <w:hideMark/>
          </w:tcPr>
          <w:p w14:paraId="5700CE1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61.67</w:t>
            </w:r>
          </w:p>
        </w:tc>
        <w:tc>
          <w:tcPr>
            <w:tcW w:w="729" w:type="pct"/>
            <w:tcBorders>
              <w:top w:val="single" w:sz="4" w:space="0" w:color="auto"/>
              <w:left w:val="single" w:sz="4" w:space="0" w:color="auto"/>
              <w:bottom w:val="single" w:sz="4" w:space="0" w:color="auto"/>
              <w:right w:val="single" w:sz="4" w:space="0" w:color="auto"/>
            </w:tcBorders>
            <w:hideMark/>
          </w:tcPr>
          <w:p w14:paraId="54EFCCA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w:t>
            </w:r>
          </w:p>
        </w:tc>
      </w:tr>
      <w:tr w:rsidR="00421AF2" w:rsidRPr="009D75E9" w14:paraId="44692191"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0AE25565"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7F2B3DF"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Basic needs</w:t>
            </w:r>
          </w:p>
        </w:tc>
        <w:tc>
          <w:tcPr>
            <w:tcW w:w="781" w:type="pct"/>
            <w:tcBorders>
              <w:top w:val="single" w:sz="4" w:space="0" w:color="auto"/>
              <w:left w:val="single" w:sz="4" w:space="0" w:color="auto"/>
              <w:bottom w:val="single" w:sz="4" w:space="0" w:color="auto"/>
              <w:right w:val="single" w:sz="4" w:space="0" w:color="auto"/>
            </w:tcBorders>
            <w:hideMark/>
          </w:tcPr>
          <w:p w14:paraId="24EB43FC"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15602</w:t>
            </w:r>
          </w:p>
        </w:tc>
        <w:tc>
          <w:tcPr>
            <w:tcW w:w="730" w:type="pct"/>
            <w:tcBorders>
              <w:top w:val="single" w:sz="4" w:space="0" w:color="auto"/>
              <w:left w:val="single" w:sz="4" w:space="0" w:color="auto"/>
              <w:bottom w:val="single" w:sz="4" w:space="0" w:color="auto"/>
              <w:right w:val="single" w:sz="4" w:space="0" w:color="auto"/>
            </w:tcBorders>
            <w:hideMark/>
          </w:tcPr>
          <w:p w14:paraId="709BE972"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65.00</w:t>
            </w:r>
          </w:p>
        </w:tc>
        <w:tc>
          <w:tcPr>
            <w:tcW w:w="729" w:type="pct"/>
            <w:tcBorders>
              <w:top w:val="single" w:sz="4" w:space="0" w:color="auto"/>
              <w:left w:val="single" w:sz="4" w:space="0" w:color="auto"/>
              <w:bottom w:val="single" w:sz="4" w:space="0" w:color="auto"/>
              <w:right w:val="single" w:sz="4" w:space="0" w:color="auto"/>
            </w:tcBorders>
            <w:hideMark/>
          </w:tcPr>
          <w:p w14:paraId="28579E85"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III</w:t>
            </w:r>
          </w:p>
        </w:tc>
      </w:tr>
      <w:tr w:rsidR="00421AF2" w:rsidRPr="009D75E9" w14:paraId="64C2F033"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10399BE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D1FD4A7"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Clearing the dues </w:t>
            </w:r>
          </w:p>
        </w:tc>
        <w:tc>
          <w:tcPr>
            <w:tcW w:w="781" w:type="pct"/>
            <w:tcBorders>
              <w:top w:val="single" w:sz="4" w:space="0" w:color="auto"/>
              <w:left w:val="single" w:sz="4" w:space="0" w:color="auto"/>
              <w:bottom w:val="single" w:sz="4" w:space="0" w:color="auto"/>
              <w:right w:val="single" w:sz="4" w:space="0" w:color="auto"/>
            </w:tcBorders>
            <w:hideMark/>
          </w:tcPr>
          <w:p w14:paraId="192DC052"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15262</w:t>
            </w:r>
          </w:p>
        </w:tc>
        <w:tc>
          <w:tcPr>
            <w:tcW w:w="730" w:type="pct"/>
            <w:tcBorders>
              <w:top w:val="single" w:sz="4" w:space="0" w:color="auto"/>
              <w:left w:val="single" w:sz="4" w:space="0" w:color="auto"/>
              <w:bottom w:val="single" w:sz="4" w:space="0" w:color="auto"/>
              <w:right w:val="single" w:sz="4" w:space="0" w:color="auto"/>
            </w:tcBorders>
            <w:hideMark/>
          </w:tcPr>
          <w:p w14:paraId="0B37BF5E"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63.59</w:t>
            </w:r>
          </w:p>
        </w:tc>
        <w:tc>
          <w:tcPr>
            <w:tcW w:w="729" w:type="pct"/>
            <w:tcBorders>
              <w:top w:val="single" w:sz="4" w:space="0" w:color="auto"/>
              <w:left w:val="single" w:sz="4" w:space="0" w:color="auto"/>
              <w:bottom w:val="single" w:sz="4" w:space="0" w:color="auto"/>
              <w:right w:val="single" w:sz="4" w:space="0" w:color="auto"/>
            </w:tcBorders>
            <w:hideMark/>
          </w:tcPr>
          <w:p w14:paraId="74B527C0"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w:t>
            </w:r>
          </w:p>
        </w:tc>
      </w:tr>
      <w:tr w:rsidR="00421AF2" w:rsidRPr="009D75E9" w14:paraId="7F03512C"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2585D3AF"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A169D6B"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Trips </w:t>
            </w:r>
          </w:p>
        </w:tc>
        <w:tc>
          <w:tcPr>
            <w:tcW w:w="781" w:type="pct"/>
            <w:tcBorders>
              <w:top w:val="single" w:sz="4" w:space="0" w:color="auto"/>
              <w:left w:val="single" w:sz="4" w:space="0" w:color="auto"/>
              <w:bottom w:val="single" w:sz="4" w:space="0" w:color="auto"/>
              <w:right w:val="single" w:sz="4" w:space="0" w:color="auto"/>
            </w:tcBorders>
            <w:hideMark/>
          </w:tcPr>
          <w:p w14:paraId="70A1D83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11250</w:t>
            </w:r>
          </w:p>
        </w:tc>
        <w:tc>
          <w:tcPr>
            <w:tcW w:w="730" w:type="pct"/>
            <w:tcBorders>
              <w:top w:val="single" w:sz="4" w:space="0" w:color="auto"/>
              <w:left w:val="single" w:sz="4" w:space="0" w:color="auto"/>
              <w:bottom w:val="single" w:sz="4" w:space="0" w:color="auto"/>
              <w:right w:val="single" w:sz="4" w:space="0" w:color="auto"/>
            </w:tcBorders>
            <w:hideMark/>
          </w:tcPr>
          <w:p w14:paraId="0BF1186B"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46.87</w:t>
            </w:r>
          </w:p>
        </w:tc>
        <w:tc>
          <w:tcPr>
            <w:tcW w:w="729" w:type="pct"/>
            <w:tcBorders>
              <w:top w:val="single" w:sz="4" w:space="0" w:color="auto"/>
              <w:left w:val="single" w:sz="4" w:space="0" w:color="auto"/>
              <w:bottom w:val="single" w:sz="4" w:space="0" w:color="auto"/>
              <w:right w:val="single" w:sz="4" w:space="0" w:color="auto"/>
            </w:tcBorders>
            <w:hideMark/>
          </w:tcPr>
          <w:p w14:paraId="3B42715A"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w:t>
            </w:r>
          </w:p>
        </w:tc>
      </w:tr>
      <w:tr w:rsidR="00421AF2" w:rsidRPr="009D75E9" w14:paraId="71F90226"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3D4E1020"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76CD814D"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Mess dues</w:t>
            </w:r>
          </w:p>
        </w:tc>
        <w:tc>
          <w:tcPr>
            <w:tcW w:w="781" w:type="pct"/>
            <w:tcBorders>
              <w:top w:val="single" w:sz="4" w:space="0" w:color="auto"/>
              <w:left w:val="single" w:sz="4" w:space="0" w:color="auto"/>
              <w:bottom w:val="single" w:sz="4" w:space="0" w:color="auto"/>
              <w:right w:val="single" w:sz="4" w:space="0" w:color="auto"/>
            </w:tcBorders>
            <w:hideMark/>
          </w:tcPr>
          <w:p w14:paraId="44E6537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12624</w:t>
            </w:r>
          </w:p>
        </w:tc>
        <w:tc>
          <w:tcPr>
            <w:tcW w:w="730" w:type="pct"/>
            <w:tcBorders>
              <w:top w:val="single" w:sz="4" w:space="0" w:color="auto"/>
              <w:left w:val="single" w:sz="4" w:space="0" w:color="auto"/>
              <w:bottom w:val="single" w:sz="4" w:space="0" w:color="auto"/>
              <w:right w:val="single" w:sz="4" w:space="0" w:color="auto"/>
            </w:tcBorders>
            <w:hideMark/>
          </w:tcPr>
          <w:p w14:paraId="531CFD0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52.60</w:t>
            </w:r>
          </w:p>
        </w:tc>
        <w:tc>
          <w:tcPr>
            <w:tcW w:w="729" w:type="pct"/>
            <w:tcBorders>
              <w:top w:val="single" w:sz="4" w:space="0" w:color="auto"/>
              <w:left w:val="single" w:sz="4" w:space="0" w:color="auto"/>
              <w:bottom w:val="single" w:sz="4" w:space="0" w:color="auto"/>
              <w:right w:val="single" w:sz="4" w:space="0" w:color="auto"/>
            </w:tcBorders>
            <w:hideMark/>
          </w:tcPr>
          <w:p w14:paraId="1A23FEF7"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IX</w:t>
            </w:r>
          </w:p>
        </w:tc>
      </w:tr>
      <w:tr w:rsidR="00421AF2" w:rsidRPr="009D75E9" w14:paraId="220DACD2" w14:textId="77777777" w:rsidTr="009D75E9">
        <w:trPr>
          <w:trHeight w:val="20"/>
        </w:trPr>
        <w:tc>
          <w:tcPr>
            <w:tcW w:w="503" w:type="pct"/>
            <w:tcBorders>
              <w:top w:val="single" w:sz="4" w:space="0" w:color="auto"/>
              <w:left w:val="single" w:sz="4" w:space="0" w:color="auto"/>
              <w:bottom w:val="single" w:sz="4" w:space="0" w:color="auto"/>
              <w:right w:val="single" w:sz="4" w:space="0" w:color="auto"/>
            </w:tcBorders>
          </w:tcPr>
          <w:p w14:paraId="78D46363" w14:textId="77777777" w:rsidR="00421AF2" w:rsidRPr="009D75E9" w:rsidRDefault="00421AF2" w:rsidP="009E6A8A">
            <w:pPr>
              <w:numPr>
                <w:ilvl w:val="0"/>
                <w:numId w:val="18"/>
              </w:numPr>
              <w:spacing w:after="40" w:line="360" w:lineRule="auto"/>
              <w:ind w:left="504"/>
              <w:jc w:val="both"/>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6F5C946" w14:textId="77777777" w:rsidR="00421AF2" w:rsidRPr="009D75E9" w:rsidRDefault="00421AF2" w:rsidP="009E6A8A">
            <w:pPr>
              <w:tabs>
                <w:tab w:val="right" w:pos="3895"/>
              </w:tabs>
              <w:spacing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For Fix Deposit (FD)</w:t>
            </w:r>
          </w:p>
        </w:tc>
        <w:tc>
          <w:tcPr>
            <w:tcW w:w="781" w:type="pct"/>
            <w:tcBorders>
              <w:top w:val="single" w:sz="4" w:space="0" w:color="auto"/>
              <w:left w:val="single" w:sz="4" w:space="0" w:color="auto"/>
              <w:bottom w:val="single" w:sz="4" w:space="0" w:color="auto"/>
              <w:right w:val="single" w:sz="4" w:space="0" w:color="auto"/>
            </w:tcBorders>
            <w:hideMark/>
          </w:tcPr>
          <w:p w14:paraId="1E374318"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6408</w:t>
            </w:r>
          </w:p>
        </w:tc>
        <w:tc>
          <w:tcPr>
            <w:tcW w:w="730" w:type="pct"/>
            <w:tcBorders>
              <w:top w:val="single" w:sz="4" w:space="0" w:color="auto"/>
              <w:left w:val="single" w:sz="4" w:space="0" w:color="auto"/>
              <w:bottom w:val="single" w:sz="4" w:space="0" w:color="auto"/>
              <w:right w:val="single" w:sz="4" w:space="0" w:color="auto"/>
            </w:tcBorders>
            <w:hideMark/>
          </w:tcPr>
          <w:p w14:paraId="4915C031"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26.70</w:t>
            </w:r>
          </w:p>
        </w:tc>
        <w:tc>
          <w:tcPr>
            <w:tcW w:w="729" w:type="pct"/>
            <w:tcBorders>
              <w:top w:val="single" w:sz="4" w:space="0" w:color="auto"/>
              <w:left w:val="single" w:sz="4" w:space="0" w:color="auto"/>
              <w:bottom w:val="single" w:sz="4" w:space="0" w:color="auto"/>
              <w:right w:val="single" w:sz="4" w:space="0" w:color="auto"/>
            </w:tcBorders>
            <w:hideMark/>
          </w:tcPr>
          <w:p w14:paraId="627AF4C9" w14:textId="77777777" w:rsidR="00421AF2" w:rsidRPr="009D75E9" w:rsidRDefault="00421AF2" w:rsidP="009E6A8A">
            <w:pPr>
              <w:spacing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XVI</w:t>
            </w:r>
          </w:p>
        </w:tc>
      </w:tr>
    </w:tbl>
    <w:p w14:paraId="772EAF21" w14:textId="77777777" w:rsidR="006E3D80" w:rsidRDefault="006E3D80" w:rsidP="009E6A8A">
      <w:pPr>
        <w:ind w:right="4"/>
        <w:jc w:val="both"/>
        <w:rPr>
          <w:rFonts w:ascii="Times New Roman" w:eastAsia="Times New Roman" w:hAnsi="Times New Roman" w:cs="Times New Roman"/>
          <w:b/>
        </w:rPr>
      </w:pPr>
    </w:p>
    <w:p w14:paraId="2B25F3DE" w14:textId="56438413" w:rsidR="009D75E9" w:rsidRDefault="009D75E9" w:rsidP="009E6A8A">
      <w:pPr>
        <w:ind w:right="4"/>
        <w:jc w:val="both"/>
        <w:rPr>
          <w:rFonts w:ascii="Times New Roman" w:eastAsia="Times New Roman" w:hAnsi="Times New Roman" w:cs="Times New Roman"/>
          <w:b/>
        </w:rPr>
      </w:pPr>
      <w:r w:rsidRPr="00004ACA">
        <w:rPr>
          <w:rFonts w:ascii="Times New Roman" w:eastAsia="Times New Roman" w:hAnsi="Times New Roman" w:cs="Times New Roman"/>
          <w:b/>
        </w:rPr>
        <w:t>Utilization of Post Matric Scholarship for academic use by the respondents.</w:t>
      </w:r>
    </w:p>
    <w:p w14:paraId="529F9BB8" w14:textId="71AB2C1A" w:rsidR="00622932" w:rsidRPr="00622932" w:rsidRDefault="00622932" w:rsidP="00622932">
      <w:pPr>
        <w:ind w:firstLine="720"/>
        <w:jc w:val="both"/>
        <w:rPr>
          <w:rFonts w:ascii="Times New Roman" w:eastAsia="Calibri" w:hAnsi="Times New Roman" w:cs="Times New Roman"/>
        </w:rPr>
      </w:pPr>
      <w:r w:rsidRPr="00622932">
        <w:rPr>
          <w:rFonts w:ascii="Times New Roman" w:eastAsia="Calibri" w:hAnsi="Times New Roman" w:cs="Times New Roman"/>
        </w:rPr>
        <w:t xml:space="preserve">Table </w:t>
      </w:r>
      <w:r w:rsidR="0013654D">
        <w:rPr>
          <w:rFonts w:ascii="Times New Roman" w:eastAsia="Calibri" w:hAnsi="Times New Roman" w:cs="Times New Roman"/>
        </w:rPr>
        <w:t>3</w:t>
      </w:r>
      <w:r w:rsidRPr="00622932">
        <w:rPr>
          <w:rFonts w:ascii="Times New Roman" w:eastAsia="Calibri" w:hAnsi="Times New Roman" w:cs="Times New Roman"/>
        </w:rPr>
        <w:t xml:space="preserve"> provides a detailed account of how students utilize their scholarship funds to sustain and enhance their academic pursuits, with the highest allocation going toward educational supplies and stationery (Garrett score: 16645, Rank I), reflecting the fundamental importance of basic learning materials in supporting everyday classroom activities. This is closely followed by the payment of college fees (Score: 16158, Rank II), underscoring scholarships' role in easing financial pressure related to institutional costs, which often pose significant hurdles for students from low-income backgrounds. Essential academic services such as Xerox and printing (Score: 15038, Rank III), magazine subscriptions (Score: 13968, Rank IV)</w:t>
      </w:r>
      <w:r>
        <w:rPr>
          <w:rFonts w:ascii="Times New Roman" w:eastAsia="Calibri" w:hAnsi="Times New Roman" w:cs="Times New Roman"/>
        </w:rPr>
        <w:t xml:space="preserve"> </w:t>
      </w:r>
      <w:r w:rsidRPr="00622932">
        <w:rPr>
          <w:rFonts w:ascii="Times New Roman" w:eastAsia="Calibri" w:hAnsi="Times New Roman" w:cs="Times New Roman"/>
        </w:rPr>
        <w:t>and book purchases (Score: 13776, Rank V) represent further priorities, indicating that scholarships are not only meeting core requirements but also enriching students’ access to varied learning resources. Additionally, respondents reported using funds for repayment of prior educational loans (Score: 12682, Rank VI), pointing to a cycle of financial stress that scholarships help alleviate. Spending on educational trips (Score: 12540, Rank VII), training (Score: 10908, Rank VIII), and library fees (Score: 10147, Rank IX) reflects an effort to expand academic engagement beyond textbooks and classrooms, promoting experiential learning. Meanwhile, comparatively lower-ranked categories such as tuition fees (Score: 8980, Rank X), participation in conferences/seminars/workshops (Score: 8590, Rank XI), academic memberships (Score: 8412, Rank XII), and publication expenses (Score: 8156, Rank XIII) suggest that while these areas are academically valuable, they may be considered supplementary or financially inaccessible for many students. In light of these findings, the role of scholarships emerges as critical</w:t>
      </w:r>
      <w:r>
        <w:rPr>
          <w:rFonts w:ascii="Times New Roman" w:eastAsia="Calibri" w:hAnsi="Times New Roman" w:cs="Times New Roman"/>
        </w:rPr>
        <w:t xml:space="preserve"> </w:t>
      </w:r>
      <w:r w:rsidRPr="00622932">
        <w:rPr>
          <w:rFonts w:ascii="Times New Roman" w:eastAsia="Calibri" w:hAnsi="Times New Roman" w:cs="Times New Roman"/>
        </w:rPr>
        <w:t xml:space="preserve">not only in providing access to necessary educational tools but also in mitigating dropout risks, fostering academic continuity and empowering students to overcome economic barriers. </w:t>
      </w:r>
    </w:p>
    <w:p w14:paraId="73D5CCF2" w14:textId="27F6E83B" w:rsidR="009D75E9" w:rsidRDefault="009D75E9"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w:t>
      </w:r>
      <w:r w:rsidR="0013654D">
        <w:rPr>
          <w:rFonts w:ascii="Times New Roman" w:eastAsia="Calibri" w:hAnsi="Times New Roman" w:cs="Times New Roman"/>
          <w:b/>
          <w:bCs/>
        </w:rPr>
        <w:t>3</w:t>
      </w:r>
      <w:r w:rsidRPr="00004ACA">
        <w:rPr>
          <w:rFonts w:ascii="Times New Roman" w:eastAsia="Calibri" w:hAnsi="Times New Roman" w:cs="Times New Roman"/>
          <w:b/>
          <w:bCs/>
        </w:rPr>
        <w:t xml:space="preserve">: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academic use by the respondents</w:t>
      </w:r>
      <w:r>
        <w:rPr>
          <w:rFonts w:ascii="Times New Roman" w:eastAsia="Calibri" w:hAnsi="Times New Roman" w:cs="Times New Roman"/>
          <w:b/>
          <w:bCs/>
        </w:rPr>
        <w:t xml:space="preserve">                                                                                                                       </w:t>
      </w:r>
    </w:p>
    <w:p w14:paraId="35A3D30F" w14:textId="54DE6BAE" w:rsidR="009D75E9" w:rsidRPr="00004ACA" w:rsidRDefault="009D75E9" w:rsidP="009E6A8A">
      <w:pPr>
        <w:jc w:val="right"/>
        <w:rPr>
          <w:rFonts w:ascii="Times New Roman" w:eastAsia="Calibri" w:hAnsi="Times New Roman" w:cs="Times New Roman"/>
          <w:b/>
          <w:bCs/>
        </w:rPr>
      </w:pPr>
      <w:r w:rsidRPr="00004ACA">
        <w:rPr>
          <w:rFonts w:ascii="Times New Roman" w:eastAsia="Calibri" w:hAnsi="Times New Roman" w:cs="Times New Roman"/>
          <w:b/>
        </w:rPr>
        <w:t>n=240</w:t>
      </w:r>
    </w:p>
    <w:tbl>
      <w:tblPr>
        <w:tblStyle w:val="TableGrid4"/>
        <w:tblW w:w="5000" w:type="pct"/>
        <w:tblInd w:w="0" w:type="dxa"/>
        <w:tblLook w:val="04A0" w:firstRow="1" w:lastRow="0" w:firstColumn="1" w:lastColumn="0" w:noHBand="0" w:noVBand="1"/>
      </w:tblPr>
      <w:tblGrid>
        <w:gridCol w:w="930"/>
        <w:gridCol w:w="4178"/>
        <w:gridCol w:w="1446"/>
        <w:gridCol w:w="1352"/>
        <w:gridCol w:w="1354"/>
      </w:tblGrid>
      <w:tr w:rsidR="009D75E9" w:rsidRPr="009D75E9" w14:paraId="55838EF4" w14:textId="77777777" w:rsidTr="00F309F5">
        <w:trPr>
          <w:trHeight w:val="759"/>
        </w:trPr>
        <w:tc>
          <w:tcPr>
            <w:tcW w:w="502" w:type="pct"/>
            <w:tcBorders>
              <w:top w:val="single" w:sz="4" w:space="0" w:color="auto"/>
              <w:left w:val="single" w:sz="4" w:space="0" w:color="auto"/>
              <w:bottom w:val="single" w:sz="4" w:space="0" w:color="auto"/>
              <w:right w:val="single" w:sz="4" w:space="0" w:color="auto"/>
            </w:tcBorders>
            <w:hideMark/>
          </w:tcPr>
          <w:p w14:paraId="68E4B652" w14:textId="77777777" w:rsidR="009D75E9" w:rsidRPr="009D75E9" w:rsidRDefault="009D75E9" w:rsidP="009E6A8A">
            <w:pPr>
              <w:spacing w:before="40" w:after="40" w:line="360" w:lineRule="auto"/>
              <w:rPr>
                <w:rFonts w:ascii="Times New Roman" w:eastAsia="Times New Roman" w:hAnsi="Times New Roman" w:cs="Times New Roman"/>
                <w:b/>
                <w:sz w:val="20"/>
                <w:szCs w:val="20"/>
              </w:rPr>
            </w:pPr>
            <w:proofErr w:type="spellStart"/>
            <w:r w:rsidRPr="009D75E9">
              <w:rPr>
                <w:rFonts w:ascii="Times New Roman" w:eastAsia="Times New Roman" w:hAnsi="Times New Roman" w:cs="Times New Roman"/>
                <w:b/>
                <w:sz w:val="20"/>
                <w:szCs w:val="20"/>
              </w:rPr>
              <w:lastRenderedPageBreak/>
              <w:t>S.No</w:t>
            </w:r>
            <w:proofErr w:type="spellEnd"/>
            <w:r w:rsidRPr="009D75E9">
              <w:rPr>
                <w:rFonts w:ascii="Times New Roman" w:eastAsia="Times New Roman" w:hAnsi="Times New Roman" w:cs="Times New Roman"/>
                <w:b/>
                <w:sz w:val="20"/>
                <w:szCs w:val="20"/>
              </w:rPr>
              <w:t>.</w:t>
            </w:r>
          </w:p>
        </w:tc>
        <w:tc>
          <w:tcPr>
            <w:tcW w:w="2256" w:type="pct"/>
            <w:tcBorders>
              <w:top w:val="single" w:sz="4" w:space="0" w:color="auto"/>
              <w:left w:val="single" w:sz="4" w:space="0" w:color="auto"/>
              <w:bottom w:val="single" w:sz="4" w:space="0" w:color="auto"/>
              <w:right w:val="single" w:sz="4" w:space="0" w:color="auto"/>
            </w:tcBorders>
            <w:hideMark/>
          </w:tcPr>
          <w:p w14:paraId="293359C2" w14:textId="77777777" w:rsidR="009D75E9" w:rsidRPr="009D75E9" w:rsidRDefault="009D75E9" w:rsidP="009E6A8A">
            <w:pPr>
              <w:spacing w:before="40" w:after="40" w:line="360" w:lineRule="auto"/>
              <w:jc w:val="both"/>
              <w:rPr>
                <w:rFonts w:ascii="Times New Roman" w:eastAsia="Times New Roman" w:hAnsi="Times New Roman" w:cs="Times New Roman"/>
                <w:b/>
                <w:sz w:val="20"/>
                <w:szCs w:val="20"/>
              </w:rPr>
            </w:pPr>
            <w:r w:rsidRPr="009D75E9">
              <w:rPr>
                <w:rFonts w:ascii="Times New Roman" w:hAnsi="Times New Roman" w:cs="Times New Roman"/>
                <w:b/>
                <w:bCs/>
                <w:sz w:val="20"/>
                <w:szCs w:val="20"/>
              </w:rPr>
              <w:t>Academic use</w:t>
            </w:r>
          </w:p>
        </w:tc>
        <w:tc>
          <w:tcPr>
            <w:tcW w:w="781" w:type="pct"/>
            <w:tcBorders>
              <w:top w:val="single" w:sz="4" w:space="0" w:color="auto"/>
              <w:left w:val="single" w:sz="4" w:space="0" w:color="auto"/>
              <w:bottom w:val="single" w:sz="4" w:space="0" w:color="auto"/>
              <w:right w:val="single" w:sz="4" w:space="0" w:color="auto"/>
            </w:tcBorders>
            <w:hideMark/>
          </w:tcPr>
          <w:p w14:paraId="32072585"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Total Garrett Score</w:t>
            </w:r>
          </w:p>
        </w:tc>
        <w:tc>
          <w:tcPr>
            <w:tcW w:w="730" w:type="pct"/>
            <w:tcBorders>
              <w:top w:val="single" w:sz="4" w:space="0" w:color="auto"/>
              <w:left w:val="single" w:sz="4" w:space="0" w:color="auto"/>
              <w:bottom w:val="single" w:sz="4" w:space="0" w:color="auto"/>
              <w:right w:val="single" w:sz="4" w:space="0" w:color="auto"/>
            </w:tcBorders>
            <w:hideMark/>
          </w:tcPr>
          <w:p w14:paraId="57372214" w14:textId="77777777" w:rsidR="009D75E9" w:rsidRPr="009D75E9" w:rsidRDefault="009D75E9" w:rsidP="009E6A8A">
            <w:pPr>
              <w:spacing w:before="40"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Garrett Mean Score</w:t>
            </w:r>
          </w:p>
        </w:tc>
        <w:tc>
          <w:tcPr>
            <w:tcW w:w="731" w:type="pct"/>
            <w:tcBorders>
              <w:top w:val="single" w:sz="4" w:space="0" w:color="auto"/>
              <w:left w:val="single" w:sz="4" w:space="0" w:color="auto"/>
              <w:bottom w:val="single" w:sz="4" w:space="0" w:color="auto"/>
              <w:right w:val="single" w:sz="4" w:space="0" w:color="auto"/>
            </w:tcBorders>
            <w:hideMark/>
          </w:tcPr>
          <w:p w14:paraId="79232D08" w14:textId="77777777" w:rsidR="009D75E9" w:rsidRPr="009D75E9" w:rsidRDefault="009D75E9" w:rsidP="009E6A8A">
            <w:pPr>
              <w:spacing w:before="40" w:after="40" w:line="360" w:lineRule="auto"/>
              <w:jc w:val="center"/>
              <w:rPr>
                <w:rFonts w:ascii="Times New Roman" w:eastAsia="Times New Roman" w:hAnsi="Times New Roman" w:cs="Times New Roman"/>
                <w:b/>
                <w:sz w:val="20"/>
                <w:szCs w:val="20"/>
              </w:rPr>
            </w:pPr>
            <w:r w:rsidRPr="009D75E9">
              <w:rPr>
                <w:rFonts w:ascii="Times New Roman" w:hAnsi="Times New Roman" w:cs="Times New Roman"/>
                <w:b/>
                <w:bCs/>
                <w:sz w:val="20"/>
                <w:szCs w:val="20"/>
              </w:rPr>
              <w:t>Rank</w:t>
            </w:r>
          </w:p>
        </w:tc>
      </w:tr>
      <w:tr w:rsidR="009D75E9" w:rsidRPr="009D75E9" w14:paraId="0F8EFF80"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33101B01"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BE8D294" w14:textId="77777777" w:rsidR="009D75E9" w:rsidRPr="009D75E9" w:rsidRDefault="009D75E9" w:rsidP="009E6A8A">
            <w:pPr>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Xerox and print </w:t>
            </w:r>
          </w:p>
        </w:tc>
        <w:tc>
          <w:tcPr>
            <w:tcW w:w="781" w:type="pct"/>
            <w:tcBorders>
              <w:top w:val="single" w:sz="4" w:space="0" w:color="auto"/>
              <w:left w:val="single" w:sz="4" w:space="0" w:color="auto"/>
              <w:bottom w:val="single" w:sz="4" w:space="0" w:color="auto"/>
              <w:right w:val="single" w:sz="4" w:space="0" w:color="auto"/>
            </w:tcBorders>
            <w:hideMark/>
          </w:tcPr>
          <w:p w14:paraId="7DE329BD"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15038</w:t>
            </w:r>
          </w:p>
        </w:tc>
        <w:tc>
          <w:tcPr>
            <w:tcW w:w="730" w:type="pct"/>
            <w:tcBorders>
              <w:top w:val="single" w:sz="4" w:space="0" w:color="auto"/>
              <w:left w:val="single" w:sz="4" w:space="0" w:color="auto"/>
              <w:bottom w:val="single" w:sz="4" w:space="0" w:color="auto"/>
              <w:right w:val="single" w:sz="4" w:space="0" w:color="auto"/>
            </w:tcBorders>
            <w:hideMark/>
          </w:tcPr>
          <w:p w14:paraId="0EC53DC9"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62.65</w:t>
            </w:r>
          </w:p>
        </w:tc>
        <w:tc>
          <w:tcPr>
            <w:tcW w:w="731" w:type="pct"/>
            <w:tcBorders>
              <w:top w:val="single" w:sz="4" w:space="0" w:color="auto"/>
              <w:left w:val="single" w:sz="4" w:space="0" w:color="auto"/>
              <w:bottom w:val="single" w:sz="4" w:space="0" w:color="auto"/>
              <w:right w:val="single" w:sz="4" w:space="0" w:color="auto"/>
            </w:tcBorders>
            <w:hideMark/>
          </w:tcPr>
          <w:p w14:paraId="3FE000E4"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III</w:t>
            </w:r>
          </w:p>
        </w:tc>
      </w:tr>
      <w:tr w:rsidR="009D75E9" w:rsidRPr="009D75E9" w14:paraId="68D4A249"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BEC8EB7"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3D2BEBA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Educational trips</w:t>
            </w:r>
          </w:p>
        </w:tc>
        <w:tc>
          <w:tcPr>
            <w:tcW w:w="781" w:type="pct"/>
            <w:tcBorders>
              <w:top w:val="single" w:sz="4" w:space="0" w:color="auto"/>
              <w:left w:val="single" w:sz="4" w:space="0" w:color="auto"/>
              <w:bottom w:val="single" w:sz="4" w:space="0" w:color="auto"/>
              <w:right w:val="single" w:sz="4" w:space="0" w:color="auto"/>
            </w:tcBorders>
            <w:hideMark/>
          </w:tcPr>
          <w:p w14:paraId="58FD4CF3"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12540</w:t>
            </w:r>
          </w:p>
        </w:tc>
        <w:tc>
          <w:tcPr>
            <w:tcW w:w="730" w:type="pct"/>
            <w:tcBorders>
              <w:top w:val="single" w:sz="4" w:space="0" w:color="auto"/>
              <w:left w:val="single" w:sz="4" w:space="0" w:color="auto"/>
              <w:bottom w:val="single" w:sz="4" w:space="0" w:color="auto"/>
              <w:right w:val="single" w:sz="4" w:space="0" w:color="auto"/>
            </w:tcBorders>
            <w:hideMark/>
          </w:tcPr>
          <w:p w14:paraId="087DDED9"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52.25</w:t>
            </w:r>
          </w:p>
        </w:tc>
        <w:tc>
          <w:tcPr>
            <w:tcW w:w="731" w:type="pct"/>
            <w:tcBorders>
              <w:top w:val="single" w:sz="4" w:space="0" w:color="auto"/>
              <w:left w:val="single" w:sz="4" w:space="0" w:color="auto"/>
              <w:bottom w:val="single" w:sz="4" w:space="0" w:color="auto"/>
              <w:right w:val="single" w:sz="4" w:space="0" w:color="auto"/>
            </w:tcBorders>
            <w:hideMark/>
          </w:tcPr>
          <w:p w14:paraId="5FDAD2C4"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VII</w:t>
            </w:r>
          </w:p>
        </w:tc>
      </w:tr>
      <w:tr w:rsidR="009D75E9" w:rsidRPr="009D75E9" w14:paraId="6890C4CD"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4062B8BD"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6560BEB"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Educational supplies/Stationary </w:t>
            </w:r>
          </w:p>
        </w:tc>
        <w:tc>
          <w:tcPr>
            <w:tcW w:w="781" w:type="pct"/>
            <w:tcBorders>
              <w:top w:val="single" w:sz="4" w:space="0" w:color="auto"/>
              <w:left w:val="single" w:sz="4" w:space="0" w:color="auto"/>
              <w:bottom w:val="single" w:sz="4" w:space="0" w:color="auto"/>
              <w:right w:val="single" w:sz="4" w:space="0" w:color="auto"/>
            </w:tcBorders>
            <w:hideMark/>
          </w:tcPr>
          <w:p w14:paraId="4E14075E"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bookmarkStart w:id="12" w:name="_Hlk195351155"/>
            <w:r w:rsidRPr="009D75E9">
              <w:rPr>
                <w:rFonts w:ascii="Times New Roman" w:hAnsi="Times New Roman" w:cs="Times New Roman"/>
                <w:b/>
                <w:bCs/>
                <w:sz w:val="20"/>
                <w:szCs w:val="20"/>
              </w:rPr>
              <w:t>16645</w:t>
            </w:r>
            <w:bookmarkEnd w:id="12"/>
          </w:p>
        </w:tc>
        <w:tc>
          <w:tcPr>
            <w:tcW w:w="730" w:type="pct"/>
            <w:tcBorders>
              <w:top w:val="single" w:sz="4" w:space="0" w:color="auto"/>
              <w:left w:val="single" w:sz="4" w:space="0" w:color="auto"/>
              <w:bottom w:val="single" w:sz="4" w:space="0" w:color="auto"/>
              <w:right w:val="single" w:sz="4" w:space="0" w:color="auto"/>
            </w:tcBorders>
            <w:hideMark/>
          </w:tcPr>
          <w:p w14:paraId="716B888C"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69.35</w:t>
            </w:r>
          </w:p>
        </w:tc>
        <w:tc>
          <w:tcPr>
            <w:tcW w:w="731" w:type="pct"/>
            <w:tcBorders>
              <w:top w:val="single" w:sz="4" w:space="0" w:color="auto"/>
              <w:left w:val="single" w:sz="4" w:space="0" w:color="auto"/>
              <w:bottom w:val="single" w:sz="4" w:space="0" w:color="auto"/>
              <w:right w:val="single" w:sz="4" w:space="0" w:color="auto"/>
            </w:tcBorders>
            <w:hideMark/>
          </w:tcPr>
          <w:p w14:paraId="4562562D" w14:textId="77777777" w:rsidR="009D75E9" w:rsidRPr="009D75E9" w:rsidRDefault="009D75E9" w:rsidP="009E6A8A">
            <w:pPr>
              <w:spacing w:before="40" w:after="40" w:line="360" w:lineRule="auto"/>
              <w:jc w:val="center"/>
              <w:rPr>
                <w:rFonts w:ascii="Times New Roman" w:eastAsia="Times New Roman" w:hAnsi="Times New Roman" w:cs="Times New Roman"/>
                <w:b/>
                <w:bCs/>
                <w:sz w:val="20"/>
                <w:szCs w:val="20"/>
              </w:rPr>
            </w:pPr>
            <w:r w:rsidRPr="009D75E9">
              <w:rPr>
                <w:rFonts w:ascii="Times New Roman" w:hAnsi="Times New Roman" w:cs="Times New Roman"/>
                <w:b/>
                <w:bCs/>
                <w:sz w:val="20"/>
                <w:szCs w:val="20"/>
              </w:rPr>
              <w:t>I</w:t>
            </w:r>
          </w:p>
        </w:tc>
      </w:tr>
      <w:tr w:rsidR="009D75E9" w:rsidRPr="009D75E9" w14:paraId="0C20CF1A"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14DADF1E"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2BAE31E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Purchasing books </w:t>
            </w:r>
          </w:p>
        </w:tc>
        <w:tc>
          <w:tcPr>
            <w:tcW w:w="781" w:type="pct"/>
            <w:tcBorders>
              <w:top w:val="single" w:sz="4" w:space="0" w:color="auto"/>
              <w:left w:val="single" w:sz="4" w:space="0" w:color="auto"/>
              <w:bottom w:val="single" w:sz="4" w:space="0" w:color="auto"/>
              <w:right w:val="single" w:sz="4" w:space="0" w:color="auto"/>
            </w:tcBorders>
            <w:hideMark/>
          </w:tcPr>
          <w:p w14:paraId="54BE3B7F"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13776</w:t>
            </w:r>
          </w:p>
        </w:tc>
        <w:tc>
          <w:tcPr>
            <w:tcW w:w="730" w:type="pct"/>
            <w:tcBorders>
              <w:top w:val="single" w:sz="4" w:space="0" w:color="auto"/>
              <w:left w:val="single" w:sz="4" w:space="0" w:color="auto"/>
              <w:bottom w:val="single" w:sz="4" w:space="0" w:color="auto"/>
              <w:right w:val="single" w:sz="4" w:space="0" w:color="auto"/>
            </w:tcBorders>
            <w:hideMark/>
          </w:tcPr>
          <w:p w14:paraId="20FD4E48"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57.40</w:t>
            </w:r>
          </w:p>
        </w:tc>
        <w:tc>
          <w:tcPr>
            <w:tcW w:w="731" w:type="pct"/>
            <w:tcBorders>
              <w:top w:val="single" w:sz="4" w:space="0" w:color="auto"/>
              <w:left w:val="single" w:sz="4" w:space="0" w:color="auto"/>
              <w:bottom w:val="single" w:sz="4" w:space="0" w:color="auto"/>
              <w:right w:val="single" w:sz="4" w:space="0" w:color="auto"/>
            </w:tcBorders>
            <w:hideMark/>
          </w:tcPr>
          <w:p w14:paraId="30B0DD26"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w:t>
            </w:r>
          </w:p>
        </w:tc>
      </w:tr>
      <w:tr w:rsidR="009D75E9" w:rsidRPr="009D75E9" w14:paraId="698750ED"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61B5D92E"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859B785"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Repayment of previous educational loans</w:t>
            </w:r>
          </w:p>
        </w:tc>
        <w:tc>
          <w:tcPr>
            <w:tcW w:w="781" w:type="pct"/>
            <w:tcBorders>
              <w:top w:val="single" w:sz="4" w:space="0" w:color="auto"/>
              <w:left w:val="single" w:sz="4" w:space="0" w:color="auto"/>
              <w:bottom w:val="single" w:sz="4" w:space="0" w:color="auto"/>
              <w:right w:val="single" w:sz="4" w:space="0" w:color="auto"/>
            </w:tcBorders>
            <w:hideMark/>
          </w:tcPr>
          <w:p w14:paraId="44E21BD1"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12682</w:t>
            </w:r>
          </w:p>
        </w:tc>
        <w:tc>
          <w:tcPr>
            <w:tcW w:w="730" w:type="pct"/>
            <w:tcBorders>
              <w:top w:val="single" w:sz="4" w:space="0" w:color="auto"/>
              <w:left w:val="single" w:sz="4" w:space="0" w:color="auto"/>
              <w:bottom w:val="single" w:sz="4" w:space="0" w:color="auto"/>
              <w:right w:val="single" w:sz="4" w:space="0" w:color="auto"/>
            </w:tcBorders>
            <w:hideMark/>
          </w:tcPr>
          <w:p w14:paraId="31520B1A"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52.84</w:t>
            </w:r>
          </w:p>
        </w:tc>
        <w:tc>
          <w:tcPr>
            <w:tcW w:w="731" w:type="pct"/>
            <w:tcBorders>
              <w:top w:val="single" w:sz="4" w:space="0" w:color="auto"/>
              <w:left w:val="single" w:sz="4" w:space="0" w:color="auto"/>
              <w:bottom w:val="single" w:sz="4" w:space="0" w:color="auto"/>
              <w:right w:val="single" w:sz="4" w:space="0" w:color="auto"/>
            </w:tcBorders>
            <w:hideMark/>
          </w:tcPr>
          <w:p w14:paraId="3380A6AF"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VI</w:t>
            </w:r>
          </w:p>
        </w:tc>
      </w:tr>
      <w:tr w:rsidR="009D75E9" w:rsidRPr="009D75E9" w14:paraId="476E899E"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7388DA3"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F9E4B28"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Payment of college fees</w:t>
            </w:r>
          </w:p>
        </w:tc>
        <w:tc>
          <w:tcPr>
            <w:tcW w:w="781" w:type="pct"/>
            <w:tcBorders>
              <w:top w:val="single" w:sz="4" w:space="0" w:color="auto"/>
              <w:left w:val="single" w:sz="4" w:space="0" w:color="auto"/>
              <w:bottom w:val="single" w:sz="4" w:space="0" w:color="auto"/>
              <w:right w:val="single" w:sz="4" w:space="0" w:color="auto"/>
            </w:tcBorders>
            <w:hideMark/>
          </w:tcPr>
          <w:p w14:paraId="16B60611"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16158</w:t>
            </w:r>
          </w:p>
        </w:tc>
        <w:tc>
          <w:tcPr>
            <w:tcW w:w="730" w:type="pct"/>
            <w:tcBorders>
              <w:top w:val="single" w:sz="4" w:space="0" w:color="auto"/>
              <w:left w:val="single" w:sz="4" w:space="0" w:color="auto"/>
              <w:bottom w:val="single" w:sz="4" w:space="0" w:color="auto"/>
              <w:right w:val="single" w:sz="4" w:space="0" w:color="auto"/>
            </w:tcBorders>
            <w:hideMark/>
          </w:tcPr>
          <w:p w14:paraId="6013670E"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67.32</w:t>
            </w:r>
          </w:p>
        </w:tc>
        <w:tc>
          <w:tcPr>
            <w:tcW w:w="731" w:type="pct"/>
            <w:tcBorders>
              <w:top w:val="single" w:sz="4" w:space="0" w:color="auto"/>
              <w:left w:val="single" w:sz="4" w:space="0" w:color="auto"/>
              <w:bottom w:val="single" w:sz="4" w:space="0" w:color="auto"/>
              <w:right w:val="single" w:sz="4" w:space="0" w:color="auto"/>
            </w:tcBorders>
            <w:hideMark/>
          </w:tcPr>
          <w:p w14:paraId="63657CB8"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II</w:t>
            </w:r>
          </w:p>
        </w:tc>
      </w:tr>
      <w:tr w:rsidR="009D75E9" w:rsidRPr="009D75E9" w14:paraId="3A33F472"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6A24604"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4A64FC91"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Payment of tuition fees</w:t>
            </w:r>
          </w:p>
        </w:tc>
        <w:tc>
          <w:tcPr>
            <w:tcW w:w="781" w:type="pct"/>
            <w:tcBorders>
              <w:top w:val="single" w:sz="4" w:space="0" w:color="auto"/>
              <w:left w:val="single" w:sz="4" w:space="0" w:color="auto"/>
              <w:bottom w:val="single" w:sz="4" w:space="0" w:color="auto"/>
              <w:right w:val="single" w:sz="4" w:space="0" w:color="auto"/>
            </w:tcBorders>
            <w:hideMark/>
          </w:tcPr>
          <w:p w14:paraId="1F3A1CEC"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8980</w:t>
            </w:r>
          </w:p>
        </w:tc>
        <w:tc>
          <w:tcPr>
            <w:tcW w:w="730" w:type="pct"/>
            <w:tcBorders>
              <w:top w:val="single" w:sz="4" w:space="0" w:color="auto"/>
              <w:left w:val="single" w:sz="4" w:space="0" w:color="auto"/>
              <w:bottom w:val="single" w:sz="4" w:space="0" w:color="auto"/>
              <w:right w:val="single" w:sz="4" w:space="0" w:color="auto"/>
            </w:tcBorders>
            <w:hideMark/>
          </w:tcPr>
          <w:p w14:paraId="13743FD6"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37.41</w:t>
            </w:r>
          </w:p>
        </w:tc>
        <w:tc>
          <w:tcPr>
            <w:tcW w:w="731" w:type="pct"/>
            <w:tcBorders>
              <w:top w:val="single" w:sz="4" w:space="0" w:color="auto"/>
              <w:left w:val="single" w:sz="4" w:space="0" w:color="auto"/>
              <w:bottom w:val="single" w:sz="4" w:space="0" w:color="auto"/>
              <w:right w:val="single" w:sz="4" w:space="0" w:color="auto"/>
            </w:tcBorders>
            <w:hideMark/>
          </w:tcPr>
          <w:p w14:paraId="6DC1ADC3" w14:textId="77777777" w:rsidR="009D75E9" w:rsidRPr="009D75E9" w:rsidRDefault="009D75E9" w:rsidP="009E6A8A">
            <w:pPr>
              <w:spacing w:before="40" w:after="40" w:line="360" w:lineRule="auto"/>
              <w:jc w:val="center"/>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X </w:t>
            </w:r>
          </w:p>
        </w:tc>
      </w:tr>
      <w:tr w:rsidR="009D75E9" w:rsidRPr="009D75E9" w14:paraId="6C978ACC"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63594C0"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09873B4"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Attending conference/seminar/ workshop </w:t>
            </w:r>
          </w:p>
        </w:tc>
        <w:tc>
          <w:tcPr>
            <w:tcW w:w="781" w:type="pct"/>
            <w:tcBorders>
              <w:top w:val="single" w:sz="4" w:space="0" w:color="auto"/>
              <w:left w:val="single" w:sz="4" w:space="0" w:color="auto"/>
              <w:bottom w:val="single" w:sz="4" w:space="0" w:color="auto"/>
              <w:right w:val="single" w:sz="4" w:space="0" w:color="auto"/>
            </w:tcBorders>
            <w:hideMark/>
          </w:tcPr>
          <w:p w14:paraId="739B6DDF"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8590</w:t>
            </w:r>
          </w:p>
        </w:tc>
        <w:tc>
          <w:tcPr>
            <w:tcW w:w="730" w:type="pct"/>
            <w:tcBorders>
              <w:top w:val="single" w:sz="4" w:space="0" w:color="auto"/>
              <w:left w:val="single" w:sz="4" w:space="0" w:color="auto"/>
              <w:bottom w:val="single" w:sz="4" w:space="0" w:color="auto"/>
              <w:right w:val="single" w:sz="4" w:space="0" w:color="auto"/>
            </w:tcBorders>
            <w:hideMark/>
          </w:tcPr>
          <w:p w14:paraId="2CD2E7AB"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35.79</w:t>
            </w:r>
          </w:p>
        </w:tc>
        <w:tc>
          <w:tcPr>
            <w:tcW w:w="731" w:type="pct"/>
            <w:tcBorders>
              <w:top w:val="single" w:sz="4" w:space="0" w:color="auto"/>
              <w:left w:val="single" w:sz="4" w:space="0" w:color="auto"/>
              <w:bottom w:val="single" w:sz="4" w:space="0" w:color="auto"/>
              <w:right w:val="single" w:sz="4" w:space="0" w:color="auto"/>
            </w:tcBorders>
            <w:hideMark/>
          </w:tcPr>
          <w:p w14:paraId="320E607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w:t>
            </w:r>
          </w:p>
        </w:tc>
      </w:tr>
      <w:tr w:rsidR="009D75E9" w:rsidRPr="009D75E9" w14:paraId="363AAF92"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CB49E96"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8349851"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Publication </w:t>
            </w:r>
          </w:p>
        </w:tc>
        <w:tc>
          <w:tcPr>
            <w:tcW w:w="781" w:type="pct"/>
            <w:tcBorders>
              <w:top w:val="single" w:sz="4" w:space="0" w:color="auto"/>
              <w:left w:val="single" w:sz="4" w:space="0" w:color="auto"/>
              <w:bottom w:val="single" w:sz="4" w:space="0" w:color="auto"/>
              <w:right w:val="single" w:sz="4" w:space="0" w:color="auto"/>
            </w:tcBorders>
            <w:hideMark/>
          </w:tcPr>
          <w:p w14:paraId="64C41B43"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8156</w:t>
            </w:r>
          </w:p>
        </w:tc>
        <w:tc>
          <w:tcPr>
            <w:tcW w:w="730" w:type="pct"/>
            <w:tcBorders>
              <w:top w:val="single" w:sz="4" w:space="0" w:color="auto"/>
              <w:left w:val="single" w:sz="4" w:space="0" w:color="auto"/>
              <w:bottom w:val="single" w:sz="4" w:space="0" w:color="auto"/>
              <w:right w:val="single" w:sz="4" w:space="0" w:color="auto"/>
            </w:tcBorders>
            <w:hideMark/>
          </w:tcPr>
          <w:p w14:paraId="5256D040"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33.98</w:t>
            </w:r>
          </w:p>
        </w:tc>
        <w:tc>
          <w:tcPr>
            <w:tcW w:w="731" w:type="pct"/>
            <w:tcBorders>
              <w:top w:val="single" w:sz="4" w:space="0" w:color="auto"/>
              <w:left w:val="single" w:sz="4" w:space="0" w:color="auto"/>
              <w:bottom w:val="single" w:sz="4" w:space="0" w:color="auto"/>
              <w:right w:val="single" w:sz="4" w:space="0" w:color="auto"/>
            </w:tcBorders>
            <w:hideMark/>
          </w:tcPr>
          <w:p w14:paraId="67800B34"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XIII</w:t>
            </w:r>
          </w:p>
        </w:tc>
      </w:tr>
      <w:tr w:rsidR="009D75E9" w:rsidRPr="009D75E9" w14:paraId="278D6DDC"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46E3A2D"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13BA846D"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Membership of society/academy </w:t>
            </w:r>
          </w:p>
        </w:tc>
        <w:tc>
          <w:tcPr>
            <w:tcW w:w="781" w:type="pct"/>
            <w:tcBorders>
              <w:top w:val="single" w:sz="4" w:space="0" w:color="auto"/>
              <w:left w:val="single" w:sz="4" w:space="0" w:color="auto"/>
              <w:bottom w:val="single" w:sz="4" w:space="0" w:color="auto"/>
              <w:right w:val="single" w:sz="4" w:space="0" w:color="auto"/>
            </w:tcBorders>
            <w:hideMark/>
          </w:tcPr>
          <w:p w14:paraId="75770649"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8412</w:t>
            </w:r>
          </w:p>
        </w:tc>
        <w:tc>
          <w:tcPr>
            <w:tcW w:w="730" w:type="pct"/>
            <w:tcBorders>
              <w:top w:val="single" w:sz="4" w:space="0" w:color="auto"/>
              <w:left w:val="single" w:sz="4" w:space="0" w:color="auto"/>
              <w:bottom w:val="single" w:sz="4" w:space="0" w:color="auto"/>
              <w:right w:val="single" w:sz="4" w:space="0" w:color="auto"/>
            </w:tcBorders>
            <w:hideMark/>
          </w:tcPr>
          <w:p w14:paraId="723923AA"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35.05</w:t>
            </w:r>
          </w:p>
        </w:tc>
        <w:tc>
          <w:tcPr>
            <w:tcW w:w="731" w:type="pct"/>
            <w:tcBorders>
              <w:top w:val="single" w:sz="4" w:space="0" w:color="auto"/>
              <w:left w:val="single" w:sz="4" w:space="0" w:color="auto"/>
              <w:bottom w:val="single" w:sz="4" w:space="0" w:color="auto"/>
              <w:right w:val="single" w:sz="4" w:space="0" w:color="auto"/>
            </w:tcBorders>
            <w:hideMark/>
          </w:tcPr>
          <w:p w14:paraId="151A286C"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XII</w:t>
            </w:r>
          </w:p>
        </w:tc>
      </w:tr>
      <w:tr w:rsidR="009D75E9" w:rsidRPr="009D75E9" w14:paraId="1C982AB6"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77BC545B"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EFD132F"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 xml:space="preserve">Training </w:t>
            </w:r>
          </w:p>
        </w:tc>
        <w:tc>
          <w:tcPr>
            <w:tcW w:w="781" w:type="pct"/>
            <w:tcBorders>
              <w:top w:val="single" w:sz="4" w:space="0" w:color="auto"/>
              <w:left w:val="single" w:sz="4" w:space="0" w:color="auto"/>
              <w:bottom w:val="single" w:sz="4" w:space="0" w:color="auto"/>
              <w:right w:val="single" w:sz="4" w:space="0" w:color="auto"/>
            </w:tcBorders>
            <w:hideMark/>
          </w:tcPr>
          <w:p w14:paraId="1DD5A9C0"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10908</w:t>
            </w:r>
          </w:p>
        </w:tc>
        <w:tc>
          <w:tcPr>
            <w:tcW w:w="730" w:type="pct"/>
            <w:tcBorders>
              <w:top w:val="single" w:sz="4" w:space="0" w:color="auto"/>
              <w:left w:val="single" w:sz="4" w:space="0" w:color="auto"/>
              <w:bottom w:val="single" w:sz="4" w:space="0" w:color="auto"/>
              <w:right w:val="single" w:sz="4" w:space="0" w:color="auto"/>
            </w:tcBorders>
            <w:hideMark/>
          </w:tcPr>
          <w:p w14:paraId="28DDDCA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45.45</w:t>
            </w:r>
          </w:p>
        </w:tc>
        <w:tc>
          <w:tcPr>
            <w:tcW w:w="731" w:type="pct"/>
            <w:tcBorders>
              <w:top w:val="single" w:sz="4" w:space="0" w:color="auto"/>
              <w:left w:val="single" w:sz="4" w:space="0" w:color="auto"/>
              <w:bottom w:val="single" w:sz="4" w:space="0" w:color="auto"/>
              <w:right w:val="single" w:sz="4" w:space="0" w:color="auto"/>
            </w:tcBorders>
            <w:hideMark/>
          </w:tcPr>
          <w:p w14:paraId="6266CB75"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VIII</w:t>
            </w:r>
          </w:p>
        </w:tc>
      </w:tr>
      <w:tr w:rsidR="009D75E9" w:rsidRPr="009D75E9" w14:paraId="1D9F9D26"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14AB4E7A"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0AEE674E"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Magazine</w:t>
            </w:r>
          </w:p>
        </w:tc>
        <w:tc>
          <w:tcPr>
            <w:tcW w:w="781" w:type="pct"/>
            <w:tcBorders>
              <w:top w:val="single" w:sz="4" w:space="0" w:color="auto"/>
              <w:left w:val="single" w:sz="4" w:space="0" w:color="auto"/>
              <w:bottom w:val="single" w:sz="4" w:space="0" w:color="auto"/>
              <w:right w:val="single" w:sz="4" w:space="0" w:color="auto"/>
            </w:tcBorders>
            <w:hideMark/>
          </w:tcPr>
          <w:p w14:paraId="76FDCBA9"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13968</w:t>
            </w:r>
          </w:p>
        </w:tc>
        <w:tc>
          <w:tcPr>
            <w:tcW w:w="730" w:type="pct"/>
            <w:tcBorders>
              <w:top w:val="single" w:sz="4" w:space="0" w:color="auto"/>
              <w:left w:val="single" w:sz="4" w:space="0" w:color="auto"/>
              <w:bottom w:val="single" w:sz="4" w:space="0" w:color="auto"/>
              <w:right w:val="single" w:sz="4" w:space="0" w:color="auto"/>
            </w:tcBorders>
            <w:hideMark/>
          </w:tcPr>
          <w:p w14:paraId="017B18AC"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58.20</w:t>
            </w:r>
          </w:p>
        </w:tc>
        <w:tc>
          <w:tcPr>
            <w:tcW w:w="731" w:type="pct"/>
            <w:tcBorders>
              <w:top w:val="single" w:sz="4" w:space="0" w:color="auto"/>
              <w:left w:val="single" w:sz="4" w:space="0" w:color="auto"/>
              <w:bottom w:val="single" w:sz="4" w:space="0" w:color="auto"/>
              <w:right w:val="single" w:sz="4" w:space="0" w:color="auto"/>
            </w:tcBorders>
            <w:hideMark/>
          </w:tcPr>
          <w:p w14:paraId="6A6E1EC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IV</w:t>
            </w:r>
          </w:p>
        </w:tc>
      </w:tr>
      <w:tr w:rsidR="009D75E9" w:rsidRPr="009D75E9" w14:paraId="2CD920D4" w14:textId="77777777" w:rsidTr="00F309F5">
        <w:trPr>
          <w:trHeight w:val="20"/>
        </w:trPr>
        <w:tc>
          <w:tcPr>
            <w:tcW w:w="502" w:type="pct"/>
            <w:tcBorders>
              <w:top w:val="single" w:sz="4" w:space="0" w:color="auto"/>
              <w:left w:val="single" w:sz="4" w:space="0" w:color="auto"/>
              <w:bottom w:val="single" w:sz="4" w:space="0" w:color="auto"/>
              <w:right w:val="single" w:sz="4" w:space="0" w:color="auto"/>
            </w:tcBorders>
          </w:tcPr>
          <w:p w14:paraId="0F5C8C7B" w14:textId="77777777" w:rsidR="009D75E9" w:rsidRPr="009D75E9" w:rsidRDefault="009D75E9" w:rsidP="009E6A8A">
            <w:pPr>
              <w:numPr>
                <w:ilvl w:val="0"/>
                <w:numId w:val="19"/>
              </w:numPr>
              <w:spacing w:before="40" w:after="40" w:line="360" w:lineRule="auto"/>
              <w:ind w:left="504"/>
              <w:rPr>
                <w:rFonts w:ascii="Times New Roman" w:eastAsia="Times New Roman" w:hAnsi="Times New Roman" w:cs="Times New Roman"/>
                <w:sz w:val="20"/>
                <w:szCs w:val="20"/>
              </w:rPr>
            </w:pPr>
          </w:p>
        </w:tc>
        <w:tc>
          <w:tcPr>
            <w:tcW w:w="2256" w:type="pct"/>
            <w:tcBorders>
              <w:top w:val="single" w:sz="4" w:space="0" w:color="auto"/>
              <w:left w:val="single" w:sz="4" w:space="0" w:color="auto"/>
              <w:bottom w:val="single" w:sz="4" w:space="0" w:color="auto"/>
              <w:right w:val="single" w:sz="4" w:space="0" w:color="auto"/>
            </w:tcBorders>
            <w:hideMark/>
          </w:tcPr>
          <w:p w14:paraId="6C85FDB5" w14:textId="77777777" w:rsidR="009D75E9" w:rsidRPr="009D75E9" w:rsidRDefault="009D75E9" w:rsidP="009E6A8A">
            <w:pPr>
              <w:tabs>
                <w:tab w:val="right" w:pos="3895"/>
              </w:tabs>
              <w:spacing w:before="40" w:after="40" w:line="360" w:lineRule="auto"/>
              <w:jc w:val="both"/>
              <w:rPr>
                <w:rFonts w:ascii="Times New Roman" w:eastAsia="Times New Roman" w:hAnsi="Times New Roman" w:cs="Times New Roman"/>
                <w:sz w:val="20"/>
                <w:szCs w:val="20"/>
              </w:rPr>
            </w:pPr>
            <w:r w:rsidRPr="009D75E9">
              <w:rPr>
                <w:rFonts w:ascii="Times New Roman" w:hAnsi="Times New Roman" w:cs="Times New Roman"/>
                <w:sz w:val="20"/>
                <w:szCs w:val="20"/>
              </w:rPr>
              <w:t>Library fees</w:t>
            </w:r>
          </w:p>
        </w:tc>
        <w:tc>
          <w:tcPr>
            <w:tcW w:w="781" w:type="pct"/>
            <w:tcBorders>
              <w:top w:val="single" w:sz="4" w:space="0" w:color="auto"/>
              <w:left w:val="single" w:sz="4" w:space="0" w:color="auto"/>
              <w:bottom w:val="single" w:sz="4" w:space="0" w:color="auto"/>
              <w:right w:val="single" w:sz="4" w:space="0" w:color="auto"/>
            </w:tcBorders>
            <w:hideMark/>
          </w:tcPr>
          <w:p w14:paraId="6B62FD57"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10147</w:t>
            </w:r>
          </w:p>
        </w:tc>
        <w:tc>
          <w:tcPr>
            <w:tcW w:w="730" w:type="pct"/>
            <w:tcBorders>
              <w:top w:val="single" w:sz="4" w:space="0" w:color="auto"/>
              <w:left w:val="single" w:sz="4" w:space="0" w:color="auto"/>
              <w:bottom w:val="single" w:sz="4" w:space="0" w:color="auto"/>
              <w:right w:val="single" w:sz="4" w:space="0" w:color="auto"/>
            </w:tcBorders>
            <w:hideMark/>
          </w:tcPr>
          <w:p w14:paraId="4F9DE4B8"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42.27</w:t>
            </w:r>
          </w:p>
        </w:tc>
        <w:tc>
          <w:tcPr>
            <w:tcW w:w="731" w:type="pct"/>
            <w:tcBorders>
              <w:top w:val="single" w:sz="4" w:space="0" w:color="auto"/>
              <w:left w:val="single" w:sz="4" w:space="0" w:color="auto"/>
              <w:bottom w:val="single" w:sz="4" w:space="0" w:color="auto"/>
              <w:right w:val="single" w:sz="4" w:space="0" w:color="auto"/>
            </w:tcBorders>
            <w:hideMark/>
          </w:tcPr>
          <w:p w14:paraId="775C5942" w14:textId="77777777" w:rsidR="009D75E9" w:rsidRPr="009D75E9" w:rsidRDefault="009D75E9" w:rsidP="009E6A8A">
            <w:pPr>
              <w:spacing w:before="40" w:after="40" w:line="360" w:lineRule="auto"/>
              <w:jc w:val="center"/>
              <w:rPr>
                <w:rFonts w:ascii="Times New Roman" w:hAnsi="Times New Roman" w:cs="Times New Roman"/>
                <w:color w:val="000000"/>
                <w:sz w:val="20"/>
                <w:szCs w:val="20"/>
              </w:rPr>
            </w:pPr>
            <w:r w:rsidRPr="009D75E9">
              <w:rPr>
                <w:rFonts w:ascii="Times New Roman" w:hAnsi="Times New Roman" w:cs="Times New Roman"/>
                <w:sz w:val="20"/>
                <w:szCs w:val="20"/>
              </w:rPr>
              <w:t>IX</w:t>
            </w:r>
          </w:p>
        </w:tc>
      </w:tr>
    </w:tbl>
    <w:p w14:paraId="575A6A99" w14:textId="77777777" w:rsidR="009D75E9" w:rsidRDefault="009D75E9" w:rsidP="009E6A8A">
      <w:pPr>
        <w:jc w:val="both"/>
        <w:rPr>
          <w:rFonts w:ascii="Times New Roman" w:eastAsia="Times New Roman" w:hAnsi="Times New Roman" w:cs="Times New Roman"/>
          <w:b/>
        </w:rPr>
      </w:pPr>
    </w:p>
    <w:p w14:paraId="00CA40E6" w14:textId="7C58023A" w:rsidR="009D75E9" w:rsidRDefault="009D75E9" w:rsidP="009E6A8A">
      <w:pPr>
        <w:jc w:val="both"/>
        <w:rPr>
          <w:rFonts w:ascii="Times New Roman" w:eastAsia="Times New Roman" w:hAnsi="Times New Roman" w:cs="Times New Roman"/>
          <w:b/>
        </w:rPr>
      </w:pPr>
      <w:r w:rsidRPr="00004ACA">
        <w:rPr>
          <w:rFonts w:ascii="Times New Roman" w:eastAsia="Times New Roman" w:hAnsi="Times New Roman" w:cs="Times New Roman"/>
          <w:b/>
        </w:rPr>
        <w:t>Utilization of Post Matric Scholarship for family use by the respondents</w:t>
      </w:r>
    </w:p>
    <w:p w14:paraId="71594797" w14:textId="61D13E89" w:rsidR="00622932" w:rsidRPr="00622932" w:rsidRDefault="00622932" w:rsidP="00622932">
      <w:pPr>
        <w:ind w:firstLine="720"/>
        <w:jc w:val="both"/>
        <w:rPr>
          <w:rFonts w:ascii="Times New Roman" w:eastAsia="Times New Roman" w:hAnsi="Times New Roman" w:cs="Times New Roman"/>
        </w:rPr>
      </w:pPr>
      <w:r w:rsidRPr="00622932">
        <w:rPr>
          <w:rFonts w:ascii="Times New Roman" w:eastAsia="Times New Roman" w:hAnsi="Times New Roman" w:cs="Times New Roman"/>
        </w:rPr>
        <w:t xml:space="preserve">Table </w:t>
      </w:r>
      <w:r w:rsidR="0013654D">
        <w:rPr>
          <w:rFonts w:ascii="Times New Roman" w:eastAsia="Times New Roman" w:hAnsi="Times New Roman" w:cs="Times New Roman"/>
        </w:rPr>
        <w:t>4</w:t>
      </w:r>
      <w:r w:rsidRPr="00622932">
        <w:rPr>
          <w:rFonts w:ascii="Times New Roman" w:eastAsia="Times New Roman" w:hAnsi="Times New Roman" w:cs="Times New Roman"/>
        </w:rPr>
        <w:t xml:space="preserve"> presents a compelling snapshot of how scholarship funds are utilized beyond individual academic needs, revealing their broader socio-economic impact on students’ families. The highest-ranked expenditure was medical issues (Garrett score: 15316, Rank I), emphasizing that scholarships serve as a critical support system in times of health emergencies, especially for families lacking access to timely healthcare. Furniture purchases (Score: 14523, Rank II) suggest that recipients are also using funds to improve living conditions, possibly replacing essential household items. The allocation of money toward paying siblings' fees (Score: 13465, Rank III) highlights the ripple effect of scholarships, enabling students to extend the benefits of their aid to younger family members and thus promoting shared educational advancement. Expenses related to family dues (Score: 12101, Rank IV), such as repaying borrowed money or meeting domestic obligations, demonstrate responsible financial behavior and familial support. Meanwhile, </w:t>
      </w:r>
      <w:r w:rsidRPr="00622932">
        <w:rPr>
          <w:rFonts w:ascii="Times New Roman" w:eastAsia="Times New Roman" w:hAnsi="Times New Roman" w:cs="Times New Roman"/>
          <w:i/>
          <w:iCs/>
        </w:rPr>
        <w:t xml:space="preserve">mobile recharges for </w:t>
      </w:r>
      <w:r w:rsidRPr="00622932">
        <w:rPr>
          <w:rFonts w:ascii="Times New Roman" w:eastAsia="Times New Roman" w:hAnsi="Times New Roman" w:cs="Times New Roman"/>
        </w:rPr>
        <w:t xml:space="preserve">family members (Score: 11162, Rank V) show how connectivity remains a necessary resource, reflecting the digital dependency of entire households. Lower-ranked but significant allocations like </w:t>
      </w:r>
      <w:r w:rsidRPr="00622932">
        <w:rPr>
          <w:rFonts w:ascii="Times New Roman" w:eastAsia="Times New Roman" w:hAnsi="Times New Roman" w:cs="Times New Roman"/>
          <w:i/>
          <w:iCs/>
        </w:rPr>
        <w:t xml:space="preserve">saving for </w:t>
      </w:r>
      <w:r w:rsidRPr="00622932">
        <w:rPr>
          <w:rFonts w:ascii="Times New Roman" w:eastAsia="Times New Roman" w:hAnsi="Times New Roman" w:cs="Times New Roman"/>
        </w:rPr>
        <w:t xml:space="preserve">marriage (Score: 9674, Rank VI) and insurance purposes (Score: 7759, Rank </w:t>
      </w:r>
      <w:r w:rsidRPr="00622932">
        <w:rPr>
          <w:rFonts w:ascii="Times New Roman" w:eastAsia="Times New Roman" w:hAnsi="Times New Roman" w:cs="Times New Roman"/>
        </w:rPr>
        <w:lastRenderedPageBreak/>
        <w:t>VII) indicate that students are attempting to build long-term financial security or prepare for pivotal life events using their limited scholarship funds. These insights resonate with findings by Karna and Swain (2022), who noted that in many cases, families partially rely on scholarship amounts to manage both household expenses and educational costs of other family members. Together, the data paints a vivid picture of how scholarships not only empower academic aspirations but also serve as lifelines in navigating economic hardships, fostering resilience, and strengthening familial bonds within disadvantaged communities.</w:t>
      </w:r>
    </w:p>
    <w:p w14:paraId="7C45F61A" w14:textId="68357435" w:rsidR="009D75E9" w:rsidRPr="00004ACA" w:rsidRDefault="009D75E9" w:rsidP="009E6A8A">
      <w:pPr>
        <w:jc w:val="both"/>
        <w:rPr>
          <w:rFonts w:ascii="Times New Roman" w:eastAsia="Calibri" w:hAnsi="Times New Roman" w:cs="Times New Roman"/>
          <w:b/>
          <w:bCs/>
        </w:rPr>
      </w:pPr>
      <w:r w:rsidRPr="00004ACA">
        <w:rPr>
          <w:rFonts w:ascii="Times New Roman" w:eastAsia="Calibri" w:hAnsi="Times New Roman" w:cs="Times New Roman"/>
          <w:b/>
          <w:bCs/>
        </w:rPr>
        <w:t>Table</w:t>
      </w:r>
      <w:r>
        <w:rPr>
          <w:rFonts w:ascii="Times New Roman" w:eastAsia="Calibri" w:hAnsi="Times New Roman" w:cs="Times New Roman"/>
          <w:b/>
          <w:bCs/>
        </w:rPr>
        <w:t xml:space="preserve"> </w:t>
      </w:r>
      <w:r w:rsidR="0013654D">
        <w:rPr>
          <w:rFonts w:ascii="Times New Roman" w:eastAsia="Calibri" w:hAnsi="Times New Roman" w:cs="Times New Roman"/>
          <w:b/>
          <w:bCs/>
        </w:rPr>
        <w:t>4</w:t>
      </w:r>
      <w:r w:rsidRPr="00004ACA">
        <w:rPr>
          <w:rFonts w:ascii="Times New Roman" w:eastAsia="Calibri" w:hAnsi="Times New Roman" w:cs="Times New Roman"/>
          <w:b/>
          <w:bCs/>
        </w:rPr>
        <w:t xml:space="preserve">: </w:t>
      </w:r>
      <w:r>
        <w:rPr>
          <w:rFonts w:ascii="Times New Roman" w:eastAsia="Calibri" w:hAnsi="Times New Roman" w:cs="Times New Roman"/>
          <w:b/>
          <w:bCs/>
        </w:rPr>
        <w:t>Garrett</w:t>
      </w:r>
      <w:r w:rsidRPr="00004ACA">
        <w:rPr>
          <w:rFonts w:ascii="Times New Roman" w:eastAsia="Calibri" w:hAnsi="Times New Roman" w:cs="Times New Roman"/>
          <w:b/>
          <w:bCs/>
        </w:rPr>
        <w:t xml:space="preserve"> </w:t>
      </w:r>
      <w:r>
        <w:rPr>
          <w:rFonts w:ascii="Times New Roman" w:eastAsia="Calibri" w:hAnsi="Times New Roman" w:cs="Times New Roman"/>
          <w:b/>
          <w:bCs/>
        </w:rPr>
        <w:t>Rank</w:t>
      </w:r>
      <w:r w:rsidRPr="00004ACA">
        <w:rPr>
          <w:rFonts w:ascii="Times New Roman" w:eastAsia="Calibri" w:hAnsi="Times New Roman" w:cs="Times New Roman"/>
          <w:b/>
          <w:bCs/>
        </w:rPr>
        <w:t>ing of Post Matric Scholarship for family use by the respondents</w:t>
      </w:r>
    </w:p>
    <w:p w14:paraId="22FF4765" w14:textId="77777777" w:rsidR="009D75E9" w:rsidRPr="00004ACA" w:rsidRDefault="009D75E9" w:rsidP="009E6A8A">
      <w:pPr>
        <w:jc w:val="right"/>
        <w:rPr>
          <w:rFonts w:ascii="Times New Roman" w:eastAsia="Calibri" w:hAnsi="Times New Roman" w:cs="Times New Roman"/>
          <w:b/>
          <w:bCs/>
        </w:rPr>
      </w:pPr>
      <w:r w:rsidRPr="00004ACA">
        <w:rPr>
          <w:rFonts w:ascii="Times New Roman" w:eastAsia="Calibri" w:hAnsi="Times New Roman" w:cs="Times New Roman"/>
          <w:b/>
        </w:rPr>
        <w:t>n=240</w:t>
      </w:r>
    </w:p>
    <w:tbl>
      <w:tblPr>
        <w:tblStyle w:val="TableGrid4"/>
        <w:tblW w:w="9355" w:type="dxa"/>
        <w:tblInd w:w="0" w:type="dxa"/>
        <w:tblLook w:val="04A0" w:firstRow="1" w:lastRow="0" w:firstColumn="1" w:lastColumn="0" w:noHBand="0" w:noVBand="1"/>
      </w:tblPr>
      <w:tblGrid>
        <w:gridCol w:w="805"/>
        <w:gridCol w:w="3960"/>
        <w:gridCol w:w="1710"/>
        <w:gridCol w:w="1440"/>
        <w:gridCol w:w="1440"/>
      </w:tblGrid>
      <w:tr w:rsidR="009D75E9" w:rsidRPr="009D75E9" w14:paraId="3D694E16"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3662C296" w14:textId="77777777" w:rsidR="009D75E9" w:rsidRPr="009D75E9" w:rsidRDefault="009D75E9" w:rsidP="009E6A8A">
            <w:pPr>
              <w:spacing w:before="40" w:after="40" w:line="360" w:lineRule="auto"/>
              <w:rPr>
                <w:rFonts w:ascii="Times New Roman" w:hAnsi="Times New Roman" w:cs="Times New Roman"/>
                <w:sz w:val="20"/>
                <w:szCs w:val="20"/>
              </w:rPr>
            </w:pPr>
            <w:proofErr w:type="spellStart"/>
            <w:r w:rsidRPr="009D75E9">
              <w:rPr>
                <w:rFonts w:ascii="Times New Roman" w:hAnsi="Times New Roman" w:cs="Times New Roman"/>
                <w:b/>
                <w:bCs/>
                <w:sz w:val="20"/>
                <w:szCs w:val="20"/>
              </w:rPr>
              <w:t>S.No</w:t>
            </w:r>
            <w:proofErr w:type="spellEnd"/>
            <w:r w:rsidRPr="009D75E9">
              <w:rPr>
                <w:rFonts w:ascii="Times New Roman" w:hAnsi="Times New Roman" w:cs="Times New Roman"/>
                <w:b/>
                <w:bCs/>
                <w:sz w:val="20"/>
                <w:szCs w:val="20"/>
              </w:rPr>
              <w:t>.</w:t>
            </w:r>
          </w:p>
        </w:tc>
        <w:tc>
          <w:tcPr>
            <w:tcW w:w="3960" w:type="dxa"/>
            <w:tcBorders>
              <w:top w:val="single" w:sz="4" w:space="0" w:color="auto"/>
              <w:left w:val="single" w:sz="4" w:space="0" w:color="auto"/>
              <w:bottom w:val="single" w:sz="4" w:space="0" w:color="auto"/>
              <w:right w:val="single" w:sz="4" w:space="0" w:color="auto"/>
            </w:tcBorders>
            <w:hideMark/>
          </w:tcPr>
          <w:p w14:paraId="05CFC69E"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Family use</w:t>
            </w:r>
          </w:p>
        </w:tc>
        <w:tc>
          <w:tcPr>
            <w:tcW w:w="1710" w:type="dxa"/>
            <w:tcBorders>
              <w:top w:val="single" w:sz="4" w:space="0" w:color="auto"/>
              <w:left w:val="single" w:sz="4" w:space="0" w:color="auto"/>
              <w:bottom w:val="single" w:sz="4" w:space="0" w:color="auto"/>
              <w:right w:val="single" w:sz="4" w:space="0" w:color="auto"/>
            </w:tcBorders>
            <w:hideMark/>
          </w:tcPr>
          <w:p w14:paraId="0F0351E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Total Garrett Score</w:t>
            </w:r>
          </w:p>
        </w:tc>
        <w:tc>
          <w:tcPr>
            <w:tcW w:w="1440" w:type="dxa"/>
            <w:tcBorders>
              <w:top w:val="single" w:sz="4" w:space="0" w:color="auto"/>
              <w:left w:val="single" w:sz="4" w:space="0" w:color="auto"/>
              <w:bottom w:val="single" w:sz="4" w:space="0" w:color="auto"/>
              <w:right w:val="single" w:sz="4" w:space="0" w:color="auto"/>
            </w:tcBorders>
            <w:hideMark/>
          </w:tcPr>
          <w:p w14:paraId="0D68B3E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Garrett Mean Score</w:t>
            </w:r>
          </w:p>
        </w:tc>
        <w:tc>
          <w:tcPr>
            <w:tcW w:w="1440" w:type="dxa"/>
            <w:tcBorders>
              <w:top w:val="single" w:sz="4" w:space="0" w:color="auto"/>
              <w:left w:val="single" w:sz="4" w:space="0" w:color="auto"/>
              <w:bottom w:val="single" w:sz="4" w:space="0" w:color="auto"/>
              <w:right w:val="single" w:sz="4" w:space="0" w:color="auto"/>
            </w:tcBorders>
            <w:hideMark/>
          </w:tcPr>
          <w:p w14:paraId="04C9666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b/>
                <w:bCs/>
                <w:sz w:val="20"/>
                <w:szCs w:val="20"/>
              </w:rPr>
              <w:t>Rank</w:t>
            </w:r>
          </w:p>
        </w:tc>
      </w:tr>
      <w:tr w:rsidR="009D75E9" w:rsidRPr="009D75E9" w14:paraId="6DCF34F5"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0BE57A56"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1.</w:t>
            </w:r>
          </w:p>
        </w:tc>
        <w:tc>
          <w:tcPr>
            <w:tcW w:w="3960" w:type="dxa"/>
            <w:tcBorders>
              <w:top w:val="single" w:sz="4" w:space="0" w:color="auto"/>
              <w:left w:val="single" w:sz="4" w:space="0" w:color="auto"/>
              <w:bottom w:val="single" w:sz="4" w:space="0" w:color="auto"/>
              <w:right w:val="single" w:sz="4" w:space="0" w:color="auto"/>
            </w:tcBorders>
            <w:hideMark/>
          </w:tcPr>
          <w:p w14:paraId="7D92EEA2"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Paying of siblings’ fees</w:t>
            </w:r>
          </w:p>
        </w:tc>
        <w:tc>
          <w:tcPr>
            <w:tcW w:w="1710" w:type="dxa"/>
            <w:tcBorders>
              <w:top w:val="single" w:sz="4" w:space="0" w:color="auto"/>
              <w:left w:val="single" w:sz="4" w:space="0" w:color="auto"/>
              <w:bottom w:val="single" w:sz="4" w:space="0" w:color="auto"/>
              <w:right w:val="single" w:sz="4" w:space="0" w:color="auto"/>
            </w:tcBorders>
            <w:hideMark/>
          </w:tcPr>
          <w:p w14:paraId="08D9C24D"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13465</w:t>
            </w:r>
          </w:p>
        </w:tc>
        <w:tc>
          <w:tcPr>
            <w:tcW w:w="1440" w:type="dxa"/>
            <w:tcBorders>
              <w:top w:val="single" w:sz="4" w:space="0" w:color="auto"/>
              <w:left w:val="single" w:sz="4" w:space="0" w:color="auto"/>
              <w:bottom w:val="single" w:sz="4" w:space="0" w:color="auto"/>
              <w:right w:val="single" w:sz="4" w:space="0" w:color="auto"/>
            </w:tcBorders>
            <w:hideMark/>
          </w:tcPr>
          <w:p w14:paraId="24FFCAC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64.11</w:t>
            </w:r>
          </w:p>
        </w:tc>
        <w:tc>
          <w:tcPr>
            <w:tcW w:w="1440" w:type="dxa"/>
            <w:tcBorders>
              <w:top w:val="single" w:sz="4" w:space="0" w:color="auto"/>
              <w:left w:val="single" w:sz="4" w:space="0" w:color="auto"/>
              <w:bottom w:val="single" w:sz="4" w:space="0" w:color="auto"/>
              <w:right w:val="single" w:sz="4" w:space="0" w:color="auto"/>
            </w:tcBorders>
            <w:hideMark/>
          </w:tcPr>
          <w:p w14:paraId="04132716"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III</w:t>
            </w:r>
          </w:p>
        </w:tc>
      </w:tr>
      <w:tr w:rsidR="009D75E9" w:rsidRPr="009D75E9" w14:paraId="44827254"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412F7D29"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2.</w:t>
            </w:r>
          </w:p>
        </w:tc>
        <w:tc>
          <w:tcPr>
            <w:tcW w:w="3960" w:type="dxa"/>
            <w:tcBorders>
              <w:top w:val="single" w:sz="4" w:space="0" w:color="auto"/>
              <w:left w:val="single" w:sz="4" w:space="0" w:color="auto"/>
              <w:bottom w:val="single" w:sz="4" w:space="0" w:color="auto"/>
              <w:right w:val="single" w:sz="4" w:space="0" w:color="auto"/>
            </w:tcBorders>
            <w:hideMark/>
          </w:tcPr>
          <w:p w14:paraId="55E165EF"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Saving for marriage </w:t>
            </w:r>
            <w:r w:rsidRPr="009D75E9">
              <w:rPr>
                <w:rFonts w:ascii="Times New Roman" w:hAnsi="Times New Roman" w:cs="Times New Roman"/>
                <w:sz w:val="20"/>
                <w:szCs w:val="20"/>
              </w:rPr>
              <w:tab/>
            </w:r>
          </w:p>
        </w:tc>
        <w:tc>
          <w:tcPr>
            <w:tcW w:w="1710" w:type="dxa"/>
            <w:tcBorders>
              <w:top w:val="single" w:sz="4" w:space="0" w:color="auto"/>
              <w:left w:val="single" w:sz="4" w:space="0" w:color="auto"/>
              <w:bottom w:val="single" w:sz="4" w:space="0" w:color="auto"/>
              <w:right w:val="single" w:sz="4" w:space="0" w:color="auto"/>
            </w:tcBorders>
            <w:hideMark/>
          </w:tcPr>
          <w:p w14:paraId="43106C13"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9674</w:t>
            </w:r>
          </w:p>
        </w:tc>
        <w:tc>
          <w:tcPr>
            <w:tcW w:w="1440" w:type="dxa"/>
            <w:tcBorders>
              <w:top w:val="single" w:sz="4" w:space="0" w:color="auto"/>
              <w:left w:val="single" w:sz="4" w:space="0" w:color="auto"/>
              <w:bottom w:val="single" w:sz="4" w:space="0" w:color="auto"/>
              <w:right w:val="single" w:sz="4" w:space="0" w:color="auto"/>
            </w:tcBorders>
            <w:hideMark/>
          </w:tcPr>
          <w:p w14:paraId="680EDE1B"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10.71</w:t>
            </w:r>
          </w:p>
        </w:tc>
        <w:tc>
          <w:tcPr>
            <w:tcW w:w="1440" w:type="dxa"/>
            <w:tcBorders>
              <w:top w:val="single" w:sz="4" w:space="0" w:color="auto"/>
              <w:left w:val="single" w:sz="4" w:space="0" w:color="auto"/>
              <w:bottom w:val="single" w:sz="4" w:space="0" w:color="auto"/>
              <w:right w:val="single" w:sz="4" w:space="0" w:color="auto"/>
            </w:tcBorders>
            <w:hideMark/>
          </w:tcPr>
          <w:p w14:paraId="1D6B9D6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VI</w:t>
            </w:r>
          </w:p>
        </w:tc>
      </w:tr>
      <w:tr w:rsidR="009D75E9" w:rsidRPr="009D75E9" w14:paraId="5A5DF2CC"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5B68C84C"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3.</w:t>
            </w:r>
          </w:p>
        </w:tc>
        <w:tc>
          <w:tcPr>
            <w:tcW w:w="3960" w:type="dxa"/>
            <w:tcBorders>
              <w:top w:val="single" w:sz="4" w:space="0" w:color="auto"/>
              <w:left w:val="single" w:sz="4" w:space="0" w:color="auto"/>
              <w:bottom w:val="single" w:sz="4" w:space="0" w:color="auto"/>
              <w:right w:val="single" w:sz="4" w:space="0" w:color="auto"/>
            </w:tcBorders>
            <w:hideMark/>
          </w:tcPr>
          <w:p w14:paraId="5DD8E5E5"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Medical issue</w:t>
            </w:r>
          </w:p>
        </w:tc>
        <w:tc>
          <w:tcPr>
            <w:tcW w:w="1710" w:type="dxa"/>
            <w:tcBorders>
              <w:top w:val="single" w:sz="4" w:space="0" w:color="auto"/>
              <w:left w:val="single" w:sz="4" w:space="0" w:color="auto"/>
              <w:bottom w:val="single" w:sz="4" w:space="0" w:color="auto"/>
              <w:right w:val="single" w:sz="4" w:space="0" w:color="auto"/>
            </w:tcBorders>
            <w:hideMark/>
          </w:tcPr>
          <w:p w14:paraId="64F87DAC"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15316</w:t>
            </w:r>
          </w:p>
        </w:tc>
        <w:tc>
          <w:tcPr>
            <w:tcW w:w="1440" w:type="dxa"/>
            <w:tcBorders>
              <w:top w:val="single" w:sz="4" w:space="0" w:color="auto"/>
              <w:left w:val="single" w:sz="4" w:space="0" w:color="auto"/>
              <w:bottom w:val="single" w:sz="4" w:space="0" w:color="auto"/>
              <w:right w:val="single" w:sz="4" w:space="0" w:color="auto"/>
            </w:tcBorders>
            <w:hideMark/>
          </w:tcPr>
          <w:p w14:paraId="2BFA1683"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121.55</w:t>
            </w:r>
          </w:p>
        </w:tc>
        <w:tc>
          <w:tcPr>
            <w:tcW w:w="1440" w:type="dxa"/>
            <w:tcBorders>
              <w:top w:val="single" w:sz="4" w:space="0" w:color="auto"/>
              <w:left w:val="single" w:sz="4" w:space="0" w:color="auto"/>
              <w:bottom w:val="single" w:sz="4" w:space="0" w:color="auto"/>
              <w:right w:val="single" w:sz="4" w:space="0" w:color="auto"/>
            </w:tcBorders>
            <w:hideMark/>
          </w:tcPr>
          <w:p w14:paraId="343E7010" w14:textId="77777777" w:rsidR="009D75E9" w:rsidRPr="009D75E9" w:rsidRDefault="009D75E9" w:rsidP="009E6A8A">
            <w:pPr>
              <w:spacing w:before="40" w:after="40" w:line="360" w:lineRule="auto"/>
              <w:jc w:val="center"/>
              <w:rPr>
                <w:rFonts w:ascii="Times New Roman" w:hAnsi="Times New Roman" w:cs="Times New Roman"/>
                <w:b/>
                <w:bCs/>
                <w:sz w:val="20"/>
                <w:szCs w:val="20"/>
              </w:rPr>
            </w:pPr>
            <w:r w:rsidRPr="009D75E9">
              <w:rPr>
                <w:rFonts w:ascii="Times New Roman" w:hAnsi="Times New Roman" w:cs="Times New Roman"/>
                <w:b/>
                <w:bCs/>
                <w:sz w:val="20"/>
                <w:szCs w:val="20"/>
              </w:rPr>
              <w:t>I</w:t>
            </w:r>
          </w:p>
        </w:tc>
      </w:tr>
      <w:tr w:rsidR="009D75E9" w:rsidRPr="009D75E9" w14:paraId="18E1A60B"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613865E8"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4.</w:t>
            </w:r>
          </w:p>
        </w:tc>
        <w:tc>
          <w:tcPr>
            <w:tcW w:w="3960" w:type="dxa"/>
            <w:tcBorders>
              <w:top w:val="single" w:sz="4" w:space="0" w:color="auto"/>
              <w:left w:val="single" w:sz="4" w:space="0" w:color="auto"/>
              <w:bottom w:val="single" w:sz="4" w:space="0" w:color="auto"/>
              <w:right w:val="single" w:sz="4" w:space="0" w:color="auto"/>
            </w:tcBorders>
            <w:hideMark/>
          </w:tcPr>
          <w:p w14:paraId="4BAA6167"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Insurance purpose</w:t>
            </w:r>
          </w:p>
        </w:tc>
        <w:tc>
          <w:tcPr>
            <w:tcW w:w="1710" w:type="dxa"/>
            <w:tcBorders>
              <w:top w:val="single" w:sz="4" w:space="0" w:color="auto"/>
              <w:left w:val="single" w:sz="4" w:space="0" w:color="auto"/>
              <w:bottom w:val="single" w:sz="4" w:space="0" w:color="auto"/>
              <w:right w:val="single" w:sz="4" w:space="0" w:color="auto"/>
            </w:tcBorders>
            <w:hideMark/>
          </w:tcPr>
          <w:p w14:paraId="62678A6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7759</w:t>
            </w:r>
          </w:p>
        </w:tc>
        <w:tc>
          <w:tcPr>
            <w:tcW w:w="1440" w:type="dxa"/>
            <w:tcBorders>
              <w:top w:val="single" w:sz="4" w:space="0" w:color="auto"/>
              <w:left w:val="single" w:sz="4" w:space="0" w:color="auto"/>
              <w:bottom w:val="single" w:sz="4" w:space="0" w:color="auto"/>
              <w:right w:val="single" w:sz="4" w:space="0" w:color="auto"/>
            </w:tcBorders>
            <w:hideMark/>
          </w:tcPr>
          <w:p w14:paraId="39347C89"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3.18</w:t>
            </w:r>
          </w:p>
        </w:tc>
        <w:tc>
          <w:tcPr>
            <w:tcW w:w="1440" w:type="dxa"/>
            <w:tcBorders>
              <w:top w:val="single" w:sz="4" w:space="0" w:color="auto"/>
              <w:left w:val="single" w:sz="4" w:space="0" w:color="auto"/>
              <w:bottom w:val="single" w:sz="4" w:space="0" w:color="auto"/>
              <w:right w:val="single" w:sz="4" w:space="0" w:color="auto"/>
            </w:tcBorders>
            <w:hideMark/>
          </w:tcPr>
          <w:p w14:paraId="2D9A70AF"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VII</w:t>
            </w:r>
          </w:p>
        </w:tc>
      </w:tr>
      <w:tr w:rsidR="009D75E9" w:rsidRPr="009D75E9" w14:paraId="0EF1010E"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23ABBDE1"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5.</w:t>
            </w:r>
          </w:p>
        </w:tc>
        <w:tc>
          <w:tcPr>
            <w:tcW w:w="3960" w:type="dxa"/>
            <w:tcBorders>
              <w:top w:val="single" w:sz="4" w:space="0" w:color="auto"/>
              <w:left w:val="single" w:sz="4" w:space="0" w:color="auto"/>
              <w:bottom w:val="single" w:sz="4" w:space="0" w:color="auto"/>
              <w:right w:val="single" w:sz="4" w:space="0" w:color="auto"/>
            </w:tcBorders>
            <w:hideMark/>
          </w:tcPr>
          <w:p w14:paraId="0EA017F7"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Furniture purchase</w:t>
            </w:r>
          </w:p>
        </w:tc>
        <w:tc>
          <w:tcPr>
            <w:tcW w:w="1710" w:type="dxa"/>
            <w:tcBorders>
              <w:top w:val="single" w:sz="4" w:space="0" w:color="auto"/>
              <w:left w:val="single" w:sz="4" w:space="0" w:color="auto"/>
              <w:bottom w:val="single" w:sz="4" w:space="0" w:color="auto"/>
              <w:right w:val="single" w:sz="4" w:space="0" w:color="auto"/>
            </w:tcBorders>
            <w:hideMark/>
          </w:tcPr>
          <w:p w14:paraId="2EC40D30"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14523</w:t>
            </w:r>
          </w:p>
        </w:tc>
        <w:tc>
          <w:tcPr>
            <w:tcW w:w="1440" w:type="dxa"/>
            <w:tcBorders>
              <w:top w:val="single" w:sz="4" w:space="0" w:color="auto"/>
              <w:left w:val="single" w:sz="4" w:space="0" w:color="auto"/>
              <w:bottom w:val="single" w:sz="4" w:space="0" w:color="auto"/>
              <w:right w:val="single" w:sz="4" w:space="0" w:color="auto"/>
            </w:tcBorders>
            <w:hideMark/>
          </w:tcPr>
          <w:p w14:paraId="323AB597"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98.79</w:t>
            </w:r>
          </w:p>
        </w:tc>
        <w:tc>
          <w:tcPr>
            <w:tcW w:w="1440" w:type="dxa"/>
            <w:tcBorders>
              <w:top w:val="single" w:sz="4" w:space="0" w:color="auto"/>
              <w:left w:val="single" w:sz="4" w:space="0" w:color="auto"/>
              <w:bottom w:val="single" w:sz="4" w:space="0" w:color="auto"/>
              <w:right w:val="single" w:sz="4" w:space="0" w:color="auto"/>
            </w:tcBorders>
            <w:hideMark/>
          </w:tcPr>
          <w:p w14:paraId="115542D1"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II</w:t>
            </w:r>
          </w:p>
        </w:tc>
      </w:tr>
      <w:tr w:rsidR="009D75E9" w:rsidRPr="009D75E9" w14:paraId="492B2CB4"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4EC2213E"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6.</w:t>
            </w:r>
          </w:p>
        </w:tc>
        <w:tc>
          <w:tcPr>
            <w:tcW w:w="3960" w:type="dxa"/>
            <w:tcBorders>
              <w:top w:val="single" w:sz="4" w:space="0" w:color="auto"/>
              <w:left w:val="single" w:sz="4" w:space="0" w:color="auto"/>
              <w:bottom w:val="single" w:sz="4" w:space="0" w:color="auto"/>
              <w:right w:val="single" w:sz="4" w:space="0" w:color="auto"/>
            </w:tcBorders>
            <w:hideMark/>
          </w:tcPr>
          <w:p w14:paraId="08823958"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Family dues </w:t>
            </w:r>
          </w:p>
        </w:tc>
        <w:tc>
          <w:tcPr>
            <w:tcW w:w="1710" w:type="dxa"/>
            <w:tcBorders>
              <w:top w:val="single" w:sz="4" w:space="0" w:color="auto"/>
              <w:left w:val="single" w:sz="4" w:space="0" w:color="auto"/>
              <w:bottom w:val="single" w:sz="4" w:space="0" w:color="auto"/>
              <w:right w:val="single" w:sz="4" w:space="0" w:color="auto"/>
            </w:tcBorders>
            <w:hideMark/>
          </w:tcPr>
          <w:p w14:paraId="06DE9514"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12101</w:t>
            </w:r>
          </w:p>
        </w:tc>
        <w:tc>
          <w:tcPr>
            <w:tcW w:w="1440" w:type="dxa"/>
            <w:tcBorders>
              <w:top w:val="single" w:sz="4" w:space="0" w:color="auto"/>
              <w:left w:val="single" w:sz="4" w:space="0" w:color="auto"/>
              <w:bottom w:val="single" w:sz="4" w:space="0" w:color="auto"/>
              <w:right w:val="single" w:sz="4" w:space="0" w:color="auto"/>
            </w:tcBorders>
            <w:hideMark/>
          </w:tcPr>
          <w:p w14:paraId="2409C4E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25.31</w:t>
            </w:r>
          </w:p>
        </w:tc>
        <w:tc>
          <w:tcPr>
            <w:tcW w:w="1440" w:type="dxa"/>
            <w:tcBorders>
              <w:top w:val="single" w:sz="4" w:space="0" w:color="auto"/>
              <w:left w:val="single" w:sz="4" w:space="0" w:color="auto"/>
              <w:bottom w:val="single" w:sz="4" w:space="0" w:color="auto"/>
              <w:right w:val="single" w:sz="4" w:space="0" w:color="auto"/>
            </w:tcBorders>
            <w:hideMark/>
          </w:tcPr>
          <w:p w14:paraId="25D3CB4E"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IV</w:t>
            </w:r>
          </w:p>
        </w:tc>
      </w:tr>
      <w:tr w:rsidR="009D75E9" w:rsidRPr="009D75E9" w14:paraId="2A1582F3" w14:textId="77777777" w:rsidTr="009D75E9">
        <w:trPr>
          <w:trHeight w:val="20"/>
        </w:trPr>
        <w:tc>
          <w:tcPr>
            <w:tcW w:w="805" w:type="dxa"/>
            <w:tcBorders>
              <w:top w:val="single" w:sz="4" w:space="0" w:color="auto"/>
              <w:left w:val="single" w:sz="4" w:space="0" w:color="auto"/>
              <w:bottom w:val="single" w:sz="4" w:space="0" w:color="auto"/>
              <w:right w:val="single" w:sz="4" w:space="0" w:color="auto"/>
            </w:tcBorders>
            <w:hideMark/>
          </w:tcPr>
          <w:p w14:paraId="185EC62B"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b/>
                <w:bCs/>
                <w:sz w:val="20"/>
                <w:szCs w:val="20"/>
              </w:rPr>
              <w:t>7.</w:t>
            </w:r>
          </w:p>
        </w:tc>
        <w:tc>
          <w:tcPr>
            <w:tcW w:w="3960" w:type="dxa"/>
            <w:tcBorders>
              <w:top w:val="single" w:sz="4" w:space="0" w:color="auto"/>
              <w:left w:val="single" w:sz="4" w:space="0" w:color="auto"/>
              <w:bottom w:val="single" w:sz="4" w:space="0" w:color="auto"/>
              <w:right w:val="single" w:sz="4" w:space="0" w:color="auto"/>
            </w:tcBorders>
            <w:hideMark/>
          </w:tcPr>
          <w:p w14:paraId="06E50BC2" w14:textId="77777777" w:rsidR="009D75E9" w:rsidRPr="009D75E9" w:rsidRDefault="009D75E9" w:rsidP="009E6A8A">
            <w:pPr>
              <w:spacing w:before="40" w:after="40" w:line="360" w:lineRule="auto"/>
              <w:rPr>
                <w:rFonts w:ascii="Times New Roman" w:hAnsi="Times New Roman" w:cs="Times New Roman"/>
                <w:sz w:val="20"/>
                <w:szCs w:val="20"/>
              </w:rPr>
            </w:pPr>
            <w:r w:rsidRPr="009D75E9">
              <w:rPr>
                <w:rFonts w:ascii="Times New Roman" w:hAnsi="Times New Roman" w:cs="Times New Roman"/>
                <w:sz w:val="20"/>
                <w:szCs w:val="20"/>
              </w:rPr>
              <w:t xml:space="preserve">Mobile recharge of family members </w:t>
            </w:r>
          </w:p>
        </w:tc>
        <w:tc>
          <w:tcPr>
            <w:tcW w:w="1710" w:type="dxa"/>
            <w:tcBorders>
              <w:top w:val="single" w:sz="4" w:space="0" w:color="auto"/>
              <w:left w:val="single" w:sz="4" w:space="0" w:color="auto"/>
              <w:bottom w:val="single" w:sz="4" w:space="0" w:color="auto"/>
              <w:right w:val="single" w:sz="4" w:space="0" w:color="auto"/>
            </w:tcBorders>
            <w:hideMark/>
          </w:tcPr>
          <w:p w14:paraId="1C00C46E"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11162</w:t>
            </w:r>
          </w:p>
        </w:tc>
        <w:tc>
          <w:tcPr>
            <w:tcW w:w="1440" w:type="dxa"/>
            <w:tcBorders>
              <w:top w:val="single" w:sz="4" w:space="0" w:color="auto"/>
              <w:left w:val="single" w:sz="4" w:space="0" w:color="auto"/>
              <w:bottom w:val="single" w:sz="4" w:space="0" w:color="auto"/>
              <w:right w:val="single" w:sz="4" w:space="0" w:color="auto"/>
            </w:tcBorders>
            <w:hideMark/>
          </w:tcPr>
          <w:p w14:paraId="647C7737"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15.57</w:t>
            </w:r>
          </w:p>
        </w:tc>
        <w:tc>
          <w:tcPr>
            <w:tcW w:w="1440" w:type="dxa"/>
            <w:tcBorders>
              <w:top w:val="single" w:sz="4" w:space="0" w:color="auto"/>
              <w:left w:val="single" w:sz="4" w:space="0" w:color="auto"/>
              <w:bottom w:val="single" w:sz="4" w:space="0" w:color="auto"/>
              <w:right w:val="single" w:sz="4" w:space="0" w:color="auto"/>
            </w:tcBorders>
            <w:hideMark/>
          </w:tcPr>
          <w:p w14:paraId="15F66F38" w14:textId="77777777" w:rsidR="009D75E9" w:rsidRPr="009D75E9" w:rsidRDefault="009D75E9" w:rsidP="009E6A8A">
            <w:pPr>
              <w:spacing w:before="40" w:after="40" w:line="360" w:lineRule="auto"/>
              <w:jc w:val="center"/>
              <w:rPr>
                <w:rFonts w:ascii="Times New Roman" w:hAnsi="Times New Roman" w:cs="Times New Roman"/>
                <w:sz w:val="20"/>
                <w:szCs w:val="20"/>
              </w:rPr>
            </w:pPr>
            <w:r w:rsidRPr="009D75E9">
              <w:rPr>
                <w:rFonts w:ascii="Times New Roman" w:hAnsi="Times New Roman" w:cs="Times New Roman"/>
                <w:sz w:val="20"/>
                <w:szCs w:val="20"/>
              </w:rPr>
              <w:t>V</w:t>
            </w:r>
          </w:p>
        </w:tc>
      </w:tr>
    </w:tbl>
    <w:p w14:paraId="33CB7B90" w14:textId="77777777" w:rsidR="009D75E9" w:rsidRPr="00004ACA" w:rsidRDefault="009D75E9" w:rsidP="009E6A8A">
      <w:pPr>
        <w:jc w:val="both"/>
        <w:rPr>
          <w:rFonts w:ascii="Times New Roman" w:eastAsia="Times New Roman" w:hAnsi="Times New Roman" w:cs="Times New Roman"/>
          <w:b/>
        </w:rPr>
      </w:pPr>
    </w:p>
    <w:p w14:paraId="7F9F328B" w14:textId="33F5251A" w:rsidR="00AA53E4" w:rsidRPr="00643FF3" w:rsidRDefault="007051E7" w:rsidP="009E6A8A">
      <w:pPr>
        <w:jc w:val="center"/>
        <w:rPr>
          <w:rFonts w:ascii="Times New Roman" w:eastAsia="Calibri" w:hAnsi="Times New Roman" w:cs="Times New Roman"/>
          <w:b/>
          <w:caps/>
          <w:color w:val="000000"/>
          <w:sz w:val="24"/>
          <w:szCs w:val="24"/>
        </w:rPr>
      </w:pPr>
      <w:r w:rsidRPr="00643FF3">
        <w:rPr>
          <w:rFonts w:ascii="Times New Roman" w:eastAsia="Calibri" w:hAnsi="Times New Roman" w:cs="Times New Roman"/>
          <w:b/>
          <w:caps/>
          <w:color w:val="000000"/>
          <w:sz w:val="24"/>
          <w:szCs w:val="24"/>
        </w:rPr>
        <w:t xml:space="preserve">Conclusion </w:t>
      </w:r>
    </w:p>
    <w:p w14:paraId="59625075" w14:textId="19037D73" w:rsidR="00622932" w:rsidRDefault="00622932" w:rsidP="00622932">
      <w:pPr>
        <w:ind w:firstLine="720"/>
        <w:jc w:val="both"/>
        <w:rPr>
          <w:rFonts w:ascii="Times New Roman" w:eastAsia="Calibri" w:hAnsi="Times New Roman" w:cs="Times New Roman"/>
          <w:bCs/>
          <w:color w:val="000000"/>
          <w:sz w:val="24"/>
          <w:szCs w:val="24"/>
        </w:rPr>
      </w:pPr>
      <w:r w:rsidRPr="00622932">
        <w:rPr>
          <w:rFonts w:ascii="Times New Roman" w:eastAsia="Calibri" w:hAnsi="Times New Roman" w:cs="Times New Roman"/>
          <w:bCs/>
          <w:color w:val="000000"/>
          <w:sz w:val="24"/>
          <w:szCs w:val="24"/>
        </w:rPr>
        <w:t>Scholarships play a transformative role in the lives of students, offering crucial financial support that extends far beyond the classroom. They help recipients meet immediate academic expenses</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such as stationery, books, college fees and training opportunities</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while also enabling access to digital tools and connectivity, which are essential in today’s learning environment. At the same time, scholarships support vital personal needs, including food, clothing, and healthcare, helping students maintain a stable and dignified standard of living. Notably, the impact of scholarships often reaches into the home, with many students using their funds to assist family members by covering medical costs, repaying household dues, supporting siblings’ education and even contributing toward long-term goals like marriage savings and insurance. This dual purpose</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academic advancement and familial support</w:t>
      </w:r>
      <w:r>
        <w:rPr>
          <w:rFonts w:ascii="Times New Roman" w:eastAsia="Calibri" w:hAnsi="Times New Roman" w:cs="Times New Roman"/>
          <w:bCs/>
          <w:color w:val="000000"/>
          <w:sz w:val="24"/>
          <w:szCs w:val="24"/>
        </w:rPr>
        <w:t xml:space="preserve">, </w:t>
      </w:r>
      <w:r w:rsidRPr="00622932">
        <w:rPr>
          <w:rFonts w:ascii="Times New Roman" w:eastAsia="Calibri" w:hAnsi="Times New Roman" w:cs="Times New Roman"/>
          <w:bCs/>
          <w:color w:val="000000"/>
          <w:sz w:val="24"/>
          <w:szCs w:val="24"/>
        </w:rPr>
        <w:t xml:space="preserve">highlights the multidimensional value of scholarship aid. It not only reduces the financial burden associated with education but also fosters mental well-being, lowers dropout risks and builds resilience among students from economically </w:t>
      </w:r>
      <w:r w:rsidRPr="00622932">
        <w:rPr>
          <w:rFonts w:ascii="Times New Roman" w:eastAsia="Calibri" w:hAnsi="Times New Roman" w:cs="Times New Roman"/>
          <w:bCs/>
          <w:color w:val="000000"/>
          <w:sz w:val="24"/>
          <w:szCs w:val="24"/>
        </w:rPr>
        <w:lastRenderedPageBreak/>
        <w:t>disadvantaged backgrounds. In essence, scholarships serve as powerful instruments of empowerment, equity and opportunity, allowing young individuals to pursue their aspirations with dignity and confidence</w:t>
      </w:r>
    </w:p>
    <w:p w14:paraId="69B04103" w14:textId="1F068D2A" w:rsidR="008A7B58" w:rsidRPr="00643FF3" w:rsidRDefault="008A7B58" w:rsidP="009E6A8A">
      <w:pPr>
        <w:jc w:val="center"/>
        <w:rPr>
          <w:rFonts w:ascii="Times New Roman" w:eastAsia="Calibri" w:hAnsi="Times New Roman" w:cs="Times New Roman"/>
          <w:b/>
          <w:caps/>
          <w:color w:val="000000"/>
          <w:sz w:val="24"/>
          <w:szCs w:val="24"/>
        </w:rPr>
      </w:pPr>
      <w:r w:rsidRPr="00643FF3">
        <w:rPr>
          <w:rFonts w:ascii="Times New Roman" w:eastAsia="Calibri" w:hAnsi="Times New Roman" w:cs="Times New Roman"/>
          <w:b/>
          <w:caps/>
          <w:color w:val="000000"/>
          <w:sz w:val="24"/>
          <w:szCs w:val="24"/>
        </w:rPr>
        <w:t>Recommendation</w:t>
      </w:r>
    </w:p>
    <w:p w14:paraId="59E577F7" w14:textId="2E4524FE" w:rsidR="003F7E45" w:rsidRPr="003F7E45" w:rsidRDefault="003F7E45" w:rsidP="009E6A8A">
      <w:pPr>
        <w:numPr>
          <w:ilvl w:val="0"/>
          <w:numId w:val="4"/>
        </w:numPr>
        <w:spacing w:before="120" w:after="120"/>
        <w:jc w:val="both"/>
        <w:rPr>
          <w:rFonts w:ascii="Times New Roman" w:eastAsia="Calibri" w:hAnsi="Times New Roman" w:cs="Times New Roman"/>
          <w:sz w:val="24"/>
          <w:szCs w:val="24"/>
        </w:rPr>
      </w:pPr>
      <w:r w:rsidRPr="003F7E45">
        <w:rPr>
          <w:rFonts w:ascii="Times New Roman" w:eastAsia="Calibri" w:hAnsi="Times New Roman" w:cs="Times New Roman"/>
          <w:color w:val="000000"/>
          <w:sz w:val="24"/>
          <w:szCs w:val="24"/>
        </w:rPr>
        <w:t>Enhance student support through financial counseling and awareness initiatives for better scholarship utilization.</w:t>
      </w:r>
    </w:p>
    <w:p w14:paraId="060B7A57" w14:textId="3D8BFECE" w:rsidR="008A7B58" w:rsidRDefault="003F7E45" w:rsidP="009E6A8A">
      <w:pPr>
        <w:numPr>
          <w:ilvl w:val="0"/>
          <w:numId w:val="4"/>
        </w:numPr>
        <w:spacing w:before="120" w:after="120"/>
        <w:jc w:val="both"/>
        <w:rPr>
          <w:rFonts w:ascii="Times New Roman" w:eastAsia="Calibri" w:hAnsi="Times New Roman" w:cs="Times New Roman"/>
          <w:sz w:val="24"/>
          <w:szCs w:val="24"/>
        </w:rPr>
      </w:pPr>
      <w:r w:rsidRPr="003F7E45">
        <w:rPr>
          <w:rFonts w:ascii="Times New Roman" w:eastAsia="Calibri" w:hAnsi="Times New Roman" w:cs="Times New Roman"/>
          <w:sz w:val="24"/>
          <w:szCs w:val="24"/>
        </w:rPr>
        <w:t>Ensure timely scholarship disbursal and provide student support for effective fund utilization</w:t>
      </w:r>
      <w:r w:rsidR="008A7B58" w:rsidRPr="00643FF3">
        <w:rPr>
          <w:rFonts w:ascii="Times New Roman" w:eastAsia="Calibri" w:hAnsi="Times New Roman" w:cs="Times New Roman"/>
          <w:sz w:val="24"/>
          <w:szCs w:val="24"/>
        </w:rPr>
        <w:t xml:space="preserve">. </w:t>
      </w:r>
    </w:p>
    <w:p w14:paraId="1F2CFE01" w14:textId="77777777" w:rsidR="006E3D80" w:rsidRPr="00643FF3" w:rsidRDefault="006E3D80" w:rsidP="006E3D80">
      <w:pPr>
        <w:spacing w:before="120" w:after="120"/>
        <w:ind w:left="360"/>
        <w:jc w:val="both"/>
        <w:rPr>
          <w:rFonts w:ascii="Times New Roman" w:eastAsia="Calibri" w:hAnsi="Times New Roman" w:cs="Times New Roman"/>
          <w:sz w:val="24"/>
          <w:szCs w:val="24"/>
        </w:rPr>
      </w:pPr>
    </w:p>
    <w:p w14:paraId="016105F2" w14:textId="77777777" w:rsidR="008A7B58" w:rsidRPr="00643FF3" w:rsidRDefault="008A7B58" w:rsidP="009E6A8A">
      <w:pPr>
        <w:spacing w:before="120" w:after="120"/>
        <w:ind w:left="360"/>
        <w:jc w:val="center"/>
        <w:rPr>
          <w:rFonts w:ascii="Times New Roman" w:eastAsia="Calibri" w:hAnsi="Times New Roman" w:cs="Times New Roman"/>
          <w:b/>
          <w:bCs/>
          <w:sz w:val="24"/>
          <w:szCs w:val="24"/>
        </w:rPr>
      </w:pPr>
      <w:r w:rsidRPr="00643FF3">
        <w:rPr>
          <w:rFonts w:ascii="Times New Roman" w:eastAsia="Calibri" w:hAnsi="Times New Roman" w:cs="Times New Roman"/>
          <w:b/>
          <w:bCs/>
          <w:sz w:val="24"/>
          <w:szCs w:val="24"/>
        </w:rPr>
        <w:t>ACKNOWLEDGEMENT</w:t>
      </w:r>
    </w:p>
    <w:p w14:paraId="7B1D8CA3" w14:textId="52C2C9B0" w:rsidR="008A7B58" w:rsidRDefault="006609E8" w:rsidP="006609E8">
      <w:pPr>
        <w:ind w:firstLine="360"/>
        <w:jc w:val="both"/>
        <w:rPr>
          <w:rFonts w:ascii="Times New Roman" w:eastAsia="Calibri" w:hAnsi="Times New Roman" w:cs="Times New Roman"/>
          <w:sz w:val="24"/>
          <w:szCs w:val="24"/>
        </w:rPr>
      </w:pPr>
      <w:r w:rsidRPr="006609E8">
        <w:rPr>
          <w:rFonts w:ascii="Times New Roman" w:eastAsia="Calibri" w:hAnsi="Times New Roman" w:cs="Times New Roman"/>
          <w:sz w:val="24"/>
          <w:szCs w:val="24"/>
        </w:rPr>
        <w:t>I gratefully acknowledge the contributions of the students from CCS HAU and GJU</w:t>
      </w:r>
      <w:r>
        <w:rPr>
          <w:rFonts w:ascii="Times New Roman" w:eastAsia="Calibri" w:hAnsi="Times New Roman" w:cs="Times New Roman"/>
          <w:sz w:val="24"/>
          <w:szCs w:val="24"/>
        </w:rPr>
        <w:t>&amp;ST</w:t>
      </w:r>
      <w:r w:rsidRPr="006609E8">
        <w:rPr>
          <w:rFonts w:ascii="Times New Roman" w:eastAsia="Calibri" w:hAnsi="Times New Roman" w:cs="Times New Roman"/>
          <w:sz w:val="24"/>
          <w:szCs w:val="24"/>
        </w:rPr>
        <w:t>, Hisar, as well as the guidance of academic mentors and the support of institutional staff and family, all of whom played a vital role in the completion of this study.</w:t>
      </w:r>
    </w:p>
    <w:p w14:paraId="0D18143E" w14:textId="77777777" w:rsidR="006609E8" w:rsidRPr="00643FF3" w:rsidRDefault="006609E8" w:rsidP="006609E8">
      <w:pPr>
        <w:ind w:firstLine="360"/>
        <w:jc w:val="both"/>
        <w:rPr>
          <w:rFonts w:ascii="Times New Roman" w:eastAsia="Times New Roman" w:hAnsi="Times New Roman" w:cs="Times New Roman"/>
          <w:bCs/>
          <w:sz w:val="24"/>
          <w:szCs w:val="24"/>
        </w:rPr>
      </w:pPr>
    </w:p>
    <w:p w14:paraId="68B6E22E" w14:textId="77777777" w:rsidR="001C7F33" w:rsidRPr="00643FF3" w:rsidRDefault="001C7F33" w:rsidP="009E6A8A">
      <w:pPr>
        <w:shd w:val="clear" w:color="auto" w:fill="FFFFFF"/>
        <w:jc w:val="center"/>
        <w:rPr>
          <w:rFonts w:ascii="Times New Roman" w:eastAsia="Times New Roman" w:hAnsi="Times New Roman" w:cs="Times New Roman"/>
          <w:b/>
          <w:sz w:val="24"/>
          <w:szCs w:val="24"/>
          <w:highlight w:val="white"/>
        </w:rPr>
      </w:pPr>
      <w:r w:rsidRPr="00643FF3">
        <w:rPr>
          <w:rFonts w:ascii="Times New Roman" w:eastAsia="Times New Roman" w:hAnsi="Times New Roman" w:cs="Times New Roman"/>
          <w:b/>
          <w:sz w:val="24"/>
          <w:szCs w:val="24"/>
          <w:highlight w:val="white"/>
        </w:rPr>
        <w:t>REFERENCE</w:t>
      </w:r>
    </w:p>
    <w:p w14:paraId="574664B3" w14:textId="77777777" w:rsidR="006E3D80" w:rsidRDefault="006E3D80" w:rsidP="006E3D80">
      <w:pPr>
        <w:spacing w:after="200" w:line="240" w:lineRule="auto"/>
        <w:ind w:left="720" w:hanging="720"/>
        <w:jc w:val="both"/>
        <w:rPr>
          <w:rFonts w:ascii="Times New Roman" w:eastAsia="Times New Roman" w:hAnsi="Times New Roman" w:cs="Times New Roman"/>
          <w:sz w:val="21"/>
          <w:szCs w:val="21"/>
        </w:rPr>
      </w:pPr>
      <w:proofErr w:type="spellStart"/>
      <w:r w:rsidRPr="005B4961">
        <w:rPr>
          <w:rFonts w:ascii="Times New Roman" w:eastAsia="Times New Roman" w:hAnsi="Times New Roman" w:cs="Times New Roman"/>
          <w:sz w:val="21"/>
          <w:szCs w:val="21"/>
        </w:rPr>
        <w:t>Calisang</w:t>
      </w:r>
      <w:proofErr w:type="spellEnd"/>
      <w:r w:rsidRPr="005B4961">
        <w:rPr>
          <w:rFonts w:ascii="Times New Roman" w:eastAsia="Times New Roman" w:hAnsi="Times New Roman" w:cs="Times New Roman"/>
          <w:sz w:val="21"/>
          <w:szCs w:val="21"/>
        </w:rPr>
        <w:t xml:space="preserve">, C.P., Melon, E.C., </w:t>
      </w:r>
      <w:proofErr w:type="spellStart"/>
      <w:r w:rsidRPr="005B4961">
        <w:rPr>
          <w:rFonts w:ascii="Times New Roman" w:eastAsia="Times New Roman" w:hAnsi="Times New Roman" w:cs="Times New Roman"/>
          <w:sz w:val="21"/>
          <w:szCs w:val="21"/>
        </w:rPr>
        <w:t>Jeckson</w:t>
      </w:r>
      <w:proofErr w:type="spellEnd"/>
      <w:r w:rsidRPr="005B4961">
        <w:rPr>
          <w:rFonts w:ascii="Times New Roman" w:eastAsia="Times New Roman" w:hAnsi="Times New Roman" w:cs="Times New Roman"/>
          <w:sz w:val="21"/>
          <w:szCs w:val="21"/>
        </w:rPr>
        <w:t xml:space="preserve">, B., Jerry, A., Sarah, V., Emmalyn, B. and </w:t>
      </w:r>
      <w:proofErr w:type="spellStart"/>
      <w:r w:rsidRPr="005B4961">
        <w:rPr>
          <w:rFonts w:ascii="Times New Roman" w:eastAsia="Times New Roman" w:hAnsi="Times New Roman" w:cs="Times New Roman"/>
          <w:sz w:val="21"/>
          <w:szCs w:val="21"/>
        </w:rPr>
        <w:t>Renze</w:t>
      </w:r>
      <w:proofErr w:type="spellEnd"/>
      <w:r w:rsidRPr="005B4961">
        <w:rPr>
          <w:rFonts w:ascii="Times New Roman" w:eastAsia="Times New Roman" w:hAnsi="Times New Roman" w:cs="Times New Roman"/>
          <w:sz w:val="21"/>
          <w:szCs w:val="21"/>
        </w:rPr>
        <w:t xml:space="preserve">, O. (2024). Economic empowerment through education: the case of </w:t>
      </w:r>
      <w:proofErr w:type="spellStart"/>
      <w:r w:rsidRPr="005B4961">
        <w:rPr>
          <w:rFonts w:ascii="Times New Roman" w:eastAsia="Times New Roman" w:hAnsi="Times New Roman" w:cs="Times New Roman"/>
          <w:sz w:val="21"/>
          <w:szCs w:val="21"/>
        </w:rPr>
        <w:t>tesda</w:t>
      </w:r>
      <w:proofErr w:type="spellEnd"/>
      <w:r w:rsidRPr="005B4961">
        <w:rPr>
          <w:rFonts w:ascii="Times New Roman" w:eastAsia="Times New Roman" w:hAnsi="Times New Roman" w:cs="Times New Roman"/>
          <w:sz w:val="21"/>
          <w:szCs w:val="21"/>
        </w:rPr>
        <w:t xml:space="preserve"> diploma scholarship beneficiaries, </w:t>
      </w:r>
      <w:r w:rsidRPr="005B4961">
        <w:rPr>
          <w:rFonts w:ascii="Times New Roman" w:eastAsia="Times New Roman" w:hAnsi="Times New Roman" w:cs="Times New Roman"/>
          <w:i/>
          <w:iCs/>
          <w:sz w:val="21"/>
          <w:szCs w:val="21"/>
        </w:rPr>
        <w:t>Ignatian International Journal for Multidisciplinary Research</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b/>
          <w:bCs/>
          <w:sz w:val="21"/>
          <w:szCs w:val="21"/>
        </w:rPr>
        <w:t>2</w:t>
      </w:r>
      <w:r w:rsidRPr="005B4961">
        <w:rPr>
          <w:rFonts w:ascii="Times New Roman" w:eastAsia="Times New Roman" w:hAnsi="Times New Roman" w:cs="Times New Roman"/>
          <w:sz w:val="21"/>
          <w:szCs w:val="21"/>
        </w:rPr>
        <w:t>(11): 203-204.</w:t>
      </w:r>
    </w:p>
    <w:p w14:paraId="72647E45" w14:textId="77777777" w:rsidR="006E3D80" w:rsidRDefault="006E3D80" w:rsidP="006E3D80">
      <w:pPr>
        <w:spacing w:after="200" w:line="240" w:lineRule="auto"/>
        <w:ind w:left="720" w:hanging="720"/>
        <w:jc w:val="both"/>
        <w:rPr>
          <w:rFonts w:ascii="Times New Roman" w:eastAsia="Times New Roman" w:hAnsi="Times New Roman" w:cs="Times New Roman"/>
          <w:sz w:val="21"/>
          <w:szCs w:val="21"/>
        </w:rPr>
      </w:pPr>
      <w:r w:rsidRPr="005B4961">
        <w:rPr>
          <w:rFonts w:ascii="Times New Roman" w:eastAsia="Times New Roman" w:hAnsi="Times New Roman" w:cs="Times New Roman"/>
          <w:sz w:val="21"/>
          <w:szCs w:val="21"/>
        </w:rPr>
        <w:t xml:space="preserve">Karna, R. K. and Swain, D. K. (2022). The effectiveness of student financial aid </w:t>
      </w:r>
      <w:proofErr w:type="spellStart"/>
      <w:r w:rsidRPr="005B4961">
        <w:rPr>
          <w:rFonts w:ascii="Times New Roman" w:eastAsia="Times New Roman" w:hAnsi="Times New Roman" w:cs="Times New Roman"/>
          <w:sz w:val="21"/>
          <w:szCs w:val="21"/>
        </w:rPr>
        <w:t>programmes</w:t>
      </w:r>
      <w:proofErr w:type="spellEnd"/>
      <w:r w:rsidRPr="005B4961">
        <w:rPr>
          <w:rFonts w:ascii="Times New Roman" w:eastAsia="Times New Roman" w:hAnsi="Times New Roman" w:cs="Times New Roman"/>
          <w:sz w:val="21"/>
          <w:szCs w:val="21"/>
        </w:rPr>
        <w:t xml:space="preserve"> in </w:t>
      </w:r>
      <w:proofErr w:type="spellStart"/>
      <w:r w:rsidRPr="005B4961">
        <w:rPr>
          <w:rFonts w:ascii="Times New Roman" w:eastAsia="Times New Roman" w:hAnsi="Times New Roman" w:cs="Times New Roman"/>
          <w:sz w:val="21"/>
          <w:szCs w:val="21"/>
        </w:rPr>
        <w:t>india</w:t>
      </w:r>
      <w:proofErr w:type="spellEnd"/>
      <w:r w:rsidRPr="005B4961">
        <w:rPr>
          <w:rFonts w:ascii="Times New Roman" w:eastAsia="Times New Roman" w:hAnsi="Times New Roman" w:cs="Times New Roman"/>
          <w:sz w:val="21"/>
          <w:szCs w:val="21"/>
        </w:rPr>
        <w:t xml:space="preserve">: a policy evaluative study of post-matric scholarship scheme. </w:t>
      </w:r>
      <w:r w:rsidRPr="005B4961">
        <w:rPr>
          <w:rFonts w:ascii="Times New Roman" w:eastAsia="Times New Roman" w:hAnsi="Times New Roman" w:cs="Times New Roman"/>
          <w:i/>
          <w:iCs/>
          <w:sz w:val="21"/>
          <w:szCs w:val="21"/>
        </w:rPr>
        <w:t>An Indexed, Refereed &amp; Peer Reviewed</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i/>
          <w:iCs/>
          <w:sz w:val="21"/>
          <w:szCs w:val="21"/>
        </w:rPr>
        <w:t>Journal of Higher Education,</w:t>
      </w:r>
      <w:r w:rsidRPr="005B4961">
        <w:rPr>
          <w:rFonts w:ascii="Times New Roman" w:eastAsia="Times New Roman" w:hAnsi="Times New Roman" w:cs="Times New Roman"/>
          <w:sz w:val="21"/>
          <w:szCs w:val="21"/>
        </w:rPr>
        <w:t xml:space="preserve"> </w:t>
      </w:r>
      <w:r w:rsidRPr="005B4961">
        <w:rPr>
          <w:rFonts w:ascii="Times New Roman" w:eastAsia="Times New Roman" w:hAnsi="Times New Roman" w:cs="Times New Roman"/>
          <w:b/>
          <w:bCs/>
          <w:sz w:val="21"/>
          <w:szCs w:val="21"/>
        </w:rPr>
        <w:t>14</w:t>
      </w:r>
      <w:r w:rsidRPr="005B4961">
        <w:rPr>
          <w:rFonts w:ascii="Times New Roman" w:eastAsia="Times New Roman" w:hAnsi="Times New Roman" w:cs="Times New Roman"/>
          <w:sz w:val="21"/>
          <w:szCs w:val="21"/>
        </w:rPr>
        <w:t>(3): 907-922</w:t>
      </w:r>
      <w:r>
        <w:rPr>
          <w:rFonts w:ascii="Times New Roman" w:eastAsia="Times New Roman" w:hAnsi="Times New Roman" w:cs="Times New Roman"/>
          <w:sz w:val="21"/>
          <w:szCs w:val="21"/>
        </w:rPr>
        <w:t>.</w:t>
      </w:r>
    </w:p>
    <w:p w14:paraId="69D5D77F" w14:textId="77777777" w:rsidR="006E3D80" w:rsidRDefault="006E3D80" w:rsidP="006E3D80">
      <w:pPr>
        <w:spacing w:after="200" w:line="240" w:lineRule="auto"/>
        <w:ind w:left="720" w:hanging="720"/>
        <w:jc w:val="both"/>
        <w:rPr>
          <w:rFonts w:ascii="Times New Roman" w:eastAsia="Calibri" w:hAnsi="Times New Roman" w:cs="Times New Roman"/>
          <w:sz w:val="21"/>
          <w:szCs w:val="21"/>
        </w:rPr>
      </w:pPr>
      <w:r w:rsidRPr="005B4961">
        <w:rPr>
          <w:rFonts w:ascii="Times New Roman" w:eastAsia="Calibri" w:hAnsi="Times New Roman" w:cs="Times New Roman"/>
          <w:sz w:val="21"/>
          <w:szCs w:val="21"/>
        </w:rPr>
        <w:t>Mae, D.A.</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 xml:space="preserve"> Kimberly, D.C.</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 xml:space="preserve"> Bryan, F.J. and Eunice, G. (2016). The impact of scholarship program to the grade 11 students of university of the East</w:t>
      </w:r>
      <w:r>
        <w:rPr>
          <w:rFonts w:ascii="Times New Roman" w:eastAsia="Calibri" w:hAnsi="Times New Roman" w:cs="Times New Roman"/>
          <w:sz w:val="21"/>
          <w:szCs w:val="21"/>
        </w:rPr>
        <w:t>-</w:t>
      </w:r>
      <w:r w:rsidRPr="005B4961">
        <w:rPr>
          <w:rFonts w:ascii="Times New Roman" w:eastAsia="Calibri" w:hAnsi="Times New Roman" w:cs="Times New Roman"/>
          <w:sz w:val="21"/>
          <w:szCs w:val="21"/>
        </w:rPr>
        <w:t>Caloocan. 23-24.</w:t>
      </w:r>
    </w:p>
    <w:p w14:paraId="6B749C49" w14:textId="77777777" w:rsidR="002A7BB6" w:rsidRPr="00160FD1" w:rsidRDefault="002A7BB6" w:rsidP="002A7BB6">
      <w:pPr>
        <w:spacing w:after="200" w:line="240" w:lineRule="auto"/>
        <w:ind w:left="720" w:hanging="720"/>
        <w:jc w:val="both"/>
        <w:rPr>
          <w:rFonts w:ascii="Times New Roman" w:eastAsia="Calibri" w:hAnsi="Times New Roman" w:cs="Times New Roman"/>
          <w:sz w:val="21"/>
          <w:szCs w:val="21"/>
        </w:rPr>
      </w:pPr>
      <w:proofErr w:type="spellStart"/>
      <w:r w:rsidRPr="005B4961">
        <w:rPr>
          <w:rFonts w:ascii="Times New Roman" w:eastAsia="Calibri" w:hAnsi="Times New Roman" w:cs="Times New Roman"/>
          <w:sz w:val="21"/>
          <w:szCs w:val="21"/>
        </w:rPr>
        <w:t>Malenya</w:t>
      </w:r>
      <w:proofErr w:type="spellEnd"/>
      <w:r w:rsidRPr="005B4961">
        <w:rPr>
          <w:rFonts w:ascii="Times New Roman" w:eastAsia="Calibri" w:hAnsi="Times New Roman" w:cs="Times New Roman"/>
          <w:sz w:val="21"/>
          <w:szCs w:val="21"/>
        </w:rPr>
        <w:t xml:space="preserve">, N.C. (2017). Influence of social assistance </w:t>
      </w:r>
      <w:proofErr w:type="spellStart"/>
      <w:r w:rsidRPr="005B4961">
        <w:rPr>
          <w:rFonts w:ascii="Times New Roman" w:eastAsia="Calibri" w:hAnsi="Times New Roman" w:cs="Times New Roman"/>
          <w:sz w:val="21"/>
          <w:szCs w:val="21"/>
        </w:rPr>
        <w:t>programmes</w:t>
      </w:r>
      <w:proofErr w:type="spellEnd"/>
      <w:r w:rsidRPr="005B4961">
        <w:rPr>
          <w:rFonts w:ascii="Times New Roman" w:eastAsia="Calibri" w:hAnsi="Times New Roman" w:cs="Times New Roman"/>
          <w:sz w:val="21"/>
          <w:szCs w:val="21"/>
        </w:rPr>
        <w:t xml:space="preserve"> practices on the livelihood of beneficiary families: A case of unbound </w:t>
      </w:r>
      <w:proofErr w:type="spellStart"/>
      <w:r w:rsidRPr="005B4961">
        <w:rPr>
          <w:rFonts w:ascii="Times New Roman" w:eastAsia="Calibri" w:hAnsi="Times New Roman" w:cs="Times New Roman"/>
          <w:sz w:val="21"/>
          <w:szCs w:val="21"/>
        </w:rPr>
        <w:t>programme</w:t>
      </w:r>
      <w:proofErr w:type="spellEnd"/>
      <w:r w:rsidRPr="005B4961">
        <w:rPr>
          <w:rFonts w:ascii="Times New Roman" w:eastAsia="Calibri" w:hAnsi="Times New Roman" w:cs="Times New Roman"/>
          <w:sz w:val="21"/>
          <w:szCs w:val="21"/>
        </w:rPr>
        <w:t xml:space="preserve"> in </w:t>
      </w:r>
      <w:proofErr w:type="spellStart"/>
      <w:r w:rsidRPr="005B4961">
        <w:rPr>
          <w:rFonts w:ascii="Times New Roman" w:eastAsia="Calibri" w:hAnsi="Times New Roman" w:cs="Times New Roman"/>
          <w:sz w:val="21"/>
          <w:szCs w:val="21"/>
        </w:rPr>
        <w:t>nanyukilocation</w:t>
      </w:r>
      <w:proofErr w:type="spellEnd"/>
      <w:r w:rsidRPr="005B4961">
        <w:rPr>
          <w:rFonts w:ascii="Times New Roman" w:eastAsia="Calibri" w:hAnsi="Times New Roman" w:cs="Times New Roman"/>
          <w:sz w:val="21"/>
          <w:szCs w:val="21"/>
        </w:rPr>
        <w:t>, Laikipia county, Kenya.</w:t>
      </w:r>
      <w:r w:rsidRPr="00160FD1">
        <w:rPr>
          <w:rFonts w:ascii="Times New Roman" w:eastAsia="Calibri" w:hAnsi="Times New Roman" w:cs="Times New Roman"/>
          <w:sz w:val="21"/>
          <w:szCs w:val="21"/>
        </w:rPr>
        <w:t xml:space="preserve"> </w:t>
      </w:r>
      <w:r>
        <w:rPr>
          <w:rFonts w:ascii="Times New Roman" w:eastAsia="Calibri" w:hAnsi="Times New Roman" w:cs="Times New Roman"/>
          <w:sz w:val="21"/>
          <w:szCs w:val="21"/>
        </w:rPr>
        <w:t xml:space="preserve">Retrieved </w:t>
      </w:r>
      <w:proofErr w:type="spellStart"/>
      <w:r>
        <w:rPr>
          <w:rFonts w:ascii="Times New Roman" w:eastAsia="Calibri" w:hAnsi="Times New Roman" w:cs="Times New Roman"/>
          <w:sz w:val="21"/>
          <w:szCs w:val="21"/>
        </w:rPr>
        <w:t>from:</w:t>
      </w:r>
      <w:hyperlink r:id="rId6" w:history="1">
        <w:r w:rsidRPr="005B4961">
          <w:rPr>
            <w:rStyle w:val="Hyperlink"/>
            <w:rFonts w:ascii="Times New Roman" w:eastAsia="Times New Roman" w:hAnsi="Times New Roman" w:cs="Times New Roman"/>
            <w:sz w:val="21"/>
            <w:szCs w:val="21"/>
          </w:rPr>
          <w:t>Influence</w:t>
        </w:r>
        <w:proofErr w:type="spellEnd"/>
        <w:r w:rsidRPr="005B4961">
          <w:rPr>
            <w:rStyle w:val="Hyperlink"/>
            <w:rFonts w:ascii="Times New Roman" w:eastAsia="Times New Roman" w:hAnsi="Times New Roman" w:cs="Times New Roman"/>
            <w:sz w:val="21"/>
            <w:szCs w:val="21"/>
          </w:rPr>
          <w:t xml:space="preserve"> of social assistance </w:t>
        </w:r>
        <w:proofErr w:type="spellStart"/>
        <w:r w:rsidRPr="005B4961">
          <w:rPr>
            <w:rStyle w:val="Hyperlink"/>
            <w:rFonts w:ascii="Times New Roman" w:eastAsia="Times New Roman" w:hAnsi="Times New Roman" w:cs="Times New Roman"/>
            <w:sz w:val="21"/>
            <w:szCs w:val="21"/>
          </w:rPr>
          <w:t>programmes</w:t>
        </w:r>
        <w:proofErr w:type="spellEnd"/>
        <w:r w:rsidRPr="005B4961">
          <w:rPr>
            <w:rStyle w:val="Hyperlink"/>
            <w:rFonts w:ascii="Times New Roman" w:eastAsia="Times New Roman" w:hAnsi="Times New Roman" w:cs="Times New Roman"/>
            <w:sz w:val="21"/>
            <w:szCs w:val="21"/>
          </w:rPr>
          <w:t xml:space="preserve"> practices on the livelihood of beneficiary </w:t>
        </w:r>
        <w:proofErr w:type="spellStart"/>
        <w:r w:rsidRPr="005B4961">
          <w:rPr>
            <w:rStyle w:val="Hyperlink"/>
            <w:rFonts w:ascii="Times New Roman" w:eastAsia="Times New Roman" w:hAnsi="Times New Roman" w:cs="Times New Roman"/>
            <w:sz w:val="21"/>
            <w:szCs w:val="21"/>
          </w:rPr>
          <w:t>families:a</w:t>
        </w:r>
        <w:proofErr w:type="spellEnd"/>
        <w:r w:rsidRPr="005B4961">
          <w:rPr>
            <w:rStyle w:val="Hyperlink"/>
            <w:rFonts w:ascii="Times New Roman" w:eastAsia="Times New Roman" w:hAnsi="Times New Roman" w:cs="Times New Roman"/>
            <w:sz w:val="21"/>
            <w:szCs w:val="21"/>
          </w:rPr>
          <w:t xml:space="preserve"> case of unbound </w:t>
        </w:r>
        <w:proofErr w:type="spellStart"/>
        <w:r w:rsidRPr="005B4961">
          <w:rPr>
            <w:rStyle w:val="Hyperlink"/>
            <w:rFonts w:ascii="Times New Roman" w:eastAsia="Times New Roman" w:hAnsi="Times New Roman" w:cs="Times New Roman"/>
            <w:sz w:val="21"/>
            <w:szCs w:val="21"/>
          </w:rPr>
          <w:t>programme</w:t>
        </w:r>
        <w:proofErr w:type="spellEnd"/>
        <w:r w:rsidRPr="005B4961">
          <w:rPr>
            <w:rStyle w:val="Hyperlink"/>
            <w:rFonts w:ascii="Times New Roman" w:eastAsia="Times New Roman" w:hAnsi="Times New Roman" w:cs="Times New Roman"/>
            <w:sz w:val="21"/>
            <w:szCs w:val="21"/>
          </w:rPr>
          <w:t xml:space="preserve"> in </w:t>
        </w:r>
        <w:proofErr w:type="spellStart"/>
        <w:r w:rsidRPr="005B4961">
          <w:rPr>
            <w:rStyle w:val="Hyperlink"/>
            <w:rFonts w:ascii="Times New Roman" w:eastAsia="Times New Roman" w:hAnsi="Times New Roman" w:cs="Times New Roman"/>
            <w:sz w:val="21"/>
            <w:szCs w:val="21"/>
          </w:rPr>
          <w:t>Nanyuki</w:t>
        </w:r>
        <w:proofErr w:type="spellEnd"/>
        <w:r w:rsidRPr="005B4961">
          <w:rPr>
            <w:rStyle w:val="Hyperlink"/>
            <w:rFonts w:ascii="Times New Roman" w:eastAsia="Times New Roman" w:hAnsi="Times New Roman" w:cs="Times New Roman"/>
            <w:sz w:val="21"/>
            <w:szCs w:val="21"/>
          </w:rPr>
          <w:t xml:space="preserve"> location, Laikipia county, Kenya (uonbi.ac.ke)</w:t>
        </w:r>
      </w:hyperlink>
    </w:p>
    <w:p w14:paraId="09505FB7" w14:textId="77777777" w:rsidR="002A7BB6" w:rsidRPr="005B4961" w:rsidRDefault="002A7BB6" w:rsidP="006E3D80">
      <w:pPr>
        <w:spacing w:after="200" w:line="240" w:lineRule="auto"/>
        <w:ind w:left="720" w:hanging="720"/>
        <w:jc w:val="both"/>
        <w:rPr>
          <w:rFonts w:ascii="Times New Roman" w:eastAsia="Calibri" w:hAnsi="Times New Roman" w:cs="Times New Roman"/>
          <w:sz w:val="21"/>
          <w:szCs w:val="21"/>
        </w:rPr>
      </w:pPr>
    </w:p>
    <w:p w14:paraId="05A88850" w14:textId="77777777" w:rsidR="006E3D80" w:rsidRDefault="006E3D80" w:rsidP="006E3D80">
      <w:pPr>
        <w:spacing w:after="200" w:line="240" w:lineRule="auto"/>
        <w:ind w:left="720" w:hanging="720"/>
        <w:jc w:val="both"/>
        <w:rPr>
          <w:rFonts w:ascii="Times New Roman" w:eastAsia="Times New Roman" w:hAnsi="Times New Roman" w:cs="Times New Roman"/>
          <w:sz w:val="21"/>
          <w:szCs w:val="21"/>
        </w:rPr>
      </w:pPr>
    </w:p>
    <w:sectPr w:rsidR="006E3D80" w:rsidSect="002A7BB6">
      <w:pgSz w:w="12240" w:h="15840"/>
      <w:pgMar w:top="1440" w:right="15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E68"/>
    <w:multiLevelType w:val="hybridMultilevel"/>
    <w:tmpl w:val="3E42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52D8"/>
    <w:multiLevelType w:val="multilevel"/>
    <w:tmpl w:val="FBB4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F68ED"/>
    <w:multiLevelType w:val="hybridMultilevel"/>
    <w:tmpl w:val="E5F455D2"/>
    <w:lvl w:ilvl="0" w:tplc="FFFFFFFF">
      <w:start w:val="1"/>
      <w:numFmt w:val="decimal"/>
      <w:lvlText w:val="%1."/>
      <w:lvlJc w:val="left"/>
      <w:pPr>
        <w:ind w:left="720" w:hanging="360"/>
      </w:pPr>
      <w:rPr>
        <w:rFonts w:eastAsia="Times New Roman"/>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115B2F"/>
    <w:multiLevelType w:val="hybridMultilevel"/>
    <w:tmpl w:val="4F3E59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6D11798"/>
    <w:multiLevelType w:val="multilevel"/>
    <w:tmpl w:val="CFF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16080"/>
    <w:multiLevelType w:val="hybridMultilevel"/>
    <w:tmpl w:val="BAF00DEE"/>
    <w:lvl w:ilvl="0" w:tplc="FFFFFFFF">
      <w:start w:val="1"/>
      <w:numFmt w:val="decimal"/>
      <w:lvlText w:val="%1."/>
      <w:lvlJc w:val="left"/>
      <w:pPr>
        <w:ind w:left="706" w:hanging="360"/>
      </w:pPr>
    </w:lvl>
    <w:lvl w:ilvl="1" w:tplc="FFFFFFFF" w:tentative="1">
      <w:start w:val="1"/>
      <w:numFmt w:val="lowerLetter"/>
      <w:lvlText w:val="%2."/>
      <w:lvlJc w:val="left"/>
      <w:pPr>
        <w:ind w:left="1426" w:hanging="360"/>
      </w:pPr>
    </w:lvl>
    <w:lvl w:ilvl="2" w:tplc="FFFFFFFF" w:tentative="1">
      <w:start w:val="1"/>
      <w:numFmt w:val="lowerRoman"/>
      <w:lvlText w:val="%3."/>
      <w:lvlJc w:val="right"/>
      <w:pPr>
        <w:ind w:left="2146" w:hanging="180"/>
      </w:pPr>
    </w:lvl>
    <w:lvl w:ilvl="3" w:tplc="FFFFFFFF" w:tentative="1">
      <w:start w:val="1"/>
      <w:numFmt w:val="decimal"/>
      <w:lvlText w:val="%4."/>
      <w:lvlJc w:val="left"/>
      <w:pPr>
        <w:ind w:left="2866" w:hanging="360"/>
      </w:pPr>
    </w:lvl>
    <w:lvl w:ilvl="4" w:tplc="FFFFFFFF" w:tentative="1">
      <w:start w:val="1"/>
      <w:numFmt w:val="lowerLetter"/>
      <w:lvlText w:val="%5."/>
      <w:lvlJc w:val="left"/>
      <w:pPr>
        <w:ind w:left="3586" w:hanging="360"/>
      </w:p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6" w15:restartNumberingAfterBreak="0">
    <w:nsid w:val="2F4403A1"/>
    <w:multiLevelType w:val="hybridMultilevel"/>
    <w:tmpl w:val="D38AFDEE"/>
    <w:lvl w:ilvl="0" w:tplc="FFFFFFFF">
      <w:start w:val="1"/>
      <w:numFmt w:val="decimal"/>
      <w:lvlText w:val="%1."/>
      <w:lvlJc w:val="left"/>
      <w:pPr>
        <w:ind w:left="90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6836E0"/>
    <w:multiLevelType w:val="hybridMultilevel"/>
    <w:tmpl w:val="B97EA4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A0F3361"/>
    <w:multiLevelType w:val="hybridMultilevel"/>
    <w:tmpl w:val="08BEE1B0"/>
    <w:lvl w:ilvl="0" w:tplc="04090001">
      <w:start w:val="1"/>
      <w:numFmt w:val="bullet"/>
      <w:lvlText w:val=""/>
      <w:lvlJc w:val="left"/>
      <w:pPr>
        <w:ind w:left="70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447C03"/>
    <w:multiLevelType w:val="hybridMultilevel"/>
    <w:tmpl w:val="CB5C3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0365DB"/>
    <w:multiLevelType w:val="hybridMultilevel"/>
    <w:tmpl w:val="BAF00DEE"/>
    <w:lvl w:ilvl="0" w:tplc="0409000F">
      <w:start w:val="1"/>
      <w:numFmt w:val="decimal"/>
      <w:lvlText w:val="%1."/>
      <w:lvlJc w:val="left"/>
      <w:pPr>
        <w:ind w:left="706" w:hanging="360"/>
      </w:p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1" w15:restartNumberingAfterBreak="0">
    <w:nsid w:val="662F7380"/>
    <w:multiLevelType w:val="hybridMultilevel"/>
    <w:tmpl w:val="7F74E6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9911F0A"/>
    <w:multiLevelType w:val="hybridMultilevel"/>
    <w:tmpl w:val="0938FCE6"/>
    <w:lvl w:ilvl="0" w:tplc="04090011">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3" w15:restartNumberingAfterBreak="0">
    <w:nsid w:val="69C31BCE"/>
    <w:multiLevelType w:val="hybridMultilevel"/>
    <w:tmpl w:val="CC988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86248B"/>
    <w:multiLevelType w:val="multilevel"/>
    <w:tmpl w:val="0F581000"/>
    <w:lvl w:ilvl="0">
      <w:start w:val="1"/>
      <w:numFmt w:val="decimal"/>
      <w:lvlText w:val="%1."/>
      <w:lvlJc w:val="left"/>
      <w:pPr>
        <w:ind w:left="720" w:hanging="360"/>
      </w:pPr>
      <w:rPr>
        <w:rFonts w:hint="default"/>
        <w:b/>
        <w:bCs w:val="0"/>
      </w:rPr>
    </w:lvl>
    <w:lvl w:ilvl="1">
      <w:start w:val="1"/>
      <w:numFmt w:val="decimal"/>
      <w:isLgl/>
      <w:lvlText w:val="%1.%2"/>
      <w:lvlJc w:val="left"/>
      <w:pPr>
        <w:ind w:left="16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78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000" w:hanging="1440"/>
      </w:pPr>
      <w:rPr>
        <w:rFonts w:hint="default"/>
      </w:rPr>
    </w:lvl>
  </w:abstractNum>
  <w:abstractNum w:abstractNumId="15" w15:restartNumberingAfterBreak="0">
    <w:nsid w:val="70BB7C23"/>
    <w:multiLevelType w:val="multilevel"/>
    <w:tmpl w:val="5E3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A686E"/>
    <w:multiLevelType w:val="hybridMultilevel"/>
    <w:tmpl w:val="2ABE0DEA"/>
    <w:lvl w:ilvl="0" w:tplc="3AC02AB0">
      <w:start w:val="1"/>
      <w:numFmt w:val="lowerLetter"/>
      <w:lvlText w:val="%1)"/>
      <w:lvlJc w:val="left"/>
      <w:pPr>
        <w:ind w:left="1080" w:hanging="360"/>
      </w:pPr>
    </w:lvl>
    <w:lvl w:ilvl="1" w:tplc="2FBE17C0">
      <w:start w:val="1"/>
      <w:numFmt w:val="lowerLetter"/>
      <w:lvlText w:val="%2."/>
      <w:lvlJc w:val="left"/>
      <w:pPr>
        <w:ind w:left="1800" w:hanging="360"/>
      </w:pPr>
    </w:lvl>
    <w:lvl w:ilvl="2" w:tplc="9CE8F356">
      <w:start w:val="1"/>
      <w:numFmt w:val="lowerRoman"/>
      <w:lvlText w:val="%3."/>
      <w:lvlJc w:val="right"/>
      <w:pPr>
        <w:ind w:left="2520" w:hanging="180"/>
      </w:pPr>
    </w:lvl>
    <w:lvl w:ilvl="3" w:tplc="F0B05AA0">
      <w:start w:val="1"/>
      <w:numFmt w:val="decimal"/>
      <w:lvlText w:val="%4."/>
      <w:lvlJc w:val="left"/>
      <w:pPr>
        <w:ind w:left="3240" w:hanging="360"/>
      </w:pPr>
    </w:lvl>
    <w:lvl w:ilvl="4" w:tplc="0AFA6172">
      <w:start w:val="1"/>
      <w:numFmt w:val="lowerLetter"/>
      <w:lvlText w:val="%5."/>
      <w:lvlJc w:val="left"/>
      <w:pPr>
        <w:ind w:left="3960" w:hanging="360"/>
      </w:pPr>
    </w:lvl>
    <w:lvl w:ilvl="5" w:tplc="E11471C2">
      <w:start w:val="1"/>
      <w:numFmt w:val="lowerRoman"/>
      <w:lvlText w:val="%6."/>
      <w:lvlJc w:val="right"/>
      <w:pPr>
        <w:ind w:left="4680" w:hanging="180"/>
      </w:pPr>
    </w:lvl>
    <w:lvl w:ilvl="6" w:tplc="BE3A5142">
      <w:start w:val="1"/>
      <w:numFmt w:val="decimal"/>
      <w:lvlText w:val="%7."/>
      <w:lvlJc w:val="left"/>
      <w:pPr>
        <w:ind w:left="5400" w:hanging="360"/>
      </w:pPr>
    </w:lvl>
    <w:lvl w:ilvl="7" w:tplc="B9406C76">
      <w:start w:val="1"/>
      <w:numFmt w:val="lowerLetter"/>
      <w:lvlText w:val="%8."/>
      <w:lvlJc w:val="left"/>
      <w:pPr>
        <w:ind w:left="6120" w:hanging="360"/>
      </w:pPr>
    </w:lvl>
    <w:lvl w:ilvl="8" w:tplc="519AD7AE">
      <w:start w:val="1"/>
      <w:numFmt w:val="lowerRoman"/>
      <w:lvlText w:val="%9."/>
      <w:lvlJc w:val="right"/>
      <w:pPr>
        <w:ind w:left="6840" w:hanging="180"/>
      </w:pPr>
    </w:lvl>
  </w:abstractNum>
  <w:abstractNum w:abstractNumId="17" w15:restartNumberingAfterBreak="0">
    <w:nsid w:val="7C866EC1"/>
    <w:multiLevelType w:val="hybridMultilevel"/>
    <w:tmpl w:val="AFC4905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8" w15:restartNumberingAfterBreak="0">
    <w:nsid w:val="7DA20ED7"/>
    <w:multiLevelType w:val="multilevel"/>
    <w:tmpl w:val="AF20157C"/>
    <w:lvl w:ilvl="0">
      <w:start w:val="3"/>
      <w:numFmt w:val="decimal"/>
      <w:lvlText w:val="%1"/>
      <w:lvlJc w:val="left"/>
      <w:pPr>
        <w:ind w:left="480" w:hanging="480"/>
      </w:pPr>
    </w:lvl>
    <w:lvl w:ilvl="1">
      <w:start w:val="9"/>
      <w:numFmt w:val="decimal"/>
      <w:lvlText w:val="%1.%2"/>
      <w:lvlJc w:val="left"/>
      <w:pPr>
        <w:ind w:left="480" w:hanging="48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DE75A73"/>
    <w:multiLevelType w:val="hybridMultilevel"/>
    <w:tmpl w:val="10469704"/>
    <w:lvl w:ilvl="0" w:tplc="04090001">
      <w:start w:val="1"/>
      <w:numFmt w:val="bullet"/>
      <w:lvlText w:val=""/>
      <w:lvlJc w:val="left"/>
      <w:pPr>
        <w:ind w:left="706"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4"/>
  </w:num>
  <w:num w:numId="3">
    <w:abstractNumId w:val="16"/>
  </w:num>
  <w:num w:numId="4">
    <w:abstractNumId w:val="11"/>
  </w:num>
  <w:num w:numId="5">
    <w:abstractNumId w:val="7"/>
  </w:num>
  <w:num w:numId="6">
    <w:abstractNumId w:val="0"/>
  </w:num>
  <w:num w:numId="7">
    <w:abstractNumId w:val="15"/>
  </w:num>
  <w:num w:numId="8">
    <w:abstractNumId w:val="19"/>
  </w:num>
  <w:num w:numId="9">
    <w:abstractNumId w:val="17"/>
  </w:num>
  <w:num w:numId="10">
    <w:abstractNumId w:val="12"/>
  </w:num>
  <w:num w:numId="11">
    <w:abstractNumId w:val="6"/>
  </w:num>
  <w:num w:numId="12">
    <w:abstractNumId w:val="4"/>
  </w:num>
  <w:num w:numId="13">
    <w:abstractNumId w:val="8"/>
  </w:num>
  <w:num w:numId="14">
    <w:abstractNumId w:val="13"/>
  </w:num>
  <w:num w:numId="15">
    <w:abstractNumId w:val="9"/>
  </w:num>
  <w:num w:numId="16">
    <w:abstractNumId w:val="1"/>
    <w:lvlOverride w:ilvl="0">
      <w:startOverride w:val="1"/>
    </w:lvlOverride>
  </w:num>
  <w:num w:numId="17">
    <w:abstractNumId w:val="1"/>
    <w:lvlOverride w:ilvl="0">
      <w:startOverride w:val="2"/>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8"/>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5A"/>
    <w:rsid w:val="000054E4"/>
    <w:rsid w:val="00037C85"/>
    <w:rsid w:val="00073D31"/>
    <w:rsid w:val="000859E8"/>
    <w:rsid w:val="000E12FE"/>
    <w:rsid w:val="000E466C"/>
    <w:rsid w:val="000E69F9"/>
    <w:rsid w:val="0013654D"/>
    <w:rsid w:val="0016551B"/>
    <w:rsid w:val="00187F40"/>
    <w:rsid w:val="00190AE4"/>
    <w:rsid w:val="001A0F23"/>
    <w:rsid w:val="001C42F7"/>
    <w:rsid w:val="001C7F33"/>
    <w:rsid w:val="00224EA9"/>
    <w:rsid w:val="0025132E"/>
    <w:rsid w:val="002A7BB6"/>
    <w:rsid w:val="002B62AC"/>
    <w:rsid w:val="002C6A3B"/>
    <w:rsid w:val="00330E96"/>
    <w:rsid w:val="003A324A"/>
    <w:rsid w:val="003C5D42"/>
    <w:rsid w:val="003E3BFD"/>
    <w:rsid w:val="003E4C68"/>
    <w:rsid w:val="003F7E45"/>
    <w:rsid w:val="00421AF2"/>
    <w:rsid w:val="004279F2"/>
    <w:rsid w:val="0044685C"/>
    <w:rsid w:val="004917AC"/>
    <w:rsid w:val="00511932"/>
    <w:rsid w:val="00525D71"/>
    <w:rsid w:val="00530422"/>
    <w:rsid w:val="0054650F"/>
    <w:rsid w:val="005A1CE4"/>
    <w:rsid w:val="005D51F5"/>
    <w:rsid w:val="005E7E2B"/>
    <w:rsid w:val="0060399E"/>
    <w:rsid w:val="00622932"/>
    <w:rsid w:val="006421E4"/>
    <w:rsid w:val="00643FF3"/>
    <w:rsid w:val="0064403F"/>
    <w:rsid w:val="006609E8"/>
    <w:rsid w:val="00673EAA"/>
    <w:rsid w:val="006902DB"/>
    <w:rsid w:val="006B6B35"/>
    <w:rsid w:val="006E3D80"/>
    <w:rsid w:val="007051E7"/>
    <w:rsid w:val="0071755D"/>
    <w:rsid w:val="00752D27"/>
    <w:rsid w:val="00885D80"/>
    <w:rsid w:val="008A34B3"/>
    <w:rsid w:val="008A7B58"/>
    <w:rsid w:val="008B015A"/>
    <w:rsid w:val="008C2011"/>
    <w:rsid w:val="008C25F4"/>
    <w:rsid w:val="008F324F"/>
    <w:rsid w:val="0092509E"/>
    <w:rsid w:val="0094259A"/>
    <w:rsid w:val="009C531D"/>
    <w:rsid w:val="009D75E9"/>
    <w:rsid w:val="009E6A8A"/>
    <w:rsid w:val="00A13F28"/>
    <w:rsid w:val="00A36E77"/>
    <w:rsid w:val="00A46B9D"/>
    <w:rsid w:val="00A6568D"/>
    <w:rsid w:val="00AA53E4"/>
    <w:rsid w:val="00AC3EE2"/>
    <w:rsid w:val="00AF2CF2"/>
    <w:rsid w:val="00AF4147"/>
    <w:rsid w:val="00B7412D"/>
    <w:rsid w:val="00BC6E07"/>
    <w:rsid w:val="00C02B8C"/>
    <w:rsid w:val="00C11EC9"/>
    <w:rsid w:val="00C3271D"/>
    <w:rsid w:val="00CF4673"/>
    <w:rsid w:val="00D21062"/>
    <w:rsid w:val="00E45280"/>
    <w:rsid w:val="00E54233"/>
    <w:rsid w:val="00EE2C76"/>
    <w:rsid w:val="00F02ECF"/>
    <w:rsid w:val="00F061D2"/>
    <w:rsid w:val="00F120E2"/>
    <w:rsid w:val="00F13477"/>
    <w:rsid w:val="00F6584C"/>
    <w:rsid w:val="00F841E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ACEB"/>
  <w15:chartTrackingRefBased/>
  <w15:docId w15:val="{1456C0CE-E6C7-45CD-989E-E565C57A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54D"/>
  </w:style>
  <w:style w:type="paragraph" w:styleId="Heading1">
    <w:name w:val="heading 1"/>
    <w:basedOn w:val="Normal"/>
    <w:next w:val="Normal"/>
    <w:link w:val="Heading1Char"/>
    <w:uiPriority w:val="9"/>
    <w:qFormat/>
    <w:rsid w:val="008B0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1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1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1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1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15A"/>
    <w:rPr>
      <w:rFonts w:eastAsiaTheme="majorEastAsia" w:cstheme="majorBidi"/>
      <w:color w:val="272727" w:themeColor="text1" w:themeTint="D8"/>
    </w:rPr>
  </w:style>
  <w:style w:type="paragraph" w:styleId="Title">
    <w:name w:val="Title"/>
    <w:basedOn w:val="Normal"/>
    <w:next w:val="Normal"/>
    <w:link w:val="TitleChar"/>
    <w:uiPriority w:val="10"/>
    <w:qFormat/>
    <w:rsid w:val="008B0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1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1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015A"/>
    <w:rPr>
      <w:i/>
      <w:iCs/>
      <w:color w:val="404040" w:themeColor="text1" w:themeTint="BF"/>
    </w:rPr>
  </w:style>
  <w:style w:type="paragraph" w:styleId="ListParagraph">
    <w:name w:val="List Paragraph"/>
    <w:aliases w:val="Citation List,1.1.1_List Paragraph,List_Paragraph,Multilevel para_II,Colorful List - Accent 1 Char,1.1.1_List Paragraph Char,List_Paragraph Char,Multilevel para_II Char,List Paragraph1 Char,List Paragraph Char Char Char Char,b-txt,Dot pt"/>
    <w:basedOn w:val="Normal"/>
    <w:link w:val="ListParagraphChar"/>
    <w:uiPriority w:val="34"/>
    <w:qFormat/>
    <w:rsid w:val="008B015A"/>
    <w:pPr>
      <w:ind w:left="720"/>
      <w:contextualSpacing/>
    </w:pPr>
  </w:style>
  <w:style w:type="character" w:styleId="IntenseEmphasis">
    <w:name w:val="Intense Emphasis"/>
    <w:basedOn w:val="DefaultParagraphFont"/>
    <w:uiPriority w:val="21"/>
    <w:qFormat/>
    <w:rsid w:val="008B015A"/>
    <w:rPr>
      <w:i/>
      <w:iCs/>
      <w:color w:val="2F5496" w:themeColor="accent1" w:themeShade="BF"/>
    </w:rPr>
  </w:style>
  <w:style w:type="paragraph" w:styleId="IntenseQuote">
    <w:name w:val="Intense Quote"/>
    <w:basedOn w:val="Normal"/>
    <w:next w:val="Normal"/>
    <w:link w:val="IntenseQuoteChar"/>
    <w:uiPriority w:val="30"/>
    <w:qFormat/>
    <w:rsid w:val="008B0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15A"/>
    <w:rPr>
      <w:i/>
      <w:iCs/>
      <w:color w:val="2F5496" w:themeColor="accent1" w:themeShade="BF"/>
    </w:rPr>
  </w:style>
  <w:style w:type="character" w:styleId="IntenseReference">
    <w:name w:val="Intense Reference"/>
    <w:basedOn w:val="DefaultParagraphFont"/>
    <w:uiPriority w:val="32"/>
    <w:qFormat/>
    <w:rsid w:val="008B015A"/>
    <w:rPr>
      <w:b/>
      <w:bCs/>
      <w:smallCaps/>
      <w:color w:val="2F5496" w:themeColor="accent1" w:themeShade="BF"/>
      <w:spacing w:val="5"/>
    </w:rPr>
  </w:style>
  <w:style w:type="table" w:styleId="TableGrid">
    <w:name w:val="Table Grid"/>
    <w:basedOn w:val="TableNormal"/>
    <w:uiPriority w:val="59"/>
    <w:rsid w:val="008A7B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51F5"/>
    <w:rPr>
      <w:b/>
      <w:bCs/>
    </w:rPr>
  </w:style>
  <w:style w:type="paragraph" w:styleId="NormalWeb">
    <w:name w:val="Normal (Web)"/>
    <w:basedOn w:val="Normal"/>
    <w:uiPriority w:val="99"/>
    <w:semiHidden/>
    <w:unhideWhenUsed/>
    <w:rsid w:val="00073D31"/>
    <w:rPr>
      <w:rFonts w:ascii="Times New Roman" w:hAnsi="Times New Roman" w:cs="Times New Roman"/>
      <w:sz w:val="24"/>
      <w:szCs w:val="24"/>
    </w:rPr>
  </w:style>
  <w:style w:type="character" w:customStyle="1" w:styleId="ListParagraphChar">
    <w:name w:val="List Paragraph Char"/>
    <w:aliases w:val="Citation List Char,1.1.1_List Paragraph Char1,List_Paragraph Char1,Multilevel para_II Char1,Colorful List - Accent 1 Char Char,1.1.1_List Paragraph Char Char,List_Paragraph Char Char,Multilevel para_II Char Char,b-txt Char"/>
    <w:link w:val="ListParagraph"/>
    <w:uiPriority w:val="34"/>
    <w:qFormat/>
    <w:locked/>
    <w:rsid w:val="000E12FE"/>
  </w:style>
  <w:style w:type="table" w:customStyle="1" w:styleId="TableGrid4">
    <w:name w:val="Table Grid4"/>
    <w:basedOn w:val="TableNormal"/>
    <w:next w:val="TableGrid"/>
    <w:uiPriority w:val="59"/>
    <w:qFormat/>
    <w:rsid w:val="00421AF2"/>
    <w:pPr>
      <w:spacing w:line="240" w:lineRule="auto"/>
    </w:pPr>
    <w:rPr>
      <w:rFonts w:ascii="Calibri" w:eastAsia="Calibri" w:hAnsi="Calibri"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13654D"/>
    <w:pPr>
      <w:jc w:val="both"/>
    </w:pPr>
    <w:rPr>
      <w:rFonts w:ascii="Calibri" w:eastAsia="Times New Roman" w:hAnsi="Calibri" w:cs="Mang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A7B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732">
      <w:bodyDiv w:val="1"/>
      <w:marLeft w:val="0"/>
      <w:marRight w:val="0"/>
      <w:marTop w:val="0"/>
      <w:marBottom w:val="0"/>
      <w:divBdr>
        <w:top w:val="none" w:sz="0" w:space="0" w:color="auto"/>
        <w:left w:val="none" w:sz="0" w:space="0" w:color="auto"/>
        <w:bottom w:val="none" w:sz="0" w:space="0" w:color="auto"/>
        <w:right w:val="none" w:sz="0" w:space="0" w:color="auto"/>
      </w:divBdr>
    </w:div>
    <w:div w:id="58789569">
      <w:bodyDiv w:val="1"/>
      <w:marLeft w:val="0"/>
      <w:marRight w:val="0"/>
      <w:marTop w:val="0"/>
      <w:marBottom w:val="0"/>
      <w:divBdr>
        <w:top w:val="none" w:sz="0" w:space="0" w:color="auto"/>
        <w:left w:val="none" w:sz="0" w:space="0" w:color="auto"/>
        <w:bottom w:val="none" w:sz="0" w:space="0" w:color="auto"/>
        <w:right w:val="none" w:sz="0" w:space="0" w:color="auto"/>
      </w:divBdr>
    </w:div>
    <w:div w:id="72316410">
      <w:bodyDiv w:val="1"/>
      <w:marLeft w:val="0"/>
      <w:marRight w:val="0"/>
      <w:marTop w:val="0"/>
      <w:marBottom w:val="0"/>
      <w:divBdr>
        <w:top w:val="none" w:sz="0" w:space="0" w:color="auto"/>
        <w:left w:val="none" w:sz="0" w:space="0" w:color="auto"/>
        <w:bottom w:val="none" w:sz="0" w:space="0" w:color="auto"/>
        <w:right w:val="none" w:sz="0" w:space="0" w:color="auto"/>
      </w:divBdr>
    </w:div>
    <w:div w:id="101194902">
      <w:bodyDiv w:val="1"/>
      <w:marLeft w:val="0"/>
      <w:marRight w:val="0"/>
      <w:marTop w:val="0"/>
      <w:marBottom w:val="0"/>
      <w:divBdr>
        <w:top w:val="none" w:sz="0" w:space="0" w:color="auto"/>
        <w:left w:val="none" w:sz="0" w:space="0" w:color="auto"/>
        <w:bottom w:val="none" w:sz="0" w:space="0" w:color="auto"/>
        <w:right w:val="none" w:sz="0" w:space="0" w:color="auto"/>
      </w:divBdr>
    </w:div>
    <w:div w:id="214126904">
      <w:bodyDiv w:val="1"/>
      <w:marLeft w:val="0"/>
      <w:marRight w:val="0"/>
      <w:marTop w:val="0"/>
      <w:marBottom w:val="0"/>
      <w:divBdr>
        <w:top w:val="none" w:sz="0" w:space="0" w:color="auto"/>
        <w:left w:val="none" w:sz="0" w:space="0" w:color="auto"/>
        <w:bottom w:val="none" w:sz="0" w:space="0" w:color="auto"/>
        <w:right w:val="none" w:sz="0" w:space="0" w:color="auto"/>
      </w:divBdr>
    </w:div>
    <w:div w:id="232356119">
      <w:bodyDiv w:val="1"/>
      <w:marLeft w:val="0"/>
      <w:marRight w:val="0"/>
      <w:marTop w:val="0"/>
      <w:marBottom w:val="0"/>
      <w:divBdr>
        <w:top w:val="none" w:sz="0" w:space="0" w:color="auto"/>
        <w:left w:val="none" w:sz="0" w:space="0" w:color="auto"/>
        <w:bottom w:val="none" w:sz="0" w:space="0" w:color="auto"/>
        <w:right w:val="none" w:sz="0" w:space="0" w:color="auto"/>
      </w:divBdr>
    </w:div>
    <w:div w:id="301737241">
      <w:bodyDiv w:val="1"/>
      <w:marLeft w:val="0"/>
      <w:marRight w:val="0"/>
      <w:marTop w:val="0"/>
      <w:marBottom w:val="0"/>
      <w:divBdr>
        <w:top w:val="none" w:sz="0" w:space="0" w:color="auto"/>
        <w:left w:val="none" w:sz="0" w:space="0" w:color="auto"/>
        <w:bottom w:val="none" w:sz="0" w:space="0" w:color="auto"/>
        <w:right w:val="none" w:sz="0" w:space="0" w:color="auto"/>
      </w:divBdr>
    </w:div>
    <w:div w:id="345399312">
      <w:bodyDiv w:val="1"/>
      <w:marLeft w:val="0"/>
      <w:marRight w:val="0"/>
      <w:marTop w:val="0"/>
      <w:marBottom w:val="0"/>
      <w:divBdr>
        <w:top w:val="none" w:sz="0" w:space="0" w:color="auto"/>
        <w:left w:val="none" w:sz="0" w:space="0" w:color="auto"/>
        <w:bottom w:val="none" w:sz="0" w:space="0" w:color="auto"/>
        <w:right w:val="none" w:sz="0" w:space="0" w:color="auto"/>
      </w:divBdr>
    </w:div>
    <w:div w:id="433285700">
      <w:bodyDiv w:val="1"/>
      <w:marLeft w:val="0"/>
      <w:marRight w:val="0"/>
      <w:marTop w:val="0"/>
      <w:marBottom w:val="0"/>
      <w:divBdr>
        <w:top w:val="none" w:sz="0" w:space="0" w:color="auto"/>
        <w:left w:val="none" w:sz="0" w:space="0" w:color="auto"/>
        <w:bottom w:val="none" w:sz="0" w:space="0" w:color="auto"/>
        <w:right w:val="none" w:sz="0" w:space="0" w:color="auto"/>
      </w:divBdr>
    </w:div>
    <w:div w:id="433289578">
      <w:bodyDiv w:val="1"/>
      <w:marLeft w:val="0"/>
      <w:marRight w:val="0"/>
      <w:marTop w:val="0"/>
      <w:marBottom w:val="0"/>
      <w:divBdr>
        <w:top w:val="none" w:sz="0" w:space="0" w:color="auto"/>
        <w:left w:val="none" w:sz="0" w:space="0" w:color="auto"/>
        <w:bottom w:val="none" w:sz="0" w:space="0" w:color="auto"/>
        <w:right w:val="none" w:sz="0" w:space="0" w:color="auto"/>
      </w:divBdr>
    </w:div>
    <w:div w:id="510492227">
      <w:bodyDiv w:val="1"/>
      <w:marLeft w:val="0"/>
      <w:marRight w:val="0"/>
      <w:marTop w:val="0"/>
      <w:marBottom w:val="0"/>
      <w:divBdr>
        <w:top w:val="none" w:sz="0" w:space="0" w:color="auto"/>
        <w:left w:val="none" w:sz="0" w:space="0" w:color="auto"/>
        <w:bottom w:val="none" w:sz="0" w:space="0" w:color="auto"/>
        <w:right w:val="none" w:sz="0" w:space="0" w:color="auto"/>
      </w:divBdr>
    </w:div>
    <w:div w:id="525600329">
      <w:bodyDiv w:val="1"/>
      <w:marLeft w:val="0"/>
      <w:marRight w:val="0"/>
      <w:marTop w:val="0"/>
      <w:marBottom w:val="0"/>
      <w:divBdr>
        <w:top w:val="none" w:sz="0" w:space="0" w:color="auto"/>
        <w:left w:val="none" w:sz="0" w:space="0" w:color="auto"/>
        <w:bottom w:val="none" w:sz="0" w:space="0" w:color="auto"/>
        <w:right w:val="none" w:sz="0" w:space="0" w:color="auto"/>
      </w:divBdr>
      <w:divsChild>
        <w:div w:id="1953320829">
          <w:marLeft w:val="0"/>
          <w:marRight w:val="0"/>
          <w:marTop w:val="0"/>
          <w:marBottom w:val="0"/>
          <w:divBdr>
            <w:top w:val="none" w:sz="0" w:space="0" w:color="auto"/>
            <w:left w:val="none" w:sz="0" w:space="0" w:color="auto"/>
            <w:bottom w:val="none" w:sz="0" w:space="0" w:color="auto"/>
            <w:right w:val="none" w:sz="0" w:space="0" w:color="auto"/>
          </w:divBdr>
          <w:divsChild>
            <w:div w:id="13333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3077">
      <w:bodyDiv w:val="1"/>
      <w:marLeft w:val="0"/>
      <w:marRight w:val="0"/>
      <w:marTop w:val="0"/>
      <w:marBottom w:val="0"/>
      <w:divBdr>
        <w:top w:val="none" w:sz="0" w:space="0" w:color="auto"/>
        <w:left w:val="none" w:sz="0" w:space="0" w:color="auto"/>
        <w:bottom w:val="none" w:sz="0" w:space="0" w:color="auto"/>
        <w:right w:val="none" w:sz="0" w:space="0" w:color="auto"/>
      </w:divBdr>
    </w:div>
    <w:div w:id="551577322">
      <w:bodyDiv w:val="1"/>
      <w:marLeft w:val="0"/>
      <w:marRight w:val="0"/>
      <w:marTop w:val="0"/>
      <w:marBottom w:val="0"/>
      <w:divBdr>
        <w:top w:val="none" w:sz="0" w:space="0" w:color="auto"/>
        <w:left w:val="none" w:sz="0" w:space="0" w:color="auto"/>
        <w:bottom w:val="none" w:sz="0" w:space="0" w:color="auto"/>
        <w:right w:val="none" w:sz="0" w:space="0" w:color="auto"/>
      </w:divBdr>
    </w:div>
    <w:div w:id="594629364">
      <w:bodyDiv w:val="1"/>
      <w:marLeft w:val="0"/>
      <w:marRight w:val="0"/>
      <w:marTop w:val="0"/>
      <w:marBottom w:val="0"/>
      <w:divBdr>
        <w:top w:val="none" w:sz="0" w:space="0" w:color="auto"/>
        <w:left w:val="none" w:sz="0" w:space="0" w:color="auto"/>
        <w:bottom w:val="none" w:sz="0" w:space="0" w:color="auto"/>
        <w:right w:val="none" w:sz="0" w:space="0" w:color="auto"/>
      </w:divBdr>
    </w:div>
    <w:div w:id="650183052">
      <w:bodyDiv w:val="1"/>
      <w:marLeft w:val="0"/>
      <w:marRight w:val="0"/>
      <w:marTop w:val="0"/>
      <w:marBottom w:val="0"/>
      <w:divBdr>
        <w:top w:val="none" w:sz="0" w:space="0" w:color="auto"/>
        <w:left w:val="none" w:sz="0" w:space="0" w:color="auto"/>
        <w:bottom w:val="none" w:sz="0" w:space="0" w:color="auto"/>
        <w:right w:val="none" w:sz="0" w:space="0" w:color="auto"/>
      </w:divBdr>
    </w:div>
    <w:div w:id="652562401">
      <w:bodyDiv w:val="1"/>
      <w:marLeft w:val="0"/>
      <w:marRight w:val="0"/>
      <w:marTop w:val="0"/>
      <w:marBottom w:val="0"/>
      <w:divBdr>
        <w:top w:val="none" w:sz="0" w:space="0" w:color="auto"/>
        <w:left w:val="none" w:sz="0" w:space="0" w:color="auto"/>
        <w:bottom w:val="none" w:sz="0" w:space="0" w:color="auto"/>
        <w:right w:val="none" w:sz="0" w:space="0" w:color="auto"/>
      </w:divBdr>
    </w:div>
    <w:div w:id="660472528">
      <w:bodyDiv w:val="1"/>
      <w:marLeft w:val="0"/>
      <w:marRight w:val="0"/>
      <w:marTop w:val="0"/>
      <w:marBottom w:val="0"/>
      <w:divBdr>
        <w:top w:val="none" w:sz="0" w:space="0" w:color="auto"/>
        <w:left w:val="none" w:sz="0" w:space="0" w:color="auto"/>
        <w:bottom w:val="none" w:sz="0" w:space="0" w:color="auto"/>
        <w:right w:val="none" w:sz="0" w:space="0" w:color="auto"/>
      </w:divBdr>
    </w:div>
    <w:div w:id="748310687">
      <w:bodyDiv w:val="1"/>
      <w:marLeft w:val="0"/>
      <w:marRight w:val="0"/>
      <w:marTop w:val="0"/>
      <w:marBottom w:val="0"/>
      <w:divBdr>
        <w:top w:val="none" w:sz="0" w:space="0" w:color="auto"/>
        <w:left w:val="none" w:sz="0" w:space="0" w:color="auto"/>
        <w:bottom w:val="none" w:sz="0" w:space="0" w:color="auto"/>
        <w:right w:val="none" w:sz="0" w:space="0" w:color="auto"/>
      </w:divBdr>
    </w:div>
    <w:div w:id="809057650">
      <w:bodyDiv w:val="1"/>
      <w:marLeft w:val="0"/>
      <w:marRight w:val="0"/>
      <w:marTop w:val="0"/>
      <w:marBottom w:val="0"/>
      <w:divBdr>
        <w:top w:val="none" w:sz="0" w:space="0" w:color="auto"/>
        <w:left w:val="none" w:sz="0" w:space="0" w:color="auto"/>
        <w:bottom w:val="none" w:sz="0" w:space="0" w:color="auto"/>
        <w:right w:val="none" w:sz="0" w:space="0" w:color="auto"/>
      </w:divBdr>
    </w:div>
    <w:div w:id="811097981">
      <w:bodyDiv w:val="1"/>
      <w:marLeft w:val="0"/>
      <w:marRight w:val="0"/>
      <w:marTop w:val="0"/>
      <w:marBottom w:val="0"/>
      <w:divBdr>
        <w:top w:val="none" w:sz="0" w:space="0" w:color="auto"/>
        <w:left w:val="none" w:sz="0" w:space="0" w:color="auto"/>
        <w:bottom w:val="none" w:sz="0" w:space="0" w:color="auto"/>
        <w:right w:val="none" w:sz="0" w:space="0" w:color="auto"/>
      </w:divBdr>
    </w:div>
    <w:div w:id="931856711">
      <w:bodyDiv w:val="1"/>
      <w:marLeft w:val="0"/>
      <w:marRight w:val="0"/>
      <w:marTop w:val="0"/>
      <w:marBottom w:val="0"/>
      <w:divBdr>
        <w:top w:val="none" w:sz="0" w:space="0" w:color="auto"/>
        <w:left w:val="none" w:sz="0" w:space="0" w:color="auto"/>
        <w:bottom w:val="none" w:sz="0" w:space="0" w:color="auto"/>
        <w:right w:val="none" w:sz="0" w:space="0" w:color="auto"/>
      </w:divBdr>
    </w:div>
    <w:div w:id="933316766">
      <w:bodyDiv w:val="1"/>
      <w:marLeft w:val="0"/>
      <w:marRight w:val="0"/>
      <w:marTop w:val="0"/>
      <w:marBottom w:val="0"/>
      <w:divBdr>
        <w:top w:val="none" w:sz="0" w:space="0" w:color="auto"/>
        <w:left w:val="none" w:sz="0" w:space="0" w:color="auto"/>
        <w:bottom w:val="none" w:sz="0" w:space="0" w:color="auto"/>
        <w:right w:val="none" w:sz="0" w:space="0" w:color="auto"/>
      </w:divBdr>
    </w:div>
    <w:div w:id="965087762">
      <w:bodyDiv w:val="1"/>
      <w:marLeft w:val="0"/>
      <w:marRight w:val="0"/>
      <w:marTop w:val="0"/>
      <w:marBottom w:val="0"/>
      <w:divBdr>
        <w:top w:val="none" w:sz="0" w:space="0" w:color="auto"/>
        <w:left w:val="none" w:sz="0" w:space="0" w:color="auto"/>
        <w:bottom w:val="none" w:sz="0" w:space="0" w:color="auto"/>
        <w:right w:val="none" w:sz="0" w:space="0" w:color="auto"/>
      </w:divBdr>
    </w:div>
    <w:div w:id="1004361419">
      <w:bodyDiv w:val="1"/>
      <w:marLeft w:val="0"/>
      <w:marRight w:val="0"/>
      <w:marTop w:val="0"/>
      <w:marBottom w:val="0"/>
      <w:divBdr>
        <w:top w:val="none" w:sz="0" w:space="0" w:color="auto"/>
        <w:left w:val="none" w:sz="0" w:space="0" w:color="auto"/>
        <w:bottom w:val="none" w:sz="0" w:space="0" w:color="auto"/>
        <w:right w:val="none" w:sz="0" w:space="0" w:color="auto"/>
      </w:divBdr>
    </w:div>
    <w:div w:id="1024088655">
      <w:bodyDiv w:val="1"/>
      <w:marLeft w:val="0"/>
      <w:marRight w:val="0"/>
      <w:marTop w:val="0"/>
      <w:marBottom w:val="0"/>
      <w:divBdr>
        <w:top w:val="none" w:sz="0" w:space="0" w:color="auto"/>
        <w:left w:val="none" w:sz="0" w:space="0" w:color="auto"/>
        <w:bottom w:val="none" w:sz="0" w:space="0" w:color="auto"/>
        <w:right w:val="none" w:sz="0" w:space="0" w:color="auto"/>
      </w:divBdr>
    </w:div>
    <w:div w:id="1038549315">
      <w:bodyDiv w:val="1"/>
      <w:marLeft w:val="0"/>
      <w:marRight w:val="0"/>
      <w:marTop w:val="0"/>
      <w:marBottom w:val="0"/>
      <w:divBdr>
        <w:top w:val="none" w:sz="0" w:space="0" w:color="auto"/>
        <w:left w:val="none" w:sz="0" w:space="0" w:color="auto"/>
        <w:bottom w:val="none" w:sz="0" w:space="0" w:color="auto"/>
        <w:right w:val="none" w:sz="0" w:space="0" w:color="auto"/>
      </w:divBdr>
    </w:div>
    <w:div w:id="1135492754">
      <w:bodyDiv w:val="1"/>
      <w:marLeft w:val="0"/>
      <w:marRight w:val="0"/>
      <w:marTop w:val="0"/>
      <w:marBottom w:val="0"/>
      <w:divBdr>
        <w:top w:val="none" w:sz="0" w:space="0" w:color="auto"/>
        <w:left w:val="none" w:sz="0" w:space="0" w:color="auto"/>
        <w:bottom w:val="none" w:sz="0" w:space="0" w:color="auto"/>
        <w:right w:val="none" w:sz="0" w:space="0" w:color="auto"/>
      </w:divBdr>
    </w:div>
    <w:div w:id="1150555679">
      <w:bodyDiv w:val="1"/>
      <w:marLeft w:val="0"/>
      <w:marRight w:val="0"/>
      <w:marTop w:val="0"/>
      <w:marBottom w:val="0"/>
      <w:divBdr>
        <w:top w:val="none" w:sz="0" w:space="0" w:color="auto"/>
        <w:left w:val="none" w:sz="0" w:space="0" w:color="auto"/>
        <w:bottom w:val="none" w:sz="0" w:space="0" w:color="auto"/>
        <w:right w:val="none" w:sz="0" w:space="0" w:color="auto"/>
      </w:divBdr>
    </w:div>
    <w:div w:id="1180121892">
      <w:bodyDiv w:val="1"/>
      <w:marLeft w:val="0"/>
      <w:marRight w:val="0"/>
      <w:marTop w:val="0"/>
      <w:marBottom w:val="0"/>
      <w:divBdr>
        <w:top w:val="none" w:sz="0" w:space="0" w:color="auto"/>
        <w:left w:val="none" w:sz="0" w:space="0" w:color="auto"/>
        <w:bottom w:val="none" w:sz="0" w:space="0" w:color="auto"/>
        <w:right w:val="none" w:sz="0" w:space="0" w:color="auto"/>
      </w:divBdr>
    </w:div>
    <w:div w:id="1274479994">
      <w:bodyDiv w:val="1"/>
      <w:marLeft w:val="0"/>
      <w:marRight w:val="0"/>
      <w:marTop w:val="0"/>
      <w:marBottom w:val="0"/>
      <w:divBdr>
        <w:top w:val="none" w:sz="0" w:space="0" w:color="auto"/>
        <w:left w:val="none" w:sz="0" w:space="0" w:color="auto"/>
        <w:bottom w:val="none" w:sz="0" w:space="0" w:color="auto"/>
        <w:right w:val="none" w:sz="0" w:space="0" w:color="auto"/>
      </w:divBdr>
    </w:div>
    <w:div w:id="1274480182">
      <w:bodyDiv w:val="1"/>
      <w:marLeft w:val="0"/>
      <w:marRight w:val="0"/>
      <w:marTop w:val="0"/>
      <w:marBottom w:val="0"/>
      <w:divBdr>
        <w:top w:val="none" w:sz="0" w:space="0" w:color="auto"/>
        <w:left w:val="none" w:sz="0" w:space="0" w:color="auto"/>
        <w:bottom w:val="none" w:sz="0" w:space="0" w:color="auto"/>
        <w:right w:val="none" w:sz="0" w:space="0" w:color="auto"/>
      </w:divBdr>
    </w:div>
    <w:div w:id="1382244363">
      <w:bodyDiv w:val="1"/>
      <w:marLeft w:val="0"/>
      <w:marRight w:val="0"/>
      <w:marTop w:val="0"/>
      <w:marBottom w:val="0"/>
      <w:divBdr>
        <w:top w:val="none" w:sz="0" w:space="0" w:color="auto"/>
        <w:left w:val="none" w:sz="0" w:space="0" w:color="auto"/>
        <w:bottom w:val="none" w:sz="0" w:space="0" w:color="auto"/>
        <w:right w:val="none" w:sz="0" w:space="0" w:color="auto"/>
      </w:divBdr>
    </w:div>
    <w:div w:id="1406146750">
      <w:bodyDiv w:val="1"/>
      <w:marLeft w:val="0"/>
      <w:marRight w:val="0"/>
      <w:marTop w:val="0"/>
      <w:marBottom w:val="0"/>
      <w:divBdr>
        <w:top w:val="none" w:sz="0" w:space="0" w:color="auto"/>
        <w:left w:val="none" w:sz="0" w:space="0" w:color="auto"/>
        <w:bottom w:val="none" w:sz="0" w:space="0" w:color="auto"/>
        <w:right w:val="none" w:sz="0" w:space="0" w:color="auto"/>
      </w:divBdr>
    </w:div>
    <w:div w:id="1418745498">
      <w:bodyDiv w:val="1"/>
      <w:marLeft w:val="0"/>
      <w:marRight w:val="0"/>
      <w:marTop w:val="0"/>
      <w:marBottom w:val="0"/>
      <w:divBdr>
        <w:top w:val="none" w:sz="0" w:space="0" w:color="auto"/>
        <w:left w:val="none" w:sz="0" w:space="0" w:color="auto"/>
        <w:bottom w:val="none" w:sz="0" w:space="0" w:color="auto"/>
        <w:right w:val="none" w:sz="0" w:space="0" w:color="auto"/>
      </w:divBdr>
    </w:div>
    <w:div w:id="1450002972">
      <w:bodyDiv w:val="1"/>
      <w:marLeft w:val="0"/>
      <w:marRight w:val="0"/>
      <w:marTop w:val="0"/>
      <w:marBottom w:val="0"/>
      <w:divBdr>
        <w:top w:val="none" w:sz="0" w:space="0" w:color="auto"/>
        <w:left w:val="none" w:sz="0" w:space="0" w:color="auto"/>
        <w:bottom w:val="none" w:sz="0" w:space="0" w:color="auto"/>
        <w:right w:val="none" w:sz="0" w:space="0" w:color="auto"/>
      </w:divBdr>
      <w:divsChild>
        <w:div w:id="1135488229">
          <w:marLeft w:val="0"/>
          <w:marRight w:val="0"/>
          <w:marTop w:val="0"/>
          <w:marBottom w:val="0"/>
          <w:divBdr>
            <w:top w:val="none" w:sz="0" w:space="0" w:color="auto"/>
            <w:left w:val="none" w:sz="0" w:space="0" w:color="auto"/>
            <w:bottom w:val="none" w:sz="0" w:space="0" w:color="auto"/>
            <w:right w:val="none" w:sz="0" w:space="0" w:color="auto"/>
          </w:divBdr>
          <w:divsChild>
            <w:div w:id="13501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81273">
      <w:bodyDiv w:val="1"/>
      <w:marLeft w:val="0"/>
      <w:marRight w:val="0"/>
      <w:marTop w:val="0"/>
      <w:marBottom w:val="0"/>
      <w:divBdr>
        <w:top w:val="none" w:sz="0" w:space="0" w:color="auto"/>
        <w:left w:val="none" w:sz="0" w:space="0" w:color="auto"/>
        <w:bottom w:val="none" w:sz="0" w:space="0" w:color="auto"/>
        <w:right w:val="none" w:sz="0" w:space="0" w:color="auto"/>
      </w:divBdr>
    </w:div>
    <w:div w:id="1683388992">
      <w:bodyDiv w:val="1"/>
      <w:marLeft w:val="0"/>
      <w:marRight w:val="0"/>
      <w:marTop w:val="0"/>
      <w:marBottom w:val="0"/>
      <w:divBdr>
        <w:top w:val="none" w:sz="0" w:space="0" w:color="auto"/>
        <w:left w:val="none" w:sz="0" w:space="0" w:color="auto"/>
        <w:bottom w:val="none" w:sz="0" w:space="0" w:color="auto"/>
        <w:right w:val="none" w:sz="0" w:space="0" w:color="auto"/>
      </w:divBdr>
    </w:div>
    <w:div w:id="1753577859">
      <w:bodyDiv w:val="1"/>
      <w:marLeft w:val="0"/>
      <w:marRight w:val="0"/>
      <w:marTop w:val="0"/>
      <w:marBottom w:val="0"/>
      <w:divBdr>
        <w:top w:val="none" w:sz="0" w:space="0" w:color="auto"/>
        <w:left w:val="none" w:sz="0" w:space="0" w:color="auto"/>
        <w:bottom w:val="none" w:sz="0" w:space="0" w:color="auto"/>
        <w:right w:val="none" w:sz="0" w:space="0" w:color="auto"/>
      </w:divBdr>
    </w:div>
    <w:div w:id="1764110813">
      <w:bodyDiv w:val="1"/>
      <w:marLeft w:val="0"/>
      <w:marRight w:val="0"/>
      <w:marTop w:val="0"/>
      <w:marBottom w:val="0"/>
      <w:divBdr>
        <w:top w:val="none" w:sz="0" w:space="0" w:color="auto"/>
        <w:left w:val="none" w:sz="0" w:space="0" w:color="auto"/>
        <w:bottom w:val="none" w:sz="0" w:space="0" w:color="auto"/>
        <w:right w:val="none" w:sz="0" w:space="0" w:color="auto"/>
      </w:divBdr>
    </w:div>
    <w:div w:id="1764494964">
      <w:bodyDiv w:val="1"/>
      <w:marLeft w:val="0"/>
      <w:marRight w:val="0"/>
      <w:marTop w:val="0"/>
      <w:marBottom w:val="0"/>
      <w:divBdr>
        <w:top w:val="none" w:sz="0" w:space="0" w:color="auto"/>
        <w:left w:val="none" w:sz="0" w:space="0" w:color="auto"/>
        <w:bottom w:val="none" w:sz="0" w:space="0" w:color="auto"/>
        <w:right w:val="none" w:sz="0" w:space="0" w:color="auto"/>
      </w:divBdr>
    </w:div>
    <w:div w:id="1787919123">
      <w:bodyDiv w:val="1"/>
      <w:marLeft w:val="0"/>
      <w:marRight w:val="0"/>
      <w:marTop w:val="0"/>
      <w:marBottom w:val="0"/>
      <w:divBdr>
        <w:top w:val="none" w:sz="0" w:space="0" w:color="auto"/>
        <w:left w:val="none" w:sz="0" w:space="0" w:color="auto"/>
        <w:bottom w:val="none" w:sz="0" w:space="0" w:color="auto"/>
        <w:right w:val="none" w:sz="0" w:space="0" w:color="auto"/>
      </w:divBdr>
    </w:div>
    <w:div w:id="1817912194">
      <w:bodyDiv w:val="1"/>
      <w:marLeft w:val="0"/>
      <w:marRight w:val="0"/>
      <w:marTop w:val="0"/>
      <w:marBottom w:val="0"/>
      <w:divBdr>
        <w:top w:val="none" w:sz="0" w:space="0" w:color="auto"/>
        <w:left w:val="none" w:sz="0" w:space="0" w:color="auto"/>
        <w:bottom w:val="none" w:sz="0" w:space="0" w:color="auto"/>
        <w:right w:val="none" w:sz="0" w:space="0" w:color="auto"/>
      </w:divBdr>
    </w:div>
    <w:div w:id="1915622027">
      <w:bodyDiv w:val="1"/>
      <w:marLeft w:val="0"/>
      <w:marRight w:val="0"/>
      <w:marTop w:val="0"/>
      <w:marBottom w:val="0"/>
      <w:divBdr>
        <w:top w:val="none" w:sz="0" w:space="0" w:color="auto"/>
        <w:left w:val="none" w:sz="0" w:space="0" w:color="auto"/>
        <w:bottom w:val="none" w:sz="0" w:space="0" w:color="auto"/>
        <w:right w:val="none" w:sz="0" w:space="0" w:color="auto"/>
      </w:divBdr>
    </w:div>
    <w:div w:id="1980378449">
      <w:bodyDiv w:val="1"/>
      <w:marLeft w:val="0"/>
      <w:marRight w:val="0"/>
      <w:marTop w:val="0"/>
      <w:marBottom w:val="0"/>
      <w:divBdr>
        <w:top w:val="none" w:sz="0" w:space="0" w:color="auto"/>
        <w:left w:val="none" w:sz="0" w:space="0" w:color="auto"/>
        <w:bottom w:val="none" w:sz="0" w:space="0" w:color="auto"/>
        <w:right w:val="none" w:sz="0" w:space="0" w:color="auto"/>
      </w:divBdr>
    </w:div>
    <w:div w:id="1994867810">
      <w:bodyDiv w:val="1"/>
      <w:marLeft w:val="0"/>
      <w:marRight w:val="0"/>
      <w:marTop w:val="0"/>
      <w:marBottom w:val="0"/>
      <w:divBdr>
        <w:top w:val="none" w:sz="0" w:space="0" w:color="auto"/>
        <w:left w:val="none" w:sz="0" w:space="0" w:color="auto"/>
        <w:bottom w:val="none" w:sz="0" w:space="0" w:color="auto"/>
        <w:right w:val="none" w:sz="0" w:space="0" w:color="auto"/>
      </w:divBdr>
    </w:div>
    <w:div w:id="1995186302">
      <w:bodyDiv w:val="1"/>
      <w:marLeft w:val="0"/>
      <w:marRight w:val="0"/>
      <w:marTop w:val="0"/>
      <w:marBottom w:val="0"/>
      <w:divBdr>
        <w:top w:val="none" w:sz="0" w:space="0" w:color="auto"/>
        <w:left w:val="none" w:sz="0" w:space="0" w:color="auto"/>
        <w:bottom w:val="none" w:sz="0" w:space="0" w:color="auto"/>
        <w:right w:val="none" w:sz="0" w:space="0" w:color="auto"/>
      </w:divBdr>
    </w:div>
    <w:div w:id="2010131731">
      <w:bodyDiv w:val="1"/>
      <w:marLeft w:val="0"/>
      <w:marRight w:val="0"/>
      <w:marTop w:val="0"/>
      <w:marBottom w:val="0"/>
      <w:divBdr>
        <w:top w:val="none" w:sz="0" w:space="0" w:color="auto"/>
        <w:left w:val="none" w:sz="0" w:space="0" w:color="auto"/>
        <w:bottom w:val="none" w:sz="0" w:space="0" w:color="auto"/>
        <w:right w:val="none" w:sz="0" w:space="0" w:color="auto"/>
      </w:divBdr>
    </w:div>
    <w:div w:id="2044361965">
      <w:bodyDiv w:val="1"/>
      <w:marLeft w:val="0"/>
      <w:marRight w:val="0"/>
      <w:marTop w:val="0"/>
      <w:marBottom w:val="0"/>
      <w:divBdr>
        <w:top w:val="none" w:sz="0" w:space="0" w:color="auto"/>
        <w:left w:val="none" w:sz="0" w:space="0" w:color="auto"/>
        <w:bottom w:val="none" w:sz="0" w:space="0" w:color="auto"/>
        <w:right w:val="none" w:sz="0" w:space="0" w:color="auto"/>
      </w:divBdr>
    </w:div>
    <w:div w:id="2055079078">
      <w:bodyDiv w:val="1"/>
      <w:marLeft w:val="0"/>
      <w:marRight w:val="0"/>
      <w:marTop w:val="0"/>
      <w:marBottom w:val="0"/>
      <w:divBdr>
        <w:top w:val="none" w:sz="0" w:space="0" w:color="auto"/>
        <w:left w:val="none" w:sz="0" w:space="0" w:color="auto"/>
        <w:bottom w:val="none" w:sz="0" w:space="0" w:color="auto"/>
        <w:right w:val="none" w:sz="0" w:space="0" w:color="auto"/>
      </w:divBdr>
    </w:div>
    <w:div w:id="2056929253">
      <w:bodyDiv w:val="1"/>
      <w:marLeft w:val="0"/>
      <w:marRight w:val="0"/>
      <w:marTop w:val="0"/>
      <w:marBottom w:val="0"/>
      <w:divBdr>
        <w:top w:val="none" w:sz="0" w:space="0" w:color="auto"/>
        <w:left w:val="none" w:sz="0" w:space="0" w:color="auto"/>
        <w:bottom w:val="none" w:sz="0" w:space="0" w:color="auto"/>
        <w:right w:val="none" w:sz="0" w:space="0" w:color="auto"/>
      </w:divBdr>
    </w:div>
    <w:div w:id="2122843601">
      <w:bodyDiv w:val="1"/>
      <w:marLeft w:val="0"/>
      <w:marRight w:val="0"/>
      <w:marTop w:val="0"/>
      <w:marBottom w:val="0"/>
      <w:divBdr>
        <w:top w:val="none" w:sz="0" w:space="0" w:color="auto"/>
        <w:left w:val="none" w:sz="0" w:space="0" w:color="auto"/>
        <w:bottom w:val="none" w:sz="0" w:space="0" w:color="auto"/>
        <w:right w:val="none" w:sz="0" w:space="0" w:color="auto"/>
      </w:divBdr>
    </w:div>
    <w:div w:id="21408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repository.uonbi.ac.ke/bitstream/handle/11295/101288/NATALA'S%20COMPLETE%20RESEARCH%20PROJECT%20(After%20Final%20Defence)%20-%20P.pdf?sequence=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034F9-135B-449C-9B74-BC2780D9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Smona</dc:creator>
  <cp:keywords/>
  <dc:description/>
  <cp:lastModifiedBy>Editor-11</cp:lastModifiedBy>
  <cp:revision>7</cp:revision>
  <cp:lastPrinted>2025-01-18T13:46:00Z</cp:lastPrinted>
  <dcterms:created xsi:type="dcterms:W3CDTF">2025-07-28T05:54:00Z</dcterms:created>
  <dcterms:modified xsi:type="dcterms:W3CDTF">2025-08-01T12:56:00Z</dcterms:modified>
</cp:coreProperties>
</file>