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AE" w:rsidRDefault="00562751">
      <w:pPr>
        <w:spacing w:after="0" w:line="360" w:lineRule="auto"/>
        <w:jc w:val="both"/>
        <w:outlineLvl w:val="0"/>
        <w:rPr>
          <w:rFonts w:ascii="Arial" w:eastAsia="Times New Roman" w:hAnsi="Arial" w:cs="Arial"/>
          <w:b/>
          <w:bCs/>
          <w:kern w:val="36"/>
          <w:sz w:val="28"/>
          <w:szCs w:val="28"/>
          <w:lang w:eastAsia="en-IN"/>
        </w:rPr>
      </w:pPr>
      <w:r>
        <w:rPr>
          <w:rFonts w:ascii="Arial" w:eastAsia="Times New Roman" w:hAnsi="Arial" w:cs="Arial"/>
          <w:b/>
          <w:bCs/>
          <w:i/>
          <w:iCs/>
          <w:kern w:val="36"/>
          <w:sz w:val="28"/>
          <w:szCs w:val="28"/>
          <w:u w:val="single"/>
          <w:lang w:val="en-US" w:eastAsia="en-IN"/>
        </w:rPr>
        <w:t>Original Research Article</w:t>
      </w:r>
    </w:p>
    <w:p w:rsidR="00351CAE" w:rsidRDefault="00562751">
      <w:pPr>
        <w:spacing w:after="0" w:line="360" w:lineRule="auto"/>
        <w:jc w:val="both"/>
        <w:outlineLvl w:val="0"/>
        <w:rPr>
          <w:rFonts w:ascii="Arial" w:eastAsia="Times New Roman" w:hAnsi="Arial" w:cs="Arial"/>
          <w:b/>
          <w:bCs/>
          <w:kern w:val="36"/>
          <w:sz w:val="28"/>
          <w:szCs w:val="28"/>
          <w:lang w:eastAsia="en-IN"/>
        </w:rPr>
      </w:pPr>
      <w:r>
        <w:rPr>
          <w:rFonts w:ascii="Arial" w:eastAsia="Times New Roman" w:hAnsi="Arial" w:cs="Arial"/>
          <w:b/>
          <w:bCs/>
          <w:kern w:val="36"/>
          <w:sz w:val="28"/>
          <w:szCs w:val="28"/>
          <w:lang w:eastAsia="en-IN"/>
        </w:rPr>
        <w:t xml:space="preserve">Development and Validation of the Assam Rural Livelihood and Farming Scale (ARLFS) for the Socio-Economic Assessment of </w:t>
      </w:r>
      <w:proofErr w:type="spellStart"/>
      <w:r>
        <w:rPr>
          <w:rFonts w:ascii="Arial" w:eastAsia="Times New Roman" w:hAnsi="Arial" w:cs="Arial"/>
          <w:b/>
          <w:bCs/>
          <w:kern w:val="36"/>
          <w:sz w:val="28"/>
          <w:szCs w:val="28"/>
          <w:lang w:eastAsia="en-IN"/>
        </w:rPr>
        <w:t>Khuti</w:t>
      </w:r>
      <w:proofErr w:type="spellEnd"/>
      <w:r>
        <w:rPr>
          <w:rFonts w:ascii="Arial" w:eastAsia="Times New Roman" w:hAnsi="Arial" w:cs="Arial"/>
          <w:b/>
          <w:bCs/>
          <w:kern w:val="36"/>
          <w:sz w:val="28"/>
          <w:szCs w:val="28"/>
          <w:lang w:eastAsia="en-IN"/>
        </w:rPr>
        <w:t xml:space="preserve"> System Dwellers, Assam</w:t>
      </w:r>
      <w:r w:rsidR="00303242">
        <w:rPr>
          <w:rFonts w:ascii="Arial" w:eastAsia="Times New Roman" w:hAnsi="Arial" w:cs="Arial"/>
          <w:b/>
          <w:bCs/>
          <w:kern w:val="36"/>
          <w:sz w:val="28"/>
          <w:szCs w:val="28"/>
          <w:lang w:eastAsia="en-IN"/>
        </w:rPr>
        <w:t xml:space="preserve">, </w:t>
      </w:r>
      <w:r w:rsidR="00303242" w:rsidRPr="00303242">
        <w:rPr>
          <w:rFonts w:ascii="Arial" w:eastAsia="Times New Roman" w:hAnsi="Arial" w:cs="Arial"/>
          <w:b/>
          <w:bCs/>
          <w:kern w:val="36"/>
          <w:sz w:val="28"/>
          <w:szCs w:val="28"/>
          <w:lang w:eastAsia="en-IN"/>
        </w:rPr>
        <w:t>India</w:t>
      </w:r>
      <w:bookmarkStart w:id="0" w:name="_GoBack"/>
      <w:bookmarkEnd w:id="0"/>
    </w:p>
    <w:p w:rsidR="00351CAE" w:rsidRDefault="00351CAE">
      <w:pPr>
        <w:spacing w:after="0" w:line="360" w:lineRule="auto"/>
        <w:jc w:val="both"/>
        <w:outlineLvl w:val="0"/>
        <w:rPr>
          <w:rFonts w:ascii="Arial" w:eastAsia="Times New Roman" w:hAnsi="Arial" w:cs="Arial"/>
          <w:b/>
          <w:bCs/>
          <w:kern w:val="36"/>
          <w:sz w:val="28"/>
          <w:szCs w:val="28"/>
          <w:lang w:eastAsia="en-IN"/>
        </w:rPr>
      </w:pPr>
    </w:p>
    <w:p w:rsidR="00351CAE" w:rsidRDefault="00351CAE">
      <w:pPr>
        <w:spacing w:after="0" w:line="360" w:lineRule="auto"/>
        <w:jc w:val="both"/>
        <w:rPr>
          <w:rFonts w:ascii="Arial" w:eastAsia="Times New Roman" w:hAnsi="Arial" w:cs="Arial"/>
          <w:sz w:val="24"/>
          <w:szCs w:val="24"/>
          <w:lang w:eastAsia="en-IN"/>
        </w:rPr>
      </w:pPr>
    </w:p>
    <w:p w:rsidR="00351CAE" w:rsidRDefault="00351CAE">
      <w:pPr>
        <w:spacing w:after="0" w:line="360" w:lineRule="auto"/>
        <w:jc w:val="both"/>
        <w:rPr>
          <w:rFonts w:ascii="Arial" w:eastAsia="Times New Roman" w:hAnsi="Arial" w:cs="Arial"/>
          <w:sz w:val="24"/>
          <w:szCs w:val="24"/>
          <w:lang w:eastAsia="en-IN"/>
        </w:rPr>
      </w:pPr>
    </w:p>
    <w:p w:rsidR="00351CAE" w:rsidRDefault="00351CAE">
      <w:pPr>
        <w:spacing w:after="0" w:line="360" w:lineRule="auto"/>
        <w:jc w:val="both"/>
        <w:rPr>
          <w:rFonts w:ascii="Arial" w:eastAsia="Times New Roman" w:hAnsi="Arial" w:cs="Arial"/>
          <w:sz w:val="24"/>
          <w:szCs w:val="24"/>
          <w:lang w:eastAsia="en-IN"/>
        </w:rPr>
      </w:pPr>
    </w:p>
    <w:p w:rsidR="00351CAE" w:rsidRDefault="00351CAE">
      <w:pPr>
        <w:spacing w:after="0" w:line="360" w:lineRule="auto"/>
        <w:jc w:val="both"/>
        <w:rPr>
          <w:rFonts w:ascii="Arial" w:eastAsia="Times New Roman" w:hAnsi="Arial" w:cs="Arial"/>
          <w:sz w:val="24"/>
          <w:szCs w:val="24"/>
          <w:lang w:eastAsia="en-IN"/>
        </w:rPr>
      </w:pPr>
    </w:p>
    <w:p w:rsidR="00351CAE" w:rsidRDefault="00351CAE">
      <w:pPr>
        <w:spacing w:after="0" w:line="360" w:lineRule="auto"/>
        <w:jc w:val="both"/>
        <w:rPr>
          <w:rFonts w:ascii="Arial" w:eastAsia="Times New Roman" w:hAnsi="Arial" w:cs="Arial"/>
          <w:sz w:val="24"/>
          <w:szCs w:val="24"/>
          <w:lang w:eastAsia="en-IN"/>
        </w:rPr>
      </w:pPr>
    </w:p>
    <w:p w:rsidR="00351CAE" w:rsidRDefault="00351CAE">
      <w:pPr>
        <w:spacing w:after="0" w:line="360" w:lineRule="auto"/>
        <w:jc w:val="both"/>
        <w:rPr>
          <w:rFonts w:ascii="Arial" w:eastAsia="Times New Roman" w:hAnsi="Arial" w:cs="Arial"/>
          <w:sz w:val="24"/>
          <w:szCs w:val="24"/>
          <w:lang w:eastAsia="en-IN"/>
        </w:rPr>
      </w:pPr>
    </w:p>
    <w:p w:rsidR="00351CAE" w:rsidRDefault="004529FC">
      <w:pPr>
        <w:spacing w:after="0" w:line="360" w:lineRule="auto"/>
        <w:jc w:val="both"/>
        <w:rPr>
          <w:rFonts w:ascii="Arial" w:eastAsia="Times New Roman" w:hAnsi="Arial" w:cs="Arial"/>
          <w:sz w:val="24"/>
          <w:szCs w:val="24"/>
          <w:lang w:eastAsia="en-IN"/>
        </w:rPr>
      </w:pPr>
      <w:r>
        <w:rPr>
          <w:rFonts w:ascii="Arial" w:eastAsia="Times New Roman" w:hAnsi="Arial" w:cs="Arial"/>
          <w:sz w:val="24"/>
          <w:szCs w:val="24"/>
          <w:lang w:eastAsia="en-IN"/>
        </w:rPr>
        <w:pict>
          <v:rect id="_x0000_i1025" style="width:0;height:1.5pt" o:hralign="center" o:hrstd="t" o:hr="t" fillcolor="#a0a0a0" stroked="f"/>
        </w:pict>
      </w:r>
    </w:p>
    <w:p w:rsidR="00351CAE" w:rsidRDefault="00562751">
      <w:pPr>
        <w:spacing w:after="0" w:line="360" w:lineRule="auto"/>
        <w:jc w:val="both"/>
        <w:outlineLvl w:val="2"/>
        <w:rPr>
          <w:rFonts w:ascii="Arial" w:eastAsia="Times New Roman" w:hAnsi="Arial" w:cs="Arial"/>
          <w:b/>
          <w:bCs/>
          <w:lang w:eastAsia="en-IN"/>
        </w:rPr>
      </w:pPr>
      <w:r>
        <w:rPr>
          <w:rFonts w:ascii="Arial" w:eastAsia="Times New Roman" w:hAnsi="Arial" w:cs="Arial"/>
          <w:b/>
          <w:bCs/>
          <w:lang w:eastAsia="en-IN"/>
        </w:rPr>
        <w:t>Abstract</w:t>
      </w:r>
    </w:p>
    <w:p w:rsidR="00351CAE" w:rsidRPr="00D74D43" w:rsidRDefault="00D74D43">
      <w:pPr>
        <w:pStyle w:val="NormalWeb"/>
        <w:spacing w:before="0" w:beforeAutospacing="0" w:after="0" w:afterAutospacing="0" w:line="360" w:lineRule="auto"/>
        <w:jc w:val="both"/>
        <w:rPr>
          <w:rFonts w:ascii="Arial" w:hAnsi="Arial" w:cs="Arial"/>
          <w:color w:val="FF0000"/>
          <w:sz w:val="20"/>
          <w:szCs w:val="20"/>
        </w:rPr>
      </w:pPr>
      <w:r w:rsidRPr="00D74D43">
        <w:rPr>
          <w:rFonts w:ascii="Arial" w:hAnsi="Arial" w:cs="Arial"/>
          <w:color w:val="FF0000"/>
          <w:sz w:val="20"/>
          <w:szCs w:val="20"/>
        </w:rPr>
        <w:t xml:space="preserve">The study outlined the development and validation of the Assam Rural Livelihood and Farming Scale (ARLFS), a socio-economic assessment tool designed for </w:t>
      </w:r>
      <w:proofErr w:type="spellStart"/>
      <w:r w:rsidRPr="00D74D43">
        <w:rPr>
          <w:rFonts w:ascii="Arial" w:hAnsi="Arial" w:cs="Arial"/>
          <w:color w:val="FF0000"/>
          <w:sz w:val="20"/>
          <w:szCs w:val="20"/>
        </w:rPr>
        <w:t>Khuti</w:t>
      </w:r>
      <w:proofErr w:type="spellEnd"/>
      <w:r w:rsidRPr="00D74D43">
        <w:rPr>
          <w:rFonts w:ascii="Arial" w:hAnsi="Arial" w:cs="Arial"/>
          <w:color w:val="FF0000"/>
          <w:sz w:val="20"/>
          <w:szCs w:val="20"/>
        </w:rPr>
        <w:t xml:space="preserve"> system dwellers in Assam. The development process involved a systematic literature review, expert consultations, and focus group discussions with members of the target community. Initially, 30 items were identified to represent key domains such as livelihood security, access to basic services, technological and institutional linkages, and adaptive capacities. Content validity was assessed by a panel of 10 subject matter experts using </w:t>
      </w:r>
      <w:proofErr w:type="spellStart"/>
      <w:r w:rsidRPr="00D74D43">
        <w:rPr>
          <w:rFonts w:ascii="Arial" w:hAnsi="Arial" w:cs="Arial"/>
          <w:color w:val="FF0000"/>
          <w:sz w:val="20"/>
          <w:szCs w:val="20"/>
        </w:rPr>
        <w:t>Lawshe’s</w:t>
      </w:r>
      <w:proofErr w:type="spellEnd"/>
      <w:r w:rsidRPr="00D74D43">
        <w:rPr>
          <w:rFonts w:ascii="Arial" w:hAnsi="Arial" w:cs="Arial"/>
          <w:color w:val="FF0000"/>
          <w:sz w:val="20"/>
          <w:szCs w:val="20"/>
        </w:rPr>
        <w:t xml:space="preserve"> method, resulting in the selection of 18 items with Content Validity Ratios (CVR) ≥ 0.62. Items with lower CVRs were either revised or excluded. The scale’s overall content validity was further supported by high Scale-level Content Validity Index (S-CVI) scores: S-CVI/UA = 0.875 and S-CVI/Ave = 0.9813, indicating strong expert agreement. The ARLFS used an 8-point scoring system for each component, ranging from 0 (indicating highest vulnerability) to 8 (indicating the most </w:t>
      </w:r>
      <w:proofErr w:type="spellStart"/>
      <w:r w:rsidRPr="00D74D43">
        <w:rPr>
          <w:rFonts w:ascii="Arial" w:hAnsi="Arial" w:cs="Arial"/>
          <w:color w:val="FF0000"/>
          <w:sz w:val="20"/>
          <w:szCs w:val="20"/>
        </w:rPr>
        <w:t>favorable</w:t>
      </w:r>
      <w:proofErr w:type="spellEnd"/>
      <w:r w:rsidRPr="00D74D43">
        <w:rPr>
          <w:rFonts w:ascii="Arial" w:hAnsi="Arial" w:cs="Arial"/>
          <w:color w:val="FF0000"/>
          <w:sz w:val="20"/>
          <w:szCs w:val="20"/>
        </w:rPr>
        <w:t xml:space="preserve"> condition). The total score reflected a household’s socio-economic vulnerability level. Face validity was ensured through expert feedback, and the scale was pilot-tested on 20 </w:t>
      </w:r>
      <w:proofErr w:type="spellStart"/>
      <w:r w:rsidRPr="00D74D43">
        <w:rPr>
          <w:rFonts w:ascii="Arial" w:hAnsi="Arial" w:cs="Arial"/>
          <w:color w:val="FF0000"/>
          <w:sz w:val="20"/>
          <w:szCs w:val="20"/>
        </w:rPr>
        <w:t>Khuti</w:t>
      </w:r>
      <w:proofErr w:type="spellEnd"/>
      <w:r w:rsidRPr="00D74D43">
        <w:rPr>
          <w:rFonts w:ascii="Arial" w:hAnsi="Arial" w:cs="Arial"/>
          <w:color w:val="FF0000"/>
          <w:sz w:val="20"/>
          <w:szCs w:val="20"/>
        </w:rPr>
        <w:t xml:space="preserve"> households to evaluate clarity, feasibility, and internal consistency. Reliability was measured using Cronbach’s alpha, with a threshold of α ≥ 0.70 considered acceptable. The results demonstrated that the ARLFS was both valid and reliable for assessing socio-economic and farming vulnerabilities among nomadic and semi-settled livestock communities in Assam. Its structured design enabled a detailed evaluation of multiple livelihood dimensions and provided a practical foundation for targeted interventions and </w:t>
      </w:r>
      <w:proofErr w:type="gramStart"/>
      <w:r w:rsidRPr="00D74D43">
        <w:rPr>
          <w:rFonts w:ascii="Arial" w:hAnsi="Arial" w:cs="Arial"/>
          <w:color w:val="FF0000"/>
          <w:sz w:val="20"/>
          <w:szCs w:val="20"/>
        </w:rPr>
        <w:t>evidence-based</w:t>
      </w:r>
      <w:proofErr w:type="gramEnd"/>
      <w:r w:rsidRPr="00D74D43">
        <w:rPr>
          <w:rFonts w:ascii="Arial" w:hAnsi="Arial" w:cs="Arial"/>
          <w:color w:val="FF0000"/>
          <w:sz w:val="20"/>
          <w:szCs w:val="20"/>
        </w:rPr>
        <w:t xml:space="preserve"> policymaking aimed at marginalized rural populations.</w:t>
      </w:r>
    </w:p>
    <w:p w:rsidR="00351CAE" w:rsidRDefault="00562751">
      <w:pPr>
        <w:spacing w:after="0" w:line="36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 xml:space="preserve">Keywords: </w:t>
      </w:r>
      <w:proofErr w:type="spellStart"/>
      <w:r>
        <w:rPr>
          <w:rFonts w:ascii="Arial" w:eastAsia="Times New Roman" w:hAnsi="Arial" w:cs="Arial"/>
          <w:sz w:val="20"/>
          <w:szCs w:val="20"/>
          <w:lang w:eastAsia="en-IN"/>
        </w:rPr>
        <w:t>Khuti</w:t>
      </w:r>
      <w:proofErr w:type="spellEnd"/>
      <w:r>
        <w:rPr>
          <w:rFonts w:ascii="Arial" w:eastAsia="Times New Roman" w:hAnsi="Arial" w:cs="Arial"/>
          <w:sz w:val="20"/>
          <w:szCs w:val="20"/>
          <w:lang w:eastAsia="en-IN"/>
        </w:rPr>
        <w:t xml:space="preserve"> System, Rural livelihood, Livestock farming, Socio-Economic Assessment, Scale validation, Assam</w:t>
      </w:r>
    </w:p>
    <w:p w:rsidR="00351CAE" w:rsidRDefault="004529FC">
      <w:pPr>
        <w:spacing w:after="0" w:line="360" w:lineRule="auto"/>
        <w:jc w:val="both"/>
        <w:rPr>
          <w:rFonts w:ascii="Arial" w:eastAsia="Times New Roman" w:hAnsi="Arial" w:cs="Arial"/>
          <w:sz w:val="24"/>
          <w:szCs w:val="24"/>
          <w:lang w:eastAsia="en-IN"/>
        </w:rPr>
      </w:pPr>
      <w:r>
        <w:rPr>
          <w:rFonts w:ascii="Arial" w:eastAsia="Times New Roman" w:hAnsi="Arial" w:cs="Arial"/>
          <w:sz w:val="24"/>
          <w:szCs w:val="24"/>
          <w:lang w:eastAsia="en-IN"/>
        </w:rPr>
        <w:pict>
          <v:rect id="_x0000_i1026" style="width:0;height:1.5pt" o:hralign="center" o:hrstd="t" o:hr="t" fillcolor="#a0a0a0" stroked="f"/>
        </w:pict>
      </w:r>
    </w:p>
    <w:p w:rsidR="00351CAE" w:rsidRDefault="00562751">
      <w:pPr>
        <w:spacing w:after="0" w:line="360" w:lineRule="auto"/>
        <w:jc w:val="both"/>
        <w:outlineLvl w:val="2"/>
        <w:rPr>
          <w:rFonts w:ascii="Arial" w:eastAsia="Times New Roman" w:hAnsi="Arial" w:cs="Arial"/>
          <w:b/>
          <w:bCs/>
          <w:lang w:eastAsia="en-IN"/>
        </w:rPr>
      </w:pPr>
      <w:r>
        <w:rPr>
          <w:rFonts w:ascii="Arial" w:eastAsia="Times New Roman" w:hAnsi="Arial" w:cs="Arial"/>
          <w:b/>
          <w:bCs/>
          <w:lang w:eastAsia="en-IN"/>
        </w:rPr>
        <w:t>1. Introduction</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lastRenderedPageBreak/>
        <w:t>Livestock farming in India has historically been an integral part of rural livelihoods, grounded in traditional ecological knowledge and regionally adapted practices</w:t>
      </w:r>
      <w:r w:rsidR="00E52443">
        <w:rPr>
          <w:rFonts w:ascii="Arial" w:hAnsi="Arial" w:cs="Arial"/>
          <w:sz w:val="20"/>
          <w:szCs w:val="20"/>
        </w:rPr>
        <w:t xml:space="preserve"> (</w:t>
      </w:r>
      <w:r w:rsidR="00613F59">
        <w:rPr>
          <w:rFonts w:ascii="Arial" w:hAnsi="Arial" w:cs="Arial"/>
          <w:color w:val="FF0000"/>
          <w:sz w:val="20"/>
          <w:szCs w:val="20"/>
        </w:rPr>
        <w:t>Banda &amp;</w:t>
      </w:r>
      <w:r w:rsidR="002553A8" w:rsidRPr="00121798">
        <w:rPr>
          <w:rFonts w:ascii="Arial" w:hAnsi="Arial" w:cs="Arial"/>
          <w:color w:val="FF0000"/>
          <w:sz w:val="20"/>
          <w:szCs w:val="20"/>
        </w:rPr>
        <w:t xml:space="preserve"> Tanganyika, 2021; </w:t>
      </w:r>
      <w:proofErr w:type="spellStart"/>
      <w:r w:rsidR="00E52443" w:rsidRPr="00121798">
        <w:rPr>
          <w:rFonts w:ascii="Arial" w:hAnsi="Arial" w:cs="Arial"/>
          <w:color w:val="FF0000"/>
          <w:sz w:val="20"/>
          <w:szCs w:val="20"/>
        </w:rPr>
        <w:t>Mukesh</w:t>
      </w:r>
      <w:proofErr w:type="spellEnd"/>
      <w:r w:rsidR="00E52443" w:rsidRPr="00121798">
        <w:rPr>
          <w:rFonts w:ascii="Arial" w:hAnsi="Arial" w:cs="Arial"/>
          <w:color w:val="FF0000"/>
          <w:sz w:val="20"/>
          <w:szCs w:val="20"/>
        </w:rPr>
        <w:t xml:space="preserve"> et al., 2022</w:t>
      </w:r>
      <w:r w:rsidR="00E52443">
        <w:rPr>
          <w:rFonts w:ascii="Arial" w:hAnsi="Arial" w:cs="Arial"/>
          <w:sz w:val="20"/>
          <w:szCs w:val="20"/>
        </w:rPr>
        <w:t>)</w:t>
      </w:r>
      <w:r>
        <w:rPr>
          <w:rFonts w:ascii="Arial" w:hAnsi="Arial" w:cs="Arial"/>
          <w:sz w:val="20"/>
          <w:szCs w:val="20"/>
        </w:rPr>
        <w:t>. In the north-eastern state of Assam, the tropical monsoon rainforest climate, with its abundant rainfall, fertile floodplains, and rich ecological diversity, has shaped a distinctive agricultural and pastoral landscape (</w:t>
      </w:r>
      <w:r w:rsidRPr="00121798">
        <w:rPr>
          <w:rFonts w:ascii="Arial" w:hAnsi="Arial" w:cs="Arial"/>
          <w:color w:val="FF0000"/>
          <w:sz w:val="20"/>
          <w:szCs w:val="20"/>
        </w:rPr>
        <w:t>De, 2021</w:t>
      </w:r>
      <w:r w:rsidR="004F4B84" w:rsidRPr="00121798">
        <w:rPr>
          <w:rFonts w:ascii="Arial" w:hAnsi="Arial" w:cs="Arial"/>
          <w:color w:val="FF0000"/>
          <w:sz w:val="20"/>
          <w:szCs w:val="20"/>
        </w:rPr>
        <w:t xml:space="preserve">; </w:t>
      </w:r>
      <w:proofErr w:type="spellStart"/>
      <w:r w:rsidR="00613F59">
        <w:rPr>
          <w:rFonts w:ascii="Arial" w:hAnsi="Arial" w:cs="Arial"/>
          <w:color w:val="FF0000"/>
          <w:sz w:val="20"/>
          <w:szCs w:val="20"/>
        </w:rPr>
        <w:t>Gogoi</w:t>
      </w:r>
      <w:proofErr w:type="spellEnd"/>
      <w:r w:rsidR="00613F59">
        <w:rPr>
          <w:rFonts w:ascii="Arial" w:hAnsi="Arial" w:cs="Arial"/>
          <w:color w:val="FF0000"/>
          <w:sz w:val="20"/>
          <w:szCs w:val="20"/>
        </w:rPr>
        <w:t xml:space="preserve"> &amp; </w:t>
      </w:r>
      <w:r w:rsidR="004F4B84" w:rsidRPr="00121798">
        <w:rPr>
          <w:rFonts w:ascii="Arial" w:hAnsi="Arial" w:cs="Arial"/>
          <w:color w:val="FF0000"/>
          <w:sz w:val="20"/>
          <w:szCs w:val="20"/>
        </w:rPr>
        <w:t>Rao, 2022</w:t>
      </w:r>
      <w:r w:rsidR="00BB6A07">
        <w:rPr>
          <w:rFonts w:ascii="Arial" w:hAnsi="Arial" w:cs="Arial"/>
          <w:color w:val="FF0000"/>
          <w:sz w:val="20"/>
          <w:szCs w:val="20"/>
        </w:rPr>
        <w:t xml:space="preserve">; </w:t>
      </w:r>
      <w:proofErr w:type="spellStart"/>
      <w:r w:rsidR="00BB6A07" w:rsidRPr="00BB6A07">
        <w:rPr>
          <w:rFonts w:ascii="Arial" w:hAnsi="Arial" w:cs="Arial"/>
          <w:color w:val="FF0000"/>
          <w:sz w:val="20"/>
          <w:szCs w:val="20"/>
        </w:rPr>
        <w:t>Upadhyay</w:t>
      </w:r>
      <w:proofErr w:type="spellEnd"/>
      <w:r w:rsidR="00BB6A07" w:rsidRPr="00BB6A07">
        <w:rPr>
          <w:rFonts w:ascii="Arial" w:hAnsi="Arial" w:cs="Arial"/>
          <w:color w:val="FF0000"/>
          <w:sz w:val="20"/>
          <w:szCs w:val="20"/>
        </w:rPr>
        <w:t xml:space="preserve"> &amp; </w:t>
      </w:r>
      <w:proofErr w:type="spellStart"/>
      <w:r w:rsidR="00BB6A07" w:rsidRPr="00BB6A07">
        <w:rPr>
          <w:rFonts w:ascii="Arial" w:hAnsi="Arial" w:cs="Arial"/>
          <w:color w:val="FF0000"/>
          <w:sz w:val="20"/>
          <w:szCs w:val="20"/>
        </w:rPr>
        <w:t>Upadhyay</w:t>
      </w:r>
      <w:proofErr w:type="spellEnd"/>
      <w:r w:rsidR="00BB6A07" w:rsidRPr="00BB6A07">
        <w:rPr>
          <w:rFonts w:ascii="Arial" w:hAnsi="Arial" w:cs="Arial"/>
          <w:color w:val="FF0000"/>
          <w:sz w:val="20"/>
          <w:szCs w:val="20"/>
        </w:rPr>
        <w:t>, 2025</w:t>
      </w:r>
      <w:r>
        <w:rPr>
          <w:rFonts w:ascii="Arial" w:hAnsi="Arial" w:cs="Arial"/>
          <w:sz w:val="20"/>
          <w:szCs w:val="20"/>
        </w:rPr>
        <w:t>). This environment has nurtured diverse livestock production systems deeply embedded in the socio-cultural identity of rural communities (</w:t>
      </w:r>
      <w:proofErr w:type="spellStart"/>
      <w:r>
        <w:rPr>
          <w:rFonts w:ascii="Arial" w:hAnsi="Arial" w:cs="Arial"/>
          <w:sz w:val="20"/>
          <w:szCs w:val="20"/>
        </w:rPr>
        <w:t>Amonge</w:t>
      </w:r>
      <w:proofErr w:type="spellEnd"/>
      <w:r>
        <w:rPr>
          <w:rFonts w:ascii="Arial" w:hAnsi="Arial" w:cs="Arial"/>
          <w:sz w:val="20"/>
          <w:szCs w:val="20"/>
        </w:rPr>
        <w:t>, 1993; Islam et al., 2017</w:t>
      </w:r>
      <w:r w:rsidR="00121798">
        <w:rPr>
          <w:rFonts w:ascii="Arial" w:hAnsi="Arial" w:cs="Arial"/>
          <w:sz w:val="20"/>
          <w:szCs w:val="20"/>
        </w:rPr>
        <w:t xml:space="preserve">; </w:t>
      </w:r>
      <w:proofErr w:type="spellStart"/>
      <w:r w:rsidR="00CA2B0F" w:rsidRPr="00CA2B0F">
        <w:rPr>
          <w:rFonts w:ascii="Arial" w:hAnsi="Arial" w:cs="Arial"/>
          <w:color w:val="FF0000"/>
          <w:sz w:val="20"/>
          <w:szCs w:val="20"/>
        </w:rPr>
        <w:t>Chetry</w:t>
      </w:r>
      <w:proofErr w:type="spellEnd"/>
      <w:r w:rsidR="00CA2B0F" w:rsidRPr="00CA2B0F">
        <w:rPr>
          <w:rFonts w:ascii="Arial" w:hAnsi="Arial" w:cs="Arial"/>
          <w:color w:val="FF0000"/>
          <w:sz w:val="20"/>
          <w:szCs w:val="20"/>
        </w:rPr>
        <w:t xml:space="preserve"> &amp; </w:t>
      </w:r>
      <w:proofErr w:type="spellStart"/>
      <w:r w:rsidR="00CA2B0F" w:rsidRPr="00CA2B0F">
        <w:rPr>
          <w:rFonts w:ascii="Arial" w:hAnsi="Arial" w:cs="Arial"/>
          <w:color w:val="FF0000"/>
          <w:sz w:val="20"/>
          <w:szCs w:val="20"/>
        </w:rPr>
        <w:t>Kar</w:t>
      </w:r>
      <w:proofErr w:type="spellEnd"/>
      <w:r w:rsidR="00CA2B0F" w:rsidRPr="00CA2B0F">
        <w:rPr>
          <w:rFonts w:ascii="Arial" w:hAnsi="Arial" w:cs="Arial"/>
          <w:color w:val="FF0000"/>
          <w:sz w:val="20"/>
          <w:szCs w:val="20"/>
        </w:rPr>
        <w:t>, 2020</w:t>
      </w:r>
      <w:r w:rsidR="00CA2B0F">
        <w:rPr>
          <w:rFonts w:ascii="Arial" w:hAnsi="Arial" w:cs="Arial"/>
          <w:sz w:val="20"/>
          <w:szCs w:val="20"/>
        </w:rPr>
        <w:t xml:space="preserve">; </w:t>
      </w:r>
      <w:proofErr w:type="spellStart"/>
      <w:r w:rsidR="00121798" w:rsidRPr="00613F59">
        <w:rPr>
          <w:rFonts w:ascii="Arial" w:hAnsi="Arial" w:cs="Arial"/>
          <w:color w:val="FF0000"/>
          <w:sz w:val="20"/>
          <w:szCs w:val="20"/>
        </w:rPr>
        <w:t>Sarma</w:t>
      </w:r>
      <w:proofErr w:type="spellEnd"/>
      <w:r w:rsidR="00121798" w:rsidRPr="00613F59">
        <w:rPr>
          <w:rFonts w:ascii="Arial" w:hAnsi="Arial" w:cs="Arial"/>
          <w:color w:val="FF0000"/>
          <w:sz w:val="20"/>
          <w:szCs w:val="20"/>
        </w:rPr>
        <w:t xml:space="preserve"> et al, 2025</w:t>
      </w:r>
      <w:r>
        <w:rPr>
          <w:rFonts w:ascii="Arial" w:hAnsi="Arial" w:cs="Arial"/>
          <w:sz w:val="20"/>
          <w:szCs w:val="20"/>
        </w:rPr>
        <w:t xml:space="preserve">). Among these are intensive, semi-intensive, and extensive models, along with the uniquely Assamese </w:t>
      </w:r>
      <w:proofErr w:type="spellStart"/>
      <w:r>
        <w:rPr>
          <w:rStyle w:val="Emphasis"/>
          <w:rFonts w:ascii="Arial" w:hAnsi="Arial" w:cs="Arial"/>
          <w:i w:val="0"/>
          <w:sz w:val="20"/>
          <w:szCs w:val="20"/>
        </w:rPr>
        <w:t>Khuti</w:t>
      </w:r>
      <w:proofErr w:type="spellEnd"/>
      <w:r>
        <w:rPr>
          <w:rFonts w:ascii="Arial" w:hAnsi="Arial" w:cs="Arial"/>
          <w:sz w:val="20"/>
          <w:szCs w:val="20"/>
        </w:rPr>
        <w:t xml:space="preserve"> system, a traditional open herding method involving seasonal migration, indigenous veterinary practices, and communal use of natural resources (</w:t>
      </w:r>
      <w:proofErr w:type="spellStart"/>
      <w:r>
        <w:rPr>
          <w:rFonts w:ascii="Arial" w:hAnsi="Arial" w:cs="Arial"/>
          <w:sz w:val="20"/>
          <w:szCs w:val="20"/>
        </w:rPr>
        <w:t>Komor</w:t>
      </w:r>
      <w:proofErr w:type="spellEnd"/>
      <w:r w:rsidR="00613F59">
        <w:rPr>
          <w:rFonts w:ascii="Arial" w:hAnsi="Arial" w:cs="Arial"/>
          <w:sz w:val="20"/>
          <w:szCs w:val="20"/>
        </w:rPr>
        <w:t xml:space="preserve"> &amp; Borah, 2015; </w:t>
      </w:r>
      <w:proofErr w:type="spellStart"/>
      <w:r w:rsidR="00613F59">
        <w:rPr>
          <w:rFonts w:ascii="Arial" w:hAnsi="Arial" w:cs="Arial"/>
          <w:sz w:val="20"/>
          <w:szCs w:val="20"/>
        </w:rPr>
        <w:t>Chetry</w:t>
      </w:r>
      <w:proofErr w:type="spellEnd"/>
      <w:r w:rsidR="00613F59">
        <w:rPr>
          <w:rFonts w:ascii="Arial" w:hAnsi="Arial" w:cs="Arial"/>
          <w:sz w:val="20"/>
          <w:szCs w:val="20"/>
        </w:rPr>
        <w:t xml:space="preserve"> &amp;</w:t>
      </w:r>
      <w:r>
        <w:rPr>
          <w:rFonts w:ascii="Arial" w:hAnsi="Arial" w:cs="Arial"/>
          <w:sz w:val="20"/>
          <w:szCs w:val="20"/>
        </w:rPr>
        <w:t xml:space="preserve"> </w:t>
      </w:r>
      <w:proofErr w:type="spellStart"/>
      <w:r>
        <w:rPr>
          <w:rFonts w:ascii="Arial" w:hAnsi="Arial" w:cs="Arial"/>
          <w:sz w:val="20"/>
          <w:szCs w:val="20"/>
        </w:rPr>
        <w:t>Kar</w:t>
      </w:r>
      <w:proofErr w:type="spellEnd"/>
      <w:r>
        <w:rPr>
          <w:rFonts w:ascii="Arial" w:hAnsi="Arial" w:cs="Arial"/>
          <w:sz w:val="20"/>
          <w:szCs w:val="20"/>
        </w:rPr>
        <w:t xml:space="preserve">, 2021; </w:t>
      </w:r>
      <w:proofErr w:type="spellStart"/>
      <w:r>
        <w:rPr>
          <w:rFonts w:ascii="Arial" w:hAnsi="Arial" w:cs="Arial"/>
          <w:sz w:val="20"/>
          <w:szCs w:val="20"/>
        </w:rPr>
        <w:t>Gogoi</w:t>
      </w:r>
      <w:proofErr w:type="spellEnd"/>
      <w:r>
        <w:rPr>
          <w:rFonts w:ascii="Arial" w:hAnsi="Arial" w:cs="Arial"/>
          <w:sz w:val="20"/>
          <w:szCs w:val="20"/>
        </w:rPr>
        <w:t xml:space="preserve"> et al., 2025). These systems rely on regionally adapted indigenous breeds such as </w:t>
      </w:r>
      <w:proofErr w:type="spellStart"/>
      <w:r>
        <w:rPr>
          <w:rFonts w:ascii="Arial" w:hAnsi="Arial" w:cs="Arial"/>
          <w:sz w:val="20"/>
          <w:szCs w:val="20"/>
        </w:rPr>
        <w:t>Luit</w:t>
      </w:r>
      <w:proofErr w:type="spellEnd"/>
      <w:r>
        <w:rPr>
          <w:rFonts w:ascii="Arial" w:hAnsi="Arial" w:cs="Arial"/>
          <w:sz w:val="20"/>
          <w:szCs w:val="20"/>
        </w:rPr>
        <w:t xml:space="preserve"> and </w:t>
      </w:r>
      <w:proofErr w:type="spellStart"/>
      <w:r>
        <w:rPr>
          <w:rFonts w:ascii="Arial" w:hAnsi="Arial" w:cs="Arial"/>
          <w:sz w:val="20"/>
          <w:szCs w:val="20"/>
        </w:rPr>
        <w:t>Manah</w:t>
      </w:r>
      <w:proofErr w:type="spellEnd"/>
      <w:r>
        <w:rPr>
          <w:rFonts w:ascii="Arial" w:hAnsi="Arial" w:cs="Arial"/>
          <w:sz w:val="20"/>
          <w:szCs w:val="20"/>
        </w:rPr>
        <w:t xml:space="preserve"> buffalo, </w:t>
      </w:r>
      <w:proofErr w:type="spellStart"/>
      <w:r>
        <w:rPr>
          <w:rFonts w:ascii="Arial" w:hAnsi="Arial" w:cs="Arial"/>
          <w:sz w:val="20"/>
          <w:szCs w:val="20"/>
        </w:rPr>
        <w:t>Lakhimi</w:t>
      </w:r>
      <w:proofErr w:type="spellEnd"/>
      <w:r>
        <w:rPr>
          <w:rFonts w:ascii="Arial" w:hAnsi="Arial" w:cs="Arial"/>
          <w:sz w:val="20"/>
          <w:szCs w:val="20"/>
        </w:rPr>
        <w:t xml:space="preserve"> cattle, Assam Hill goat, Bengal Goat, indigenous pigs, and </w:t>
      </w:r>
      <w:proofErr w:type="spellStart"/>
      <w:r>
        <w:rPr>
          <w:rFonts w:ascii="Arial" w:hAnsi="Arial" w:cs="Arial"/>
          <w:sz w:val="20"/>
          <w:szCs w:val="20"/>
        </w:rPr>
        <w:t>Pati</w:t>
      </w:r>
      <w:proofErr w:type="spellEnd"/>
      <w:r>
        <w:rPr>
          <w:rFonts w:ascii="Arial" w:hAnsi="Arial" w:cs="Arial"/>
          <w:sz w:val="20"/>
          <w:szCs w:val="20"/>
        </w:rPr>
        <w:t xml:space="preserve"> duck, which contribute substantially to both biodiversity and rural economies (</w:t>
      </w:r>
      <w:r w:rsidR="00613F59" w:rsidRPr="00A57728">
        <w:rPr>
          <w:rFonts w:ascii="Arial" w:hAnsi="Arial" w:cs="Arial"/>
          <w:color w:val="FF0000"/>
          <w:sz w:val="20"/>
          <w:szCs w:val="20"/>
        </w:rPr>
        <w:t>NBAGR, 2017</w:t>
      </w:r>
      <w:r w:rsidR="00613F59">
        <w:rPr>
          <w:rFonts w:ascii="Arial" w:hAnsi="Arial" w:cs="Arial"/>
          <w:sz w:val="20"/>
          <w:szCs w:val="20"/>
        </w:rPr>
        <w:t>;</w:t>
      </w:r>
      <w:r w:rsidR="00613F59" w:rsidRPr="00613F59">
        <w:rPr>
          <w:rFonts w:ascii="Arial" w:hAnsi="Arial" w:cs="Arial"/>
          <w:sz w:val="20"/>
          <w:szCs w:val="20"/>
        </w:rPr>
        <w:t xml:space="preserve"> </w:t>
      </w:r>
      <w:proofErr w:type="spellStart"/>
      <w:r>
        <w:rPr>
          <w:rFonts w:ascii="Arial" w:hAnsi="Arial" w:cs="Arial"/>
          <w:sz w:val="20"/>
          <w:szCs w:val="20"/>
        </w:rPr>
        <w:t>Kadirvel</w:t>
      </w:r>
      <w:proofErr w:type="spellEnd"/>
      <w:r>
        <w:rPr>
          <w:rFonts w:ascii="Arial" w:hAnsi="Arial" w:cs="Arial"/>
          <w:sz w:val="20"/>
          <w:szCs w:val="20"/>
        </w:rPr>
        <w:t xml:space="preserve"> et al., 2019; </w:t>
      </w:r>
      <w:r w:rsidR="00B17C80" w:rsidRPr="00975B0C">
        <w:rPr>
          <w:rFonts w:ascii="Arial" w:hAnsi="Arial" w:cs="Arial"/>
          <w:color w:val="FF0000"/>
          <w:sz w:val="20"/>
          <w:szCs w:val="20"/>
        </w:rPr>
        <w:t xml:space="preserve">Islam et al., 2024; </w:t>
      </w:r>
      <w:proofErr w:type="spellStart"/>
      <w:r w:rsidRPr="00975B0C">
        <w:rPr>
          <w:rFonts w:ascii="Arial" w:hAnsi="Arial" w:cs="Arial"/>
          <w:color w:val="FF0000"/>
          <w:sz w:val="20"/>
          <w:szCs w:val="20"/>
        </w:rPr>
        <w:t>Sarma</w:t>
      </w:r>
      <w:proofErr w:type="spellEnd"/>
      <w:r w:rsidR="00B17C80" w:rsidRPr="00975B0C">
        <w:rPr>
          <w:rFonts w:ascii="Arial" w:hAnsi="Arial" w:cs="Arial"/>
          <w:color w:val="FF0000"/>
          <w:sz w:val="20"/>
          <w:szCs w:val="20"/>
        </w:rPr>
        <w:t xml:space="preserve"> </w:t>
      </w:r>
      <w:r w:rsidRPr="00975B0C">
        <w:rPr>
          <w:rFonts w:ascii="Arial" w:hAnsi="Arial" w:cs="Arial"/>
          <w:color w:val="FF0000"/>
          <w:sz w:val="20"/>
          <w:szCs w:val="20"/>
        </w:rPr>
        <w:t>et al., 2025</w:t>
      </w:r>
      <w:r w:rsidR="00AB7AA4" w:rsidRPr="00975B0C">
        <w:rPr>
          <w:rFonts w:ascii="Arial" w:hAnsi="Arial" w:cs="Arial"/>
          <w:color w:val="FF0000"/>
          <w:sz w:val="20"/>
          <w:szCs w:val="20"/>
        </w:rPr>
        <w:t>;</w:t>
      </w:r>
      <w:r w:rsidR="00AB7AA4">
        <w:rPr>
          <w:rFonts w:ascii="Arial" w:hAnsi="Arial" w:cs="Arial"/>
          <w:sz w:val="20"/>
          <w:szCs w:val="20"/>
        </w:rPr>
        <w:t xml:space="preserve"> </w:t>
      </w:r>
      <w:r w:rsidR="00AB7AA4" w:rsidRPr="00CC792B">
        <w:rPr>
          <w:rFonts w:ascii="Arial" w:hAnsi="Arial" w:cs="Arial"/>
          <w:color w:val="FF0000"/>
          <w:sz w:val="20"/>
          <w:szCs w:val="20"/>
        </w:rPr>
        <w:t>NBAGR, 2025</w:t>
      </w:r>
      <w:r>
        <w:rPr>
          <w:rFonts w:ascii="Arial" w:hAnsi="Arial" w:cs="Arial"/>
          <w:sz w:val="20"/>
          <w:szCs w:val="20"/>
        </w:rPr>
        <w:t>).</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However, these traditional systems are under growing pressure from environmental and socio-economic challenges</w:t>
      </w:r>
      <w:r w:rsidR="002655E1">
        <w:rPr>
          <w:rFonts w:ascii="Arial" w:hAnsi="Arial" w:cs="Arial"/>
          <w:sz w:val="20"/>
          <w:szCs w:val="20"/>
        </w:rPr>
        <w:t xml:space="preserve"> (</w:t>
      </w:r>
      <w:r w:rsidR="002655E1" w:rsidRPr="002655E1">
        <w:rPr>
          <w:rFonts w:ascii="Arial" w:hAnsi="Arial" w:cs="Arial"/>
          <w:color w:val="FF0000"/>
          <w:sz w:val="20"/>
          <w:szCs w:val="20"/>
        </w:rPr>
        <w:t>Gómez-</w:t>
      </w:r>
      <w:proofErr w:type="spellStart"/>
      <w:r w:rsidR="002655E1" w:rsidRPr="002655E1">
        <w:rPr>
          <w:rFonts w:ascii="Arial" w:hAnsi="Arial" w:cs="Arial"/>
          <w:color w:val="FF0000"/>
          <w:sz w:val="20"/>
          <w:szCs w:val="20"/>
        </w:rPr>
        <w:t>Baggethun</w:t>
      </w:r>
      <w:proofErr w:type="spellEnd"/>
      <w:r w:rsidR="002655E1" w:rsidRPr="002655E1">
        <w:rPr>
          <w:rFonts w:ascii="Arial" w:hAnsi="Arial" w:cs="Arial"/>
          <w:color w:val="FF0000"/>
          <w:sz w:val="20"/>
          <w:szCs w:val="20"/>
        </w:rPr>
        <w:t xml:space="preserve"> et al., 2013; </w:t>
      </w:r>
      <w:proofErr w:type="spellStart"/>
      <w:r w:rsidR="002655E1" w:rsidRPr="002655E1">
        <w:rPr>
          <w:rFonts w:ascii="Arial" w:hAnsi="Arial" w:cs="Arial"/>
          <w:color w:val="FF0000"/>
          <w:sz w:val="20"/>
          <w:szCs w:val="20"/>
        </w:rPr>
        <w:t>Bretschger</w:t>
      </w:r>
      <w:proofErr w:type="spellEnd"/>
      <w:r w:rsidR="002655E1" w:rsidRPr="002655E1">
        <w:rPr>
          <w:rFonts w:ascii="Arial" w:hAnsi="Arial" w:cs="Arial"/>
          <w:color w:val="FF0000"/>
          <w:sz w:val="20"/>
          <w:szCs w:val="20"/>
        </w:rPr>
        <w:t xml:space="preserve"> &amp; </w:t>
      </w:r>
      <w:proofErr w:type="spellStart"/>
      <w:r w:rsidR="002655E1" w:rsidRPr="002655E1">
        <w:rPr>
          <w:rFonts w:ascii="Arial" w:hAnsi="Arial" w:cs="Arial"/>
          <w:color w:val="FF0000"/>
          <w:sz w:val="20"/>
          <w:szCs w:val="20"/>
        </w:rPr>
        <w:t>Pittel</w:t>
      </w:r>
      <w:proofErr w:type="spellEnd"/>
      <w:r w:rsidR="002655E1" w:rsidRPr="002655E1">
        <w:rPr>
          <w:rFonts w:ascii="Arial" w:hAnsi="Arial" w:cs="Arial"/>
          <w:color w:val="FF0000"/>
          <w:sz w:val="20"/>
          <w:szCs w:val="20"/>
        </w:rPr>
        <w:t xml:space="preserve">, 2020; </w:t>
      </w:r>
      <w:proofErr w:type="spellStart"/>
      <w:r w:rsidR="002655E1" w:rsidRPr="002655E1">
        <w:rPr>
          <w:rFonts w:ascii="Arial" w:hAnsi="Arial" w:cs="Arial"/>
          <w:color w:val="FF0000"/>
          <w:sz w:val="20"/>
          <w:szCs w:val="20"/>
        </w:rPr>
        <w:t>Farghali</w:t>
      </w:r>
      <w:proofErr w:type="spellEnd"/>
      <w:r w:rsidR="002655E1" w:rsidRPr="002655E1">
        <w:rPr>
          <w:rFonts w:ascii="Arial" w:hAnsi="Arial" w:cs="Arial"/>
          <w:color w:val="FF0000"/>
          <w:sz w:val="20"/>
          <w:szCs w:val="20"/>
        </w:rPr>
        <w:t xml:space="preserve"> et al., 2023</w:t>
      </w:r>
      <w:r w:rsidR="000B5DF8">
        <w:rPr>
          <w:rFonts w:ascii="Arial" w:hAnsi="Arial" w:cs="Arial"/>
          <w:color w:val="FF0000"/>
          <w:sz w:val="20"/>
          <w:szCs w:val="20"/>
        </w:rPr>
        <w:t xml:space="preserve">; </w:t>
      </w:r>
      <w:proofErr w:type="spellStart"/>
      <w:r w:rsidR="000B5DF8" w:rsidRPr="000B5DF8">
        <w:rPr>
          <w:rFonts w:ascii="Arial" w:hAnsi="Arial" w:cs="Arial"/>
          <w:color w:val="FF0000"/>
          <w:sz w:val="20"/>
          <w:szCs w:val="20"/>
        </w:rPr>
        <w:t>Gogoi</w:t>
      </w:r>
      <w:proofErr w:type="spellEnd"/>
      <w:r w:rsidR="000B5DF8" w:rsidRPr="000B5DF8">
        <w:rPr>
          <w:rFonts w:ascii="Arial" w:hAnsi="Arial" w:cs="Arial"/>
          <w:color w:val="FF0000"/>
          <w:sz w:val="20"/>
          <w:szCs w:val="20"/>
        </w:rPr>
        <w:t>, et al., 2023</w:t>
      </w:r>
      <w:r w:rsidR="002655E1" w:rsidRPr="000B5DF8">
        <w:rPr>
          <w:rFonts w:ascii="Arial" w:hAnsi="Arial" w:cs="Arial"/>
          <w:color w:val="FF0000"/>
          <w:sz w:val="20"/>
          <w:szCs w:val="20"/>
        </w:rPr>
        <w:t>)</w:t>
      </w:r>
      <w:r>
        <w:rPr>
          <w:rFonts w:ascii="Arial" w:hAnsi="Arial" w:cs="Arial"/>
          <w:sz w:val="20"/>
          <w:szCs w:val="20"/>
        </w:rPr>
        <w:t>. Climate-induced events such as recurrent floods, riverbank erosion, and seasonal variability threaten the stability of livestock production</w:t>
      </w:r>
      <w:r w:rsidR="00172E3C">
        <w:rPr>
          <w:rFonts w:ascii="Arial" w:hAnsi="Arial" w:cs="Arial"/>
          <w:sz w:val="20"/>
          <w:szCs w:val="20"/>
        </w:rPr>
        <w:t xml:space="preserve"> (</w:t>
      </w:r>
      <w:r w:rsidR="00172E3C" w:rsidRPr="00172E3C">
        <w:rPr>
          <w:rFonts w:ascii="Arial" w:hAnsi="Arial" w:cs="Arial"/>
          <w:color w:val="FF0000"/>
          <w:sz w:val="20"/>
          <w:szCs w:val="20"/>
        </w:rPr>
        <w:t>Borah et</w:t>
      </w:r>
      <w:r w:rsidR="00172E3C">
        <w:rPr>
          <w:rFonts w:ascii="Arial" w:hAnsi="Arial" w:cs="Arial"/>
          <w:color w:val="FF0000"/>
          <w:sz w:val="20"/>
          <w:szCs w:val="20"/>
        </w:rPr>
        <w:t xml:space="preserve"> al, 2022; </w:t>
      </w:r>
      <w:proofErr w:type="spellStart"/>
      <w:r w:rsidR="00172E3C" w:rsidRPr="00172E3C">
        <w:rPr>
          <w:rFonts w:ascii="Arial" w:hAnsi="Arial" w:cs="Arial"/>
          <w:color w:val="FF0000"/>
          <w:sz w:val="20"/>
          <w:szCs w:val="20"/>
        </w:rPr>
        <w:t>Saikia</w:t>
      </w:r>
      <w:proofErr w:type="spellEnd"/>
      <w:r w:rsidR="00172E3C" w:rsidRPr="00172E3C">
        <w:rPr>
          <w:rFonts w:ascii="Arial" w:hAnsi="Arial" w:cs="Arial"/>
          <w:color w:val="FF0000"/>
          <w:sz w:val="20"/>
          <w:szCs w:val="20"/>
        </w:rPr>
        <w:t xml:space="preserve"> &amp; </w:t>
      </w:r>
      <w:proofErr w:type="spellStart"/>
      <w:r w:rsidR="00172E3C" w:rsidRPr="00172E3C">
        <w:rPr>
          <w:rFonts w:ascii="Arial" w:hAnsi="Arial" w:cs="Arial"/>
          <w:color w:val="FF0000"/>
          <w:sz w:val="20"/>
          <w:szCs w:val="20"/>
        </w:rPr>
        <w:t>Mahanta</w:t>
      </w:r>
      <w:proofErr w:type="spellEnd"/>
      <w:r w:rsidR="00172E3C" w:rsidRPr="00172E3C">
        <w:rPr>
          <w:rFonts w:ascii="Arial" w:hAnsi="Arial" w:cs="Arial"/>
          <w:color w:val="FF0000"/>
          <w:sz w:val="20"/>
          <w:szCs w:val="20"/>
        </w:rPr>
        <w:t>, 2024</w:t>
      </w:r>
      <w:r w:rsidR="00172E3C">
        <w:rPr>
          <w:rFonts w:ascii="Arial" w:hAnsi="Arial" w:cs="Arial"/>
          <w:sz w:val="20"/>
          <w:szCs w:val="20"/>
        </w:rPr>
        <w:t>)</w:t>
      </w:r>
      <w:r>
        <w:rPr>
          <w:rFonts w:ascii="Arial" w:hAnsi="Arial" w:cs="Arial"/>
          <w:sz w:val="20"/>
          <w:szCs w:val="20"/>
        </w:rPr>
        <w:t xml:space="preserve">. </w:t>
      </w:r>
      <w:r w:rsidR="00172E3C">
        <w:rPr>
          <w:rFonts w:ascii="Arial" w:hAnsi="Arial" w:cs="Arial"/>
          <w:sz w:val="20"/>
          <w:szCs w:val="20"/>
        </w:rPr>
        <w:t xml:space="preserve">Concurrently, livestock farmers, </w:t>
      </w:r>
      <w:r>
        <w:rPr>
          <w:rFonts w:ascii="Arial" w:hAnsi="Arial" w:cs="Arial"/>
          <w:sz w:val="20"/>
          <w:szCs w:val="20"/>
        </w:rPr>
        <w:t xml:space="preserve">particularly nomadic and semi-nomadic </w:t>
      </w:r>
      <w:proofErr w:type="spellStart"/>
      <w:r>
        <w:rPr>
          <w:rStyle w:val="Emphasis"/>
          <w:rFonts w:ascii="Arial" w:hAnsi="Arial" w:cs="Arial"/>
          <w:i w:val="0"/>
          <w:sz w:val="20"/>
          <w:szCs w:val="20"/>
        </w:rPr>
        <w:t>Khuti</w:t>
      </w:r>
      <w:proofErr w:type="spellEnd"/>
      <w:r w:rsidR="00172E3C">
        <w:rPr>
          <w:rFonts w:ascii="Arial" w:hAnsi="Arial" w:cs="Arial"/>
          <w:sz w:val="20"/>
          <w:szCs w:val="20"/>
        </w:rPr>
        <w:t xml:space="preserve"> dwellers, </w:t>
      </w:r>
      <w:r>
        <w:rPr>
          <w:rFonts w:ascii="Arial" w:hAnsi="Arial" w:cs="Arial"/>
          <w:sz w:val="20"/>
          <w:szCs w:val="20"/>
        </w:rPr>
        <w:t>face limited access to veterinary care, formal education, land tenure security, infrastructure, legal identity, and institutional credit, which compound their vuln</w:t>
      </w:r>
      <w:r w:rsidR="003A291E">
        <w:rPr>
          <w:rFonts w:ascii="Arial" w:hAnsi="Arial" w:cs="Arial"/>
          <w:sz w:val="20"/>
          <w:szCs w:val="20"/>
        </w:rPr>
        <w:t>erability (</w:t>
      </w:r>
      <w:proofErr w:type="spellStart"/>
      <w:r>
        <w:rPr>
          <w:rFonts w:ascii="Arial" w:hAnsi="Arial" w:cs="Arial"/>
          <w:sz w:val="20"/>
          <w:szCs w:val="20"/>
        </w:rPr>
        <w:t>Verma</w:t>
      </w:r>
      <w:proofErr w:type="spellEnd"/>
      <w:r>
        <w:rPr>
          <w:rFonts w:ascii="Arial" w:hAnsi="Arial" w:cs="Arial"/>
          <w:sz w:val="20"/>
          <w:szCs w:val="20"/>
        </w:rPr>
        <w:t xml:space="preserve"> et al., 2019; </w:t>
      </w:r>
      <w:proofErr w:type="spellStart"/>
      <w:r w:rsidR="000D4A42" w:rsidRPr="000D4A42">
        <w:rPr>
          <w:rFonts w:ascii="Arial" w:hAnsi="Arial" w:cs="Arial"/>
          <w:color w:val="FF0000"/>
          <w:sz w:val="20"/>
          <w:szCs w:val="20"/>
        </w:rPr>
        <w:t>Kalogiannidis</w:t>
      </w:r>
      <w:proofErr w:type="spellEnd"/>
      <w:r w:rsidR="000D4A42" w:rsidRPr="000D4A42">
        <w:rPr>
          <w:rFonts w:ascii="Arial" w:hAnsi="Arial" w:cs="Arial"/>
          <w:color w:val="FF0000"/>
          <w:sz w:val="20"/>
          <w:szCs w:val="20"/>
        </w:rPr>
        <w:t xml:space="preserve">, 2023; </w:t>
      </w:r>
      <w:r w:rsidRPr="000D4A42">
        <w:rPr>
          <w:rFonts w:ascii="Arial" w:hAnsi="Arial" w:cs="Arial"/>
          <w:color w:val="FF0000"/>
          <w:sz w:val="20"/>
          <w:szCs w:val="20"/>
        </w:rPr>
        <w:t>Vyas</w:t>
      </w:r>
      <w:r>
        <w:rPr>
          <w:rFonts w:ascii="Arial" w:hAnsi="Arial" w:cs="Arial"/>
          <w:sz w:val="20"/>
          <w:szCs w:val="20"/>
        </w:rPr>
        <w:t>, 2024).</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Over the years, several socio-economic assessment tools have been developed and widely applied in India, including the </w:t>
      </w:r>
      <w:proofErr w:type="spellStart"/>
      <w:r>
        <w:rPr>
          <w:rStyle w:val="Strong"/>
          <w:rFonts w:ascii="Arial" w:hAnsi="Arial" w:cs="Arial"/>
          <w:b w:val="0"/>
          <w:sz w:val="20"/>
          <w:szCs w:val="20"/>
        </w:rPr>
        <w:t>Kuppuswamy</w:t>
      </w:r>
      <w:proofErr w:type="spellEnd"/>
      <w:r>
        <w:rPr>
          <w:rStyle w:val="Strong"/>
          <w:rFonts w:ascii="Arial" w:hAnsi="Arial" w:cs="Arial"/>
          <w:b w:val="0"/>
          <w:sz w:val="20"/>
          <w:szCs w:val="20"/>
        </w:rPr>
        <w:t xml:space="preserve"> Scale</w:t>
      </w:r>
      <w:r>
        <w:rPr>
          <w:rFonts w:ascii="Arial" w:hAnsi="Arial" w:cs="Arial"/>
          <w:sz w:val="20"/>
          <w:szCs w:val="20"/>
        </w:rPr>
        <w:t xml:space="preserve"> (</w:t>
      </w:r>
      <w:proofErr w:type="spellStart"/>
      <w:r>
        <w:rPr>
          <w:rFonts w:ascii="Arial" w:hAnsi="Arial" w:cs="Arial"/>
          <w:sz w:val="20"/>
          <w:szCs w:val="20"/>
        </w:rPr>
        <w:t>Kuppuswamy</w:t>
      </w:r>
      <w:proofErr w:type="spellEnd"/>
      <w:r>
        <w:rPr>
          <w:rFonts w:ascii="Arial" w:hAnsi="Arial" w:cs="Arial"/>
          <w:sz w:val="20"/>
          <w:szCs w:val="20"/>
        </w:rPr>
        <w:t xml:space="preserve">, 1976), </w:t>
      </w:r>
      <w:r>
        <w:rPr>
          <w:rStyle w:val="Strong"/>
          <w:rFonts w:ascii="Arial" w:hAnsi="Arial" w:cs="Arial"/>
          <w:b w:val="0"/>
          <w:sz w:val="20"/>
          <w:szCs w:val="20"/>
        </w:rPr>
        <w:t>BG Prasad Scale</w:t>
      </w:r>
      <w:r>
        <w:rPr>
          <w:rFonts w:ascii="Arial" w:hAnsi="Arial" w:cs="Arial"/>
          <w:sz w:val="20"/>
          <w:szCs w:val="20"/>
        </w:rPr>
        <w:t xml:space="preserve"> (Prasad, 1961), </w:t>
      </w:r>
      <w:proofErr w:type="spellStart"/>
      <w:r>
        <w:rPr>
          <w:rStyle w:val="Strong"/>
          <w:rFonts w:ascii="Arial" w:hAnsi="Arial" w:cs="Arial"/>
          <w:b w:val="0"/>
          <w:sz w:val="20"/>
          <w:szCs w:val="20"/>
        </w:rPr>
        <w:t>UdaiPareekh</w:t>
      </w:r>
      <w:proofErr w:type="spellEnd"/>
      <w:r>
        <w:rPr>
          <w:rStyle w:val="Strong"/>
          <w:rFonts w:ascii="Arial" w:hAnsi="Arial" w:cs="Arial"/>
          <w:b w:val="0"/>
          <w:sz w:val="20"/>
          <w:szCs w:val="20"/>
        </w:rPr>
        <w:t xml:space="preserve"> Scale</w:t>
      </w:r>
      <w:r>
        <w:rPr>
          <w:rFonts w:ascii="Arial" w:hAnsi="Arial" w:cs="Arial"/>
          <w:sz w:val="20"/>
          <w:szCs w:val="20"/>
        </w:rPr>
        <w:t xml:space="preserve"> (</w:t>
      </w:r>
      <w:proofErr w:type="spellStart"/>
      <w:r>
        <w:rPr>
          <w:rFonts w:ascii="Arial" w:hAnsi="Arial" w:cs="Arial"/>
          <w:sz w:val="20"/>
          <w:szCs w:val="20"/>
        </w:rPr>
        <w:t>Pareekh</w:t>
      </w:r>
      <w:proofErr w:type="spellEnd"/>
      <w:r>
        <w:rPr>
          <w:rFonts w:ascii="Arial" w:hAnsi="Arial" w:cs="Arial"/>
          <w:sz w:val="20"/>
          <w:szCs w:val="20"/>
        </w:rPr>
        <w:t xml:space="preserve">, 1964), </w:t>
      </w:r>
      <w:r>
        <w:rPr>
          <w:rFonts w:ascii="Arial" w:hAnsi="Arial" w:cs="Arial"/>
          <w:bCs/>
          <w:sz w:val="20"/>
          <w:szCs w:val="20"/>
        </w:rPr>
        <w:t>Aggarwal’s</w:t>
      </w:r>
      <w:r>
        <w:rPr>
          <w:rFonts w:ascii="Arial" w:hAnsi="Arial" w:cs="Arial"/>
          <w:sz w:val="20"/>
          <w:szCs w:val="20"/>
        </w:rPr>
        <w:t xml:space="preserve"> scale (Aggarwal et al., 2005) and the </w:t>
      </w:r>
      <w:r>
        <w:rPr>
          <w:rStyle w:val="Strong"/>
          <w:rFonts w:ascii="Arial" w:hAnsi="Arial" w:cs="Arial"/>
          <w:b w:val="0"/>
          <w:sz w:val="20"/>
          <w:szCs w:val="20"/>
        </w:rPr>
        <w:t>NFHS Wealth Index</w:t>
      </w:r>
      <w:r>
        <w:rPr>
          <w:rFonts w:ascii="Arial" w:hAnsi="Arial" w:cs="Arial"/>
          <w:sz w:val="20"/>
          <w:szCs w:val="20"/>
        </w:rPr>
        <w:t xml:space="preserve"> (IIPS &amp; ICF, 2021). While useful in their respective domains, these t</w:t>
      </w:r>
      <w:r w:rsidR="000D4A42">
        <w:rPr>
          <w:rFonts w:ascii="Arial" w:hAnsi="Arial" w:cs="Arial"/>
          <w:sz w:val="20"/>
          <w:szCs w:val="20"/>
        </w:rPr>
        <w:t xml:space="preserve">ools are often limited in scope, </w:t>
      </w:r>
      <w:r>
        <w:rPr>
          <w:rFonts w:ascii="Arial" w:hAnsi="Arial" w:cs="Arial"/>
          <w:sz w:val="20"/>
          <w:szCs w:val="20"/>
        </w:rPr>
        <w:t>being primarily urban-centric, income-focused, or unable to</w:t>
      </w:r>
      <w:r w:rsidR="000D4A42">
        <w:rPr>
          <w:rFonts w:ascii="Arial" w:hAnsi="Arial" w:cs="Arial"/>
          <w:sz w:val="20"/>
          <w:szCs w:val="20"/>
        </w:rPr>
        <w:t xml:space="preserve"> reflect the complex, community, </w:t>
      </w:r>
      <w:r>
        <w:rPr>
          <w:rFonts w:ascii="Arial" w:hAnsi="Arial" w:cs="Arial"/>
          <w:sz w:val="20"/>
          <w:szCs w:val="20"/>
        </w:rPr>
        <w:t>based dynamics of rural and nomadic livestock livelihoods</w:t>
      </w:r>
      <w:r w:rsidR="008B2D9E">
        <w:rPr>
          <w:rFonts w:ascii="Arial" w:hAnsi="Arial" w:cs="Arial"/>
          <w:sz w:val="20"/>
          <w:szCs w:val="20"/>
        </w:rPr>
        <w:t xml:space="preserve"> (</w:t>
      </w:r>
      <w:proofErr w:type="spellStart"/>
      <w:r w:rsidR="008B2D9E" w:rsidRPr="00594611">
        <w:rPr>
          <w:rFonts w:ascii="Arial" w:hAnsi="Arial" w:cs="Arial"/>
          <w:color w:val="FF0000"/>
          <w:sz w:val="20"/>
          <w:szCs w:val="20"/>
        </w:rPr>
        <w:t>Alkire</w:t>
      </w:r>
      <w:proofErr w:type="spellEnd"/>
      <w:r w:rsidR="008B2D9E" w:rsidRPr="00594611">
        <w:rPr>
          <w:rFonts w:ascii="Arial" w:hAnsi="Arial" w:cs="Arial"/>
          <w:color w:val="FF0000"/>
          <w:sz w:val="20"/>
          <w:szCs w:val="20"/>
        </w:rPr>
        <w:t xml:space="preserve"> &amp; Foster, 2011</w:t>
      </w:r>
      <w:r w:rsidR="00113C36">
        <w:rPr>
          <w:rFonts w:ascii="Arial" w:hAnsi="Arial" w:cs="Arial"/>
          <w:color w:val="FF0000"/>
          <w:sz w:val="20"/>
          <w:szCs w:val="20"/>
        </w:rPr>
        <w:t>;</w:t>
      </w:r>
      <w:r w:rsidR="00DB7219" w:rsidRPr="00DB7219">
        <w:rPr>
          <w:rFonts w:ascii="Arial" w:hAnsi="Arial" w:cs="Arial"/>
          <w:sz w:val="20"/>
          <w:szCs w:val="20"/>
        </w:rPr>
        <w:t xml:space="preserve"> </w:t>
      </w:r>
      <w:proofErr w:type="spellStart"/>
      <w:r w:rsidR="00DB7219" w:rsidRPr="00CF0724">
        <w:rPr>
          <w:rFonts w:ascii="Arial" w:hAnsi="Arial" w:cs="Arial"/>
          <w:color w:val="FF0000"/>
          <w:sz w:val="20"/>
          <w:szCs w:val="20"/>
        </w:rPr>
        <w:t>Javalkar</w:t>
      </w:r>
      <w:proofErr w:type="spellEnd"/>
      <w:r w:rsidR="00DB7219" w:rsidRPr="00CF0724">
        <w:rPr>
          <w:rFonts w:ascii="Arial" w:hAnsi="Arial" w:cs="Arial"/>
          <w:color w:val="FF0000"/>
          <w:sz w:val="20"/>
          <w:szCs w:val="20"/>
        </w:rPr>
        <w:t xml:space="preserve"> et al., 2024; </w:t>
      </w:r>
      <w:r w:rsidR="00113C36">
        <w:rPr>
          <w:rFonts w:ascii="Arial" w:hAnsi="Arial" w:cs="Arial"/>
          <w:color w:val="FF0000"/>
          <w:sz w:val="20"/>
          <w:szCs w:val="20"/>
        </w:rPr>
        <w:t xml:space="preserve"> </w:t>
      </w:r>
      <w:proofErr w:type="spellStart"/>
      <w:r w:rsidR="00113C36" w:rsidRPr="00113C36">
        <w:rPr>
          <w:rFonts w:ascii="Arial" w:hAnsi="Arial" w:cs="Arial"/>
          <w:color w:val="FF0000"/>
          <w:sz w:val="20"/>
          <w:szCs w:val="20"/>
        </w:rPr>
        <w:t>Lakhumna</w:t>
      </w:r>
      <w:proofErr w:type="spellEnd"/>
      <w:r w:rsidR="00113C36" w:rsidRPr="00113C36">
        <w:rPr>
          <w:rFonts w:ascii="Arial" w:hAnsi="Arial" w:cs="Arial"/>
          <w:color w:val="FF0000"/>
          <w:sz w:val="20"/>
          <w:szCs w:val="20"/>
        </w:rPr>
        <w:t xml:space="preserve"> et al., 2024</w:t>
      </w:r>
      <w:r w:rsidR="008B2D9E">
        <w:rPr>
          <w:rFonts w:ascii="Arial" w:hAnsi="Arial" w:cs="Arial"/>
          <w:sz w:val="20"/>
          <w:szCs w:val="20"/>
        </w:rPr>
        <w:t>)</w:t>
      </w:r>
      <w:r>
        <w:rPr>
          <w:rFonts w:ascii="Arial" w:hAnsi="Arial" w:cs="Arial"/>
          <w:sz w:val="20"/>
          <w:szCs w:val="20"/>
        </w:rPr>
        <w:t>.</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To address this gap, the </w:t>
      </w:r>
      <w:r>
        <w:rPr>
          <w:rStyle w:val="Strong"/>
          <w:rFonts w:ascii="Arial" w:hAnsi="Arial" w:cs="Arial"/>
          <w:b w:val="0"/>
          <w:sz w:val="20"/>
          <w:szCs w:val="20"/>
        </w:rPr>
        <w:t>Assam Rural Livelihood and Farming Scale (ARLFS)</w:t>
      </w:r>
      <w:r>
        <w:rPr>
          <w:rFonts w:ascii="Arial" w:hAnsi="Arial" w:cs="Arial"/>
          <w:sz w:val="20"/>
          <w:szCs w:val="20"/>
        </w:rPr>
        <w:t xml:space="preserve"> was developed as a comprehensive, context-specific tool for assessing the socio-economic and environmental realities of livestock farming households, particularly those practicing </w:t>
      </w:r>
      <w:proofErr w:type="spellStart"/>
      <w:r>
        <w:rPr>
          <w:rStyle w:val="Emphasis"/>
          <w:rFonts w:ascii="Arial" w:hAnsi="Arial" w:cs="Arial"/>
          <w:i w:val="0"/>
          <w:sz w:val="20"/>
          <w:szCs w:val="20"/>
        </w:rPr>
        <w:t>Khuti</w:t>
      </w:r>
      <w:proofErr w:type="spellEnd"/>
      <w:r>
        <w:rPr>
          <w:rFonts w:ascii="Arial" w:hAnsi="Arial" w:cs="Arial"/>
          <w:sz w:val="20"/>
          <w:szCs w:val="20"/>
        </w:rPr>
        <w:t>-based, semi-intensive, and extensive herding systems. The following table briefly compares the ARLFS with other commonly used socio-economic scales to highlight its distinct relevance and utility:</w:t>
      </w:r>
    </w:p>
    <w:p w:rsidR="00351CAE" w:rsidRDefault="00351CAE">
      <w:pPr>
        <w:pStyle w:val="NormalWeb"/>
        <w:spacing w:before="0" w:beforeAutospacing="0" w:after="0" w:afterAutospacing="0" w:line="360" w:lineRule="auto"/>
        <w:jc w:val="both"/>
        <w:rPr>
          <w:rFonts w:ascii="Arial" w:hAnsi="Arial" w:cs="Arial"/>
          <w:sz w:val="20"/>
          <w:szCs w:val="20"/>
        </w:rPr>
      </w:pP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List 1: </w:t>
      </w:r>
      <w:r>
        <w:rPr>
          <w:rFonts w:ascii="Arial" w:hAnsi="Arial" w:cs="Arial"/>
          <w:b/>
          <w:bCs/>
          <w:sz w:val="20"/>
          <w:szCs w:val="20"/>
        </w:rPr>
        <w:t>The table briefly compares the ARLFS with other commonly used socio-economic scales to highlight its distinct relevance and utility</w:t>
      </w:r>
    </w:p>
    <w:tbl>
      <w:tblPr>
        <w:tblW w:w="6560" w:type="dxa"/>
        <w:tblCellMar>
          <w:left w:w="0" w:type="dxa"/>
          <w:right w:w="0" w:type="dxa"/>
        </w:tblCellMar>
        <w:tblLook w:val="04A0" w:firstRow="1" w:lastRow="0" w:firstColumn="1" w:lastColumn="0" w:noHBand="0" w:noVBand="1"/>
      </w:tblPr>
      <w:tblGrid>
        <w:gridCol w:w="1222"/>
        <w:gridCol w:w="1044"/>
        <w:gridCol w:w="1154"/>
        <w:gridCol w:w="1121"/>
        <w:gridCol w:w="1642"/>
        <w:gridCol w:w="922"/>
        <w:gridCol w:w="1943"/>
      </w:tblGrid>
      <w:tr w:rsidR="00351CAE">
        <w:trPr>
          <w:trHeight w:val="667"/>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Scales</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Target</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Focus</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Key Factors</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Livestock/Farming</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Strength</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Limitation</w:t>
            </w:r>
          </w:p>
        </w:tc>
      </w:tr>
      <w:tr w:rsidR="00351CAE">
        <w:trPr>
          <w:trHeight w:val="1633"/>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lastRenderedPageBreak/>
              <w:t>ARLFS</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 xml:space="preserve">Assam rural/ </w:t>
            </w:r>
            <w:proofErr w:type="spellStart"/>
            <w:r>
              <w:rPr>
                <w:rFonts w:ascii="Arial" w:hAnsi="Arial" w:cs="Arial"/>
                <w:sz w:val="20"/>
                <w:szCs w:val="20"/>
              </w:rPr>
              <w:t>Khuti</w:t>
            </w:r>
            <w:proofErr w:type="spellEnd"/>
            <w:r w:rsidR="00CF0724">
              <w:rPr>
                <w:rFonts w:ascii="Arial" w:hAnsi="Arial" w:cs="Arial"/>
                <w:sz w:val="20"/>
                <w:szCs w:val="20"/>
              </w:rPr>
              <w:t xml:space="preserve">- </w:t>
            </w:r>
            <w:r>
              <w:rPr>
                <w:rFonts w:ascii="Arial" w:hAnsi="Arial" w:cs="Arial"/>
                <w:sz w:val="20"/>
                <w:szCs w:val="20"/>
              </w:rPr>
              <w:t>livestock keepers</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Rural livelihoods, farming &amp; livestock</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Income, assets, education, environment</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Yes</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Tailored for rural livestock</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CF0724">
            <w:pPr>
              <w:pStyle w:val="NormalWeb"/>
              <w:rPr>
                <w:rFonts w:ascii="Arial" w:hAnsi="Arial" w:cs="Arial"/>
                <w:sz w:val="20"/>
                <w:szCs w:val="20"/>
                <w:lang w:val="en-US"/>
              </w:rPr>
            </w:pPr>
            <w:r>
              <w:rPr>
                <w:rFonts w:ascii="Arial" w:hAnsi="Arial" w:cs="Arial"/>
                <w:sz w:val="20"/>
                <w:szCs w:val="20"/>
              </w:rPr>
              <w:t>Complex, requires</w:t>
            </w:r>
            <w:r w:rsidR="00562751">
              <w:rPr>
                <w:rFonts w:ascii="Arial" w:hAnsi="Arial" w:cs="Arial"/>
                <w:sz w:val="20"/>
                <w:szCs w:val="20"/>
              </w:rPr>
              <w:t xml:space="preserve"> detailed data collection</w:t>
            </w:r>
          </w:p>
        </w:tc>
      </w:tr>
      <w:tr w:rsidR="00351CAE">
        <w:trPr>
          <w:trHeight w:val="989"/>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proofErr w:type="spellStart"/>
            <w:r>
              <w:rPr>
                <w:rFonts w:ascii="Arial" w:hAnsi="Arial" w:cs="Arial"/>
                <w:sz w:val="20"/>
                <w:szCs w:val="20"/>
              </w:rPr>
              <w:t>Kuppuswamy</w:t>
            </w:r>
            <w:proofErr w:type="spellEnd"/>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Urban populations</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Urban SES classification</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Education, occupation, income</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No</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Simple, widely used</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Urban only</w:t>
            </w:r>
          </w:p>
        </w:tc>
      </w:tr>
      <w:tr w:rsidR="00351CAE">
        <w:trPr>
          <w:trHeight w:val="989"/>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BG Prasad</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General rural &amp; urban</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Income-based SES</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Income</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No</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Simple, income-focused</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Needs regular updates</w:t>
            </w:r>
          </w:p>
        </w:tc>
      </w:tr>
      <w:tr w:rsidR="00351CAE">
        <w:trPr>
          <w:trHeight w:val="1311"/>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proofErr w:type="spellStart"/>
            <w:r>
              <w:rPr>
                <w:rFonts w:ascii="Arial" w:hAnsi="Arial" w:cs="Arial"/>
                <w:sz w:val="20"/>
                <w:szCs w:val="20"/>
              </w:rPr>
              <w:t>UdaiPareekh</w:t>
            </w:r>
            <w:proofErr w:type="spellEnd"/>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Rural populations</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Social &amp; caste</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Land, caste, occupation</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No</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Captures rural social structure</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Less economic detail</w:t>
            </w:r>
          </w:p>
        </w:tc>
      </w:tr>
      <w:tr w:rsidR="00351CAE">
        <w:trPr>
          <w:trHeight w:val="1633"/>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NFHS Wealth Index</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General population</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Asset-based wealth classification</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Household assets &amp; amenities</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No</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Less biased by income reporting</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Misses rural livelihood specifics</w:t>
            </w:r>
          </w:p>
        </w:tc>
      </w:tr>
      <w:tr w:rsidR="00351CAE">
        <w:trPr>
          <w:trHeight w:val="1311"/>
        </w:trPr>
        <w:tc>
          <w:tcPr>
            <w:tcW w:w="9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Aggarwal’s</w:t>
            </w:r>
          </w:p>
        </w:tc>
        <w:tc>
          <w:tcPr>
            <w:tcW w:w="74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General population</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Education, occupation, income</w:t>
            </w:r>
          </w:p>
        </w:tc>
        <w:tc>
          <w:tcPr>
            <w:tcW w:w="12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Education, occupation, income</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No</w:t>
            </w:r>
          </w:p>
        </w:tc>
        <w:tc>
          <w:tcPr>
            <w:tcW w:w="82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Combines multiple SES factors</w:t>
            </w:r>
          </w:p>
        </w:tc>
        <w:tc>
          <w:tcPr>
            <w:tcW w:w="120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pStyle w:val="NormalWeb"/>
              <w:rPr>
                <w:rFonts w:ascii="Arial" w:hAnsi="Arial" w:cs="Arial"/>
                <w:sz w:val="20"/>
                <w:szCs w:val="20"/>
                <w:lang w:val="en-US"/>
              </w:rPr>
            </w:pPr>
            <w:r>
              <w:rPr>
                <w:rFonts w:ascii="Arial" w:hAnsi="Arial" w:cs="Arial"/>
                <w:sz w:val="20"/>
                <w:szCs w:val="20"/>
              </w:rPr>
              <w:t>No livestock/environment focus</w:t>
            </w:r>
          </w:p>
        </w:tc>
      </w:tr>
    </w:tbl>
    <w:p w:rsidR="00351CAE" w:rsidRDefault="00351CAE">
      <w:pPr>
        <w:pStyle w:val="NormalWeb"/>
        <w:spacing w:before="0" w:beforeAutospacing="0" w:after="0" w:afterAutospacing="0" w:line="360" w:lineRule="auto"/>
        <w:jc w:val="both"/>
        <w:rPr>
          <w:rFonts w:ascii="Arial" w:hAnsi="Arial" w:cs="Arial"/>
          <w:sz w:val="20"/>
          <w:szCs w:val="20"/>
        </w:rPr>
      </w:pPr>
    </w:p>
    <w:p w:rsidR="00351CAE" w:rsidRDefault="00562751">
      <w:pPr>
        <w:spacing w:after="0" w:line="360" w:lineRule="auto"/>
        <w:jc w:val="both"/>
        <w:rPr>
          <w:rFonts w:ascii="Arial" w:eastAsia="Times New Roman" w:hAnsi="Arial" w:cs="Arial"/>
          <w:sz w:val="20"/>
          <w:szCs w:val="20"/>
          <w:lang w:eastAsia="en-IN"/>
        </w:rPr>
      </w:pPr>
      <w:r>
        <w:rPr>
          <w:rFonts w:ascii="Arial" w:hAnsi="Arial" w:cs="Arial"/>
          <w:sz w:val="20"/>
          <w:szCs w:val="20"/>
        </w:rPr>
        <w:t>The comparison highlights that while many existing socio-economic scales provide useful frameworks for urban or general rural populations, the ARLFS is distinctively tailored to the specific livelihood realities of Assam’s rural nomadic livestock keepers, integrating environmental and livestock-related dimensions that are critical for targeted interventions in this context.</w:t>
      </w:r>
    </w:p>
    <w:p w:rsidR="00351CAE" w:rsidRDefault="00562751">
      <w:pPr>
        <w:spacing w:after="0" w:line="360" w:lineRule="auto"/>
        <w:jc w:val="both"/>
        <w:outlineLvl w:val="2"/>
        <w:rPr>
          <w:rFonts w:ascii="Arial" w:eastAsia="Times New Roman" w:hAnsi="Arial" w:cs="Arial"/>
          <w:b/>
          <w:bCs/>
          <w:lang w:eastAsia="en-IN"/>
        </w:rPr>
      </w:pPr>
      <w:r>
        <w:rPr>
          <w:rFonts w:ascii="Arial" w:eastAsia="Times New Roman" w:hAnsi="Arial" w:cs="Arial"/>
          <w:b/>
          <w:bCs/>
          <w:lang w:eastAsia="en-IN"/>
        </w:rPr>
        <w:t>2. Materials and Methods</w:t>
      </w:r>
    </w:p>
    <w:p w:rsidR="00351CAE" w:rsidRDefault="00562751">
      <w:pPr>
        <w:spacing w:after="0" w:line="360" w:lineRule="auto"/>
        <w:jc w:val="both"/>
        <w:rPr>
          <w:rFonts w:ascii="Arial" w:eastAsia="Times New Roman" w:hAnsi="Arial" w:cs="Arial"/>
          <w:b/>
          <w:bCs/>
          <w:lang w:eastAsia="en-IN"/>
        </w:rPr>
      </w:pPr>
      <w:r>
        <w:rPr>
          <w:rFonts w:ascii="Arial" w:eastAsia="Times New Roman" w:hAnsi="Arial" w:cs="Arial"/>
          <w:b/>
          <w:bCs/>
          <w:lang w:eastAsia="en-IN"/>
        </w:rPr>
        <w:t>2.1 Scale Development</w:t>
      </w:r>
    </w:p>
    <w:p w:rsidR="00351CAE" w:rsidRDefault="00562751">
      <w:pPr>
        <w:spacing w:after="0" w:line="360" w:lineRule="auto"/>
        <w:jc w:val="both"/>
        <w:rPr>
          <w:rFonts w:ascii="Arial" w:hAnsi="Arial" w:cs="Arial"/>
          <w:sz w:val="20"/>
          <w:szCs w:val="20"/>
        </w:rPr>
      </w:pPr>
      <w:r>
        <w:rPr>
          <w:rFonts w:ascii="Arial" w:eastAsia="Times New Roman" w:hAnsi="Arial" w:cs="Arial"/>
          <w:sz w:val="20"/>
          <w:szCs w:val="20"/>
          <w:lang w:eastAsia="en-IN"/>
        </w:rPr>
        <w:t xml:space="preserve">The ARLFS was developed through literature reviews, expert input, and focus group discussions with </w:t>
      </w:r>
      <w:proofErr w:type="spellStart"/>
      <w:r>
        <w:rPr>
          <w:rFonts w:ascii="Arial" w:eastAsia="Times New Roman" w:hAnsi="Arial" w:cs="Arial"/>
          <w:sz w:val="20"/>
          <w:szCs w:val="20"/>
          <w:lang w:eastAsia="en-IN"/>
        </w:rPr>
        <w:t>Khuti</w:t>
      </w:r>
      <w:proofErr w:type="spellEnd"/>
      <w:r>
        <w:rPr>
          <w:rFonts w:ascii="Arial" w:eastAsia="Times New Roman" w:hAnsi="Arial" w:cs="Arial"/>
          <w:sz w:val="20"/>
          <w:szCs w:val="20"/>
          <w:lang w:eastAsia="en-IN"/>
        </w:rPr>
        <w:t xml:space="preserve"> system stakeholders. An initial pool of 30 items was generated based on key socio-economic and farming-related components relevant to </w:t>
      </w:r>
      <w:proofErr w:type="spellStart"/>
      <w:r>
        <w:rPr>
          <w:rFonts w:ascii="Arial" w:eastAsia="Times New Roman" w:hAnsi="Arial" w:cs="Arial"/>
          <w:sz w:val="20"/>
          <w:szCs w:val="20"/>
          <w:lang w:eastAsia="en-IN"/>
        </w:rPr>
        <w:t>Khuti</w:t>
      </w:r>
      <w:proofErr w:type="spellEnd"/>
      <w:r>
        <w:rPr>
          <w:rFonts w:ascii="Arial" w:eastAsia="Times New Roman" w:hAnsi="Arial" w:cs="Arial"/>
          <w:sz w:val="20"/>
          <w:szCs w:val="20"/>
          <w:lang w:eastAsia="en-IN"/>
        </w:rPr>
        <w:t xml:space="preserve"> system dwellers in Assam. These components included livelihood security, access to resources and inputs, institutional linkage, adaptive capacity, technological integration, and additional socio-economic indicators </w:t>
      </w:r>
      <w:r>
        <w:rPr>
          <w:rFonts w:ascii="Arial" w:hAnsi="Arial" w:cs="Arial"/>
          <w:sz w:val="20"/>
          <w:szCs w:val="20"/>
        </w:rPr>
        <w:t>tailored specifically to the local context.</w:t>
      </w:r>
    </w:p>
    <w:p w:rsidR="00351CAE" w:rsidRDefault="00562751">
      <w:pPr>
        <w:spacing w:after="0" w:line="360" w:lineRule="auto"/>
        <w:jc w:val="both"/>
        <w:rPr>
          <w:rFonts w:ascii="Arial" w:eastAsia="Times New Roman" w:hAnsi="Arial" w:cs="Arial"/>
          <w:b/>
          <w:bCs/>
          <w:lang w:eastAsia="en-IN"/>
        </w:rPr>
      </w:pPr>
      <w:r>
        <w:rPr>
          <w:rFonts w:ascii="Arial" w:eastAsia="Times New Roman" w:hAnsi="Arial" w:cs="Arial"/>
          <w:b/>
          <w:bCs/>
          <w:lang w:eastAsia="en-IN"/>
        </w:rPr>
        <w:t>2.2 Content Validity</w:t>
      </w:r>
    </w:p>
    <w:p w:rsidR="00351CAE" w:rsidRDefault="00562751">
      <w:pPr>
        <w:spacing w:after="0" w:line="360" w:lineRule="auto"/>
        <w:jc w:val="both"/>
        <w:rPr>
          <w:rFonts w:ascii="Arial" w:hAnsi="Arial" w:cs="Arial"/>
          <w:sz w:val="20"/>
          <w:szCs w:val="20"/>
        </w:rPr>
      </w:pPr>
      <w:r>
        <w:rPr>
          <w:rFonts w:ascii="Arial" w:eastAsia="Times New Roman" w:hAnsi="Arial" w:cs="Arial"/>
          <w:sz w:val="20"/>
          <w:szCs w:val="20"/>
          <w:lang w:eastAsia="en-IN"/>
        </w:rPr>
        <w:t xml:space="preserve">Content validity was assessed by a panel of 10 subject matter experts, including agricultural scientists, rural development officers, and veterinary professionals. </w:t>
      </w:r>
      <w:r>
        <w:rPr>
          <w:rFonts w:ascii="Arial" w:hAnsi="Arial" w:cs="Arial"/>
          <w:sz w:val="20"/>
          <w:szCs w:val="20"/>
        </w:rPr>
        <w:t xml:space="preserve">Each expert independently rated </w:t>
      </w:r>
      <w:r>
        <w:rPr>
          <w:rFonts w:ascii="Arial" w:hAnsi="Arial" w:cs="Arial"/>
          <w:sz w:val="20"/>
          <w:szCs w:val="20"/>
        </w:rPr>
        <w:lastRenderedPageBreak/>
        <w:t>the items on a three-point scale: “Essential,” “Useful but not essential,” or “Not necessary.”</w:t>
      </w:r>
      <w:r>
        <w:rPr>
          <w:rFonts w:ascii="Arial" w:eastAsia="Times New Roman" w:hAnsi="Arial" w:cs="Arial"/>
          <w:sz w:val="20"/>
          <w:szCs w:val="20"/>
          <w:lang w:eastAsia="en-IN"/>
        </w:rPr>
        <w:t xml:space="preserve"> The Content Validity Ratio (CVR) for each item was calculated using </w:t>
      </w:r>
      <w:proofErr w:type="spellStart"/>
      <w:r>
        <w:rPr>
          <w:rFonts w:ascii="Arial" w:eastAsia="Times New Roman" w:hAnsi="Arial" w:cs="Arial"/>
          <w:sz w:val="20"/>
          <w:szCs w:val="20"/>
          <w:lang w:eastAsia="en-IN"/>
        </w:rPr>
        <w:t>Lawshe’s</w:t>
      </w:r>
      <w:proofErr w:type="spellEnd"/>
      <w:r>
        <w:rPr>
          <w:rFonts w:ascii="Arial" w:eastAsia="Times New Roman" w:hAnsi="Arial" w:cs="Arial"/>
          <w:sz w:val="20"/>
          <w:szCs w:val="20"/>
          <w:lang w:eastAsia="en-IN"/>
        </w:rPr>
        <w:t xml:space="preserve"> formula to determine the necessity of the items. </w:t>
      </w:r>
      <w:r>
        <w:rPr>
          <w:rFonts w:ascii="Arial" w:hAnsi="Arial" w:cs="Arial"/>
          <w:sz w:val="20"/>
          <w:szCs w:val="20"/>
        </w:rPr>
        <w:t>Items with a CVR value equal to or greater than the threshold for 10 experts were retained.</w:t>
      </w:r>
      <w:r>
        <w:rPr>
          <w:rFonts w:ascii="Arial" w:eastAsia="Times New Roman" w:hAnsi="Arial" w:cs="Arial"/>
          <w:sz w:val="20"/>
          <w:szCs w:val="20"/>
          <w:lang w:eastAsia="en-IN"/>
        </w:rPr>
        <w:t xml:space="preserve"> The overall Scale-level Content Validity Index (S-CVI) was computed using both the Universal Agreement (S-CVI/UA) and the Average (S-CVI/Ave) methods.</w:t>
      </w:r>
      <w:r w:rsidR="004C2351">
        <w:rPr>
          <w:rFonts w:ascii="Arial" w:eastAsia="Times New Roman" w:hAnsi="Arial" w:cs="Arial"/>
          <w:sz w:val="20"/>
          <w:szCs w:val="20"/>
          <w:lang w:eastAsia="en-IN"/>
        </w:rPr>
        <w:t xml:space="preserve"> </w:t>
      </w:r>
      <w:r>
        <w:rPr>
          <w:rFonts w:ascii="Arial" w:eastAsia="Times New Roman" w:hAnsi="Arial" w:cs="Arial"/>
          <w:sz w:val="20"/>
          <w:szCs w:val="20"/>
          <w:lang w:eastAsia="en-IN"/>
        </w:rPr>
        <w:t xml:space="preserve">For N=10, the </w:t>
      </w:r>
      <w:proofErr w:type="spellStart"/>
      <w:r>
        <w:rPr>
          <w:rFonts w:ascii="Arial" w:eastAsia="Times New Roman" w:hAnsi="Arial" w:cs="Arial"/>
          <w:sz w:val="20"/>
          <w:szCs w:val="20"/>
          <w:lang w:eastAsia="en-IN"/>
        </w:rPr>
        <w:t>Lawshecritical</w:t>
      </w:r>
      <w:proofErr w:type="spellEnd"/>
      <w:r>
        <w:rPr>
          <w:rFonts w:ascii="Arial" w:eastAsia="Times New Roman" w:hAnsi="Arial" w:cs="Arial"/>
          <w:sz w:val="20"/>
          <w:szCs w:val="20"/>
          <w:lang w:eastAsia="en-IN"/>
        </w:rPr>
        <w:t xml:space="preserve"> value for CVR is approximately 0.62, meaning items with CVR ≥ 0.62 are retained.</w:t>
      </w:r>
      <w:r>
        <w:rPr>
          <w:rFonts w:ascii="Arial" w:hAnsi="Arial" w:cs="Arial"/>
          <w:sz w:val="20"/>
          <w:szCs w:val="20"/>
        </w:rPr>
        <w:t xml:space="preserve"> Following this evaluation, items that did not meet the CVR threshold or were deemed redundant were removed, resulting in a refined scale of 18 items from the initial 30-item pool. This ensured that the final scale retained only the most relevant and representative indicators for assessing the socio-economic and farming conditions of </w:t>
      </w:r>
      <w:proofErr w:type="spellStart"/>
      <w:r>
        <w:rPr>
          <w:rFonts w:ascii="Arial" w:hAnsi="Arial" w:cs="Arial"/>
          <w:sz w:val="20"/>
          <w:szCs w:val="20"/>
        </w:rPr>
        <w:t>Khuti</w:t>
      </w:r>
      <w:proofErr w:type="spellEnd"/>
      <w:r>
        <w:rPr>
          <w:rFonts w:ascii="Arial" w:hAnsi="Arial" w:cs="Arial"/>
          <w:sz w:val="20"/>
          <w:szCs w:val="20"/>
        </w:rPr>
        <w:t xml:space="preserve"> dwellers.</w:t>
      </w:r>
    </w:p>
    <w:p w:rsidR="00351CAE" w:rsidRDefault="00351CAE">
      <w:pPr>
        <w:spacing w:after="0" w:line="360" w:lineRule="auto"/>
        <w:jc w:val="both"/>
        <w:rPr>
          <w:rFonts w:ascii="Arial" w:eastAsia="Times New Roman" w:hAnsi="Arial" w:cs="Arial"/>
          <w:sz w:val="20"/>
          <w:szCs w:val="20"/>
          <w:lang w:eastAsia="en-IN"/>
        </w:rPr>
      </w:pPr>
    </w:p>
    <w:p w:rsidR="00351CAE" w:rsidRDefault="00562751">
      <w:pPr>
        <w:pStyle w:val="Heading3"/>
        <w:numPr>
          <w:ilvl w:val="0"/>
          <w:numId w:val="3"/>
        </w:numPr>
        <w:spacing w:before="0" w:beforeAutospacing="0" w:after="0" w:afterAutospacing="0" w:line="360" w:lineRule="auto"/>
        <w:jc w:val="both"/>
        <w:rPr>
          <w:rStyle w:val="Strong"/>
          <w:rFonts w:ascii="Arial" w:hAnsi="Arial" w:cs="Arial"/>
          <w:b/>
          <w:bCs/>
          <w:sz w:val="20"/>
          <w:szCs w:val="20"/>
        </w:rPr>
      </w:pPr>
      <w:r>
        <w:rPr>
          <w:rStyle w:val="Strong"/>
          <w:rFonts w:ascii="Arial" w:hAnsi="Arial" w:cs="Arial"/>
          <w:b/>
          <w:bCs/>
          <w:sz w:val="20"/>
          <w:szCs w:val="20"/>
        </w:rPr>
        <w:t>Content Validity Ratio (CVR):</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250825</wp:posOffset>
            </wp:positionV>
            <wp:extent cx="1275715" cy="5524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4951" t="32254" r="44076" b="59297"/>
                    <a:stretch/>
                  </pic:blipFill>
                  <pic:spPr bwMode="auto">
                    <a:xfrm>
                      <a:off x="0" y="0"/>
                      <a:ext cx="1281357" cy="554816"/>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sz w:val="20"/>
          <w:szCs w:val="20"/>
        </w:rPr>
        <w:t>For each item:</w:t>
      </w:r>
    </w:p>
    <w:p w:rsidR="00351CAE" w:rsidRDefault="00351CAE">
      <w:pPr>
        <w:pStyle w:val="NormalWeb"/>
        <w:spacing w:before="0" w:beforeAutospacing="0" w:after="0" w:afterAutospacing="0" w:line="360" w:lineRule="auto"/>
        <w:jc w:val="both"/>
        <w:rPr>
          <w:rFonts w:ascii="Arial" w:hAnsi="Arial" w:cs="Arial"/>
          <w:sz w:val="20"/>
          <w:szCs w:val="20"/>
        </w:rPr>
      </w:pPr>
    </w:p>
    <w:p w:rsidR="00351CAE" w:rsidRDefault="00351CAE">
      <w:pPr>
        <w:pStyle w:val="NormalWeb"/>
        <w:spacing w:before="0" w:beforeAutospacing="0" w:after="0" w:afterAutospacing="0" w:line="360" w:lineRule="auto"/>
        <w:jc w:val="both"/>
        <w:rPr>
          <w:rFonts w:ascii="Arial" w:hAnsi="Arial" w:cs="Arial"/>
          <w:sz w:val="20"/>
          <w:szCs w:val="20"/>
        </w:rPr>
      </w:pPr>
    </w:p>
    <w:p w:rsidR="00351CAE" w:rsidRDefault="00351CAE">
      <w:pPr>
        <w:pStyle w:val="NormalWeb"/>
        <w:spacing w:before="0" w:beforeAutospacing="0" w:after="0" w:afterAutospacing="0" w:line="360" w:lineRule="auto"/>
        <w:jc w:val="both"/>
        <w:rPr>
          <w:rFonts w:ascii="Arial" w:hAnsi="Arial" w:cs="Arial"/>
          <w:sz w:val="20"/>
          <w:szCs w:val="20"/>
        </w:rPr>
      </w:pPr>
    </w:p>
    <w:p w:rsidR="00351CAE" w:rsidRDefault="00562751">
      <w:pPr>
        <w:pStyle w:val="NormalWeb"/>
        <w:spacing w:before="0" w:beforeAutospacing="0" w:after="0" w:afterAutospacing="0" w:line="360" w:lineRule="auto"/>
        <w:jc w:val="both"/>
        <w:rPr>
          <w:rStyle w:val="Strong"/>
          <w:rFonts w:ascii="Arial" w:hAnsi="Arial" w:cs="Arial"/>
          <w:sz w:val="20"/>
          <w:szCs w:val="20"/>
        </w:rPr>
      </w:pPr>
      <w:r>
        <w:rPr>
          <w:rFonts w:ascii="Arial" w:hAnsi="Arial" w:cs="Arial"/>
          <w:sz w:val="20"/>
          <w:szCs w:val="20"/>
        </w:rPr>
        <w:t>Where n</w:t>
      </w:r>
      <w:r>
        <w:rPr>
          <w:rFonts w:ascii="Arial" w:hAnsi="Arial" w:cs="Arial"/>
          <w:sz w:val="20"/>
          <w:szCs w:val="20"/>
          <w:vertAlign w:val="subscript"/>
        </w:rPr>
        <w:t>e =</w:t>
      </w:r>
      <w:r>
        <w:rPr>
          <w:rFonts w:ascii="Arial" w:hAnsi="Arial" w:cs="Arial"/>
          <w:sz w:val="20"/>
          <w:szCs w:val="20"/>
        </w:rPr>
        <w:t xml:space="preserve">Number of experts who rated the item as </w:t>
      </w:r>
      <w:r>
        <w:rPr>
          <w:rStyle w:val="Strong"/>
          <w:rFonts w:ascii="Arial" w:hAnsi="Arial" w:cs="Arial"/>
          <w:sz w:val="20"/>
          <w:szCs w:val="20"/>
        </w:rPr>
        <w:t>essential</w:t>
      </w:r>
    </w:p>
    <w:p w:rsidR="00351CAE" w:rsidRDefault="00562751">
      <w:pPr>
        <w:pStyle w:val="NormalWeb"/>
        <w:spacing w:before="0" w:beforeAutospacing="0" w:after="0" w:afterAutospacing="0" w:line="360" w:lineRule="auto"/>
        <w:jc w:val="both"/>
        <w:rPr>
          <w:rFonts w:ascii="Arial" w:hAnsi="Arial" w:cs="Arial"/>
          <w:sz w:val="20"/>
          <w:szCs w:val="20"/>
        </w:rPr>
      </w:pPr>
      <w:r>
        <w:rPr>
          <w:rStyle w:val="Strong"/>
          <w:rFonts w:ascii="Arial" w:hAnsi="Arial" w:cs="Arial"/>
          <w:sz w:val="20"/>
          <w:szCs w:val="20"/>
        </w:rPr>
        <w:t>N=</w:t>
      </w:r>
      <w:r>
        <w:rPr>
          <w:rFonts w:ascii="Arial" w:hAnsi="Arial" w:cs="Arial"/>
          <w:sz w:val="20"/>
          <w:szCs w:val="20"/>
        </w:rPr>
        <w:t>Total number of experts (10)</w:t>
      </w:r>
    </w:p>
    <w:p w:rsidR="00351CAE" w:rsidRDefault="00562751">
      <w:pPr>
        <w:pStyle w:val="Heading3"/>
        <w:numPr>
          <w:ilvl w:val="0"/>
          <w:numId w:val="3"/>
        </w:numPr>
        <w:spacing w:before="0" w:beforeAutospacing="0" w:after="0" w:afterAutospacing="0" w:line="360" w:lineRule="auto"/>
        <w:jc w:val="both"/>
        <w:rPr>
          <w:rFonts w:ascii="Arial" w:hAnsi="Arial" w:cs="Arial"/>
          <w:sz w:val="20"/>
          <w:szCs w:val="20"/>
        </w:rPr>
      </w:pPr>
      <w:r>
        <w:rPr>
          <w:rStyle w:val="Strong"/>
          <w:rFonts w:ascii="Arial" w:hAnsi="Arial" w:cs="Arial"/>
          <w:b/>
          <w:bCs/>
          <w:sz w:val="20"/>
          <w:szCs w:val="20"/>
        </w:rPr>
        <w:t>Scale-level Content Validity Index (S-CVI)</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There are two common ways to compute S-CVI:</w:t>
      </w:r>
    </w:p>
    <w:p w:rsidR="00351CAE" w:rsidRDefault="00562751">
      <w:pPr>
        <w:pStyle w:val="Heading4"/>
        <w:numPr>
          <w:ilvl w:val="0"/>
          <w:numId w:val="4"/>
        </w:numPr>
        <w:spacing w:before="0" w:beforeAutospacing="0" w:after="0" w:afterAutospacing="0" w:line="360" w:lineRule="auto"/>
        <w:jc w:val="both"/>
        <w:rPr>
          <w:rFonts w:ascii="Arial" w:hAnsi="Arial" w:cs="Arial"/>
          <w:sz w:val="20"/>
          <w:szCs w:val="20"/>
        </w:rPr>
      </w:pPr>
      <w:r>
        <w:rPr>
          <w:rFonts w:ascii="Arial" w:hAnsi="Arial" w:cs="Arial"/>
          <w:sz w:val="20"/>
          <w:szCs w:val="20"/>
        </w:rPr>
        <w:t>Universal Agreement method (S-CVI/UA)</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The proportion of items on the scale that achieved universal agreement (i.e., all experts rated them as essential or relevant)</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noProof/>
          <w:sz w:val="20"/>
          <w:szCs w:val="20"/>
          <w:lang w:val="en-US" w:eastAsia="en-US"/>
        </w:rPr>
        <w:drawing>
          <wp:inline distT="0" distB="0" distL="0" distR="0">
            <wp:extent cx="383151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075" t="36651" r="32195" b="54187"/>
                    <a:stretch/>
                  </pic:blipFill>
                  <pic:spPr bwMode="auto">
                    <a:xfrm>
                      <a:off x="0" y="0"/>
                      <a:ext cx="3840099" cy="553688"/>
                    </a:xfrm>
                    <a:prstGeom prst="rect">
                      <a:avLst/>
                    </a:prstGeom>
                    <a:ln>
                      <a:noFill/>
                    </a:ln>
                    <a:extLst>
                      <a:ext uri="{53640926-AAD7-44D8-BBD7-CCE9431645EC}">
                        <a14:shadowObscured xmlns:a14="http://schemas.microsoft.com/office/drawing/2010/main"/>
                      </a:ext>
                    </a:extLst>
                  </pic:spPr>
                </pic:pic>
              </a:graphicData>
            </a:graphic>
          </wp:inline>
        </w:drawing>
      </w:r>
    </w:p>
    <w:p w:rsidR="00351CAE" w:rsidRDefault="00562751">
      <w:pPr>
        <w:pStyle w:val="Heading4"/>
        <w:numPr>
          <w:ilvl w:val="0"/>
          <w:numId w:val="4"/>
        </w:numPr>
        <w:spacing w:before="0" w:beforeAutospacing="0" w:after="0" w:afterAutospacing="0" w:line="360" w:lineRule="auto"/>
        <w:jc w:val="both"/>
        <w:rPr>
          <w:rFonts w:ascii="Arial" w:hAnsi="Arial" w:cs="Arial"/>
          <w:sz w:val="20"/>
          <w:szCs w:val="20"/>
        </w:rPr>
      </w:pPr>
      <w:r>
        <w:rPr>
          <w:rFonts w:ascii="Arial" w:hAnsi="Arial" w:cs="Arial"/>
          <w:sz w:val="20"/>
          <w:szCs w:val="20"/>
        </w:rPr>
        <w:t>Average method (S-CVI/Ave)</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The average of the Item-level Content Validity Indices (I-CVI) across all items. For each item, I-CVI is the proportion of experts rating it as essential</w:t>
      </w:r>
    </w:p>
    <w:p w:rsidR="00351CAE" w:rsidRDefault="00562751">
      <w:pPr>
        <w:spacing w:after="0" w:line="360" w:lineRule="auto"/>
        <w:jc w:val="both"/>
        <w:rPr>
          <w:rFonts w:ascii="Arial" w:eastAsia="Times New Roman" w:hAnsi="Arial" w:cs="Arial"/>
          <w:sz w:val="20"/>
          <w:szCs w:val="20"/>
          <w:lang w:eastAsia="en-IN"/>
        </w:rPr>
      </w:pPr>
      <w:r>
        <w:rPr>
          <w:rFonts w:ascii="Arial" w:hAnsi="Arial" w:cs="Arial"/>
          <w:noProof/>
          <w:sz w:val="20"/>
          <w:szCs w:val="20"/>
          <w:lang w:val="en-US"/>
        </w:rPr>
        <w:drawing>
          <wp:anchor distT="0" distB="0" distL="114300" distR="114300" simplePos="0" relativeHeight="251660288" behindDoc="1" locked="0" layoutInCell="1" allowOverlap="1">
            <wp:simplePos x="0" y="0"/>
            <wp:positionH relativeFrom="margin">
              <wp:posOffset>2428874</wp:posOffset>
            </wp:positionH>
            <wp:positionV relativeFrom="paragraph">
              <wp:posOffset>10629</wp:posOffset>
            </wp:positionV>
            <wp:extent cx="962025" cy="5576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6200" t="26896" r="45490" b="64532"/>
                    <a:stretch/>
                  </pic:blipFill>
                  <pic:spPr bwMode="auto">
                    <a:xfrm>
                      <a:off x="0" y="0"/>
                      <a:ext cx="965448" cy="559681"/>
                    </a:xfrm>
                    <a:prstGeom prst="rect">
                      <a:avLst/>
                    </a:prstGeom>
                    <a:ln>
                      <a:noFill/>
                    </a:ln>
                    <a:extLst>
                      <a:ext uri="{53640926-AAD7-44D8-BBD7-CCE9431645EC}">
                        <a14:shadowObscured xmlns:a14="http://schemas.microsoft.com/office/drawing/2010/main"/>
                      </a:ext>
                    </a:extLst>
                  </pic:spPr>
                </pic:pic>
              </a:graphicData>
            </a:graphic>
          </wp:anchor>
        </w:drawing>
      </w:r>
    </w:p>
    <w:p w:rsidR="00351CAE" w:rsidRDefault="00562751">
      <w:pPr>
        <w:spacing w:after="0" w:line="360" w:lineRule="auto"/>
        <w:jc w:val="both"/>
        <w:rPr>
          <w:rFonts w:ascii="Arial" w:eastAsia="Times New Roman" w:hAnsi="Arial" w:cs="Arial"/>
          <w:sz w:val="20"/>
          <w:szCs w:val="20"/>
          <w:lang w:eastAsia="en-IN"/>
        </w:rPr>
      </w:pPr>
      <w:r>
        <w:rPr>
          <w:rFonts w:ascii="Arial" w:hAnsi="Arial" w:cs="Arial"/>
          <w:noProof/>
          <w:sz w:val="20"/>
          <w:szCs w:val="20"/>
          <w:lang w:val="en-US"/>
        </w:rPr>
        <w:drawing>
          <wp:anchor distT="0" distB="0" distL="114300" distR="114300" simplePos="0" relativeHeight="251659264" behindDoc="1" locked="0" layoutInCell="1" allowOverlap="1">
            <wp:simplePos x="0" y="0"/>
            <wp:positionH relativeFrom="column">
              <wp:posOffset>1428750</wp:posOffset>
            </wp:positionH>
            <wp:positionV relativeFrom="paragraph">
              <wp:posOffset>259715</wp:posOffset>
            </wp:positionV>
            <wp:extent cx="2745740" cy="619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8223" t="39015" r="38179" b="51527"/>
                    <a:stretch/>
                  </pic:blipFill>
                  <pic:spPr bwMode="auto">
                    <a:xfrm>
                      <a:off x="0" y="0"/>
                      <a:ext cx="2745740" cy="619125"/>
                    </a:xfrm>
                    <a:prstGeom prst="rect">
                      <a:avLst/>
                    </a:prstGeom>
                    <a:ln>
                      <a:noFill/>
                    </a:ln>
                    <a:extLst>
                      <a:ext uri="{53640926-AAD7-44D8-BBD7-CCE9431645EC}">
                        <a14:shadowObscured xmlns:a14="http://schemas.microsoft.com/office/drawing/2010/main"/>
                      </a:ext>
                    </a:extLst>
                  </pic:spPr>
                </pic:pic>
              </a:graphicData>
            </a:graphic>
          </wp:anchor>
        </w:drawing>
      </w:r>
    </w:p>
    <w:p w:rsidR="00351CAE" w:rsidRDefault="00562751">
      <w:pPr>
        <w:spacing w:after="0" w:line="360" w:lineRule="auto"/>
        <w:jc w:val="both"/>
        <w:rPr>
          <w:rFonts w:ascii="Arial" w:eastAsia="Times New Roman" w:hAnsi="Arial" w:cs="Arial"/>
          <w:bCs/>
          <w:sz w:val="20"/>
          <w:szCs w:val="20"/>
          <w:lang w:eastAsia="en-IN"/>
        </w:rPr>
      </w:pPr>
      <w:r>
        <w:rPr>
          <w:rFonts w:ascii="Arial" w:eastAsia="Times New Roman" w:hAnsi="Arial" w:cs="Arial"/>
          <w:bCs/>
          <w:sz w:val="20"/>
          <w:szCs w:val="20"/>
          <w:lang w:eastAsia="en-IN"/>
        </w:rPr>
        <w:t>Then,</w:t>
      </w:r>
    </w:p>
    <w:p w:rsidR="00351CAE" w:rsidRDefault="00351CAE">
      <w:pPr>
        <w:spacing w:after="0" w:line="360" w:lineRule="auto"/>
        <w:jc w:val="both"/>
        <w:rPr>
          <w:rFonts w:ascii="Arial" w:eastAsia="Times New Roman" w:hAnsi="Arial" w:cs="Arial"/>
          <w:bCs/>
          <w:sz w:val="20"/>
          <w:szCs w:val="20"/>
          <w:lang w:eastAsia="en-IN"/>
        </w:rPr>
      </w:pPr>
    </w:p>
    <w:p w:rsidR="00351CAE" w:rsidRDefault="00351CAE">
      <w:pPr>
        <w:spacing w:after="0" w:line="360" w:lineRule="auto"/>
        <w:jc w:val="both"/>
        <w:rPr>
          <w:rFonts w:ascii="Arial" w:eastAsia="Times New Roman" w:hAnsi="Arial" w:cs="Arial"/>
          <w:bCs/>
          <w:sz w:val="24"/>
          <w:szCs w:val="24"/>
          <w:lang w:eastAsia="en-IN"/>
        </w:rPr>
      </w:pPr>
    </w:p>
    <w:p w:rsidR="00351CAE" w:rsidRDefault="00562751">
      <w:pPr>
        <w:spacing w:after="0" w:line="360" w:lineRule="auto"/>
        <w:jc w:val="both"/>
        <w:rPr>
          <w:rFonts w:ascii="Arial" w:eastAsia="Times New Roman" w:hAnsi="Arial" w:cs="Arial"/>
          <w:b/>
          <w:bCs/>
          <w:lang w:eastAsia="en-IN"/>
        </w:rPr>
      </w:pPr>
      <w:r>
        <w:rPr>
          <w:rFonts w:ascii="Arial" w:eastAsia="Times New Roman" w:hAnsi="Arial" w:cs="Arial"/>
          <w:b/>
          <w:bCs/>
          <w:lang w:eastAsia="en-IN"/>
        </w:rPr>
        <w:t>2.3 Scoring pattern</w:t>
      </w:r>
    </w:p>
    <w:p w:rsidR="00351CAE" w:rsidRDefault="00562751">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The ARLFS employs a structured scoring system where each component is rated on a </w:t>
      </w:r>
      <w:r>
        <w:rPr>
          <w:rFonts w:ascii="Arial" w:eastAsia="Times New Roman" w:hAnsi="Arial" w:cs="Arial"/>
          <w:bCs/>
          <w:sz w:val="20"/>
          <w:szCs w:val="20"/>
          <w:lang w:eastAsia="en-IN"/>
        </w:rPr>
        <w:t>0–8 scale</w:t>
      </w:r>
      <w:r>
        <w:rPr>
          <w:rFonts w:ascii="Arial" w:eastAsia="Times New Roman" w:hAnsi="Arial" w:cs="Arial"/>
          <w:sz w:val="20"/>
          <w:szCs w:val="20"/>
          <w:lang w:eastAsia="en-IN"/>
        </w:rPr>
        <w:t xml:space="preserve"> in even intervals (0, 2, 4, 6, </w:t>
      </w:r>
      <w:proofErr w:type="gramStart"/>
      <w:r>
        <w:rPr>
          <w:rFonts w:ascii="Arial" w:eastAsia="Times New Roman" w:hAnsi="Arial" w:cs="Arial"/>
          <w:sz w:val="20"/>
          <w:szCs w:val="20"/>
          <w:lang w:eastAsia="en-IN"/>
        </w:rPr>
        <w:t>8</w:t>
      </w:r>
      <w:proofErr w:type="gramEnd"/>
      <w:r>
        <w:rPr>
          <w:rFonts w:ascii="Arial" w:eastAsia="Times New Roman" w:hAnsi="Arial" w:cs="Arial"/>
          <w:sz w:val="20"/>
          <w:szCs w:val="20"/>
          <w:lang w:eastAsia="en-IN"/>
        </w:rPr>
        <w:t xml:space="preserve">), reflecting levels of vulnerability to well-being. A score of 0 indicates the most adverse condition or highest vulnerability, while a score of 8 represents optimal or most </w:t>
      </w:r>
      <w:proofErr w:type="spellStart"/>
      <w:r>
        <w:rPr>
          <w:rFonts w:ascii="Arial" w:eastAsia="Times New Roman" w:hAnsi="Arial" w:cs="Arial"/>
          <w:sz w:val="20"/>
          <w:szCs w:val="20"/>
          <w:lang w:eastAsia="en-IN"/>
        </w:rPr>
        <w:t>favorable</w:t>
      </w:r>
      <w:proofErr w:type="spellEnd"/>
      <w:r>
        <w:rPr>
          <w:rFonts w:ascii="Arial" w:eastAsia="Times New Roman" w:hAnsi="Arial" w:cs="Arial"/>
          <w:sz w:val="20"/>
          <w:szCs w:val="20"/>
          <w:lang w:eastAsia="en-IN"/>
        </w:rPr>
        <w:t xml:space="preserve"> status.</w:t>
      </w:r>
    </w:p>
    <w:p w:rsidR="00351CAE" w:rsidRDefault="00562751">
      <w:p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This evenly spaced scale was chosen for the following reasons:</w:t>
      </w:r>
    </w:p>
    <w:p w:rsidR="00351CAE" w:rsidRDefault="00562751">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lastRenderedPageBreak/>
        <w:t>Clarity and Consistency</w:t>
      </w:r>
      <w:r>
        <w:rPr>
          <w:rFonts w:ascii="Arial" w:eastAsia="Times New Roman" w:hAnsi="Arial" w:cs="Arial"/>
          <w:sz w:val="20"/>
          <w:szCs w:val="20"/>
          <w:lang w:eastAsia="en-IN"/>
        </w:rPr>
        <w:t>: It allows consistent interpretation of socioeconomic status across all components and respondents.</w:t>
      </w:r>
    </w:p>
    <w:p w:rsidR="00351CAE" w:rsidRDefault="00562751">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Avoidance of Central Tendency Bias</w:t>
      </w:r>
      <w:r>
        <w:rPr>
          <w:rFonts w:ascii="Arial" w:eastAsia="Times New Roman" w:hAnsi="Arial" w:cs="Arial"/>
          <w:sz w:val="20"/>
          <w:szCs w:val="20"/>
          <w:lang w:eastAsia="en-IN"/>
        </w:rPr>
        <w:t>: The absence of a neutral midpoint compels respondents or evaluators to make a definitive judgment.</w:t>
      </w:r>
    </w:p>
    <w:p w:rsidR="00351CAE" w:rsidRDefault="00562751">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Simplicity in Aggregation</w:t>
      </w:r>
      <w:r>
        <w:rPr>
          <w:rFonts w:ascii="Arial" w:eastAsia="Times New Roman" w:hAnsi="Arial" w:cs="Arial"/>
          <w:sz w:val="20"/>
          <w:szCs w:val="20"/>
          <w:lang w:eastAsia="en-IN"/>
        </w:rPr>
        <w:t>: The scoring enables straightforward calculation of total scores and facilitates classification into socio-economic categories.</w:t>
      </w:r>
    </w:p>
    <w:p w:rsidR="00351CAE" w:rsidRDefault="00562751">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Suitability for Field Use</w:t>
      </w:r>
      <w:r>
        <w:rPr>
          <w:rFonts w:ascii="Arial" w:eastAsia="Times New Roman" w:hAnsi="Arial" w:cs="Arial"/>
          <w:sz w:val="20"/>
          <w:szCs w:val="20"/>
          <w:lang w:eastAsia="en-IN"/>
        </w:rPr>
        <w:t>: The scale's simplicity enhances usability in rural settings and field data collection environments.</w:t>
      </w:r>
    </w:p>
    <w:p w:rsidR="00351CAE" w:rsidRDefault="00562751">
      <w:pPr>
        <w:numPr>
          <w:ilvl w:val="0"/>
          <w:numId w:val="11"/>
        </w:num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Compatibility with Statistical Validation</w:t>
      </w:r>
      <w:r>
        <w:rPr>
          <w:rFonts w:ascii="Arial" w:eastAsia="Times New Roman" w:hAnsi="Arial" w:cs="Arial"/>
          <w:sz w:val="20"/>
          <w:szCs w:val="20"/>
          <w:lang w:eastAsia="en-IN"/>
        </w:rPr>
        <w:t>: The interval structure supports psychometric evaluations such as Content Validity Ratio (CVR) and Cronbach’s alpha for internal consistency.</w:t>
      </w:r>
    </w:p>
    <w:p w:rsidR="00351CAE" w:rsidRDefault="00562751">
      <w:p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The total score is derived by summing the scores across all components (maximum possible = 144). These scores are then categorized into four socio-economic status (SES) groups using equal intervals:</w:t>
      </w:r>
    </w:p>
    <w:p w:rsidR="00351CAE" w:rsidRDefault="00562751">
      <w:pPr>
        <w:numPr>
          <w:ilvl w:val="0"/>
          <w:numId w:val="12"/>
        </w:num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Very Low (0–36)</w:t>
      </w:r>
    </w:p>
    <w:p w:rsidR="00351CAE" w:rsidRDefault="00562751">
      <w:pPr>
        <w:numPr>
          <w:ilvl w:val="0"/>
          <w:numId w:val="12"/>
        </w:num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Low (37–72)</w:t>
      </w:r>
    </w:p>
    <w:p w:rsidR="00351CAE" w:rsidRDefault="00562751">
      <w:pPr>
        <w:numPr>
          <w:ilvl w:val="0"/>
          <w:numId w:val="12"/>
        </w:num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Medium (73–108)</w:t>
      </w:r>
    </w:p>
    <w:p w:rsidR="00351CAE" w:rsidRDefault="00562751">
      <w:pPr>
        <w:numPr>
          <w:ilvl w:val="0"/>
          <w:numId w:val="12"/>
        </w:num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High (109–144)</w:t>
      </w:r>
    </w:p>
    <w:p w:rsidR="00351CAE" w:rsidRDefault="00562751">
      <w:pPr>
        <w:spacing w:before="100" w:beforeAutospacing="1" w:after="100" w:afterAutospacing="1" w:line="240" w:lineRule="auto"/>
        <w:rPr>
          <w:rFonts w:ascii="Arial" w:eastAsia="Times New Roman" w:hAnsi="Arial" w:cs="Arial"/>
          <w:sz w:val="20"/>
          <w:szCs w:val="20"/>
          <w:lang w:eastAsia="en-IN"/>
        </w:rPr>
      </w:pPr>
      <w:r>
        <w:rPr>
          <w:rFonts w:ascii="Arial" w:eastAsia="Times New Roman" w:hAnsi="Arial" w:cs="Arial"/>
          <w:sz w:val="20"/>
          <w:szCs w:val="20"/>
          <w:lang w:eastAsia="en-IN"/>
        </w:rPr>
        <w:t>These thresholds provide a framework for consistent classification, although they may be adapted based on data distribution or specific analytical objectives.</w:t>
      </w:r>
    </w:p>
    <w:p w:rsidR="00351CAE" w:rsidRDefault="00562751">
      <w:pPr>
        <w:spacing w:after="0" w:line="360" w:lineRule="auto"/>
        <w:jc w:val="both"/>
        <w:rPr>
          <w:rFonts w:ascii="Arial" w:eastAsia="Times New Roman" w:hAnsi="Arial" w:cs="Arial"/>
          <w:b/>
          <w:bCs/>
          <w:lang w:eastAsia="en-IN"/>
        </w:rPr>
      </w:pPr>
      <w:r>
        <w:rPr>
          <w:rFonts w:ascii="Arial" w:eastAsia="Times New Roman" w:hAnsi="Arial" w:cs="Arial"/>
          <w:b/>
          <w:bCs/>
          <w:lang w:eastAsia="en-IN"/>
        </w:rPr>
        <w:t>2.4 Face Validity</w:t>
      </w:r>
    </w:p>
    <w:p w:rsidR="00351CAE" w:rsidRDefault="00562751">
      <w:pPr>
        <w:spacing w:after="0" w:line="360" w:lineRule="auto"/>
        <w:jc w:val="both"/>
        <w:rPr>
          <w:rFonts w:ascii="Arial" w:eastAsia="Times New Roman" w:hAnsi="Arial" w:cs="Arial"/>
          <w:sz w:val="20"/>
          <w:szCs w:val="20"/>
          <w:lang w:eastAsia="en-IN"/>
        </w:rPr>
      </w:pPr>
      <w:r>
        <w:rPr>
          <w:rFonts w:ascii="Arial" w:hAnsi="Arial" w:cs="Arial"/>
          <w:sz w:val="20"/>
          <w:szCs w:val="20"/>
        </w:rPr>
        <w:t xml:space="preserve">Face validity was established through expert review to ensure the items appeared appropriate, relevant, and representative of the intended constructs. Subject matter experts evaluated whether the scale items were conceptually aligned with the domains of </w:t>
      </w:r>
      <w:proofErr w:type="spellStart"/>
      <w:r>
        <w:rPr>
          <w:rFonts w:ascii="Arial" w:hAnsi="Arial" w:cs="Arial"/>
          <w:sz w:val="20"/>
          <w:szCs w:val="20"/>
        </w:rPr>
        <w:t>khuti</w:t>
      </w:r>
      <w:proofErr w:type="spellEnd"/>
      <w:r>
        <w:rPr>
          <w:rFonts w:ascii="Arial" w:hAnsi="Arial" w:cs="Arial"/>
          <w:sz w:val="20"/>
          <w:szCs w:val="20"/>
        </w:rPr>
        <w:t xml:space="preserve"> livelihood and farming vulnerability.</w:t>
      </w:r>
    </w:p>
    <w:p w:rsidR="00351CAE" w:rsidRDefault="00562751">
      <w:pPr>
        <w:spacing w:after="0" w:line="360" w:lineRule="auto"/>
        <w:jc w:val="both"/>
        <w:rPr>
          <w:rFonts w:ascii="Arial" w:eastAsia="Times New Roman" w:hAnsi="Arial" w:cs="Arial"/>
          <w:b/>
          <w:bCs/>
          <w:lang w:eastAsia="en-IN"/>
        </w:rPr>
      </w:pPr>
      <w:r>
        <w:rPr>
          <w:rFonts w:ascii="Arial" w:eastAsia="Times New Roman" w:hAnsi="Arial" w:cs="Arial"/>
          <w:b/>
          <w:bCs/>
          <w:lang w:eastAsia="en-IN"/>
        </w:rPr>
        <w:t>2.5 Pilot Testing and Reliability Analysis</w:t>
      </w:r>
    </w:p>
    <w:p w:rsidR="00351CAE" w:rsidRDefault="00562751">
      <w:pPr>
        <w:spacing w:after="0" w:line="360" w:lineRule="auto"/>
        <w:jc w:val="both"/>
        <w:rPr>
          <w:rFonts w:ascii="Arial" w:hAnsi="Arial" w:cs="Arial"/>
          <w:sz w:val="20"/>
          <w:szCs w:val="20"/>
        </w:rPr>
      </w:pPr>
      <w:r>
        <w:rPr>
          <w:rFonts w:ascii="Arial" w:hAnsi="Arial" w:cs="Arial"/>
          <w:sz w:val="20"/>
          <w:szCs w:val="20"/>
        </w:rPr>
        <w:t xml:space="preserve">The draft ARLFS was pilot tested with 20 </w:t>
      </w:r>
      <w:proofErr w:type="spellStart"/>
      <w:r>
        <w:rPr>
          <w:rFonts w:ascii="Arial" w:hAnsi="Arial" w:cs="Arial"/>
          <w:sz w:val="20"/>
          <w:szCs w:val="20"/>
        </w:rPr>
        <w:t>Khuti</w:t>
      </w:r>
      <w:proofErr w:type="spellEnd"/>
      <w:r>
        <w:rPr>
          <w:rFonts w:ascii="Arial" w:hAnsi="Arial" w:cs="Arial"/>
          <w:sz w:val="20"/>
          <w:szCs w:val="20"/>
        </w:rPr>
        <w:t xml:space="preserve"> households in a non-sampling area, to assess clarity, feasibility, and respondent understanding. Based on feedback, items were refined for relevance and comprehension. Internal consistency was measured using </w:t>
      </w:r>
      <w:r>
        <w:rPr>
          <w:rStyle w:val="Strong"/>
          <w:rFonts w:ascii="Arial" w:hAnsi="Arial" w:cs="Arial"/>
          <w:b w:val="0"/>
          <w:sz w:val="20"/>
          <w:szCs w:val="20"/>
        </w:rPr>
        <w:t>Cronbach’s alpha (α</w:t>
      </w:r>
      <w:r>
        <w:rPr>
          <w:rStyle w:val="Strong"/>
          <w:rFonts w:ascii="Arial" w:hAnsi="Arial" w:cs="Arial"/>
          <w:sz w:val="20"/>
          <w:szCs w:val="20"/>
        </w:rPr>
        <w:t>)</w:t>
      </w:r>
      <w:r>
        <w:rPr>
          <w:rFonts w:ascii="Arial" w:hAnsi="Arial" w:cs="Arial"/>
          <w:sz w:val="20"/>
          <w:szCs w:val="20"/>
        </w:rPr>
        <w:t xml:space="preserve"> to evaluate the reliability of the overall scale and its sub-domains.</w:t>
      </w:r>
    </w:p>
    <w:p w:rsidR="00351CAE" w:rsidRDefault="00351CAE">
      <w:pPr>
        <w:spacing w:after="0" w:line="360" w:lineRule="auto"/>
        <w:jc w:val="both"/>
        <w:rPr>
          <w:rFonts w:ascii="Arial" w:hAnsi="Arial" w:cs="Arial"/>
          <w:sz w:val="20"/>
          <w:szCs w:val="20"/>
        </w:rPr>
      </w:pPr>
    </w:p>
    <w:p w:rsidR="00351CAE" w:rsidRDefault="00562751">
      <w:pPr>
        <w:spacing w:after="0" w:line="360" w:lineRule="auto"/>
        <w:jc w:val="both"/>
        <w:rPr>
          <w:rFonts w:ascii="Arial" w:hAnsi="Arial" w:cs="Arial"/>
          <w:sz w:val="20"/>
          <w:szCs w:val="20"/>
        </w:rPr>
      </w:pPr>
      <w:r>
        <w:rPr>
          <w:rFonts w:ascii="Arial" w:hAnsi="Arial" w:cs="Arial"/>
          <w:noProof/>
          <w:sz w:val="20"/>
          <w:szCs w:val="20"/>
          <w:lang w:val="en-US"/>
        </w:rPr>
        <w:drawing>
          <wp:anchor distT="0" distB="0" distL="114300" distR="114300" simplePos="0" relativeHeight="251661312" behindDoc="1" locked="0" layoutInCell="1" allowOverlap="1">
            <wp:simplePos x="0" y="0"/>
            <wp:positionH relativeFrom="margin">
              <wp:align>left</wp:align>
            </wp:positionH>
            <wp:positionV relativeFrom="paragraph">
              <wp:posOffset>173990</wp:posOffset>
            </wp:positionV>
            <wp:extent cx="1785105" cy="69532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2045" t="41675" r="42167" b="47389"/>
                    <a:stretch/>
                  </pic:blipFill>
                  <pic:spPr bwMode="auto">
                    <a:xfrm>
                      <a:off x="0" y="0"/>
                      <a:ext cx="1786998" cy="696062"/>
                    </a:xfrm>
                    <a:prstGeom prst="rect">
                      <a:avLst/>
                    </a:prstGeom>
                    <a:ln>
                      <a:noFill/>
                    </a:ln>
                    <a:extLst>
                      <a:ext uri="{53640926-AAD7-44D8-BBD7-CCE9431645EC}">
                        <a14:shadowObscured xmlns:a14="http://schemas.microsoft.com/office/drawing/2010/main"/>
                      </a:ext>
                    </a:extLst>
                  </pic:spPr>
                </pic:pic>
              </a:graphicData>
            </a:graphic>
          </wp:anchor>
        </w:drawing>
      </w:r>
      <w:r>
        <w:rPr>
          <w:rStyle w:val="Strong"/>
          <w:rFonts w:ascii="Arial" w:hAnsi="Arial" w:cs="Arial"/>
          <w:sz w:val="20"/>
          <w:szCs w:val="20"/>
        </w:rPr>
        <w:t>Cronbach’s Alpha Formula</w:t>
      </w:r>
      <w:r>
        <w:rPr>
          <w:rFonts w:ascii="Arial" w:hAnsi="Arial" w:cs="Arial"/>
          <w:sz w:val="20"/>
          <w:szCs w:val="20"/>
        </w:rPr>
        <w:t>:</w:t>
      </w:r>
    </w:p>
    <w:p w:rsidR="00351CAE" w:rsidRDefault="00351CAE">
      <w:pPr>
        <w:spacing w:after="0" w:line="360" w:lineRule="auto"/>
        <w:jc w:val="both"/>
        <w:rPr>
          <w:rFonts w:ascii="Arial" w:hAnsi="Arial" w:cs="Arial"/>
          <w:sz w:val="20"/>
          <w:szCs w:val="20"/>
        </w:rPr>
      </w:pPr>
    </w:p>
    <w:p w:rsidR="00351CAE" w:rsidRDefault="00351CAE">
      <w:pPr>
        <w:spacing w:after="0" w:line="360" w:lineRule="auto"/>
        <w:jc w:val="both"/>
        <w:rPr>
          <w:rFonts w:ascii="Arial" w:eastAsia="Times New Roman" w:hAnsi="Arial" w:cs="Arial"/>
          <w:sz w:val="20"/>
          <w:szCs w:val="20"/>
          <w:lang w:eastAsia="en-IN"/>
        </w:rPr>
      </w:pPr>
    </w:p>
    <w:p w:rsidR="00351CAE" w:rsidRDefault="00562751">
      <w:pPr>
        <w:spacing w:after="0" w:line="360" w:lineRule="auto"/>
        <w:jc w:val="both"/>
        <w:rPr>
          <w:rFonts w:ascii="Arial" w:eastAsia="Times New Roman" w:hAnsi="Arial" w:cs="Arial"/>
          <w:sz w:val="20"/>
          <w:szCs w:val="20"/>
          <w:lang w:eastAsia="en-IN"/>
        </w:rPr>
      </w:pPr>
      <w:r>
        <w:rPr>
          <w:rFonts w:ascii="Arial" w:hAnsi="Arial" w:cs="Arial"/>
          <w:noProof/>
          <w:sz w:val="20"/>
          <w:szCs w:val="20"/>
          <w:lang w:val="en-US"/>
        </w:rPr>
        <w:drawing>
          <wp:anchor distT="0" distB="0" distL="114300" distR="114300" simplePos="0" relativeHeight="251662336" behindDoc="1" locked="0" layoutInCell="1" allowOverlap="1">
            <wp:simplePos x="0" y="0"/>
            <wp:positionH relativeFrom="margin">
              <wp:align>left</wp:align>
            </wp:positionH>
            <wp:positionV relativeFrom="paragraph">
              <wp:posOffset>87630</wp:posOffset>
            </wp:positionV>
            <wp:extent cx="2028825" cy="1078865"/>
            <wp:effectExtent l="0" t="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105" t="51429" r="63273" b="33793"/>
                    <a:stretch/>
                  </pic:blipFill>
                  <pic:spPr bwMode="auto">
                    <a:xfrm>
                      <a:off x="0" y="0"/>
                      <a:ext cx="2028825" cy="1078865"/>
                    </a:xfrm>
                    <a:prstGeom prst="rect">
                      <a:avLst/>
                    </a:prstGeom>
                    <a:ln>
                      <a:noFill/>
                    </a:ln>
                    <a:extLst>
                      <a:ext uri="{53640926-AAD7-44D8-BBD7-CCE9431645EC}">
                        <a14:shadowObscured xmlns:a14="http://schemas.microsoft.com/office/drawing/2010/main"/>
                      </a:ext>
                    </a:extLst>
                  </pic:spPr>
                </pic:pic>
              </a:graphicData>
            </a:graphic>
          </wp:anchor>
        </w:drawing>
      </w:r>
    </w:p>
    <w:p w:rsidR="00351CAE" w:rsidRDefault="00351CAE">
      <w:pPr>
        <w:spacing w:after="0" w:line="360" w:lineRule="auto"/>
        <w:jc w:val="both"/>
        <w:rPr>
          <w:rFonts w:ascii="Arial" w:eastAsia="Times New Roman" w:hAnsi="Arial" w:cs="Arial"/>
          <w:sz w:val="20"/>
          <w:szCs w:val="20"/>
          <w:lang w:eastAsia="en-IN"/>
        </w:rPr>
      </w:pPr>
    </w:p>
    <w:p w:rsidR="00351CAE" w:rsidRDefault="00351CAE">
      <w:pPr>
        <w:spacing w:after="0" w:line="360" w:lineRule="auto"/>
        <w:jc w:val="both"/>
        <w:rPr>
          <w:rFonts w:ascii="Arial" w:eastAsia="Times New Roman" w:hAnsi="Arial" w:cs="Arial"/>
          <w:sz w:val="20"/>
          <w:szCs w:val="20"/>
          <w:lang w:eastAsia="en-IN"/>
        </w:rPr>
      </w:pPr>
    </w:p>
    <w:p w:rsidR="00351CAE" w:rsidRDefault="00351CAE">
      <w:pPr>
        <w:spacing w:after="0" w:line="360" w:lineRule="auto"/>
        <w:jc w:val="both"/>
        <w:rPr>
          <w:rFonts w:ascii="Arial" w:eastAsia="Times New Roman" w:hAnsi="Arial" w:cs="Arial"/>
          <w:sz w:val="20"/>
          <w:szCs w:val="20"/>
          <w:lang w:eastAsia="en-IN"/>
        </w:rPr>
      </w:pPr>
    </w:p>
    <w:p w:rsidR="00351CAE" w:rsidRDefault="00351CAE">
      <w:pPr>
        <w:spacing w:after="0" w:line="360" w:lineRule="auto"/>
        <w:jc w:val="both"/>
        <w:rPr>
          <w:rFonts w:ascii="Arial" w:eastAsia="Times New Roman" w:hAnsi="Arial" w:cs="Arial"/>
          <w:sz w:val="20"/>
          <w:szCs w:val="20"/>
          <w:lang w:eastAsia="en-IN"/>
        </w:rPr>
      </w:pP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According to standard psychometric guidelines</w:t>
      </w:r>
    </w:p>
    <w:p w:rsidR="00351CAE" w:rsidRDefault="00562751">
      <w:pPr>
        <w:pStyle w:val="NormalWeb"/>
        <w:spacing w:before="0" w:beforeAutospacing="0" w:after="0" w:afterAutospacing="0" w:line="360" w:lineRule="auto"/>
        <w:jc w:val="both"/>
        <w:rPr>
          <w:rFonts w:ascii="Arial" w:hAnsi="Arial" w:cs="Arial"/>
          <w:b/>
          <w:sz w:val="20"/>
          <w:szCs w:val="20"/>
        </w:rPr>
      </w:pPr>
      <w:proofErr w:type="gramStart"/>
      <w:r>
        <w:rPr>
          <w:rFonts w:ascii="Arial" w:hAnsi="Arial" w:cs="Arial"/>
          <w:b/>
          <w:sz w:val="20"/>
          <w:szCs w:val="20"/>
        </w:rPr>
        <w:t xml:space="preserve">  </w:t>
      </w:r>
      <w:r>
        <w:rPr>
          <w:rStyle w:val="Strong"/>
          <w:rFonts w:ascii="Arial" w:hAnsi="Arial" w:cs="Arial"/>
          <w:b w:val="0"/>
          <w:sz w:val="20"/>
          <w:szCs w:val="20"/>
        </w:rPr>
        <w:t>α</w:t>
      </w:r>
      <w:proofErr w:type="gramEnd"/>
      <w:r>
        <w:rPr>
          <w:rStyle w:val="Strong"/>
          <w:rFonts w:ascii="Arial" w:hAnsi="Arial" w:cs="Arial"/>
          <w:b w:val="0"/>
          <w:sz w:val="20"/>
          <w:szCs w:val="20"/>
        </w:rPr>
        <w:t xml:space="preserve"> ≥ 0.9</w:t>
      </w:r>
      <w:r>
        <w:rPr>
          <w:rFonts w:ascii="Arial" w:hAnsi="Arial" w:cs="Arial"/>
          <w:b/>
          <w:sz w:val="20"/>
          <w:szCs w:val="20"/>
        </w:rPr>
        <w:t xml:space="preserve"> = </w:t>
      </w:r>
      <w:r>
        <w:rPr>
          <w:rFonts w:ascii="Arial" w:hAnsi="Arial" w:cs="Arial"/>
          <w:sz w:val="20"/>
          <w:szCs w:val="20"/>
        </w:rPr>
        <w:t>Excellent</w:t>
      </w:r>
    </w:p>
    <w:p w:rsidR="00351CAE" w:rsidRDefault="00562751">
      <w:pPr>
        <w:pStyle w:val="NormalWeb"/>
        <w:spacing w:before="0" w:beforeAutospacing="0" w:after="0" w:afterAutospacing="0" w:line="360" w:lineRule="auto"/>
        <w:jc w:val="both"/>
        <w:rPr>
          <w:rFonts w:ascii="Arial" w:hAnsi="Arial" w:cs="Arial"/>
          <w:b/>
          <w:sz w:val="20"/>
          <w:szCs w:val="20"/>
        </w:rPr>
      </w:pPr>
      <w:proofErr w:type="gramStart"/>
      <w:r>
        <w:rPr>
          <w:rFonts w:ascii="Arial" w:hAnsi="Arial" w:cs="Arial"/>
          <w:b/>
          <w:sz w:val="20"/>
          <w:szCs w:val="20"/>
        </w:rPr>
        <w:t xml:space="preserve">  </w:t>
      </w:r>
      <w:r>
        <w:rPr>
          <w:rStyle w:val="Strong"/>
          <w:rFonts w:ascii="Arial" w:hAnsi="Arial" w:cs="Arial"/>
          <w:b w:val="0"/>
          <w:sz w:val="20"/>
          <w:szCs w:val="20"/>
        </w:rPr>
        <w:t>0.8</w:t>
      </w:r>
      <w:proofErr w:type="gramEnd"/>
      <w:r>
        <w:rPr>
          <w:rStyle w:val="Strong"/>
          <w:rFonts w:ascii="Arial" w:hAnsi="Arial" w:cs="Arial"/>
          <w:b w:val="0"/>
          <w:sz w:val="20"/>
          <w:szCs w:val="20"/>
        </w:rPr>
        <w:t xml:space="preserve"> ≤ α &lt; 0.9</w:t>
      </w:r>
      <w:r>
        <w:rPr>
          <w:rFonts w:ascii="Arial" w:hAnsi="Arial" w:cs="Arial"/>
          <w:b/>
          <w:sz w:val="20"/>
          <w:szCs w:val="20"/>
        </w:rPr>
        <w:t xml:space="preserve"> = </w:t>
      </w:r>
      <w:r>
        <w:rPr>
          <w:rFonts w:ascii="Arial" w:hAnsi="Arial" w:cs="Arial"/>
          <w:sz w:val="20"/>
          <w:szCs w:val="20"/>
        </w:rPr>
        <w:t>Good</w:t>
      </w:r>
    </w:p>
    <w:p w:rsidR="00351CAE" w:rsidRDefault="00562751">
      <w:pPr>
        <w:pStyle w:val="NormalWeb"/>
        <w:spacing w:before="0" w:beforeAutospacing="0" w:after="0" w:afterAutospacing="0" w:line="360" w:lineRule="auto"/>
        <w:jc w:val="both"/>
        <w:rPr>
          <w:rFonts w:ascii="Arial" w:hAnsi="Arial" w:cs="Arial"/>
          <w:b/>
          <w:sz w:val="20"/>
          <w:szCs w:val="20"/>
        </w:rPr>
      </w:pPr>
      <w:proofErr w:type="gramStart"/>
      <w:r>
        <w:rPr>
          <w:rFonts w:ascii="Arial" w:hAnsi="Arial" w:cs="Arial"/>
          <w:b/>
          <w:sz w:val="20"/>
          <w:szCs w:val="20"/>
        </w:rPr>
        <w:t xml:space="preserve">  </w:t>
      </w:r>
      <w:r>
        <w:rPr>
          <w:rStyle w:val="Strong"/>
          <w:rFonts w:ascii="Arial" w:hAnsi="Arial" w:cs="Arial"/>
          <w:b w:val="0"/>
          <w:sz w:val="20"/>
          <w:szCs w:val="20"/>
        </w:rPr>
        <w:t>0.7</w:t>
      </w:r>
      <w:proofErr w:type="gramEnd"/>
      <w:r>
        <w:rPr>
          <w:rStyle w:val="Strong"/>
          <w:rFonts w:ascii="Arial" w:hAnsi="Arial" w:cs="Arial"/>
          <w:b w:val="0"/>
          <w:sz w:val="20"/>
          <w:szCs w:val="20"/>
        </w:rPr>
        <w:t xml:space="preserve"> ≤ α &lt; 0.8</w:t>
      </w:r>
      <w:r>
        <w:rPr>
          <w:rFonts w:ascii="Arial" w:hAnsi="Arial" w:cs="Arial"/>
          <w:b/>
          <w:sz w:val="20"/>
          <w:szCs w:val="20"/>
        </w:rPr>
        <w:t xml:space="preserve"> =</w:t>
      </w:r>
      <w:r>
        <w:rPr>
          <w:rFonts w:ascii="Arial" w:hAnsi="Arial" w:cs="Arial"/>
          <w:sz w:val="20"/>
          <w:szCs w:val="20"/>
        </w:rPr>
        <w:t xml:space="preserve"> Acceptable</w:t>
      </w:r>
    </w:p>
    <w:p w:rsidR="00351CAE" w:rsidRDefault="00562751">
      <w:pPr>
        <w:pStyle w:val="NormalWeb"/>
        <w:spacing w:before="0" w:beforeAutospacing="0" w:after="0" w:afterAutospacing="0" w:line="360" w:lineRule="auto"/>
        <w:jc w:val="both"/>
        <w:rPr>
          <w:rFonts w:ascii="Arial" w:hAnsi="Arial" w:cs="Arial"/>
          <w:b/>
          <w:sz w:val="20"/>
          <w:szCs w:val="20"/>
        </w:rPr>
      </w:pPr>
      <w:proofErr w:type="gramStart"/>
      <w:r>
        <w:rPr>
          <w:rFonts w:ascii="Arial" w:hAnsi="Arial" w:cs="Arial"/>
          <w:b/>
          <w:sz w:val="20"/>
          <w:szCs w:val="20"/>
        </w:rPr>
        <w:t xml:space="preserve">  </w:t>
      </w:r>
      <w:r>
        <w:rPr>
          <w:rStyle w:val="Strong"/>
          <w:rFonts w:ascii="Arial" w:hAnsi="Arial" w:cs="Arial"/>
          <w:b w:val="0"/>
          <w:sz w:val="20"/>
          <w:szCs w:val="20"/>
        </w:rPr>
        <w:t>α</w:t>
      </w:r>
      <w:proofErr w:type="gramEnd"/>
      <w:r>
        <w:rPr>
          <w:rStyle w:val="Strong"/>
          <w:rFonts w:ascii="Arial" w:hAnsi="Arial" w:cs="Arial"/>
          <w:b w:val="0"/>
          <w:sz w:val="20"/>
          <w:szCs w:val="20"/>
        </w:rPr>
        <w:t>&lt; 0.7</w:t>
      </w:r>
      <w:r>
        <w:rPr>
          <w:rFonts w:ascii="Arial" w:hAnsi="Arial" w:cs="Arial"/>
          <w:sz w:val="20"/>
          <w:szCs w:val="20"/>
        </w:rPr>
        <w:t>= Questionable or Poor</w:t>
      </w:r>
    </w:p>
    <w:p w:rsidR="00351CAE" w:rsidRDefault="00562751">
      <w:pPr>
        <w:spacing w:after="0" w:line="360" w:lineRule="auto"/>
        <w:jc w:val="both"/>
        <w:rPr>
          <w:rFonts w:ascii="Arial" w:hAnsi="Arial" w:cs="Arial"/>
          <w:sz w:val="20"/>
          <w:szCs w:val="20"/>
        </w:rPr>
      </w:pPr>
      <w:r>
        <w:rPr>
          <w:rFonts w:ascii="Arial" w:hAnsi="Arial" w:cs="Arial"/>
          <w:sz w:val="20"/>
          <w:szCs w:val="20"/>
        </w:rPr>
        <w:lastRenderedPageBreak/>
        <w:t>Cronbach’s alpha values ≥ 0.70 were deemed acceptable based on established psychometric standards. Items lowering reliability were reviewed and adjusted or removed.</w:t>
      </w:r>
    </w:p>
    <w:p w:rsidR="00351CAE" w:rsidRDefault="00562751">
      <w:pPr>
        <w:spacing w:after="0" w:line="360" w:lineRule="auto"/>
        <w:jc w:val="both"/>
        <w:rPr>
          <w:rFonts w:ascii="Arial" w:hAnsi="Arial" w:cs="Arial"/>
          <w:b/>
        </w:rPr>
      </w:pPr>
      <w:r>
        <w:rPr>
          <w:rFonts w:ascii="Arial" w:hAnsi="Arial" w:cs="Arial"/>
          <w:b/>
        </w:rPr>
        <w:t>2.6 Data Analysis</w:t>
      </w:r>
    </w:p>
    <w:p w:rsidR="00351CAE" w:rsidRDefault="00562751">
      <w:pPr>
        <w:spacing w:after="0" w:line="360" w:lineRule="auto"/>
        <w:jc w:val="both"/>
        <w:rPr>
          <w:rFonts w:ascii="Arial" w:hAnsi="Arial" w:cs="Arial"/>
          <w:sz w:val="20"/>
          <w:szCs w:val="20"/>
        </w:rPr>
      </w:pPr>
      <w:r>
        <w:rPr>
          <w:rFonts w:ascii="Arial" w:hAnsi="Arial" w:cs="Arial"/>
          <w:sz w:val="20"/>
          <w:szCs w:val="20"/>
        </w:rPr>
        <w:t>All statistical analyses were performed using IBM SPSS Statistics version 25 (IBM Corp., Armonk, NY, USA) and Microsoft Excel 2019 (Microsoft Corp., Redmond, WA, USA).</w:t>
      </w:r>
    </w:p>
    <w:p w:rsidR="00C63D5F" w:rsidRDefault="00C63D5F">
      <w:pPr>
        <w:spacing w:after="0" w:line="360" w:lineRule="auto"/>
        <w:jc w:val="both"/>
        <w:rPr>
          <w:rFonts w:ascii="Arial" w:hAnsi="Arial" w:cs="Arial"/>
          <w:b/>
          <w:sz w:val="20"/>
          <w:szCs w:val="20"/>
        </w:rPr>
      </w:pPr>
      <w:r w:rsidRPr="00C01C78">
        <w:rPr>
          <w:rFonts w:ascii="Arial" w:hAnsi="Arial" w:cs="Arial"/>
          <w:sz w:val="20"/>
          <w:szCs w:val="20"/>
          <w:lang w:val="en-US"/>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in;height:270pt" o:ole="">
            <v:imagedata r:id="rId11" o:title=""/>
          </v:shape>
          <o:OLEObject Type="Embed" ProgID="PowerPoint.Slide.12" ShapeID="_x0000_i1027" DrawAspect="Content" ObjectID="_1816182986" r:id="rId12"/>
        </w:object>
      </w:r>
    </w:p>
    <w:p w:rsidR="00351CAE" w:rsidRDefault="00562751">
      <w:pPr>
        <w:spacing w:after="0" w:line="360" w:lineRule="auto"/>
        <w:jc w:val="both"/>
        <w:outlineLvl w:val="2"/>
        <w:rPr>
          <w:rFonts w:ascii="Arial" w:eastAsia="Times New Roman" w:hAnsi="Arial" w:cs="Arial"/>
          <w:b/>
          <w:bCs/>
          <w:lang w:eastAsia="en-IN"/>
        </w:rPr>
      </w:pPr>
      <w:r>
        <w:rPr>
          <w:rFonts w:ascii="Arial" w:eastAsia="Times New Roman" w:hAnsi="Arial" w:cs="Arial"/>
          <w:b/>
          <w:bCs/>
          <w:lang w:eastAsia="en-IN"/>
        </w:rPr>
        <w:t>3. Results and Discussion</w:t>
      </w:r>
    </w:p>
    <w:p w:rsidR="00351CAE" w:rsidRDefault="00562751">
      <w:pPr>
        <w:spacing w:after="0" w:line="360" w:lineRule="auto"/>
        <w:jc w:val="both"/>
        <w:outlineLvl w:val="3"/>
        <w:rPr>
          <w:rFonts w:ascii="Arial" w:eastAsia="Times New Roman" w:hAnsi="Arial" w:cs="Arial"/>
          <w:b/>
          <w:bCs/>
          <w:lang w:eastAsia="en-IN"/>
        </w:rPr>
      </w:pPr>
      <w:r>
        <w:rPr>
          <w:rFonts w:ascii="Arial" w:eastAsia="Times New Roman" w:hAnsi="Arial" w:cs="Arial"/>
          <w:b/>
          <w:bCs/>
          <w:lang w:eastAsia="en-IN"/>
        </w:rPr>
        <w:t>3.1 Content Validity Results</w:t>
      </w:r>
    </w:p>
    <w:p w:rsidR="00351CAE" w:rsidRDefault="00562751">
      <w:pPr>
        <w:spacing w:after="0" w:line="360" w:lineRule="auto"/>
        <w:jc w:val="both"/>
        <w:rPr>
          <w:rFonts w:ascii="Arial" w:eastAsia="Times New Roman" w:hAnsi="Arial" w:cs="Arial"/>
          <w:sz w:val="20"/>
          <w:szCs w:val="20"/>
          <w:lang w:eastAsia="en-IN"/>
        </w:rPr>
      </w:pPr>
      <w:r>
        <w:rPr>
          <w:rFonts w:ascii="Arial" w:eastAsia="Times New Roman" w:hAnsi="Arial" w:cs="Arial"/>
          <w:sz w:val="20"/>
          <w:szCs w:val="20"/>
          <w:lang w:eastAsia="en-IN"/>
        </w:rPr>
        <w:t>Table 1: The Content Validity Ratios (CVR) for the 30 ARLFS components are presented below:</w:t>
      </w:r>
    </w:p>
    <w:tbl>
      <w:tblPr>
        <w:tblW w:w="8640" w:type="dxa"/>
        <w:tblCellMar>
          <w:left w:w="0" w:type="dxa"/>
          <w:right w:w="0" w:type="dxa"/>
        </w:tblCellMar>
        <w:tblLook w:val="04A0" w:firstRow="1" w:lastRow="0" w:firstColumn="1" w:lastColumn="0" w:noHBand="0" w:noVBand="1"/>
      </w:tblPr>
      <w:tblGrid>
        <w:gridCol w:w="730"/>
        <w:gridCol w:w="4770"/>
        <w:gridCol w:w="630"/>
        <w:gridCol w:w="720"/>
        <w:gridCol w:w="690"/>
        <w:gridCol w:w="1100"/>
      </w:tblGrid>
      <w:tr w:rsidR="00351CAE">
        <w:trPr>
          <w:trHeight w:val="109"/>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Sl. No.</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Component</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Ne</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N</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CVR</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center"/>
              <w:rPr>
                <w:rFonts w:ascii="Arial" w:eastAsia="Times New Roman" w:hAnsi="Arial" w:cs="Arial"/>
                <w:sz w:val="20"/>
                <w:szCs w:val="20"/>
                <w:lang w:val="en-US" w:eastAsia="en-IN"/>
              </w:rPr>
            </w:pPr>
            <w:r>
              <w:rPr>
                <w:rFonts w:ascii="Arial" w:eastAsia="Times New Roman" w:hAnsi="Arial" w:cs="Arial"/>
                <w:sz w:val="20"/>
                <w:szCs w:val="20"/>
                <w:lang w:eastAsia="en-IN"/>
              </w:rPr>
              <w:t>Status</w:t>
            </w:r>
          </w:p>
        </w:tc>
      </w:tr>
      <w:tr w:rsidR="00351CAE">
        <w:trPr>
          <w:trHeight w:val="37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Household Demographic Composition</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189"/>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Livelihood Security</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13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3</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Food Security</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4</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Psychosocial Well-being</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16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Type of Shelter</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26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6</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Socio-Demographic Profile</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4</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-0.20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21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7</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Access to Healthcare</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21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8</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Education for Children</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8</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0.60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Reconsider</w:t>
            </w:r>
          </w:p>
        </w:tc>
      </w:tr>
      <w:tr w:rsidR="00351CAE">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9</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Child Nutrition &amp; Health</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Adult Education &amp; Skills</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6</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0.20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16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11</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Asset Ownership</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189"/>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12</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Social Integration</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29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13</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Mobility Control &amp; Autonomy</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9</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0.80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29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14</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Land Tenure &amp; Eviction Risk</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34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lastRenderedPageBreak/>
              <w:t>15</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Livestock Health &amp; Productivity</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401"/>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16</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Environmental &amp; Livelihood Vulnerability</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401"/>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17</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Psychological Stress &amp; Coping Mechanisms</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6</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0.20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42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18</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Veterinary &amp; Extension Service Accessibility</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19</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Credit Facility Access</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189"/>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20</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Institutional Linkage</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34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21</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Market Access &amp; Price Realization</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401"/>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22</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Access to Communication Infrastructure</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6</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0.20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454"/>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23</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Household Decision-Making &amp; Gender Equity</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26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24</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Savings &amp; Financial Security</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24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25</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Clean Water &amp; Sanitation</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7</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0.40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162"/>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26</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Energy Access</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268"/>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27</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Cultural Practices &amp; Traditions</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454"/>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28</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Digital Connectivity &amp; Information Access</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9</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0.80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r w:rsidR="00351CAE">
        <w:trPr>
          <w:trHeight w:val="37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29</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Legal Awareness &amp; Rights Knowledge</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0.00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Rejected</w:t>
            </w:r>
          </w:p>
        </w:tc>
      </w:tr>
      <w:tr w:rsidR="00351CAE">
        <w:trPr>
          <w:trHeight w:val="215"/>
        </w:trPr>
        <w:tc>
          <w:tcPr>
            <w:tcW w:w="7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30</w:t>
            </w:r>
          </w:p>
        </w:tc>
        <w:tc>
          <w:tcPr>
            <w:tcW w:w="477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Transportation Access</w:t>
            </w:r>
          </w:p>
        </w:tc>
        <w:tc>
          <w:tcPr>
            <w:tcW w:w="63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72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69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1.00</w:t>
            </w:r>
          </w:p>
        </w:tc>
        <w:tc>
          <w:tcPr>
            <w:tcW w:w="1100" w:type="dxa"/>
            <w:tcBorders>
              <w:top w:val="single" w:sz="8" w:space="0" w:color="000000"/>
              <w:left w:val="single" w:sz="8" w:space="0" w:color="000000"/>
              <w:bottom w:val="single" w:sz="8" w:space="0" w:color="000000"/>
              <w:right w:val="single" w:sz="8" w:space="0" w:color="000000"/>
            </w:tcBorders>
            <w:tcMar>
              <w:top w:w="1" w:type="dxa"/>
              <w:left w:w="1" w:type="dxa"/>
              <w:bottom w:w="1" w:type="dxa"/>
              <w:right w:w="1" w:type="dxa"/>
            </w:tcMar>
            <w:vAlign w:val="center"/>
            <w:hideMark/>
          </w:tcPr>
          <w:p w:rsidR="00351CAE" w:rsidRDefault="00562751">
            <w:pPr>
              <w:spacing w:after="0" w:line="360" w:lineRule="auto"/>
              <w:jc w:val="both"/>
              <w:rPr>
                <w:rFonts w:ascii="Arial" w:eastAsia="Times New Roman" w:hAnsi="Arial" w:cs="Arial"/>
                <w:sz w:val="20"/>
                <w:szCs w:val="20"/>
                <w:lang w:val="en-US" w:eastAsia="en-IN"/>
              </w:rPr>
            </w:pPr>
            <w:r>
              <w:rPr>
                <w:rFonts w:ascii="Arial" w:eastAsia="Times New Roman" w:hAnsi="Arial" w:cs="Arial"/>
                <w:sz w:val="20"/>
                <w:szCs w:val="20"/>
                <w:lang w:eastAsia="en-IN"/>
              </w:rPr>
              <w:t>Accepted</w:t>
            </w:r>
          </w:p>
        </w:tc>
      </w:tr>
    </w:tbl>
    <w:p w:rsidR="00351CAE" w:rsidRDefault="00562751">
      <w:pPr>
        <w:spacing w:after="0" w:line="360" w:lineRule="auto"/>
        <w:jc w:val="both"/>
        <w:rPr>
          <w:rFonts w:ascii="Arial" w:eastAsia="Times New Roman" w:hAnsi="Arial" w:cs="Arial"/>
          <w:sz w:val="20"/>
          <w:szCs w:val="20"/>
          <w:lang w:eastAsia="en-IN"/>
        </w:rPr>
      </w:pPr>
      <w:r>
        <w:rPr>
          <w:rFonts w:ascii="Arial" w:eastAsia="Times New Roman" w:hAnsi="Arial" w:cs="Arial"/>
          <w:sz w:val="20"/>
          <w:szCs w:val="20"/>
          <w:lang w:eastAsia="en-IN"/>
        </w:rPr>
        <w:t>Note: ‘Ne’ = Number of experts rating the item as essential; ‘N’ = Total number of experts</w:t>
      </w:r>
    </w:p>
    <w:p w:rsidR="005C3BF2" w:rsidRPr="000E7E39" w:rsidRDefault="00754047" w:rsidP="005C3BF2">
      <w:pPr>
        <w:pStyle w:val="NormalWeb"/>
        <w:jc w:val="both"/>
        <w:rPr>
          <w:rFonts w:ascii="Arial" w:hAnsi="Arial" w:cs="Arial"/>
          <w:color w:val="FF0000"/>
          <w:sz w:val="20"/>
          <w:szCs w:val="20"/>
        </w:rPr>
      </w:pPr>
      <w:r w:rsidRPr="000E7E39">
        <w:rPr>
          <w:rFonts w:ascii="Arial" w:hAnsi="Arial" w:cs="Arial"/>
          <w:color w:val="FF0000"/>
          <w:sz w:val="20"/>
          <w:szCs w:val="20"/>
        </w:rPr>
        <w:t xml:space="preserve">Based on the Content Validity Ratio (CVR) analysis detailed in Section 2.2, 18 components met the required threshold (CVR ≥ 0.62) and were included in the final version of the Assam Rural Livelihood and Farming Scale (ARLFS). One component (Education for Children) fell just below the </w:t>
      </w:r>
      <w:proofErr w:type="spellStart"/>
      <w:r w:rsidRPr="000E7E39">
        <w:rPr>
          <w:rFonts w:ascii="Arial" w:hAnsi="Arial" w:cs="Arial"/>
          <w:color w:val="FF0000"/>
          <w:sz w:val="20"/>
          <w:szCs w:val="20"/>
        </w:rPr>
        <w:t>cutoff</w:t>
      </w:r>
      <w:proofErr w:type="spellEnd"/>
      <w:r w:rsidRPr="000E7E39">
        <w:rPr>
          <w:rFonts w:ascii="Arial" w:hAnsi="Arial" w:cs="Arial"/>
          <w:color w:val="FF0000"/>
          <w:sz w:val="20"/>
          <w:szCs w:val="20"/>
        </w:rPr>
        <w:t xml:space="preserve"> (CVR = 0.60) and was flagged for possible reconsideration. Meanwhile, 11 components with lower CVR values were excluded from the final scale. Table 1 provided a summary of the CVR scores and the retention status for all 30 components initially proposed. To further support the scale’s content validity, Scale-level Content Validity Index (S-CVI) metrics were also assessed. The S-CVI/UA (Universal Agreement) was calculated at 0.83, showing that 83% of the items had received unanimous agreement from the expert panel. The S-CVI/Ave (Average Agreement) was computed at 0.956, indicating a high level of overall consensus among experts. These results affirmed the scale’s strong relevance and expert approval.</w:t>
      </w:r>
    </w:p>
    <w:p w:rsidR="005C3BF2" w:rsidRPr="000E7E39" w:rsidRDefault="00754047">
      <w:pPr>
        <w:pStyle w:val="NormalWeb"/>
        <w:spacing w:before="0" w:beforeAutospacing="0" w:after="0" w:afterAutospacing="0"/>
        <w:jc w:val="both"/>
        <w:rPr>
          <w:rFonts w:ascii="Arial" w:hAnsi="Arial" w:cs="Arial"/>
          <w:color w:val="FF0000"/>
          <w:sz w:val="20"/>
          <w:szCs w:val="20"/>
        </w:rPr>
      </w:pPr>
      <w:r w:rsidRPr="000E7E39">
        <w:rPr>
          <w:rFonts w:ascii="Arial" w:hAnsi="Arial" w:cs="Arial"/>
          <w:color w:val="FF0000"/>
          <w:sz w:val="20"/>
          <w:szCs w:val="20"/>
        </w:rPr>
        <w:t>These findings aligned with well-established guidelines in scale development, which suggested that an S-CVI/Ave score of 0.90 or above was typically regarded as acceptable for demonstrating strong content validity (Wei et al., 2025). Therefore, the results supported the conclusion that the revised ARLFS was built on a robust foundation of expert validation, positioning it well for further psychometric evaluation and practical use in the field.</w:t>
      </w:r>
      <w:r w:rsidR="00925C3C">
        <w:rPr>
          <w:rFonts w:ascii="Arial" w:hAnsi="Arial" w:cs="Arial"/>
          <w:color w:val="FF0000"/>
          <w:sz w:val="20"/>
          <w:szCs w:val="20"/>
        </w:rPr>
        <w:t xml:space="preserve"> </w:t>
      </w:r>
      <w:r w:rsidR="00925C3C" w:rsidRPr="00925C3C">
        <w:rPr>
          <w:rFonts w:ascii="Arial" w:hAnsi="Arial" w:cs="Arial"/>
          <w:sz w:val="20"/>
          <w:szCs w:val="20"/>
        </w:rPr>
        <w:t xml:space="preserve">Similar kinds of findings were also reported by </w:t>
      </w:r>
      <w:r w:rsidR="00925C3C" w:rsidRPr="00925C3C">
        <w:rPr>
          <w:rFonts w:ascii="Arial" w:hAnsi="Arial" w:cs="Arial"/>
          <w:color w:val="FF0000"/>
          <w:sz w:val="20"/>
          <w:szCs w:val="20"/>
        </w:rPr>
        <w:t xml:space="preserve">Egger-Rainer (2018) and </w:t>
      </w:r>
      <w:proofErr w:type="spellStart"/>
      <w:r w:rsidR="00925C3C" w:rsidRPr="00925C3C">
        <w:rPr>
          <w:rFonts w:ascii="Arial" w:hAnsi="Arial" w:cs="Arial"/>
          <w:color w:val="FF0000"/>
          <w:sz w:val="20"/>
          <w:szCs w:val="20"/>
        </w:rPr>
        <w:t>Suryadi</w:t>
      </w:r>
      <w:proofErr w:type="spellEnd"/>
      <w:r w:rsidR="00925C3C" w:rsidRPr="00925C3C">
        <w:rPr>
          <w:rFonts w:ascii="Arial" w:hAnsi="Arial" w:cs="Arial"/>
          <w:color w:val="FF0000"/>
          <w:sz w:val="20"/>
          <w:szCs w:val="20"/>
        </w:rPr>
        <w:t xml:space="preserve"> et al. (2023</w:t>
      </w:r>
      <w:r w:rsidR="00925C3C" w:rsidRPr="00925C3C">
        <w:rPr>
          <w:rFonts w:ascii="Arial" w:hAnsi="Arial" w:cs="Arial"/>
          <w:sz w:val="20"/>
          <w:szCs w:val="20"/>
        </w:rPr>
        <w:t>) in their studies</w:t>
      </w:r>
      <w:r w:rsidR="00925C3C">
        <w:rPr>
          <w:rFonts w:ascii="Arial" w:hAnsi="Arial" w:cs="Arial"/>
          <w:sz w:val="20"/>
          <w:szCs w:val="20"/>
        </w:rPr>
        <w:t>.</w:t>
      </w:r>
    </w:p>
    <w:p w:rsidR="00351CAE" w:rsidRDefault="00351CAE">
      <w:pPr>
        <w:spacing w:after="0" w:line="360" w:lineRule="auto"/>
        <w:jc w:val="both"/>
        <w:rPr>
          <w:rFonts w:ascii="Arial" w:eastAsia="Times New Roman" w:hAnsi="Arial" w:cs="Arial"/>
          <w:sz w:val="20"/>
          <w:szCs w:val="20"/>
          <w:lang w:eastAsia="en-IN"/>
        </w:rPr>
      </w:pPr>
    </w:p>
    <w:p w:rsidR="00351CAE" w:rsidRDefault="00562751">
      <w:pPr>
        <w:spacing w:after="0" w:line="360" w:lineRule="auto"/>
        <w:jc w:val="both"/>
        <w:outlineLvl w:val="3"/>
        <w:rPr>
          <w:rFonts w:ascii="Arial" w:eastAsia="Times New Roman" w:hAnsi="Arial" w:cs="Arial"/>
          <w:b/>
          <w:bCs/>
          <w:lang w:eastAsia="en-IN"/>
        </w:rPr>
      </w:pPr>
      <w:r>
        <w:rPr>
          <w:rFonts w:ascii="Arial" w:eastAsia="Times New Roman" w:hAnsi="Arial" w:cs="Arial"/>
          <w:b/>
          <w:bCs/>
          <w:lang w:eastAsia="en-IN"/>
        </w:rPr>
        <w:t>3.2 Explanation of Scale Components and Scoring</w:t>
      </w:r>
    </w:p>
    <w:p w:rsidR="00351CAE" w:rsidRDefault="00562751">
      <w:pPr>
        <w:spacing w:after="0" w:line="360" w:lineRule="auto"/>
        <w:jc w:val="both"/>
        <w:rPr>
          <w:rFonts w:ascii="Arial" w:hAnsi="Arial" w:cs="Arial"/>
          <w:sz w:val="20"/>
          <w:szCs w:val="20"/>
        </w:rPr>
      </w:pPr>
      <w:r>
        <w:rPr>
          <w:rFonts w:ascii="Arial" w:hAnsi="Arial" w:cs="Arial"/>
          <w:sz w:val="20"/>
          <w:szCs w:val="20"/>
        </w:rPr>
        <w:t xml:space="preserve">Each of the 18 retained components in the ARLFS is assigned a score based on specific criteria, with values ranging from 0 to 8. The detailed scoring criteria are provided in </w:t>
      </w:r>
      <w:proofErr w:type="gramStart"/>
      <w:r w:rsidRPr="00BA6F2E">
        <w:rPr>
          <w:rStyle w:val="Strong"/>
          <w:rFonts w:ascii="Arial" w:hAnsi="Arial" w:cs="Arial"/>
          <w:b w:val="0"/>
          <w:sz w:val="20"/>
          <w:szCs w:val="20"/>
        </w:rPr>
        <w:t xml:space="preserve">Table </w:t>
      </w:r>
      <w:r>
        <w:rPr>
          <w:rFonts w:ascii="Arial" w:hAnsi="Arial" w:cs="Arial"/>
          <w:sz w:val="20"/>
          <w:szCs w:val="20"/>
        </w:rPr>
        <w:t xml:space="preserve"> below</w:t>
      </w:r>
      <w:proofErr w:type="gramEnd"/>
      <w:r>
        <w:rPr>
          <w:rFonts w:ascii="Arial" w:hAnsi="Arial" w:cs="Arial"/>
          <w:sz w:val="20"/>
          <w:szCs w:val="20"/>
        </w:rPr>
        <w:t>.</w:t>
      </w:r>
    </w:p>
    <w:p w:rsidR="00351CAE" w:rsidRPr="008F2F58" w:rsidRDefault="00562751">
      <w:pPr>
        <w:spacing w:after="0" w:line="360" w:lineRule="auto"/>
        <w:jc w:val="both"/>
        <w:rPr>
          <w:rFonts w:ascii="Arial" w:eastAsia="Times New Roman" w:hAnsi="Arial" w:cs="Arial"/>
          <w:sz w:val="20"/>
          <w:szCs w:val="20"/>
          <w:lang w:eastAsia="en-IN"/>
        </w:rPr>
      </w:pPr>
      <w:r w:rsidRPr="008F2F58">
        <w:rPr>
          <w:rStyle w:val="Strong"/>
          <w:rFonts w:ascii="Arial" w:hAnsi="Arial" w:cs="Arial"/>
          <w:b w:val="0"/>
          <w:sz w:val="20"/>
          <w:szCs w:val="20"/>
        </w:rPr>
        <w:t>Table 2.</w:t>
      </w:r>
      <w:r w:rsidRPr="008F2F58">
        <w:rPr>
          <w:rFonts w:ascii="Arial" w:hAnsi="Arial" w:cs="Arial"/>
          <w:b/>
          <w:sz w:val="20"/>
          <w:szCs w:val="20"/>
        </w:rPr>
        <w:t xml:space="preserve"> </w:t>
      </w:r>
      <w:r w:rsidRPr="008F2F58">
        <w:rPr>
          <w:rFonts w:ascii="Arial" w:hAnsi="Arial" w:cs="Arial"/>
          <w:sz w:val="20"/>
          <w:szCs w:val="20"/>
        </w:rPr>
        <w:t xml:space="preserve">Scoring Criteria for ARLFS Components </w:t>
      </w:r>
    </w:p>
    <w:tbl>
      <w:tblPr>
        <w:tblStyle w:val="TableGrid"/>
        <w:tblW w:w="9928" w:type="dxa"/>
        <w:tblLook w:val="04A0" w:firstRow="1" w:lastRow="0" w:firstColumn="1" w:lastColumn="0" w:noHBand="0" w:noVBand="1"/>
      </w:tblPr>
      <w:tblGrid>
        <w:gridCol w:w="430"/>
        <w:gridCol w:w="1954"/>
        <w:gridCol w:w="7544"/>
      </w:tblGrid>
      <w:tr w:rsidR="00351CAE">
        <w:trPr>
          <w:trHeight w:val="84"/>
        </w:trPr>
        <w:tc>
          <w:tcPr>
            <w:tcW w:w="304" w:type="dxa"/>
            <w:hideMark/>
          </w:tcPr>
          <w:p w:rsidR="00351CAE" w:rsidRDefault="00562751">
            <w:pPr>
              <w:spacing w:line="360" w:lineRule="auto"/>
              <w:jc w:val="both"/>
              <w:rPr>
                <w:rFonts w:ascii="Arial" w:eastAsia="Times New Roman" w:hAnsi="Arial" w:cs="Arial"/>
                <w:sz w:val="16"/>
                <w:szCs w:val="20"/>
                <w:lang w:val="en-US" w:eastAsia="en-IN"/>
              </w:rPr>
            </w:pPr>
            <w:proofErr w:type="spellStart"/>
            <w:r>
              <w:rPr>
                <w:rFonts w:ascii="Arial" w:eastAsia="Times New Roman" w:hAnsi="Arial" w:cs="Arial"/>
                <w:b/>
                <w:bCs/>
                <w:sz w:val="16"/>
                <w:szCs w:val="20"/>
                <w:lang w:eastAsia="en-IN"/>
              </w:rPr>
              <w:t>Sl</w:t>
            </w:r>
            <w:proofErr w:type="spellEnd"/>
            <w:r>
              <w:rPr>
                <w:rFonts w:ascii="Arial" w:eastAsia="Times New Roman" w:hAnsi="Arial" w:cs="Arial"/>
                <w:b/>
                <w:bCs/>
                <w:sz w:val="16"/>
                <w:szCs w:val="20"/>
                <w:lang w:eastAsia="en-IN"/>
              </w:rPr>
              <w:t xml:space="preserve"> No</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b/>
                <w:bCs/>
                <w:sz w:val="16"/>
                <w:szCs w:val="20"/>
                <w:lang w:eastAsia="en-IN"/>
              </w:rPr>
              <w:t>Component</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b/>
                <w:bCs/>
                <w:sz w:val="16"/>
                <w:szCs w:val="20"/>
                <w:lang w:eastAsia="en-IN"/>
              </w:rPr>
              <w:t>Scoring Criteria Description</w:t>
            </w:r>
          </w:p>
        </w:tc>
      </w:tr>
      <w:tr w:rsidR="00351CAE">
        <w:trPr>
          <w:trHeight w:val="792"/>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lastRenderedPageBreak/>
              <w:t>1</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Household Demographic Composition</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Only elderly person or single parent with many dependents; no working-age members; 2 = Mostly children and elderly; no active working adult; 4 = Mostly dependents one working adult; 6 = Multiple working members; some dependents remain; 8 = Well-balanced household with adequate workforce and dependents</w:t>
            </w:r>
          </w:p>
        </w:tc>
      </w:tr>
      <w:tr w:rsidR="00351CAE">
        <w:trPr>
          <w:trHeight w:val="560"/>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2</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 xml:space="preserve"> Livelihood Security</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earnings; relies entirely on external support; 2 = Single source of income; irregular or unpredictable; 4 = One stable income; seasonal variation; 6 = Two income sources; somewhat stable; 8 = Multiple stable and diversified incomes</w:t>
            </w:r>
          </w:p>
        </w:tc>
      </w:tr>
      <w:tr w:rsidR="00351CAE">
        <w:trPr>
          <w:trHeight w:val="410"/>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3</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Food Security</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food security; 2 = Frequent food shortages; 4 = Seasonal food insecurity; 6 = Minor shortages occasionally; 8 = Full food security year-round</w:t>
            </w:r>
          </w:p>
        </w:tc>
      </w:tr>
      <w:tr w:rsidR="00351CAE">
        <w:trPr>
          <w:trHeight w:val="469"/>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4</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Type of Shelter</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permanent shelter; 2 = Temporary shelter (tent, thatch); 4 = Semi-permanent shelter (mud/brick); 6 = Permanent shelter, rented; 8 = Durable shelter with land tenure</w:t>
            </w:r>
          </w:p>
        </w:tc>
      </w:tr>
      <w:tr w:rsidR="00351CAE">
        <w:trPr>
          <w:trHeight w:val="393"/>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5</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Access to Healthcare</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access; 2 = Irregular, unqualified care; 4 = Some access to clinics; 6 = Regular access to basic healthcare; 8 = Regular affordable healthcare access</w:t>
            </w:r>
          </w:p>
        </w:tc>
      </w:tr>
      <w:tr w:rsidR="00351CAE">
        <w:trPr>
          <w:trHeight w:val="435"/>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6</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Education for Children</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schooling; 2 = Irregular or informal schooling; 4 = Primary education ongoing; 6 = Secondary education completed; 8 = Higher education or vocational training</w:t>
            </w:r>
          </w:p>
        </w:tc>
      </w:tr>
      <w:tr w:rsidR="00351CAE">
        <w:trPr>
          <w:trHeight w:val="360"/>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7</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Asset Ownership</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assets; 2 = One small asset; 4 = Few basic household assets; 6 = Productive assets (livestock/tools); 8 = Diversified productive assets</w:t>
            </w:r>
          </w:p>
        </w:tc>
      </w:tr>
      <w:tr w:rsidR="00351CAE">
        <w:trPr>
          <w:trHeight w:val="658"/>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8</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 xml:space="preserve">Social Integration </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interaction with community; socially excluded; 2 = Rarely interacts; not involved in any group/activity; 4 = Occasional interaction; minimal community participation; 6 = Regular interaction; part of local groups or activities; 8 = Active participation; strong social ties and community role</w:t>
            </w:r>
          </w:p>
        </w:tc>
      </w:tr>
      <w:tr w:rsidR="00351CAE">
        <w:trPr>
          <w:trHeight w:val="648"/>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9</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Mobility Control &amp; Autonomy</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Fully dependent; no control over movement of self or livestock; 2 = Movement of livestock and self is heavily restricted by family/community/authority; 4 = Limited control; sometimes needs permission; 6 = Mostly self-dependent; 8 = Full mobility autonomy</w:t>
            </w:r>
          </w:p>
        </w:tc>
      </w:tr>
      <w:tr w:rsidR="00351CAE">
        <w:trPr>
          <w:trHeight w:val="502"/>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10</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Land Tenure &amp; Eviction Risk</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land tenure, high eviction risk; 2 = Temporary occupancy, no papers; 4 = Occupancy without secure rights; 6 = Possession with conditional security; 8 = Secure tenure, no eviction risk</w:t>
            </w:r>
          </w:p>
        </w:tc>
      </w:tr>
      <w:tr w:rsidR="00351CAE">
        <w:trPr>
          <w:trHeight w:val="586"/>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11</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Transportation Access</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transportation means; 2 = Limited, unreliable transportation access; 4 = Some access to public or private transport; 6 = Reliable transportation for household needs; 8 = Own vehicle(s) or frequent reliable transport</w:t>
            </w:r>
          </w:p>
        </w:tc>
      </w:tr>
      <w:tr w:rsidR="00351CAE">
        <w:trPr>
          <w:trHeight w:val="444"/>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12</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Livestock Health &amp; Productivity</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Poor health and productivity; 2 = Mostly weak, low production; 4 = Moderate health and output; 6 = Good health, regular productivity; 8 = Excellent health and productivity</w:t>
            </w:r>
          </w:p>
        </w:tc>
      </w:tr>
      <w:tr w:rsidR="00351CAE">
        <w:trPr>
          <w:trHeight w:val="310"/>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13</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Environmental &amp; Livelihood Vulnerability</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Highly vulnerable; 2 = Frequent disruptions; 4 = Occasional shocks; 6 = Mostly resilient; 8 = Resilient and adaptive</w:t>
            </w:r>
          </w:p>
        </w:tc>
      </w:tr>
      <w:tr w:rsidR="00351CAE">
        <w:trPr>
          <w:trHeight w:val="343"/>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14</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Veterinary &amp; Extension Service Accessibility</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 xml:space="preserve">0 = No access; 2 = Rare emergency access; 4 = Some access to </w:t>
            </w:r>
            <w:proofErr w:type="spellStart"/>
            <w:r>
              <w:rPr>
                <w:rFonts w:ascii="Arial" w:eastAsia="Times New Roman" w:hAnsi="Arial" w:cs="Arial"/>
                <w:sz w:val="16"/>
                <w:szCs w:val="20"/>
                <w:lang w:eastAsia="en-IN"/>
              </w:rPr>
              <w:t>paravet</w:t>
            </w:r>
            <w:proofErr w:type="spellEnd"/>
            <w:r>
              <w:rPr>
                <w:rFonts w:ascii="Arial" w:eastAsia="Times New Roman" w:hAnsi="Arial" w:cs="Arial"/>
                <w:sz w:val="16"/>
                <w:szCs w:val="20"/>
                <w:lang w:eastAsia="en-IN"/>
              </w:rPr>
              <w:t>/basic info; 6 = Regular field visits; 8 = Full and timely access</w:t>
            </w:r>
          </w:p>
        </w:tc>
      </w:tr>
      <w:tr w:rsidR="00351CAE">
        <w:trPr>
          <w:trHeight w:val="301"/>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15</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Credit Facility Access</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access; 2 = Informal lenders; 4 = Rare access through SHG; 6 = Periodic formal access; 8 = Easy credit access</w:t>
            </w:r>
          </w:p>
        </w:tc>
      </w:tr>
      <w:tr w:rsidR="00351CAE">
        <w:trPr>
          <w:trHeight w:val="335"/>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16</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Institutional Linkage</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linkage; 2 = Rare exposure; 4 = Occasional interaction; 6 = Regular interaction; 8 = Strong linkage with institutions</w:t>
            </w:r>
          </w:p>
        </w:tc>
      </w:tr>
      <w:tr w:rsidR="00351CAE">
        <w:trPr>
          <w:trHeight w:val="519"/>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17</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Market Access &amp; Price Realization</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access or poor price realization; 2 = Limited access; 4 = Some access and price info; 6 = Good access with moderate price realization; 8 = Full market access and optimal price realization</w:t>
            </w:r>
          </w:p>
        </w:tc>
      </w:tr>
      <w:tr w:rsidR="00351CAE">
        <w:trPr>
          <w:trHeight w:val="385"/>
        </w:trPr>
        <w:tc>
          <w:tcPr>
            <w:tcW w:w="304"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18</w:t>
            </w:r>
          </w:p>
        </w:tc>
        <w:tc>
          <w:tcPr>
            <w:tcW w:w="1969"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Digital Connectivity &amp; Information Access</w:t>
            </w:r>
          </w:p>
        </w:tc>
        <w:tc>
          <w:tcPr>
            <w:tcW w:w="7655" w:type="dxa"/>
            <w:hideMark/>
          </w:tcPr>
          <w:p w:rsidR="00351CAE" w:rsidRDefault="00562751">
            <w:pPr>
              <w:spacing w:line="360" w:lineRule="auto"/>
              <w:jc w:val="both"/>
              <w:rPr>
                <w:rFonts w:ascii="Arial" w:eastAsia="Times New Roman" w:hAnsi="Arial" w:cs="Arial"/>
                <w:sz w:val="16"/>
                <w:szCs w:val="20"/>
                <w:lang w:val="en-US" w:eastAsia="en-IN"/>
              </w:rPr>
            </w:pPr>
            <w:r>
              <w:rPr>
                <w:rFonts w:ascii="Arial" w:eastAsia="Times New Roman" w:hAnsi="Arial" w:cs="Arial"/>
                <w:sz w:val="16"/>
                <w:szCs w:val="20"/>
                <w:lang w:eastAsia="en-IN"/>
              </w:rPr>
              <w:t>0 = No digital access or information; 2 = Rare/limited access; 4 = Occasional access; 6 = Regular access; 8 = Full, timely digital and information access</w:t>
            </w:r>
          </w:p>
        </w:tc>
      </w:tr>
    </w:tbl>
    <w:p w:rsidR="00351CAE" w:rsidRDefault="00351CAE">
      <w:pPr>
        <w:spacing w:after="0" w:line="360" w:lineRule="auto"/>
        <w:jc w:val="both"/>
        <w:rPr>
          <w:rFonts w:ascii="Arial" w:eastAsia="Times New Roman" w:hAnsi="Arial" w:cs="Arial"/>
          <w:sz w:val="24"/>
          <w:szCs w:val="24"/>
          <w:lang w:eastAsia="en-IN"/>
        </w:rPr>
      </w:pPr>
    </w:p>
    <w:p w:rsidR="00351CAE" w:rsidRDefault="00562751">
      <w:pPr>
        <w:spacing w:after="0" w:line="360" w:lineRule="auto"/>
        <w:jc w:val="both"/>
        <w:outlineLvl w:val="3"/>
        <w:rPr>
          <w:rFonts w:ascii="Arial" w:eastAsia="Times New Roman" w:hAnsi="Arial" w:cs="Arial"/>
          <w:b/>
          <w:bCs/>
          <w:lang w:eastAsia="en-IN"/>
        </w:rPr>
      </w:pPr>
      <w:r>
        <w:rPr>
          <w:rFonts w:ascii="Arial" w:eastAsia="Times New Roman" w:hAnsi="Arial" w:cs="Arial"/>
          <w:b/>
          <w:bCs/>
          <w:lang w:eastAsia="en-IN"/>
        </w:rPr>
        <w:t>3.3 Reliability Analysis</w:t>
      </w:r>
    </w:p>
    <w:p w:rsidR="00351CAE" w:rsidRDefault="00562751">
      <w:pPr>
        <w:spacing w:after="0" w:line="360" w:lineRule="auto"/>
        <w:jc w:val="both"/>
        <w:outlineLvl w:val="3"/>
        <w:rPr>
          <w:rFonts w:ascii="Arial" w:eastAsia="Times New Roman" w:hAnsi="Arial" w:cs="Arial"/>
          <w:b/>
          <w:bCs/>
          <w:sz w:val="20"/>
          <w:szCs w:val="20"/>
          <w:lang w:eastAsia="en-IN"/>
        </w:rPr>
      </w:pPr>
      <w:r>
        <w:rPr>
          <w:rFonts w:ascii="Arial" w:eastAsia="Times New Roman" w:hAnsi="Arial" w:cs="Arial"/>
          <w:b/>
          <w:bCs/>
          <w:sz w:val="20"/>
          <w:szCs w:val="20"/>
          <w:lang w:eastAsia="en-IN"/>
        </w:rPr>
        <w:t>Table 3. Reliability Analysis of ARLFS Components</w:t>
      </w:r>
    </w:p>
    <w:tbl>
      <w:tblPr>
        <w:tblW w:w="9240" w:type="dxa"/>
        <w:tblCellMar>
          <w:left w:w="0" w:type="dxa"/>
          <w:right w:w="0" w:type="dxa"/>
        </w:tblCellMar>
        <w:tblLook w:val="04A0" w:firstRow="1" w:lastRow="0" w:firstColumn="1" w:lastColumn="0" w:noHBand="0" w:noVBand="1"/>
      </w:tblPr>
      <w:tblGrid>
        <w:gridCol w:w="731"/>
        <w:gridCol w:w="3889"/>
        <w:gridCol w:w="2310"/>
        <w:gridCol w:w="2310"/>
      </w:tblGrid>
      <w:tr w:rsidR="00351CAE">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Item No.</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Item Description</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Item-Total Correlation</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Cronbach’s Alpha if Item Deleted</w:t>
            </w:r>
          </w:p>
        </w:tc>
      </w:tr>
      <w:tr w:rsidR="00351CAE">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lastRenderedPageBreak/>
              <w:t>1</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Household Demographic Composition</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0.71</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0.864</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2</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Livelihood Security</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0.65</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0.869</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3</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Food Security</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0.68</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0.866</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4</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Type of Shelter</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0.66</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0.867</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5</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Access to Healthcare</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0.70</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0.865</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6</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Education for Children</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0.63</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0.870</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7</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Asset Ownership</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0.67</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0.868</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8</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 xml:space="preserve">Social Integration </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0.61</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0.872</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9</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Mobility Control &amp; Autonomy</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0.64</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0.870</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10</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Land Tenure &amp; Eviction Risk</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0.69</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0.866</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11</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Transportation Access</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0.72</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0.862</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12</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Livestock Health &amp; Productivity</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0.68</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0.865</w:t>
            </w:r>
          </w:p>
        </w:tc>
      </w:tr>
      <w:tr w:rsidR="00351CAE">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13</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Environmental &amp; Livelihood Vulnerability</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0.70</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0.864</w:t>
            </w:r>
          </w:p>
        </w:tc>
      </w:tr>
      <w:tr w:rsidR="00351CAE">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14</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Veterinary &amp; Extension Service Accessibility</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0.66</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0.867</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15</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Credit Facility Access</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0.67</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0.868</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16</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Institutional Linkage</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0.65</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0.869</w:t>
            </w:r>
          </w:p>
        </w:tc>
      </w:tr>
      <w:tr w:rsidR="00351CAE">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17</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Market Access &amp; Price Realization</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0.69</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0.865</w:t>
            </w:r>
          </w:p>
        </w:tc>
      </w:tr>
      <w:tr w:rsidR="00351CAE">
        <w:trPr>
          <w:trHeight w:val="645"/>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18</w:t>
            </w: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Digital Connectivity &amp; Information Access</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0.72</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0.862</w:t>
            </w:r>
          </w:p>
        </w:tc>
      </w:tr>
      <w:tr w:rsidR="00351CAE">
        <w:trPr>
          <w:trHeight w:val="333"/>
        </w:trPr>
        <w:tc>
          <w:tcPr>
            <w:tcW w:w="731"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351CAE">
            <w:pPr>
              <w:spacing w:after="0" w:line="360" w:lineRule="auto"/>
              <w:jc w:val="both"/>
              <w:outlineLvl w:val="2"/>
              <w:rPr>
                <w:rFonts w:ascii="Arial" w:eastAsia="Times New Roman" w:hAnsi="Arial" w:cs="Arial"/>
                <w:sz w:val="20"/>
                <w:szCs w:val="20"/>
                <w:lang w:val="en-US" w:eastAsia="en-IN"/>
              </w:rPr>
            </w:pPr>
          </w:p>
        </w:tc>
        <w:tc>
          <w:tcPr>
            <w:tcW w:w="3889"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Overall Cronbach’s Alpha</w:t>
            </w: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351CAE">
            <w:pPr>
              <w:spacing w:after="0" w:line="360" w:lineRule="auto"/>
              <w:jc w:val="both"/>
              <w:outlineLvl w:val="2"/>
              <w:rPr>
                <w:rFonts w:ascii="Arial" w:eastAsia="Times New Roman" w:hAnsi="Arial" w:cs="Arial"/>
                <w:sz w:val="20"/>
                <w:szCs w:val="20"/>
                <w:lang w:val="en-US" w:eastAsia="en-IN"/>
              </w:rPr>
            </w:pPr>
          </w:p>
        </w:tc>
        <w:tc>
          <w:tcPr>
            <w:tcW w:w="2310" w:type="dxa"/>
            <w:tcBorders>
              <w:top w:val="single" w:sz="8" w:space="0" w:color="000000"/>
              <w:left w:val="single" w:sz="8" w:space="0" w:color="000000"/>
              <w:bottom w:val="single" w:sz="8" w:space="0" w:color="000000"/>
              <w:right w:val="single" w:sz="8" w:space="0" w:color="000000"/>
            </w:tcBorders>
            <w:tcMar>
              <w:top w:w="11" w:type="dxa"/>
              <w:left w:w="11" w:type="dxa"/>
              <w:bottom w:w="11" w:type="dxa"/>
              <w:right w:w="11" w:type="dxa"/>
            </w:tcMar>
            <w:vAlign w:val="center"/>
            <w:hideMark/>
          </w:tcPr>
          <w:p w:rsidR="00351CAE" w:rsidRDefault="00562751">
            <w:pPr>
              <w:spacing w:after="0" w:line="360" w:lineRule="auto"/>
              <w:jc w:val="both"/>
              <w:outlineLvl w:val="2"/>
              <w:rPr>
                <w:rFonts w:ascii="Arial" w:eastAsia="Times New Roman" w:hAnsi="Arial" w:cs="Arial"/>
                <w:sz w:val="20"/>
                <w:szCs w:val="20"/>
                <w:lang w:val="en-US" w:eastAsia="en-IN"/>
              </w:rPr>
            </w:pPr>
            <w:r>
              <w:rPr>
                <w:rFonts w:ascii="Arial" w:eastAsia="Times New Roman" w:hAnsi="Arial" w:cs="Arial"/>
                <w:sz w:val="20"/>
                <w:szCs w:val="20"/>
                <w:lang w:eastAsia="en-IN"/>
              </w:rPr>
              <w:t>0.875</w:t>
            </w:r>
          </w:p>
        </w:tc>
      </w:tr>
    </w:tbl>
    <w:p w:rsidR="00351CAE" w:rsidRDefault="00351CAE">
      <w:pPr>
        <w:spacing w:after="0" w:line="360" w:lineRule="auto"/>
        <w:jc w:val="both"/>
        <w:outlineLvl w:val="2"/>
        <w:rPr>
          <w:rFonts w:ascii="Arial" w:eastAsia="Times New Roman" w:hAnsi="Arial" w:cs="Arial"/>
          <w:sz w:val="24"/>
          <w:szCs w:val="24"/>
          <w:lang w:eastAsia="en-IN"/>
        </w:rPr>
      </w:pPr>
    </w:p>
    <w:p w:rsidR="009C5108" w:rsidRPr="00D74D43" w:rsidRDefault="009C5108" w:rsidP="009C5108">
      <w:pPr>
        <w:pStyle w:val="NormalWeb"/>
        <w:spacing w:before="0" w:beforeAutospacing="0" w:after="0" w:afterAutospacing="0" w:line="360" w:lineRule="auto"/>
        <w:jc w:val="both"/>
        <w:rPr>
          <w:rFonts w:ascii="Arial" w:hAnsi="Arial" w:cs="Arial"/>
          <w:color w:val="FF0000"/>
          <w:sz w:val="20"/>
          <w:szCs w:val="20"/>
        </w:rPr>
      </w:pPr>
      <w:r w:rsidRPr="00D74D43">
        <w:rPr>
          <w:rFonts w:ascii="Arial" w:hAnsi="Arial" w:cs="Arial"/>
          <w:color w:val="FF0000"/>
          <w:sz w:val="20"/>
          <w:szCs w:val="20"/>
        </w:rPr>
        <w:t xml:space="preserve">In Table 3, the internal consistency reliability of the Assam Rural Livelihood &amp; Farming Scale (ARLFS) was evaluated using Cronbach’s alpha (α), based on pilot test data from 20 </w:t>
      </w:r>
      <w:proofErr w:type="spellStart"/>
      <w:r w:rsidRPr="00D74D43">
        <w:rPr>
          <w:rFonts w:ascii="Arial" w:hAnsi="Arial" w:cs="Arial"/>
          <w:color w:val="FF0000"/>
          <w:sz w:val="20"/>
          <w:szCs w:val="20"/>
        </w:rPr>
        <w:t>Khuti</w:t>
      </w:r>
      <w:proofErr w:type="spellEnd"/>
      <w:r w:rsidRPr="00D74D43">
        <w:rPr>
          <w:rFonts w:ascii="Arial" w:hAnsi="Arial" w:cs="Arial"/>
          <w:color w:val="FF0000"/>
          <w:sz w:val="20"/>
          <w:szCs w:val="20"/>
        </w:rPr>
        <w:t xml:space="preserve"> households. Since the post-feedback changes were minor and did not alter the items’ structure or meaning, re-administering the scale was not considered necessary for assessing reliability. This differed from the approach taken by </w:t>
      </w:r>
      <w:proofErr w:type="spellStart"/>
      <w:r w:rsidRPr="00D74D43">
        <w:rPr>
          <w:rFonts w:ascii="Arial" w:hAnsi="Arial" w:cs="Arial"/>
          <w:color w:val="FF0000"/>
          <w:sz w:val="20"/>
          <w:szCs w:val="20"/>
        </w:rPr>
        <w:t>Satyapriya</w:t>
      </w:r>
      <w:proofErr w:type="spellEnd"/>
      <w:r w:rsidRPr="00D74D43">
        <w:rPr>
          <w:rFonts w:ascii="Arial" w:hAnsi="Arial" w:cs="Arial"/>
          <w:color w:val="FF0000"/>
          <w:sz w:val="20"/>
          <w:szCs w:val="20"/>
        </w:rPr>
        <w:t xml:space="preserve"> et al. (2015), who evaluated reliability by administering their scale to 30 families and re-administering it after 60 days to measure test–retest reliability. While their method provided insight into the temporal stability of responses, the current study prioritized internal consistency to assess how well the items functioned together at one point in time. Both approaches were valid depending on the specific reliability focus. </w:t>
      </w:r>
    </w:p>
    <w:p w:rsidR="009C5108" w:rsidRPr="00D74D43" w:rsidRDefault="009C5108" w:rsidP="009C5108">
      <w:pPr>
        <w:pStyle w:val="NormalWeb"/>
        <w:spacing w:before="0" w:beforeAutospacing="0" w:after="0" w:afterAutospacing="0" w:line="360" w:lineRule="auto"/>
        <w:jc w:val="both"/>
        <w:rPr>
          <w:rFonts w:ascii="Arial" w:hAnsi="Arial" w:cs="Arial"/>
          <w:color w:val="FF0000"/>
          <w:sz w:val="20"/>
          <w:szCs w:val="20"/>
        </w:rPr>
      </w:pPr>
      <w:r w:rsidRPr="00D74D43">
        <w:rPr>
          <w:rFonts w:ascii="Arial" w:hAnsi="Arial" w:cs="Arial"/>
          <w:color w:val="FF0000"/>
          <w:sz w:val="20"/>
          <w:szCs w:val="20"/>
        </w:rPr>
        <w:t xml:space="preserve">The results supported this decision. The reliability analysis demonstrated strong internal consistency across the 18 retained items. Item-total correlations ranged from 0.61 to 0.72, exceeding the accepted threshold of 0.30, indicating that each item contributed meaningfully to the overall scale. The highest correlations were observed for Transportation Access and Digital Connectivity &amp; Information Access </w:t>
      </w:r>
      <w:r w:rsidRPr="00D74D43">
        <w:rPr>
          <w:rFonts w:ascii="Arial" w:hAnsi="Arial" w:cs="Arial"/>
          <w:color w:val="FF0000"/>
          <w:sz w:val="20"/>
          <w:szCs w:val="20"/>
        </w:rPr>
        <w:lastRenderedPageBreak/>
        <w:t xml:space="preserve">(0.72), while Social Integration and Education for Children showed slightly lower but still acceptable values (0.61 and 0.63, respectively). </w:t>
      </w:r>
    </w:p>
    <w:p w:rsidR="00351CAE" w:rsidRPr="00D74D43" w:rsidRDefault="009C5108" w:rsidP="009C5108">
      <w:pPr>
        <w:pStyle w:val="NormalWeb"/>
        <w:spacing w:before="0" w:beforeAutospacing="0" w:after="0" w:afterAutospacing="0" w:line="360" w:lineRule="auto"/>
        <w:jc w:val="both"/>
        <w:rPr>
          <w:rFonts w:ascii="Arial" w:hAnsi="Arial" w:cs="Arial"/>
          <w:color w:val="FF0000"/>
          <w:sz w:val="20"/>
          <w:szCs w:val="20"/>
        </w:rPr>
      </w:pPr>
      <w:r w:rsidRPr="00D74D43">
        <w:rPr>
          <w:rFonts w:ascii="Arial" w:hAnsi="Arial" w:cs="Arial"/>
          <w:color w:val="FF0000"/>
          <w:sz w:val="20"/>
          <w:szCs w:val="20"/>
        </w:rPr>
        <w:t>Additionally, Cronbach’s alpha values if individual items were deleted ranged from 0.862 to 0.872, which closely aligned with the overall alpha of approximately 0.875. This suggested that removing any item would not significantly i</w:t>
      </w:r>
      <w:r w:rsidR="00D74D43" w:rsidRPr="00D74D43">
        <w:rPr>
          <w:rFonts w:ascii="Arial" w:hAnsi="Arial" w:cs="Arial"/>
          <w:color w:val="FF0000"/>
          <w:sz w:val="20"/>
          <w:szCs w:val="20"/>
        </w:rPr>
        <w:t>mprove reliability (</w:t>
      </w:r>
      <w:proofErr w:type="spellStart"/>
      <w:r w:rsidR="00D74D43" w:rsidRPr="00D74D43">
        <w:rPr>
          <w:rFonts w:ascii="Arial" w:hAnsi="Arial" w:cs="Arial"/>
          <w:color w:val="FF0000"/>
          <w:sz w:val="20"/>
          <w:szCs w:val="20"/>
        </w:rPr>
        <w:t>Tavakol</w:t>
      </w:r>
      <w:proofErr w:type="spellEnd"/>
      <w:r w:rsidR="00D74D43" w:rsidRPr="00D74D43">
        <w:rPr>
          <w:rFonts w:ascii="Arial" w:hAnsi="Arial" w:cs="Arial"/>
          <w:color w:val="FF0000"/>
          <w:sz w:val="20"/>
          <w:szCs w:val="20"/>
        </w:rPr>
        <w:t xml:space="preserve"> &amp; </w:t>
      </w:r>
      <w:proofErr w:type="spellStart"/>
      <w:r w:rsidRPr="00D74D43">
        <w:rPr>
          <w:rFonts w:ascii="Arial" w:hAnsi="Arial" w:cs="Arial"/>
          <w:color w:val="FF0000"/>
          <w:sz w:val="20"/>
          <w:szCs w:val="20"/>
        </w:rPr>
        <w:t>Dennick</w:t>
      </w:r>
      <w:proofErr w:type="spellEnd"/>
      <w:r w:rsidRPr="00D74D43">
        <w:rPr>
          <w:rFonts w:ascii="Arial" w:hAnsi="Arial" w:cs="Arial"/>
          <w:color w:val="FF0000"/>
          <w:sz w:val="20"/>
          <w:szCs w:val="20"/>
        </w:rPr>
        <w:t xml:space="preserve">, 2011). These findings confirmed that the ARLFS was a reliable and internally consistent instrument for measuring the socio-economic and livelihood conditions of households within the </w:t>
      </w:r>
      <w:proofErr w:type="spellStart"/>
      <w:r w:rsidRPr="00D74D43">
        <w:rPr>
          <w:rFonts w:ascii="Arial" w:hAnsi="Arial" w:cs="Arial"/>
          <w:color w:val="FF0000"/>
          <w:sz w:val="20"/>
          <w:szCs w:val="20"/>
        </w:rPr>
        <w:t>Khuti</w:t>
      </w:r>
      <w:proofErr w:type="spellEnd"/>
      <w:r w:rsidRPr="00D74D43">
        <w:rPr>
          <w:rFonts w:ascii="Arial" w:hAnsi="Arial" w:cs="Arial"/>
          <w:color w:val="FF0000"/>
          <w:sz w:val="20"/>
          <w:szCs w:val="20"/>
        </w:rPr>
        <w:t xml:space="preserve"> system in Assam.</w:t>
      </w:r>
    </w:p>
    <w:p w:rsidR="00351CAE" w:rsidRDefault="00562751">
      <w:pPr>
        <w:pStyle w:val="NormalWeb"/>
        <w:spacing w:before="0" w:beforeAutospacing="0" w:after="0" w:afterAutospacing="0" w:line="360" w:lineRule="auto"/>
        <w:jc w:val="both"/>
        <w:rPr>
          <w:rStyle w:val="Strong"/>
          <w:rFonts w:ascii="Arial" w:hAnsi="Arial" w:cs="Arial"/>
          <w:sz w:val="22"/>
          <w:szCs w:val="22"/>
        </w:rPr>
      </w:pPr>
      <w:r>
        <w:rPr>
          <w:rFonts w:ascii="Arial" w:hAnsi="Arial" w:cs="Arial"/>
          <w:b/>
          <w:bCs/>
          <w:sz w:val="22"/>
          <w:szCs w:val="22"/>
        </w:rPr>
        <w:t xml:space="preserve">4. </w:t>
      </w:r>
      <w:r>
        <w:rPr>
          <w:rStyle w:val="Strong"/>
          <w:rFonts w:ascii="Arial" w:hAnsi="Arial" w:cs="Arial"/>
          <w:sz w:val="22"/>
          <w:szCs w:val="22"/>
        </w:rPr>
        <w:t>Conclusion, Limitation and Recommendation:</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The Assam Rural Livelihood &amp; Farming Scale (ARLFS) has been successfully developed as a context-specific and reliable tool to assess the socio-economic and environmental conditions of livestock farming households, particularly those engaged in the traditional </w:t>
      </w:r>
      <w:proofErr w:type="spellStart"/>
      <w:r>
        <w:rPr>
          <w:rFonts w:ascii="Arial" w:hAnsi="Arial" w:cs="Arial"/>
          <w:sz w:val="20"/>
          <w:szCs w:val="20"/>
        </w:rPr>
        <w:t>Khuti</w:t>
      </w:r>
      <w:proofErr w:type="spellEnd"/>
      <w:r>
        <w:rPr>
          <w:rFonts w:ascii="Arial" w:hAnsi="Arial" w:cs="Arial"/>
          <w:sz w:val="20"/>
          <w:szCs w:val="20"/>
        </w:rPr>
        <w:t xml:space="preserve"> system. The scale incorporates multiple critical dimensions that capture the vulnerabilities and strengths of rural livestock farmers in Assam. Validation through expert consensus and pilot testing confirmed its clarity and internal consistency. The ARLFS provides a comprehensive framework that can support data-driven decision-making, inform policy, and guide targeted interventions aimed at improving livelihood security, adaptive capacity, and sustainability within Assam’s diverse livestock production systems.</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Despite its strengths, the study has some limitations. The ARLFS was pilot tested on a relatively small sample size, which may limit the generalizability of results across different ecological and socio-cultural contexts within Assam. Certain components such as education for children, social integration, and environmental vulnerability scored just below the critical content validity threshold, indicating a need for further refinement. The reliance on self-reported data introduces potential bias and inaccuracies. Additionally, the cross-sectional nature of the study restricts the ability to capture temporal or seasonal variations in farming conditions. Important factors like psychosocial well-being and gender equity were excluded due to low validity scores, suggesting the need for separate focused assessments in the future.</w:t>
      </w:r>
    </w:p>
    <w:p w:rsidR="00351CAE" w:rsidRDefault="00562751">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To enhance the utility and applicability of the ARLFS, broader field testing with larger and more diverse samples across Assam’s regions is recommended. Components with borderline validity should be refined and re-evaluated to improve sensitivity and relevance. The scale should be integrated into routine monitoring and extension programs by government and NGOs to identify vulnerable households and tailor support accordingly. Developing complementary modules addressing psychosocial well-being, gender equity, and child nutrition would enrich future assessments. Capacity building for extension workers and community leaders on using the scale effectively can facilitate participatory appraisals and more precise interventions. Furthermore, policy measures should focus on improving access to veterinary services, education, land tenure security, and climate resilience programs, guided by insights derived from ARLFS assessments to strengthen rural livelihoods sustainably.</w:t>
      </w:r>
    </w:p>
    <w:p w:rsidR="00351CAE" w:rsidRDefault="00351CAE">
      <w:pPr>
        <w:pStyle w:val="NormalWeb"/>
        <w:spacing w:before="0" w:beforeAutospacing="0" w:after="0" w:afterAutospacing="0" w:line="360" w:lineRule="auto"/>
        <w:jc w:val="both"/>
        <w:rPr>
          <w:rFonts w:ascii="Arial" w:hAnsi="Arial" w:cs="Arial"/>
          <w:sz w:val="20"/>
          <w:szCs w:val="20"/>
        </w:rPr>
      </w:pPr>
    </w:p>
    <w:p w:rsidR="00351CAE" w:rsidRDefault="00562751">
      <w:pPr>
        <w:pStyle w:val="NormalWeb"/>
        <w:spacing w:before="0" w:beforeAutospacing="0" w:after="0" w:afterAutospacing="0"/>
        <w:jc w:val="both"/>
        <w:rPr>
          <w:rFonts w:ascii="Arial" w:hAnsi="Arial" w:cs="Arial"/>
          <w:b/>
          <w:color w:val="000000" w:themeColor="text1"/>
          <w:sz w:val="22"/>
          <w:szCs w:val="22"/>
        </w:rPr>
      </w:pPr>
      <w:r>
        <w:rPr>
          <w:rFonts w:ascii="Arial" w:hAnsi="Arial" w:cs="Arial"/>
          <w:b/>
          <w:color w:val="000000" w:themeColor="text1"/>
          <w:sz w:val="22"/>
          <w:szCs w:val="22"/>
        </w:rPr>
        <w:t>COMPETING INTERESTS</w:t>
      </w:r>
    </w:p>
    <w:p w:rsidR="00351CAE" w:rsidRDefault="00562751">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Authors    have    declared    that    no    competing interests exist.</w:t>
      </w:r>
    </w:p>
    <w:p w:rsidR="00351CAE" w:rsidRDefault="00351CAE">
      <w:pPr>
        <w:pStyle w:val="NormalWeb"/>
        <w:spacing w:before="0" w:beforeAutospacing="0" w:after="0" w:afterAutospacing="0"/>
        <w:jc w:val="both"/>
        <w:rPr>
          <w:rFonts w:ascii="Arial" w:hAnsi="Arial" w:cs="Arial"/>
          <w:color w:val="000000" w:themeColor="text1"/>
          <w:sz w:val="20"/>
          <w:szCs w:val="20"/>
        </w:rPr>
      </w:pPr>
    </w:p>
    <w:p w:rsidR="00351CAE" w:rsidRDefault="00351CAE">
      <w:pPr>
        <w:pStyle w:val="NormalWeb"/>
        <w:spacing w:before="0" w:beforeAutospacing="0" w:after="0" w:afterAutospacing="0"/>
        <w:jc w:val="both"/>
        <w:rPr>
          <w:rFonts w:ascii="Arial" w:hAnsi="Arial" w:cs="Arial"/>
          <w:color w:val="000000" w:themeColor="text1"/>
          <w:sz w:val="22"/>
          <w:szCs w:val="22"/>
        </w:rPr>
      </w:pPr>
    </w:p>
    <w:p w:rsidR="00351CAE" w:rsidRDefault="00562751">
      <w:pPr>
        <w:pStyle w:val="NormalWeb"/>
        <w:spacing w:before="0" w:beforeAutospacing="0" w:after="0" w:afterAutospacing="0" w:line="360" w:lineRule="auto"/>
        <w:jc w:val="both"/>
        <w:rPr>
          <w:rFonts w:ascii="Arial" w:hAnsi="Arial" w:cs="Arial"/>
          <w:color w:val="000000" w:themeColor="text1"/>
          <w:sz w:val="22"/>
          <w:szCs w:val="22"/>
        </w:rPr>
      </w:pPr>
      <w:r>
        <w:rPr>
          <w:rFonts w:ascii="Arial" w:hAnsi="Arial" w:cs="Arial"/>
          <w:b/>
          <w:color w:val="000000" w:themeColor="text1"/>
          <w:sz w:val="22"/>
          <w:szCs w:val="22"/>
        </w:rPr>
        <w:lastRenderedPageBreak/>
        <w:t>DISCLAIMER (ARTIFICIAL INTELLIGENCE)</w:t>
      </w:r>
    </w:p>
    <w:p w:rsidR="00351CAE" w:rsidRDefault="00562751">
      <w:pPr>
        <w:pStyle w:val="NormalWeb"/>
        <w:spacing w:before="0" w:beforeAutospacing="0" w:after="0" w:afterAutospacing="0" w:line="360" w:lineRule="auto"/>
        <w:jc w:val="both"/>
        <w:rPr>
          <w:rFonts w:ascii="Arial" w:hAnsi="Arial" w:cs="Arial"/>
          <w:color w:val="000000" w:themeColor="text1"/>
          <w:sz w:val="20"/>
          <w:szCs w:val="20"/>
        </w:rPr>
      </w:pPr>
      <w:r>
        <w:rPr>
          <w:rFonts w:ascii="Arial" w:hAnsi="Arial" w:cs="Arial"/>
          <w:color w:val="000000" w:themeColor="text1"/>
          <w:sz w:val="20"/>
          <w:szCs w:val="20"/>
        </w:rPr>
        <w:t>Authors  hereby  declare  that  NO  generative  AI technologies  such  as  Large  Language  Models (</w:t>
      </w:r>
      <w:proofErr w:type="spellStart"/>
      <w:r>
        <w:rPr>
          <w:rFonts w:ascii="Arial" w:hAnsi="Arial" w:cs="Arial"/>
          <w:color w:val="000000" w:themeColor="text1"/>
          <w:sz w:val="20"/>
          <w:szCs w:val="20"/>
        </w:rPr>
        <w:t>ChatGPT</w:t>
      </w:r>
      <w:proofErr w:type="spellEnd"/>
      <w:r>
        <w:rPr>
          <w:rFonts w:ascii="Arial" w:hAnsi="Arial" w:cs="Arial"/>
          <w:color w:val="000000" w:themeColor="text1"/>
          <w:sz w:val="20"/>
          <w:szCs w:val="20"/>
        </w:rPr>
        <w:t xml:space="preserve">,  COPILOT,  </w:t>
      </w:r>
      <w:proofErr w:type="spellStart"/>
      <w:r>
        <w:rPr>
          <w:rFonts w:ascii="Arial" w:hAnsi="Arial" w:cs="Arial"/>
          <w:color w:val="000000" w:themeColor="text1"/>
          <w:sz w:val="20"/>
          <w:szCs w:val="20"/>
        </w:rPr>
        <w:t>etc</w:t>
      </w:r>
      <w:proofErr w:type="spellEnd"/>
      <w:r>
        <w:rPr>
          <w:rFonts w:ascii="Arial" w:hAnsi="Arial" w:cs="Arial"/>
          <w:color w:val="000000" w:themeColor="text1"/>
          <w:sz w:val="20"/>
          <w:szCs w:val="20"/>
        </w:rPr>
        <w:t>)  and  text-to-image generators  have  been  used  during  writing  or editing of this manuscript.</w:t>
      </w:r>
    </w:p>
    <w:p w:rsidR="006D7908" w:rsidRPr="006D7908" w:rsidRDefault="006D7908">
      <w:pPr>
        <w:pStyle w:val="NormalWeb"/>
        <w:spacing w:before="0" w:beforeAutospacing="0" w:after="0" w:afterAutospacing="0" w:line="360" w:lineRule="auto"/>
        <w:jc w:val="both"/>
        <w:rPr>
          <w:rFonts w:ascii="Arial" w:hAnsi="Arial" w:cs="Arial"/>
          <w:b/>
          <w:color w:val="000000" w:themeColor="text1"/>
          <w:sz w:val="22"/>
          <w:szCs w:val="22"/>
        </w:rPr>
      </w:pPr>
      <w:r w:rsidRPr="006D7908">
        <w:rPr>
          <w:rFonts w:ascii="Arial" w:hAnsi="Arial" w:cs="Arial"/>
          <w:b/>
          <w:color w:val="000000" w:themeColor="text1"/>
          <w:sz w:val="22"/>
          <w:szCs w:val="22"/>
        </w:rPr>
        <w:t xml:space="preserve">ACKNOWLEDMENT </w:t>
      </w:r>
    </w:p>
    <w:p w:rsidR="006D7908" w:rsidRDefault="006D7908">
      <w:pPr>
        <w:pStyle w:val="NormalWeb"/>
        <w:spacing w:before="0" w:beforeAutospacing="0" w:after="0" w:afterAutospacing="0" w:line="360" w:lineRule="auto"/>
        <w:jc w:val="both"/>
        <w:rPr>
          <w:rFonts w:ascii="Arial" w:hAnsi="Arial" w:cs="Arial"/>
          <w:color w:val="000000" w:themeColor="text1"/>
          <w:sz w:val="20"/>
          <w:szCs w:val="20"/>
        </w:rPr>
      </w:pPr>
      <w:r w:rsidRPr="006D7908">
        <w:rPr>
          <w:rFonts w:ascii="Arial" w:hAnsi="Arial" w:cs="Arial"/>
          <w:color w:val="000000" w:themeColor="text1"/>
          <w:sz w:val="20"/>
          <w:szCs w:val="20"/>
        </w:rPr>
        <w:t xml:space="preserve">The authors sincerely acknowledge the support and guidance received from the associate departments of the College of Veterinary Science, </w:t>
      </w:r>
      <w:r w:rsidR="006B6462">
        <w:rPr>
          <w:rFonts w:ascii="Arial" w:hAnsi="Arial" w:cs="Arial"/>
          <w:color w:val="000000" w:themeColor="text1"/>
          <w:sz w:val="20"/>
          <w:szCs w:val="20"/>
        </w:rPr>
        <w:t>AAU</w:t>
      </w:r>
      <w:r w:rsidRPr="006D7908">
        <w:rPr>
          <w:rFonts w:ascii="Arial" w:hAnsi="Arial" w:cs="Arial"/>
          <w:color w:val="000000" w:themeColor="text1"/>
          <w:sz w:val="20"/>
          <w:szCs w:val="20"/>
        </w:rPr>
        <w:t xml:space="preserve">, </w:t>
      </w:r>
      <w:proofErr w:type="spellStart"/>
      <w:r w:rsidRPr="006D7908">
        <w:rPr>
          <w:rFonts w:ascii="Arial" w:hAnsi="Arial" w:cs="Arial"/>
          <w:color w:val="000000" w:themeColor="text1"/>
          <w:sz w:val="20"/>
          <w:szCs w:val="20"/>
        </w:rPr>
        <w:t>Khanapara</w:t>
      </w:r>
      <w:proofErr w:type="spellEnd"/>
      <w:r w:rsidRPr="006D7908">
        <w:rPr>
          <w:rFonts w:ascii="Arial" w:hAnsi="Arial" w:cs="Arial"/>
          <w:color w:val="000000" w:themeColor="text1"/>
          <w:sz w:val="20"/>
          <w:szCs w:val="20"/>
        </w:rPr>
        <w:t xml:space="preserve">, Guwahati, and the </w:t>
      </w:r>
      <w:proofErr w:type="spellStart"/>
      <w:r w:rsidRPr="006D7908">
        <w:rPr>
          <w:rFonts w:ascii="Arial" w:hAnsi="Arial" w:cs="Arial"/>
          <w:color w:val="000000" w:themeColor="text1"/>
          <w:sz w:val="20"/>
          <w:szCs w:val="20"/>
        </w:rPr>
        <w:t>Lakhimpur</w:t>
      </w:r>
      <w:proofErr w:type="spellEnd"/>
      <w:r w:rsidRPr="006D7908">
        <w:rPr>
          <w:rFonts w:ascii="Arial" w:hAnsi="Arial" w:cs="Arial"/>
          <w:color w:val="000000" w:themeColor="text1"/>
          <w:sz w:val="20"/>
          <w:szCs w:val="20"/>
        </w:rPr>
        <w:t xml:space="preserve"> College of Veterinary Science, AAU, </w:t>
      </w:r>
      <w:proofErr w:type="spellStart"/>
      <w:r w:rsidRPr="006D7908">
        <w:rPr>
          <w:rFonts w:ascii="Arial" w:hAnsi="Arial" w:cs="Arial"/>
          <w:color w:val="000000" w:themeColor="text1"/>
          <w:sz w:val="20"/>
          <w:szCs w:val="20"/>
        </w:rPr>
        <w:t>Joyhing</w:t>
      </w:r>
      <w:proofErr w:type="spellEnd"/>
      <w:r w:rsidRPr="006D7908">
        <w:rPr>
          <w:rFonts w:ascii="Arial" w:hAnsi="Arial" w:cs="Arial"/>
          <w:color w:val="000000" w:themeColor="text1"/>
          <w:sz w:val="20"/>
          <w:szCs w:val="20"/>
        </w:rPr>
        <w:t xml:space="preserve">, North </w:t>
      </w:r>
      <w:proofErr w:type="spellStart"/>
      <w:r w:rsidRPr="006D7908">
        <w:rPr>
          <w:rFonts w:ascii="Arial" w:hAnsi="Arial" w:cs="Arial"/>
          <w:color w:val="000000" w:themeColor="text1"/>
          <w:sz w:val="20"/>
          <w:szCs w:val="20"/>
        </w:rPr>
        <w:t>Lakhimpur</w:t>
      </w:r>
      <w:proofErr w:type="spellEnd"/>
      <w:r w:rsidRPr="006D7908">
        <w:rPr>
          <w:rFonts w:ascii="Arial" w:hAnsi="Arial" w:cs="Arial"/>
          <w:color w:val="000000" w:themeColor="text1"/>
          <w:sz w:val="20"/>
          <w:szCs w:val="20"/>
        </w:rPr>
        <w:t>, Assam</w:t>
      </w:r>
      <w:r>
        <w:rPr>
          <w:rFonts w:ascii="Arial" w:hAnsi="Arial" w:cs="Arial"/>
          <w:color w:val="000000" w:themeColor="text1"/>
          <w:sz w:val="20"/>
          <w:szCs w:val="20"/>
        </w:rPr>
        <w:t>.</w:t>
      </w:r>
    </w:p>
    <w:p w:rsidR="00351CAE" w:rsidRDefault="00351CAE">
      <w:pPr>
        <w:pStyle w:val="NormalWeb"/>
        <w:spacing w:before="0" w:beforeAutospacing="0" w:after="0" w:afterAutospacing="0" w:line="360" w:lineRule="auto"/>
        <w:jc w:val="both"/>
        <w:rPr>
          <w:rFonts w:ascii="Arial" w:hAnsi="Arial" w:cs="Arial"/>
          <w:sz w:val="20"/>
          <w:szCs w:val="20"/>
        </w:rPr>
      </w:pPr>
    </w:p>
    <w:p w:rsidR="00351CAE" w:rsidRDefault="00562751">
      <w:pPr>
        <w:spacing w:after="0" w:line="360" w:lineRule="auto"/>
        <w:jc w:val="both"/>
        <w:outlineLvl w:val="2"/>
        <w:rPr>
          <w:rFonts w:ascii="Arial" w:hAnsi="Arial" w:cs="Arial"/>
          <w:b/>
        </w:rPr>
      </w:pPr>
      <w:r>
        <w:rPr>
          <w:rFonts w:ascii="Arial" w:hAnsi="Arial" w:cs="Arial"/>
          <w:b/>
        </w:rPr>
        <w:t>REFERENCE</w:t>
      </w:r>
    </w:p>
    <w:p w:rsidR="006B6462" w:rsidRDefault="006B6462">
      <w:pPr>
        <w:pStyle w:val="NormalWeb"/>
        <w:ind w:left="720" w:hanging="720"/>
        <w:jc w:val="both"/>
        <w:rPr>
          <w:rFonts w:ascii="Arial" w:hAnsi="Arial" w:cs="Arial"/>
          <w:sz w:val="20"/>
          <w:szCs w:val="20"/>
        </w:rPr>
      </w:pPr>
      <w:r>
        <w:rPr>
          <w:rFonts w:ascii="Arial" w:hAnsi="Arial" w:cs="Arial"/>
          <w:sz w:val="20"/>
          <w:szCs w:val="20"/>
        </w:rPr>
        <w:t xml:space="preserve">Aggarwal, O. P., </w:t>
      </w:r>
      <w:proofErr w:type="spellStart"/>
      <w:r>
        <w:rPr>
          <w:rFonts w:ascii="Arial" w:hAnsi="Arial" w:cs="Arial"/>
          <w:sz w:val="20"/>
          <w:szCs w:val="20"/>
        </w:rPr>
        <w:t>Bhasin</w:t>
      </w:r>
      <w:proofErr w:type="spellEnd"/>
      <w:r>
        <w:rPr>
          <w:rFonts w:ascii="Arial" w:hAnsi="Arial" w:cs="Arial"/>
          <w:sz w:val="20"/>
          <w:szCs w:val="20"/>
        </w:rPr>
        <w:t>, S. K., Sharma, A. K., Chhabra, P., Aggarwal, K., &amp;</w:t>
      </w:r>
      <w:proofErr w:type="spellStart"/>
      <w:r>
        <w:rPr>
          <w:rFonts w:ascii="Arial" w:hAnsi="Arial" w:cs="Arial"/>
          <w:sz w:val="20"/>
          <w:szCs w:val="20"/>
        </w:rPr>
        <w:t>Rajoura</w:t>
      </w:r>
      <w:proofErr w:type="spellEnd"/>
      <w:r>
        <w:rPr>
          <w:rFonts w:ascii="Arial" w:hAnsi="Arial" w:cs="Arial"/>
          <w:sz w:val="20"/>
          <w:szCs w:val="20"/>
        </w:rPr>
        <w:t xml:space="preserve">, O. P. (2005). A new instrument (scale) for measuring the socioeconomic status of a family: Preliminary study. </w:t>
      </w:r>
      <w:r>
        <w:rPr>
          <w:rStyle w:val="Emphasis"/>
          <w:rFonts w:ascii="Arial" w:hAnsi="Arial" w:cs="Arial"/>
          <w:i w:val="0"/>
          <w:sz w:val="20"/>
          <w:szCs w:val="20"/>
        </w:rPr>
        <w:t>Indian Journal of Community Medicine</w:t>
      </w:r>
      <w:r>
        <w:rPr>
          <w:rFonts w:ascii="Arial" w:hAnsi="Arial" w:cs="Arial"/>
          <w:sz w:val="20"/>
          <w:szCs w:val="20"/>
        </w:rPr>
        <w:t>, 30, 305–310.</w:t>
      </w:r>
    </w:p>
    <w:p w:rsidR="006B6462" w:rsidRDefault="006B6462">
      <w:pPr>
        <w:pStyle w:val="NormalWeb"/>
        <w:ind w:left="720" w:hanging="720"/>
        <w:jc w:val="both"/>
        <w:rPr>
          <w:rFonts w:ascii="Arial" w:hAnsi="Arial" w:cs="Arial"/>
          <w:sz w:val="20"/>
          <w:szCs w:val="20"/>
        </w:rPr>
      </w:pPr>
      <w:proofErr w:type="spellStart"/>
      <w:r w:rsidRPr="00D74D43">
        <w:rPr>
          <w:rFonts w:ascii="Arial" w:hAnsi="Arial" w:cs="Arial"/>
          <w:sz w:val="20"/>
          <w:szCs w:val="20"/>
        </w:rPr>
        <w:t>Alkire</w:t>
      </w:r>
      <w:proofErr w:type="spellEnd"/>
      <w:r w:rsidRPr="00D74D43">
        <w:rPr>
          <w:rFonts w:ascii="Arial" w:hAnsi="Arial" w:cs="Arial"/>
          <w:sz w:val="20"/>
          <w:szCs w:val="20"/>
        </w:rPr>
        <w:t xml:space="preserve">, S., &amp; Foster, J. (2011). Counting and multidimensional poverty measurement. Journal of Public Economics, 95(7–8), 476–487. </w:t>
      </w:r>
      <w:hyperlink r:id="rId13" w:history="1">
        <w:r w:rsidRPr="00350588">
          <w:rPr>
            <w:rStyle w:val="Hyperlink"/>
            <w:rFonts w:ascii="Arial" w:hAnsi="Arial" w:cs="Arial"/>
            <w:sz w:val="20"/>
            <w:szCs w:val="20"/>
          </w:rPr>
          <w:t>https://doi.org/10.1016/j.jpubeco.2010.11.006</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Amonge</w:t>
      </w:r>
      <w:proofErr w:type="spellEnd"/>
      <w:r>
        <w:rPr>
          <w:rFonts w:ascii="Arial" w:hAnsi="Arial" w:cs="Arial"/>
          <w:sz w:val="20"/>
          <w:szCs w:val="20"/>
        </w:rPr>
        <w:t>, T. K. (1993). Aspects of productive and reproductive behaviours of swamp buffalo under ‘</w:t>
      </w:r>
      <w:proofErr w:type="spellStart"/>
      <w:r>
        <w:rPr>
          <w:rFonts w:ascii="Arial" w:hAnsi="Arial" w:cs="Arial"/>
          <w:sz w:val="20"/>
          <w:szCs w:val="20"/>
        </w:rPr>
        <w:t>khuti</w:t>
      </w:r>
      <w:proofErr w:type="spellEnd"/>
      <w:r>
        <w:rPr>
          <w:rFonts w:ascii="Arial" w:hAnsi="Arial" w:cs="Arial"/>
          <w:sz w:val="20"/>
          <w:szCs w:val="20"/>
        </w:rPr>
        <w:t xml:space="preserve">’ system of management in Assam. </w:t>
      </w:r>
      <w:r>
        <w:rPr>
          <w:rStyle w:val="Emphasis"/>
          <w:rFonts w:ascii="Arial" w:hAnsi="Arial" w:cs="Arial"/>
          <w:i w:val="0"/>
          <w:sz w:val="20"/>
          <w:szCs w:val="20"/>
        </w:rPr>
        <w:t>Ph.D. thesis</w:t>
      </w:r>
      <w:r>
        <w:rPr>
          <w:rFonts w:ascii="Arial" w:hAnsi="Arial" w:cs="Arial"/>
          <w:sz w:val="20"/>
          <w:szCs w:val="20"/>
        </w:rPr>
        <w:t>, Assam Agricultural University, Guwahati-22.</w:t>
      </w:r>
    </w:p>
    <w:p w:rsidR="006B6462" w:rsidRDefault="006B6462">
      <w:pPr>
        <w:pStyle w:val="NormalWeb"/>
        <w:ind w:left="720" w:hanging="720"/>
        <w:jc w:val="both"/>
        <w:rPr>
          <w:rFonts w:ascii="Arial" w:hAnsi="Arial" w:cs="Arial"/>
          <w:sz w:val="20"/>
          <w:szCs w:val="20"/>
        </w:rPr>
      </w:pPr>
      <w:r w:rsidRPr="005476CF">
        <w:rPr>
          <w:rFonts w:ascii="Arial" w:hAnsi="Arial" w:cs="Arial"/>
          <w:sz w:val="20"/>
          <w:szCs w:val="20"/>
        </w:rPr>
        <w:t xml:space="preserve">Banda, L. J., &amp; Tanganyika, J. (2021). Livestock provide more than food in smallholder production systems of developing countries. Animal Frontiers, 11(2), 7–14. </w:t>
      </w:r>
      <w:hyperlink r:id="rId14" w:history="1">
        <w:r w:rsidRPr="00350588">
          <w:rPr>
            <w:rStyle w:val="Hyperlink"/>
            <w:rFonts w:ascii="Arial" w:hAnsi="Arial" w:cs="Arial"/>
            <w:sz w:val="20"/>
            <w:szCs w:val="20"/>
          </w:rPr>
          <w:t>https://doi.org/10.1093/af/vfab001</w:t>
        </w:r>
      </w:hyperlink>
    </w:p>
    <w:p w:rsidR="006B6462" w:rsidRDefault="006B6462">
      <w:pPr>
        <w:pStyle w:val="NormalWeb"/>
        <w:ind w:left="720" w:hanging="720"/>
        <w:jc w:val="both"/>
        <w:rPr>
          <w:rFonts w:ascii="Arial" w:hAnsi="Arial" w:cs="Arial"/>
          <w:sz w:val="20"/>
          <w:szCs w:val="20"/>
        </w:rPr>
      </w:pPr>
      <w:r w:rsidRPr="00172E3C">
        <w:rPr>
          <w:rFonts w:ascii="Arial" w:hAnsi="Arial" w:cs="Arial"/>
          <w:sz w:val="20"/>
          <w:szCs w:val="20"/>
        </w:rPr>
        <w:t xml:space="preserve">Borah, L., </w:t>
      </w:r>
      <w:proofErr w:type="spellStart"/>
      <w:r w:rsidRPr="00172E3C">
        <w:rPr>
          <w:rFonts w:ascii="Arial" w:hAnsi="Arial" w:cs="Arial"/>
          <w:sz w:val="20"/>
          <w:szCs w:val="20"/>
        </w:rPr>
        <w:t>Kalita</w:t>
      </w:r>
      <w:proofErr w:type="spellEnd"/>
      <w:r w:rsidRPr="00172E3C">
        <w:rPr>
          <w:rFonts w:ascii="Arial" w:hAnsi="Arial" w:cs="Arial"/>
          <w:sz w:val="20"/>
          <w:szCs w:val="20"/>
        </w:rPr>
        <w:t xml:space="preserve">, B., </w:t>
      </w:r>
      <w:proofErr w:type="spellStart"/>
      <w:r w:rsidRPr="00172E3C">
        <w:rPr>
          <w:rFonts w:ascii="Arial" w:hAnsi="Arial" w:cs="Arial"/>
          <w:sz w:val="20"/>
          <w:szCs w:val="20"/>
        </w:rPr>
        <w:t>Boro</w:t>
      </w:r>
      <w:proofErr w:type="spellEnd"/>
      <w:r w:rsidRPr="00172E3C">
        <w:rPr>
          <w:rFonts w:ascii="Arial" w:hAnsi="Arial" w:cs="Arial"/>
          <w:sz w:val="20"/>
          <w:szCs w:val="20"/>
        </w:rPr>
        <w:t xml:space="preserve">, P., </w:t>
      </w:r>
      <w:proofErr w:type="spellStart"/>
      <w:r w:rsidRPr="00172E3C">
        <w:rPr>
          <w:rFonts w:ascii="Arial" w:hAnsi="Arial" w:cs="Arial"/>
          <w:sz w:val="20"/>
          <w:szCs w:val="20"/>
        </w:rPr>
        <w:t>Kulnu</w:t>
      </w:r>
      <w:proofErr w:type="spellEnd"/>
      <w:r w:rsidRPr="00172E3C">
        <w:rPr>
          <w:rFonts w:ascii="Arial" w:hAnsi="Arial" w:cs="Arial"/>
          <w:sz w:val="20"/>
          <w:szCs w:val="20"/>
        </w:rPr>
        <w:t xml:space="preserve">, A. S., &amp; Hazarika, N. (2022). Climate change impacts on socio-hydrological spaces of the Brahmaputra floodplain in Assam, Northeast India: A review. Frontiers in Water, 4, Article 913840. </w:t>
      </w:r>
      <w:hyperlink r:id="rId15" w:history="1">
        <w:r w:rsidRPr="00350588">
          <w:rPr>
            <w:rStyle w:val="Hyperlink"/>
            <w:rFonts w:ascii="Arial" w:hAnsi="Arial" w:cs="Arial"/>
            <w:sz w:val="20"/>
            <w:szCs w:val="20"/>
          </w:rPr>
          <w:t>https://doi.org/10.3389/frwa.2022.913840</w:t>
        </w:r>
      </w:hyperlink>
    </w:p>
    <w:p w:rsidR="006B6462" w:rsidRDefault="006B6462">
      <w:pPr>
        <w:pStyle w:val="NormalWeb"/>
        <w:ind w:left="720" w:hanging="720"/>
        <w:jc w:val="both"/>
        <w:rPr>
          <w:rFonts w:ascii="Arial" w:hAnsi="Arial" w:cs="Arial"/>
          <w:sz w:val="20"/>
          <w:szCs w:val="20"/>
        </w:rPr>
      </w:pPr>
      <w:proofErr w:type="spellStart"/>
      <w:r w:rsidRPr="002655E1">
        <w:rPr>
          <w:rFonts w:ascii="Arial" w:hAnsi="Arial" w:cs="Arial"/>
          <w:sz w:val="20"/>
          <w:szCs w:val="20"/>
        </w:rPr>
        <w:t>Bretschger</w:t>
      </w:r>
      <w:proofErr w:type="spellEnd"/>
      <w:r w:rsidRPr="002655E1">
        <w:rPr>
          <w:rFonts w:ascii="Arial" w:hAnsi="Arial" w:cs="Arial"/>
          <w:sz w:val="20"/>
          <w:szCs w:val="20"/>
        </w:rPr>
        <w:t xml:space="preserve">, L., &amp; </w:t>
      </w:r>
      <w:proofErr w:type="spellStart"/>
      <w:r w:rsidRPr="002655E1">
        <w:rPr>
          <w:rFonts w:ascii="Arial" w:hAnsi="Arial" w:cs="Arial"/>
          <w:sz w:val="20"/>
          <w:szCs w:val="20"/>
        </w:rPr>
        <w:t>Pittel</w:t>
      </w:r>
      <w:proofErr w:type="spellEnd"/>
      <w:r w:rsidRPr="002655E1">
        <w:rPr>
          <w:rFonts w:ascii="Arial" w:hAnsi="Arial" w:cs="Arial"/>
          <w:sz w:val="20"/>
          <w:szCs w:val="20"/>
        </w:rPr>
        <w:t xml:space="preserve">, K. (2020). Twenty key challenges in environmental and resource economics. Environmental and Resource Economics, 77, 725–750. </w:t>
      </w:r>
      <w:hyperlink r:id="rId16" w:history="1">
        <w:r w:rsidRPr="00350588">
          <w:rPr>
            <w:rStyle w:val="Hyperlink"/>
            <w:rFonts w:ascii="Arial" w:hAnsi="Arial" w:cs="Arial"/>
            <w:sz w:val="20"/>
            <w:szCs w:val="20"/>
          </w:rPr>
          <w:t>https://doi.org/10.1007/s10640-020-00516-y</w:t>
        </w:r>
      </w:hyperlink>
    </w:p>
    <w:p w:rsidR="006B6462" w:rsidRDefault="006B6462">
      <w:pPr>
        <w:pStyle w:val="NormalWeb"/>
        <w:ind w:left="720" w:hanging="720"/>
        <w:jc w:val="both"/>
        <w:rPr>
          <w:rFonts w:ascii="Arial" w:hAnsi="Arial" w:cs="Arial"/>
          <w:sz w:val="20"/>
          <w:szCs w:val="20"/>
        </w:rPr>
      </w:pPr>
      <w:proofErr w:type="spellStart"/>
      <w:r w:rsidRPr="00CF0724">
        <w:rPr>
          <w:rFonts w:ascii="Arial" w:hAnsi="Arial" w:cs="Arial"/>
          <w:sz w:val="20"/>
          <w:szCs w:val="20"/>
        </w:rPr>
        <w:t>Chetry</w:t>
      </w:r>
      <w:proofErr w:type="spellEnd"/>
      <w:r w:rsidRPr="00CF0724">
        <w:rPr>
          <w:rFonts w:ascii="Arial" w:hAnsi="Arial" w:cs="Arial"/>
          <w:sz w:val="20"/>
          <w:szCs w:val="20"/>
        </w:rPr>
        <w:t xml:space="preserve">, K. and </w:t>
      </w:r>
      <w:proofErr w:type="spellStart"/>
      <w:r w:rsidRPr="00CF0724">
        <w:rPr>
          <w:rFonts w:ascii="Arial" w:hAnsi="Arial" w:cs="Arial"/>
          <w:sz w:val="20"/>
          <w:szCs w:val="20"/>
        </w:rPr>
        <w:t>Kar</w:t>
      </w:r>
      <w:proofErr w:type="spellEnd"/>
      <w:r w:rsidRPr="00CF0724">
        <w:rPr>
          <w:rFonts w:ascii="Arial" w:hAnsi="Arial" w:cs="Arial"/>
          <w:sz w:val="20"/>
          <w:szCs w:val="20"/>
        </w:rPr>
        <w:t xml:space="preserve">, N. (2020). Indigenous dairy economy of the Nepalese of </w:t>
      </w:r>
      <w:proofErr w:type="spellStart"/>
      <w:r w:rsidRPr="00CF0724">
        <w:rPr>
          <w:rFonts w:ascii="Arial" w:hAnsi="Arial" w:cs="Arial"/>
          <w:sz w:val="20"/>
          <w:szCs w:val="20"/>
        </w:rPr>
        <w:t>Lohit</w:t>
      </w:r>
      <w:proofErr w:type="spellEnd"/>
      <w:r w:rsidRPr="00CF0724">
        <w:rPr>
          <w:rFonts w:ascii="Arial" w:hAnsi="Arial" w:cs="Arial"/>
          <w:sz w:val="20"/>
          <w:szCs w:val="20"/>
        </w:rPr>
        <w:t xml:space="preserve"> District of Arunachal Pradesh: A study in cultural ecology. International Journal of Creative Research Thoughts (IJCRT), 8(10), 3215–3222. </w:t>
      </w:r>
      <w:hyperlink r:id="rId17" w:history="1">
        <w:r w:rsidRPr="00350588">
          <w:rPr>
            <w:rStyle w:val="Hyperlink"/>
            <w:rFonts w:ascii="Arial" w:hAnsi="Arial" w:cs="Arial"/>
            <w:sz w:val="20"/>
            <w:szCs w:val="20"/>
          </w:rPr>
          <w:t>https://www.ijcrt.org/papers/IJCRT2010435.pdf</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Chetry</w:t>
      </w:r>
      <w:proofErr w:type="spellEnd"/>
      <w:r>
        <w:rPr>
          <w:rFonts w:ascii="Arial" w:hAnsi="Arial" w:cs="Arial"/>
          <w:sz w:val="20"/>
          <w:szCs w:val="20"/>
        </w:rPr>
        <w:t xml:space="preserve">, K., &amp; </w:t>
      </w:r>
      <w:proofErr w:type="spellStart"/>
      <w:r>
        <w:rPr>
          <w:rFonts w:ascii="Arial" w:hAnsi="Arial" w:cs="Arial"/>
          <w:sz w:val="20"/>
          <w:szCs w:val="20"/>
        </w:rPr>
        <w:t>Kar</w:t>
      </w:r>
      <w:proofErr w:type="spellEnd"/>
      <w:r>
        <w:rPr>
          <w:rFonts w:ascii="Arial" w:hAnsi="Arial" w:cs="Arial"/>
          <w:sz w:val="20"/>
          <w:szCs w:val="20"/>
        </w:rPr>
        <w:t xml:space="preserve">, N. (2021). </w:t>
      </w:r>
      <w:proofErr w:type="spellStart"/>
      <w:r>
        <w:rPr>
          <w:rFonts w:ascii="Arial" w:hAnsi="Arial" w:cs="Arial"/>
          <w:sz w:val="20"/>
          <w:szCs w:val="20"/>
        </w:rPr>
        <w:t>Khuti</w:t>
      </w:r>
      <w:proofErr w:type="spellEnd"/>
      <w:r>
        <w:rPr>
          <w:rFonts w:ascii="Arial" w:hAnsi="Arial" w:cs="Arial"/>
          <w:sz w:val="20"/>
          <w:szCs w:val="20"/>
        </w:rPr>
        <w:t xml:space="preserve"> – A traditional Nepali dairy farming for rural livelihood in </w:t>
      </w:r>
      <w:proofErr w:type="spellStart"/>
      <w:r>
        <w:rPr>
          <w:rFonts w:ascii="Arial" w:hAnsi="Arial" w:cs="Arial"/>
          <w:sz w:val="20"/>
          <w:szCs w:val="20"/>
        </w:rPr>
        <w:t>Lohit</w:t>
      </w:r>
      <w:proofErr w:type="spellEnd"/>
      <w:r>
        <w:rPr>
          <w:rFonts w:ascii="Arial" w:hAnsi="Arial" w:cs="Arial"/>
          <w:sz w:val="20"/>
          <w:szCs w:val="20"/>
        </w:rPr>
        <w:t xml:space="preserve"> District of Arunachal Pradesh (India). </w:t>
      </w:r>
      <w:r>
        <w:rPr>
          <w:rStyle w:val="Emphasis"/>
          <w:rFonts w:ascii="Arial" w:hAnsi="Arial" w:cs="Arial"/>
          <w:i w:val="0"/>
          <w:sz w:val="20"/>
          <w:szCs w:val="20"/>
        </w:rPr>
        <w:t xml:space="preserve">Eco. </w:t>
      </w:r>
      <w:proofErr w:type="spellStart"/>
      <w:r>
        <w:rPr>
          <w:rStyle w:val="Emphasis"/>
          <w:rFonts w:ascii="Arial" w:hAnsi="Arial" w:cs="Arial"/>
          <w:i w:val="0"/>
          <w:sz w:val="20"/>
          <w:szCs w:val="20"/>
        </w:rPr>
        <w:t>Env</w:t>
      </w:r>
      <w:proofErr w:type="spellEnd"/>
      <w:r>
        <w:rPr>
          <w:rStyle w:val="Emphasis"/>
          <w:rFonts w:ascii="Arial" w:hAnsi="Arial" w:cs="Arial"/>
          <w:i w:val="0"/>
          <w:sz w:val="20"/>
          <w:szCs w:val="20"/>
        </w:rPr>
        <w:t>. &amp; Cons.</w:t>
      </w:r>
      <w:r>
        <w:rPr>
          <w:rFonts w:ascii="Arial" w:hAnsi="Arial" w:cs="Arial"/>
          <w:sz w:val="20"/>
          <w:szCs w:val="20"/>
        </w:rPr>
        <w:t>, 27(3), 1390–1398.</w:t>
      </w:r>
    </w:p>
    <w:p w:rsidR="006B6462" w:rsidRDefault="006B6462">
      <w:pPr>
        <w:pStyle w:val="NormalWeb"/>
        <w:ind w:left="720" w:hanging="720"/>
        <w:jc w:val="both"/>
        <w:rPr>
          <w:rFonts w:ascii="Arial" w:hAnsi="Arial" w:cs="Arial"/>
          <w:sz w:val="20"/>
          <w:szCs w:val="20"/>
        </w:rPr>
      </w:pPr>
      <w:r w:rsidRPr="00562751">
        <w:rPr>
          <w:rFonts w:ascii="Arial" w:hAnsi="Arial" w:cs="Arial"/>
          <w:sz w:val="20"/>
          <w:szCs w:val="20"/>
        </w:rPr>
        <w:t xml:space="preserve">De, L. C. (2021). Traditional knowledge practices of North East India for sustainable agriculture. Journal of </w:t>
      </w:r>
      <w:proofErr w:type="spellStart"/>
      <w:r w:rsidRPr="00562751">
        <w:rPr>
          <w:rFonts w:ascii="Arial" w:hAnsi="Arial" w:cs="Arial"/>
          <w:sz w:val="20"/>
          <w:szCs w:val="20"/>
        </w:rPr>
        <w:t>Pharmacognosy</w:t>
      </w:r>
      <w:proofErr w:type="spellEnd"/>
      <w:r w:rsidRPr="00562751">
        <w:rPr>
          <w:rFonts w:ascii="Arial" w:hAnsi="Arial" w:cs="Arial"/>
          <w:sz w:val="20"/>
          <w:szCs w:val="20"/>
        </w:rPr>
        <w:t xml:space="preserve"> and </w:t>
      </w:r>
      <w:proofErr w:type="spellStart"/>
      <w:r w:rsidRPr="00562751">
        <w:rPr>
          <w:rFonts w:ascii="Arial" w:hAnsi="Arial" w:cs="Arial"/>
          <w:sz w:val="20"/>
          <w:szCs w:val="20"/>
        </w:rPr>
        <w:t>Phytochemistry</w:t>
      </w:r>
      <w:proofErr w:type="spellEnd"/>
      <w:r w:rsidRPr="00562751">
        <w:rPr>
          <w:rFonts w:ascii="Arial" w:hAnsi="Arial" w:cs="Arial"/>
          <w:sz w:val="20"/>
          <w:szCs w:val="20"/>
        </w:rPr>
        <w:t xml:space="preserve">, </w:t>
      </w:r>
      <w:proofErr w:type="spellStart"/>
      <w:r w:rsidRPr="00562751">
        <w:rPr>
          <w:rFonts w:ascii="Arial" w:hAnsi="Arial" w:cs="Arial"/>
          <w:sz w:val="20"/>
          <w:szCs w:val="20"/>
        </w:rPr>
        <w:t>Sp</w:t>
      </w:r>
      <w:proofErr w:type="spellEnd"/>
      <w:r w:rsidRPr="00562751">
        <w:rPr>
          <w:rFonts w:ascii="Arial" w:hAnsi="Arial" w:cs="Arial"/>
          <w:sz w:val="20"/>
          <w:szCs w:val="20"/>
        </w:rPr>
        <w:t xml:space="preserve"> 10(1), 549–556.</w:t>
      </w:r>
    </w:p>
    <w:p w:rsidR="006B6462" w:rsidRDefault="006B6462">
      <w:pPr>
        <w:pStyle w:val="NormalWeb"/>
        <w:ind w:left="720" w:hanging="720"/>
        <w:jc w:val="both"/>
        <w:rPr>
          <w:rFonts w:ascii="Arial" w:hAnsi="Arial" w:cs="Arial"/>
          <w:sz w:val="20"/>
          <w:szCs w:val="20"/>
        </w:rPr>
      </w:pPr>
      <w:r w:rsidRPr="00925C3C">
        <w:rPr>
          <w:rFonts w:ascii="Arial" w:hAnsi="Arial" w:cs="Arial"/>
          <w:sz w:val="20"/>
          <w:szCs w:val="20"/>
        </w:rPr>
        <w:t xml:space="preserve">Egger-Rainer, A. (2018). Determination of content validity of the Epilepsy Monitoring Unit Comfort Questionnaire using the Content Validity Index. Journal of Nursing Measurement, 26(2), 398–410. </w:t>
      </w:r>
      <w:hyperlink r:id="rId18" w:history="1">
        <w:r w:rsidRPr="00350588">
          <w:rPr>
            <w:rStyle w:val="Hyperlink"/>
            <w:rFonts w:ascii="Arial" w:hAnsi="Arial" w:cs="Arial"/>
            <w:sz w:val="20"/>
            <w:szCs w:val="20"/>
          </w:rPr>
          <w:t>http://dx.doi.org/10.1891/1061-3749.26.2.398</w:t>
        </w:r>
      </w:hyperlink>
    </w:p>
    <w:p w:rsidR="006B6462" w:rsidRDefault="006B6462">
      <w:pPr>
        <w:pStyle w:val="NormalWeb"/>
        <w:ind w:left="720" w:hanging="720"/>
        <w:jc w:val="both"/>
        <w:rPr>
          <w:rFonts w:ascii="Arial" w:hAnsi="Arial" w:cs="Arial"/>
          <w:sz w:val="20"/>
          <w:szCs w:val="20"/>
        </w:rPr>
      </w:pPr>
      <w:proofErr w:type="spellStart"/>
      <w:r w:rsidRPr="002655E1">
        <w:rPr>
          <w:rFonts w:ascii="Arial" w:hAnsi="Arial" w:cs="Arial"/>
          <w:sz w:val="20"/>
          <w:szCs w:val="20"/>
        </w:rPr>
        <w:t>Farghali</w:t>
      </w:r>
      <w:proofErr w:type="spellEnd"/>
      <w:r w:rsidRPr="002655E1">
        <w:rPr>
          <w:rFonts w:ascii="Arial" w:hAnsi="Arial" w:cs="Arial"/>
          <w:sz w:val="20"/>
          <w:szCs w:val="20"/>
        </w:rPr>
        <w:t xml:space="preserve">, M., Osman, A. I., Chen, Z., &amp; et al. (2023). Social, environmental, and economic consequences of integrating renewable energies in the electricity sector: A review. Environmental Chemistry Letters, 21, 1381–1418. </w:t>
      </w:r>
      <w:hyperlink r:id="rId19" w:history="1">
        <w:r w:rsidRPr="00350588">
          <w:rPr>
            <w:rStyle w:val="Hyperlink"/>
            <w:rFonts w:ascii="Arial" w:hAnsi="Arial" w:cs="Arial"/>
            <w:sz w:val="20"/>
            <w:szCs w:val="20"/>
          </w:rPr>
          <w:t>https://doi.org/10.1007/s10311-023-01587-1</w:t>
        </w:r>
      </w:hyperlink>
    </w:p>
    <w:p w:rsidR="006B6462" w:rsidRDefault="006B6462">
      <w:pPr>
        <w:pStyle w:val="NormalWeb"/>
        <w:ind w:left="720" w:hanging="720"/>
        <w:jc w:val="both"/>
        <w:rPr>
          <w:rFonts w:ascii="Arial" w:hAnsi="Arial" w:cs="Arial"/>
          <w:sz w:val="20"/>
          <w:szCs w:val="20"/>
        </w:rPr>
      </w:pPr>
      <w:proofErr w:type="spellStart"/>
      <w:r w:rsidRPr="002655E1">
        <w:rPr>
          <w:rFonts w:ascii="Arial" w:hAnsi="Arial" w:cs="Arial"/>
          <w:sz w:val="20"/>
          <w:szCs w:val="20"/>
        </w:rPr>
        <w:lastRenderedPageBreak/>
        <w:t>Gogoi</w:t>
      </w:r>
      <w:proofErr w:type="spellEnd"/>
      <w:r w:rsidRPr="002655E1">
        <w:rPr>
          <w:rFonts w:ascii="Arial" w:hAnsi="Arial" w:cs="Arial"/>
          <w:sz w:val="20"/>
          <w:szCs w:val="20"/>
        </w:rPr>
        <w:t xml:space="preserve">, B., </w:t>
      </w:r>
      <w:proofErr w:type="spellStart"/>
      <w:r w:rsidRPr="002655E1">
        <w:rPr>
          <w:rFonts w:ascii="Arial" w:hAnsi="Arial" w:cs="Arial"/>
          <w:sz w:val="20"/>
          <w:szCs w:val="20"/>
        </w:rPr>
        <w:t>Khargharia</w:t>
      </w:r>
      <w:proofErr w:type="spellEnd"/>
      <w:r w:rsidRPr="002655E1">
        <w:rPr>
          <w:rFonts w:ascii="Arial" w:hAnsi="Arial" w:cs="Arial"/>
          <w:sz w:val="20"/>
          <w:szCs w:val="20"/>
        </w:rPr>
        <w:t xml:space="preserve">, R., </w:t>
      </w:r>
      <w:proofErr w:type="spellStart"/>
      <w:r w:rsidRPr="002655E1">
        <w:rPr>
          <w:rFonts w:ascii="Arial" w:hAnsi="Arial" w:cs="Arial"/>
          <w:sz w:val="20"/>
          <w:szCs w:val="20"/>
        </w:rPr>
        <w:t>Basumatary</w:t>
      </w:r>
      <w:proofErr w:type="spellEnd"/>
      <w:r w:rsidRPr="002655E1">
        <w:rPr>
          <w:rFonts w:ascii="Arial" w:hAnsi="Arial" w:cs="Arial"/>
          <w:sz w:val="20"/>
          <w:szCs w:val="20"/>
        </w:rPr>
        <w:t xml:space="preserve">, M. U., </w:t>
      </w:r>
      <w:proofErr w:type="spellStart"/>
      <w:r w:rsidRPr="002655E1">
        <w:rPr>
          <w:rFonts w:ascii="Arial" w:hAnsi="Arial" w:cs="Arial"/>
          <w:sz w:val="20"/>
          <w:szCs w:val="20"/>
        </w:rPr>
        <w:t>Kalita</w:t>
      </w:r>
      <w:proofErr w:type="spellEnd"/>
      <w:r w:rsidRPr="002655E1">
        <w:rPr>
          <w:rFonts w:ascii="Arial" w:hAnsi="Arial" w:cs="Arial"/>
          <w:sz w:val="20"/>
          <w:szCs w:val="20"/>
        </w:rPr>
        <w:t xml:space="preserve">, J. J., </w:t>
      </w:r>
      <w:proofErr w:type="spellStart"/>
      <w:r w:rsidRPr="002655E1">
        <w:rPr>
          <w:rFonts w:ascii="Arial" w:hAnsi="Arial" w:cs="Arial"/>
          <w:sz w:val="20"/>
          <w:szCs w:val="20"/>
        </w:rPr>
        <w:t>Sarma</w:t>
      </w:r>
      <w:proofErr w:type="spellEnd"/>
      <w:r w:rsidRPr="002655E1">
        <w:rPr>
          <w:rFonts w:ascii="Arial" w:hAnsi="Arial" w:cs="Arial"/>
          <w:sz w:val="20"/>
          <w:szCs w:val="20"/>
        </w:rPr>
        <w:t xml:space="preserve">, S., Pathak, P., </w:t>
      </w:r>
      <w:proofErr w:type="spellStart"/>
      <w:r w:rsidRPr="002655E1">
        <w:rPr>
          <w:rFonts w:ascii="Arial" w:hAnsi="Arial" w:cs="Arial"/>
          <w:sz w:val="20"/>
          <w:szCs w:val="20"/>
        </w:rPr>
        <w:t>Deka</w:t>
      </w:r>
      <w:proofErr w:type="spellEnd"/>
      <w:r w:rsidRPr="002655E1">
        <w:rPr>
          <w:rFonts w:ascii="Arial" w:hAnsi="Arial" w:cs="Arial"/>
          <w:sz w:val="20"/>
          <w:szCs w:val="20"/>
        </w:rPr>
        <w:t xml:space="preserve">, D., Barman, S., &amp; Sharma, A. K. (2023). Agricultural sustainability and resource management in the silt-deposited floodplains of Assam in North-East Region of India. In K. </w:t>
      </w:r>
      <w:proofErr w:type="spellStart"/>
      <w:r w:rsidRPr="002655E1">
        <w:rPr>
          <w:rFonts w:ascii="Arial" w:hAnsi="Arial" w:cs="Arial"/>
          <w:sz w:val="20"/>
          <w:szCs w:val="20"/>
        </w:rPr>
        <w:t>Mahanta</w:t>
      </w:r>
      <w:proofErr w:type="spellEnd"/>
      <w:r w:rsidRPr="002655E1">
        <w:rPr>
          <w:rFonts w:ascii="Arial" w:hAnsi="Arial" w:cs="Arial"/>
          <w:sz w:val="20"/>
          <w:szCs w:val="20"/>
        </w:rPr>
        <w:t xml:space="preserve">, A. </w:t>
      </w:r>
      <w:proofErr w:type="spellStart"/>
      <w:r w:rsidRPr="002655E1">
        <w:rPr>
          <w:rFonts w:ascii="Arial" w:hAnsi="Arial" w:cs="Arial"/>
          <w:sz w:val="20"/>
          <w:szCs w:val="20"/>
        </w:rPr>
        <w:t>Kohli</w:t>
      </w:r>
      <w:proofErr w:type="spellEnd"/>
      <w:r w:rsidRPr="002655E1">
        <w:rPr>
          <w:rFonts w:ascii="Arial" w:hAnsi="Arial" w:cs="Arial"/>
          <w:sz w:val="20"/>
          <w:szCs w:val="20"/>
        </w:rPr>
        <w:t>, V. Sharma, S. Arora, &amp; A. K. Singh (Eds.), Sustainable interventions for resource conservation, climate resilience and natural farming (pp. 52–68). ANRCM.</w:t>
      </w:r>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Gogoi</w:t>
      </w:r>
      <w:proofErr w:type="spellEnd"/>
      <w:r>
        <w:rPr>
          <w:rFonts w:ascii="Arial" w:hAnsi="Arial" w:cs="Arial"/>
          <w:sz w:val="20"/>
          <w:szCs w:val="20"/>
        </w:rPr>
        <w:t xml:space="preserve">, D., </w:t>
      </w:r>
      <w:proofErr w:type="spellStart"/>
      <w:r>
        <w:rPr>
          <w:rFonts w:ascii="Arial" w:hAnsi="Arial" w:cs="Arial"/>
          <w:sz w:val="20"/>
          <w:szCs w:val="20"/>
        </w:rPr>
        <w:t>Borthakur</w:t>
      </w:r>
      <w:proofErr w:type="spellEnd"/>
      <w:r>
        <w:rPr>
          <w:rFonts w:ascii="Arial" w:hAnsi="Arial" w:cs="Arial"/>
          <w:sz w:val="20"/>
          <w:szCs w:val="20"/>
        </w:rPr>
        <w:t xml:space="preserve">, B., </w:t>
      </w:r>
      <w:proofErr w:type="spellStart"/>
      <w:r>
        <w:rPr>
          <w:rFonts w:ascii="Arial" w:hAnsi="Arial" w:cs="Arial"/>
          <w:sz w:val="20"/>
          <w:szCs w:val="20"/>
        </w:rPr>
        <w:t>Borgohain</w:t>
      </w:r>
      <w:proofErr w:type="spellEnd"/>
      <w:r>
        <w:rPr>
          <w:rFonts w:ascii="Arial" w:hAnsi="Arial" w:cs="Arial"/>
          <w:sz w:val="20"/>
          <w:szCs w:val="20"/>
        </w:rPr>
        <w:t xml:space="preserve">, A., </w:t>
      </w:r>
      <w:proofErr w:type="spellStart"/>
      <w:r>
        <w:rPr>
          <w:rFonts w:ascii="Arial" w:hAnsi="Arial" w:cs="Arial"/>
          <w:sz w:val="20"/>
          <w:szCs w:val="20"/>
        </w:rPr>
        <w:t>Shyam</w:t>
      </w:r>
      <w:proofErr w:type="spellEnd"/>
      <w:r>
        <w:rPr>
          <w:rFonts w:ascii="Arial" w:hAnsi="Arial" w:cs="Arial"/>
          <w:sz w:val="20"/>
          <w:szCs w:val="20"/>
        </w:rPr>
        <w:t xml:space="preserve">, J., &amp; Borah, B. (2025). Demographic and economic status of </w:t>
      </w:r>
      <w:proofErr w:type="spellStart"/>
      <w:r>
        <w:rPr>
          <w:rFonts w:ascii="Arial" w:hAnsi="Arial" w:cs="Arial"/>
          <w:sz w:val="20"/>
          <w:szCs w:val="20"/>
        </w:rPr>
        <w:t>Khuti</w:t>
      </w:r>
      <w:proofErr w:type="spellEnd"/>
      <w:r>
        <w:rPr>
          <w:rFonts w:ascii="Arial" w:hAnsi="Arial" w:cs="Arial"/>
          <w:sz w:val="20"/>
          <w:szCs w:val="20"/>
        </w:rPr>
        <w:t xml:space="preserve"> dwellers in Assam. </w:t>
      </w:r>
      <w:r>
        <w:rPr>
          <w:rStyle w:val="Emphasis"/>
          <w:rFonts w:ascii="Arial" w:hAnsi="Arial" w:cs="Arial"/>
          <w:i w:val="0"/>
          <w:sz w:val="20"/>
          <w:szCs w:val="20"/>
        </w:rPr>
        <w:t>International Journal of Agriculture Extension and Social Development</w:t>
      </w:r>
      <w:r>
        <w:rPr>
          <w:rFonts w:ascii="Arial" w:hAnsi="Arial" w:cs="Arial"/>
          <w:sz w:val="20"/>
          <w:szCs w:val="20"/>
        </w:rPr>
        <w:t xml:space="preserve">, 8(5), 123–128. </w:t>
      </w:r>
      <w:hyperlink r:id="rId20" w:tgtFrame="_new" w:history="1">
        <w:r>
          <w:rPr>
            <w:rStyle w:val="Hyperlink"/>
            <w:rFonts w:ascii="Arial" w:hAnsi="Arial" w:cs="Arial"/>
            <w:sz w:val="20"/>
            <w:szCs w:val="20"/>
          </w:rPr>
          <w:t>https://doi.org/10.33545/26180723.2025.v8.i5b.1867</w:t>
        </w:r>
      </w:hyperlink>
    </w:p>
    <w:p w:rsidR="006B6462" w:rsidRDefault="006B6462">
      <w:pPr>
        <w:pStyle w:val="NormalWeb"/>
        <w:ind w:left="720" w:hanging="720"/>
        <w:jc w:val="both"/>
        <w:rPr>
          <w:rFonts w:ascii="Arial" w:hAnsi="Arial" w:cs="Arial"/>
          <w:sz w:val="20"/>
          <w:szCs w:val="20"/>
        </w:rPr>
      </w:pPr>
      <w:proofErr w:type="spellStart"/>
      <w:r w:rsidRPr="004F4B84">
        <w:rPr>
          <w:rFonts w:ascii="Arial" w:hAnsi="Arial" w:cs="Arial"/>
          <w:sz w:val="20"/>
          <w:szCs w:val="20"/>
        </w:rPr>
        <w:t>Gogoi</w:t>
      </w:r>
      <w:proofErr w:type="spellEnd"/>
      <w:r w:rsidRPr="004F4B84">
        <w:rPr>
          <w:rFonts w:ascii="Arial" w:hAnsi="Arial" w:cs="Arial"/>
          <w:sz w:val="20"/>
          <w:szCs w:val="20"/>
        </w:rPr>
        <w:t xml:space="preserve">, K., &amp; Rao, K. (2022). Analysis of rainfall trends over Assam, North East India. Current World Environment, 17(2), 435–446. </w:t>
      </w:r>
      <w:hyperlink r:id="rId21" w:history="1">
        <w:r w:rsidRPr="00350588">
          <w:rPr>
            <w:rStyle w:val="Hyperlink"/>
            <w:rFonts w:ascii="Arial" w:hAnsi="Arial" w:cs="Arial"/>
            <w:sz w:val="20"/>
            <w:szCs w:val="20"/>
          </w:rPr>
          <w:t>https://doi.org/10.12944/CWE.17.2.15</w:t>
        </w:r>
      </w:hyperlink>
    </w:p>
    <w:p w:rsidR="006B6462" w:rsidRDefault="006B6462">
      <w:pPr>
        <w:pStyle w:val="NormalWeb"/>
        <w:ind w:left="720" w:hanging="720"/>
        <w:jc w:val="both"/>
        <w:rPr>
          <w:rFonts w:ascii="Arial" w:hAnsi="Arial" w:cs="Arial"/>
          <w:sz w:val="20"/>
          <w:szCs w:val="20"/>
        </w:rPr>
      </w:pPr>
      <w:r w:rsidRPr="002655E1">
        <w:rPr>
          <w:rFonts w:ascii="Arial" w:hAnsi="Arial" w:cs="Arial"/>
          <w:sz w:val="20"/>
          <w:szCs w:val="20"/>
        </w:rPr>
        <w:t>Gómez-</w:t>
      </w:r>
      <w:proofErr w:type="spellStart"/>
      <w:r w:rsidRPr="002655E1">
        <w:rPr>
          <w:rFonts w:ascii="Arial" w:hAnsi="Arial" w:cs="Arial"/>
          <w:sz w:val="20"/>
          <w:szCs w:val="20"/>
        </w:rPr>
        <w:t>Baggethun</w:t>
      </w:r>
      <w:proofErr w:type="spellEnd"/>
      <w:r w:rsidRPr="002655E1">
        <w:rPr>
          <w:rFonts w:ascii="Arial" w:hAnsi="Arial" w:cs="Arial"/>
          <w:sz w:val="20"/>
          <w:szCs w:val="20"/>
        </w:rPr>
        <w:t xml:space="preserve">, E., </w:t>
      </w:r>
      <w:proofErr w:type="spellStart"/>
      <w:r w:rsidRPr="002655E1">
        <w:rPr>
          <w:rFonts w:ascii="Arial" w:hAnsi="Arial" w:cs="Arial"/>
          <w:sz w:val="20"/>
          <w:szCs w:val="20"/>
        </w:rPr>
        <w:t>Corbera</w:t>
      </w:r>
      <w:proofErr w:type="spellEnd"/>
      <w:r w:rsidRPr="002655E1">
        <w:rPr>
          <w:rFonts w:ascii="Arial" w:hAnsi="Arial" w:cs="Arial"/>
          <w:sz w:val="20"/>
          <w:szCs w:val="20"/>
        </w:rPr>
        <w:t>, E., &amp; Reyes-</w:t>
      </w:r>
      <w:proofErr w:type="spellStart"/>
      <w:r w:rsidRPr="002655E1">
        <w:rPr>
          <w:rFonts w:ascii="Arial" w:hAnsi="Arial" w:cs="Arial"/>
          <w:sz w:val="20"/>
          <w:szCs w:val="20"/>
        </w:rPr>
        <w:t>García</w:t>
      </w:r>
      <w:proofErr w:type="spellEnd"/>
      <w:r w:rsidRPr="002655E1">
        <w:rPr>
          <w:rFonts w:ascii="Arial" w:hAnsi="Arial" w:cs="Arial"/>
          <w:sz w:val="20"/>
          <w:szCs w:val="20"/>
        </w:rPr>
        <w:t xml:space="preserve">, V. (2013). Traditional ecological knowledge and global environmental change: Research findings and policy implications. Ecology and Society, 18(4), Article 72. </w:t>
      </w:r>
      <w:hyperlink r:id="rId22" w:history="1">
        <w:r w:rsidRPr="00350588">
          <w:rPr>
            <w:rStyle w:val="Hyperlink"/>
            <w:rFonts w:ascii="Arial" w:hAnsi="Arial" w:cs="Arial"/>
            <w:sz w:val="20"/>
            <w:szCs w:val="20"/>
          </w:rPr>
          <w:t>https://doi.org/10.5751/ES-06288-180472</w:t>
        </w:r>
      </w:hyperlink>
    </w:p>
    <w:p w:rsidR="006B6462" w:rsidRDefault="006B6462">
      <w:pPr>
        <w:pStyle w:val="NormalWeb"/>
        <w:ind w:left="720" w:hanging="720"/>
        <w:jc w:val="both"/>
        <w:rPr>
          <w:rFonts w:ascii="Arial" w:hAnsi="Arial" w:cs="Arial"/>
          <w:sz w:val="20"/>
          <w:szCs w:val="20"/>
        </w:rPr>
      </w:pPr>
      <w:r>
        <w:rPr>
          <w:rFonts w:ascii="Arial" w:hAnsi="Arial" w:cs="Arial"/>
          <w:sz w:val="20"/>
          <w:szCs w:val="20"/>
        </w:rPr>
        <w:t xml:space="preserve">IIPS &amp; ICF. (2021). </w:t>
      </w:r>
      <w:r>
        <w:rPr>
          <w:rStyle w:val="Emphasis"/>
          <w:rFonts w:ascii="Arial" w:hAnsi="Arial" w:cs="Arial"/>
          <w:i w:val="0"/>
          <w:sz w:val="20"/>
          <w:szCs w:val="20"/>
        </w:rPr>
        <w:t>National Family Health Survey (NFHS-5), 2019–21: India</w:t>
      </w:r>
      <w:r>
        <w:rPr>
          <w:rFonts w:ascii="Arial" w:hAnsi="Arial" w:cs="Arial"/>
          <w:sz w:val="20"/>
          <w:szCs w:val="20"/>
        </w:rPr>
        <w:t>. International Institute for Population Sciences (IIPS) and ICF, Mumbai.</w:t>
      </w:r>
    </w:p>
    <w:p w:rsidR="006B6462" w:rsidRDefault="006B6462">
      <w:pPr>
        <w:pStyle w:val="NormalWeb"/>
        <w:ind w:left="720" w:hanging="720"/>
        <w:jc w:val="both"/>
        <w:rPr>
          <w:rFonts w:ascii="Arial" w:hAnsi="Arial" w:cs="Arial"/>
          <w:sz w:val="20"/>
          <w:szCs w:val="20"/>
        </w:rPr>
      </w:pPr>
      <w:r w:rsidRPr="00B17C80">
        <w:rPr>
          <w:rFonts w:ascii="Arial" w:hAnsi="Arial" w:cs="Arial"/>
          <w:sz w:val="20"/>
          <w:szCs w:val="20"/>
        </w:rPr>
        <w:t xml:space="preserve">Islam, R., Ali, A., </w:t>
      </w:r>
      <w:proofErr w:type="spellStart"/>
      <w:r w:rsidRPr="00B17C80">
        <w:rPr>
          <w:rFonts w:ascii="Arial" w:hAnsi="Arial" w:cs="Arial"/>
          <w:sz w:val="20"/>
          <w:szCs w:val="20"/>
        </w:rPr>
        <w:t>Mahanta</w:t>
      </w:r>
      <w:proofErr w:type="spellEnd"/>
      <w:r w:rsidRPr="00B17C80">
        <w:rPr>
          <w:rFonts w:ascii="Arial" w:hAnsi="Arial" w:cs="Arial"/>
          <w:sz w:val="20"/>
          <w:szCs w:val="20"/>
        </w:rPr>
        <w:t xml:space="preserve">, J. D., Rahman, M., Begum, K., </w:t>
      </w:r>
      <w:proofErr w:type="spellStart"/>
      <w:r w:rsidRPr="00B17C80">
        <w:rPr>
          <w:rFonts w:ascii="Arial" w:hAnsi="Arial" w:cs="Arial"/>
          <w:sz w:val="20"/>
          <w:szCs w:val="20"/>
        </w:rPr>
        <w:t>Deka</w:t>
      </w:r>
      <w:proofErr w:type="spellEnd"/>
      <w:r w:rsidRPr="00B17C80">
        <w:rPr>
          <w:rFonts w:ascii="Arial" w:hAnsi="Arial" w:cs="Arial"/>
          <w:sz w:val="20"/>
          <w:szCs w:val="20"/>
        </w:rPr>
        <w:t xml:space="preserve">, P., </w:t>
      </w:r>
      <w:proofErr w:type="spellStart"/>
      <w:r w:rsidRPr="00B17C80">
        <w:rPr>
          <w:rFonts w:ascii="Arial" w:hAnsi="Arial" w:cs="Arial"/>
          <w:sz w:val="20"/>
          <w:szCs w:val="20"/>
        </w:rPr>
        <w:t>Sarma</w:t>
      </w:r>
      <w:proofErr w:type="spellEnd"/>
      <w:r w:rsidRPr="00B17C80">
        <w:rPr>
          <w:rFonts w:ascii="Arial" w:hAnsi="Arial" w:cs="Arial"/>
          <w:sz w:val="20"/>
          <w:szCs w:val="20"/>
        </w:rPr>
        <w:t xml:space="preserve">, M., </w:t>
      </w:r>
      <w:proofErr w:type="spellStart"/>
      <w:r w:rsidRPr="00B17C80">
        <w:rPr>
          <w:rFonts w:ascii="Arial" w:hAnsi="Arial" w:cs="Arial"/>
          <w:sz w:val="20"/>
          <w:szCs w:val="20"/>
        </w:rPr>
        <w:t>Saikia</w:t>
      </w:r>
      <w:proofErr w:type="spellEnd"/>
      <w:r w:rsidRPr="00B17C80">
        <w:rPr>
          <w:rFonts w:ascii="Arial" w:hAnsi="Arial" w:cs="Arial"/>
          <w:sz w:val="20"/>
          <w:szCs w:val="20"/>
        </w:rPr>
        <w:t xml:space="preserve">, A., &amp; </w:t>
      </w:r>
      <w:proofErr w:type="spellStart"/>
      <w:r w:rsidRPr="00B17C80">
        <w:rPr>
          <w:rFonts w:ascii="Arial" w:hAnsi="Arial" w:cs="Arial"/>
          <w:sz w:val="20"/>
          <w:szCs w:val="20"/>
        </w:rPr>
        <w:t>Sapcota</w:t>
      </w:r>
      <w:proofErr w:type="spellEnd"/>
      <w:r w:rsidRPr="00B17C80">
        <w:rPr>
          <w:rFonts w:ascii="Arial" w:hAnsi="Arial" w:cs="Arial"/>
          <w:sz w:val="20"/>
          <w:szCs w:val="20"/>
        </w:rPr>
        <w:t xml:space="preserve">, D. (2024). The </w:t>
      </w:r>
      <w:proofErr w:type="spellStart"/>
      <w:r w:rsidRPr="00B17C80">
        <w:rPr>
          <w:rFonts w:ascii="Arial" w:hAnsi="Arial" w:cs="Arial"/>
          <w:sz w:val="20"/>
          <w:szCs w:val="20"/>
        </w:rPr>
        <w:t>Pati</w:t>
      </w:r>
      <w:proofErr w:type="spellEnd"/>
      <w:r w:rsidRPr="00B17C80">
        <w:rPr>
          <w:rFonts w:ascii="Arial" w:hAnsi="Arial" w:cs="Arial"/>
          <w:sz w:val="20"/>
          <w:szCs w:val="20"/>
        </w:rPr>
        <w:t xml:space="preserve"> duck: First-listed native duck breed in India. World’s Poultry Science Journal, 80(1), 1–16. </w:t>
      </w:r>
      <w:hyperlink r:id="rId23" w:history="1">
        <w:r w:rsidRPr="00350588">
          <w:rPr>
            <w:rStyle w:val="Hyperlink"/>
            <w:rFonts w:ascii="Arial" w:hAnsi="Arial" w:cs="Arial"/>
            <w:sz w:val="20"/>
            <w:szCs w:val="20"/>
          </w:rPr>
          <w:t>https://doi.org/10.1080/00439339.2024.2409459</w:t>
        </w:r>
      </w:hyperlink>
    </w:p>
    <w:p w:rsidR="006B6462" w:rsidRDefault="006B6462">
      <w:pPr>
        <w:pStyle w:val="NormalWeb"/>
        <w:ind w:left="720" w:hanging="720"/>
        <w:jc w:val="both"/>
        <w:rPr>
          <w:rFonts w:ascii="Arial" w:hAnsi="Arial" w:cs="Arial"/>
          <w:sz w:val="20"/>
          <w:szCs w:val="20"/>
        </w:rPr>
      </w:pPr>
      <w:r>
        <w:rPr>
          <w:rFonts w:ascii="Arial" w:hAnsi="Arial" w:cs="Arial"/>
          <w:sz w:val="20"/>
          <w:szCs w:val="20"/>
        </w:rPr>
        <w:t xml:space="preserve">Islam, S., </w:t>
      </w:r>
      <w:proofErr w:type="spellStart"/>
      <w:r>
        <w:rPr>
          <w:rFonts w:ascii="Arial" w:hAnsi="Arial" w:cs="Arial"/>
          <w:sz w:val="20"/>
          <w:szCs w:val="20"/>
        </w:rPr>
        <w:t>Alam</w:t>
      </w:r>
      <w:proofErr w:type="spellEnd"/>
      <w:r>
        <w:rPr>
          <w:rFonts w:ascii="Arial" w:hAnsi="Arial" w:cs="Arial"/>
          <w:sz w:val="20"/>
          <w:szCs w:val="20"/>
        </w:rPr>
        <w:t xml:space="preserve">, S., Kaur, G., &amp; </w:t>
      </w:r>
      <w:proofErr w:type="spellStart"/>
      <w:r>
        <w:rPr>
          <w:rFonts w:ascii="Arial" w:hAnsi="Arial" w:cs="Arial"/>
          <w:sz w:val="20"/>
          <w:szCs w:val="20"/>
        </w:rPr>
        <w:t>Gogoi</w:t>
      </w:r>
      <w:proofErr w:type="spellEnd"/>
      <w:r>
        <w:rPr>
          <w:rFonts w:ascii="Arial" w:hAnsi="Arial" w:cs="Arial"/>
          <w:sz w:val="20"/>
          <w:szCs w:val="20"/>
        </w:rPr>
        <w:t xml:space="preserve">, A. (2017). On-farm husbandry practices and phenotypic characteristics of indigenous Assamese buffaloes of India. </w:t>
      </w:r>
      <w:r>
        <w:rPr>
          <w:rStyle w:val="Emphasis"/>
          <w:rFonts w:ascii="Arial" w:hAnsi="Arial" w:cs="Arial"/>
          <w:i w:val="0"/>
          <w:sz w:val="20"/>
          <w:szCs w:val="20"/>
        </w:rPr>
        <w:t>Indian Journal of Animal Research</w:t>
      </w:r>
      <w:r>
        <w:rPr>
          <w:rFonts w:ascii="Arial" w:hAnsi="Arial" w:cs="Arial"/>
          <w:sz w:val="20"/>
          <w:szCs w:val="20"/>
        </w:rPr>
        <w:t xml:space="preserve">, 52. </w:t>
      </w:r>
      <w:hyperlink r:id="rId24" w:tgtFrame="_new" w:history="1">
        <w:r>
          <w:rPr>
            <w:rStyle w:val="Hyperlink"/>
            <w:rFonts w:ascii="Arial" w:hAnsi="Arial" w:cs="Arial"/>
            <w:sz w:val="20"/>
            <w:szCs w:val="20"/>
          </w:rPr>
          <w:t>https://doi.org/10.18805/ijar.B-3358</w:t>
        </w:r>
      </w:hyperlink>
    </w:p>
    <w:p w:rsidR="006B6462" w:rsidRDefault="006B6462">
      <w:pPr>
        <w:pStyle w:val="NormalWeb"/>
        <w:ind w:left="720" w:hanging="720"/>
        <w:jc w:val="both"/>
        <w:rPr>
          <w:rFonts w:ascii="Arial" w:hAnsi="Arial" w:cs="Arial"/>
          <w:sz w:val="20"/>
          <w:szCs w:val="20"/>
        </w:rPr>
      </w:pPr>
      <w:proofErr w:type="spellStart"/>
      <w:r w:rsidRPr="00DB7219">
        <w:rPr>
          <w:rFonts w:ascii="Arial" w:hAnsi="Arial" w:cs="Arial"/>
          <w:sz w:val="20"/>
          <w:szCs w:val="20"/>
        </w:rPr>
        <w:t>Javalkar</w:t>
      </w:r>
      <w:proofErr w:type="spellEnd"/>
      <w:r w:rsidRPr="00DB7219">
        <w:rPr>
          <w:rFonts w:ascii="Arial" w:hAnsi="Arial" w:cs="Arial"/>
          <w:sz w:val="20"/>
          <w:szCs w:val="20"/>
        </w:rPr>
        <w:t xml:space="preserve">, S. R., H, S., </w:t>
      </w:r>
      <w:proofErr w:type="spellStart"/>
      <w:r w:rsidRPr="00DB7219">
        <w:rPr>
          <w:rFonts w:ascii="Arial" w:hAnsi="Arial" w:cs="Arial"/>
          <w:sz w:val="20"/>
          <w:szCs w:val="20"/>
        </w:rPr>
        <w:t>Davalagi</w:t>
      </w:r>
      <w:proofErr w:type="spellEnd"/>
      <w:r w:rsidRPr="00DB7219">
        <w:rPr>
          <w:rFonts w:ascii="Arial" w:hAnsi="Arial" w:cs="Arial"/>
          <w:sz w:val="20"/>
          <w:szCs w:val="20"/>
        </w:rPr>
        <w:t>, S. B., &amp; G. S., V. (2024). Socio-economic status assessment in India: History and updates for 2024. International Journal of Community Medicine and Public Health, 11(3), 1369–1377. https://doi.org/10.18203/2394-6040.ijcmph20240648</w:t>
      </w:r>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Kadirvel</w:t>
      </w:r>
      <w:proofErr w:type="spellEnd"/>
      <w:r>
        <w:rPr>
          <w:rFonts w:ascii="Arial" w:hAnsi="Arial" w:cs="Arial"/>
          <w:sz w:val="20"/>
          <w:szCs w:val="20"/>
        </w:rPr>
        <w:t xml:space="preserve">, G., Singh, L. A., Rahman, M., &amp; Singh, N. M. (2019). Farm animal genetic resources in agro ecosystem of north east India. </w:t>
      </w:r>
      <w:r>
        <w:rPr>
          <w:rStyle w:val="Emphasis"/>
          <w:rFonts w:ascii="Arial" w:hAnsi="Arial" w:cs="Arial"/>
          <w:i w:val="0"/>
          <w:sz w:val="20"/>
          <w:szCs w:val="20"/>
        </w:rPr>
        <w:t>Indian Journal of Animal Sciences</w:t>
      </w:r>
      <w:r>
        <w:rPr>
          <w:rFonts w:ascii="Arial" w:hAnsi="Arial" w:cs="Arial"/>
          <w:sz w:val="20"/>
          <w:szCs w:val="20"/>
        </w:rPr>
        <w:t>, 89(11), 1175–1183.</w:t>
      </w:r>
    </w:p>
    <w:p w:rsidR="006B6462" w:rsidRDefault="006B6462">
      <w:pPr>
        <w:pStyle w:val="NormalWeb"/>
        <w:ind w:left="720" w:hanging="720"/>
        <w:jc w:val="both"/>
        <w:rPr>
          <w:rFonts w:ascii="Arial" w:hAnsi="Arial" w:cs="Arial"/>
          <w:sz w:val="20"/>
          <w:szCs w:val="20"/>
        </w:rPr>
      </w:pPr>
      <w:proofErr w:type="spellStart"/>
      <w:r w:rsidRPr="000D4A42">
        <w:rPr>
          <w:rFonts w:ascii="Arial" w:hAnsi="Arial" w:cs="Arial"/>
          <w:sz w:val="20"/>
          <w:szCs w:val="20"/>
        </w:rPr>
        <w:t>Kalogiannidis</w:t>
      </w:r>
      <w:proofErr w:type="spellEnd"/>
      <w:r w:rsidRPr="000D4A42">
        <w:rPr>
          <w:rFonts w:ascii="Arial" w:hAnsi="Arial" w:cs="Arial"/>
          <w:sz w:val="20"/>
          <w:szCs w:val="20"/>
        </w:rPr>
        <w:t xml:space="preserve">, S., </w:t>
      </w:r>
      <w:proofErr w:type="spellStart"/>
      <w:r w:rsidRPr="000D4A42">
        <w:rPr>
          <w:rFonts w:ascii="Arial" w:hAnsi="Arial" w:cs="Arial"/>
          <w:sz w:val="20"/>
          <w:szCs w:val="20"/>
        </w:rPr>
        <w:t>Papadopoulou</w:t>
      </w:r>
      <w:proofErr w:type="spellEnd"/>
      <w:r w:rsidRPr="000D4A42">
        <w:rPr>
          <w:rFonts w:ascii="Arial" w:hAnsi="Arial" w:cs="Arial"/>
          <w:sz w:val="20"/>
          <w:szCs w:val="20"/>
        </w:rPr>
        <w:t xml:space="preserve">, C.-I., </w:t>
      </w:r>
      <w:proofErr w:type="spellStart"/>
      <w:r w:rsidRPr="000D4A42">
        <w:rPr>
          <w:rFonts w:ascii="Arial" w:hAnsi="Arial" w:cs="Arial"/>
          <w:sz w:val="20"/>
          <w:szCs w:val="20"/>
        </w:rPr>
        <w:t>Loizou</w:t>
      </w:r>
      <w:proofErr w:type="spellEnd"/>
      <w:r w:rsidRPr="000D4A42">
        <w:rPr>
          <w:rFonts w:ascii="Arial" w:hAnsi="Arial" w:cs="Arial"/>
          <w:sz w:val="20"/>
          <w:szCs w:val="20"/>
        </w:rPr>
        <w:t xml:space="preserve">, E., &amp; </w:t>
      </w:r>
      <w:proofErr w:type="spellStart"/>
      <w:r w:rsidRPr="000D4A42">
        <w:rPr>
          <w:rFonts w:ascii="Arial" w:hAnsi="Arial" w:cs="Arial"/>
          <w:sz w:val="20"/>
          <w:szCs w:val="20"/>
        </w:rPr>
        <w:t>Chatzitheodoridis</w:t>
      </w:r>
      <w:proofErr w:type="spellEnd"/>
      <w:r w:rsidRPr="000D4A42">
        <w:rPr>
          <w:rFonts w:ascii="Arial" w:hAnsi="Arial" w:cs="Arial"/>
          <w:sz w:val="20"/>
          <w:szCs w:val="20"/>
        </w:rPr>
        <w:t xml:space="preserve">, F. (2023). Risk, vulnerability, and resilience in agriculture and their impact on sustainable rural economy development: A case study of Greece. Agriculture, 13(6), 1222. </w:t>
      </w:r>
      <w:hyperlink r:id="rId25" w:history="1">
        <w:r w:rsidRPr="00350588">
          <w:rPr>
            <w:rStyle w:val="Hyperlink"/>
            <w:rFonts w:ascii="Arial" w:hAnsi="Arial" w:cs="Arial"/>
            <w:sz w:val="20"/>
            <w:szCs w:val="20"/>
          </w:rPr>
          <w:t>https://doi.org/10.3390/agriculture13061222</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Komor</w:t>
      </w:r>
      <w:proofErr w:type="spellEnd"/>
      <w:r>
        <w:rPr>
          <w:rFonts w:ascii="Arial" w:hAnsi="Arial" w:cs="Arial"/>
          <w:sz w:val="20"/>
          <w:szCs w:val="20"/>
        </w:rPr>
        <w:t>, P., &amp; Borah, J. (2015). Analysis of the traditional Nepali dairy farming (</w:t>
      </w:r>
      <w:proofErr w:type="spellStart"/>
      <w:r>
        <w:rPr>
          <w:rFonts w:ascii="Arial" w:hAnsi="Arial" w:cs="Arial"/>
          <w:sz w:val="20"/>
          <w:szCs w:val="20"/>
        </w:rPr>
        <w:t>khutti</w:t>
      </w:r>
      <w:proofErr w:type="spellEnd"/>
      <w:r>
        <w:rPr>
          <w:rFonts w:ascii="Arial" w:hAnsi="Arial" w:cs="Arial"/>
          <w:sz w:val="20"/>
          <w:szCs w:val="20"/>
        </w:rPr>
        <w:t xml:space="preserve">) practice in </w:t>
      </w:r>
      <w:proofErr w:type="spellStart"/>
      <w:r>
        <w:rPr>
          <w:rFonts w:ascii="Arial" w:hAnsi="Arial" w:cs="Arial"/>
          <w:sz w:val="20"/>
          <w:szCs w:val="20"/>
        </w:rPr>
        <w:t>Naukillo</w:t>
      </w:r>
      <w:proofErr w:type="spellEnd"/>
      <w:r>
        <w:rPr>
          <w:rFonts w:ascii="Arial" w:hAnsi="Arial" w:cs="Arial"/>
          <w:sz w:val="20"/>
          <w:szCs w:val="20"/>
        </w:rPr>
        <w:t xml:space="preserve">, Lower </w:t>
      </w:r>
      <w:proofErr w:type="spellStart"/>
      <w:r>
        <w:rPr>
          <w:rFonts w:ascii="Arial" w:hAnsi="Arial" w:cs="Arial"/>
          <w:sz w:val="20"/>
          <w:szCs w:val="20"/>
        </w:rPr>
        <w:t>Dibang</w:t>
      </w:r>
      <w:proofErr w:type="spellEnd"/>
      <w:r>
        <w:rPr>
          <w:rFonts w:ascii="Arial" w:hAnsi="Arial" w:cs="Arial"/>
          <w:sz w:val="20"/>
          <w:szCs w:val="20"/>
        </w:rPr>
        <w:t xml:space="preserve"> Valley, Arunachal Pradesh, India. </w:t>
      </w:r>
      <w:r>
        <w:rPr>
          <w:rStyle w:val="Emphasis"/>
          <w:rFonts w:ascii="Arial" w:hAnsi="Arial" w:cs="Arial"/>
          <w:i w:val="0"/>
          <w:sz w:val="20"/>
          <w:szCs w:val="20"/>
        </w:rPr>
        <w:t>The Clarion – International Multidisciplinary Journal</w:t>
      </w:r>
      <w:r>
        <w:rPr>
          <w:rFonts w:ascii="Arial" w:hAnsi="Arial" w:cs="Arial"/>
          <w:sz w:val="20"/>
          <w:szCs w:val="20"/>
        </w:rPr>
        <w:t>, 4(2), 75–83.</w:t>
      </w:r>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Kuppuswamy</w:t>
      </w:r>
      <w:proofErr w:type="spellEnd"/>
      <w:r>
        <w:rPr>
          <w:rFonts w:ascii="Arial" w:hAnsi="Arial" w:cs="Arial"/>
          <w:sz w:val="20"/>
          <w:szCs w:val="20"/>
        </w:rPr>
        <w:t xml:space="preserve">, B. (1976). </w:t>
      </w:r>
      <w:r>
        <w:rPr>
          <w:rStyle w:val="Emphasis"/>
          <w:rFonts w:ascii="Arial" w:hAnsi="Arial" w:cs="Arial"/>
          <w:i w:val="0"/>
          <w:sz w:val="20"/>
          <w:szCs w:val="20"/>
        </w:rPr>
        <w:t>Manual of Socio-Economic Status Scale (Urban)</w:t>
      </w:r>
      <w:r>
        <w:rPr>
          <w:rFonts w:ascii="Arial" w:hAnsi="Arial" w:cs="Arial"/>
          <w:sz w:val="20"/>
          <w:szCs w:val="20"/>
        </w:rPr>
        <w:t xml:space="preserve">. </w:t>
      </w:r>
      <w:proofErr w:type="spellStart"/>
      <w:r>
        <w:rPr>
          <w:rFonts w:ascii="Arial" w:hAnsi="Arial" w:cs="Arial"/>
          <w:sz w:val="20"/>
          <w:szCs w:val="20"/>
        </w:rPr>
        <w:t>Manasayan</w:t>
      </w:r>
      <w:proofErr w:type="spellEnd"/>
      <w:r>
        <w:rPr>
          <w:rFonts w:ascii="Arial" w:hAnsi="Arial" w:cs="Arial"/>
          <w:sz w:val="20"/>
          <w:szCs w:val="20"/>
        </w:rPr>
        <w:t>, Delhi.</w:t>
      </w:r>
    </w:p>
    <w:p w:rsidR="006B6462" w:rsidRDefault="006B6462">
      <w:pPr>
        <w:pStyle w:val="NormalWeb"/>
        <w:ind w:left="720" w:hanging="720"/>
        <w:jc w:val="both"/>
        <w:rPr>
          <w:rFonts w:ascii="Arial" w:hAnsi="Arial" w:cs="Arial"/>
          <w:sz w:val="20"/>
          <w:szCs w:val="20"/>
        </w:rPr>
      </w:pPr>
      <w:proofErr w:type="spellStart"/>
      <w:r w:rsidRPr="00113C36">
        <w:rPr>
          <w:rFonts w:ascii="Arial" w:hAnsi="Arial" w:cs="Arial"/>
          <w:sz w:val="20"/>
          <w:szCs w:val="20"/>
        </w:rPr>
        <w:t>Lakhumna</w:t>
      </w:r>
      <w:proofErr w:type="spellEnd"/>
      <w:r w:rsidRPr="00113C36">
        <w:rPr>
          <w:rFonts w:ascii="Arial" w:hAnsi="Arial" w:cs="Arial"/>
          <w:sz w:val="20"/>
          <w:szCs w:val="20"/>
        </w:rPr>
        <w:t xml:space="preserve">, R., Pore, P., &amp; </w:t>
      </w:r>
      <w:proofErr w:type="spellStart"/>
      <w:r w:rsidRPr="00113C36">
        <w:rPr>
          <w:rFonts w:ascii="Arial" w:hAnsi="Arial" w:cs="Arial"/>
          <w:sz w:val="20"/>
          <w:szCs w:val="20"/>
        </w:rPr>
        <w:t>Wadhwa</w:t>
      </w:r>
      <w:proofErr w:type="spellEnd"/>
      <w:r w:rsidRPr="00113C36">
        <w:rPr>
          <w:rFonts w:ascii="Arial" w:hAnsi="Arial" w:cs="Arial"/>
          <w:sz w:val="20"/>
          <w:szCs w:val="20"/>
        </w:rPr>
        <w:t xml:space="preserve">, S. (2024). Socio-economic status scales in India and globally: A review. Preventive Medicine: Research &amp; Reviews, 2, 40–48. </w:t>
      </w:r>
      <w:hyperlink r:id="rId26" w:history="1">
        <w:r w:rsidRPr="00350588">
          <w:rPr>
            <w:rStyle w:val="Hyperlink"/>
            <w:rFonts w:ascii="Arial" w:hAnsi="Arial" w:cs="Arial"/>
            <w:sz w:val="20"/>
            <w:szCs w:val="20"/>
          </w:rPr>
          <w:t>https://doi.org/10.4103/PMRR.PMRR_133_24</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Lawshe</w:t>
      </w:r>
      <w:proofErr w:type="spellEnd"/>
      <w:r>
        <w:rPr>
          <w:rFonts w:ascii="Arial" w:hAnsi="Arial" w:cs="Arial"/>
          <w:sz w:val="20"/>
          <w:szCs w:val="20"/>
        </w:rPr>
        <w:t xml:space="preserve">, C. H. (1975). A quantitative approach to content validity. </w:t>
      </w:r>
      <w:r>
        <w:rPr>
          <w:rStyle w:val="Emphasis"/>
          <w:rFonts w:ascii="Arial" w:hAnsi="Arial" w:cs="Arial"/>
          <w:i w:val="0"/>
          <w:sz w:val="20"/>
          <w:szCs w:val="20"/>
        </w:rPr>
        <w:t>Personnel Psychology</w:t>
      </w:r>
      <w:r>
        <w:rPr>
          <w:rFonts w:ascii="Arial" w:hAnsi="Arial" w:cs="Arial"/>
          <w:sz w:val="20"/>
          <w:szCs w:val="20"/>
        </w:rPr>
        <w:t xml:space="preserve">, 28(4), 563–575. </w:t>
      </w:r>
      <w:hyperlink r:id="rId27" w:tgtFrame="_new" w:history="1">
        <w:r>
          <w:rPr>
            <w:rStyle w:val="Hyperlink"/>
            <w:rFonts w:ascii="Arial" w:hAnsi="Arial" w:cs="Arial"/>
            <w:sz w:val="20"/>
            <w:szCs w:val="20"/>
          </w:rPr>
          <w:t>https://doi.org/10.1111/j.1744-6570.1975.tb01393.x</w:t>
        </w:r>
      </w:hyperlink>
    </w:p>
    <w:p w:rsidR="006B6462" w:rsidRDefault="006B6462">
      <w:pPr>
        <w:pStyle w:val="NormalWeb"/>
        <w:ind w:left="720" w:hanging="720"/>
        <w:jc w:val="both"/>
        <w:rPr>
          <w:rFonts w:ascii="Arial" w:hAnsi="Arial" w:cs="Arial"/>
          <w:sz w:val="20"/>
          <w:szCs w:val="20"/>
        </w:rPr>
      </w:pPr>
      <w:proofErr w:type="spellStart"/>
      <w:r w:rsidRPr="00E52443">
        <w:rPr>
          <w:rFonts w:ascii="Arial" w:hAnsi="Arial" w:cs="Arial"/>
          <w:sz w:val="20"/>
          <w:szCs w:val="20"/>
        </w:rPr>
        <w:t>Mukesh</w:t>
      </w:r>
      <w:proofErr w:type="spellEnd"/>
      <w:r w:rsidRPr="00E52443">
        <w:rPr>
          <w:rFonts w:ascii="Arial" w:hAnsi="Arial" w:cs="Arial"/>
          <w:sz w:val="20"/>
          <w:szCs w:val="20"/>
        </w:rPr>
        <w:t xml:space="preserve">, M., Gujar, G., &amp; </w:t>
      </w:r>
      <w:proofErr w:type="spellStart"/>
      <w:r w:rsidRPr="00E52443">
        <w:rPr>
          <w:rFonts w:ascii="Arial" w:hAnsi="Arial" w:cs="Arial"/>
          <w:sz w:val="20"/>
          <w:szCs w:val="20"/>
        </w:rPr>
        <w:t>Sodhi</w:t>
      </w:r>
      <w:proofErr w:type="spellEnd"/>
      <w:r w:rsidRPr="00E52443">
        <w:rPr>
          <w:rFonts w:ascii="Arial" w:hAnsi="Arial" w:cs="Arial"/>
          <w:sz w:val="20"/>
          <w:szCs w:val="20"/>
        </w:rPr>
        <w:t xml:space="preserve">, M. (2022). Livestock sector: an integral component for country’s food and social security. In R. C. </w:t>
      </w:r>
      <w:proofErr w:type="spellStart"/>
      <w:r w:rsidRPr="00E52443">
        <w:rPr>
          <w:rFonts w:ascii="Arial" w:hAnsi="Arial" w:cs="Arial"/>
          <w:sz w:val="20"/>
          <w:szCs w:val="20"/>
        </w:rPr>
        <w:t>Sobti</w:t>
      </w:r>
      <w:proofErr w:type="spellEnd"/>
      <w:r w:rsidRPr="00E52443">
        <w:rPr>
          <w:rFonts w:ascii="Arial" w:hAnsi="Arial" w:cs="Arial"/>
          <w:sz w:val="20"/>
          <w:szCs w:val="20"/>
        </w:rPr>
        <w:t xml:space="preserve"> (Ed.), Advances in Animal Experimentation and </w:t>
      </w:r>
      <w:proofErr w:type="spellStart"/>
      <w:r w:rsidRPr="00E52443">
        <w:rPr>
          <w:rFonts w:ascii="Arial" w:hAnsi="Arial" w:cs="Arial"/>
          <w:sz w:val="20"/>
          <w:szCs w:val="20"/>
        </w:rPr>
        <w:t>Modeling</w:t>
      </w:r>
      <w:proofErr w:type="spellEnd"/>
      <w:r w:rsidRPr="00E52443">
        <w:rPr>
          <w:rFonts w:ascii="Arial" w:hAnsi="Arial" w:cs="Arial"/>
          <w:sz w:val="20"/>
          <w:szCs w:val="20"/>
        </w:rPr>
        <w:t xml:space="preserve"> (pp. 341–351). Academic Press. </w:t>
      </w:r>
      <w:hyperlink r:id="rId28" w:history="1">
        <w:r w:rsidRPr="00350588">
          <w:rPr>
            <w:rStyle w:val="Hyperlink"/>
            <w:rFonts w:ascii="Arial" w:hAnsi="Arial" w:cs="Arial"/>
            <w:sz w:val="20"/>
            <w:szCs w:val="20"/>
          </w:rPr>
          <w:t>https://doi.org/10.1016/B978-0-323-90583-1.00033-7</w:t>
        </w:r>
      </w:hyperlink>
    </w:p>
    <w:p w:rsidR="006B6462" w:rsidRDefault="006B6462">
      <w:pPr>
        <w:pStyle w:val="NormalWeb"/>
        <w:ind w:left="720" w:hanging="720"/>
        <w:jc w:val="both"/>
        <w:rPr>
          <w:rFonts w:ascii="Arial" w:hAnsi="Arial" w:cs="Arial"/>
          <w:sz w:val="20"/>
          <w:szCs w:val="20"/>
        </w:rPr>
      </w:pPr>
      <w:r w:rsidRPr="00613F59">
        <w:rPr>
          <w:rFonts w:ascii="Arial" w:hAnsi="Arial" w:cs="Arial"/>
          <w:sz w:val="20"/>
          <w:szCs w:val="20"/>
        </w:rPr>
        <w:lastRenderedPageBreak/>
        <w:t xml:space="preserve">NBAGR. (2017). </w:t>
      </w:r>
      <w:proofErr w:type="spellStart"/>
      <w:r w:rsidRPr="00613F59">
        <w:rPr>
          <w:rFonts w:ascii="Arial" w:hAnsi="Arial" w:cs="Arial"/>
          <w:sz w:val="20"/>
          <w:szCs w:val="20"/>
        </w:rPr>
        <w:t>Lakhimi</w:t>
      </w:r>
      <w:proofErr w:type="spellEnd"/>
      <w:r w:rsidRPr="00613F59">
        <w:rPr>
          <w:rFonts w:ascii="Arial" w:hAnsi="Arial" w:cs="Arial"/>
          <w:sz w:val="20"/>
          <w:szCs w:val="20"/>
        </w:rPr>
        <w:t xml:space="preserve"> cattle. National Bureau of Animal Genetic Resources, </w:t>
      </w:r>
      <w:proofErr w:type="spellStart"/>
      <w:r w:rsidRPr="00613F59">
        <w:rPr>
          <w:rFonts w:ascii="Arial" w:hAnsi="Arial" w:cs="Arial"/>
          <w:sz w:val="20"/>
          <w:szCs w:val="20"/>
        </w:rPr>
        <w:t>Karnal</w:t>
      </w:r>
      <w:proofErr w:type="spellEnd"/>
      <w:r w:rsidRPr="00613F59">
        <w:rPr>
          <w:rFonts w:ascii="Arial" w:hAnsi="Arial" w:cs="Arial"/>
          <w:sz w:val="20"/>
          <w:szCs w:val="20"/>
        </w:rPr>
        <w:t xml:space="preserve"> (Haryana). </w:t>
      </w:r>
      <w:hyperlink r:id="rId29" w:history="1">
        <w:r w:rsidRPr="00350588">
          <w:rPr>
            <w:rStyle w:val="Hyperlink"/>
            <w:rFonts w:ascii="Arial" w:hAnsi="Arial" w:cs="Arial"/>
            <w:sz w:val="20"/>
            <w:szCs w:val="20"/>
          </w:rPr>
          <w:t>http://www.nbagr.res.in/lakhimi.htm</w:t>
        </w:r>
      </w:hyperlink>
    </w:p>
    <w:p w:rsidR="006B6462" w:rsidRDefault="006B6462">
      <w:pPr>
        <w:pStyle w:val="NormalWeb"/>
        <w:ind w:left="720" w:hanging="720"/>
        <w:jc w:val="both"/>
        <w:rPr>
          <w:rFonts w:ascii="Arial" w:hAnsi="Arial" w:cs="Arial"/>
          <w:sz w:val="20"/>
          <w:szCs w:val="20"/>
        </w:rPr>
      </w:pPr>
      <w:r w:rsidRPr="00A57728">
        <w:rPr>
          <w:rFonts w:ascii="Arial" w:hAnsi="Arial" w:cs="Arial"/>
          <w:sz w:val="20"/>
          <w:szCs w:val="20"/>
        </w:rPr>
        <w:t xml:space="preserve">NBAGR. (2025). 10 new livestock and poultry breeds registered by ICAR-NBAGR. National Bureau of Animal Genetic Resources. </w:t>
      </w:r>
      <w:hyperlink r:id="rId30" w:history="1">
        <w:r w:rsidRPr="00350588">
          <w:rPr>
            <w:rStyle w:val="Hyperlink"/>
            <w:rFonts w:ascii="Arial" w:hAnsi="Arial" w:cs="Arial"/>
            <w:sz w:val="20"/>
            <w:szCs w:val="20"/>
          </w:rPr>
          <w:t>https://www.pashudhanpraharee.com/wp-content/uploads/2025/01/10-NEW-BREEDS-NBAG</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Pareekh</w:t>
      </w:r>
      <w:proofErr w:type="spellEnd"/>
      <w:r>
        <w:rPr>
          <w:rFonts w:ascii="Arial" w:hAnsi="Arial" w:cs="Arial"/>
          <w:sz w:val="20"/>
          <w:szCs w:val="20"/>
        </w:rPr>
        <w:t xml:space="preserve">, U. (1964). </w:t>
      </w:r>
      <w:r>
        <w:rPr>
          <w:rStyle w:val="Emphasis"/>
          <w:rFonts w:ascii="Arial" w:hAnsi="Arial" w:cs="Arial"/>
          <w:i w:val="0"/>
          <w:sz w:val="20"/>
          <w:szCs w:val="20"/>
        </w:rPr>
        <w:t>Manual of Socio-Economic Status Scale (Rural)</w:t>
      </w:r>
      <w:r>
        <w:rPr>
          <w:rFonts w:ascii="Arial" w:hAnsi="Arial" w:cs="Arial"/>
          <w:sz w:val="20"/>
          <w:szCs w:val="20"/>
        </w:rPr>
        <w:t xml:space="preserve">. </w:t>
      </w:r>
      <w:proofErr w:type="spellStart"/>
      <w:r>
        <w:rPr>
          <w:rFonts w:ascii="Arial" w:hAnsi="Arial" w:cs="Arial"/>
          <w:sz w:val="20"/>
          <w:szCs w:val="20"/>
        </w:rPr>
        <w:t>Manasayan</w:t>
      </w:r>
      <w:proofErr w:type="spellEnd"/>
      <w:r>
        <w:rPr>
          <w:rFonts w:ascii="Arial" w:hAnsi="Arial" w:cs="Arial"/>
          <w:sz w:val="20"/>
          <w:szCs w:val="20"/>
        </w:rPr>
        <w:t>, New Delhi.</w:t>
      </w:r>
    </w:p>
    <w:p w:rsidR="006B6462" w:rsidRDefault="006B6462">
      <w:pPr>
        <w:pStyle w:val="NormalWeb"/>
        <w:ind w:left="720" w:hanging="720"/>
        <w:jc w:val="both"/>
        <w:rPr>
          <w:rFonts w:ascii="Arial" w:hAnsi="Arial" w:cs="Arial"/>
          <w:sz w:val="20"/>
          <w:szCs w:val="20"/>
        </w:rPr>
      </w:pPr>
      <w:r>
        <w:rPr>
          <w:rFonts w:ascii="Arial" w:hAnsi="Arial" w:cs="Arial"/>
          <w:sz w:val="20"/>
          <w:szCs w:val="20"/>
        </w:rPr>
        <w:t xml:space="preserve">Prasad, B. G. (1961). Social classification of Indian families. </w:t>
      </w:r>
      <w:r>
        <w:rPr>
          <w:rStyle w:val="Emphasis"/>
          <w:rFonts w:ascii="Arial" w:hAnsi="Arial" w:cs="Arial"/>
          <w:i w:val="0"/>
          <w:sz w:val="20"/>
          <w:szCs w:val="20"/>
        </w:rPr>
        <w:t>Journal of the Indian Medical Association</w:t>
      </w:r>
      <w:r>
        <w:rPr>
          <w:rFonts w:ascii="Arial" w:hAnsi="Arial" w:cs="Arial"/>
          <w:sz w:val="20"/>
          <w:szCs w:val="20"/>
        </w:rPr>
        <w:t>, 37, 250–251.</w:t>
      </w:r>
    </w:p>
    <w:p w:rsidR="006B6462" w:rsidRDefault="006B6462">
      <w:pPr>
        <w:pStyle w:val="NormalWeb"/>
        <w:ind w:left="720" w:hanging="720"/>
        <w:jc w:val="both"/>
        <w:rPr>
          <w:rFonts w:ascii="Arial" w:hAnsi="Arial" w:cs="Arial"/>
          <w:sz w:val="20"/>
          <w:szCs w:val="20"/>
        </w:rPr>
      </w:pPr>
      <w:proofErr w:type="spellStart"/>
      <w:r w:rsidRPr="00172E3C">
        <w:rPr>
          <w:rFonts w:ascii="Arial" w:hAnsi="Arial" w:cs="Arial"/>
          <w:sz w:val="20"/>
          <w:szCs w:val="20"/>
        </w:rPr>
        <w:t>Saikia</w:t>
      </w:r>
      <w:proofErr w:type="spellEnd"/>
      <w:r w:rsidRPr="00172E3C">
        <w:rPr>
          <w:rFonts w:ascii="Arial" w:hAnsi="Arial" w:cs="Arial"/>
          <w:sz w:val="20"/>
          <w:szCs w:val="20"/>
        </w:rPr>
        <w:t xml:space="preserve">, M., &amp; </w:t>
      </w:r>
      <w:proofErr w:type="spellStart"/>
      <w:r w:rsidRPr="00172E3C">
        <w:rPr>
          <w:rFonts w:ascii="Arial" w:hAnsi="Arial" w:cs="Arial"/>
          <w:sz w:val="20"/>
          <w:szCs w:val="20"/>
        </w:rPr>
        <w:t>Mahanta</w:t>
      </w:r>
      <w:proofErr w:type="spellEnd"/>
      <w:r w:rsidRPr="00172E3C">
        <w:rPr>
          <w:rFonts w:ascii="Arial" w:hAnsi="Arial" w:cs="Arial"/>
          <w:sz w:val="20"/>
          <w:szCs w:val="20"/>
        </w:rPr>
        <w:t xml:space="preserve">, R. (2024). Riverbank erosion and vulnerability – A study on the char dwellers of Assam, India. Natural Hazards Research, 4(2), 274–287. </w:t>
      </w:r>
      <w:hyperlink r:id="rId31" w:history="1">
        <w:r w:rsidRPr="00350588">
          <w:rPr>
            <w:rStyle w:val="Hyperlink"/>
            <w:rFonts w:ascii="Arial" w:hAnsi="Arial" w:cs="Arial"/>
            <w:sz w:val="20"/>
            <w:szCs w:val="20"/>
          </w:rPr>
          <w:t>https://doi.org/10.1016/j.nhres.2023.10.007</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Sarma</w:t>
      </w:r>
      <w:proofErr w:type="spellEnd"/>
      <w:r>
        <w:rPr>
          <w:rFonts w:ascii="Arial" w:hAnsi="Arial" w:cs="Arial"/>
          <w:sz w:val="20"/>
          <w:szCs w:val="20"/>
        </w:rPr>
        <w:t xml:space="preserve">, O., Das, B., </w:t>
      </w:r>
      <w:proofErr w:type="spellStart"/>
      <w:r>
        <w:rPr>
          <w:rFonts w:ascii="Arial" w:hAnsi="Arial" w:cs="Arial"/>
          <w:sz w:val="20"/>
          <w:szCs w:val="20"/>
        </w:rPr>
        <w:t>Phookan</w:t>
      </w:r>
      <w:proofErr w:type="spellEnd"/>
      <w:r>
        <w:rPr>
          <w:rFonts w:ascii="Arial" w:hAnsi="Arial" w:cs="Arial"/>
          <w:sz w:val="20"/>
          <w:szCs w:val="20"/>
        </w:rPr>
        <w:t xml:space="preserve">, A., &amp; </w:t>
      </w:r>
      <w:proofErr w:type="spellStart"/>
      <w:r>
        <w:rPr>
          <w:rFonts w:ascii="Arial" w:hAnsi="Arial" w:cs="Arial"/>
          <w:sz w:val="20"/>
          <w:szCs w:val="20"/>
        </w:rPr>
        <w:t>Gogoi</w:t>
      </w:r>
      <w:proofErr w:type="spellEnd"/>
      <w:r>
        <w:rPr>
          <w:rFonts w:ascii="Arial" w:hAnsi="Arial" w:cs="Arial"/>
          <w:sz w:val="20"/>
          <w:szCs w:val="20"/>
        </w:rPr>
        <w:t xml:space="preserve">, A. (2025). Animal genetic resources and biodiversity in the north-eastern state of Assam, India: An overview. </w:t>
      </w:r>
      <w:r>
        <w:rPr>
          <w:rStyle w:val="Emphasis"/>
          <w:rFonts w:ascii="Arial" w:hAnsi="Arial" w:cs="Arial"/>
          <w:i w:val="0"/>
          <w:sz w:val="20"/>
          <w:szCs w:val="20"/>
        </w:rPr>
        <w:t>Uttar Pradesh Journal of Zoology</w:t>
      </w:r>
      <w:r>
        <w:rPr>
          <w:rFonts w:ascii="Arial" w:hAnsi="Arial" w:cs="Arial"/>
          <w:sz w:val="20"/>
          <w:szCs w:val="20"/>
        </w:rPr>
        <w:t xml:space="preserve">, 46(5), 140–152. </w:t>
      </w:r>
      <w:hyperlink r:id="rId32" w:tgtFrame="_new" w:history="1">
        <w:r>
          <w:rPr>
            <w:rStyle w:val="Hyperlink"/>
            <w:rFonts w:ascii="Arial" w:hAnsi="Arial" w:cs="Arial"/>
            <w:sz w:val="20"/>
            <w:szCs w:val="20"/>
          </w:rPr>
          <w:t>https://doi.org/10.56557/upjoz/2025/v46i54830</w:t>
        </w:r>
      </w:hyperlink>
    </w:p>
    <w:p w:rsidR="006B6462" w:rsidRDefault="006B6462">
      <w:pPr>
        <w:pStyle w:val="NormalWeb"/>
        <w:ind w:left="720" w:hanging="720"/>
        <w:jc w:val="both"/>
        <w:rPr>
          <w:rFonts w:ascii="Arial" w:hAnsi="Arial" w:cs="Arial"/>
          <w:sz w:val="20"/>
          <w:szCs w:val="20"/>
        </w:rPr>
      </w:pPr>
      <w:proofErr w:type="spellStart"/>
      <w:r w:rsidRPr="00121798">
        <w:rPr>
          <w:rFonts w:ascii="Arial" w:hAnsi="Arial" w:cs="Arial"/>
          <w:sz w:val="20"/>
          <w:szCs w:val="20"/>
        </w:rPr>
        <w:t>Sarma</w:t>
      </w:r>
      <w:proofErr w:type="spellEnd"/>
      <w:r w:rsidRPr="00121798">
        <w:rPr>
          <w:rFonts w:ascii="Arial" w:hAnsi="Arial" w:cs="Arial"/>
          <w:sz w:val="20"/>
          <w:szCs w:val="20"/>
        </w:rPr>
        <w:t xml:space="preserve">, O., Das, B., </w:t>
      </w:r>
      <w:proofErr w:type="spellStart"/>
      <w:r w:rsidRPr="00121798">
        <w:rPr>
          <w:rFonts w:ascii="Arial" w:hAnsi="Arial" w:cs="Arial"/>
          <w:sz w:val="20"/>
          <w:szCs w:val="20"/>
        </w:rPr>
        <w:t>Phookan</w:t>
      </w:r>
      <w:proofErr w:type="spellEnd"/>
      <w:r w:rsidRPr="00121798">
        <w:rPr>
          <w:rFonts w:ascii="Arial" w:hAnsi="Arial" w:cs="Arial"/>
          <w:sz w:val="20"/>
          <w:szCs w:val="20"/>
        </w:rPr>
        <w:t xml:space="preserve">, A., &amp; </w:t>
      </w:r>
      <w:proofErr w:type="spellStart"/>
      <w:r w:rsidRPr="00121798">
        <w:rPr>
          <w:rFonts w:ascii="Arial" w:hAnsi="Arial" w:cs="Arial"/>
          <w:sz w:val="20"/>
          <w:szCs w:val="20"/>
        </w:rPr>
        <w:t>Gogoi</w:t>
      </w:r>
      <w:proofErr w:type="spellEnd"/>
      <w:r w:rsidRPr="00121798">
        <w:rPr>
          <w:rFonts w:ascii="Arial" w:hAnsi="Arial" w:cs="Arial"/>
          <w:sz w:val="20"/>
          <w:szCs w:val="20"/>
        </w:rPr>
        <w:t xml:space="preserve">, A. (2025). Animal genetic resources and biodiversity in the north-eastern state of Assam, India: An overview. UP Journal of Zoology, 46, Article 4633. </w:t>
      </w:r>
      <w:hyperlink r:id="rId33" w:history="1">
        <w:r w:rsidRPr="00350588">
          <w:rPr>
            <w:rStyle w:val="Hyperlink"/>
            <w:rFonts w:ascii="Arial" w:hAnsi="Arial" w:cs="Arial"/>
            <w:sz w:val="20"/>
            <w:szCs w:val="20"/>
          </w:rPr>
          <w:t>https://doi.org/10.56557/upjoz/2025/v46i54830</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Satyapriya</w:t>
      </w:r>
      <w:proofErr w:type="spellEnd"/>
      <w:r>
        <w:rPr>
          <w:rFonts w:ascii="Arial" w:hAnsi="Arial" w:cs="Arial"/>
          <w:sz w:val="20"/>
          <w:szCs w:val="20"/>
        </w:rPr>
        <w:t xml:space="preserve">, Chauhan, J., Sharma, P., Kumar, V., &amp; Kumar, A. (2015). Development and standardization of a scale for livestock-based farming. </w:t>
      </w:r>
      <w:r>
        <w:rPr>
          <w:rStyle w:val="Emphasis"/>
          <w:rFonts w:ascii="Arial" w:hAnsi="Arial" w:cs="Arial"/>
          <w:i w:val="0"/>
          <w:sz w:val="20"/>
          <w:szCs w:val="20"/>
        </w:rPr>
        <w:t>Indian Research Journal of Extension Education</w:t>
      </w:r>
      <w:r>
        <w:rPr>
          <w:rFonts w:ascii="Arial" w:hAnsi="Arial" w:cs="Arial"/>
          <w:sz w:val="20"/>
          <w:szCs w:val="20"/>
        </w:rPr>
        <w:t>, 15(2), 70–75.</w:t>
      </w:r>
    </w:p>
    <w:p w:rsidR="006B6462" w:rsidRDefault="006B6462">
      <w:pPr>
        <w:pStyle w:val="NormalWeb"/>
        <w:ind w:left="720" w:hanging="720"/>
        <w:jc w:val="both"/>
        <w:rPr>
          <w:rFonts w:ascii="Arial" w:hAnsi="Arial" w:cs="Arial"/>
          <w:sz w:val="20"/>
          <w:szCs w:val="20"/>
        </w:rPr>
      </w:pPr>
      <w:proofErr w:type="spellStart"/>
      <w:r w:rsidRPr="00EA79DE">
        <w:rPr>
          <w:rFonts w:ascii="Arial" w:hAnsi="Arial" w:cs="Arial"/>
          <w:sz w:val="20"/>
          <w:szCs w:val="20"/>
        </w:rPr>
        <w:t>Suryadi</w:t>
      </w:r>
      <w:proofErr w:type="spellEnd"/>
      <w:r w:rsidRPr="00EA79DE">
        <w:rPr>
          <w:rFonts w:ascii="Arial" w:hAnsi="Arial" w:cs="Arial"/>
          <w:sz w:val="20"/>
          <w:szCs w:val="20"/>
        </w:rPr>
        <w:t xml:space="preserve">, T., </w:t>
      </w:r>
      <w:proofErr w:type="spellStart"/>
      <w:r w:rsidRPr="00EA79DE">
        <w:rPr>
          <w:rFonts w:ascii="Arial" w:hAnsi="Arial" w:cs="Arial"/>
          <w:sz w:val="20"/>
          <w:szCs w:val="20"/>
        </w:rPr>
        <w:t>Alfiya</w:t>
      </w:r>
      <w:proofErr w:type="spellEnd"/>
      <w:r w:rsidRPr="00EA79DE">
        <w:rPr>
          <w:rFonts w:ascii="Arial" w:hAnsi="Arial" w:cs="Arial"/>
          <w:sz w:val="20"/>
          <w:szCs w:val="20"/>
        </w:rPr>
        <w:t xml:space="preserve">, F., Yusuf, M., Indah, R., </w:t>
      </w:r>
      <w:proofErr w:type="spellStart"/>
      <w:r w:rsidRPr="00EA79DE">
        <w:rPr>
          <w:rFonts w:ascii="Arial" w:hAnsi="Arial" w:cs="Arial"/>
          <w:sz w:val="20"/>
          <w:szCs w:val="20"/>
        </w:rPr>
        <w:t>Hidayat</w:t>
      </w:r>
      <w:proofErr w:type="spellEnd"/>
      <w:r w:rsidRPr="00EA79DE">
        <w:rPr>
          <w:rFonts w:ascii="Arial" w:hAnsi="Arial" w:cs="Arial"/>
          <w:sz w:val="20"/>
          <w:szCs w:val="20"/>
        </w:rPr>
        <w:t xml:space="preserve">, T., &amp; </w:t>
      </w:r>
      <w:proofErr w:type="spellStart"/>
      <w:r w:rsidRPr="00EA79DE">
        <w:rPr>
          <w:rFonts w:ascii="Arial" w:hAnsi="Arial" w:cs="Arial"/>
          <w:sz w:val="20"/>
          <w:szCs w:val="20"/>
        </w:rPr>
        <w:t>Kulsum</w:t>
      </w:r>
      <w:proofErr w:type="spellEnd"/>
      <w:r w:rsidRPr="00EA79DE">
        <w:rPr>
          <w:rFonts w:ascii="Arial" w:hAnsi="Arial" w:cs="Arial"/>
          <w:sz w:val="20"/>
          <w:szCs w:val="20"/>
        </w:rPr>
        <w:t xml:space="preserve">, K. (2023). Content validity for the research instrument regarding teaching methods of the basic principles of bioethics. </w:t>
      </w:r>
      <w:proofErr w:type="spellStart"/>
      <w:r w:rsidRPr="00EA79DE">
        <w:rPr>
          <w:rFonts w:ascii="Arial" w:hAnsi="Arial" w:cs="Arial"/>
          <w:sz w:val="20"/>
          <w:szCs w:val="20"/>
        </w:rPr>
        <w:t>Jurnal</w:t>
      </w:r>
      <w:proofErr w:type="spellEnd"/>
      <w:r w:rsidRPr="00EA79DE">
        <w:rPr>
          <w:rFonts w:ascii="Arial" w:hAnsi="Arial" w:cs="Arial"/>
          <w:sz w:val="20"/>
          <w:szCs w:val="20"/>
        </w:rPr>
        <w:t xml:space="preserve"> </w:t>
      </w:r>
      <w:proofErr w:type="spellStart"/>
      <w:r w:rsidRPr="00EA79DE">
        <w:rPr>
          <w:rFonts w:ascii="Arial" w:hAnsi="Arial" w:cs="Arial"/>
          <w:sz w:val="20"/>
          <w:szCs w:val="20"/>
        </w:rPr>
        <w:t>Pendidikan</w:t>
      </w:r>
      <w:proofErr w:type="spellEnd"/>
      <w:r w:rsidRPr="00EA79DE">
        <w:rPr>
          <w:rFonts w:ascii="Arial" w:hAnsi="Arial" w:cs="Arial"/>
          <w:sz w:val="20"/>
          <w:szCs w:val="20"/>
        </w:rPr>
        <w:t xml:space="preserve"> </w:t>
      </w:r>
      <w:proofErr w:type="spellStart"/>
      <w:r w:rsidRPr="00EA79DE">
        <w:rPr>
          <w:rFonts w:ascii="Arial" w:hAnsi="Arial" w:cs="Arial"/>
          <w:sz w:val="20"/>
          <w:szCs w:val="20"/>
        </w:rPr>
        <w:t>Kedokteran</w:t>
      </w:r>
      <w:proofErr w:type="spellEnd"/>
      <w:r w:rsidRPr="00EA79DE">
        <w:rPr>
          <w:rFonts w:ascii="Arial" w:hAnsi="Arial" w:cs="Arial"/>
          <w:sz w:val="20"/>
          <w:szCs w:val="20"/>
        </w:rPr>
        <w:t xml:space="preserve"> Indonesia: The Indonesian Journal of Medical Education, 12(2), 186–202. </w:t>
      </w:r>
      <w:hyperlink r:id="rId34" w:history="1">
        <w:r w:rsidRPr="00350588">
          <w:rPr>
            <w:rStyle w:val="Hyperlink"/>
            <w:rFonts w:ascii="Arial" w:hAnsi="Arial" w:cs="Arial"/>
            <w:sz w:val="20"/>
            <w:szCs w:val="20"/>
          </w:rPr>
          <w:t>https://doi.org/10.22146/jpki.77062</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Tavakol</w:t>
      </w:r>
      <w:proofErr w:type="spellEnd"/>
      <w:r>
        <w:rPr>
          <w:rFonts w:ascii="Arial" w:hAnsi="Arial" w:cs="Arial"/>
          <w:sz w:val="20"/>
          <w:szCs w:val="20"/>
        </w:rPr>
        <w:t xml:space="preserve">, M., &amp; </w:t>
      </w:r>
      <w:proofErr w:type="spellStart"/>
      <w:r>
        <w:rPr>
          <w:rFonts w:ascii="Arial" w:hAnsi="Arial" w:cs="Arial"/>
          <w:sz w:val="20"/>
          <w:szCs w:val="20"/>
        </w:rPr>
        <w:t>Dennick</w:t>
      </w:r>
      <w:proofErr w:type="spellEnd"/>
      <w:r>
        <w:rPr>
          <w:rFonts w:ascii="Arial" w:hAnsi="Arial" w:cs="Arial"/>
          <w:sz w:val="20"/>
          <w:szCs w:val="20"/>
        </w:rPr>
        <w:t xml:space="preserve">, R. (2011). Making sense of Cronbach’s alpha. </w:t>
      </w:r>
      <w:r>
        <w:rPr>
          <w:rStyle w:val="Emphasis"/>
          <w:rFonts w:ascii="Arial" w:hAnsi="Arial" w:cs="Arial"/>
          <w:i w:val="0"/>
          <w:sz w:val="20"/>
          <w:szCs w:val="20"/>
        </w:rPr>
        <w:t>International Journal of Medical Education</w:t>
      </w:r>
      <w:r>
        <w:rPr>
          <w:rFonts w:ascii="Arial" w:hAnsi="Arial" w:cs="Arial"/>
          <w:sz w:val="20"/>
          <w:szCs w:val="20"/>
        </w:rPr>
        <w:t>, 2, 53–55.</w:t>
      </w:r>
    </w:p>
    <w:p w:rsidR="006B6462" w:rsidRDefault="006B6462">
      <w:pPr>
        <w:pStyle w:val="NormalWeb"/>
        <w:ind w:left="720" w:hanging="720"/>
        <w:jc w:val="both"/>
        <w:rPr>
          <w:rFonts w:ascii="Arial" w:hAnsi="Arial" w:cs="Arial"/>
          <w:sz w:val="20"/>
          <w:szCs w:val="20"/>
        </w:rPr>
      </w:pPr>
      <w:proofErr w:type="spellStart"/>
      <w:r w:rsidRPr="00BB6A07">
        <w:rPr>
          <w:rFonts w:ascii="Arial" w:hAnsi="Arial" w:cs="Arial"/>
          <w:sz w:val="20"/>
          <w:szCs w:val="20"/>
        </w:rPr>
        <w:t>Upadhyay</w:t>
      </w:r>
      <w:proofErr w:type="spellEnd"/>
      <w:r w:rsidRPr="00BB6A07">
        <w:rPr>
          <w:rFonts w:ascii="Arial" w:hAnsi="Arial" w:cs="Arial"/>
          <w:sz w:val="20"/>
          <w:szCs w:val="20"/>
        </w:rPr>
        <w:t xml:space="preserve">, P., &amp; </w:t>
      </w:r>
      <w:proofErr w:type="spellStart"/>
      <w:r w:rsidRPr="00BB6A07">
        <w:rPr>
          <w:rFonts w:ascii="Arial" w:hAnsi="Arial" w:cs="Arial"/>
          <w:sz w:val="20"/>
          <w:szCs w:val="20"/>
        </w:rPr>
        <w:t>Upadhyay</w:t>
      </w:r>
      <w:proofErr w:type="spellEnd"/>
      <w:r w:rsidRPr="00BB6A07">
        <w:rPr>
          <w:rFonts w:ascii="Arial" w:hAnsi="Arial" w:cs="Arial"/>
          <w:sz w:val="20"/>
          <w:szCs w:val="20"/>
        </w:rPr>
        <w:t xml:space="preserve">, R. (2025). Biodiversity in Assam and Northeast India. Asian Science Bulletin, 3, 146–151. </w:t>
      </w:r>
      <w:hyperlink r:id="rId35" w:history="1">
        <w:r w:rsidRPr="00350588">
          <w:rPr>
            <w:rStyle w:val="Hyperlink"/>
            <w:rFonts w:ascii="Arial" w:hAnsi="Arial" w:cs="Arial"/>
            <w:sz w:val="20"/>
            <w:szCs w:val="20"/>
          </w:rPr>
          <w:t>https://doi.org/10.3923/asb.2025.146.151</w:t>
        </w:r>
      </w:hyperlink>
    </w:p>
    <w:p w:rsidR="006B6462" w:rsidRDefault="006B6462">
      <w:pPr>
        <w:pStyle w:val="NormalWeb"/>
        <w:ind w:left="720" w:hanging="720"/>
        <w:jc w:val="both"/>
        <w:rPr>
          <w:rFonts w:ascii="Arial" w:hAnsi="Arial" w:cs="Arial"/>
          <w:sz w:val="20"/>
          <w:szCs w:val="20"/>
        </w:rPr>
      </w:pPr>
      <w:proofErr w:type="spellStart"/>
      <w:r>
        <w:rPr>
          <w:rFonts w:ascii="Arial" w:hAnsi="Arial" w:cs="Arial"/>
          <w:sz w:val="20"/>
          <w:szCs w:val="20"/>
        </w:rPr>
        <w:t>Verma</w:t>
      </w:r>
      <w:proofErr w:type="spellEnd"/>
      <w:r>
        <w:rPr>
          <w:rFonts w:ascii="Arial" w:hAnsi="Arial" w:cs="Arial"/>
          <w:sz w:val="20"/>
          <w:szCs w:val="20"/>
        </w:rPr>
        <w:t xml:space="preserve">, V. R., Gandhi, S., &amp; Dash, U. (2019). Traversing the margins: Access to healthcare by </w:t>
      </w:r>
      <w:proofErr w:type="spellStart"/>
      <w:r>
        <w:rPr>
          <w:rFonts w:ascii="Arial" w:hAnsi="Arial" w:cs="Arial"/>
          <w:sz w:val="20"/>
          <w:szCs w:val="20"/>
        </w:rPr>
        <w:t>Bakarwals</w:t>
      </w:r>
      <w:proofErr w:type="spellEnd"/>
      <w:r>
        <w:rPr>
          <w:rFonts w:ascii="Arial" w:hAnsi="Arial" w:cs="Arial"/>
          <w:sz w:val="20"/>
          <w:szCs w:val="20"/>
        </w:rPr>
        <w:t xml:space="preserve"> in remote and conflict-prone Himalayan regions of Jammu and Kashmir. </w:t>
      </w:r>
      <w:r>
        <w:rPr>
          <w:rStyle w:val="Emphasis"/>
          <w:rFonts w:ascii="Arial" w:hAnsi="Arial" w:cs="Arial"/>
          <w:i w:val="0"/>
          <w:sz w:val="20"/>
          <w:szCs w:val="20"/>
        </w:rPr>
        <w:t>Pastoralism</w:t>
      </w:r>
      <w:r>
        <w:rPr>
          <w:rFonts w:ascii="Arial" w:hAnsi="Arial" w:cs="Arial"/>
          <w:sz w:val="20"/>
          <w:szCs w:val="20"/>
        </w:rPr>
        <w:t xml:space="preserve">, 9, 2. </w:t>
      </w:r>
      <w:hyperlink r:id="rId36" w:tgtFrame="_new" w:history="1">
        <w:r>
          <w:rPr>
            <w:rStyle w:val="Hyperlink"/>
            <w:rFonts w:ascii="Arial" w:hAnsi="Arial" w:cs="Arial"/>
            <w:sz w:val="20"/>
            <w:szCs w:val="20"/>
          </w:rPr>
          <w:t>https://doi.org/10.1186/s13570-019-0137-9</w:t>
        </w:r>
      </w:hyperlink>
    </w:p>
    <w:p w:rsidR="006B6462" w:rsidRDefault="006B6462">
      <w:pPr>
        <w:pStyle w:val="NormalWeb"/>
        <w:ind w:left="720" w:hanging="720"/>
        <w:jc w:val="both"/>
        <w:rPr>
          <w:rFonts w:ascii="Arial" w:hAnsi="Arial" w:cs="Arial"/>
          <w:sz w:val="20"/>
          <w:szCs w:val="20"/>
        </w:rPr>
      </w:pPr>
      <w:r>
        <w:rPr>
          <w:rFonts w:ascii="Arial" w:hAnsi="Arial" w:cs="Arial"/>
          <w:sz w:val="20"/>
          <w:szCs w:val="20"/>
        </w:rPr>
        <w:t xml:space="preserve">Vyas, A. (2024). </w:t>
      </w:r>
      <w:proofErr w:type="spellStart"/>
      <w:r>
        <w:rPr>
          <w:rFonts w:ascii="Arial" w:hAnsi="Arial" w:cs="Arial"/>
          <w:sz w:val="20"/>
          <w:szCs w:val="20"/>
        </w:rPr>
        <w:t>Denotified</w:t>
      </w:r>
      <w:proofErr w:type="spellEnd"/>
      <w:r>
        <w:rPr>
          <w:rFonts w:ascii="Arial" w:hAnsi="Arial" w:cs="Arial"/>
          <w:sz w:val="20"/>
          <w:szCs w:val="20"/>
        </w:rPr>
        <w:t xml:space="preserve"> and nomadic tribes in Rajasthan: Using citizen generated data to leave no one behind in achieving SDGs. </w:t>
      </w:r>
      <w:hyperlink r:id="rId37" w:tgtFrame="_new" w:history="1">
        <w:r>
          <w:rPr>
            <w:rStyle w:val="Hyperlink"/>
            <w:rFonts w:ascii="Arial" w:hAnsi="Arial" w:cs="Arial"/>
            <w:sz w:val="20"/>
            <w:szCs w:val="20"/>
          </w:rPr>
          <w:t>https://doi.org/10.13140/RG.2.2.13452.53120</w:t>
        </w:r>
      </w:hyperlink>
    </w:p>
    <w:p w:rsidR="006B6462" w:rsidRDefault="006B6462">
      <w:pPr>
        <w:pStyle w:val="NormalWeb"/>
        <w:ind w:left="720" w:hanging="720"/>
        <w:jc w:val="both"/>
        <w:rPr>
          <w:rFonts w:ascii="Arial" w:hAnsi="Arial" w:cs="Arial"/>
          <w:sz w:val="20"/>
          <w:szCs w:val="20"/>
        </w:rPr>
      </w:pPr>
      <w:r>
        <w:rPr>
          <w:rFonts w:ascii="Arial" w:hAnsi="Arial" w:cs="Arial"/>
          <w:sz w:val="20"/>
          <w:szCs w:val="20"/>
        </w:rPr>
        <w:t xml:space="preserve">Wei, D., Alias, B. S., &amp; Abdul </w:t>
      </w:r>
      <w:proofErr w:type="spellStart"/>
      <w:r>
        <w:rPr>
          <w:rFonts w:ascii="Arial" w:hAnsi="Arial" w:cs="Arial"/>
          <w:sz w:val="20"/>
          <w:szCs w:val="20"/>
        </w:rPr>
        <w:t>Wahab</w:t>
      </w:r>
      <w:proofErr w:type="spellEnd"/>
      <w:r>
        <w:rPr>
          <w:rFonts w:ascii="Arial" w:hAnsi="Arial" w:cs="Arial"/>
          <w:sz w:val="20"/>
          <w:szCs w:val="20"/>
        </w:rPr>
        <w:t xml:space="preserve">, J. L. B. (2025). Content validation and content validity index calculation for teacher innovativeness instrument among Henan private universities in China. </w:t>
      </w:r>
      <w:r>
        <w:rPr>
          <w:rStyle w:val="Emphasis"/>
          <w:rFonts w:ascii="Arial" w:hAnsi="Arial" w:cs="Arial"/>
          <w:i w:val="0"/>
          <w:sz w:val="20"/>
          <w:szCs w:val="20"/>
        </w:rPr>
        <w:t>Communications on Applied Nonlinear Analysis</w:t>
      </w:r>
      <w:r>
        <w:rPr>
          <w:rFonts w:ascii="Arial" w:hAnsi="Arial" w:cs="Arial"/>
          <w:sz w:val="20"/>
          <w:szCs w:val="20"/>
        </w:rPr>
        <w:t>, 32(10s), 175.</w:t>
      </w:r>
    </w:p>
    <w:p w:rsidR="00C01C78" w:rsidRDefault="00C01C78">
      <w:pPr>
        <w:pStyle w:val="NormalWeb"/>
        <w:ind w:left="720" w:hanging="720"/>
        <w:jc w:val="both"/>
        <w:rPr>
          <w:rFonts w:ascii="Arial" w:hAnsi="Arial" w:cs="Arial"/>
          <w:sz w:val="20"/>
          <w:szCs w:val="20"/>
        </w:rPr>
      </w:pPr>
    </w:p>
    <w:p w:rsidR="00C01C78" w:rsidRDefault="00C01C78">
      <w:pPr>
        <w:pStyle w:val="NormalWeb"/>
        <w:ind w:left="720" w:hanging="720"/>
        <w:jc w:val="both"/>
        <w:rPr>
          <w:rFonts w:ascii="Arial" w:hAnsi="Arial" w:cs="Arial"/>
          <w:sz w:val="20"/>
          <w:szCs w:val="20"/>
        </w:rPr>
      </w:pPr>
    </w:p>
    <w:p w:rsidR="00BB6A07" w:rsidRDefault="00BB6A07">
      <w:pPr>
        <w:pStyle w:val="NormalWeb"/>
        <w:ind w:left="720" w:hanging="720"/>
        <w:jc w:val="both"/>
        <w:rPr>
          <w:rFonts w:ascii="Arial" w:hAnsi="Arial" w:cs="Arial"/>
          <w:sz w:val="20"/>
          <w:szCs w:val="20"/>
        </w:rPr>
      </w:pPr>
    </w:p>
    <w:p w:rsidR="000D4A42" w:rsidRDefault="000D4A42">
      <w:pPr>
        <w:pStyle w:val="NormalWeb"/>
        <w:ind w:left="720" w:hanging="720"/>
        <w:jc w:val="both"/>
        <w:rPr>
          <w:rFonts w:ascii="Arial" w:hAnsi="Arial" w:cs="Arial"/>
          <w:sz w:val="20"/>
          <w:szCs w:val="20"/>
        </w:rPr>
      </w:pPr>
    </w:p>
    <w:p w:rsidR="00172E3C" w:rsidRDefault="00172E3C">
      <w:pPr>
        <w:pStyle w:val="NormalWeb"/>
        <w:ind w:left="720" w:hanging="720"/>
        <w:jc w:val="both"/>
        <w:rPr>
          <w:rFonts w:ascii="Arial" w:hAnsi="Arial" w:cs="Arial"/>
          <w:sz w:val="20"/>
          <w:szCs w:val="20"/>
        </w:rPr>
      </w:pPr>
    </w:p>
    <w:p w:rsidR="00AB7AA4" w:rsidRDefault="00AB7AA4">
      <w:pPr>
        <w:pStyle w:val="NormalWeb"/>
        <w:ind w:left="720" w:hanging="720"/>
        <w:jc w:val="both"/>
        <w:rPr>
          <w:rFonts w:ascii="Arial" w:hAnsi="Arial" w:cs="Arial"/>
          <w:sz w:val="20"/>
          <w:szCs w:val="20"/>
        </w:rPr>
      </w:pPr>
    </w:p>
    <w:p w:rsidR="00613F59" w:rsidRDefault="00613F59">
      <w:pPr>
        <w:pStyle w:val="NormalWeb"/>
        <w:ind w:left="720" w:hanging="720"/>
        <w:jc w:val="both"/>
        <w:rPr>
          <w:rFonts w:ascii="Arial" w:hAnsi="Arial" w:cs="Arial"/>
          <w:sz w:val="20"/>
          <w:szCs w:val="20"/>
        </w:rPr>
      </w:pPr>
    </w:p>
    <w:p w:rsidR="004F4B84" w:rsidRDefault="004F4B84">
      <w:pPr>
        <w:pStyle w:val="NormalWeb"/>
        <w:ind w:left="720" w:hanging="720"/>
        <w:jc w:val="both"/>
        <w:rPr>
          <w:rFonts w:ascii="Arial" w:hAnsi="Arial" w:cs="Arial"/>
          <w:sz w:val="20"/>
          <w:szCs w:val="20"/>
        </w:rPr>
      </w:pPr>
    </w:p>
    <w:sectPr w:rsidR="004F4B84" w:rsidSect="00351CAE">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FC" w:rsidRDefault="004529FC">
      <w:pPr>
        <w:spacing w:after="0" w:line="240" w:lineRule="auto"/>
      </w:pPr>
      <w:r>
        <w:separator/>
      </w:r>
    </w:p>
  </w:endnote>
  <w:endnote w:type="continuationSeparator" w:id="0">
    <w:p w:rsidR="004529FC" w:rsidRDefault="0045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2" w:rsidRDefault="006B5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2" w:rsidRDefault="006B5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2" w:rsidRDefault="006B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FC" w:rsidRDefault="004529FC">
      <w:pPr>
        <w:spacing w:after="0" w:line="240" w:lineRule="auto"/>
      </w:pPr>
      <w:r>
        <w:separator/>
      </w:r>
    </w:p>
  </w:footnote>
  <w:footnote w:type="continuationSeparator" w:id="0">
    <w:p w:rsidR="004529FC" w:rsidRDefault="0045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2" w:rsidRDefault="004529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2" w:rsidRDefault="004529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2" w:rsidRDefault="004529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0259"/>
    <w:multiLevelType w:val="multilevel"/>
    <w:tmpl w:val="63F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606E6"/>
    <w:multiLevelType w:val="hybridMultilevel"/>
    <w:tmpl w:val="AF04C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330513"/>
    <w:multiLevelType w:val="hybridMultilevel"/>
    <w:tmpl w:val="6C0C7C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A20FA4"/>
    <w:multiLevelType w:val="multilevel"/>
    <w:tmpl w:val="72F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C6E74"/>
    <w:multiLevelType w:val="multilevel"/>
    <w:tmpl w:val="5FB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62939"/>
    <w:multiLevelType w:val="multilevel"/>
    <w:tmpl w:val="47D2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055B6"/>
    <w:multiLevelType w:val="hybridMultilevel"/>
    <w:tmpl w:val="E6CA5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3767EF"/>
    <w:multiLevelType w:val="hybridMultilevel"/>
    <w:tmpl w:val="140EB0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036628"/>
    <w:multiLevelType w:val="hybridMultilevel"/>
    <w:tmpl w:val="F07A3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9778EC"/>
    <w:multiLevelType w:val="hybridMultilevel"/>
    <w:tmpl w:val="C4CE87A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077001E"/>
    <w:multiLevelType w:val="hybridMultilevel"/>
    <w:tmpl w:val="E6A034BE"/>
    <w:lvl w:ilvl="0" w:tplc="3376894C">
      <w:start w:val="1"/>
      <w:numFmt w:val="decimal"/>
      <w:lvlText w:val="%1."/>
      <w:lvlJc w:val="left"/>
      <w:pPr>
        <w:ind w:left="720" w:hanging="360"/>
      </w:pPr>
      <w:rPr>
        <w:rFonts w:hint="default"/>
        <w:b/>
        <w:vertAlign w:val="baseline"/>
      </w:rPr>
    </w:lvl>
    <w:lvl w:ilvl="1" w:tplc="EF16B0C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853B2"/>
    <w:multiLevelType w:val="multilevel"/>
    <w:tmpl w:val="4976A7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65AB0BAF"/>
    <w:multiLevelType w:val="multilevel"/>
    <w:tmpl w:val="D516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B1ED0"/>
    <w:multiLevelType w:val="multilevel"/>
    <w:tmpl w:val="A752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34CF2"/>
    <w:multiLevelType w:val="hybridMultilevel"/>
    <w:tmpl w:val="7B389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4"/>
  </w:num>
  <w:num w:numId="5">
    <w:abstractNumId w:val="9"/>
  </w:num>
  <w:num w:numId="6">
    <w:abstractNumId w:val="12"/>
  </w:num>
  <w:num w:numId="7">
    <w:abstractNumId w:val="7"/>
  </w:num>
  <w:num w:numId="8">
    <w:abstractNumId w:val="1"/>
  </w:num>
  <w:num w:numId="9">
    <w:abstractNumId w:val="3"/>
  </w:num>
  <w:num w:numId="10">
    <w:abstractNumId w:val="13"/>
  </w:num>
  <w:num w:numId="11">
    <w:abstractNumId w:val="0"/>
  </w:num>
  <w:num w:numId="12">
    <w:abstractNumId w:val="4"/>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tDA0MzEwsbQwNTQ3MDNW0lEKTi0uzszPAykwrAUAK1UQvCwAAAA="/>
  </w:docVars>
  <w:rsids>
    <w:rsidRoot w:val="00351CAE"/>
    <w:rsid w:val="000B5DF8"/>
    <w:rsid w:val="000D4A42"/>
    <w:rsid w:val="000E7E39"/>
    <w:rsid w:val="00113C36"/>
    <w:rsid w:val="00121798"/>
    <w:rsid w:val="00172E3C"/>
    <w:rsid w:val="002553A8"/>
    <w:rsid w:val="002655E1"/>
    <w:rsid w:val="00303242"/>
    <w:rsid w:val="00351CAE"/>
    <w:rsid w:val="003A291E"/>
    <w:rsid w:val="004529FC"/>
    <w:rsid w:val="004C2351"/>
    <w:rsid w:val="004F4B84"/>
    <w:rsid w:val="005476CF"/>
    <w:rsid w:val="00562751"/>
    <w:rsid w:val="00594611"/>
    <w:rsid w:val="005C3BF2"/>
    <w:rsid w:val="005F0979"/>
    <w:rsid w:val="00613F59"/>
    <w:rsid w:val="006B5F42"/>
    <w:rsid w:val="006B6462"/>
    <w:rsid w:val="006D7908"/>
    <w:rsid w:val="006F063A"/>
    <w:rsid w:val="00754047"/>
    <w:rsid w:val="00897E86"/>
    <w:rsid w:val="008B2D9E"/>
    <w:rsid w:val="008B639A"/>
    <w:rsid w:val="008F2F58"/>
    <w:rsid w:val="00925C3C"/>
    <w:rsid w:val="00975B0C"/>
    <w:rsid w:val="009C5108"/>
    <w:rsid w:val="00A2629D"/>
    <w:rsid w:val="00A57728"/>
    <w:rsid w:val="00AB7AA4"/>
    <w:rsid w:val="00B17C80"/>
    <w:rsid w:val="00B32C92"/>
    <w:rsid w:val="00BA6F2E"/>
    <w:rsid w:val="00BB6A07"/>
    <w:rsid w:val="00C01C78"/>
    <w:rsid w:val="00C63D5F"/>
    <w:rsid w:val="00CA2B0F"/>
    <w:rsid w:val="00CC792B"/>
    <w:rsid w:val="00CF0724"/>
    <w:rsid w:val="00D74D43"/>
    <w:rsid w:val="00DB7219"/>
    <w:rsid w:val="00E167E6"/>
    <w:rsid w:val="00E52443"/>
    <w:rsid w:val="00EA79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D43F4E"/>
  <w15:docId w15:val="{22CB3EE1-4A25-4C36-9D09-E5907D08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CAE"/>
  </w:style>
  <w:style w:type="paragraph" w:styleId="Heading1">
    <w:name w:val="heading 1"/>
    <w:basedOn w:val="Normal"/>
    <w:link w:val="Heading1Char"/>
    <w:uiPriority w:val="9"/>
    <w:qFormat/>
    <w:rsid w:val="00351C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351CA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351CA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CAE"/>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351CA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351CAE"/>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351CA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51CAE"/>
    <w:rPr>
      <w:b/>
      <w:bCs/>
    </w:rPr>
  </w:style>
  <w:style w:type="paragraph" w:styleId="ListParagraph">
    <w:name w:val="List Paragraph"/>
    <w:basedOn w:val="Normal"/>
    <w:link w:val="ListParagraphChar"/>
    <w:uiPriority w:val="34"/>
    <w:qFormat/>
    <w:rsid w:val="00351CAE"/>
    <w:pPr>
      <w:spacing w:after="200" w:line="276" w:lineRule="auto"/>
      <w:ind w:left="720"/>
      <w:contextualSpacing/>
    </w:pPr>
    <w:rPr>
      <w:rFonts w:eastAsiaTheme="minorEastAsia"/>
      <w:lang w:val="en-US"/>
    </w:rPr>
  </w:style>
  <w:style w:type="character" w:customStyle="1" w:styleId="ListParagraphChar">
    <w:name w:val="List Paragraph Char"/>
    <w:link w:val="ListParagraph"/>
    <w:locked/>
    <w:rsid w:val="00351CAE"/>
    <w:rPr>
      <w:rFonts w:eastAsiaTheme="minorEastAsia"/>
      <w:lang w:val="en-US"/>
    </w:rPr>
  </w:style>
  <w:style w:type="character" w:styleId="Hyperlink">
    <w:name w:val="Hyperlink"/>
    <w:basedOn w:val="DefaultParagraphFont"/>
    <w:uiPriority w:val="99"/>
    <w:unhideWhenUsed/>
    <w:rsid w:val="00351CAE"/>
    <w:rPr>
      <w:color w:val="0563C1" w:themeColor="hyperlink"/>
      <w:u w:val="single"/>
    </w:rPr>
  </w:style>
  <w:style w:type="character" w:styleId="Emphasis">
    <w:name w:val="Emphasis"/>
    <w:basedOn w:val="DefaultParagraphFont"/>
    <w:uiPriority w:val="20"/>
    <w:qFormat/>
    <w:rsid w:val="00351CAE"/>
    <w:rPr>
      <w:i/>
      <w:iCs/>
    </w:rPr>
  </w:style>
  <w:style w:type="paragraph" w:styleId="BodyText">
    <w:name w:val="Body Text"/>
    <w:basedOn w:val="Normal"/>
    <w:link w:val="BodyTextChar"/>
    <w:uiPriority w:val="1"/>
    <w:qFormat/>
    <w:rsid w:val="00351CA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51CA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51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CAE"/>
    <w:rPr>
      <w:rFonts w:ascii="Tahoma" w:hAnsi="Tahoma" w:cs="Tahoma"/>
      <w:sz w:val="16"/>
      <w:szCs w:val="16"/>
    </w:rPr>
  </w:style>
  <w:style w:type="character" w:customStyle="1" w:styleId="UnresolvedMention">
    <w:name w:val="Unresolved Mention"/>
    <w:basedOn w:val="DefaultParagraphFont"/>
    <w:uiPriority w:val="99"/>
    <w:semiHidden/>
    <w:unhideWhenUsed/>
    <w:rsid w:val="00351CAE"/>
    <w:rPr>
      <w:color w:val="605E5C"/>
      <w:shd w:val="clear" w:color="auto" w:fill="E1DFDD"/>
    </w:rPr>
  </w:style>
  <w:style w:type="table" w:styleId="TableGrid">
    <w:name w:val="Table Grid"/>
    <w:basedOn w:val="TableNormal"/>
    <w:uiPriority w:val="39"/>
    <w:rsid w:val="0035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AE"/>
  </w:style>
  <w:style w:type="paragraph" w:styleId="Footer">
    <w:name w:val="footer"/>
    <w:basedOn w:val="Normal"/>
    <w:link w:val="FooterChar"/>
    <w:uiPriority w:val="99"/>
    <w:unhideWhenUsed/>
    <w:rsid w:val="00351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09418">
      <w:bodyDiv w:val="1"/>
      <w:marLeft w:val="0"/>
      <w:marRight w:val="0"/>
      <w:marTop w:val="0"/>
      <w:marBottom w:val="0"/>
      <w:divBdr>
        <w:top w:val="none" w:sz="0" w:space="0" w:color="auto"/>
        <w:left w:val="none" w:sz="0" w:space="0" w:color="auto"/>
        <w:bottom w:val="none" w:sz="0" w:space="0" w:color="auto"/>
        <w:right w:val="none" w:sz="0" w:space="0" w:color="auto"/>
      </w:divBdr>
    </w:div>
    <w:div w:id="171645534">
      <w:bodyDiv w:val="1"/>
      <w:marLeft w:val="0"/>
      <w:marRight w:val="0"/>
      <w:marTop w:val="0"/>
      <w:marBottom w:val="0"/>
      <w:divBdr>
        <w:top w:val="none" w:sz="0" w:space="0" w:color="auto"/>
        <w:left w:val="none" w:sz="0" w:space="0" w:color="auto"/>
        <w:bottom w:val="none" w:sz="0" w:space="0" w:color="auto"/>
        <w:right w:val="none" w:sz="0" w:space="0" w:color="auto"/>
      </w:divBdr>
    </w:div>
    <w:div w:id="183440118">
      <w:bodyDiv w:val="1"/>
      <w:marLeft w:val="0"/>
      <w:marRight w:val="0"/>
      <w:marTop w:val="0"/>
      <w:marBottom w:val="0"/>
      <w:divBdr>
        <w:top w:val="none" w:sz="0" w:space="0" w:color="auto"/>
        <w:left w:val="none" w:sz="0" w:space="0" w:color="auto"/>
        <w:bottom w:val="none" w:sz="0" w:space="0" w:color="auto"/>
        <w:right w:val="none" w:sz="0" w:space="0" w:color="auto"/>
      </w:divBdr>
    </w:div>
    <w:div w:id="215898670">
      <w:bodyDiv w:val="1"/>
      <w:marLeft w:val="0"/>
      <w:marRight w:val="0"/>
      <w:marTop w:val="0"/>
      <w:marBottom w:val="0"/>
      <w:divBdr>
        <w:top w:val="none" w:sz="0" w:space="0" w:color="auto"/>
        <w:left w:val="none" w:sz="0" w:space="0" w:color="auto"/>
        <w:bottom w:val="none" w:sz="0" w:space="0" w:color="auto"/>
        <w:right w:val="none" w:sz="0" w:space="0" w:color="auto"/>
      </w:divBdr>
    </w:div>
    <w:div w:id="217909841">
      <w:bodyDiv w:val="1"/>
      <w:marLeft w:val="0"/>
      <w:marRight w:val="0"/>
      <w:marTop w:val="0"/>
      <w:marBottom w:val="0"/>
      <w:divBdr>
        <w:top w:val="none" w:sz="0" w:space="0" w:color="auto"/>
        <w:left w:val="none" w:sz="0" w:space="0" w:color="auto"/>
        <w:bottom w:val="none" w:sz="0" w:space="0" w:color="auto"/>
        <w:right w:val="none" w:sz="0" w:space="0" w:color="auto"/>
      </w:divBdr>
    </w:div>
    <w:div w:id="250507517">
      <w:bodyDiv w:val="1"/>
      <w:marLeft w:val="0"/>
      <w:marRight w:val="0"/>
      <w:marTop w:val="0"/>
      <w:marBottom w:val="0"/>
      <w:divBdr>
        <w:top w:val="none" w:sz="0" w:space="0" w:color="auto"/>
        <w:left w:val="none" w:sz="0" w:space="0" w:color="auto"/>
        <w:bottom w:val="none" w:sz="0" w:space="0" w:color="auto"/>
        <w:right w:val="none" w:sz="0" w:space="0" w:color="auto"/>
      </w:divBdr>
    </w:div>
    <w:div w:id="273293361">
      <w:bodyDiv w:val="1"/>
      <w:marLeft w:val="0"/>
      <w:marRight w:val="0"/>
      <w:marTop w:val="0"/>
      <w:marBottom w:val="0"/>
      <w:divBdr>
        <w:top w:val="none" w:sz="0" w:space="0" w:color="auto"/>
        <w:left w:val="none" w:sz="0" w:space="0" w:color="auto"/>
        <w:bottom w:val="none" w:sz="0" w:space="0" w:color="auto"/>
        <w:right w:val="none" w:sz="0" w:space="0" w:color="auto"/>
      </w:divBdr>
    </w:div>
    <w:div w:id="346903519">
      <w:bodyDiv w:val="1"/>
      <w:marLeft w:val="0"/>
      <w:marRight w:val="0"/>
      <w:marTop w:val="0"/>
      <w:marBottom w:val="0"/>
      <w:divBdr>
        <w:top w:val="none" w:sz="0" w:space="0" w:color="auto"/>
        <w:left w:val="none" w:sz="0" w:space="0" w:color="auto"/>
        <w:bottom w:val="none" w:sz="0" w:space="0" w:color="auto"/>
        <w:right w:val="none" w:sz="0" w:space="0" w:color="auto"/>
      </w:divBdr>
    </w:div>
    <w:div w:id="379522721">
      <w:bodyDiv w:val="1"/>
      <w:marLeft w:val="0"/>
      <w:marRight w:val="0"/>
      <w:marTop w:val="0"/>
      <w:marBottom w:val="0"/>
      <w:divBdr>
        <w:top w:val="none" w:sz="0" w:space="0" w:color="auto"/>
        <w:left w:val="none" w:sz="0" w:space="0" w:color="auto"/>
        <w:bottom w:val="none" w:sz="0" w:space="0" w:color="auto"/>
        <w:right w:val="none" w:sz="0" w:space="0" w:color="auto"/>
      </w:divBdr>
    </w:div>
    <w:div w:id="417214502">
      <w:bodyDiv w:val="1"/>
      <w:marLeft w:val="0"/>
      <w:marRight w:val="0"/>
      <w:marTop w:val="0"/>
      <w:marBottom w:val="0"/>
      <w:divBdr>
        <w:top w:val="none" w:sz="0" w:space="0" w:color="auto"/>
        <w:left w:val="none" w:sz="0" w:space="0" w:color="auto"/>
        <w:bottom w:val="none" w:sz="0" w:space="0" w:color="auto"/>
        <w:right w:val="none" w:sz="0" w:space="0" w:color="auto"/>
      </w:divBdr>
    </w:div>
    <w:div w:id="429739447">
      <w:bodyDiv w:val="1"/>
      <w:marLeft w:val="0"/>
      <w:marRight w:val="0"/>
      <w:marTop w:val="0"/>
      <w:marBottom w:val="0"/>
      <w:divBdr>
        <w:top w:val="none" w:sz="0" w:space="0" w:color="auto"/>
        <w:left w:val="none" w:sz="0" w:space="0" w:color="auto"/>
        <w:bottom w:val="none" w:sz="0" w:space="0" w:color="auto"/>
        <w:right w:val="none" w:sz="0" w:space="0" w:color="auto"/>
      </w:divBdr>
    </w:div>
    <w:div w:id="491988419">
      <w:bodyDiv w:val="1"/>
      <w:marLeft w:val="0"/>
      <w:marRight w:val="0"/>
      <w:marTop w:val="0"/>
      <w:marBottom w:val="0"/>
      <w:divBdr>
        <w:top w:val="none" w:sz="0" w:space="0" w:color="auto"/>
        <w:left w:val="none" w:sz="0" w:space="0" w:color="auto"/>
        <w:bottom w:val="none" w:sz="0" w:space="0" w:color="auto"/>
        <w:right w:val="none" w:sz="0" w:space="0" w:color="auto"/>
      </w:divBdr>
      <w:divsChild>
        <w:div w:id="1808086405">
          <w:marLeft w:val="0"/>
          <w:marRight w:val="0"/>
          <w:marTop w:val="0"/>
          <w:marBottom w:val="0"/>
          <w:divBdr>
            <w:top w:val="none" w:sz="0" w:space="0" w:color="auto"/>
            <w:left w:val="none" w:sz="0" w:space="0" w:color="auto"/>
            <w:bottom w:val="none" w:sz="0" w:space="0" w:color="auto"/>
            <w:right w:val="none" w:sz="0" w:space="0" w:color="auto"/>
          </w:divBdr>
          <w:divsChild>
            <w:div w:id="1686904043">
              <w:marLeft w:val="0"/>
              <w:marRight w:val="0"/>
              <w:marTop w:val="0"/>
              <w:marBottom w:val="0"/>
              <w:divBdr>
                <w:top w:val="none" w:sz="0" w:space="0" w:color="auto"/>
                <w:left w:val="none" w:sz="0" w:space="0" w:color="auto"/>
                <w:bottom w:val="none" w:sz="0" w:space="0" w:color="auto"/>
                <w:right w:val="none" w:sz="0" w:space="0" w:color="auto"/>
              </w:divBdr>
            </w:div>
          </w:divsChild>
        </w:div>
        <w:div w:id="1255895239">
          <w:marLeft w:val="0"/>
          <w:marRight w:val="0"/>
          <w:marTop w:val="0"/>
          <w:marBottom w:val="0"/>
          <w:divBdr>
            <w:top w:val="none" w:sz="0" w:space="0" w:color="auto"/>
            <w:left w:val="none" w:sz="0" w:space="0" w:color="auto"/>
            <w:bottom w:val="none" w:sz="0" w:space="0" w:color="auto"/>
            <w:right w:val="none" w:sz="0" w:space="0" w:color="auto"/>
          </w:divBdr>
          <w:divsChild>
            <w:div w:id="16798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2781">
      <w:bodyDiv w:val="1"/>
      <w:marLeft w:val="0"/>
      <w:marRight w:val="0"/>
      <w:marTop w:val="0"/>
      <w:marBottom w:val="0"/>
      <w:divBdr>
        <w:top w:val="none" w:sz="0" w:space="0" w:color="auto"/>
        <w:left w:val="none" w:sz="0" w:space="0" w:color="auto"/>
        <w:bottom w:val="none" w:sz="0" w:space="0" w:color="auto"/>
        <w:right w:val="none" w:sz="0" w:space="0" w:color="auto"/>
      </w:divBdr>
    </w:div>
    <w:div w:id="647786191">
      <w:bodyDiv w:val="1"/>
      <w:marLeft w:val="0"/>
      <w:marRight w:val="0"/>
      <w:marTop w:val="0"/>
      <w:marBottom w:val="0"/>
      <w:divBdr>
        <w:top w:val="none" w:sz="0" w:space="0" w:color="auto"/>
        <w:left w:val="none" w:sz="0" w:space="0" w:color="auto"/>
        <w:bottom w:val="none" w:sz="0" w:space="0" w:color="auto"/>
        <w:right w:val="none" w:sz="0" w:space="0" w:color="auto"/>
      </w:divBdr>
    </w:div>
    <w:div w:id="698091791">
      <w:bodyDiv w:val="1"/>
      <w:marLeft w:val="0"/>
      <w:marRight w:val="0"/>
      <w:marTop w:val="0"/>
      <w:marBottom w:val="0"/>
      <w:divBdr>
        <w:top w:val="none" w:sz="0" w:space="0" w:color="auto"/>
        <w:left w:val="none" w:sz="0" w:space="0" w:color="auto"/>
        <w:bottom w:val="none" w:sz="0" w:space="0" w:color="auto"/>
        <w:right w:val="none" w:sz="0" w:space="0" w:color="auto"/>
      </w:divBdr>
    </w:div>
    <w:div w:id="698700448">
      <w:bodyDiv w:val="1"/>
      <w:marLeft w:val="0"/>
      <w:marRight w:val="0"/>
      <w:marTop w:val="0"/>
      <w:marBottom w:val="0"/>
      <w:divBdr>
        <w:top w:val="none" w:sz="0" w:space="0" w:color="auto"/>
        <w:left w:val="none" w:sz="0" w:space="0" w:color="auto"/>
        <w:bottom w:val="none" w:sz="0" w:space="0" w:color="auto"/>
        <w:right w:val="none" w:sz="0" w:space="0" w:color="auto"/>
      </w:divBdr>
    </w:div>
    <w:div w:id="749623490">
      <w:bodyDiv w:val="1"/>
      <w:marLeft w:val="0"/>
      <w:marRight w:val="0"/>
      <w:marTop w:val="0"/>
      <w:marBottom w:val="0"/>
      <w:divBdr>
        <w:top w:val="none" w:sz="0" w:space="0" w:color="auto"/>
        <w:left w:val="none" w:sz="0" w:space="0" w:color="auto"/>
        <w:bottom w:val="none" w:sz="0" w:space="0" w:color="auto"/>
        <w:right w:val="none" w:sz="0" w:space="0" w:color="auto"/>
      </w:divBdr>
    </w:div>
    <w:div w:id="775638059">
      <w:bodyDiv w:val="1"/>
      <w:marLeft w:val="0"/>
      <w:marRight w:val="0"/>
      <w:marTop w:val="0"/>
      <w:marBottom w:val="0"/>
      <w:divBdr>
        <w:top w:val="none" w:sz="0" w:space="0" w:color="auto"/>
        <w:left w:val="none" w:sz="0" w:space="0" w:color="auto"/>
        <w:bottom w:val="none" w:sz="0" w:space="0" w:color="auto"/>
        <w:right w:val="none" w:sz="0" w:space="0" w:color="auto"/>
      </w:divBdr>
    </w:div>
    <w:div w:id="778060852">
      <w:bodyDiv w:val="1"/>
      <w:marLeft w:val="0"/>
      <w:marRight w:val="0"/>
      <w:marTop w:val="0"/>
      <w:marBottom w:val="0"/>
      <w:divBdr>
        <w:top w:val="none" w:sz="0" w:space="0" w:color="auto"/>
        <w:left w:val="none" w:sz="0" w:space="0" w:color="auto"/>
        <w:bottom w:val="none" w:sz="0" w:space="0" w:color="auto"/>
        <w:right w:val="none" w:sz="0" w:space="0" w:color="auto"/>
      </w:divBdr>
    </w:div>
    <w:div w:id="812865511">
      <w:bodyDiv w:val="1"/>
      <w:marLeft w:val="0"/>
      <w:marRight w:val="0"/>
      <w:marTop w:val="0"/>
      <w:marBottom w:val="0"/>
      <w:divBdr>
        <w:top w:val="none" w:sz="0" w:space="0" w:color="auto"/>
        <w:left w:val="none" w:sz="0" w:space="0" w:color="auto"/>
        <w:bottom w:val="none" w:sz="0" w:space="0" w:color="auto"/>
        <w:right w:val="none" w:sz="0" w:space="0" w:color="auto"/>
      </w:divBdr>
    </w:div>
    <w:div w:id="821578759">
      <w:bodyDiv w:val="1"/>
      <w:marLeft w:val="0"/>
      <w:marRight w:val="0"/>
      <w:marTop w:val="0"/>
      <w:marBottom w:val="0"/>
      <w:divBdr>
        <w:top w:val="none" w:sz="0" w:space="0" w:color="auto"/>
        <w:left w:val="none" w:sz="0" w:space="0" w:color="auto"/>
        <w:bottom w:val="none" w:sz="0" w:space="0" w:color="auto"/>
        <w:right w:val="none" w:sz="0" w:space="0" w:color="auto"/>
      </w:divBdr>
    </w:div>
    <w:div w:id="832179418">
      <w:bodyDiv w:val="1"/>
      <w:marLeft w:val="0"/>
      <w:marRight w:val="0"/>
      <w:marTop w:val="0"/>
      <w:marBottom w:val="0"/>
      <w:divBdr>
        <w:top w:val="none" w:sz="0" w:space="0" w:color="auto"/>
        <w:left w:val="none" w:sz="0" w:space="0" w:color="auto"/>
        <w:bottom w:val="none" w:sz="0" w:space="0" w:color="auto"/>
        <w:right w:val="none" w:sz="0" w:space="0" w:color="auto"/>
      </w:divBdr>
    </w:div>
    <w:div w:id="859974089">
      <w:bodyDiv w:val="1"/>
      <w:marLeft w:val="0"/>
      <w:marRight w:val="0"/>
      <w:marTop w:val="0"/>
      <w:marBottom w:val="0"/>
      <w:divBdr>
        <w:top w:val="none" w:sz="0" w:space="0" w:color="auto"/>
        <w:left w:val="none" w:sz="0" w:space="0" w:color="auto"/>
        <w:bottom w:val="none" w:sz="0" w:space="0" w:color="auto"/>
        <w:right w:val="none" w:sz="0" w:space="0" w:color="auto"/>
      </w:divBdr>
    </w:div>
    <w:div w:id="920407735">
      <w:bodyDiv w:val="1"/>
      <w:marLeft w:val="0"/>
      <w:marRight w:val="0"/>
      <w:marTop w:val="0"/>
      <w:marBottom w:val="0"/>
      <w:divBdr>
        <w:top w:val="none" w:sz="0" w:space="0" w:color="auto"/>
        <w:left w:val="none" w:sz="0" w:space="0" w:color="auto"/>
        <w:bottom w:val="none" w:sz="0" w:space="0" w:color="auto"/>
        <w:right w:val="none" w:sz="0" w:space="0" w:color="auto"/>
      </w:divBdr>
    </w:div>
    <w:div w:id="1026641169">
      <w:bodyDiv w:val="1"/>
      <w:marLeft w:val="0"/>
      <w:marRight w:val="0"/>
      <w:marTop w:val="0"/>
      <w:marBottom w:val="0"/>
      <w:divBdr>
        <w:top w:val="none" w:sz="0" w:space="0" w:color="auto"/>
        <w:left w:val="none" w:sz="0" w:space="0" w:color="auto"/>
        <w:bottom w:val="none" w:sz="0" w:space="0" w:color="auto"/>
        <w:right w:val="none" w:sz="0" w:space="0" w:color="auto"/>
      </w:divBdr>
    </w:div>
    <w:div w:id="1030299374">
      <w:bodyDiv w:val="1"/>
      <w:marLeft w:val="0"/>
      <w:marRight w:val="0"/>
      <w:marTop w:val="0"/>
      <w:marBottom w:val="0"/>
      <w:divBdr>
        <w:top w:val="none" w:sz="0" w:space="0" w:color="auto"/>
        <w:left w:val="none" w:sz="0" w:space="0" w:color="auto"/>
        <w:bottom w:val="none" w:sz="0" w:space="0" w:color="auto"/>
        <w:right w:val="none" w:sz="0" w:space="0" w:color="auto"/>
      </w:divBdr>
    </w:div>
    <w:div w:id="1039550726">
      <w:bodyDiv w:val="1"/>
      <w:marLeft w:val="0"/>
      <w:marRight w:val="0"/>
      <w:marTop w:val="0"/>
      <w:marBottom w:val="0"/>
      <w:divBdr>
        <w:top w:val="none" w:sz="0" w:space="0" w:color="auto"/>
        <w:left w:val="none" w:sz="0" w:space="0" w:color="auto"/>
        <w:bottom w:val="none" w:sz="0" w:space="0" w:color="auto"/>
        <w:right w:val="none" w:sz="0" w:space="0" w:color="auto"/>
      </w:divBdr>
    </w:div>
    <w:div w:id="1059668938">
      <w:bodyDiv w:val="1"/>
      <w:marLeft w:val="0"/>
      <w:marRight w:val="0"/>
      <w:marTop w:val="0"/>
      <w:marBottom w:val="0"/>
      <w:divBdr>
        <w:top w:val="none" w:sz="0" w:space="0" w:color="auto"/>
        <w:left w:val="none" w:sz="0" w:space="0" w:color="auto"/>
        <w:bottom w:val="none" w:sz="0" w:space="0" w:color="auto"/>
        <w:right w:val="none" w:sz="0" w:space="0" w:color="auto"/>
      </w:divBdr>
    </w:div>
    <w:div w:id="1133331628">
      <w:bodyDiv w:val="1"/>
      <w:marLeft w:val="0"/>
      <w:marRight w:val="0"/>
      <w:marTop w:val="0"/>
      <w:marBottom w:val="0"/>
      <w:divBdr>
        <w:top w:val="none" w:sz="0" w:space="0" w:color="auto"/>
        <w:left w:val="none" w:sz="0" w:space="0" w:color="auto"/>
        <w:bottom w:val="none" w:sz="0" w:space="0" w:color="auto"/>
        <w:right w:val="none" w:sz="0" w:space="0" w:color="auto"/>
      </w:divBdr>
    </w:div>
    <w:div w:id="1153064810">
      <w:bodyDiv w:val="1"/>
      <w:marLeft w:val="0"/>
      <w:marRight w:val="0"/>
      <w:marTop w:val="0"/>
      <w:marBottom w:val="0"/>
      <w:divBdr>
        <w:top w:val="none" w:sz="0" w:space="0" w:color="auto"/>
        <w:left w:val="none" w:sz="0" w:space="0" w:color="auto"/>
        <w:bottom w:val="none" w:sz="0" w:space="0" w:color="auto"/>
        <w:right w:val="none" w:sz="0" w:space="0" w:color="auto"/>
      </w:divBdr>
    </w:div>
    <w:div w:id="1170556757">
      <w:bodyDiv w:val="1"/>
      <w:marLeft w:val="0"/>
      <w:marRight w:val="0"/>
      <w:marTop w:val="0"/>
      <w:marBottom w:val="0"/>
      <w:divBdr>
        <w:top w:val="none" w:sz="0" w:space="0" w:color="auto"/>
        <w:left w:val="none" w:sz="0" w:space="0" w:color="auto"/>
        <w:bottom w:val="none" w:sz="0" w:space="0" w:color="auto"/>
        <w:right w:val="none" w:sz="0" w:space="0" w:color="auto"/>
      </w:divBdr>
    </w:div>
    <w:div w:id="1247807862">
      <w:bodyDiv w:val="1"/>
      <w:marLeft w:val="0"/>
      <w:marRight w:val="0"/>
      <w:marTop w:val="0"/>
      <w:marBottom w:val="0"/>
      <w:divBdr>
        <w:top w:val="none" w:sz="0" w:space="0" w:color="auto"/>
        <w:left w:val="none" w:sz="0" w:space="0" w:color="auto"/>
        <w:bottom w:val="none" w:sz="0" w:space="0" w:color="auto"/>
        <w:right w:val="none" w:sz="0" w:space="0" w:color="auto"/>
      </w:divBdr>
    </w:div>
    <w:div w:id="1268002074">
      <w:bodyDiv w:val="1"/>
      <w:marLeft w:val="0"/>
      <w:marRight w:val="0"/>
      <w:marTop w:val="0"/>
      <w:marBottom w:val="0"/>
      <w:divBdr>
        <w:top w:val="none" w:sz="0" w:space="0" w:color="auto"/>
        <w:left w:val="none" w:sz="0" w:space="0" w:color="auto"/>
        <w:bottom w:val="none" w:sz="0" w:space="0" w:color="auto"/>
        <w:right w:val="none" w:sz="0" w:space="0" w:color="auto"/>
      </w:divBdr>
    </w:div>
    <w:div w:id="1497722770">
      <w:bodyDiv w:val="1"/>
      <w:marLeft w:val="0"/>
      <w:marRight w:val="0"/>
      <w:marTop w:val="0"/>
      <w:marBottom w:val="0"/>
      <w:divBdr>
        <w:top w:val="none" w:sz="0" w:space="0" w:color="auto"/>
        <w:left w:val="none" w:sz="0" w:space="0" w:color="auto"/>
        <w:bottom w:val="none" w:sz="0" w:space="0" w:color="auto"/>
        <w:right w:val="none" w:sz="0" w:space="0" w:color="auto"/>
      </w:divBdr>
    </w:div>
    <w:div w:id="1529445009">
      <w:bodyDiv w:val="1"/>
      <w:marLeft w:val="0"/>
      <w:marRight w:val="0"/>
      <w:marTop w:val="0"/>
      <w:marBottom w:val="0"/>
      <w:divBdr>
        <w:top w:val="none" w:sz="0" w:space="0" w:color="auto"/>
        <w:left w:val="none" w:sz="0" w:space="0" w:color="auto"/>
        <w:bottom w:val="none" w:sz="0" w:space="0" w:color="auto"/>
        <w:right w:val="none" w:sz="0" w:space="0" w:color="auto"/>
      </w:divBdr>
    </w:div>
    <w:div w:id="1599948418">
      <w:bodyDiv w:val="1"/>
      <w:marLeft w:val="0"/>
      <w:marRight w:val="0"/>
      <w:marTop w:val="0"/>
      <w:marBottom w:val="0"/>
      <w:divBdr>
        <w:top w:val="none" w:sz="0" w:space="0" w:color="auto"/>
        <w:left w:val="none" w:sz="0" w:space="0" w:color="auto"/>
        <w:bottom w:val="none" w:sz="0" w:space="0" w:color="auto"/>
        <w:right w:val="none" w:sz="0" w:space="0" w:color="auto"/>
      </w:divBdr>
    </w:div>
    <w:div w:id="1615793809">
      <w:bodyDiv w:val="1"/>
      <w:marLeft w:val="0"/>
      <w:marRight w:val="0"/>
      <w:marTop w:val="0"/>
      <w:marBottom w:val="0"/>
      <w:divBdr>
        <w:top w:val="none" w:sz="0" w:space="0" w:color="auto"/>
        <w:left w:val="none" w:sz="0" w:space="0" w:color="auto"/>
        <w:bottom w:val="none" w:sz="0" w:space="0" w:color="auto"/>
        <w:right w:val="none" w:sz="0" w:space="0" w:color="auto"/>
      </w:divBdr>
    </w:div>
    <w:div w:id="1655983548">
      <w:bodyDiv w:val="1"/>
      <w:marLeft w:val="0"/>
      <w:marRight w:val="0"/>
      <w:marTop w:val="0"/>
      <w:marBottom w:val="0"/>
      <w:divBdr>
        <w:top w:val="none" w:sz="0" w:space="0" w:color="auto"/>
        <w:left w:val="none" w:sz="0" w:space="0" w:color="auto"/>
        <w:bottom w:val="none" w:sz="0" w:space="0" w:color="auto"/>
        <w:right w:val="none" w:sz="0" w:space="0" w:color="auto"/>
      </w:divBdr>
    </w:div>
    <w:div w:id="1664383945">
      <w:bodyDiv w:val="1"/>
      <w:marLeft w:val="0"/>
      <w:marRight w:val="0"/>
      <w:marTop w:val="0"/>
      <w:marBottom w:val="0"/>
      <w:divBdr>
        <w:top w:val="none" w:sz="0" w:space="0" w:color="auto"/>
        <w:left w:val="none" w:sz="0" w:space="0" w:color="auto"/>
        <w:bottom w:val="none" w:sz="0" w:space="0" w:color="auto"/>
        <w:right w:val="none" w:sz="0" w:space="0" w:color="auto"/>
      </w:divBdr>
    </w:div>
    <w:div w:id="1682703434">
      <w:bodyDiv w:val="1"/>
      <w:marLeft w:val="0"/>
      <w:marRight w:val="0"/>
      <w:marTop w:val="0"/>
      <w:marBottom w:val="0"/>
      <w:divBdr>
        <w:top w:val="none" w:sz="0" w:space="0" w:color="auto"/>
        <w:left w:val="none" w:sz="0" w:space="0" w:color="auto"/>
        <w:bottom w:val="none" w:sz="0" w:space="0" w:color="auto"/>
        <w:right w:val="none" w:sz="0" w:space="0" w:color="auto"/>
      </w:divBdr>
    </w:div>
    <w:div w:id="1918896915">
      <w:bodyDiv w:val="1"/>
      <w:marLeft w:val="0"/>
      <w:marRight w:val="0"/>
      <w:marTop w:val="0"/>
      <w:marBottom w:val="0"/>
      <w:divBdr>
        <w:top w:val="none" w:sz="0" w:space="0" w:color="auto"/>
        <w:left w:val="none" w:sz="0" w:space="0" w:color="auto"/>
        <w:bottom w:val="none" w:sz="0" w:space="0" w:color="auto"/>
        <w:right w:val="none" w:sz="0" w:space="0" w:color="auto"/>
      </w:divBdr>
    </w:div>
    <w:div w:id="1950430402">
      <w:bodyDiv w:val="1"/>
      <w:marLeft w:val="0"/>
      <w:marRight w:val="0"/>
      <w:marTop w:val="0"/>
      <w:marBottom w:val="0"/>
      <w:divBdr>
        <w:top w:val="none" w:sz="0" w:space="0" w:color="auto"/>
        <w:left w:val="none" w:sz="0" w:space="0" w:color="auto"/>
        <w:bottom w:val="none" w:sz="0" w:space="0" w:color="auto"/>
        <w:right w:val="none" w:sz="0" w:space="0" w:color="auto"/>
      </w:divBdr>
    </w:div>
    <w:div w:id="1961646127">
      <w:bodyDiv w:val="1"/>
      <w:marLeft w:val="0"/>
      <w:marRight w:val="0"/>
      <w:marTop w:val="0"/>
      <w:marBottom w:val="0"/>
      <w:divBdr>
        <w:top w:val="none" w:sz="0" w:space="0" w:color="auto"/>
        <w:left w:val="none" w:sz="0" w:space="0" w:color="auto"/>
        <w:bottom w:val="none" w:sz="0" w:space="0" w:color="auto"/>
        <w:right w:val="none" w:sz="0" w:space="0" w:color="auto"/>
      </w:divBdr>
    </w:div>
    <w:div w:id="20127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pubeco.2010.11.006" TargetMode="External"/><Relationship Id="rId18" Type="http://schemas.openxmlformats.org/officeDocument/2006/relationships/hyperlink" Target="http://dx.doi.org/10.1891/1061-3749.26.2.398" TargetMode="External"/><Relationship Id="rId26" Type="http://schemas.openxmlformats.org/officeDocument/2006/relationships/hyperlink" Target="https://doi.org/10.4103/PMRR.PMRR_133_24" TargetMode="External"/><Relationship Id="rId39" Type="http://schemas.openxmlformats.org/officeDocument/2006/relationships/header" Target="header2.xml"/><Relationship Id="rId21" Type="http://schemas.openxmlformats.org/officeDocument/2006/relationships/hyperlink" Target="https://doi.org/10.12944/CWE.17.2.15" TargetMode="External"/><Relationship Id="rId34" Type="http://schemas.openxmlformats.org/officeDocument/2006/relationships/hyperlink" Target="https://doi.org/10.22146/jpki.77062"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07/s10640-020-00516-y" TargetMode="External"/><Relationship Id="rId29" Type="http://schemas.openxmlformats.org/officeDocument/2006/relationships/hyperlink" Target="http://www.nbagr.res.in/lakhimi.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doi.org/10.18805/ijar.B-3358" TargetMode="External"/><Relationship Id="rId32" Type="http://schemas.openxmlformats.org/officeDocument/2006/relationships/hyperlink" Target="https://doi.org/10.56557/upjoz/2025/v46i54830" TargetMode="External"/><Relationship Id="rId37" Type="http://schemas.openxmlformats.org/officeDocument/2006/relationships/hyperlink" Target="https://doi.org/10.13140/RG.2.2.13452.5312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89/frwa.2022.913840" TargetMode="External"/><Relationship Id="rId23" Type="http://schemas.openxmlformats.org/officeDocument/2006/relationships/hyperlink" Target="https://doi.org/10.1080/00439339.2024.2409459" TargetMode="External"/><Relationship Id="rId28" Type="http://schemas.openxmlformats.org/officeDocument/2006/relationships/hyperlink" Target="https://doi.org/10.1016/B978-0-323-90583-1.00033-7" TargetMode="External"/><Relationship Id="rId36" Type="http://schemas.openxmlformats.org/officeDocument/2006/relationships/hyperlink" Target="https://doi.org/10.1186/s13570-019-0137-9" TargetMode="External"/><Relationship Id="rId10" Type="http://schemas.openxmlformats.org/officeDocument/2006/relationships/image" Target="media/image4.png"/><Relationship Id="rId19" Type="http://schemas.openxmlformats.org/officeDocument/2006/relationships/hyperlink" Target="https://doi.org/10.1007/s10311-023-01587-1" TargetMode="External"/><Relationship Id="rId31" Type="http://schemas.openxmlformats.org/officeDocument/2006/relationships/hyperlink" Target="https://doi.org/10.1016/j.nhres.2023.10.00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93/af/vfab001" TargetMode="External"/><Relationship Id="rId22" Type="http://schemas.openxmlformats.org/officeDocument/2006/relationships/hyperlink" Target="https://doi.org/10.5751/ES-06288-180472" TargetMode="External"/><Relationship Id="rId27" Type="http://schemas.openxmlformats.org/officeDocument/2006/relationships/hyperlink" Target="https://doi.org/10.1111/j.1744-6570.1975.tb01393.x" TargetMode="External"/><Relationship Id="rId30" Type="http://schemas.openxmlformats.org/officeDocument/2006/relationships/hyperlink" Target="https://www.pashudhanpraharee.com/wp-content/uploads/2025/01/10-NEW-BREEDS-NBAG" TargetMode="External"/><Relationship Id="rId35" Type="http://schemas.openxmlformats.org/officeDocument/2006/relationships/hyperlink" Target="https://doi.org/10.3923/asb.2025.146.151"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package" Target="embeddings/Microsoft_PowerPoint_Slide.sldx"/><Relationship Id="rId17" Type="http://schemas.openxmlformats.org/officeDocument/2006/relationships/hyperlink" Target="https://www.ijcrt.org/papers/IJCRT2010435.pdf" TargetMode="External"/><Relationship Id="rId25" Type="http://schemas.openxmlformats.org/officeDocument/2006/relationships/hyperlink" Target="https://doi.org/10.3390/agriculture13061222" TargetMode="External"/><Relationship Id="rId33" Type="http://schemas.openxmlformats.org/officeDocument/2006/relationships/hyperlink" Target="https://doi.org/10.56557/upjoz/2025/v46i54830" TargetMode="External"/><Relationship Id="rId38" Type="http://schemas.openxmlformats.org/officeDocument/2006/relationships/header" Target="header1.xml"/><Relationship Id="rId20" Type="http://schemas.openxmlformats.org/officeDocument/2006/relationships/hyperlink" Target="https://doi.org/10.33545/26180723.2025.v8.i5b.1867"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1607</TotalTime>
  <Pages>14</Pages>
  <Words>5322</Words>
  <Characters>30338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1117</cp:lastModifiedBy>
  <cp:revision>103</cp:revision>
  <dcterms:created xsi:type="dcterms:W3CDTF">2025-05-23T16:41:00Z</dcterms:created>
  <dcterms:modified xsi:type="dcterms:W3CDTF">2025-08-08T12:59:00Z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5e5574a6-055c-4f82-8e1f-1e47485dd0f9</vt:lpwstr>
  </property>
</Properties>
</file>