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BA4D8" w14:textId="77777777" w:rsidR="00272159" w:rsidRDefault="00EA01CA">
      <w:pPr>
        <w:pStyle w:val="NormalWeb"/>
        <w:rPr>
          <w:b/>
          <w:bCs/>
          <w:color w:val="000000"/>
          <w:sz w:val="20"/>
          <w:szCs w:val="20"/>
          <w:u w:val="single"/>
        </w:rPr>
      </w:pPr>
      <w:bookmarkStart w:id="0" w:name="OLE_LINK3"/>
      <w:bookmarkStart w:id="1" w:name="OLE_LINK4"/>
      <w:r>
        <w:rPr>
          <w:b/>
          <w:bCs/>
          <w:color w:val="000000"/>
          <w:sz w:val="20"/>
          <w:szCs w:val="20"/>
          <w:u w:val="single"/>
        </w:rPr>
        <w:t>Original Research Article</w:t>
      </w:r>
    </w:p>
    <w:p w14:paraId="04CFAB7D" w14:textId="1D9E1D5D" w:rsidR="00272159" w:rsidRPr="007716EB" w:rsidRDefault="00E91448">
      <w:pPr>
        <w:jc w:val="both"/>
        <w:rPr>
          <w:rFonts w:ascii="Times New Roman" w:hAnsi="Times New Roman" w:cs="Times New Roman"/>
          <w:b/>
          <w:sz w:val="22"/>
          <w:szCs w:val="22"/>
        </w:rPr>
      </w:pPr>
      <w:r w:rsidRPr="007716EB">
        <w:rPr>
          <w:rFonts w:ascii="Times New Roman" w:hAnsi="Times New Roman" w:cs="Times New Roman"/>
          <w:b/>
          <w:sz w:val="20"/>
          <w:szCs w:val="20"/>
          <w:lang w:val="en-GB"/>
        </w:rPr>
        <w:t>India’s Wool Sector in Transition: Analysing Production Decline and Trade Shifts (2002–2023)</w:t>
      </w:r>
    </w:p>
    <w:p w14:paraId="2DF289EB" w14:textId="77777777" w:rsidR="00272159" w:rsidRDefault="00EA01CA">
      <w:pPr>
        <w:pStyle w:val="NormalWeb"/>
        <w:spacing w:line="276" w:lineRule="auto"/>
        <w:jc w:val="both"/>
        <w:rPr>
          <w:rFonts w:ascii="Arial" w:hAnsi="Arial" w:cs="Arial"/>
          <w:b/>
          <w:bCs/>
          <w:color w:val="000000"/>
          <w:sz w:val="22"/>
          <w:szCs w:val="22"/>
        </w:rPr>
      </w:pPr>
      <w:r>
        <w:rPr>
          <w:rFonts w:ascii="Arial" w:hAnsi="Arial" w:cs="Arial"/>
          <w:b/>
          <w:bCs/>
          <w:color w:val="000000"/>
          <w:sz w:val="22"/>
          <w:szCs w:val="22"/>
        </w:rPr>
        <w:t>ABSTRACT</w:t>
      </w:r>
    </w:p>
    <w:p w14:paraId="0ABCF8C9" w14:textId="6D5F6DA5" w:rsidR="00E91448" w:rsidRPr="00E91448" w:rsidRDefault="00E91448" w:rsidP="00E91448">
      <w:pPr>
        <w:pStyle w:val="NormalWeb"/>
        <w:jc w:val="both"/>
        <w:rPr>
          <w:color w:val="000000"/>
          <w:sz w:val="20"/>
          <w:szCs w:val="20"/>
        </w:rPr>
      </w:pPr>
      <w:r w:rsidRPr="00E91448">
        <w:rPr>
          <w:color w:val="000000"/>
          <w:sz w:val="20"/>
          <w:szCs w:val="20"/>
        </w:rPr>
        <w:t>India’s wool sector, though modest in scale within the broader livestock economy, remains vital for rural livelihoods and the textile industry. This study uniquely integrates long-term production trends with detailed Harmonized System (HS) code trade analysis from 2002 to 2023—a period that captures both structural transitions and pandemic-related disruptions. Despite a projected increase in sheep population from 61.5 million in 2003 to 88.1 million by 2031, national wool production declined sharply from 51.1 million kg in 2002–03 to 34.1 million kg in 2021–22. This paradox highlights deep-rooted inefficiencies including low-yielding breeds, shrinking grazing lands, and inadequate veterinary support. State-wise trends show Rajasthan sustaining output, while Madhya Pradesh, Jammu &amp; Kashmir, and Karnataka experienced notable post-COVID declines.</w:t>
      </w:r>
      <w:r w:rsidRPr="00E91448">
        <w:rPr>
          <w:color w:val="000000"/>
          <w:sz w:val="20"/>
          <w:szCs w:val="20"/>
        </w:rPr>
        <w:t xml:space="preserve"> </w:t>
      </w:r>
      <w:r w:rsidRPr="00E91448">
        <w:rPr>
          <w:color w:val="000000"/>
          <w:sz w:val="20"/>
          <w:szCs w:val="20"/>
        </w:rPr>
        <w:t>Trade data highlights a shift toward value-added imports and stronger export performance. While total wool imports showed marginal growth (0.08% in quantity; 0.84% in value), the composition changed significantly—raw wool imports (HS F1009) declined, while imports of high-value woven fabrics (HS F0994) rose sharply, reflecting increased demand for finished materials. On the export side, India’s wool sector demonstrated resilience and competitiveness, with wool exports growing at a CAGR of 5.62% (quantity) and 7.54% (value). Raw wool and high-quality fabrics were the top-performing segments, while degreased wool and wool waste exports declined, suggesting weakening global demand or reduced domestic supply.</w:t>
      </w:r>
      <w:r w:rsidRPr="00E91448">
        <w:rPr>
          <w:color w:val="000000"/>
          <w:sz w:val="20"/>
          <w:szCs w:val="20"/>
        </w:rPr>
        <w:t xml:space="preserve"> </w:t>
      </w:r>
      <w:r w:rsidRPr="00E91448">
        <w:rPr>
          <w:color w:val="000000"/>
          <w:sz w:val="20"/>
          <w:szCs w:val="20"/>
        </w:rPr>
        <w:t>These findings call for targeted policy interventions to enhance wool quality, modernize processing infrastructure, and align production with global market needs to reposition India as a competitive player in the international wool value chain.</w:t>
      </w:r>
    </w:p>
    <w:p w14:paraId="72CF9EE5" w14:textId="77777777" w:rsidR="00272159" w:rsidRDefault="00EA01CA">
      <w:pPr>
        <w:pStyle w:val="NormalWeb"/>
        <w:spacing w:line="276" w:lineRule="auto"/>
        <w:rPr>
          <w:b/>
          <w:bCs/>
          <w:color w:val="000000"/>
          <w:sz w:val="20"/>
          <w:szCs w:val="20"/>
        </w:rPr>
      </w:pPr>
      <w:r>
        <w:rPr>
          <w:b/>
          <w:bCs/>
          <w:color w:val="000000"/>
          <w:sz w:val="20"/>
          <w:szCs w:val="20"/>
        </w:rPr>
        <w:t xml:space="preserve">Key words :- </w:t>
      </w:r>
      <w:r>
        <w:rPr>
          <w:color w:val="000000"/>
          <w:sz w:val="20"/>
          <w:szCs w:val="20"/>
        </w:rPr>
        <w:t>Wool, Livestock, Diversification, Economy, Exports</w:t>
      </w:r>
    </w:p>
    <w:p w14:paraId="220FBE4A" w14:textId="77777777" w:rsidR="00272159" w:rsidRDefault="00EA01CA">
      <w:pPr>
        <w:spacing w:before="100" w:beforeAutospacing="1" w:after="100" w:afterAutospacing="1" w:line="276" w:lineRule="auto"/>
        <w:outlineLvl w:val="1"/>
        <w:rPr>
          <w:rFonts w:ascii="Times New Roman" w:eastAsia="Times New Roman" w:hAnsi="Times New Roman" w:cs="Times New Roman"/>
          <w:b/>
          <w:bCs/>
          <w:color w:val="000000"/>
          <w:sz w:val="20"/>
          <w:szCs w:val="20"/>
          <w:lang w:eastAsia="en-GB"/>
        </w:rPr>
      </w:pPr>
      <w:r>
        <w:rPr>
          <w:rFonts w:ascii="Times New Roman" w:eastAsia="Times New Roman" w:hAnsi="Times New Roman" w:cs="Times New Roman"/>
          <w:b/>
          <w:bCs/>
          <w:color w:val="000000"/>
          <w:sz w:val="20"/>
          <w:szCs w:val="20"/>
          <w:lang w:eastAsia="en-GB"/>
        </w:rPr>
        <w:t>1 INTRODUCTION</w:t>
      </w:r>
    </w:p>
    <w:p w14:paraId="5103E38A" w14:textId="7DA018A4" w:rsidR="00272159" w:rsidRDefault="00EA01CA">
      <w:pPr>
        <w:pStyle w:val="NormalWeb"/>
        <w:spacing w:line="276" w:lineRule="auto"/>
        <w:ind w:firstLine="720"/>
        <w:jc w:val="both"/>
        <w:rPr>
          <w:color w:val="000000"/>
          <w:sz w:val="20"/>
          <w:szCs w:val="20"/>
        </w:rPr>
      </w:pPr>
      <w:r>
        <w:rPr>
          <w:color w:val="000000"/>
          <w:sz w:val="20"/>
          <w:szCs w:val="20"/>
        </w:rPr>
        <w:t xml:space="preserve">Wool production in India has deep historical roots within the country’s pastoral economies (Roy 2013). Traditionally, shepherds reared sheep and also wove wool themselves, enabled by the abundance of common grazing lands and low input costs. Sheep-rearing was not only an economic activity but also a socio-ecological way of life, particularly in arid and semi-arid regions. Grazing on arable lands improved soil fertility, and </w:t>
      </w:r>
      <w:proofErr w:type="spellStart"/>
      <w:r>
        <w:rPr>
          <w:color w:val="000000"/>
          <w:sz w:val="20"/>
          <w:szCs w:val="20"/>
        </w:rPr>
        <w:t>labor</w:t>
      </w:r>
      <w:proofErr w:type="spellEnd"/>
      <w:r>
        <w:rPr>
          <w:color w:val="000000"/>
          <w:sz w:val="20"/>
          <w:szCs w:val="20"/>
        </w:rPr>
        <w:t xml:space="preserve"> was cheap due to the domestic, household-based nature of the work. However, the quality of this homegrown wool was generally coarse and suited more for blankets and carpets than for fine clothing. The scenario began to change toward the end of the 19</w:t>
      </w:r>
      <w:r>
        <w:rPr>
          <w:color w:val="000000"/>
          <w:sz w:val="20"/>
          <w:szCs w:val="20"/>
          <w:vertAlign w:val="superscript"/>
        </w:rPr>
        <w:t>th</w:t>
      </w:r>
      <w:r>
        <w:rPr>
          <w:color w:val="000000"/>
          <w:sz w:val="20"/>
          <w:szCs w:val="20"/>
        </w:rPr>
        <w:t xml:space="preserve"> century. The gradual closure of commons through legal restrictions, encroachments, and privatization reduced the availability of free grazing lands. This significantly disrupted the pastoral </w:t>
      </w:r>
      <w:r w:rsidR="007716EB">
        <w:rPr>
          <w:color w:val="000000"/>
          <w:sz w:val="20"/>
          <w:szCs w:val="20"/>
        </w:rPr>
        <w:t>wool sector</w:t>
      </w:r>
      <w:r>
        <w:rPr>
          <w:color w:val="000000"/>
          <w:sz w:val="20"/>
          <w:szCs w:val="20"/>
        </w:rPr>
        <w:t xml:space="preserve">. At the same time, infrastructure developments, especially the railways under British rule, enabled the movement of raw wool and woven products over long distances. This gave rise to regional specialization: Rajasthan (then Rajputana) focused on sheep rearing, Punjab emerged as a key market hub, and Uttar Pradesh developed as a major weaving </w:t>
      </w:r>
      <w:proofErr w:type="spellStart"/>
      <w:r>
        <w:rPr>
          <w:color w:val="000000"/>
          <w:sz w:val="20"/>
          <w:szCs w:val="20"/>
        </w:rPr>
        <w:t>center</w:t>
      </w:r>
      <w:proofErr w:type="spellEnd"/>
      <w:r>
        <w:rPr>
          <w:color w:val="000000"/>
          <w:sz w:val="20"/>
          <w:szCs w:val="20"/>
        </w:rPr>
        <w:t xml:space="preserve">. The decentralised </w:t>
      </w:r>
      <w:r w:rsidR="007716EB">
        <w:rPr>
          <w:color w:val="000000"/>
          <w:sz w:val="20"/>
          <w:szCs w:val="20"/>
        </w:rPr>
        <w:t>wool sector</w:t>
      </w:r>
      <w:r>
        <w:rPr>
          <w:color w:val="000000"/>
          <w:sz w:val="20"/>
          <w:szCs w:val="20"/>
        </w:rPr>
        <w:t xml:space="preserve"> was transformed into a fragmented supply chain involving separate actors for rearing, spinning, and weaving. As access to imported woollen products increased, consumer preferences shifted toward finer, urban-produced textiles. The coarse wool products from rural India could no longer compete in urban markets. This led to a growing disconnect between rural production and urban consumption, diminishing the economic relevance of domestic wool in everyday life. Urban-based weaving units began relying increasingly on imported fine wool, especially from Australia and New Zealand, leading to a separation between the source of raw wool (rural) and textile production (urban and global).</w:t>
      </w:r>
    </w:p>
    <w:p w14:paraId="1D3D09FD" w14:textId="4EC4DE67" w:rsidR="00272159" w:rsidRDefault="00EA01CA">
      <w:pPr>
        <w:pStyle w:val="NormalWeb"/>
        <w:spacing w:line="276" w:lineRule="auto"/>
        <w:ind w:firstLine="720"/>
        <w:jc w:val="both"/>
        <w:rPr>
          <w:color w:val="000000"/>
          <w:sz w:val="20"/>
          <w:szCs w:val="20"/>
        </w:rPr>
      </w:pPr>
      <w:r>
        <w:rPr>
          <w:color w:val="000000"/>
          <w:sz w:val="20"/>
          <w:szCs w:val="20"/>
        </w:rPr>
        <w:t>Even after independence in 1947, the structural decline of the wool sector continued. The reduction in grazing lands due to agricultural expansion, population growth, and land development projects remains one of the most significant factors affecting sheep-rearing in India today. The nature of the problem has also evolved: from being primarily a matter of access to grazing land (quantity), it is now also about the</w:t>
      </w:r>
      <w:r>
        <w:rPr>
          <w:rStyle w:val="apple-converted-space"/>
          <w:color w:val="000000"/>
          <w:sz w:val="20"/>
          <w:szCs w:val="20"/>
        </w:rPr>
        <w:t> </w:t>
      </w:r>
      <w:r>
        <w:rPr>
          <w:rStyle w:val="Strong"/>
          <w:b w:val="0"/>
          <w:bCs w:val="0"/>
          <w:color w:val="000000"/>
          <w:sz w:val="20"/>
          <w:szCs w:val="20"/>
        </w:rPr>
        <w:t>quality</w:t>
      </w:r>
      <w:r>
        <w:rPr>
          <w:rStyle w:val="apple-converted-space"/>
          <w:color w:val="000000"/>
          <w:sz w:val="20"/>
          <w:szCs w:val="20"/>
        </w:rPr>
        <w:t> </w:t>
      </w:r>
      <w:r>
        <w:rPr>
          <w:color w:val="000000"/>
          <w:sz w:val="20"/>
          <w:szCs w:val="20"/>
        </w:rPr>
        <w:t xml:space="preserve">of available pasture. Soil degradation, invasive species, and erratic climate patterns have further strained the productivity of the remaining common lands. Geographically, the wool production crisis has shifted from southern regions to the western states, particularly Rajasthan, which now contributes more than 44% of India’s total wool output. Here, </w:t>
      </w:r>
      <w:r>
        <w:rPr>
          <w:color w:val="000000"/>
          <w:sz w:val="20"/>
          <w:szCs w:val="20"/>
        </w:rPr>
        <w:lastRenderedPageBreak/>
        <w:t xml:space="preserve">the sector is increasingly vulnerable to climatic variability, land degradation, and poor market integration. While India has one of the largest sheep populations in the world over 74 million as of 2020 it contributes less than 3% to global clean wool output. This disparity arises from several issues: poor wool, low-yielding indigenous breeds, limited access to extension services, and a growing dependence on imports. Historically, India exported coarse wool mainly carpet-grade due to its large indigenous sheep population. Breeds like Marwari, </w:t>
      </w:r>
      <w:proofErr w:type="spellStart"/>
      <w:r>
        <w:rPr>
          <w:color w:val="000000"/>
          <w:sz w:val="20"/>
          <w:szCs w:val="20"/>
        </w:rPr>
        <w:t>Magra</w:t>
      </w:r>
      <w:proofErr w:type="spellEnd"/>
      <w:r>
        <w:rPr>
          <w:color w:val="000000"/>
          <w:sz w:val="20"/>
          <w:szCs w:val="20"/>
        </w:rPr>
        <w:t xml:space="preserve">, and </w:t>
      </w:r>
      <w:proofErr w:type="spellStart"/>
      <w:r>
        <w:rPr>
          <w:color w:val="000000"/>
          <w:sz w:val="20"/>
          <w:szCs w:val="20"/>
        </w:rPr>
        <w:t>Deccani</w:t>
      </w:r>
      <w:proofErr w:type="spellEnd"/>
      <w:r>
        <w:rPr>
          <w:color w:val="000000"/>
          <w:sz w:val="20"/>
          <w:szCs w:val="20"/>
        </w:rPr>
        <w:t xml:space="preserve"> are hardy and adapted to local environments, but yield low-quality, coarse fibre (</w:t>
      </w:r>
      <w:r>
        <w:rPr>
          <w:sz w:val="20"/>
          <w:szCs w:val="20"/>
        </w:rPr>
        <w:t>Acharya1982)</w:t>
      </w:r>
      <w:r>
        <w:rPr>
          <w:color w:val="000000"/>
          <w:sz w:val="20"/>
          <w:szCs w:val="20"/>
        </w:rPr>
        <w:t xml:space="preserve">. As the global and domestic markets began preferring fine wool for apparel, India's share declined. Imports of superior-quality wool increased, and India became a net importer of fine and medium-grade wool, mainly from Australia, Argentina, and New Zealand. Efforts to improve domestic wool quality through scientific breeding began in the post-independence period. Institutions like the Central Sheep and Wool Research Institute (CSWRI) have developed crossbreeds such as Bharat Merino and </w:t>
      </w:r>
      <w:proofErr w:type="spellStart"/>
      <w:r>
        <w:rPr>
          <w:color w:val="000000"/>
          <w:sz w:val="20"/>
          <w:szCs w:val="20"/>
        </w:rPr>
        <w:t>Avikalin</w:t>
      </w:r>
      <w:proofErr w:type="spellEnd"/>
      <w:r>
        <w:rPr>
          <w:color w:val="000000"/>
          <w:sz w:val="20"/>
          <w:szCs w:val="20"/>
        </w:rPr>
        <w:t xml:space="preserve"> by crossing Indian breeds with exotic varieties like </w:t>
      </w:r>
      <w:proofErr w:type="spellStart"/>
      <w:r>
        <w:rPr>
          <w:color w:val="000000"/>
          <w:sz w:val="20"/>
          <w:szCs w:val="20"/>
        </w:rPr>
        <w:t>Rambouillet</w:t>
      </w:r>
      <w:proofErr w:type="spellEnd"/>
      <w:r>
        <w:rPr>
          <w:color w:val="000000"/>
          <w:sz w:val="20"/>
          <w:szCs w:val="20"/>
        </w:rPr>
        <w:t xml:space="preserve"> and Australian Merino (</w:t>
      </w:r>
      <w:r>
        <w:rPr>
          <w:sz w:val="20"/>
          <w:szCs w:val="20"/>
        </w:rPr>
        <w:t>Bhatia et al. 2004)</w:t>
      </w:r>
      <w:r>
        <w:rPr>
          <w:color w:val="000000"/>
          <w:sz w:val="20"/>
          <w:szCs w:val="20"/>
        </w:rPr>
        <w:t>. While these efforts have shown some success, their uptake remains limited due to infrastructural gaps, lack of fodder and water, and insufficient farmer awareness.</w:t>
      </w:r>
    </w:p>
    <w:p w14:paraId="49B4F51E" w14:textId="77777777" w:rsidR="00272159" w:rsidRDefault="00EA01CA">
      <w:pPr>
        <w:pStyle w:val="NormalWeb"/>
        <w:spacing w:line="276" w:lineRule="auto"/>
        <w:ind w:firstLine="720"/>
        <w:jc w:val="both"/>
        <w:rPr>
          <w:color w:val="000000"/>
          <w:sz w:val="20"/>
          <w:szCs w:val="20"/>
        </w:rPr>
      </w:pPr>
      <w:r>
        <w:rPr>
          <w:color w:val="000000"/>
          <w:sz w:val="20"/>
          <w:szCs w:val="20"/>
        </w:rPr>
        <w:t xml:space="preserve">India is home to 43 recognized sheep breeds, with around 24 well-documented for their wool traits. These breeds are adapted to diverse </w:t>
      </w:r>
      <w:proofErr w:type="spellStart"/>
      <w:r>
        <w:rPr>
          <w:color w:val="000000"/>
          <w:sz w:val="20"/>
          <w:szCs w:val="20"/>
        </w:rPr>
        <w:t>agro</w:t>
      </w:r>
      <w:proofErr w:type="spellEnd"/>
      <w:r>
        <w:rPr>
          <w:color w:val="000000"/>
          <w:sz w:val="20"/>
          <w:szCs w:val="20"/>
        </w:rPr>
        <w:t xml:space="preserve">-ecological zones: for example, Gaddi and Rampur Bushair in Himachal Pradesh produce better-quality wool in temperate climates, while Marwari and </w:t>
      </w:r>
      <w:proofErr w:type="spellStart"/>
      <w:r>
        <w:rPr>
          <w:color w:val="000000"/>
          <w:sz w:val="20"/>
          <w:szCs w:val="20"/>
        </w:rPr>
        <w:t>Malpura</w:t>
      </w:r>
      <w:proofErr w:type="spellEnd"/>
      <w:r>
        <w:rPr>
          <w:color w:val="000000"/>
          <w:sz w:val="20"/>
          <w:szCs w:val="20"/>
        </w:rPr>
        <w:t xml:space="preserve"> thrive in arid Rajasthan (</w:t>
      </w:r>
      <w:r>
        <w:rPr>
          <w:sz w:val="20"/>
          <w:szCs w:val="20"/>
        </w:rPr>
        <w:t>Acharya1982)</w:t>
      </w:r>
      <w:r>
        <w:rPr>
          <w:color w:val="000000"/>
          <w:sz w:val="20"/>
          <w:szCs w:val="20"/>
        </w:rPr>
        <w:t>. However, due to the medullated nature of most Indian wool (i.e., more hollow fibres), it is generally suitable for coarse products like carpets and blankets, and less competitive in fine apparel markets. The demand-supply mismatch in India’s wool sector is striking. Domestic wool production has plateaued, while consumption has surged from 20 million tonnes in the 1950s to over 70 million tonnes today largely driven by the apparel and fashion industry. India now imports around 60 million kg of fine wool annually. This growing dependence on imports highlights the underutilization of domestic wool potential and the widening quality gap between Indian and international wool standards. Wool in India is classified based on fibre diameter into six categories: superfine, fine, medium, coarse, carpet-grade, and manure-grade. Most Indian wool falls under the coarse and carpet categories, while fine and superfine wool remains largely imported. This also limits the scope for India to develop a value-added, export-oriented apparel segment based on its own wool production (Gopi et al 2010). However, the industry continues to have a competitive edge in carpet manufacturing, with Indian carpets made from indigenous wool enjoying a steady global demand. State-wise, Rajasthan leads the country in wool production, followed by Jammu &amp; Kashmir, Karnataka, Haryana, and Uttar Pradesh (</w:t>
      </w:r>
      <w:r>
        <w:rPr>
          <w:sz w:val="20"/>
          <w:szCs w:val="20"/>
        </w:rPr>
        <w:t>Bhatia &amp; Arora 2015)</w:t>
      </w:r>
      <w:r>
        <w:rPr>
          <w:color w:val="000000"/>
          <w:sz w:val="20"/>
          <w:szCs w:val="20"/>
        </w:rPr>
        <w:t>. These states form the heart of India’s wool belt, but face shared challenges limited veterinary support, poor marketing infrastructure, and environmental stress. Moreover, the absence of organized wool markets in many regions weakens price realization for producers and perpetuates dependence on middlemen.</w:t>
      </w:r>
    </w:p>
    <w:p w14:paraId="3E2C614E" w14:textId="33CBB7A2" w:rsidR="00272159" w:rsidRDefault="00EA01CA">
      <w:pPr>
        <w:pStyle w:val="NormalWeb"/>
        <w:spacing w:line="276" w:lineRule="auto"/>
        <w:ind w:firstLine="720"/>
        <w:jc w:val="both"/>
        <w:rPr>
          <w:color w:val="000000"/>
          <w:sz w:val="20"/>
          <w:szCs w:val="20"/>
        </w:rPr>
      </w:pPr>
      <w:r>
        <w:rPr>
          <w:color w:val="000000"/>
          <w:sz w:val="20"/>
          <w:szCs w:val="20"/>
        </w:rPr>
        <w:t xml:space="preserve">Despite these challenges, the wool sector holds untapped potential. Policy interventions aimed at strengthening the entire value chain from sheep breeding and feed management to wool processing and marketing can revitalize rural livelihoods. Developing decentralized wool processing units, promoting climate-resilient grazing practices, and facilitating farmer-producer organizations (FPOs) are crucial steps forward. Strengthening linkages between pastoralists and textile industries can also create new employment opportunities in rural areas. Recent efforts in breed conservation, sustainable pasture management, and government support through schemes like the </w:t>
      </w:r>
      <w:proofErr w:type="spellStart"/>
      <w:r>
        <w:rPr>
          <w:color w:val="000000"/>
          <w:sz w:val="20"/>
          <w:szCs w:val="20"/>
        </w:rPr>
        <w:t>Rashtriya</w:t>
      </w:r>
      <w:proofErr w:type="spellEnd"/>
      <w:r>
        <w:rPr>
          <w:color w:val="000000"/>
          <w:sz w:val="20"/>
          <w:szCs w:val="20"/>
        </w:rPr>
        <w:t xml:space="preserve"> Krishi Vikas Yojana and the National Livestock Mission indicate a policy shift towards inclusive livestock development. However, to translate potential into performance, greater emphasis must be placed on improving wool </w:t>
      </w:r>
      <w:r w:rsidR="007716EB">
        <w:rPr>
          <w:color w:val="000000"/>
          <w:sz w:val="20"/>
          <w:szCs w:val="20"/>
        </w:rPr>
        <w:t>yield</w:t>
      </w:r>
      <w:r>
        <w:rPr>
          <w:color w:val="000000"/>
          <w:sz w:val="20"/>
          <w:szCs w:val="20"/>
        </w:rPr>
        <w:t>, encouraging private sector participation in wool processing, and reducing import dependency (Kumar et al. 2017). This paper examines the current status of wool production across India’s major wool-producing states, along with an analysis of the country's wool import and export dynamics.</w:t>
      </w:r>
    </w:p>
    <w:p w14:paraId="479DCC45" w14:textId="77777777" w:rsidR="00272159" w:rsidRDefault="00EA01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b/>
          <w:bCs/>
          <w:color w:val="201F1F"/>
          <w:sz w:val="20"/>
          <w:szCs w:val="20"/>
          <w:lang w:val="en-GB"/>
        </w:rPr>
      </w:pPr>
      <w:r>
        <w:rPr>
          <w:rFonts w:ascii="Arial" w:hAnsi="Arial" w:cs="Arial"/>
          <w:b/>
          <w:bCs/>
          <w:color w:val="201F1F"/>
          <w:sz w:val="22"/>
          <w:szCs w:val="22"/>
          <w:lang w:val="en-GB"/>
        </w:rPr>
        <w:t xml:space="preserve">2 </w:t>
      </w:r>
      <w:r>
        <w:rPr>
          <w:rFonts w:ascii="Arial" w:hAnsi="Arial" w:cs="Arial"/>
          <w:b/>
          <w:bCs/>
          <w:sz w:val="22"/>
          <w:szCs w:val="22"/>
        </w:rPr>
        <w:t>MATERIAL AND METHODS</w:t>
      </w:r>
    </w:p>
    <w:p w14:paraId="0BB2523B" w14:textId="77777777" w:rsidR="00272159" w:rsidRDefault="00EA01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ab/>
        <w:t xml:space="preserve">The data on sheep population were obtained from Livestock census (Livestock census 1992 1997, 2003, 2007, 2012, and 2019), data on wool production from (Anonymous 2025) and export and import of wool data from (FAOSTAT). The regression equation for the population trend was developed (Gupta 2011) using census data from 1992 onwards and the population for the years 2023, 2027 and 2031 were estimated using R software by method modified from (Singh </w:t>
      </w:r>
      <w:r>
        <w:rPr>
          <w:rFonts w:ascii="Times New Roman" w:hAnsi="Times New Roman" w:cs="Times New Roman"/>
          <w:i/>
          <w:iCs/>
          <w:color w:val="201F1F"/>
          <w:sz w:val="20"/>
          <w:szCs w:val="20"/>
          <w:lang w:val="en-GB"/>
        </w:rPr>
        <w:t>et al</w:t>
      </w:r>
      <w:r>
        <w:rPr>
          <w:rFonts w:ascii="Times New Roman" w:hAnsi="Times New Roman" w:cs="Times New Roman"/>
          <w:color w:val="201F1F"/>
          <w:sz w:val="20"/>
          <w:szCs w:val="20"/>
          <w:lang w:val="en-GB"/>
        </w:rPr>
        <w:t>. 1991) as</w:t>
      </w:r>
    </w:p>
    <w:p w14:paraId="530948C5" w14:textId="77777777" w:rsidR="00272159" w:rsidRDefault="00EA01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lastRenderedPageBreak/>
        <w:t xml:space="preserve">Y´ = </w:t>
      </w:r>
      <w:proofErr w:type="spellStart"/>
      <w:r>
        <w:rPr>
          <w:rFonts w:ascii="Times New Roman" w:hAnsi="Times New Roman" w:cs="Times New Roman"/>
          <w:color w:val="201F1F"/>
          <w:sz w:val="20"/>
          <w:szCs w:val="20"/>
          <w:lang w:val="en-GB"/>
        </w:rPr>
        <w:t>a+bX</w:t>
      </w:r>
      <w:proofErr w:type="spellEnd"/>
      <w:r>
        <w:rPr>
          <w:rFonts w:ascii="Times New Roman" w:hAnsi="Times New Roman" w:cs="Times New Roman"/>
          <w:color w:val="201F1F"/>
          <w:sz w:val="20"/>
          <w:szCs w:val="20"/>
          <w:lang w:val="en-GB"/>
        </w:rPr>
        <w:t>´</w:t>
      </w:r>
    </w:p>
    <w:p w14:paraId="26399545" w14:textId="77777777" w:rsidR="00272159" w:rsidRDefault="00EA01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Where, Y´= Estimated population in the year X´</w:t>
      </w:r>
    </w:p>
    <w:p w14:paraId="3869EC33" w14:textId="79F81460" w:rsidR="00F93B7C" w:rsidRDefault="00F93B7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 xml:space="preserve">a = </w:t>
      </w:r>
      <w:r>
        <w:rPr>
          <w:rFonts w:ascii="Times New Roman" w:hAnsi="Times New Roman" w:cs="Times New Roman"/>
          <w:color w:val="201F1F"/>
          <w:sz w:val="20"/>
          <w:szCs w:val="20"/>
          <w:lang w:val="en-GB"/>
        </w:rPr>
        <w:t>intercept or (</w:t>
      </w:r>
      <w:proofErr w:type="gramStart"/>
      <w:r>
        <w:rPr>
          <w:rFonts w:ascii="Times New Roman" w:hAnsi="Times New Roman" w:cs="Times New Roman"/>
          <w:color w:val="201F1F"/>
          <w:sz w:val="20"/>
          <w:szCs w:val="20"/>
          <w:lang w:val="en-GB"/>
        </w:rPr>
        <w:t>Y, when</w:t>
      </w:r>
      <w:proofErr w:type="gramEnd"/>
      <w:r>
        <w:rPr>
          <w:rFonts w:ascii="Times New Roman" w:hAnsi="Times New Roman" w:cs="Times New Roman"/>
          <w:color w:val="201F1F"/>
          <w:sz w:val="20"/>
          <w:szCs w:val="20"/>
          <w:lang w:val="en-GB"/>
        </w:rPr>
        <w:t xml:space="preserve"> X=0</w:t>
      </w:r>
      <w:r>
        <w:rPr>
          <w:rFonts w:ascii="Times New Roman" w:hAnsi="Times New Roman" w:cs="Times New Roman"/>
          <w:color w:val="201F1F"/>
          <w:sz w:val="20"/>
          <w:szCs w:val="20"/>
          <w:lang w:val="en-GB"/>
        </w:rPr>
        <w:t>)</w:t>
      </w:r>
    </w:p>
    <w:p w14:paraId="0A203A88" w14:textId="55E47504" w:rsidR="00272159" w:rsidRDefault="00EA01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 xml:space="preserve">b= Slope in the regression equation </w:t>
      </w:r>
    </w:p>
    <w:p w14:paraId="3D6E1D42" w14:textId="5B6FDB96" w:rsidR="007716EB" w:rsidRDefault="00F93B7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X´</w:t>
      </w:r>
      <w:r>
        <w:rPr>
          <w:rFonts w:ascii="Times New Roman" w:hAnsi="Times New Roman" w:cs="Times New Roman"/>
          <w:color w:val="201F1F"/>
          <w:sz w:val="20"/>
          <w:szCs w:val="20"/>
          <w:lang w:val="en-GB"/>
        </w:rPr>
        <w:t>= Population of Sheep</w:t>
      </w:r>
    </w:p>
    <w:p w14:paraId="31A38CBA" w14:textId="77777777" w:rsidR="007716EB" w:rsidRPr="007716EB" w:rsidRDefault="007716EB" w:rsidP="007716EB">
      <w:pPr>
        <w:pStyle w:val="NormalWeb"/>
        <w:rPr>
          <w:color w:val="000000"/>
          <w:sz w:val="20"/>
          <w:szCs w:val="20"/>
        </w:rPr>
      </w:pPr>
      <w:r w:rsidRPr="007716EB">
        <w:rPr>
          <w:color w:val="000000"/>
          <w:sz w:val="20"/>
          <w:szCs w:val="20"/>
        </w:rPr>
        <w:t>The model is based on the following assumptions:</w:t>
      </w:r>
    </w:p>
    <w:p w14:paraId="6A5A84A0" w14:textId="77777777" w:rsidR="007716EB" w:rsidRPr="007716EB" w:rsidRDefault="007716EB" w:rsidP="007716EB">
      <w:pPr>
        <w:pStyle w:val="NormalWeb"/>
        <w:numPr>
          <w:ilvl w:val="0"/>
          <w:numId w:val="2"/>
        </w:numPr>
        <w:rPr>
          <w:color w:val="000000"/>
          <w:sz w:val="20"/>
          <w:szCs w:val="20"/>
        </w:rPr>
      </w:pPr>
      <w:r w:rsidRPr="007716EB">
        <w:rPr>
          <w:rStyle w:val="Strong"/>
          <w:color w:val="000000"/>
          <w:sz w:val="20"/>
          <w:szCs w:val="20"/>
        </w:rPr>
        <w:t>Linearity</w:t>
      </w:r>
      <w:r w:rsidRPr="007716EB">
        <w:rPr>
          <w:color w:val="000000"/>
          <w:sz w:val="20"/>
          <w:szCs w:val="20"/>
        </w:rPr>
        <w:t>: The relationship between time and sheep population is linear, indicating a constant rate of change.</w:t>
      </w:r>
    </w:p>
    <w:p w14:paraId="2D9ECBC9" w14:textId="77777777" w:rsidR="007716EB" w:rsidRPr="007716EB" w:rsidRDefault="007716EB" w:rsidP="007716EB">
      <w:pPr>
        <w:pStyle w:val="NormalWeb"/>
        <w:numPr>
          <w:ilvl w:val="0"/>
          <w:numId w:val="2"/>
        </w:numPr>
        <w:rPr>
          <w:color w:val="000000"/>
          <w:sz w:val="20"/>
          <w:szCs w:val="20"/>
        </w:rPr>
      </w:pPr>
      <w:r w:rsidRPr="007716EB">
        <w:rPr>
          <w:rStyle w:val="Strong"/>
          <w:color w:val="000000"/>
          <w:sz w:val="20"/>
          <w:szCs w:val="20"/>
        </w:rPr>
        <w:t>Independence</w:t>
      </w:r>
      <w:r w:rsidRPr="007716EB">
        <w:rPr>
          <w:color w:val="000000"/>
          <w:sz w:val="20"/>
          <w:szCs w:val="20"/>
        </w:rPr>
        <w:t>: Successive population data points are assumed to be independent of each other.</w:t>
      </w:r>
    </w:p>
    <w:p w14:paraId="3FFCB9CF" w14:textId="77777777" w:rsidR="007716EB" w:rsidRPr="007716EB" w:rsidRDefault="007716EB" w:rsidP="007716EB">
      <w:pPr>
        <w:pStyle w:val="NormalWeb"/>
        <w:numPr>
          <w:ilvl w:val="0"/>
          <w:numId w:val="2"/>
        </w:numPr>
        <w:rPr>
          <w:color w:val="000000"/>
          <w:sz w:val="20"/>
          <w:szCs w:val="20"/>
        </w:rPr>
      </w:pPr>
      <w:r w:rsidRPr="007716EB">
        <w:rPr>
          <w:rStyle w:val="Strong"/>
          <w:color w:val="000000"/>
          <w:sz w:val="20"/>
          <w:szCs w:val="20"/>
        </w:rPr>
        <w:t>Homoscedasticity</w:t>
      </w:r>
      <w:r w:rsidRPr="007716EB">
        <w:rPr>
          <w:color w:val="000000"/>
          <w:sz w:val="20"/>
          <w:szCs w:val="20"/>
        </w:rPr>
        <w:t>: The variance of residuals remains constant across time.</w:t>
      </w:r>
    </w:p>
    <w:p w14:paraId="5D71013B" w14:textId="77777777" w:rsidR="007716EB" w:rsidRPr="007716EB" w:rsidRDefault="007716EB" w:rsidP="007716EB">
      <w:pPr>
        <w:pStyle w:val="NormalWeb"/>
        <w:numPr>
          <w:ilvl w:val="0"/>
          <w:numId w:val="2"/>
        </w:numPr>
        <w:rPr>
          <w:color w:val="000000"/>
          <w:sz w:val="20"/>
          <w:szCs w:val="20"/>
        </w:rPr>
      </w:pPr>
      <w:r w:rsidRPr="007716EB">
        <w:rPr>
          <w:rStyle w:val="Strong"/>
          <w:color w:val="000000"/>
          <w:sz w:val="20"/>
          <w:szCs w:val="20"/>
        </w:rPr>
        <w:t>Normality of residuals</w:t>
      </w:r>
      <w:r w:rsidRPr="007716EB">
        <w:rPr>
          <w:color w:val="000000"/>
          <w:sz w:val="20"/>
          <w:szCs w:val="20"/>
        </w:rPr>
        <w:t>: The errors follow a normal distribution around the fitted regression line.</w:t>
      </w:r>
    </w:p>
    <w:p w14:paraId="534915C4" w14:textId="77777777" w:rsidR="007716EB" w:rsidRPr="007716EB" w:rsidRDefault="007716EB" w:rsidP="007716EB">
      <w:pPr>
        <w:pStyle w:val="NormalWeb"/>
        <w:numPr>
          <w:ilvl w:val="0"/>
          <w:numId w:val="2"/>
        </w:numPr>
        <w:rPr>
          <w:color w:val="000000"/>
          <w:sz w:val="20"/>
          <w:szCs w:val="20"/>
        </w:rPr>
      </w:pPr>
      <w:r w:rsidRPr="007716EB">
        <w:rPr>
          <w:rStyle w:val="Strong"/>
          <w:color w:val="000000"/>
          <w:sz w:val="20"/>
          <w:szCs w:val="20"/>
        </w:rPr>
        <w:t>No structural breaks</w:t>
      </w:r>
      <w:r w:rsidRPr="007716EB">
        <w:rPr>
          <w:color w:val="000000"/>
          <w:sz w:val="20"/>
          <w:szCs w:val="20"/>
        </w:rPr>
        <w:t>: The trend continues without any major disruptive interventions (e.g., policy, disease, market shocks).</w:t>
      </w:r>
    </w:p>
    <w:p w14:paraId="35D4D82B" w14:textId="18C8D737" w:rsidR="007716EB" w:rsidRPr="007716EB" w:rsidRDefault="007716EB" w:rsidP="007716EB">
      <w:pPr>
        <w:pStyle w:val="NormalWeb"/>
        <w:numPr>
          <w:ilvl w:val="0"/>
          <w:numId w:val="2"/>
        </w:numPr>
        <w:rPr>
          <w:color w:val="000000"/>
          <w:sz w:val="20"/>
          <w:szCs w:val="20"/>
        </w:rPr>
      </w:pPr>
      <w:r w:rsidRPr="007716EB">
        <w:rPr>
          <w:rStyle w:val="Strong"/>
          <w:color w:val="000000"/>
          <w:sz w:val="20"/>
          <w:szCs w:val="20"/>
        </w:rPr>
        <w:t>Data consistency</w:t>
      </w:r>
      <w:r w:rsidRPr="007716EB">
        <w:rPr>
          <w:color w:val="000000"/>
          <w:sz w:val="20"/>
          <w:szCs w:val="20"/>
        </w:rPr>
        <w:t xml:space="preserve">: Census data across the years are assumed to be reliable and consistent for </w:t>
      </w:r>
      <w:r w:rsidRPr="007716EB">
        <w:rPr>
          <w:color w:val="000000"/>
          <w:sz w:val="20"/>
          <w:szCs w:val="20"/>
        </w:rPr>
        <w:t>modelling</w:t>
      </w:r>
      <w:r w:rsidRPr="007716EB">
        <w:rPr>
          <w:color w:val="000000"/>
          <w:sz w:val="20"/>
          <w:szCs w:val="20"/>
        </w:rPr>
        <w:t>.</w:t>
      </w:r>
    </w:p>
    <w:p w14:paraId="63F41624" w14:textId="390AFDDE" w:rsidR="00272159" w:rsidRPr="007716EB" w:rsidRDefault="007716EB" w:rsidP="007716EB">
      <w:pPr>
        <w:pStyle w:val="NormalWeb"/>
        <w:numPr>
          <w:ilvl w:val="0"/>
          <w:numId w:val="2"/>
        </w:numPr>
        <w:rPr>
          <w:color w:val="000000"/>
          <w:sz w:val="20"/>
          <w:szCs w:val="20"/>
        </w:rPr>
      </w:pPr>
      <w:r w:rsidRPr="007716EB">
        <w:rPr>
          <w:rStyle w:val="Strong"/>
          <w:color w:val="000000"/>
          <w:sz w:val="20"/>
          <w:szCs w:val="20"/>
        </w:rPr>
        <w:t>Reasonable extrapolation</w:t>
      </w:r>
      <w:r w:rsidRPr="007716EB">
        <w:rPr>
          <w:color w:val="000000"/>
          <w:sz w:val="20"/>
          <w:szCs w:val="20"/>
        </w:rPr>
        <w:t>: Forecasts are limited to a near-future time frame (up to 2031), assuming no drastic shifts in underlying conditions.</w:t>
      </w:r>
    </w:p>
    <w:p w14:paraId="260255DF" w14:textId="77777777" w:rsidR="00272159" w:rsidRDefault="00EA01CA">
      <w:pPr>
        <w:spacing w:before="100" w:beforeAutospacing="1" w:after="100" w:afterAutospacing="1" w:line="276" w:lineRule="auto"/>
        <w:rPr>
          <w:rFonts w:ascii="Arial" w:eastAsia="Times New Roman" w:hAnsi="Arial" w:cs="Arial"/>
          <w:b/>
          <w:bCs/>
          <w:color w:val="000000"/>
          <w:sz w:val="22"/>
          <w:szCs w:val="22"/>
          <w:lang w:eastAsia="en-GB"/>
        </w:rPr>
      </w:pPr>
      <w:r>
        <w:rPr>
          <w:rFonts w:ascii="Arial" w:eastAsia="Times New Roman" w:hAnsi="Arial" w:cs="Arial"/>
          <w:b/>
          <w:bCs/>
          <w:color w:val="000000"/>
          <w:sz w:val="22"/>
          <w:szCs w:val="22"/>
          <w:lang w:eastAsia="en-GB"/>
        </w:rPr>
        <w:t>3 RESULT AND DISCUSSION</w:t>
      </w:r>
    </w:p>
    <w:p w14:paraId="42A509FA" w14:textId="77777777" w:rsidR="00272159" w:rsidRDefault="00EA01CA">
      <w:pPr>
        <w:pStyle w:val="NormalWeb"/>
        <w:spacing w:line="276" w:lineRule="auto"/>
        <w:ind w:firstLine="720"/>
        <w:jc w:val="both"/>
        <w:rPr>
          <w:color w:val="000000"/>
          <w:sz w:val="20"/>
          <w:szCs w:val="20"/>
        </w:rPr>
      </w:pPr>
      <w:r>
        <w:rPr>
          <w:color w:val="000000"/>
          <w:sz w:val="20"/>
          <w:szCs w:val="20"/>
        </w:rPr>
        <w:t>The Figure 1 presents the trend in India’s sheep population from 1992 to 2031, with actual figures available up to 2019 and projections for the years 2023, 2027, and 2031. In 1992, the total sheep population stood at 50.8 million. Over the next decade, this number witnessed a steady rise, reaching 57.5 million in 1997 and 61.5 million in 2003. A significant increase occurred between 2003 and 2007, where the population jumped to 71.6 million, highlighting a period of growth in the small ruminant sector. However, this upward trend was interrupted in 2012, as the population declined to 65.1 million. This dip could be attributed to various factors such as climate variability, reduced pasture availability, disease outbreaks, or policy changes affecting livestock management. Despite the setback in 2012, the sheep population rebounded strongly, increasing to 74.3 million by 2019. This recovery suggests improvements in livestock management, veterinary care, and possibly growing market demand for wool and meat products. The estimated figures for 2023, 2027, and 2031 continue this positive trajectory. The population is projected to reach 78.1 million in 2023, 81.4 million in 2027, and 84.6 million by 2031, indicating a sustained and stable growth trend. These projections reflect optimism in the sector, assuming continued policy support, enhanced animal husbandry practices, and favourable climatic and market conditions. The overall trend from 1992 to 2031 reveals a nearly twofold increase in sheep population, underscoring the growing importance of small ruminants in India’s livestock economy. The fluctuations observed, particularly the drop in 2012, highlight the vulnerability of the sector to external stressors. To sustain and enhance this growth, it is essential to address issues such as climate resilience, pasture management, and veterinary service delivery. Furthermore, investments in breeding programs, extension services, and market infrastructure will be crucial. If these aspects are effectively managed, India’s sheep sector can continue to grow and contribute significantly to rural livelihoods, wool production, and food security.</w:t>
      </w:r>
    </w:p>
    <w:p w14:paraId="507C9DFA" w14:textId="77777777" w:rsidR="00272159" w:rsidRDefault="00272159">
      <w:pPr>
        <w:spacing w:before="100" w:beforeAutospacing="1" w:after="100" w:afterAutospacing="1" w:line="276" w:lineRule="auto"/>
        <w:rPr>
          <w:rFonts w:ascii="Times New Roman" w:eastAsia="Times New Roman" w:hAnsi="Times New Roman" w:cs="Times New Roman"/>
          <w:color w:val="000000"/>
          <w:sz w:val="20"/>
          <w:szCs w:val="20"/>
          <w:lang w:eastAsia="en-GB"/>
        </w:rPr>
      </w:pPr>
    </w:p>
    <w:p w14:paraId="57C557B6" w14:textId="77777777" w:rsidR="00272159" w:rsidRDefault="00EA01CA">
      <w:pPr>
        <w:spacing w:before="100" w:beforeAutospacing="1" w:after="100" w:afterAutospacing="1" w:line="276" w:lineRule="auto"/>
        <w:rPr>
          <w:rFonts w:ascii="Times New Roman" w:eastAsia="Times New Roman" w:hAnsi="Times New Roman" w:cs="Times New Roman"/>
          <w:color w:val="000000"/>
          <w:sz w:val="20"/>
          <w:szCs w:val="20"/>
          <w:lang w:eastAsia="en-GB"/>
        </w:rPr>
      </w:pPr>
      <w:r>
        <w:rPr>
          <w:rFonts w:ascii="Times New Roman" w:hAnsi="Times New Roman" w:cs="Times New Roman"/>
          <w:noProof/>
          <w:sz w:val="20"/>
          <w:szCs w:val="20"/>
        </w:rPr>
        <w:lastRenderedPageBreak/>
        <w:drawing>
          <wp:inline distT="0" distB="0" distL="0" distR="0" wp14:anchorId="2B73D45E" wp14:editId="15A6F530">
            <wp:extent cx="5731510" cy="2649855"/>
            <wp:effectExtent l="0" t="0" r="8890" b="17145"/>
            <wp:docPr id="6" name="Chart 6">
              <a:extLst xmlns:a="http://schemas.openxmlformats.org/drawingml/2006/main">
                <a:ext uri="{FF2B5EF4-FFF2-40B4-BE49-F238E27FC236}">
                  <a16:creationId xmlns:a16="http://schemas.microsoft.com/office/drawing/2014/main" id="{8A85A75D-722B-31D5-EF5E-9B2C0A7962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48C2BD6E" w14:textId="77777777" w:rsidR="00272159" w:rsidRDefault="00EA01CA">
      <w:pPr>
        <w:spacing w:line="276" w:lineRule="auto"/>
        <w:ind w:firstLine="720"/>
        <w:rPr>
          <w:rFonts w:ascii="Times New Roman" w:hAnsi="Times New Roman" w:cs="Times New Roman"/>
          <w:sz w:val="20"/>
          <w:szCs w:val="20"/>
        </w:rPr>
      </w:pPr>
      <w:r>
        <w:rPr>
          <w:rFonts w:ascii="Times New Roman" w:hAnsi="Times New Roman" w:cs="Times New Roman"/>
          <w:b/>
          <w:bCs/>
          <w:sz w:val="20"/>
          <w:szCs w:val="20"/>
        </w:rPr>
        <w:t>Figure.1  Sheep population trends in India</w:t>
      </w:r>
    </w:p>
    <w:p w14:paraId="71E9F668" w14:textId="6FF6F4F2" w:rsidR="00272159" w:rsidRDefault="00EA01CA">
      <w:pPr>
        <w:pStyle w:val="NormalWeb"/>
        <w:spacing w:line="276" w:lineRule="auto"/>
        <w:ind w:firstLine="720"/>
        <w:jc w:val="both"/>
        <w:rPr>
          <w:color w:val="000000"/>
          <w:sz w:val="20"/>
          <w:szCs w:val="20"/>
        </w:rPr>
      </w:pPr>
      <w:r>
        <w:rPr>
          <w:color w:val="000000"/>
          <w:sz w:val="20"/>
          <w:szCs w:val="20"/>
        </w:rPr>
        <w:t>Based on the wool production data trends from 2002–03 to 2021–22 across major wool  producing Indian states are given in Figure 2, several clear patterns and concerns emerge. Over the past two decades, there has been a consistent national-level decline in wool output. India produced around 50,542 tonnes of wool in 2002–03, but by 2021–22, this had fallen to 33,614 tonnes reflecting a steep drop of over 33%. The national trend suggests a combination of factors behind this decline, including changing economic preferences, reduced grazing lands, migration issues, and shifts in consumer demand away from coarse wool products. Rajasthan remains the dominant contributor to India's wool production, accounting for nearly half of the national output throughout the entire period. While Rajasthan’s wool production has remained relatively stable—fluctuating around 14,000 to 16,000 tonnes other traditional wool-producing states have seen drastic reductions. For example, Jammu &amp; Kashmir, which once contributed over 7,000 tonnes annually in the early 2000s, now produces less than 3,800 tonnes. This reduction is likely influenced by multiple factors including conflict, land use change, and declining pasture quality. Karnataka showed strong numbers until 2018–19, but then saw an inexplicable drop to just 1,359 tonnes in 2021–22,  suggesting either disruptions in production or inconsistencies in reporting. Several other states have experienced noticeable declines or stagnation. Gujarat, Andhra Pradesh, and Haryana initially showed promise but could not sustain output over time. Madhya Pradesh presents a particularly sharp case: its wool production dropped from over 5,500 tonnes in 2005–06 to just 426 tonnes in 2021–22, marking a massive decline of over 90%. The reasons could include a shift in livestock rearing patterns or competition from more profitable agricultural uses of land. On the other hand, some states like Himachal Pradesh have maintained consistent levels of wool production around 1,600–1,650 tonnes suggesting relative stability in their pastoral systems. States like Jharkhand, Punjab, Uttarakhand, and Telangana have consistently contributed minimally to the national wool pool, rarely exceeding 1,000 tonnes per year. These states show no significant trend of growth or contraction, suggesting either limited sheep-rearing activity or absence of policy incentives to scale up wool production. West Bengal shows slightly better figures, especially in recent years, maintaining above 700 tonnes. A significant factor influencing this overall downward trend is the COVID-19 pandemic.</w:t>
      </w:r>
      <w:r w:rsidR="00E91448">
        <w:rPr>
          <w:color w:val="000000"/>
          <w:sz w:val="20"/>
          <w:szCs w:val="20"/>
        </w:rPr>
        <w:t xml:space="preserve"> Similar results are found in Britain (Payne et al. 2022).</w:t>
      </w:r>
      <w:r>
        <w:rPr>
          <w:color w:val="000000"/>
          <w:sz w:val="20"/>
          <w:szCs w:val="20"/>
        </w:rPr>
        <w:t xml:space="preserve"> During the period 2019–20 to 2021–22, many states saw sharp drops in output, likely due to labour disruptions, restricted movement of shepherds, and disrupted supply chains for shearing and wool marketing. The national total fell from 40,420 tonnes in 2018–19 to just 33,614 tonnes in 2021–22 clearly showing the impact of external shocks on a fragile production system (Roy 2016). This data reflects deeper structural issues within the Indian </w:t>
      </w:r>
      <w:r w:rsidR="007716EB">
        <w:rPr>
          <w:color w:val="000000"/>
          <w:sz w:val="20"/>
          <w:szCs w:val="20"/>
        </w:rPr>
        <w:t>wool sector</w:t>
      </w:r>
      <w:r>
        <w:rPr>
          <w:color w:val="000000"/>
          <w:sz w:val="20"/>
          <w:szCs w:val="20"/>
        </w:rPr>
        <w:t xml:space="preserve">. Over time, declining access to common grazing lands, lack of modernization in the wool sector, and increased import of fine wool and woollen garments have weakened the domestic </w:t>
      </w:r>
      <w:r w:rsidR="007716EB">
        <w:rPr>
          <w:color w:val="000000"/>
          <w:sz w:val="20"/>
          <w:szCs w:val="20"/>
        </w:rPr>
        <w:t>wool sector</w:t>
      </w:r>
      <w:r w:rsidR="00F93B7C">
        <w:rPr>
          <w:color w:val="000000"/>
          <w:sz w:val="20"/>
          <w:szCs w:val="20"/>
        </w:rPr>
        <w:t xml:space="preserve"> (Roy et al. 2013).</w:t>
      </w:r>
      <w:r>
        <w:rPr>
          <w:color w:val="000000"/>
          <w:sz w:val="20"/>
          <w:szCs w:val="20"/>
        </w:rPr>
        <w:t xml:space="preserve"> Consumer preferences have also changed there is reduced demand for coarse, locally made woollen products in urban areas. The combined effect of ecological, economic, and cultural shifts has led to a weakening of traditional pastoral systems and a drop in wool output.</w:t>
      </w:r>
    </w:p>
    <w:p w14:paraId="379EDEA1" w14:textId="77777777" w:rsidR="00272159" w:rsidRDefault="00272159">
      <w:pPr>
        <w:spacing w:before="100" w:beforeAutospacing="1" w:after="100" w:afterAutospacing="1" w:line="276" w:lineRule="auto"/>
        <w:rPr>
          <w:rFonts w:ascii="Times New Roman" w:eastAsia="Times New Roman" w:hAnsi="Times New Roman" w:cs="Times New Roman"/>
          <w:color w:val="000000"/>
          <w:sz w:val="20"/>
          <w:szCs w:val="20"/>
          <w:lang w:eastAsia="en-GB"/>
        </w:rPr>
      </w:pPr>
    </w:p>
    <w:p w14:paraId="64CFA139" w14:textId="77777777" w:rsidR="00272159" w:rsidRDefault="00EA01CA">
      <w:pPr>
        <w:spacing w:line="276" w:lineRule="auto"/>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41190083" wp14:editId="773585C4">
            <wp:extent cx="5731510" cy="35807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580765"/>
                    </a:xfrm>
                    <a:prstGeom prst="rect">
                      <a:avLst/>
                    </a:prstGeom>
                  </pic:spPr>
                </pic:pic>
              </a:graphicData>
            </a:graphic>
          </wp:inline>
        </w:drawing>
      </w:r>
    </w:p>
    <w:p w14:paraId="0C6906A4" w14:textId="77777777" w:rsidR="00272159" w:rsidRDefault="00272159">
      <w:pPr>
        <w:spacing w:line="276" w:lineRule="auto"/>
        <w:rPr>
          <w:rFonts w:ascii="Times New Roman" w:hAnsi="Times New Roman" w:cs="Times New Roman"/>
          <w:noProof/>
          <w:sz w:val="20"/>
          <w:szCs w:val="20"/>
        </w:rPr>
      </w:pPr>
    </w:p>
    <w:p w14:paraId="34306984" w14:textId="77777777" w:rsidR="00272159" w:rsidRDefault="00EA01CA">
      <w:pPr>
        <w:tabs>
          <w:tab w:val="left" w:pos="999"/>
        </w:tabs>
        <w:spacing w:line="276" w:lineRule="auto"/>
        <w:rPr>
          <w:rFonts w:ascii="Times New Roman" w:hAnsi="Times New Roman" w:cs="Times New Roman"/>
          <w:b/>
          <w:bCs/>
          <w:sz w:val="20"/>
          <w:szCs w:val="20"/>
        </w:rPr>
      </w:pPr>
      <w:r>
        <w:rPr>
          <w:rFonts w:ascii="Times New Roman" w:hAnsi="Times New Roman" w:cs="Times New Roman"/>
          <w:sz w:val="20"/>
          <w:szCs w:val="20"/>
        </w:rPr>
        <w:tab/>
      </w:r>
      <w:r>
        <w:rPr>
          <w:rFonts w:ascii="Times New Roman" w:hAnsi="Times New Roman" w:cs="Times New Roman"/>
          <w:b/>
          <w:bCs/>
          <w:sz w:val="20"/>
          <w:szCs w:val="20"/>
        </w:rPr>
        <w:t>Figure 2 Wool production trends in Indian states</w:t>
      </w:r>
    </w:p>
    <w:p w14:paraId="404CBFAD" w14:textId="134E9B17" w:rsidR="00272159" w:rsidRDefault="00EA01CA">
      <w:pPr>
        <w:pStyle w:val="NormalWeb"/>
        <w:spacing w:line="276" w:lineRule="auto"/>
        <w:ind w:firstLine="720"/>
        <w:jc w:val="both"/>
        <w:rPr>
          <w:color w:val="000000"/>
          <w:sz w:val="20"/>
          <w:szCs w:val="20"/>
        </w:rPr>
      </w:pPr>
      <w:r>
        <w:rPr>
          <w:color w:val="000000"/>
          <w:sz w:val="20"/>
          <w:szCs w:val="20"/>
        </w:rPr>
        <w:t xml:space="preserve">The figure 3 illustrates the Compound Annual Growth Rate (CAGR) of wool production across major Indian states from 2003 to 2022, with data for Telangana spanning 2015 to 2021. It reveals a concerning trend of declining wool production in most states, suggesting systemic challenges within the sector. The national CAGR stands at –1.0%, highlighting a moderate but consistent contraction in wool output across the country. This downward trend reflects various constraints such as reduced grazing lands, climate variability, low market returns, lack of policy support, and declining interest among pastoral communities. Among the states, only three show a positive growth in wool production. Uttarakhand leads with a significant CAGR of +4.2%, indicating improvements in wool management practices, possible policy support, or localized success stories in sustaining wool-based livelihoods. Jammu &amp; Kashmir and West Bengal also recorded marginally positive growth rates of +0.9% and +0.8%, respectively, suggesting either stability in production or slight improvements in wool sector dynamics in those regions. These states could serve as examples for reviving wool production in other parts of the country. On the other hand, several states showed minimal declines, pointing to relatively stable wool production despite downward pressure. Himachal Pradesh (–0.5%), Rajasthan (–0.7%), and Maharashtra (–0.8%) fall in this category, indicating that while challenges exist, these regions have retained some resilience in their wool production systems. Rajasthan, in particular, being the largest wool-producing state, plays a key role in the national </w:t>
      </w:r>
      <w:r w:rsidR="007716EB">
        <w:rPr>
          <w:color w:val="000000"/>
          <w:sz w:val="20"/>
          <w:szCs w:val="20"/>
        </w:rPr>
        <w:t>wool sector</w:t>
      </w:r>
      <w:r>
        <w:rPr>
          <w:color w:val="000000"/>
          <w:sz w:val="20"/>
          <w:szCs w:val="20"/>
        </w:rPr>
        <w:t xml:space="preserve"> and has shown a relatively slow decline, which is less alarming compared to other regions. In contrast, several states reported sharp and sustained declines in wool production. Madhya Pradesh exhibited the most severe decline with a CAGR of –9.1%, followed by Andhra Pradesh (–6.5%) and Telangana (–5.3%). These steep negative growth rates suggest a collapse or near-abandonment of traditional wool production practices, possibly due to shifts in land use patterns, poor breed management, and lack of incentives for wool growers. Other states with notable negative growth include Haryana (–2.7%), Karnataka (–2.4%), Uttar Pradesh (–2.2%), and Gujarat (–1.9%), all indicating broader regional disinterest or structural issues in sustaining wool production.</w:t>
      </w:r>
    </w:p>
    <w:p w14:paraId="5B6217B4" w14:textId="77777777" w:rsidR="00272159" w:rsidRDefault="00EA01CA">
      <w:pPr>
        <w:tabs>
          <w:tab w:val="left" w:pos="999"/>
        </w:tabs>
        <w:spacing w:line="276" w:lineRule="auto"/>
        <w:rPr>
          <w:rFonts w:ascii="Times New Roman" w:hAnsi="Times New Roman" w:cs="Times New Roman"/>
          <w:noProof/>
          <w:sz w:val="20"/>
          <w:szCs w:val="20"/>
        </w:rPr>
      </w:pPr>
      <w:r>
        <w:rPr>
          <w:rFonts w:ascii="Times New Roman" w:hAnsi="Times New Roman" w:cs="Times New Roman"/>
          <w:noProof/>
          <w:sz w:val="20"/>
          <w:szCs w:val="20"/>
        </w:rPr>
        <w:lastRenderedPageBreak/>
        <w:drawing>
          <wp:inline distT="0" distB="0" distL="0" distR="0" wp14:anchorId="5B59AAC9" wp14:editId="19F9C128">
            <wp:extent cx="5731510" cy="3366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366770"/>
                    </a:xfrm>
                    <a:prstGeom prst="rect">
                      <a:avLst/>
                    </a:prstGeom>
                  </pic:spPr>
                </pic:pic>
              </a:graphicData>
            </a:graphic>
          </wp:inline>
        </w:drawing>
      </w:r>
    </w:p>
    <w:p w14:paraId="5D3435A5" w14:textId="77777777" w:rsidR="00272159" w:rsidRDefault="00272159">
      <w:pPr>
        <w:spacing w:line="276" w:lineRule="auto"/>
        <w:rPr>
          <w:rFonts w:ascii="Times New Roman" w:hAnsi="Times New Roman" w:cs="Times New Roman"/>
          <w:noProof/>
          <w:sz w:val="20"/>
          <w:szCs w:val="20"/>
        </w:rPr>
      </w:pPr>
    </w:p>
    <w:p w14:paraId="36FAF24E" w14:textId="77777777" w:rsidR="00272159" w:rsidRDefault="00EA01CA">
      <w:pPr>
        <w:spacing w:line="276" w:lineRule="auto"/>
        <w:ind w:firstLine="720"/>
        <w:rPr>
          <w:rFonts w:ascii="Times New Roman" w:hAnsi="Times New Roman" w:cs="Times New Roman"/>
          <w:b/>
          <w:bCs/>
          <w:sz w:val="20"/>
          <w:szCs w:val="20"/>
        </w:rPr>
      </w:pPr>
      <w:r>
        <w:rPr>
          <w:rFonts w:ascii="Times New Roman" w:hAnsi="Times New Roman" w:cs="Times New Roman"/>
          <w:b/>
          <w:bCs/>
          <w:sz w:val="20"/>
          <w:szCs w:val="20"/>
        </w:rPr>
        <w:t>Figure.3  CAGR of wool production trends in Indian states</w:t>
      </w:r>
    </w:p>
    <w:p w14:paraId="542E5B5F" w14:textId="77777777" w:rsidR="00272159" w:rsidRDefault="00272159">
      <w:pPr>
        <w:spacing w:line="276" w:lineRule="auto"/>
        <w:ind w:firstLine="720"/>
        <w:rPr>
          <w:rFonts w:ascii="Times New Roman" w:hAnsi="Times New Roman" w:cs="Times New Roman"/>
          <w:b/>
          <w:bCs/>
          <w:sz w:val="20"/>
          <w:szCs w:val="20"/>
        </w:rPr>
      </w:pPr>
    </w:p>
    <w:p w14:paraId="11743ED4" w14:textId="77777777" w:rsidR="00272159" w:rsidRDefault="00EA01CA">
      <w:pPr>
        <w:pStyle w:val="NormalWeb"/>
        <w:spacing w:line="276" w:lineRule="auto"/>
        <w:ind w:firstLine="720"/>
        <w:jc w:val="both"/>
        <w:rPr>
          <w:color w:val="000000"/>
          <w:sz w:val="20"/>
          <w:szCs w:val="20"/>
        </w:rPr>
      </w:pPr>
      <w:r>
        <w:rPr>
          <w:color w:val="000000"/>
          <w:sz w:val="20"/>
          <w:szCs w:val="20"/>
        </w:rPr>
        <w:t>The figure 4 provides a detailed overview of</w:t>
      </w:r>
      <w:r>
        <w:rPr>
          <w:rStyle w:val="apple-converted-space"/>
          <w:color w:val="000000"/>
          <w:sz w:val="20"/>
          <w:szCs w:val="20"/>
        </w:rPr>
        <w:t> </w:t>
      </w:r>
      <w:r>
        <w:rPr>
          <w:rStyle w:val="Strong"/>
          <w:b w:val="0"/>
          <w:bCs w:val="0"/>
          <w:color w:val="000000"/>
          <w:sz w:val="20"/>
          <w:szCs w:val="20"/>
        </w:rPr>
        <w:t>India’s wool trade performance</w:t>
      </w:r>
      <w:r>
        <w:rPr>
          <w:rStyle w:val="apple-converted-space"/>
          <w:color w:val="000000"/>
          <w:sz w:val="20"/>
          <w:szCs w:val="20"/>
        </w:rPr>
        <w:t> </w:t>
      </w:r>
      <w:r>
        <w:rPr>
          <w:color w:val="000000"/>
          <w:sz w:val="20"/>
          <w:szCs w:val="20"/>
        </w:rPr>
        <w:t>from 2002 to 2023, capturing export quantity, export value, import quantity, and import value. Export quantity and import quantity are measured in tonnes, while export value and import value are recorded in thousand USD. This dataset helps assess both the volume and value dynamics of India’s wool trade over two decades. From 2002 to 2023, India’s wool export performance showed fluctuations in both quantity and value. In the early 2000s, export quantities were relatively modest, starting at 513 tonnes in 2002 and peaking at</w:t>
      </w:r>
      <w:r>
        <w:rPr>
          <w:rStyle w:val="apple-converted-space"/>
          <w:color w:val="000000"/>
          <w:sz w:val="20"/>
          <w:szCs w:val="20"/>
        </w:rPr>
        <w:t> </w:t>
      </w:r>
      <w:r>
        <w:rPr>
          <w:rStyle w:val="Strong"/>
          <w:b w:val="0"/>
          <w:bCs w:val="0"/>
          <w:color w:val="000000"/>
          <w:sz w:val="20"/>
          <w:szCs w:val="20"/>
        </w:rPr>
        <w:t>4344.49</w:t>
      </w:r>
      <w:r>
        <w:rPr>
          <w:rStyle w:val="Strong"/>
          <w:color w:val="000000"/>
          <w:sz w:val="20"/>
          <w:szCs w:val="20"/>
        </w:rPr>
        <w:t xml:space="preserve"> </w:t>
      </w:r>
      <w:r>
        <w:rPr>
          <w:rStyle w:val="Strong"/>
          <w:b w:val="0"/>
          <w:bCs w:val="0"/>
          <w:color w:val="000000"/>
          <w:sz w:val="20"/>
          <w:szCs w:val="20"/>
        </w:rPr>
        <w:t>tonnes in 2018</w:t>
      </w:r>
      <w:r>
        <w:rPr>
          <w:b/>
          <w:bCs/>
          <w:color w:val="000000"/>
          <w:sz w:val="20"/>
          <w:szCs w:val="20"/>
        </w:rPr>
        <w:t>.</w:t>
      </w:r>
      <w:r>
        <w:rPr>
          <w:color w:val="000000"/>
          <w:sz w:val="20"/>
          <w:szCs w:val="20"/>
        </w:rPr>
        <w:t xml:space="preserve"> The corresponding export value rose from</w:t>
      </w:r>
      <w:r>
        <w:rPr>
          <w:rStyle w:val="apple-converted-space"/>
          <w:color w:val="000000"/>
          <w:sz w:val="20"/>
          <w:szCs w:val="20"/>
        </w:rPr>
        <w:t> </w:t>
      </w:r>
      <w:r>
        <w:rPr>
          <w:rStyle w:val="Strong"/>
          <w:b w:val="0"/>
          <w:bCs w:val="0"/>
          <w:color w:val="000000"/>
          <w:sz w:val="20"/>
          <w:szCs w:val="20"/>
        </w:rPr>
        <w:t>USD 1.55 million</w:t>
      </w:r>
      <w:r>
        <w:rPr>
          <w:rStyle w:val="apple-converted-space"/>
          <w:color w:val="000000"/>
          <w:sz w:val="20"/>
          <w:szCs w:val="20"/>
        </w:rPr>
        <w:t> </w:t>
      </w:r>
      <w:r>
        <w:rPr>
          <w:color w:val="000000"/>
          <w:sz w:val="20"/>
          <w:szCs w:val="20"/>
        </w:rPr>
        <w:t>in 2002 to a maximum of</w:t>
      </w:r>
      <w:r>
        <w:rPr>
          <w:rStyle w:val="apple-converted-space"/>
          <w:color w:val="000000"/>
          <w:sz w:val="20"/>
          <w:szCs w:val="20"/>
        </w:rPr>
        <w:t> </w:t>
      </w:r>
      <w:r>
        <w:rPr>
          <w:rStyle w:val="Strong"/>
          <w:b w:val="0"/>
          <w:bCs w:val="0"/>
          <w:color w:val="000000"/>
          <w:sz w:val="20"/>
          <w:szCs w:val="20"/>
        </w:rPr>
        <w:t>USD 18.15 million</w:t>
      </w:r>
      <w:r>
        <w:rPr>
          <w:rStyle w:val="apple-converted-space"/>
          <w:color w:val="000000"/>
          <w:sz w:val="20"/>
          <w:szCs w:val="20"/>
        </w:rPr>
        <w:t> </w:t>
      </w:r>
      <w:r>
        <w:rPr>
          <w:color w:val="000000"/>
          <w:sz w:val="20"/>
          <w:szCs w:val="20"/>
        </w:rPr>
        <w:t>in 2018, indicating a steady increase in India’s wool export earnings, possibly driven by improved quality, rising global demand, or better trade negotiations. However, a noticeable decline occurred after 2018. Export quantity dropped to</w:t>
      </w:r>
      <w:r>
        <w:rPr>
          <w:rStyle w:val="apple-converted-space"/>
          <w:color w:val="000000"/>
          <w:sz w:val="20"/>
          <w:szCs w:val="20"/>
        </w:rPr>
        <w:t> </w:t>
      </w:r>
      <w:r>
        <w:rPr>
          <w:rStyle w:val="Strong"/>
          <w:b w:val="0"/>
          <w:bCs w:val="0"/>
          <w:color w:val="000000"/>
          <w:sz w:val="20"/>
          <w:szCs w:val="20"/>
        </w:rPr>
        <w:t>1396.83 tonnes in 2020</w:t>
      </w:r>
      <w:r>
        <w:rPr>
          <w:rStyle w:val="Strong"/>
          <w:color w:val="000000"/>
          <w:sz w:val="20"/>
          <w:szCs w:val="20"/>
        </w:rPr>
        <w:t xml:space="preserve"> </w:t>
      </w:r>
      <w:r>
        <w:rPr>
          <w:color w:val="000000"/>
          <w:sz w:val="20"/>
          <w:szCs w:val="20"/>
        </w:rPr>
        <w:t>and then recovered moderately to</w:t>
      </w:r>
      <w:r>
        <w:rPr>
          <w:rStyle w:val="apple-converted-space"/>
          <w:color w:val="000000"/>
          <w:sz w:val="20"/>
          <w:szCs w:val="20"/>
        </w:rPr>
        <w:t> </w:t>
      </w:r>
      <w:r>
        <w:rPr>
          <w:rStyle w:val="Strong"/>
          <w:b w:val="0"/>
          <w:bCs w:val="0"/>
          <w:color w:val="000000"/>
          <w:sz w:val="20"/>
          <w:szCs w:val="20"/>
        </w:rPr>
        <w:t>2466.22 tonnes in 2022</w:t>
      </w:r>
      <w:r>
        <w:rPr>
          <w:color w:val="000000"/>
          <w:sz w:val="20"/>
          <w:szCs w:val="20"/>
        </w:rPr>
        <w:t>, before again falling to</w:t>
      </w:r>
      <w:r>
        <w:rPr>
          <w:rStyle w:val="apple-converted-space"/>
          <w:color w:val="000000"/>
          <w:sz w:val="20"/>
          <w:szCs w:val="20"/>
        </w:rPr>
        <w:t> </w:t>
      </w:r>
      <w:r>
        <w:rPr>
          <w:rStyle w:val="Strong"/>
          <w:b w:val="0"/>
          <w:bCs w:val="0"/>
          <w:color w:val="000000"/>
          <w:sz w:val="20"/>
          <w:szCs w:val="20"/>
        </w:rPr>
        <w:t>1646.88 tonnes in 2023</w:t>
      </w:r>
      <w:r>
        <w:rPr>
          <w:color w:val="000000"/>
          <w:sz w:val="20"/>
          <w:szCs w:val="20"/>
        </w:rPr>
        <w:t>. The export value followed a similar trend, dropping sharply post-2018 before a partial recovery.</w:t>
      </w:r>
    </w:p>
    <w:p w14:paraId="339B1366" w14:textId="77777777" w:rsidR="00272159" w:rsidRDefault="00EA01CA">
      <w:pPr>
        <w:pStyle w:val="NormalWeb"/>
        <w:spacing w:line="276" w:lineRule="auto"/>
        <w:ind w:firstLine="720"/>
        <w:jc w:val="both"/>
        <w:rPr>
          <w:color w:val="000000"/>
          <w:sz w:val="20"/>
          <w:szCs w:val="20"/>
        </w:rPr>
      </w:pPr>
      <w:r>
        <w:rPr>
          <w:color w:val="000000"/>
          <w:sz w:val="20"/>
          <w:szCs w:val="20"/>
        </w:rPr>
        <w:t>Import patterns reveal a</w:t>
      </w:r>
      <w:r>
        <w:rPr>
          <w:rStyle w:val="apple-converted-space"/>
          <w:color w:val="000000"/>
          <w:sz w:val="20"/>
          <w:szCs w:val="20"/>
        </w:rPr>
        <w:t> </w:t>
      </w:r>
      <w:r>
        <w:rPr>
          <w:rStyle w:val="Strong"/>
          <w:b w:val="0"/>
          <w:bCs w:val="0"/>
          <w:color w:val="000000"/>
          <w:sz w:val="20"/>
          <w:szCs w:val="20"/>
        </w:rPr>
        <w:t>consistently high dependency on wool imports</w:t>
      </w:r>
      <w:r>
        <w:rPr>
          <w:color w:val="000000"/>
          <w:sz w:val="20"/>
          <w:szCs w:val="20"/>
        </w:rPr>
        <w:t>, especially after 2010. Import quantity rose dramatically from</w:t>
      </w:r>
      <w:r>
        <w:rPr>
          <w:rStyle w:val="apple-converted-space"/>
          <w:color w:val="000000"/>
          <w:sz w:val="20"/>
          <w:szCs w:val="20"/>
        </w:rPr>
        <w:t> </w:t>
      </w:r>
      <w:r>
        <w:rPr>
          <w:rStyle w:val="Strong"/>
          <w:b w:val="0"/>
          <w:bCs w:val="0"/>
          <w:color w:val="000000"/>
          <w:sz w:val="20"/>
          <w:szCs w:val="20"/>
        </w:rPr>
        <w:t>2063 tonnes in 2002</w:t>
      </w:r>
      <w:r>
        <w:rPr>
          <w:rStyle w:val="apple-converted-space"/>
          <w:color w:val="000000"/>
          <w:sz w:val="20"/>
          <w:szCs w:val="20"/>
        </w:rPr>
        <w:t> </w:t>
      </w:r>
      <w:r>
        <w:rPr>
          <w:color w:val="000000"/>
          <w:sz w:val="20"/>
          <w:szCs w:val="20"/>
        </w:rPr>
        <w:t>to a peak of</w:t>
      </w:r>
      <w:r>
        <w:rPr>
          <w:rStyle w:val="apple-converted-space"/>
          <w:color w:val="000000"/>
          <w:sz w:val="20"/>
          <w:szCs w:val="20"/>
        </w:rPr>
        <w:t> </w:t>
      </w:r>
      <w:r>
        <w:rPr>
          <w:rStyle w:val="Strong"/>
          <w:b w:val="0"/>
          <w:bCs w:val="0"/>
          <w:color w:val="000000"/>
          <w:sz w:val="20"/>
          <w:szCs w:val="20"/>
        </w:rPr>
        <w:t>22945.49</w:t>
      </w:r>
      <w:r>
        <w:rPr>
          <w:rStyle w:val="Strong"/>
          <w:color w:val="000000"/>
          <w:sz w:val="20"/>
          <w:szCs w:val="20"/>
        </w:rPr>
        <w:t xml:space="preserve"> </w:t>
      </w:r>
      <w:r>
        <w:rPr>
          <w:rStyle w:val="Strong"/>
          <w:b w:val="0"/>
          <w:bCs w:val="0"/>
          <w:color w:val="000000"/>
          <w:sz w:val="20"/>
          <w:szCs w:val="20"/>
        </w:rPr>
        <w:t>tonnes in 2018</w:t>
      </w:r>
      <w:r>
        <w:rPr>
          <w:color w:val="000000"/>
          <w:sz w:val="20"/>
          <w:szCs w:val="20"/>
        </w:rPr>
        <w:t>, while import value increased from</w:t>
      </w:r>
      <w:r>
        <w:rPr>
          <w:rStyle w:val="apple-converted-space"/>
          <w:color w:val="000000"/>
          <w:sz w:val="20"/>
          <w:szCs w:val="20"/>
        </w:rPr>
        <w:t> </w:t>
      </w:r>
      <w:r>
        <w:rPr>
          <w:rStyle w:val="Strong"/>
          <w:b w:val="0"/>
          <w:bCs w:val="0"/>
          <w:color w:val="000000"/>
          <w:sz w:val="20"/>
          <w:szCs w:val="20"/>
        </w:rPr>
        <w:t>USD 4.12 million in 2002</w:t>
      </w:r>
      <w:r>
        <w:rPr>
          <w:rStyle w:val="apple-converted-space"/>
          <w:b/>
          <w:bCs/>
          <w:color w:val="000000"/>
          <w:sz w:val="20"/>
          <w:szCs w:val="20"/>
        </w:rPr>
        <w:t> </w:t>
      </w:r>
      <w:r>
        <w:rPr>
          <w:color w:val="000000"/>
          <w:sz w:val="20"/>
          <w:szCs w:val="20"/>
        </w:rPr>
        <w:t>to</w:t>
      </w:r>
      <w:r>
        <w:rPr>
          <w:rStyle w:val="apple-converted-space"/>
          <w:color w:val="000000"/>
          <w:sz w:val="20"/>
          <w:szCs w:val="20"/>
        </w:rPr>
        <w:t> </w:t>
      </w:r>
      <w:r>
        <w:rPr>
          <w:rStyle w:val="Strong"/>
          <w:b w:val="0"/>
          <w:bCs w:val="0"/>
          <w:color w:val="000000"/>
          <w:sz w:val="20"/>
          <w:szCs w:val="20"/>
        </w:rPr>
        <w:t>USD 43.99 million in 2018</w:t>
      </w:r>
      <w:r>
        <w:rPr>
          <w:color w:val="000000"/>
          <w:sz w:val="20"/>
          <w:szCs w:val="20"/>
        </w:rPr>
        <w:t>, reflecting growing domestic demand for fine wool, especially for apparel and textile industries. Even during global disruptions like the COVID-19 pandemic, the import levels remained significant, suggesting a structural dependency on foreign wool to meet domestic needs. In recent years, import quantity in 2022 was</w:t>
      </w:r>
      <w:r>
        <w:rPr>
          <w:rStyle w:val="apple-converted-space"/>
          <w:color w:val="000000"/>
          <w:sz w:val="20"/>
          <w:szCs w:val="20"/>
        </w:rPr>
        <w:t> </w:t>
      </w:r>
      <w:r>
        <w:rPr>
          <w:rStyle w:val="Strong"/>
          <w:b w:val="0"/>
          <w:bCs w:val="0"/>
          <w:color w:val="000000"/>
          <w:sz w:val="20"/>
          <w:szCs w:val="20"/>
        </w:rPr>
        <w:t>16,743.22 tonnes</w:t>
      </w:r>
      <w:r>
        <w:rPr>
          <w:color w:val="000000"/>
          <w:sz w:val="20"/>
          <w:szCs w:val="20"/>
        </w:rPr>
        <w:t>, with a value of</w:t>
      </w:r>
      <w:r>
        <w:rPr>
          <w:rStyle w:val="apple-converted-space"/>
          <w:color w:val="000000"/>
          <w:sz w:val="20"/>
          <w:szCs w:val="20"/>
        </w:rPr>
        <w:t> </w:t>
      </w:r>
      <w:r>
        <w:rPr>
          <w:rStyle w:val="Strong"/>
          <w:b w:val="0"/>
          <w:bCs w:val="0"/>
          <w:color w:val="000000"/>
          <w:sz w:val="20"/>
          <w:szCs w:val="20"/>
        </w:rPr>
        <w:t>USD 33.48 million</w:t>
      </w:r>
      <w:r>
        <w:rPr>
          <w:color w:val="000000"/>
          <w:sz w:val="20"/>
          <w:szCs w:val="20"/>
        </w:rPr>
        <w:t>, which again shows slight decline but still substantial volume. The 2023 figures also reflect continuing import reliance (10,945.88 tonnes and USD 21.89 million).</w:t>
      </w:r>
    </w:p>
    <w:p w14:paraId="5F43F55D" w14:textId="77777777" w:rsidR="00272159" w:rsidRDefault="00272159">
      <w:pPr>
        <w:spacing w:line="276" w:lineRule="auto"/>
        <w:ind w:firstLine="720"/>
        <w:rPr>
          <w:rFonts w:ascii="Times New Roman" w:hAnsi="Times New Roman" w:cs="Times New Roman"/>
          <w:b/>
          <w:bCs/>
          <w:sz w:val="20"/>
          <w:szCs w:val="20"/>
        </w:rPr>
      </w:pPr>
    </w:p>
    <w:p w14:paraId="4D28CB4C" w14:textId="77777777" w:rsidR="00272159" w:rsidRDefault="00EA01CA">
      <w:pPr>
        <w:spacing w:line="276" w:lineRule="auto"/>
        <w:ind w:firstLine="720"/>
        <w:rPr>
          <w:rFonts w:ascii="Times New Roman" w:hAnsi="Times New Roman" w:cs="Times New Roman"/>
          <w:b/>
          <w:bCs/>
          <w:sz w:val="20"/>
          <w:szCs w:val="20"/>
        </w:rPr>
      </w:pPr>
      <w:r>
        <w:rPr>
          <w:rFonts w:ascii="Times New Roman" w:hAnsi="Times New Roman" w:cs="Times New Roman"/>
          <w:noProof/>
          <w:sz w:val="20"/>
          <w:szCs w:val="20"/>
        </w:rPr>
        <w:lastRenderedPageBreak/>
        <w:drawing>
          <wp:inline distT="0" distB="0" distL="0" distR="0" wp14:anchorId="1D73D0BC" wp14:editId="7F1B6E6C">
            <wp:extent cx="5731510" cy="33375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337560"/>
                    </a:xfrm>
                    <a:prstGeom prst="rect">
                      <a:avLst/>
                    </a:prstGeom>
                  </pic:spPr>
                </pic:pic>
              </a:graphicData>
            </a:graphic>
          </wp:inline>
        </w:drawing>
      </w:r>
    </w:p>
    <w:p w14:paraId="310C0CA2" w14:textId="77777777" w:rsidR="00272159" w:rsidRDefault="00272159">
      <w:pPr>
        <w:spacing w:line="276" w:lineRule="auto"/>
        <w:ind w:firstLine="720"/>
        <w:rPr>
          <w:rFonts w:ascii="Times New Roman" w:hAnsi="Times New Roman" w:cs="Times New Roman"/>
          <w:noProof/>
          <w:sz w:val="20"/>
          <w:szCs w:val="20"/>
        </w:rPr>
      </w:pPr>
    </w:p>
    <w:p w14:paraId="364D7D84" w14:textId="77777777" w:rsidR="00272159" w:rsidRDefault="00272159">
      <w:pPr>
        <w:spacing w:line="276" w:lineRule="auto"/>
        <w:rPr>
          <w:rFonts w:ascii="Times New Roman" w:hAnsi="Times New Roman" w:cs="Times New Roman"/>
          <w:sz w:val="20"/>
          <w:szCs w:val="20"/>
        </w:rPr>
      </w:pPr>
    </w:p>
    <w:p w14:paraId="55D5028D" w14:textId="77777777" w:rsidR="00272159" w:rsidRDefault="00EA01CA">
      <w:pPr>
        <w:spacing w:line="276" w:lineRule="auto"/>
        <w:ind w:firstLine="720"/>
        <w:rPr>
          <w:rFonts w:ascii="Times New Roman" w:hAnsi="Times New Roman" w:cs="Times New Roman"/>
          <w:b/>
          <w:bCs/>
          <w:sz w:val="20"/>
          <w:szCs w:val="20"/>
        </w:rPr>
      </w:pPr>
      <w:r>
        <w:rPr>
          <w:rFonts w:ascii="Times New Roman" w:hAnsi="Times New Roman" w:cs="Times New Roman"/>
          <w:b/>
          <w:bCs/>
          <w:sz w:val="20"/>
          <w:szCs w:val="20"/>
        </w:rPr>
        <w:t>Figure 4  Export and import of wool trade trends</w:t>
      </w:r>
    </w:p>
    <w:p w14:paraId="67CFADA4" w14:textId="77777777" w:rsidR="00272159" w:rsidRDefault="00EA01CA">
      <w:pPr>
        <w:pStyle w:val="NormalWeb"/>
        <w:spacing w:line="276" w:lineRule="auto"/>
        <w:jc w:val="both"/>
        <w:rPr>
          <w:color w:val="000000"/>
          <w:sz w:val="20"/>
          <w:szCs w:val="20"/>
        </w:rPr>
      </w:pPr>
      <w:r>
        <w:rPr>
          <w:sz w:val="20"/>
          <w:szCs w:val="20"/>
        </w:rPr>
        <w:tab/>
      </w:r>
      <w:r>
        <w:rPr>
          <w:color w:val="000000"/>
          <w:sz w:val="20"/>
          <w:szCs w:val="20"/>
        </w:rPr>
        <w:t>The figure 5 presents the compound annual growth rate (CAGR) of India's wool exports over a 21-year period, segmented by different Harmonized System (HS) codes. It compares both the quantity (in blue) and value (in orange) of exports, offering insights into how different types of wool and wool products have performed in international markets. The overall wool exports (Total) show a positive CAGR of 5.62% in quantity and 7.54% in value, indicating a steady rise in exports and a comparatively higher growth in export earnings, reflecting improved pricing or value-added products. Among individual HS codes, HS 510100 (F1009), representing raw wool that is not carded or combed, recorded the highest growth with a CAGR of 7.5% in quantity and 8.56% in value, suggesting strong and consistent global demand for unprocessed wool. Similarly, HS 510994 (F0994), which includes woven wool fabrics with 85% or more wool or fine animal hair, also performed well, with 3.47% growth in quantity and 8.19% in value, implying that even with moderate growth in volume, the value of exports increased significantly likely due to higher quality or better market positioning. This trend reflects a shift towards exporting more refined and valuable wool products. On the other hand, HS 510310 (26130), related to wool waste, showed minimal growth with 0.31% in quantity and a slight decline of -0.59% in value, indicating limited demand or low pricing power in the global market for wool waste. The most concerning decline was seen in HS 510129 (02941), which covers degreased wool not carded or combed (semi-processed wool), showing a negative CAGR of -2.51% in quantity and -6.61% in value. This sharp decline suggests a decreasing global competitiveness for this product category, possibly due to inferior quality, lack of innovation, or substitution with synthetic or finer wool varieties.</w:t>
      </w:r>
    </w:p>
    <w:p w14:paraId="2545654A" w14:textId="77777777" w:rsidR="00272159" w:rsidRDefault="00EA01CA">
      <w:pPr>
        <w:pStyle w:val="NormalWeb"/>
        <w:spacing w:line="276" w:lineRule="auto"/>
        <w:jc w:val="both"/>
        <w:rPr>
          <w:color w:val="000000"/>
          <w:sz w:val="20"/>
          <w:szCs w:val="20"/>
        </w:rPr>
      </w:pPr>
      <w:r>
        <w:rPr>
          <w:noProof/>
          <w:sz w:val="20"/>
          <w:szCs w:val="20"/>
        </w:rPr>
        <w:lastRenderedPageBreak/>
        <w:drawing>
          <wp:inline distT="0" distB="0" distL="0" distR="0" wp14:anchorId="5A6812EE" wp14:editId="65AB0B4D">
            <wp:extent cx="5731510" cy="3596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596640"/>
                    </a:xfrm>
                    <a:prstGeom prst="rect">
                      <a:avLst/>
                    </a:prstGeom>
                  </pic:spPr>
                </pic:pic>
              </a:graphicData>
            </a:graphic>
          </wp:inline>
        </w:drawing>
      </w:r>
    </w:p>
    <w:p w14:paraId="724B9342" w14:textId="77777777" w:rsidR="00272159" w:rsidRDefault="00272159">
      <w:pPr>
        <w:tabs>
          <w:tab w:val="left" w:pos="929"/>
        </w:tabs>
        <w:spacing w:line="276" w:lineRule="auto"/>
        <w:jc w:val="both"/>
        <w:rPr>
          <w:rFonts w:ascii="Times New Roman" w:hAnsi="Times New Roman" w:cs="Times New Roman"/>
          <w:sz w:val="20"/>
          <w:szCs w:val="20"/>
        </w:rPr>
      </w:pPr>
    </w:p>
    <w:p w14:paraId="585D40D6" w14:textId="77777777" w:rsidR="00272159" w:rsidRDefault="00EA01CA">
      <w:pPr>
        <w:spacing w:line="276" w:lineRule="auto"/>
        <w:ind w:firstLine="720"/>
        <w:rPr>
          <w:rFonts w:ascii="Times New Roman" w:hAnsi="Times New Roman" w:cs="Times New Roman"/>
          <w:b/>
          <w:bCs/>
          <w:sz w:val="20"/>
          <w:szCs w:val="20"/>
        </w:rPr>
      </w:pPr>
      <w:r>
        <w:rPr>
          <w:rFonts w:ascii="Times New Roman" w:hAnsi="Times New Roman" w:cs="Times New Roman"/>
          <w:b/>
          <w:bCs/>
          <w:sz w:val="20"/>
          <w:szCs w:val="20"/>
        </w:rPr>
        <w:t xml:space="preserve">Figure 5  CAGR of different wool commodities </w:t>
      </w:r>
    </w:p>
    <w:p w14:paraId="0C8D474F" w14:textId="77777777" w:rsidR="00272159" w:rsidRDefault="00272159">
      <w:pPr>
        <w:spacing w:line="276" w:lineRule="auto"/>
        <w:rPr>
          <w:rFonts w:ascii="Times New Roman" w:hAnsi="Times New Roman" w:cs="Times New Roman"/>
          <w:sz w:val="20"/>
          <w:szCs w:val="20"/>
        </w:rPr>
      </w:pPr>
    </w:p>
    <w:p w14:paraId="22F554F4" w14:textId="77777777" w:rsidR="00272159" w:rsidRDefault="00EA01CA">
      <w:pPr>
        <w:pStyle w:val="NormalWeb"/>
        <w:spacing w:line="276" w:lineRule="auto"/>
        <w:ind w:firstLine="720"/>
        <w:jc w:val="both"/>
        <w:rPr>
          <w:color w:val="000000"/>
          <w:sz w:val="20"/>
          <w:szCs w:val="20"/>
        </w:rPr>
      </w:pPr>
      <w:r>
        <w:rPr>
          <w:color w:val="000000"/>
          <w:sz w:val="20"/>
          <w:szCs w:val="20"/>
        </w:rPr>
        <w:t>The figure 6 illustrates the compound annual growth rate (CAGR) of India’s wool imports over a 21-year period, segmented by various Harmonized System (HS) codes. It provides a comparative view of the quantity (in green) and value (in red) of wool imports, offering insights into both the volume and economic value trends across wool product categories. At the aggregate level, total wool imports show a marginal growth of 0.08% in quantity and 0.84% in value, indicating a relatively stagnant trend in physical imports but a slight rise in expenditure, possibly driven by increased global prices or a shift toward higher-quality wool products. Among the individual HS codes, the most significant growth was observed in HS F0994, which refers to woven wool fabrics containing 85% or more of wool or fine animal hair. This category recorded a CAGR of 4.16% in quantity and 9.52% in value, reflecting strong demand for high-quality woollen fabrics. The much higher growth in value compared to volume suggests an upward shift in the quality and pricing of imported wool fabrics, indicating India's growing orientation toward premium raw materials for textile manufacturing. Another positive performer was HS 02941, representing degreased but not carded or combed wool, which saw modest gains of 1.57% in quantity and 1.84% in value. These figures point to stable demand in this semi-processed segment, likely catering to mid-level processing industries.</w:t>
      </w:r>
    </w:p>
    <w:p w14:paraId="38C8D169" w14:textId="77777777" w:rsidR="00272159" w:rsidRDefault="00EA01CA">
      <w:pPr>
        <w:pStyle w:val="NormalWeb"/>
        <w:spacing w:line="276" w:lineRule="auto"/>
        <w:ind w:firstLine="720"/>
        <w:jc w:val="both"/>
        <w:rPr>
          <w:color w:val="000000"/>
          <w:sz w:val="20"/>
          <w:szCs w:val="20"/>
        </w:rPr>
      </w:pPr>
      <w:r>
        <w:rPr>
          <w:color w:val="000000"/>
          <w:sz w:val="20"/>
          <w:szCs w:val="20"/>
        </w:rPr>
        <w:t xml:space="preserve">By contrast, HS 26130, associated with wool waste, showed negative growth, with a CAGR of -0.6% in quantity and -1.1% in value. This suggests a declining reliance on low-quality or recycled wool, perhaps due to technological upgrades or environmental concerns. The most notable decline was observed in HS F1009 (raw wool, not carded or combed), which experienced a sharp contraction of -11.19% in quantity and -5.83% in value. The disproportionately steeper decline in quantity may reflect stricter sourcing standards, reduced availability of viable raw wool in global markets, or a deliberate move by India’s textile industry away from unprocessed imports in </w:t>
      </w:r>
      <w:proofErr w:type="spellStart"/>
      <w:r>
        <w:rPr>
          <w:color w:val="000000"/>
          <w:sz w:val="20"/>
          <w:szCs w:val="20"/>
        </w:rPr>
        <w:t>favor</w:t>
      </w:r>
      <w:proofErr w:type="spellEnd"/>
      <w:r>
        <w:rPr>
          <w:color w:val="000000"/>
          <w:sz w:val="20"/>
          <w:szCs w:val="20"/>
        </w:rPr>
        <w:t xml:space="preserve"> of processed or semi-processed wool.</w:t>
      </w:r>
    </w:p>
    <w:p w14:paraId="0B16688A" w14:textId="77777777" w:rsidR="00272159" w:rsidRDefault="00272159">
      <w:pPr>
        <w:spacing w:line="276" w:lineRule="auto"/>
        <w:rPr>
          <w:rFonts w:ascii="Times New Roman" w:hAnsi="Times New Roman" w:cs="Times New Roman"/>
          <w:sz w:val="20"/>
          <w:szCs w:val="20"/>
        </w:rPr>
      </w:pPr>
    </w:p>
    <w:p w14:paraId="75B51CDE" w14:textId="77777777" w:rsidR="00272159" w:rsidRDefault="00EA01CA">
      <w:pPr>
        <w:spacing w:line="276"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6DDD76D1" wp14:editId="642414B4">
            <wp:extent cx="5731510" cy="33375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337560"/>
                    </a:xfrm>
                    <a:prstGeom prst="rect">
                      <a:avLst/>
                    </a:prstGeom>
                  </pic:spPr>
                </pic:pic>
              </a:graphicData>
            </a:graphic>
          </wp:inline>
        </w:drawing>
      </w:r>
    </w:p>
    <w:p w14:paraId="40216D54" w14:textId="77777777" w:rsidR="00272159" w:rsidRDefault="00272159">
      <w:pPr>
        <w:spacing w:line="276" w:lineRule="auto"/>
        <w:rPr>
          <w:rFonts w:ascii="Times New Roman" w:hAnsi="Times New Roman" w:cs="Times New Roman"/>
          <w:sz w:val="20"/>
          <w:szCs w:val="20"/>
        </w:rPr>
      </w:pPr>
    </w:p>
    <w:p w14:paraId="5D6C12F2" w14:textId="77777777" w:rsidR="00272159" w:rsidRDefault="00EA01CA">
      <w:pPr>
        <w:spacing w:line="276" w:lineRule="auto"/>
        <w:rPr>
          <w:rFonts w:ascii="Times New Roman" w:hAnsi="Times New Roman" w:cs="Times New Roman"/>
          <w:sz w:val="20"/>
          <w:szCs w:val="20"/>
        </w:rPr>
      </w:pPr>
      <w:r>
        <w:rPr>
          <w:rFonts w:ascii="Times New Roman" w:hAnsi="Times New Roman" w:cs="Times New Roman"/>
          <w:sz w:val="20"/>
          <w:szCs w:val="20"/>
        </w:rPr>
        <w:t xml:space="preserve">FIG 6. </w:t>
      </w:r>
      <w:r>
        <w:rPr>
          <w:rFonts w:ascii="Times New Roman" w:hAnsi="Times New Roman" w:cs="Times New Roman"/>
          <w:b/>
          <w:bCs/>
          <w:sz w:val="20"/>
          <w:szCs w:val="20"/>
        </w:rPr>
        <w:t xml:space="preserve">CAGR of Wool Imports (2002-2023) by HS Code </w:t>
      </w:r>
    </w:p>
    <w:p w14:paraId="161FA92E" w14:textId="77777777" w:rsidR="00272159" w:rsidRDefault="00EA01CA">
      <w:pPr>
        <w:pStyle w:val="Heading3"/>
        <w:rPr>
          <w:rFonts w:ascii="Times New Roman" w:hAnsi="Times New Roman" w:cs="Times New Roman"/>
          <w:color w:val="000000"/>
          <w:sz w:val="20"/>
          <w:szCs w:val="20"/>
        </w:rPr>
      </w:pPr>
      <w:r>
        <w:rPr>
          <w:rFonts w:ascii="Times New Roman" w:hAnsi="Times New Roman" w:cs="Times New Roman"/>
          <w:b/>
          <w:bCs/>
          <w:color w:val="000000"/>
          <w:sz w:val="20"/>
          <w:szCs w:val="20"/>
        </w:rPr>
        <w:t>4 Conclusion</w:t>
      </w:r>
    </w:p>
    <w:p w14:paraId="57AA0654" w14:textId="70B31885" w:rsidR="00272159" w:rsidRDefault="00EA01CA">
      <w:pPr>
        <w:pStyle w:val="NormalWeb"/>
        <w:spacing w:line="276" w:lineRule="auto"/>
        <w:ind w:firstLine="720"/>
        <w:jc w:val="both"/>
        <w:rPr>
          <w:color w:val="000000"/>
          <w:sz w:val="20"/>
          <w:szCs w:val="20"/>
        </w:rPr>
      </w:pPr>
      <w:r>
        <w:rPr>
          <w:color w:val="000000"/>
          <w:sz w:val="20"/>
          <w:szCs w:val="20"/>
        </w:rPr>
        <w:t>The analysis of India’s wool sector from multiple dimensions including sheep population trends, wool production across states, and detailed trade dynamics reveals a complex yet evolving picture. On the positive side, India’s sheep population has demonstrated a consistent upward trend, with projections indicating continued growth through 2031. This reflects strong potential for wool production, especially if supported by favourable policies and improved livestock management practices. However, this growth in animal numbers has not translated into proportional gains in wool output. National wool production has steadily declined over the last two decades, dropping by over 33 % from 2002–03 to 2021–22. This contraction, despite rising sheep numbers, signals systemic inefficiencies such as poor breed quality, lack of veterinary support, reduced access to grazing lands, and low market incentives. State-wise, Rajasthan remains a key player with relatively stable production, while several other states including Madhya Pradesh, Jammu &amp; Kashmir, and Karnataka have seen dramatic declines. The COVID-19 pandemic further exposed the sector's fragility, disrupting wool supply chains and production systems</w:t>
      </w:r>
      <w:r w:rsidR="00E91448">
        <w:rPr>
          <w:color w:val="000000"/>
          <w:sz w:val="20"/>
          <w:szCs w:val="20"/>
        </w:rPr>
        <w:t xml:space="preserve"> (Hayes et al. 2021)</w:t>
      </w:r>
      <w:r>
        <w:rPr>
          <w:color w:val="000000"/>
          <w:sz w:val="20"/>
          <w:szCs w:val="20"/>
        </w:rPr>
        <w:t>. The trade analysis adds another layer of insight. India's wool imports have remained high, especially for fine and semi-processed wool products, indicating a structural dependence on global markets to meet domestic textile industry demands. Imports of woven wool fabrics (HS F0994) have shown strong positive growth, both in quantity and value, reflecting a shift toward higher quality inputs. Conversely, raw wool imports (HS F1009) have seen a sharp decline, suggesting changes in sourcing strategies or enhanced domestic self-sufficiency. On the export front, India has made noteworthy gains in certain categories. The overall CAGR for wool exports from 2002 to 2023 is positive, with a stronger growth in value (7.54%) than quantity (5.62%), pointing to rising global competitiveness and movement toward value-added wool products. Categories such as raw wool (F1009) and high-grade woven fabrics (F0994) have performed particularly well. However, some product segments, like degreased but uncarded wool (HS 02941) and wool waste (HS 26130), have experienced significant declines, highlighting the need for modernization and strategic repositioning.</w:t>
      </w:r>
    </w:p>
    <w:p w14:paraId="30C19C55" w14:textId="0ED72997" w:rsidR="00272159" w:rsidRDefault="00EA01CA">
      <w:pPr>
        <w:pStyle w:val="NormalWeb"/>
        <w:spacing w:line="276" w:lineRule="auto"/>
        <w:ind w:firstLine="720"/>
        <w:jc w:val="both"/>
        <w:rPr>
          <w:color w:val="000000"/>
          <w:sz w:val="20"/>
          <w:szCs w:val="20"/>
        </w:rPr>
      </w:pPr>
      <w:r>
        <w:rPr>
          <w:color w:val="000000"/>
          <w:sz w:val="20"/>
          <w:szCs w:val="20"/>
        </w:rPr>
        <w:t xml:space="preserve">Overall, the Indian wool sector stands at a crossroads. While the growing sheep population and export diversification offer opportunities, declining domestic production, regional disparities and dependency on imports pose significant challenges. Strengthening breeding programs, ensuring access to quality pastures, investing in processing infrastructure, and incentivizing value addition will be crucial for revitalizing this sector. A holistic </w:t>
      </w:r>
      <w:r>
        <w:rPr>
          <w:color w:val="000000"/>
          <w:sz w:val="20"/>
          <w:szCs w:val="20"/>
        </w:rPr>
        <w:lastRenderedPageBreak/>
        <w:t xml:space="preserve">policy approach that integrates production, trade, and sustainability goals is essential for securing a resilient and globally competitive Indian </w:t>
      </w:r>
      <w:r w:rsidR="007716EB">
        <w:rPr>
          <w:color w:val="000000"/>
          <w:sz w:val="20"/>
          <w:szCs w:val="20"/>
        </w:rPr>
        <w:t>wool sector</w:t>
      </w:r>
      <w:r>
        <w:rPr>
          <w:color w:val="000000"/>
          <w:sz w:val="20"/>
          <w:szCs w:val="20"/>
        </w:rPr>
        <w:t>.</w:t>
      </w:r>
    </w:p>
    <w:p w14:paraId="0E973E3A" w14:textId="77777777" w:rsidR="00272159" w:rsidRDefault="00272159">
      <w:pPr>
        <w:pStyle w:val="ReferHead"/>
        <w:spacing w:after="0"/>
        <w:jc w:val="both"/>
        <w:rPr>
          <w:rStyle w:val="apple-converted-space"/>
          <w:rFonts w:ascii="Times New Roman" w:hAnsi="Times New Roman"/>
          <w:b w:val="0"/>
          <w:i/>
          <w:iCs/>
          <w:caps w:val="0"/>
          <w:color w:val="000000"/>
          <w:sz w:val="20"/>
        </w:rPr>
      </w:pPr>
    </w:p>
    <w:p w14:paraId="5B3AE646" w14:textId="77777777" w:rsidR="00272159" w:rsidRDefault="00EA01CA">
      <w:pPr>
        <w:spacing w:after="200" w:line="276" w:lineRule="auto"/>
        <w:jc w:val="both"/>
        <w:outlineLvl w:val="0"/>
        <w:rPr>
          <w:rFonts w:ascii="Arial" w:eastAsia="Times New Roman" w:hAnsi="Arial" w:cs="Arial"/>
          <w:sz w:val="22"/>
          <w:szCs w:val="22"/>
          <w:lang w:val="en-GB" w:eastAsia="en-GB"/>
        </w:rPr>
      </w:pPr>
      <w:r>
        <w:rPr>
          <w:rFonts w:ascii="Arial" w:eastAsia="Times New Roman" w:hAnsi="Arial" w:cs="Arial"/>
          <w:b/>
          <w:bCs/>
          <w:sz w:val="22"/>
          <w:szCs w:val="22"/>
          <w:lang w:val="en-GB" w:eastAsia="en-GB"/>
        </w:rPr>
        <w:t>COMPETING INTERESTS DISCLAIMER:</w:t>
      </w:r>
    </w:p>
    <w:p w14:paraId="7DA0F5E6" w14:textId="77777777" w:rsidR="00272159" w:rsidRDefault="00EA01CA">
      <w:pPr>
        <w:spacing w:after="200" w:line="276" w:lineRule="auto"/>
        <w:rPr>
          <w:rFonts w:ascii="Calibri" w:eastAsia="Times New Roman" w:hAnsi="Calibri" w:cs="Times New Roman"/>
          <w:sz w:val="22"/>
          <w:szCs w:val="22"/>
          <w:lang w:val="en-GB" w:eastAsia="en-GB"/>
        </w:rPr>
      </w:pPr>
      <w:r>
        <w:rPr>
          <w:rFonts w:ascii="Calibri" w:eastAsia="Times New Roman" w:hAnsi="Calibri" w:cs="Times New Roman"/>
          <w:sz w:val="22"/>
          <w:szCs w:val="22"/>
          <w:lang w:val="en-GB" w:eastAsia="en-GB"/>
        </w:rPr>
        <w:t>Authors have declared that they have no known competing financial interests OR non-financial interests OR personal relationships that could have appeared to influence the work reported in this paper.</w:t>
      </w:r>
    </w:p>
    <w:p w14:paraId="23067D08" w14:textId="77777777" w:rsidR="00272159" w:rsidRDefault="00272159">
      <w:pPr>
        <w:pStyle w:val="ReferHead"/>
        <w:spacing w:after="0"/>
        <w:jc w:val="both"/>
        <w:rPr>
          <w:rFonts w:ascii="Times New Roman" w:hAnsi="Times New Roman"/>
          <w:b w:val="0"/>
          <w:sz w:val="20"/>
        </w:rPr>
      </w:pPr>
    </w:p>
    <w:p w14:paraId="4AF754C7" w14:textId="77777777" w:rsidR="005C4CBC" w:rsidRPr="00FE7640" w:rsidRDefault="005C4CBC" w:rsidP="005C4CBC">
      <w:pPr>
        <w:rPr>
          <w:rFonts w:ascii="Calibri" w:eastAsia="Calibri" w:hAnsi="Calibri" w:cs="Times New Roman"/>
          <w:kern w:val="2"/>
          <w:highlight w:val="yellow"/>
          <w:lang w:val="en-US"/>
        </w:rPr>
      </w:pPr>
      <w:bookmarkStart w:id="2" w:name="_Hlk201835975"/>
      <w:bookmarkStart w:id="3" w:name="_Hlk193540946"/>
      <w:bookmarkStart w:id="4" w:name="_Hlk180402183"/>
      <w:bookmarkStart w:id="5" w:name="_Hlk183680988"/>
      <w:bookmarkStart w:id="6" w:name="_Hlk197173371"/>
      <w:r w:rsidRPr="00FE7640">
        <w:rPr>
          <w:rFonts w:ascii="Calibri" w:eastAsia="Calibri" w:hAnsi="Calibri" w:cs="Times New Roman"/>
          <w:kern w:val="2"/>
          <w:highlight w:val="yellow"/>
          <w:lang w:val="en-US"/>
        </w:rPr>
        <w:t>Disclaimer (Artificial intelligence)</w:t>
      </w:r>
    </w:p>
    <w:p w14:paraId="0D7C2AF7" w14:textId="7777777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 xml:space="preserve">Option 1: </w:t>
      </w:r>
    </w:p>
    <w:p w14:paraId="6F8902F2" w14:textId="7777777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Author(s) hereby declare that NO generative AI technologies such as Large Language Models (</w:t>
      </w:r>
      <w:proofErr w:type="spellStart"/>
      <w:r w:rsidRPr="009C5487">
        <w:rPr>
          <w:rFonts w:ascii="Calibri" w:eastAsia="Calibri" w:hAnsi="Calibri" w:cs="Times New Roman"/>
          <w:kern w:val="2"/>
          <w:highlight w:val="yellow"/>
          <w:lang w:val="en-US"/>
        </w:rPr>
        <w:t>ChatGPT</w:t>
      </w:r>
      <w:proofErr w:type="spellEnd"/>
      <w:r w:rsidRPr="009C5487">
        <w:rPr>
          <w:rFonts w:ascii="Calibri" w:eastAsia="Calibri" w:hAnsi="Calibri" w:cs="Times New Roman"/>
          <w:kern w:val="2"/>
          <w:highlight w:val="yellow"/>
          <w:lang w:val="en-US"/>
        </w:rPr>
        <w:t xml:space="preserve">, manuscript. </w:t>
      </w:r>
    </w:p>
    <w:p w14:paraId="7642E71C" w14:textId="7777777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 xml:space="preserve">Option 2: </w:t>
      </w:r>
    </w:p>
    <w:p w14:paraId="7FA91E45" w14:textId="7777777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15FB3C13" w14:textId="7777777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Details of the AI usage are given below:</w:t>
      </w:r>
    </w:p>
    <w:p w14:paraId="623C53E1" w14:textId="4BF249D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1.</w:t>
      </w:r>
      <w:r w:rsidR="007716EB">
        <w:rPr>
          <w:rFonts w:ascii="Calibri" w:eastAsia="Calibri" w:hAnsi="Calibri" w:cs="Times New Roman"/>
          <w:kern w:val="2"/>
          <w:highlight w:val="yellow"/>
          <w:lang w:val="en-US"/>
        </w:rPr>
        <w:t xml:space="preserve"> NO AI USAGE </w:t>
      </w:r>
    </w:p>
    <w:p w14:paraId="3F6ADAAC" w14:textId="77777777" w:rsidR="005C4CBC" w:rsidRPr="009C5487" w:rsidRDefault="005C4CBC" w:rsidP="005C4CBC">
      <w:pPr>
        <w:rPr>
          <w:rFonts w:ascii="Calibri" w:eastAsia="Calibri" w:hAnsi="Calibri" w:cs="Times New Roman"/>
          <w:kern w:val="2"/>
          <w:highlight w:val="yellow"/>
          <w:lang w:val="en-US"/>
        </w:rPr>
      </w:pPr>
      <w:r w:rsidRPr="009C5487">
        <w:rPr>
          <w:rFonts w:ascii="Calibri" w:eastAsia="Calibri" w:hAnsi="Calibri" w:cs="Times New Roman"/>
          <w:kern w:val="2"/>
          <w:highlight w:val="yellow"/>
          <w:lang w:val="en-US"/>
        </w:rPr>
        <w:t>2.</w:t>
      </w:r>
      <w:bookmarkEnd w:id="2"/>
    </w:p>
    <w:p w14:paraId="0153BC99" w14:textId="77777777" w:rsidR="005C4CBC" w:rsidRPr="009C5487" w:rsidRDefault="005C4CBC" w:rsidP="005C4CBC">
      <w:pPr>
        <w:rPr>
          <w:rFonts w:ascii="Calibri" w:eastAsia="Calibri" w:hAnsi="Calibri" w:cs="Times New Roman"/>
          <w:kern w:val="2"/>
          <w:lang w:val="en-US"/>
        </w:rPr>
      </w:pPr>
      <w:r w:rsidRPr="009C5487">
        <w:rPr>
          <w:rFonts w:ascii="Calibri" w:eastAsia="Calibri" w:hAnsi="Calibri" w:cs="Times New Roman"/>
          <w:kern w:val="2"/>
          <w:highlight w:val="yellow"/>
          <w:lang w:val="en-US"/>
        </w:rPr>
        <w:t>3.</w:t>
      </w:r>
      <w:bookmarkEnd w:id="3"/>
    </w:p>
    <w:bookmarkEnd w:id="4"/>
    <w:bookmarkEnd w:id="5"/>
    <w:bookmarkEnd w:id="6"/>
    <w:p w14:paraId="0476F155" w14:textId="77777777" w:rsidR="00272159" w:rsidRDefault="00EA01CA">
      <w:pPr>
        <w:pStyle w:val="NormalWeb"/>
        <w:spacing w:before="0" w:beforeAutospacing="0" w:after="0" w:afterAutospacing="0" w:line="360" w:lineRule="auto"/>
        <w:jc w:val="both"/>
        <w:rPr>
          <w:sz w:val="22"/>
          <w:szCs w:val="22"/>
          <w:lang w:val="en-GB"/>
        </w:rPr>
      </w:pPr>
      <w:r>
        <w:rPr>
          <w:sz w:val="22"/>
          <w:szCs w:val="22"/>
          <w:lang w:val="en-GB"/>
        </w:rPr>
        <w:t xml:space="preserve"> </w:t>
      </w:r>
    </w:p>
    <w:p w14:paraId="621502C0" w14:textId="77777777" w:rsidR="00A62CA6" w:rsidRDefault="00A62CA6">
      <w:pPr>
        <w:pStyle w:val="NormalWeb"/>
        <w:spacing w:before="0" w:beforeAutospacing="0" w:after="0" w:afterAutospacing="0" w:line="360" w:lineRule="auto"/>
        <w:jc w:val="both"/>
        <w:rPr>
          <w:sz w:val="22"/>
          <w:szCs w:val="22"/>
          <w:lang w:val="en-GB"/>
        </w:rPr>
      </w:pPr>
    </w:p>
    <w:p w14:paraId="5B175FEA" w14:textId="77777777" w:rsidR="00A62CA6" w:rsidRDefault="00A62CA6">
      <w:pPr>
        <w:pStyle w:val="NormalWeb"/>
        <w:spacing w:before="0" w:beforeAutospacing="0" w:after="0" w:afterAutospacing="0" w:line="360" w:lineRule="auto"/>
        <w:jc w:val="both"/>
        <w:rPr>
          <w:sz w:val="22"/>
          <w:szCs w:val="22"/>
          <w:lang w:val="en-GB"/>
        </w:rPr>
      </w:pPr>
    </w:p>
    <w:p w14:paraId="2AC77EA2" w14:textId="77777777" w:rsidR="00272159" w:rsidRDefault="00EA01CA">
      <w:pPr>
        <w:pStyle w:val="NormalWeb"/>
        <w:spacing w:before="0" w:beforeAutospacing="0" w:after="0" w:afterAutospacing="0" w:line="360" w:lineRule="auto"/>
        <w:jc w:val="both"/>
        <w:rPr>
          <w:sz w:val="22"/>
          <w:szCs w:val="22"/>
          <w:lang w:val="en-GB"/>
        </w:rPr>
      </w:pPr>
      <w:r>
        <w:rPr>
          <w:b/>
          <w:bCs/>
          <w:color w:val="000000"/>
          <w:sz w:val="22"/>
          <w:szCs w:val="22"/>
        </w:rPr>
        <w:t>REFERENCES</w:t>
      </w:r>
      <w:bookmarkEnd w:id="0"/>
      <w:bookmarkEnd w:id="1"/>
    </w:p>
    <w:p w14:paraId="4251D289" w14:textId="46C3BC6F" w:rsidR="00272159" w:rsidRDefault="00EA01CA">
      <w:pPr>
        <w:pStyle w:val="NormalWeb"/>
        <w:spacing w:before="0" w:beforeAutospacing="0" w:after="0" w:afterAutospacing="0" w:line="360" w:lineRule="auto"/>
        <w:jc w:val="both"/>
        <w:rPr>
          <w:color w:val="000000"/>
          <w:sz w:val="20"/>
          <w:szCs w:val="20"/>
        </w:rPr>
      </w:pPr>
      <w:r>
        <w:rPr>
          <w:color w:val="000000"/>
          <w:sz w:val="20"/>
          <w:szCs w:val="20"/>
        </w:rPr>
        <w:t>Acharya, R. M. (1982).</w:t>
      </w:r>
      <w:r>
        <w:rPr>
          <w:rStyle w:val="apple-converted-space"/>
          <w:color w:val="000000"/>
          <w:sz w:val="20"/>
          <w:szCs w:val="20"/>
        </w:rPr>
        <w:t> </w:t>
      </w:r>
      <w:r>
        <w:rPr>
          <w:rStyle w:val="Emphasis"/>
          <w:color w:val="000000"/>
          <w:sz w:val="20"/>
          <w:szCs w:val="20"/>
        </w:rPr>
        <w:t>Sheep and goat breeds of India</w:t>
      </w:r>
      <w:r>
        <w:rPr>
          <w:color w:val="000000"/>
          <w:sz w:val="20"/>
          <w:szCs w:val="20"/>
        </w:rPr>
        <w:t>. Animal Production and Health Paper 30. FAO of the United Nations, Rome, Italy.</w:t>
      </w:r>
      <w:r w:rsidR="00F93B7C">
        <w:rPr>
          <w:color w:val="000000"/>
          <w:sz w:val="20"/>
          <w:szCs w:val="20"/>
        </w:rPr>
        <w:t xml:space="preserve"> </w:t>
      </w:r>
      <w:hyperlink r:id="rId13" w:history="1">
        <w:r w:rsidR="00F93B7C" w:rsidRPr="00D13FBE">
          <w:rPr>
            <w:rStyle w:val="Hyperlink"/>
            <w:sz w:val="20"/>
            <w:szCs w:val="20"/>
          </w:rPr>
          <w:t>https://www.fao.org/4/x6532e/x6532e00.htm</w:t>
        </w:r>
      </w:hyperlink>
    </w:p>
    <w:p w14:paraId="5806A8C3" w14:textId="77777777" w:rsidR="00272159" w:rsidRDefault="00EA01CA">
      <w:pPr>
        <w:pStyle w:val="NormalWeb"/>
        <w:rPr>
          <w:color w:val="000000"/>
          <w:sz w:val="20"/>
          <w:szCs w:val="20"/>
        </w:rPr>
      </w:pPr>
      <w:r>
        <w:rPr>
          <w:color w:val="000000"/>
          <w:sz w:val="20"/>
          <w:szCs w:val="20"/>
        </w:rPr>
        <w:t>Anonymous. (2025).</w:t>
      </w:r>
      <w:r>
        <w:rPr>
          <w:rStyle w:val="apple-converted-space"/>
          <w:color w:val="000000"/>
          <w:sz w:val="20"/>
          <w:szCs w:val="20"/>
        </w:rPr>
        <w:t> </w:t>
      </w:r>
      <w:r>
        <w:rPr>
          <w:rStyle w:val="Emphasis"/>
          <w:color w:val="000000"/>
          <w:sz w:val="20"/>
          <w:szCs w:val="20"/>
        </w:rPr>
        <w:t>Agricultural statistics at a glance</w:t>
      </w:r>
      <w:r>
        <w:rPr>
          <w:color w:val="000000"/>
          <w:sz w:val="20"/>
          <w:szCs w:val="20"/>
        </w:rPr>
        <w:t>.</w:t>
      </w:r>
      <w:r>
        <w:rPr>
          <w:rStyle w:val="apple-converted-space"/>
          <w:color w:val="000000"/>
          <w:sz w:val="20"/>
          <w:szCs w:val="20"/>
        </w:rPr>
        <w:t> </w:t>
      </w:r>
      <w:hyperlink r:id="rId14" w:tgtFrame="_new" w:history="1">
        <w:r>
          <w:rPr>
            <w:rStyle w:val="Hyperlink"/>
            <w:sz w:val="20"/>
            <w:szCs w:val="20"/>
          </w:rPr>
          <w:t>https://agriwelfare.gov.in/en/agricultural_statistics_at_a_glance</w:t>
        </w:r>
      </w:hyperlink>
    </w:p>
    <w:p w14:paraId="12851643" w14:textId="7AEEE784" w:rsidR="00272159" w:rsidRDefault="00EA01CA">
      <w:pPr>
        <w:pStyle w:val="NormalWeb"/>
        <w:rPr>
          <w:color w:val="000000"/>
          <w:sz w:val="20"/>
          <w:szCs w:val="20"/>
        </w:rPr>
      </w:pPr>
      <w:r>
        <w:rPr>
          <w:color w:val="000000"/>
          <w:sz w:val="20"/>
          <w:szCs w:val="20"/>
        </w:rPr>
        <w:t xml:space="preserve">Bhatia, S., &amp; Arora, R. (2005). Biodiversity and conservation of Indian sheep genetic resources </w:t>
      </w:r>
      <w:r w:rsidR="00F93B7C">
        <w:rPr>
          <w:color w:val="000000"/>
          <w:sz w:val="20"/>
          <w:szCs w:val="20"/>
        </w:rPr>
        <w:t>–</w:t>
      </w:r>
      <w:r>
        <w:rPr>
          <w:color w:val="000000"/>
          <w:sz w:val="20"/>
          <w:szCs w:val="20"/>
        </w:rPr>
        <w:t xml:space="preserve"> An</w:t>
      </w:r>
      <w:r w:rsidR="00F93B7C">
        <w:rPr>
          <w:color w:val="000000"/>
          <w:sz w:val="20"/>
          <w:szCs w:val="20"/>
        </w:rPr>
        <w:t xml:space="preserve"> </w:t>
      </w:r>
      <w:r>
        <w:rPr>
          <w:color w:val="000000"/>
          <w:sz w:val="20"/>
          <w:szCs w:val="20"/>
        </w:rPr>
        <w:t>overview.</w:t>
      </w:r>
      <w:r>
        <w:rPr>
          <w:rStyle w:val="apple-converted-space"/>
          <w:color w:val="000000"/>
          <w:sz w:val="20"/>
          <w:szCs w:val="20"/>
        </w:rPr>
        <w:t> </w:t>
      </w:r>
      <w:r>
        <w:rPr>
          <w:rStyle w:val="Emphasis"/>
          <w:color w:val="000000"/>
          <w:sz w:val="20"/>
          <w:szCs w:val="20"/>
        </w:rPr>
        <w:t>Asian-Australasian Journal of Animal Sciences, 18</w:t>
      </w:r>
      <w:r>
        <w:rPr>
          <w:color w:val="000000"/>
          <w:sz w:val="20"/>
          <w:szCs w:val="20"/>
        </w:rPr>
        <w:t>(10), 1387–1402.</w:t>
      </w:r>
    </w:p>
    <w:p w14:paraId="16B3BE84" w14:textId="77777777" w:rsidR="00272159" w:rsidRDefault="00EA01CA">
      <w:pPr>
        <w:pStyle w:val="NormalWeb"/>
        <w:rPr>
          <w:color w:val="000000"/>
          <w:sz w:val="20"/>
          <w:szCs w:val="20"/>
        </w:rPr>
      </w:pPr>
      <w:r>
        <w:rPr>
          <w:color w:val="000000"/>
          <w:sz w:val="20"/>
          <w:szCs w:val="20"/>
        </w:rPr>
        <w:t>Bhatia, S., Arora, R., &amp; Singh, G. (2004). Status and conservation of sheep genetic resources of India. In</w:t>
      </w:r>
      <w:r>
        <w:rPr>
          <w:rStyle w:val="apple-converted-space"/>
          <w:color w:val="000000"/>
          <w:sz w:val="20"/>
          <w:szCs w:val="20"/>
        </w:rPr>
        <w:t> </w:t>
      </w:r>
      <w:r>
        <w:rPr>
          <w:rStyle w:val="Emphasis"/>
          <w:color w:val="000000"/>
          <w:sz w:val="20"/>
          <w:szCs w:val="20"/>
        </w:rPr>
        <w:t>Proceedings of characterization and conservation of animal genetic resources</w:t>
      </w:r>
      <w:r>
        <w:rPr>
          <w:color w:val="000000"/>
          <w:sz w:val="20"/>
          <w:szCs w:val="20"/>
        </w:rPr>
        <w:t>, NBAGR, Karnal, India (pp. 77–94).</w:t>
      </w:r>
    </w:p>
    <w:p w14:paraId="08A08DF2" w14:textId="77777777" w:rsidR="00272159" w:rsidRDefault="00EA01CA">
      <w:pPr>
        <w:pStyle w:val="NormalWeb"/>
        <w:rPr>
          <w:color w:val="000000"/>
          <w:sz w:val="20"/>
          <w:szCs w:val="20"/>
        </w:rPr>
      </w:pPr>
      <w:r>
        <w:rPr>
          <w:color w:val="000000"/>
          <w:sz w:val="20"/>
          <w:szCs w:val="20"/>
        </w:rPr>
        <w:t>FAOSTAT. (2025).</w:t>
      </w:r>
      <w:r>
        <w:rPr>
          <w:rStyle w:val="apple-converted-space"/>
          <w:color w:val="000000"/>
          <w:sz w:val="20"/>
          <w:szCs w:val="20"/>
        </w:rPr>
        <w:t> </w:t>
      </w:r>
      <w:r>
        <w:rPr>
          <w:rStyle w:val="Emphasis"/>
          <w:color w:val="000000"/>
          <w:sz w:val="20"/>
          <w:szCs w:val="20"/>
        </w:rPr>
        <w:t>Crops and livestock products</w:t>
      </w:r>
      <w:r>
        <w:rPr>
          <w:color w:val="000000"/>
          <w:sz w:val="20"/>
          <w:szCs w:val="20"/>
        </w:rPr>
        <w:t>.</w:t>
      </w:r>
      <w:r>
        <w:rPr>
          <w:rStyle w:val="apple-converted-space"/>
          <w:color w:val="000000"/>
          <w:sz w:val="20"/>
          <w:szCs w:val="20"/>
        </w:rPr>
        <w:t> </w:t>
      </w:r>
      <w:hyperlink r:id="rId15" w:anchor="data/TCL" w:tgtFrame="_new" w:history="1">
        <w:r>
          <w:rPr>
            <w:rStyle w:val="Hyperlink"/>
            <w:sz w:val="20"/>
            <w:szCs w:val="20"/>
          </w:rPr>
          <w:t>https://www.fao.org/faostat/en/#data/TCL</w:t>
        </w:r>
      </w:hyperlink>
    </w:p>
    <w:p w14:paraId="1272350A" w14:textId="77777777" w:rsidR="00272159" w:rsidRDefault="00EA01CA">
      <w:pPr>
        <w:pStyle w:val="NormalWeb"/>
        <w:rPr>
          <w:color w:val="000000"/>
          <w:sz w:val="20"/>
          <w:szCs w:val="20"/>
        </w:rPr>
      </w:pPr>
      <w:r>
        <w:rPr>
          <w:color w:val="000000"/>
          <w:sz w:val="20"/>
          <w:szCs w:val="20"/>
        </w:rPr>
        <w:t xml:space="preserve">Gopi Krishna, P. R., </w:t>
      </w:r>
      <w:proofErr w:type="spellStart"/>
      <w:r>
        <w:rPr>
          <w:color w:val="000000"/>
          <w:sz w:val="20"/>
          <w:szCs w:val="20"/>
        </w:rPr>
        <w:t>Sheshagiri</w:t>
      </w:r>
      <w:proofErr w:type="spellEnd"/>
      <w:r>
        <w:rPr>
          <w:color w:val="000000"/>
          <w:sz w:val="20"/>
          <w:szCs w:val="20"/>
        </w:rPr>
        <w:t xml:space="preserve"> Rao, &amp; Kishore, K. (2010). Marketing wool from an endangered sheep breed in the Deccan Plateau of India. In</w:t>
      </w:r>
      <w:r>
        <w:rPr>
          <w:rStyle w:val="apple-converted-space"/>
          <w:color w:val="000000"/>
          <w:sz w:val="20"/>
          <w:szCs w:val="20"/>
        </w:rPr>
        <w:t> </w:t>
      </w:r>
      <w:r>
        <w:rPr>
          <w:rStyle w:val="Emphasis"/>
          <w:color w:val="000000"/>
          <w:sz w:val="20"/>
          <w:szCs w:val="20"/>
        </w:rPr>
        <w:t>Adding value to livestock diversity, Part 1: Wool and Cashmere</w:t>
      </w:r>
      <w:r>
        <w:rPr>
          <w:rStyle w:val="apple-converted-space"/>
          <w:color w:val="000000"/>
          <w:sz w:val="20"/>
          <w:szCs w:val="20"/>
        </w:rPr>
        <w:t> </w:t>
      </w:r>
      <w:r>
        <w:rPr>
          <w:color w:val="000000"/>
          <w:sz w:val="20"/>
          <w:szCs w:val="20"/>
        </w:rPr>
        <w:t>(pp. 17–28). FAO, Animal Production and Health Paper 168.</w:t>
      </w:r>
    </w:p>
    <w:p w14:paraId="426975FB" w14:textId="30BC7823" w:rsidR="00272159" w:rsidRDefault="00EA01CA">
      <w:pPr>
        <w:pStyle w:val="NormalWeb"/>
        <w:rPr>
          <w:color w:val="000000"/>
          <w:sz w:val="20"/>
          <w:szCs w:val="20"/>
        </w:rPr>
      </w:pPr>
      <w:r>
        <w:rPr>
          <w:color w:val="000000"/>
          <w:sz w:val="20"/>
          <w:szCs w:val="20"/>
        </w:rPr>
        <w:t>Gupta, S. P. (2011).</w:t>
      </w:r>
      <w:r>
        <w:rPr>
          <w:rStyle w:val="apple-converted-space"/>
          <w:color w:val="000000"/>
          <w:sz w:val="20"/>
          <w:szCs w:val="20"/>
        </w:rPr>
        <w:t> </w:t>
      </w:r>
      <w:r>
        <w:rPr>
          <w:rStyle w:val="Emphasis"/>
          <w:color w:val="000000"/>
          <w:sz w:val="20"/>
          <w:szCs w:val="20"/>
        </w:rPr>
        <w:t>Statistical methods</w:t>
      </w:r>
      <w:r>
        <w:rPr>
          <w:rStyle w:val="apple-converted-space"/>
          <w:color w:val="000000"/>
          <w:sz w:val="20"/>
          <w:szCs w:val="20"/>
        </w:rPr>
        <w:t> </w:t>
      </w:r>
      <w:r>
        <w:rPr>
          <w:color w:val="000000"/>
          <w:sz w:val="20"/>
          <w:szCs w:val="20"/>
        </w:rPr>
        <w:t>(41st ed.). Sultan Chand and Company, New Delhi.</w:t>
      </w:r>
    </w:p>
    <w:p w14:paraId="49599A9A" w14:textId="74167255" w:rsidR="00E91448" w:rsidRDefault="00E91448">
      <w:pPr>
        <w:pStyle w:val="NormalWeb"/>
        <w:rPr>
          <w:color w:val="000000"/>
          <w:sz w:val="20"/>
          <w:szCs w:val="20"/>
        </w:rPr>
      </w:pPr>
      <w:r>
        <w:rPr>
          <w:rFonts w:ascii="Arial" w:hAnsi="Arial" w:cs="Arial"/>
          <w:color w:val="222222"/>
          <w:sz w:val="20"/>
          <w:szCs w:val="20"/>
          <w:shd w:val="clear" w:color="auto" w:fill="FFFFFF"/>
        </w:rPr>
        <w:lastRenderedPageBreak/>
        <w:t>Hayes, D.J.; Schulz, L.L.; Hart, C.E.; Jacobs, K.L. A descriptive analysis of the COVID-19 impacts on U.S. pork, turkey, and egg markets.</w:t>
      </w:r>
      <w:r>
        <w:rPr>
          <w:rStyle w:val="apple-converted-space"/>
          <w:rFonts w:ascii="Arial" w:hAnsi="Arial" w:cs="Arial"/>
          <w:color w:val="222222"/>
          <w:sz w:val="20"/>
          <w:szCs w:val="20"/>
          <w:shd w:val="clear" w:color="auto" w:fill="FFFFFF"/>
        </w:rPr>
        <w:t> </w:t>
      </w:r>
      <w:r>
        <w:rPr>
          <w:rStyle w:val="html-italic"/>
          <w:rFonts w:ascii="Arial" w:hAnsi="Arial" w:cs="Arial"/>
          <w:i/>
          <w:iCs/>
          <w:color w:val="222222"/>
          <w:sz w:val="20"/>
          <w:szCs w:val="20"/>
        </w:rPr>
        <w:t>Agribusiness</w:t>
      </w:r>
      <w:r>
        <w:rPr>
          <w:rStyle w:val="apple-converted-space"/>
          <w:rFonts w:ascii="Arial" w:hAnsi="Arial" w:cs="Arial"/>
          <w:color w:val="222222"/>
          <w:sz w:val="20"/>
          <w:szCs w:val="20"/>
          <w:shd w:val="clear" w:color="auto" w:fill="FFFFFF"/>
        </w:rPr>
        <w:t> </w:t>
      </w:r>
      <w:r>
        <w:rPr>
          <w:rFonts w:ascii="Arial" w:hAnsi="Arial" w:cs="Arial"/>
          <w:b/>
          <w:bCs/>
          <w:color w:val="222222"/>
          <w:sz w:val="20"/>
          <w:szCs w:val="20"/>
        </w:rPr>
        <w:t>2021</w:t>
      </w:r>
      <w:r>
        <w:rPr>
          <w:rFonts w:ascii="Arial" w:hAnsi="Arial" w:cs="Arial"/>
          <w:color w:val="222222"/>
          <w:sz w:val="20"/>
          <w:szCs w:val="20"/>
          <w:shd w:val="clear" w:color="auto" w:fill="FFFFFF"/>
        </w:rPr>
        <w:t>,</w:t>
      </w:r>
      <w:r>
        <w:rPr>
          <w:rStyle w:val="apple-converted-space"/>
          <w:rFonts w:ascii="Arial" w:hAnsi="Arial" w:cs="Arial"/>
          <w:color w:val="222222"/>
          <w:sz w:val="20"/>
          <w:szCs w:val="20"/>
          <w:shd w:val="clear" w:color="auto" w:fill="FFFFFF"/>
        </w:rPr>
        <w:t> </w:t>
      </w:r>
      <w:r>
        <w:rPr>
          <w:rStyle w:val="html-italic"/>
          <w:rFonts w:ascii="Arial" w:hAnsi="Arial" w:cs="Arial"/>
          <w:i/>
          <w:iCs/>
          <w:color w:val="222222"/>
          <w:sz w:val="20"/>
          <w:szCs w:val="20"/>
        </w:rPr>
        <w:t>37</w:t>
      </w:r>
      <w:r>
        <w:rPr>
          <w:rFonts w:ascii="Arial" w:hAnsi="Arial" w:cs="Arial"/>
          <w:color w:val="222222"/>
          <w:sz w:val="20"/>
          <w:szCs w:val="20"/>
          <w:shd w:val="clear" w:color="auto" w:fill="FFFFFF"/>
        </w:rPr>
        <w:t>, 122–141</w:t>
      </w:r>
    </w:p>
    <w:p w14:paraId="62E0049C" w14:textId="77777777" w:rsidR="00272159" w:rsidRDefault="00EA01CA">
      <w:pPr>
        <w:pStyle w:val="NormalWeb"/>
        <w:rPr>
          <w:color w:val="000000"/>
          <w:sz w:val="20"/>
          <w:szCs w:val="20"/>
        </w:rPr>
      </w:pPr>
      <w:r>
        <w:rPr>
          <w:color w:val="000000"/>
          <w:sz w:val="20"/>
          <w:szCs w:val="20"/>
        </w:rPr>
        <w:t>Hilly, M., Adams, M. L., &amp; Nelson, S. C. (2002). A study of digit fusion in the mouse embryo.</w:t>
      </w:r>
      <w:r>
        <w:rPr>
          <w:rStyle w:val="apple-converted-space"/>
          <w:color w:val="000000"/>
          <w:sz w:val="20"/>
          <w:szCs w:val="20"/>
        </w:rPr>
        <w:t> </w:t>
      </w:r>
      <w:r>
        <w:rPr>
          <w:rStyle w:val="Emphasis"/>
          <w:color w:val="000000"/>
          <w:sz w:val="20"/>
          <w:szCs w:val="20"/>
        </w:rPr>
        <w:t>Clinical and Experimental Allergy, 32</w:t>
      </w:r>
      <w:r>
        <w:rPr>
          <w:color w:val="000000"/>
          <w:sz w:val="20"/>
          <w:szCs w:val="20"/>
        </w:rPr>
        <w:t>(4), 489–498.</w:t>
      </w:r>
    </w:p>
    <w:p w14:paraId="471DBA20" w14:textId="77777777" w:rsidR="00272159" w:rsidRDefault="00EA01CA">
      <w:pPr>
        <w:pStyle w:val="NormalWeb"/>
        <w:rPr>
          <w:color w:val="000000"/>
          <w:sz w:val="20"/>
          <w:szCs w:val="20"/>
        </w:rPr>
      </w:pPr>
      <w:r>
        <w:rPr>
          <w:color w:val="000000"/>
          <w:sz w:val="20"/>
          <w:szCs w:val="20"/>
        </w:rPr>
        <w:t>Kumar, A., Prince, L. L., &amp; Jose, S. (2017). Sustainable wool production in India. In Muthu, S. S. (Ed.),</w:t>
      </w:r>
      <w:r>
        <w:rPr>
          <w:rStyle w:val="apple-converted-space"/>
          <w:color w:val="000000"/>
          <w:sz w:val="20"/>
          <w:szCs w:val="20"/>
        </w:rPr>
        <w:t> </w:t>
      </w:r>
      <w:r>
        <w:rPr>
          <w:rStyle w:val="Emphasis"/>
          <w:color w:val="000000"/>
          <w:sz w:val="20"/>
          <w:szCs w:val="20"/>
        </w:rPr>
        <w:t>Sustainable fibres and textiles</w:t>
      </w:r>
      <w:r>
        <w:rPr>
          <w:rStyle w:val="apple-converted-space"/>
          <w:color w:val="000000"/>
          <w:sz w:val="20"/>
          <w:szCs w:val="20"/>
        </w:rPr>
        <w:t> </w:t>
      </w:r>
      <w:r>
        <w:rPr>
          <w:color w:val="000000"/>
          <w:sz w:val="20"/>
          <w:szCs w:val="20"/>
        </w:rPr>
        <w:t>(pp. 87–115). Woodhead Publishing.</w:t>
      </w:r>
    </w:p>
    <w:p w14:paraId="5A7A3537" w14:textId="77777777" w:rsidR="00272159" w:rsidRDefault="00EA01CA">
      <w:pPr>
        <w:pStyle w:val="NormalWeb"/>
        <w:rPr>
          <w:color w:val="000000"/>
          <w:sz w:val="20"/>
          <w:szCs w:val="20"/>
        </w:rPr>
      </w:pPr>
      <w:r>
        <w:rPr>
          <w:color w:val="000000"/>
          <w:sz w:val="20"/>
          <w:szCs w:val="20"/>
        </w:rPr>
        <w:t>Livestock Census. (1992).</w:t>
      </w:r>
      <w:r>
        <w:rPr>
          <w:rStyle w:val="apple-converted-space"/>
          <w:color w:val="000000"/>
          <w:sz w:val="20"/>
          <w:szCs w:val="20"/>
        </w:rPr>
        <w:t> </w:t>
      </w:r>
      <w:r>
        <w:rPr>
          <w:rStyle w:val="Emphasis"/>
          <w:color w:val="000000"/>
          <w:sz w:val="20"/>
          <w:szCs w:val="20"/>
        </w:rPr>
        <w:t>15th Livestock Census – 1992</w:t>
      </w:r>
      <w:r>
        <w:rPr>
          <w:color w:val="000000"/>
          <w:sz w:val="20"/>
          <w:szCs w:val="20"/>
        </w:rPr>
        <w:t>. Department of Animal Husbandry, Dairying and Fisheries, Ministry of Agriculture, Government of India.</w:t>
      </w:r>
    </w:p>
    <w:p w14:paraId="1D5865C9" w14:textId="77777777" w:rsidR="00272159" w:rsidRDefault="00EA01CA">
      <w:pPr>
        <w:pStyle w:val="NormalWeb"/>
        <w:rPr>
          <w:color w:val="000000"/>
          <w:sz w:val="20"/>
          <w:szCs w:val="20"/>
        </w:rPr>
      </w:pPr>
      <w:r>
        <w:rPr>
          <w:color w:val="000000"/>
          <w:sz w:val="20"/>
          <w:szCs w:val="20"/>
        </w:rPr>
        <w:t>Livestock Census. (1997).</w:t>
      </w:r>
      <w:r>
        <w:rPr>
          <w:rStyle w:val="apple-converted-space"/>
          <w:color w:val="000000"/>
          <w:sz w:val="20"/>
          <w:szCs w:val="20"/>
        </w:rPr>
        <w:t> </w:t>
      </w:r>
      <w:r>
        <w:rPr>
          <w:rStyle w:val="Emphasis"/>
          <w:color w:val="000000"/>
          <w:sz w:val="20"/>
          <w:szCs w:val="20"/>
        </w:rPr>
        <w:t>16th Livestock Census – 1997</w:t>
      </w:r>
      <w:r>
        <w:rPr>
          <w:color w:val="000000"/>
          <w:sz w:val="20"/>
          <w:szCs w:val="20"/>
        </w:rPr>
        <w:t>. Department of Animal Husbandry, Dairying and Fisheries, Ministry of Agriculture, Government of India.</w:t>
      </w:r>
    </w:p>
    <w:p w14:paraId="63458B96" w14:textId="77777777" w:rsidR="00272159" w:rsidRDefault="00EA01CA">
      <w:pPr>
        <w:pStyle w:val="NormalWeb"/>
        <w:rPr>
          <w:color w:val="000000"/>
          <w:sz w:val="20"/>
          <w:szCs w:val="20"/>
        </w:rPr>
      </w:pPr>
      <w:r>
        <w:rPr>
          <w:color w:val="000000"/>
          <w:sz w:val="20"/>
          <w:szCs w:val="20"/>
        </w:rPr>
        <w:t>Livestock Census. (2003).</w:t>
      </w:r>
      <w:r>
        <w:rPr>
          <w:rStyle w:val="apple-converted-space"/>
          <w:color w:val="000000"/>
          <w:sz w:val="20"/>
          <w:szCs w:val="20"/>
        </w:rPr>
        <w:t> </w:t>
      </w:r>
      <w:r>
        <w:rPr>
          <w:rStyle w:val="Emphasis"/>
          <w:color w:val="000000"/>
          <w:sz w:val="20"/>
          <w:szCs w:val="20"/>
        </w:rPr>
        <w:t>17th Livestock Census – 2003</w:t>
      </w:r>
      <w:r>
        <w:rPr>
          <w:color w:val="000000"/>
          <w:sz w:val="20"/>
          <w:szCs w:val="20"/>
        </w:rPr>
        <w:t>. Department of Animal Husbandry, Dairying and Fisheries, Ministry of Agriculture, Government of India.</w:t>
      </w:r>
    </w:p>
    <w:p w14:paraId="7E08E2D7" w14:textId="77777777" w:rsidR="00272159" w:rsidRDefault="00EA01CA">
      <w:pPr>
        <w:pStyle w:val="NormalWeb"/>
        <w:rPr>
          <w:color w:val="000000"/>
          <w:sz w:val="20"/>
          <w:szCs w:val="20"/>
        </w:rPr>
      </w:pPr>
      <w:r>
        <w:rPr>
          <w:color w:val="000000"/>
          <w:sz w:val="20"/>
          <w:szCs w:val="20"/>
        </w:rPr>
        <w:t>Livestock Census. (2007).</w:t>
      </w:r>
      <w:r>
        <w:rPr>
          <w:rStyle w:val="apple-converted-space"/>
          <w:color w:val="000000"/>
          <w:sz w:val="20"/>
          <w:szCs w:val="20"/>
        </w:rPr>
        <w:t> </w:t>
      </w:r>
      <w:r>
        <w:rPr>
          <w:rStyle w:val="Emphasis"/>
          <w:color w:val="000000"/>
          <w:sz w:val="20"/>
          <w:szCs w:val="20"/>
        </w:rPr>
        <w:t>18th Livestock Census – 2007</w:t>
      </w:r>
      <w:r>
        <w:rPr>
          <w:color w:val="000000"/>
          <w:sz w:val="20"/>
          <w:szCs w:val="20"/>
        </w:rPr>
        <w:t>. Department of Animal Husbandry, Dairying and Fisheries, Ministry of Agriculture, Government of India.</w:t>
      </w:r>
    </w:p>
    <w:p w14:paraId="35F33AC8" w14:textId="77777777" w:rsidR="00272159" w:rsidRDefault="00EA01CA">
      <w:pPr>
        <w:pStyle w:val="NormalWeb"/>
        <w:rPr>
          <w:color w:val="000000"/>
          <w:sz w:val="20"/>
          <w:szCs w:val="20"/>
        </w:rPr>
      </w:pPr>
      <w:r>
        <w:rPr>
          <w:color w:val="000000"/>
          <w:sz w:val="20"/>
          <w:szCs w:val="20"/>
        </w:rPr>
        <w:t>Livestock Census. (2012).</w:t>
      </w:r>
      <w:r>
        <w:rPr>
          <w:rStyle w:val="apple-converted-space"/>
          <w:color w:val="000000"/>
          <w:sz w:val="20"/>
          <w:szCs w:val="20"/>
        </w:rPr>
        <w:t> </w:t>
      </w:r>
      <w:r>
        <w:rPr>
          <w:rStyle w:val="Emphasis"/>
          <w:color w:val="000000"/>
          <w:sz w:val="20"/>
          <w:szCs w:val="20"/>
        </w:rPr>
        <w:t>19th Livestock Census – 2012</w:t>
      </w:r>
      <w:r>
        <w:rPr>
          <w:color w:val="000000"/>
          <w:sz w:val="20"/>
          <w:szCs w:val="20"/>
        </w:rPr>
        <w:t>. Department of Animal Husbandry, Dairying and Fisheries, Ministry of Agriculture, Government of India.</w:t>
      </w:r>
    </w:p>
    <w:p w14:paraId="4F22DB0E" w14:textId="1896149C" w:rsidR="00272159" w:rsidRDefault="00EA01CA">
      <w:pPr>
        <w:pStyle w:val="NormalWeb"/>
        <w:rPr>
          <w:color w:val="000000"/>
          <w:sz w:val="20"/>
          <w:szCs w:val="20"/>
        </w:rPr>
      </w:pPr>
      <w:r>
        <w:rPr>
          <w:color w:val="000000"/>
          <w:sz w:val="20"/>
          <w:szCs w:val="20"/>
        </w:rPr>
        <w:t>Livestock Census. (2019).</w:t>
      </w:r>
      <w:r>
        <w:rPr>
          <w:rStyle w:val="apple-converted-space"/>
          <w:color w:val="000000"/>
          <w:sz w:val="20"/>
          <w:szCs w:val="20"/>
        </w:rPr>
        <w:t> </w:t>
      </w:r>
      <w:r>
        <w:rPr>
          <w:rStyle w:val="Emphasis"/>
          <w:color w:val="000000"/>
          <w:sz w:val="20"/>
          <w:szCs w:val="20"/>
        </w:rPr>
        <w:t>20th Livestock Census – 2019</w:t>
      </w:r>
      <w:r>
        <w:rPr>
          <w:color w:val="000000"/>
          <w:sz w:val="20"/>
          <w:szCs w:val="20"/>
        </w:rPr>
        <w:t>. Department of Animal Husbandry and Dairying, Ministry of Fisheries, Animal Husbandry and Dairying, Government of India.</w:t>
      </w:r>
    </w:p>
    <w:p w14:paraId="05F83768" w14:textId="5B8D0835" w:rsidR="00E91448" w:rsidRDefault="00E91448">
      <w:pPr>
        <w:pStyle w:val="NormalWeb"/>
        <w:rPr>
          <w:rFonts w:ascii="Helvetica Neue" w:hAnsi="Helvetica Neue"/>
          <w:color w:val="222222"/>
          <w:sz w:val="18"/>
          <w:szCs w:val="18"/>
          <w:shd w:val="clear" w:color="auto" w:fill="FFFFFF"/>
        </w:rPr>
      </w:pPr>
      <w:r>
        <w:rPr>
          <w:rFonts w:ascii="Helvetica Neue" w:hAnsi="Helvetica Neue"/>
          <w:color w:val="222222"/>
          <w:sz w:val="18"/>
          <w:szCs w:val="18"/>
          <w:shd w:val="clear" w:color="auto" w:fill="FFFFFF"/>
        </w:rPr>
        <w:t xml:space="preserve">Payne-Gifford, S.; </w:t>
      </w:r>
      <w:proofErr w:type="spellStart"/>
      <w:r>
        <w:rPr>
          <w:rFonts w:ascii="Helvetica Neue" w:hAnsi="Helvetica Neue"/>
          <w:color w:val="222222"/>
          <w:sz w:val="18"/>
          <w:szCs w:val="18"/>
          <w:shd w:val="clear" w:color="auto" w:fill="FFFFFF"/>
        </w:rPr>
        <w:t>Whatford</w:t>
      </w:r>
      <w:proofErr w:type="spellEnd"/>
      <w:r>
        <w:rPr>
          <w:rFonts w:ascii="Helvetica Neue" w:hAnsi="Helvetica Neue"/>
          <w:color w:val="222222"/>
          <w:sz w:val="18"/>
          <w:szCs w:val="18"/>
          <w:shd w:val="clear" w:color="auto" w:fill="FFFFFF"/>
        </w:rPr>
        <w:t xml:space="preserve">, L.; </w:t>
      </w:r>
      <w:proofErr w:type="spellStart"/>
      <w:r>
        <w:rPr>
          <w:rFonts w:ascii="Helvetica Neue" w:hAnsi="Helvetica Neue"/>
          <w:color w:val="222222"/>
          <w:sz w:val="18"/>
          <w:szCs w:val="18"/>
          <w:shd w:val="clear" w:color="auto" w:fill="FFFFFF"/>
        </w:rPr>
        <w:t>Tak</w:t>
      </w:r>
      <w:proofErr w:type="spellEnd"/>
      <w:r>
        <w:rPr>
          <w:rFonts w:ascii="Helvetica Neue" w:hAnsi="Helvetica Neue"/>
          <w:color w:val="222222"/>
          <w:sz w:val="18"/>
          <w:szCs w:val="18"/>
          <w:shd w:val="clear" w:color="auto" w:fill="FFFFFF"/>
        </w:rPr>
        <w:t xml:space="preserve">, M.; Van </w:t>
      </w:r>
      <w:proofErr w:type="spellStart"/>
      <w:r>
        <w:rPr>
          <w:rFonts w:ascii="Helvetica Neue" w:hAnsi="Helvetica Neue"/>
          <w:color w:val="222222"/>
          <w:sz w:val="18"/>
          <w:szCs w:val="18"/>
          <w:shd w:val="clear" w:color="auto" w:fill="FFFFFF"/>
        </w:rPr>
        <w:t>Winden</w:t>
      </w:r>
      <w:proofErr w:type="spellEnd"/>
      <w:r>
        <w:rPr>
          <w:rFonts w:ascii="Helvetica Neue" w:hAnsi="Helvetica Neue"/>
          <w:color w:val="222222"/>
          <w:sz w:val="18"/>
          <w:szCs w:val="18"/>
          <w:shd w:val="clear" w:color="auto" w:fill="FFFFFF"/>
        </w:rPr>
        <w:t>, S.; Barling, D. Conceptualising Disruptions in British Beef and Sheep Supply Chains during the COVID-19 Crisis.</w:t>
      </w:r>
      <w:r>
        <w:rPr>
          <w:rStyle w:val="apple-converted-space"/>
          <w:rFonts w:ascii="Helvetica Neue" w:hAnsi="Helvetica Neue"/>
          <w:color w:val="222222"/>
          <w:sz w:val="18"/>
          <w:szCs w:val="18"/>
          <w:shd w:val="clear" w:color="auto" w:fill="FFFFFF"/>
        </w:rPr>
        <w:t> </w:t>
      </w:r>
      <w:r>
        <w:rPr>
          <w:rStyle w:val="Emphasis"/>
          <w:rFonts w:ascii="Helvetica Neue" w:hAnsi="Helvetica Neue"/>
          <w:color w:val="222222"/>
          <w:sz w:val="18"/>
          <w:szCs w:val="18"/>
        </w:rPr>
        <w:t>Sustainability</w:t>
      </w:r>
      <w:r>
        <w:rPr>
          <w:rStyle w:val="apple-converted-space"/>
          <w:rFonts w:ascii="Helvetica Neue" w:hAnsi="Helvetica Neue"/>
          <w:color w:val="222222"/>
          <w:sz w:val="18"/>
          <w:szCs w:val="18"/>
          <w:shd w:val="clear" w:color="auto" w:fill="FFFFFF"/>
        </w:rPr>
        <w:t> </w:t>
      </w:r>
      <w:r>
        <w:rPr>
          <w:rFonts w:ascii="Helvetica Neue" w:hAnsi="Helvetica Neue"/>
          <w:b/>
          <w:bCs/>
          <w:color w:val="222222"/>
          <w:sz w:val="18"/>
          <w:szCs w:val="18"/>
        </w:rPr>
        <w:t>2022</w:t>
      </w:r>
      <w:r>
        <w:rPr>
          <w:rFonts w:ascii="Helvetica Neue" w:hAnsi="Helvetica Neue"/>
          <w:color w:val="222222"/>
          <w:sz w:val="18"/>
          <w:szCs w:val="18"/>
          <w:shd w:val="clear" w:color="auto" w:fill="FFFFFF"/>
        </w:rPr>
        <w:t>,</w:t>
      </w:r>
      <w:r>
        <w:rPr>
          <w:rStyle w:val="apple-converted-space"/>
          <w:rFonts w:ascii="Helvetica Neue" w:hAnsi="Helvetica Neue"/>
          <w:color w:val="222222"/>
          <w:sz w:val="18"/>
          <w:szCs w:val="18"/>
          <w:shd w:val="clear" w:color="auto" w:fill="FFFFFF"/>
        </w:rPr>
        <w:t> </w:t>
      </w:r>
      <w:r>
        <w:rPr>
          <w:rStyle w:val="Emphasis"/>
          <w:rFonts w:ascii="Helvetica Neue" w:hAnsi="Helvetica Neue"/>
          <w:color w:val="222222"/>
          <w:sz w:val="18"/>
          <w:szCs w:val="18"/>
        </w:rPr>
        <w:t>14</w:t>
      </w:r>
      <w:r>
        <w:rPr>
          <w:rFonts w:ascii="Helvetica Neue" w:hAnsi="Helvetica Neue"/>
          <w:color w:val="222222"/>
          <w:sz w:val="18"/>
          <w:szCs w:val="18"/>
          <w:shd w:val="clear" w:color="auto" w:fill="FFFFFF"/>
        </w:rPr>
        <w:t xml:space="preserve">, 1201. </w:t>
      </w:r>
      <w:hyperlink r:id="rId16" w:history="1">
        <w:r w:rsidRPr="00D13FBE">
          <w:rPr>
            <w:rStyle w:val="Hyperlink"/>
            <w:rFonts w:ascii="Helvetica Neue" w:hAnsi="Helvetica Neue"/>
            <w:sz w:val="18"/>
            <w:szCs w:val="18"/>
            <w:shd w:val="clear" w:color="auto" w:fill="FFFFFF"/>
          </w:rPr>
          <w:t>https://doi.org/10.3390/su14031201</w:t>
        </w:r>
      </w:hyperlink>
    </w:p>
    <w:p w14:paraId="073A7E1B" w14:textId="0175B778" w:rsidR="00272159" w:rsidRDefault="00EA01CA">
      <w:pPr>
        <w:pStyle w:val="NormalWeb"/>
        <w:rPr>
          <w:color w:val="000000"/>
          <w:sz w:val="20"/>
          <w:szCs w:val="20"/>
        </w:rPr>
      </w:pPr>
      <w:r>
        <w:rPr>
          <w:color w:val="000000"/>
          <w:sz w:val="20"/>
          <w:szCs w:val="20"/>
        </w:rPr>
        <w:t>Roy, T. (2003). Changes in wool production and usage in colonial India.</w:t>
      </w:r>
      <w:r>
        <w:rPr>
          <w:rStyle w:val="apple-converted-space"/>
          <w:color w:val="000000"/>
          <w:sz w:val="20"/>
          <w:szCs w:val="20"/>
        </w:rPr>
        <w:t> </w:t>
      </w:r>
      <w:r>
        <w:rPr>
          <w:rStyle w:val="Emphasis"/>
          <w:color w:val="000000"/>
          <w:sz w:val="20"/>
          <w:szCs w:val="20"/>
        </w:rPr>
        <w:t>Modern Asian Studies, 37</w:t>
      </w:r>
      <w:r>
        <w:rPr>
          <w:color w:val="000000"/>
          <w:sz w:val="20"/>
          <w:szCs w:val="20"/>
        </w:rPr>
        <w:t>(2), 257–286.</w:t>
      </w:r>
      <w:r>
        <w:rPr>
          <w:rStyle w:val="apple-converted-space"/>
          <w:color w:val="000000"/>
          <w:sz w:val="20"/>
          <w:szCs w:val="20"/>
        </w:rPr>
        <w:t> </w:t>
      </w:r>
      <w:hyperlink r:id="rId17" w:history="1">
        <w:r w:rsidR="00F93B7C" w:rsidRPr="00D13FBE">
          <w:rPr>
            <w:rStyle w:val="Hyperlink"/>
            <w:sz w:val="20"/>
            <w:szCs w:val="20"/>
          </w:rPr>
          <w:t>https://doi.org/10.1017/S0026749X03002014</w:t>
        </w:r>
      </w:hyperlink>
    </w:p>
    <w:p w14:paraId="3634E06F" w14:textId="18D3B06E" w:rsidR="00F93B7C" w:rsidRDefault="00F93B7C">
      <w:pPr>
        <w:pStyle w:val="NormalWeb"/>
        <w:rPr>
          <w:color w:val="000000"/>
          <w:sz w:val="20"/>
          <w:szCs w:val="20"/>
        </w:rPr>
      </w:pPr>
      <w:r>
        <w:rPr>
          <w:rFonts w:ascii="Arial" w:hAnsi="Arial" w:cs="Arial"/>
          <w:color w:val="222222"/>
          <w:sz w:val="20"/>
          <w:szCs w:val="20"/>
          <w:shd w:val="clear" w:color="auto" w:fill="FFFFFF"/>
        </w:rPr>
        <w:t>Roy, A. K., &amp; Singh, J. P. (2013). Grasslands in India: Problems and perspectives for sustaining livestock and rural livelihoods.</w:t>
      </w:r>
      <w:r>
        <w:rPr>
          <w:rStyle w:val="apple-converted-space"/>
          <w:rFonts w:ascii="Arial" w:hAnsi="Arial" w:cs="Arial"/>
          <w:color w:val="222222"/>
          <w:sz w:val="20"/>
          <w:szCs w:val="20"/>
          <w:shd w:val="clear" w:color="auto" w:fill="FFFFFF"/>
        </w:rPr>
        <w:t> </w:t>
      </w:r>
      <w:r>
        <w:rPr>
          <w:rFonts w:ascii="Arial" w:hAnsi="Arial" w:cs="Arial"/>
          <w:i/>
          <w:iCs/>
          <w:color w:val="222222"/>
          <w:sz w:val="20"/>
          <w:szCs w:val="20"/>
        </w:rPr>
        <w:t>Tropical Grasslands-</w:t>
      </w:r>
      <w:proofErr w:type="spellStart"/>
      <w:r>
        <w:rPr>
          <w:rFonts w:ascii="Arial" w:hAnsi="Arial" w:cs="Arial"/>
          <w:i/>
          <w:iCs/>
          <w:color w:val="222222"/>
          <w:sz w:val="20"/>
          <w:szCs w:val="20"/>
        </w:rPr>
        <w:t>Forrajes</w:t>
      </w:r>
      <w:proofErr w:type="spellEnd"/>
      <w:r>
        <w:rPr>
          <w:rFonts w:ascii="Arial" w:hAnsi="Arial" w:cs="Arial"/>
          <w:i/>
          <w:iCs/>
          <w:color w:val="222222"/>
          <w:sz w:val="20"/>
          <w:szCs w:val="20"/>
        </w:rPr>
        <w:t xml:space="preserve"> </w:t>
      </w:r>
      <w:proofErr w:type="spellStart"/>
      <w:r>
        <w:rPr>
          <w:rFonts w:ascii="Arial" w:hAnsi="Arial" w:cs="Arial"/>
          <w:i/>
          <w:iCs/>
          <w:color w:val="222222"/>
          <w:sz w:val="20"/>
          <w:szCs w:val="20"/>
        </w:rPr>
        <w:t>Tropicales</w:t>
      </w:r>
      <w:proofErr w:type="spellEnd"/>
      <w:r>
        <w:rPr>
          <w:rFonts w:ascii="Arial" w:hAnsi="Arial" w:cs="Arial"/>
          <w:color w:val="222222"/>
          <w:sz w:val="20"/>
          <w:szCs w:val="20"/>
          <w:shd w:val="clear" w:color="auto" w:fill="FFFFFF"/>
        </w:rPr>
        <w:t>,</w:t>
      </w:r>
      <w:r>
        <w:rPr>
          <w:rStyle w:val="apple-converted-space"/>
          <w:rFonts w:ascii="Arial" w:hAnsi="Arial" w:cs="Arial"/>
          <w:color w:val="222222"/>
          <w:sz w:val="20"/>
          <w:szCs w:val="20"/>
          <w:shd w:val="clear" w:color="auto" w:fill="FFFFFF"/>
        </w:rPr>
        <w:t> </w:t>
      </w:r>
      <w:r>
        <w:rPr>
          <w:rFonts w:ascii="Arial" w:hAnsi="Arial" w:cs="Arial"/>
          <w:i/>
          <w:iCs/>
          <w:color w:val="222222"/>
          <w:sz w:val="20"/>
          <w:szCs w:val="20"/>
        </w:rPr>
        <w:t>1</w:t>
      </w:r>
      <w:r>
        <w:rPr>
          <w:rFonts w:ascii="Arial" w:hAnsi="Arial" w:cs="Arial"/>
          <w:color w:val="222222"/>
          <w:sz w:val="20"/>
          <w:szCs w:val="20"/>
          <w:shd w:val="clear" w:color="auto" w:fill="FFFFFF"/>
        </w:rPr>
        <w:t>(2), 240-243.</w:t>
      </w:r>
    </w:p>
    <w:p w14:paraId="6A04995D" w14:textId="3736B456" w:rsidR="00272159" w:rsidRDefault="00EA01CA">
      <w:pPr>
        <w:pStyle w:val="NormalWeb"/>
        <w:rPr>
          <w:color w:val="000000"/>
          <w:sz w:val="20"/>
          <w:szCs w:val="20"/>
        </w:rPr>
      </w:pPr>
      <w:r>
        <w:rPr>
          <w:color w:val="000000"/>
          <w:sz w:val="20"/>
          <w:szCs w:val="20"/>
        </w:rPr>
        <w:t>Roy, T. (2016). Wool in India. In</w:t>
      </w:r>
      <w:r>
        <w:rPr>
          <w:rStyle w:val="apple-converted-space"/>
          <w:color w:val="000000"/>
          <w:sz w:val="20"/>
          <w:szCs w:val="20"/>
        </w:rPr>
        <w:t> </w:t>
      </w:r>
      <w:r>
        <w:rPr>
          <w:rStyle w:val="Emphasis"/>
          <w:color w:val="000000"/>
          <w:sz w:val="20"/>
          <w:szCs w:val="20"/>
        </w:rPr>
        <w:t>Encyclopaedia of the History of Science, Technology, and Medicine in Non-Western Cultures</w:t>
      </w:r>
      <w:r>
        <w:rPr>
          <w:rStyle w:val="apple-converted-space"/>
          <w:color w:val="000000"/>
          <w:sz w:val="20"/>
          <w:szCs w:val="20"/>
        </w:rPr>
        <w:t> </w:t>
      </w:r>
      <w:r>
        <w:rPr>
          <w:color w:val="000000"/>
          <w:sz w:val="20"/>
          <w:szCs w:val="20"/>
        </w:rPr>
        <w:t>(pp. 4516–4519). Springer, Dordrecht.</w:t>
      </w:r>
    </w:p>
    <w:p w14:paraId="4D7C7088" w14:textId="76FA69EF" w:rsidR="00272159" w:rsidRDefault="00EA01CA">
      <w:pPr>
        <w:pStyle w:val="NormalWeb"/>
        <w:rPr>
          <w:color w:val="000000"/>
          <w:sz w:val="20"/>
          <w:szCs w:val="20"/>
        </w:rPr>
      </w:pPr>
      <w:r>
        <w:rPr>
          <w:color w:val="000000"/>
          <w:sz w:val="20"/>
          <w:szCs w:val="20"/>
        </w:rPr>
        <w:t>Singh, P., Tiwari, C. B., &amp; Dwivedi, V. K. (1991). Regional imbalances in population dynamics of pigs in India: An appraisal.</w:t>
      </w:r>
      <w:r>
        <w:rPr>
          <w:rStyle w:val="apple-converted-space"/>
          <w:color w:val="000000"/>
          <w:sz w:val="20"/>
          <w:szCs w:val="20"/>
        </w:rPr>
        <w:t> </w:t>
      </w:r>
      <w:r>
        <w:rPr>
          <w:rStyle w:val="Emphasis"/>
          <w:color w:val="000000"/>
          <w:sz w:val="20"/>
          <w:szCs w:val="20"/>
        </w:rPr>
        <w:t>Indian Journal of Animal Sciences, 61</w:t>
      </w:r>
      <w:r>
        <w:rPr>
          <w:color w:val="000000"/>
          <w:sz w:val="20"/>
          <w:szCs w:val="20"/>
        </w:rPr>
        <w:t>, 71–74.</w:t>
      </w:r>
    </w:p>
    <w:p w14:paraId="39F5F2E3" w14:textId="77777777" w:rsidR="00272159" w:rsidRDefault="00272159">
      <w:pPr>
        <w:pStyle w:val="NormalWeb"/>
        <w:jc w:val="both"/>
        <w:rPr>
          <w:i/>
          <w:iCs/>
          <w:color w:val="201F1F"/>
          <w:sz w:val="20"/>
          <w:szCs w:val="20"/>
          <w:lang w:val="en-GB"/>
        </w:rPr>
      </w:pPr>
    </w:p>
    <w:sectPr w:rsidR="00272159">
      <w:headerReference w:type="even" r:id="rId18"/>
      <w:headerReference w:type="default" r:id="rId19"/>
      <w:footerReference w:type="even" r:id="rId20"/>
      <w:footerReference w:type="default" r:id="rId21"/>
      <w:headerReference w:type="first" r:id="rId22"/>
      <w:footerReference w:type="firs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7A8350" w14:textId="77777777" w:rsidR="00591504" w:rsidRDefault="00591504">
      <w:r>
        <w:separator/>
      </w:r>
    </w:p>
  </w:endnote>
  <w:endnote w:type="continuationSeparator" w:id="0">
    <w:p w14:paraId="7FB56812" w14:textId="77777777" w:rsidR="00591504" w:rsidRDefault="00591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7E152" w14:textId="77777777" w:rsidR="00272159" w:rsidRDefault="0027215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A9FED" w14:textId="77777777" w:rsidR="00272159" w:rsidRDefault="0027215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1FFDD" w14:textId="77777777" w:rsidR="00272159" w:rsidRDefault="002721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78A3C" w14:textId="77777777" w:rsidR="00591504" w:rsidRDefault="00591504">
      <w:r>
        <w:separator/>
      </w:r>
    </w:p>
  </w:footnote>
  <w:footnote w:type="continuationSeparator" w:id="0">
    <w:p w14:paraId="2F46A1EA" w14:textId="77777777" w:rsidR="00591504" w:rsidRDefault="005915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B8B31" w14:textId="77777777" w:rsidR="00272159" w:rsidRDefault="00591504">
    <w:pPr>
      <w:pStyle w:val="Header"/>
    </w:pPr>
    <w:r>
      <w:rPr>
        <w:noProof/>
      </w:rPr>
      <w:pict w14:anchorId="3D0E73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154344" o:spid="_x0000_s1027" type="#_x0000_t136" alt="" style="position:absolute;margin-left:0;margin-top:0;width:535.8pt;height:100.4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B9297" w14:textId="77777777" w:rsidR="00272159" w:rsidRDefault="00591504">
    <w:pPr>
      <w:pStyle w:val="Header"/>
    </w:pPr>
    <w:r>
      <w:rPr>
        <w:noProof/>
      </w:rPr>
      <w:pict w14:anchorId="3C7B45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154345" o:spid="_x0000_s1026" type="#_x0000_t136" alt="" style="position:absolute;margin-left:0;margin-top:0;width:535.8pt;height:100.4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19356" w14:textId="77777777" w:rsidR="00272159" w:rsidRDefault="00591504">
    <w:pPr>
      <w:pStyle w:val="Header"/>
    </w:pPr>
    <w:r>
      <w:rPr>
        <w:noProof/>
      </w:rPr>
      <w:pict w14:anchorId="0E7133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154343" o:spid="_x0000_s1025" type="#_x0000_t136" alt="" style="position:absolute;margin-left:0;margin-top:0;width:535.8pt;height:100.4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6013C7"/>
    <w:multiLevelType w:val="multilevel"/>
    <w:tmpl w:val="E4A632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7D987E17"/>
    <w:multiLevelType w:val="multilevel"/>
    <w:tmpl w:val="0809001D"/>
    <w:styleLink w:val="Style2"/>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076710819">
    <w:abstractNumId w:val="1"/>
  </w:num>
  <w:num w:numId="2" w16cid:durableId="20706882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tDA0MzY3MTQwMzE1MzBR0lEKTi0uzszPAykwrAUAJ4AVqSwAAAA="/>
  </w:docVars>
  <w:rsids>
    <w:rsidRoot w:val="00272159"/>
    <w:rsid w:val="00272159"/>
    <w:rsid w:val="00591504"/>
    <w:rsid w:val="005C4CBC"/>
    <w:rsid w:val="007716EB"/>
    <w:rsid w:val="00A62CA6"/>
    <w:rsid w:val="00E91448"/>
    <w:rsid w:val="00EA01CA"/>
    <w:rsid w:val="00F93B7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9AF0A6"/>
  <w15:chartTrackingRefBased/>
  <w15:docId w15:val="{E8A92628-71D3-5841-87C7-193954105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pPr>
      <w:spacing w:before="100" w:beforeAutospacing="1" w:after="100" w:afterAutospacing="1"/>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2">
    <w:name w:val="Style2"/>
    <w:uiPriority w:val="99"/>
    <w:pPr>
      <w:numPr>
        <w:numId w:val="1"/>
      </w:numPr>
    </w:p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tyle>
  <w:style w:type="character" w:customStyle="1" w:styleId="Heading2Char">
    <w:name w:val="Heading 2 Char"/>
    <w:basedOn w:val="DefaultParagraphFont"/>
    <w:link w:val="Heading2"/>
    <w:uiPriority w:val="9"/>
    <w:rPr>
      <w:rFonts w:ascii="Times New Roman" w:eastAsia="Times New Roman" w:hAnsi="Times New Roman" w:cs="Times New Roman"/>
      <w:b/>
      <w:bCs/>
      <w:sz w:val="36"/>
      <w:szCs w:val="36"/>
      <w:lang w:eastAsia="en-GB"/>
    </w:rPr>
  </w:style>
  <w:style w:type="character" w:styleId="Strong">
    <w:name w:val="Strong"/>
    <w:basedOn w:val="DefaultParagraphFont"/>
    <w:uiPriority w:val="22"/>
    <w:qFormat/>
    <w:rPr>
      <w:b/>
      <w:bCs/>
    </w:rPr>
  </w:style>
  <w:style w:type="paragraph" w:styleId="NormalWeb">
    <w:name w:val="Normal (Web)"/>
    <w:basedOn w:val="Normal"/>
    <w:uiPriority w:val="99"/>
    <w:unhideWhenUsed/>
    <w:pPr>
      <w:spacing w:before="100" w:beforeAutospacing="1" w:after="100" w:afterAutospacing="1"/>
    </w:pPr>
    <w:rPr>
      <w:rFonts w:ascii="Times New Roman" w:eastAsia="Times New Roman" w:hAnsi="Times New Roman" w:cs="Times New Roman"/>
      <w:lang w:eastAsia="en-GB"/>
    </w:rPr>
  </w:style>
  <w:style w:type="character" w:customStyle="1" w:styleId="apple-converted-space">
    <w:name w:val="apple-converted-space"/>
    <w:basedOn w:val="DefaultParagraphFont"/>
  </w:style>
  <w:style w:type="character" w:styleId="Emphasis">
    <w:name w:val="Emphasis"/>
    <w:basedOn w:val="DefaultParagraphFont"/>
    <w:uiPriority w:val="20"/>
    <w:qFormat/>
    <w:rPr>
      <w:i/>
      <w:iC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Pr>
      <w:color w:val="0563C1" w:themeColor="hyperlink"/>
      <w:u w:val="single"/>
    </w:rPr>
  </w:style>
  <w:style w:type="character" w:styleId="UnresolvedMention">
    <w:name w:val="Unresolved Mention"/>
    <w:basedOn w:val="DefaultParagraphFont"/>
    <w:uiPriority w:val="99"/>
    <w:semiHidden/>
    <w:unhideWhenUsed/>
    <w:rPr>
      <w:color w:val="605E5C"/>
      <w:shd w:val="clear" w:color="auto" w:fill="E1DFDD"/>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Pr>
      <w:color w:val="954F72" w:themeColor="followedHyperlink"/>
      <w:u w:val="single"/>
    </w:rPr>
  </w:style>
  <w:style w:type="paragraph" w:customStyle="1" w:styleId="ReferHead">
    <w:name w:val="Refer Head"/>
    <w:basedOn w:val="Normal"/>
    <w:pPr>
      <w:keepNext/>
      <w:spacing w:after="240"/>
    </w:pPr>
    <w:rPr>
      <w:rFonts w:ascii="Helvetica" w:eastAsia="Times New Roman" w:hAnsi="Helvetica" w:cs="Times New Roman"/>
      <w:b/>
      <w:caps/>
      <w:sz w:val="22"/>
      <w:szCs w:val="20"/>
      <w:lang w:val="en-US"/>
    </w:rPr>
  </w:style>
  <w:style w:type="character" w:customStyle="1" w:styleId="html-italic">
    <w:name w:val="html-italic"/>
    <w:basedOn w:val="DefaultParagraphFont"/>
    <w:rsid w:val="00E91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029472">
      <w:bodyDiv w:val="1"/>
      <w:marLeft w:val="0"/>
      <w:marRight w:val="0"/>
      <w:marTop w:val="0"/>
      <w:marBottom w:val="0"/>
      <w:divBdr>
        <w:top w:val="none" w:sz="0" w:space="0" w:color="auto"/>
        <w:left w:val="none" w:sz="0" w:space="0" w:color="auto"/>
        <w:bottom w:val="none" w:sz="0" w:space="0" w:color="auto"/>
        <w:right w:val="none" w:sz="0" w:space="0" w:color="auto"/>
      </w:divBdr>
    </w:div>
    <w:div w:id="121728328">
      <w:bodyDiv w:val="1"/>
      <w:marLeft w:val="0"/>
      <w:marRight w:val="0"/>
      <w:marTop w:val="0"/>
      <w:marBottom w:val="0"/>
      <w:divBdr>
        <w:top w:val="none" w:sz="0" w:space="0" w:color="auto"/>
        <w:left w:val="none" w:sz="0" w:space="0" w:color="auto"/>
        <w:bottom w:val="none" w:sz="0" w:space="0" w:color="auto"/>
        <w:right w:val="none" w:sz="0" w:space="0" w:color="auto"/>
      </w:divBdr>
    </w:div>
    <w:div w:id="180166480">
      <w:bodyDiv w:val="1"/>
      <w:marLeft w:val="0"/>
      <w:marRight w:val="0"/>
      <w:marTop w:val="0"/>
      <w:marBottom w:val="0"/>
      <w:divBdr>
        <w:top w:val="none" w:sz="0" w:space="0" w:color="auto"/>
        <w:left w:val="none" w:sz="0" w:space="0" w:color="auto"/>
        <w:bottom w:val="none" w:sz="0" w:space="0" w:color="auto"/>
        <w:right w:val="none" w:sz="0" w:space="0" w:color="auto"/>
      </w:divBdr>
    </w:div>
    <w:div w:id="199056837">
      <w:bodyDiv w:val="1"/>
      <w:marLeft w:val="0"/>
      <w:marRight w:val="0"/>
      <w:marTop w:val="0"/>
      <w:marBottom w:val="0"/>
      <w:divBdr>
        <w:top w:val="none" w:sz="0" w:space="0" w:color="auto"/>
        <w:left w:val="none" w:sz="0" w:space="0" w:color="auto"/>
        <w:bottom w:val="none" w:sz="0" w:space="0" w:color="auto"/>
        <w:right w:val="none" w:sz="0" w:space="0" w:color="auto"/>
      </w:divBdr>
    </w:div>
    <w:div w:id="393310423">
      <w:bodyDiv w:val="1"/>
      <w:marLeft w:val="0"/>
      <w:marRight w:val="0"/>
      <w:marTop w:val="0"/>
      <w:marBottom w:val="0"/>
      <w:divBdr>
        <w:top w:val="none" w:sz="0" w:space="0" w:color="auto"/>
        <w:left w:val="none" w:sz="0" w:space="0" w:color="auto"/>
        <w:bottom w:val="none" w:sz="0" w:space="0" w:color="auto"/>
        <w:right w:val="none" w:sz="0" w:space="0" w:color="auto"/>
      </w:divBdr>
    </w:div>
    <w:div w:id="404763633">
      <w:bodyDiv w:val="1"/>
      <w:marLeft w:val="0"/>
      <w:marRight w:val="0"/>
      <w:marTop w:val="0"/>
      <w:marBottom w:val="0"/>
      <w:divBdr>
        <w:top w:val="none" w:sz="0" w:space="0" w:color="auto"/>
        <w:left w:val="none" w:sz="0" w:space="0" w:color="auto"/>
        <w:bottom w:val="none" w:sz="0" w:space="0" w:color="auto"/>
        <w:right w:val="none" w:sz="0" w:space="0" w:color="auto"/>
      </w:divBdr>
    </w:div>
    <w:div w:id="552734603">
      <w:bodyDiv w:val="1"/>
      <w:marLeft w:val="0"/>
      <w:marRight w:val="0"/>
      <w:marTop w:val="0"/>
      <w:marBottom w:val="0"/>
      <w:divBdr>
        <w:top w:val="none" w:sz="0" w:space="0" w:color="auto"/>
        <w:left w:val="none" w:sz="0" w:space="0" w:color="auto"/>
        <w:bottom w:val="none" w:sz="0" w:space="0" w:color="auto"/>
        <w:right w:val="none" w:sz="0" w:space="0" w:color="auto"/>
      </w:divBdr>
    </w:div>
    <w:div w:id="700086746">
      <w:bodyDiv w:val="1"/>
      <w:marLeft w:val="0"/>
      <w:marRight w:val="0"/>
      <w:marTop w:val="0"/>
      <w:marBottom w:val="0"/>
      <w:divBdr>
        <w:top w:val="none" w:sz="0" w:space="0" w:color="auto"/>
        <w:left w:val="none" w:sz="0" w:space="0" w:color="auto"/>
        <w:bottom w:val="none" w:sz="0" w:space="0" w:color="auto"/>
        <w:right w:val="none" w:sz="0" w:space="0" w:color="auto"/>
      </w:divBdr>
    </w:div>
    <w:div w:id="805394523">
      <w:bodyDiv w:val="1"/>
      <w:marLeft w:val="0"/>
      <w:marRight w:val="0"/>
      <w:marTop w:val="0"/>
      <w:marBottom w:val="0"/>
      <w:divBdr>
        <w:top w:val="none" w:sz="0" w:space="0" w:color="auto"/>
        <w:left w:val="none" w:sz="0" w:space="0" w:color="auto"/>
        <w:bottom w:val="none" w:sz="0" w:space="0" w:color="auto"/>
        <w:right w:val="none" w:sz="0" w:space="0" w:color="auto"/>
      </w:divBdr>
    </w:div>
    <w:div w:id="820804976">
      <w:bodyDiv w:val="1"/>
      <w:marLeft w:val="0"/>
      <w:marRight w:val="0"/>
      <w:marTop w:val="0"/>
      <w:marBottom w:val="0"/>
      <w:divBdr>
        <w:top w:val="none" w:sz="0" w:space="0" w:color="auto"/>
        <w:left w:val="none" w:sz="0" w:space="0" w:color="auto"/>
        <w:bottom w:val="none" w:sz="0" w:space="0" w:color="auto"/>
        <w:right w:val="none" w:sz="0" w:space="0" w:color="auto"/>
      </w:divBdr>
    </w:div>
    <w:div w:id="843712546">
      <w:bodyDiv w:val="1"/>
      <w:marLeft w:val="0"/>
      <w:marRight w:val="0"/>
      <w:marTop w:val="0"/>
      <w:marBottom w:val="0"/>
      <w:divBdr>
        <w:top w:val="none" w:sz="0" w:space="0" w:color="auto"/>
        <w:left w:val="none" w:sz="0" w:space="0" w:color="auto"/>
        <w:bottom w:val="none" w:sz="0" w:space="0" w:color="auto"/>
        <w:right w:val="none" w:sz="0" w:space="0" w:color="auto"/>
      </w:divBdr>
    </w:div>
    <w:div w:id="872767637">
      <w:bodyDiv w:val="1"/>
      <w:marLeft w:val="0"/>
      <w:marRight w:val="0"/>
      <w:marTop w:val="0"/>
      <w:marBottom w:val="0"/>
      <w:divBdr>
        <w:top w:val="none" w:sz="0" w:space="0" w:color="auto"/>
        <w:left w:val="none" w:sz="0" w:space="0" w:color="auto"/>
        <w:bottom w:val="none" w:sz="0" w:space="0" w:color="auto"/>
        <w:right w:val="none" w:sz="0" w:space="0" w:color="auto"/>
      </w:divBdr>
    </w:div>
    <w:div w:id="873423463">
      <w:bodyDiv w:val="1"/>
      <w:marLeft w:val="0"/>
      <w:marRight w:val="0"/>
      <w:marTop w:val="0"/>
      <w:marBottom w:val="0"/>
      <w:divBdr>
        <w:top w:val="none" w:sz="0" w:space="0" w:color="auto"/>
        <w:left w:val="none" w:sz="0" w:space="0" w:color="auto"/>
        <w:bottom w:val="none" w:sz="0" w:space="0" w:color="auto"/>
        <w:right w:val="none" w:sz="0" w:space="0" w:color="auto"/>
      </w:divBdr>
    </w:div>
    <w:div w:id="884564818">
      <w:bodyDiv w:val="1"/>
      <w:marLeft w:val="0"/>
      <w:marRight w:val="0"/>
      <w:marTop w:val="0"/>
      <w:marBottom w:val="0"/>
      <w:divBdr>
        <w:top w:val="none" w:sz="0" w:space="0" w:color="auto"/>
        <w:left w:val="none" w:sz="0" w:space="0" w:color="auto"/>
        <w:bottom w:val="none" w:sz="0" w:space="0" w:color="auto"/>
        <w:right w:val="none" w:sz="0" w:space="0" w:color="auto"/>
      </w:divBdr>
    </w:div>
    <w:div w:id="952857604">
      <w:bodyDiv w:val="1"/>
      <w:marLeft w:val="0"/>
      <w:marRight w:val="0"/>
      <w:marTop w:val="0"/>
      <w:marBottom w:val="0"/>
      <w:divBdr>
        <w:top w:val="none" w:sz="0" w:space="0" w:color="auto"/>
        <w:left w:val="none" w:sz="0" w:space="0" w:color="auto"/>
        <w:bottom w:val="none" w:sz="0" w:space="0" w:color="auto"/>
        <w:right w:val="none" w:sz="0" w:space="0" w:color="auto"/>
      </w:divBdr>
    </w:div>
    <w:div w:id="1216432994">
      <w:bodyDiv w:val="1"/>
      <w:marLeft w:val="0"/>
      <w:marRight w:val="0"/>
      <w:marTop w:val="0"/>
      <w:marBottom w:val="0"/>
      <w:divBdr>
        <w:top w:val="none" w:sz="0" w:space="0" w:color="auto"/>
        <w:left w:val="none" w:sz="0" w:space="0" w:color="auto"/>
        <w:bottom w:val="none" w:sz="0" w:space="0" w:color="auto"/>
        <w:right w:val="none" w:sz="0" w:space="0" w:color="auto"/>
      </w:divBdr>
    </w:div>
    <w:div w:id="1566800685">
      <w:bodyDiv w:val="1"/>
      <w:marLeft w:val="0"/>
      <w:marRight w:val="0"/>
      <w:marTop w:val="0"/>
      <w:marBottom w:val="0"/>
      <w:divBdr>
        <w:top w:val="none" w:sz="0" w:space="0" w:color="auto"/>
        <w:left w:val="none" w:sz="0" w:space="0" w:color="auto"/>
        <w:bottom w:val="none" w:sz="0" w:space="0" w:color="auto"/>
        <w:right w:val="none" w:sz="0" w:space="0" w:color="auto"/>
      </w:divBdr>
    </w:div>
    <w:div w:id="1676492904">
      <w:bodyDiv w:val="1"/>
      <w:marLeft w:val="0"/>
      <w:marRight w:val="0"/>
      <w:marTop w:val="0"/>
      <w:marBottom w:val="0"/>
      <w:divBdr>
        <w:top w:val="none" w:sz="0" w:space="0" w:color="auto"/>
        <w:left w:val="none" w:sz="0" w:space="0" w:color="auto"/>
        <w:bottom w:val="none" w:sz="0" w:space="0" w:color="auto"/>
        <w:right w:val="none" w:sz="0" w:space="0" w:color="auto"/>
      </w:divBdr>
    </w:div>
    <w:div w:id="1736202568">
      <w:bodyDiv w:val="1"/>
      <w:marLeft w:val="0"/>
      <w:marRight w:val="0"/>
      <w:marTop w:val="0"/>
      <w:marBottom w:val="0"/>
      <w:divBdr>
        <w:top w:val="none" w:sz="0" w:space="0" w:color="auto"/>
        <w:left w:val="none" w:sz="0" w:space="0" w:color="auto"/>
        <w:bottom w:val="none" w:sz="0" w:space="0" w:color="auto"/>
        <w:right w:val="none" w:sz="0" w:space="0" w:color="auto"/>
      </w:divBdr>
    </w:div>
    <w:div w:id="1880051426">
      <w:bodyDiv w:val="1"/>
      <w:marLeft w:val="0"/>
      <w:marRight w:val="0"/>
      <w:marTop w:val="0"/>
      <w:marBottom w:val="0"/>
      <w:divBdr>
        <w:top w:val="none" w:sz="0" w:space="0" w:color="auto"/>
        <w:left w:val="none" w:sz="0" w:space="0" w:color="auto"/>
        <w:bottom w:val="none" w:sz="0" w:space="0" w:color="auto"/>
        <w:right w:val="none" w:sz="0" w:space="0" w:color="auto"/>
      </w:divBdr>
    </w:div>
    <w:div w:id="1976448976">
      <w:bodyDiv w:val="1"/>
      <w:marLeft w:val="0"/>
      <w:marRight w:val="0"/>
      <w:marTop w:val="0"/>
      <w:marBottom w:val="0"/>
      <w:divBdr>
        <w:top w:val="none" w:sz="0" w:space="0" w:color="auto"/>
        <w:left w:val="none" w:sz="0" w:space="0" w:color="auto"/>
        <w:bottom w:val="none" w:sz="0" w:space="0" w:color="auto"/>
        <w:right w:val="none" w:sz="0" w:space="0" w:color="auto"/>
      </w:divBdr>
    </w:div>
    <w:div w:id="2027322002">
      <w:bodyDiv w:val="1"/>
      <w:marLeft w:val="0"/>
      <w:marRight w:val="0"/>
      <w:marTop w:val="0"/>
      <w:marBottom w:val="0"/>
      <w:divBdr>
        <w:top w:val="none" w:sz="0" w:space="0" w:color="auto"/>
        <w:left w:val="none" w:sz="0" w:space="0" w:color="auto"/>
        <w:bottom w:val="none" w:sz="0" w:space="0" w:color="auto"/>
        <w:right w:val="none" w:sz="0" w:space="0" w:color="auto"/>
      </w:divBdr>
    </w:div>
    <w:div w:id="2032534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fao.org/4/x6532e/x6532e00.htm"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chart" Target="charts/chart1.xml"/><Relationship Id="rId12" Type="http://schemas.openxmlformats.org/officeDocument/2006/relationships/image" Target="media/image5.tiff"/><Relationship Id="rId17" Type="http://schemas.openxmlformats.org/officeDocument/2006/relationships/hyperlink" Target="https://doi.org/10.1017/S0026749X03002014"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oi.org/10.3390/su14031201"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fao.org/faostat/en/" TargetMode="External"/><Relationship Id="rId23" Type="http://schemas.openxmlformats.org/officeDocument/2006/relationships/footer" Target="footer3.xml"/><Relationship Id="rId10" Type="http://schemas.openxmlformats.org/officeDocument/2006/relationships/image" Target="media/image3.tiff"/><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yperlink" Target="https://agriwelfare.gov.in/en/agricultural_statistics_at_a_glance" TargetMode="External"/><Relationship Id="rId22" Type="http://schemas.openxmlformats.org/officeDocument/2006/relationships/header" Target="header3.xml"/></Relationships>
</file>

<file path=word/charts/_rels/chart1.xml.rels><?xml version="1.0" encoding="UTF-8" standalone="yes"?>
<Relationships xmlns="http://schemas.openxmlformats.org/package/2006/relationships"><Relationship Id="rId3" Type="http://schemas.openxmlformats.org/officeDocument/2006/relationships/oleObject" Target="file:////Users\shubhams\Desktop\wool%20and%20mea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lineChart>
        <c:grouping val="standard"/>
        <c:varyColors val="0"/>
        <c:ser>
          <c:idx val="0"/>
          <c:order val="0"/>
          <c:tx>
            <c:strRef>
              <c:f>Sheet3!$R$62</c:f>
              <c:strCache>
                <c:ptCount val="1"/>
                <c:pt idx="0">
                  <c:v>Total Sheep population (in millions)</c:v>
                </c:pt>
              </c:strCache>
            </c:strRef>
          </c:tx>
          <c:spPr>
            <a:ln w="38100" cap="flat" cmpd="dbl" algn="ctr">
              <a:solidFill>
                <a:schemeClr val="accent6"/>
              </a:solidFill>
              <a:miter lim="800000"/>
            </a:ln>
            <a:effectLst/>
          </c:spPr>
          <c:marker>
            <c:symbol val="none"/>
          </c:marker>
          <c:dLbls>
            <c:dLbl>
              <c:idx val="0"/>
              <c:layout>
                <c:manualLayout>
                  <c:x val="-5.5604105846773534E-2"/>
                  <c:y val="6.39422980099487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1A-254D-BAFE-A1D6A7418E86}"/>
                </c:ext>
              </c:extLst>
            </c:dLbl>
            <c:dLbl>
              <c:idx val="1"/>
              <c:layout>
                <c:manualLayout>
                  <c:x val="-6.6705477762181983E-2"/>
                  <c:y val="-6.39422980099488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1A-254D-BAFE-A1D6A7418E86}"/>
                </c:ext>
              </c:extLst>
            </c:dLbl>
            <c:dLbl>
              <c:idx val="2"/>
              <c:layout>
                <c:manualLayout>
                  <c:x val="-5.2828762867921431E-2"/>
                  <c:y val="6.39422980099488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1A-254D-BAFE-A1D6A7418E86}"/>
                </c:ext>
              </c:extLst>
            </c:dLbl>
            <c:dLbl>
              <c:idx val="3"/>
              <c:layout>
                <c:manualLayout>
                  <c:x val="-6.3930134783329845E-2"/>
                  <c:y val="-5.4807684008527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1A-254D-BAFE-A1D6A7418E86}"/>
                </c:ext>
              </c:extLst>
            </c:dLbl>
            <c:dLbl>
              <c:idx val="4"/>
              <c:layout>
                <c:manualLayout>
                  <c:x val="-5.2828762867921528E-2"/>
                  <c:y val="5.4807684008527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1A-254D-BAFE-A1D6A7418E86}"/>
                </c:ext>
              </c:extLst>
            </c:dLbl>
            <c:dLbl>
              <c:idx val="5"/>
              <c:layout>
                <c:manualLayout>
                  <c:x val="-6.6705477762181956E-2"/>
                  <c:y val="-4.56730700071063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1A-254D-BAFE-A1D6A7418E86}"/>
                </c:ext>
              </c:extLst>
            </c:dLbl>
            <c:dLbl>
              <c:idx val="6"/>
              <c:layout>
                <c:manualLayout>
                  <c:x val="-5.2828762867921431E-2"/>
                  <c:y val="7.76442190120807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1A-254D-BAFE-A1D6A7418E86}"/>
                </c:ext>
              </c:extLst>
            </c:dLbl>
            <c:dLbl>
              <c:idx val="7"/>
              <c:layout>
                <c:manualLayout>
                  <c:x val="-5.8379448825625742E-2"/>
                  <c:y val="-5.02403770078169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01A-254D-BAFE-A1D6A7418E86}"/>
                </c:ext>
              </c:extLst>
            </c:dLbl>
            <c:dLbl>
              <c:idx val="8"/>
              <c:layout>
                <c:manualLayout>
                  <c:x val="-2.5700768638886679E-2"/>
                  <c:y val="9.59134470149231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1A-254D-BAFE-A1D6A7418E86}"/>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flat" cmpd="sng" algn="ctr">
                      <a:solidFill>
                        <a:schemeClr val="accent2"/>
                      </a:solidFill>
                      <a:prstDash val="solid"/>
                      <a:miter lim="800000"/>
                    </a:ln>
                    <a:effectLst/>
                  </c:spPr>
                </c15:leaderLines>
              </c:ext>
            </c:extLst>
          </c:dLbls>
          <c:cat>
            <c:strRef>
              <c:f>Sheet3!$Q$63:$Q$71</c:f>
              <c:strCache>
                <c:ptCount val="9"/>
                <c:pt idx="0">
                  <c:v>1992</c:v>
                </c:pt>
                <c:pt idx="1">
                  <c:v>1997</c:v>
                </c:pt>
                <c:pt idx="2">
                  <c:v>2003</c:v>
                </c:pt>
                <c:pt idx="3">
                  <c:v>2007</c:v>
                </c:pt>
                <c:pt idx="4">
                  <c:v>2012</c:v>
                </c:pt>
                <c:pt idx="5">
                  <c:v>2019</c:v>
                </c:pt>
                <c:pt idx="6">
                  <c:v>2023 (Estimated)</c:v>
                </c:pt>
                <c:pt idx="7">
                  <c:v>2027 (Estimated)</c:v>
                </c:pt>
                <c:pt idx="8">
                  <c:v>2031 (Estimated)</c:v>
                </c:pt>
              </c:strCache>
            </c:strRef>
          </c:cat>
          <c:val>
            <c:numRef>
              <c:f>Sheet3!$R$63:$R$71</c:f>
              <c:numCache>
                <c:formatCode>0.0</c:formatCode>
                <c:ptCount val="9"/>
                <c:pt idx="0">
                  <c:v>50.783000000000001</c:v>
                </c:pt>
                <c:pt idx="1">
                  <c:v>57.494</c:v>
                </c:pt>
                <c:pt idx="2">
                  <c:v>61.469000000000001</c:v>
                </c:pt>
                <c:pt idx="3">
                  <c:v>71.558000000000007</c:v>
                </c:pt>
                <c:pt idx="4">
                  <c:v>65.069000000000003</c:v>
                </c:pt>
                <c:pt idx="5">
                  <c:v>74.260999999999996</c:v>
                </c:pt>
                <c:pt idx="6">
                  <c:v>78.138000000000005</c:v>
                </c:pt>
                <c:pt idx="7">
                  <c:v>81.375</c:v>
                </c:pt>
                <c:pt idx="8">
                  <c:v>84.611999999999995</c:v>
                </c:pt>
              </c:numCache>
            </c:numRef>
          </c:val>
          <c:smooth val="0"/>
          <c:extLst>
            <c:ext xmlns:c16="http://schemas.microsoft.com/office/drawing/2014/chart" uri="{C3380CC4-5D6E-409C-BE32-E72D297353CC}">
              <c16:uniqueId val="{00000009-001A-254D-BAFE-A1D6A7418E86}"/>
            </c:ext>
          </c:extLst>
        </c:ser>
        <c:dLbls>
          <c:dLblPos val="ctr"/>
          <c:showLegendKey val="0"/>
          <c:showVal val="1"/>
          <c:showCatName val="0"/>
          <c:showSerName val="0"/>
          <c:showPercent val="0"/>
          <c:showBubbleSize val="0"/>
        </c:dLbls>
        <c:smooth val="0"/>
        <c:axId val="1717062207"/>
        <c:axId val="1716881135"/>
      </c:lineChart>
      <c:catAx>
        <c:axId val="1717062207"/>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16881135"/>
        <c:crosses val="autoZero"/>
        <c:auto val="1"/>
        <c:lblAlgn val="ctr"/>
        <c:lblOffset val="100"/>
        <c:noMultiLvlLbl val="0"/>
      </c:catAx>
      <c:valAx>
        <c:axId val="1716881135"/>
        <c:scaling>
          <c:orientation val="minMax"/>
        </c:scaling>
        <c:delete val="1"/>
        <c:axPos val="l"/>
        <c:majorGridlines>
          <c:spPr>
            <a:ln w="9525" cap="flat" cmpd="sng" algn="ctr">
              <a:solidFill>
                <a:schemeClr val="tx1">
                  <a:lumMod val="15000"/>
                  <a:lumOff val="85000"/>
                  <a:alpha val="32000"/>
                </a:schemeClr>
              </a:solidFill>
              <a:round/>
            </a:ln>
            <a:effectLst/>
          </c:spPr>
        </c:majorGridlines>
        <c:numFmt formatCode="0.0" sourceLinked="1"/>
        <c:majorTickMark val="none"/>
        <c:minorTickMark val="none"/>
        <c:tickLblPos val="nextTo"/>
        <c:crossAx val="17170622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229</TotalTime>
  <Pages>11</Pages>
  <Words>4935</Words>
  <Characters>28132</Characters>
  <Application>Microsoft Office Word</Application>
  <DocSecurity>0</DocSecurity>
  <Lines>234</Lines>
  <Paragraphs>66</Paragraphs>
  <ScaleCrop>false</ScaleCrop>
  <Company/>
  <LinksUpToDate>false</LinksUpToDate>
  <CharactersWithSpaces>33001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Muskan</dc:creator>
  <cp:keywords/>
  <dc:description/>
  <cp:lastModifiedBy>Muskan</cp:lastModifiedBy>
  <cp:revision>47</cp:revision>
  <dcterms:created xsi:type="dcterms:W3CDTF">2025-07-25T20:35:00Z</dcterms:created>
  <dcterms:modified xsi:type="dcterms:W3CDTF">2025-07-29T19:59:00Z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721d20ff-a7db-46d8-a0e0-c169c3f769fe</vt:lpwstr>
  </property>
</Properties>
</file>