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PSYCHOSOCIAL RISK FACTORS AND THEIR EFFECTS ON EMPLOYEES' PSYCHOLOGICAL HEALTH IN SOME CONSTRUCTION COMPANIES WITHIN THE CENTRE REGION OF CAMEROON</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Abstract</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investigated the relationship between psychosocial risk factors (workload, job insecurity, and lack of control) and employees' psychological health in the construction industry in Cameroon. A cross-sectional survey was conducted among employees of construction companies in the Centre Region of Cameroon. The results showed that workload, job insecurity, and lack of control are significant predictors of employees' psychological health, with workload being the strongest predictor. The study found that these psychosocial risk factors explain approximately 86.1% of the variance in psychological health. The findings highlight the importance of addressing psychosocial risk factors in the construction industry to promote employees' psychological health and well-being. The study's results have implications for the development of interventions aimed at mitigating the negative effects of psychosocial risk factors on employees' psychological health in the construction industry.</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Keywords: </w:t>
      </w:r>
      <w:r w:rsidDel="00000000" w:rsidR="00000000" w:rsidRPr="00000000">
        <w:rPr>
          <w:rFonts w:ascii="Times New Roman" w:cs="Times New Roman" w:eastAsia="Times New Roman" w:hAnsi="Times New Roman"/>
          <w:rtl w:val="0"/>
        </w:rPr>
        <w:t xml:space="preserve">Construction, Companies, Employees, Health, Risk</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Introduction</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construction industry in Cameroon has experienced significant growth over the past few decades, driven by government investments in infrastructure development and urbanization (World Bank, 2023). According to a report by the African Development Bank (2018), Cameroon's construction sector has been growing at an average rate of 7% per annum since 2010, making it one of the fastest-growing sectors in the country. This growth has been fuelled by large-scale infrastructure projects, such as the construction of the Lom Pangar Dam and the expansion of the Douala-Bangui corridor (International Monetary Fund, 2021).</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the growth, the construction industry in Cameroon still faces several challenges, including a shortage of skilled labour, inadequate infrastructure, and corruption (Transparency International, 2020). According to a report by the Cameroon Ministry of Public Works (2019), the country's construction sector is dominated by foreign companies, which can make it difficult for local businesses to compete. However, the government has implemented policies aimed at promoting local content and increasing the participation of Cameroonian companies in the construction sector (African Development Bank, 2023).</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Looking ahead, the construction industry in Cameroon is expected to continue growing, driven by government investments in infrastructure development and the expansion of the country's energy sector (Deloitte, 2020). According to a report by the Cameroon Ministry of Economy, Planning, and Regional Development (2020), the government plans to invest over $10 billion in infrastructure development over the next five years, which is expected to create thousands of jobs and stimulate economic growth. However, the industry will need to address the challenges it faces in order to realize its full potential (World Economic Forum, 2016).</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construction industry in Cameroon's Centre Region is plagued by psychosocial risk factors that jeopardize employees' psychological health, with workload being a primary concern (International Labour Organization, 2019). Prolonged exposure to excessive workload can lead to stress, anxiety, and depression among employees (World Health Organization, 2019). Despite the significance of this issue, there is a scarcity of research examining the impact of workload on employees' psychological health in the Cameroonian construction industry (African Development Bank, 2018). This knowledge gap serves as a barrier to developing effective interventions aimed at mitigating the negative effects of workload on employees' psychological well-being. Therefore, this study aims to examine the effect of workload on employees' psychological health in some construction companies within the Cameroon Centre Region, with a view to providing insights that can inform the development of policies and programs aimed at promoting employees' psychological health.</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primary objective of this study is to investigate the impact of psychosocial risk factors on employees' psychological health in the construction industry within the Center Region of Cameroon. Specifically, this study aims to examine the effect of workload on employees' psychological health, exploring how excessive workload contributes to stress, anxiety, and depression among construction workers. By achieving this objective, this study seeks to contribute to the existing body of knowledge on occupational health and safety in the construction industry, providing insights that can inform the development of policies and programs aimed at promoting employees' psychological well-being and mitigating the negative effects of workload.</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Significance to Policymakers</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is highly significant to policymakers, as it provides valuable insights into the psychosocial risk factors affecting employees' psychological health in the construction industry. The findings of this study will inform the development of policies and regulations aimed at promoting occupational health and safety. By understanding the impact of workload on employees' psychological health, policymakers can create policies that mitigate these effects and promote a healthier work environment. For instance, policymakers can develop guidelines for constructing companies to follow, ensuring that employees are not overworked and that they have access to resources that support their mental health. Furthermore, policymakers can allocate resources to support research and interventions aimed at promoting occupational health and safety in the construction industry. Ultimately, the findings of this study can contribute to the development of a healthier and safer work environment for construction workers, which can lead to improved productivity, reduced absenteeism, and enhanced overall well-being.</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Significance to Construction Companies and Employers</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is also highly significant to construction companies and employers, as it highlights the importance of prioritizing employees' psychological health and well-being. By understanding the impact of workload on employees' psychological health, construction companies and employers can implement strategies to mitigate these effects and promote a healthier work environment. For example, employers can implement flexible work arrangements, provide access to employee assistance programs, and promote a culture of openness and support. Additionally, employers can provide training and resources to help employees manage their workload and prioritize their mental health. By prioritizing employees' psychological health, construction companies can reap numerous benefits, including reduced absenteeism, turnover, and healthcare costs, and improved productivity, job satisfaction, and employee engagement. Furthermore, construction companies that prioritize employees' psychological health can enhance their reputation, attract top talent, and maintain a competitive edge in the industry.</w:t>
      </w:r>
    </w:p>
    <w:p w:rsidR="00000000" w:rsidDel="00000000" w:rsidP="00000000" w:rsidRDefault="00000000" w:rsidRPr="00000000" w14:paraId="00000012">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Significance to Employees</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is highly significant to employees, as it highlights the importance of prioritizing their psychological health and well-being. The study provides employees with a stronger voice to advocate for better working conditions and highlights the need for employers to prioritize their psychological health. By understanding the impact of workload on their psychological health, employees can take proactive steps to manage their workload and maintain their psychological well-being. For instance, employees can set realistic goals, prioritize self-care, and seek support from colleagues, supervisors, or mental health professionals. Furthermore, employees can use the findings of this study to negotiate better working conditions, including flexible work arrangements, workload management, and access to resources that support their mental health. Ultimately, this study can empower employees to take control of their psychological health and well-being, leading to improved job satisfaction, reduced stress and anxiety, and enhanced overall quality of life.</w:t>
      </w:r>
    </w:p>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Literature Review</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construction industry is a high-risk environment for psychosocial hazards, which can have severe consequences for workers' mental health and well-being (International Labour Organization, 2019; World Health Organization, 2019). One of the primary psychosocial risk factors in the construction industry is workload, which can lead to stress, anxiety, and depression (Demerouti &amp; Bakker, 2010; Hämmig et al., 2011). Construction workers often work long hours, including evenings and weekends, which can disrupt their work-life balance and exacerbate the negative effects of workload on their mental health.</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significant psychosocial risk factor in the construction industry is the lack of control over work tasks and schedules (Karasek &amp; Theorell, 1990; Schnall et al., 2017). Construction workers often have limited autonomy and flexibility in their work, which can lead to feelings of powerlessness and frustration (Hämmig et al., 2011). Furthermore, the construction industry is often characterized by a culture of masculinity, which can discourage workers from expressing emotions or seeking help for mental health issues (Iacuone, 2005; Chiang et al., 2023).</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construction industry is also characterized by a high level of job insecurity, which can be a significant psychosocial risk factor for workers (Burchell, 1994; De Witte, 2005). Construction workers often experience periods of unemployment between projects, which can lead to financial stress and anxiety (Hämmig et al., 2011). Moreover, the construction industry is often subject to changes in government policies and economic conditions, which can create uncertainty and insecurity for workers (International Labour Organization, 2021).</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physical work environment is another important psychosocial risk factor in the construction industry (Chiang et al., 2023; Östberg &amp; Rydstedt, 2010). Construction workers are often exposed to hazardous materials, noise, and extreme temperatures, which can create a stressful and uncomfortable work environment (Hämmig et al., 2011). Furthermore, the construction industry often involves working at heights, in confined spaces, or with heavy machinery, which can create a sense of danger and vulnerability (International Labour Organization, 2021).</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the social support network is an essential psychosocial risk factor in the construction industry (Cohen et al., 2000; Hämmig et al., 2011). Construction workers often rely on their colleagues and supervisors for emotional support and guidance, which can help mitigate the negative effects of workload and other psychosocial risk factors (Chiang et al., 2023). However, the construction industry is often characterized by a culture of individualism, which can make it difficult for workers to seek help or support from their colleagues (Iacuone, 2005).</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Workload is a significant psychosocial risk factor that can have profound effects on employees' psychological health. Research has consistently shown that excessive workload can lead to stress, anxiety, and depression among employees (Bakker &amp; Demerouti,  (2018); Hämmig et al., 2011). Studies have demonstrated that high workload can lead to emotional exhaustion, cynicism, and reduced performance (Maslach &amp; Jackson, 1981). Moreover, prolonged exposure to excessive workload can result in burnout, a state of chronic stress characterized by emotional, mental, and physical exhaustion (Maslach &amp; Leiter, 2008).</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has identified several mechanisms that underlie the relationship between workload and psychological health. For instance, the Job Demands-Resources (JD-R) model posits that high workload can deplete employees' psychological resources, leading to stress and burnout (Bakker &amp; Demerouti, 2007). Additionally, the Effort-Reward Imbalance (ERI) model suggests that employees who perceive a mismatch between their efforts and rewards are more likely to experience stress and anxiety (Siegrist, 1996).</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Individual differences, such as personality traits and coping styles, can moderate the relationship between workload and psychological health. For example, employees with high levels of neuroticism are more likely to experience stress and anxiety in response to high workload (Bolger &amp; Zuckerman, 1995). Conversely, employees with high levels of resilience are better equipped to cope with high workload and mitigate its negative effects on psychological health (Tugade &amp; Fredrickson, 2004).</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context of construction companies in Cameroon, workload is likely to be a significant psychosocial risk factor due to the physically demanding nature of the work and the pressure to meet deadlines. Additionally, the cultural and socioeconomic context of Cameroon may exacerbate the negative effects of workload on psychological health. For instance, the cultural emphasis on collectivism and interdependence may lead employees to prioritize work over personal well-being (Hofstede, 2001).</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Understanding the relationship between psychosocial risk factors and employees' psychological health requires a thorough examination of relevant theoretical frameworks. This literature review discusses two prominent theories: the Job Demands-Resources (JD-R) model and the Effort-Reward Imbalance (ERI) model.</w:t>
      </w:r>
    </w:p>
    <w:p w:rsidR="00000000" w:rsidDel="00000000" w:rsidP="00000000" w:rsidRDefault="00000000" w:rsidRPr="00000000" w14:paraId="0000001F">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Job Demands-Resources (JD-R) Model</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JD-R model, developed by Demerouti and Bakker (2007), posits that job demands and job resources are two distinct categories of work-related factors that influence employees' psychological health. Job demands refer to the physical, emotional, and cognitive requirements of a job, while job resources refer to the physical, emotional, and cognitive support provided by the organization. The JD-R model suggests that high job demands and low job resources can lead to burnout, a state of chronic stress characterized by emotional exhaustion, cynicism, and reduced performance (Demerouti et al., 2001).</w:t>
      </w:r>
    </w:p>
    <w:p w:rsidR="00000000" w:rsidDel="00000000" w:rsidP="00000000" w:rsidRDefault="00000000" w:rsidRPr="00000000" w14:paraId="00000021">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Effort-Reward Imbalance (ERI) Model</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ERI model, developed by Siegrist (1996), posits that an imbalance between the effort invested in a job and the rewards received can lead to stress and anxiety. The ERI model suggests that employees who perceive a mismatch between their efforts and rewards are more likely to experience stress and anxiety, which can ultimately lead to burnout and other negative health outcomes (Siegrist, 1996).</w:t>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context of construction companies in Cameroon, both the JD-R model and the ERI model can be applied to understand the relationship between psychosocial risk factors and employees' psychological health. Construction work is often physically demanding, and employees may experience high job demands and low job resources, leading to burnout and other negative health outcomes (Hämmig et al., 2011). Additionally, construction employees in Cameroon may experience an imbalance between their efforts and rewards, particularly if they are not adequately compensated or recognized for their work (Siegrist, 1996). By understanding the theoretical frameworks that underlie this relationship, organizations can develop targeted interventions to mitigate the negative effects of psychosocial risk factors and promote employees' psychological well-being.</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has consistently shown that psychosocial risk factors, such as workload, job insecurity, and lack of control, can have negative effects on employees' psychological health (Demerouti &amp; Bakker, 2018; Hämmig et al., 2011). In the construction industry, these risk factors are particularly prevalent due to the physically demanding nature of the work, tight deadlines, and limited job security (Chiang et al., 2023).</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Studies have shown that construction workers experience high levels of stress, anxiety, and depression due to psychosocial risk factors (Hämmig et al., 2011). For example, a study conducted in the UK found that construction workers reported higher levels of stress and anxiety compared to workers in other industries (Chiang et al., 2023). Similarly, a study conducted in Australia found that construction workers experienced high levels of burnout and emotional exhaustion due to excessive workload and lack of control (Chiang et al., 2023).</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existing research provides valuable insights into the relationship between psychosocial risk factors and employees' psychological health in construction companies, several methodological limitations need to be addressed. Firstly, many studies rely on self-reported measures of psychological health, which may be subject to biases and limitations (Podsakoff et al., 2003). Secondly, few studies have examined the longitudinal effects of psychosocial risk factors on employees' psychological health, making it difficult to establish causality (Demerouti &amp; Bakker, 2018). Finally, most studies have focused on Western contexts, with limited research conducted in African countries, including Cameroon.</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the growing body of research on psychosocial risk factors and employees' psychological health in construction companies, there is a significant knowledge gap in the Cameroonian context. Specifically, there is a lack of research examining the effects of psychosocial risk factors on employees' psychological health in construction companies within the Centre Region of Cameroon. This study aims to address this knowledge gap by exploring the relationship between psychosocial risk factors and employees' psychological health in construction companies within the Centre Region of Cameroon.</w:t>
      </w:r>
    </w:p>
    <w:p w:rsidR="00000000" w:rsidDel="00000000" w:rsidP="00000000" w:rsidRDefault="00000000" w:rsidRPr="00000000" w14:paraId="0000002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Methodology</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employed a quantitative approach to gather comprehensive data. The quantitative approach involved surveying 100 construction employees aged 15-30 in 10 randomly selected construction sites in Yaoundé. This allowed for the collection of numerical data to identify trends and patterns. The simple random sampling was used to collect the data. Primary data was collected through survey questionnaires. The study's conceptual model examined the Psychological Health (PH) among workers. Moderating variables included Job Insecurity (JI), Workload (WL), and school Lack of Control (LC). The mathematical model took the form of:</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 β</w:t>
      </w:r>
      <w:r w:rsidDel="00000000" w:rsidR="00000000" w:rsidRPr="00000000">
        <w:rPr>
          <w:rFonts w:ascii="Times New Roman" w:cs="Times New Roman" w:eastAsia="Times New Roman" w:hAnsi="Times New Roman"/>
          <w:vertAlign w:val="subscript"/>
          <w:rtl w:val="0"/>
        </w:rPr>
        <w:t xml:space="preserve">0</w:t>
      </w:r>
      <w:r w:rsidDel="00000000" w:rsidR="00000000" w:rsidRPr="00000000">
        <w:rPr>
          <w:rFonts w:ascii="Times New Roman" w:cs="Times New Roman" w:eastAsia="Times New Roman" w:hAnsi="Times New Roman"/>
          <w:rtl w:val="0"/>
        </w:rPr>
        <w:t xml:space="preserve"> + β</w:t>
      </w:r>
      <w:r w:rsidDel="00000000" w:rsidR="00000000" w:rsidRPr="00000000">
        <w:rPr>
          <w:rFonts w:ascii="Times New Roman" w:cs="Times New Roman" w:eastAsia="Times New Roman" w:hAnsi="Times New Roman"/>
          <w:vertAlign w:val="subscript"/>
          <w:rtl w:val="0"/>
        </w:rPr>
        <w:t xml:space="preserve">1</w:t>
      </w:r>
      <w:r w:rsidDel="00000000" w:rsidR="00000000" w:rsidRPr="00000000">
        <w:rPr>
          <w:rFonts w:ascii="Times New Roman" w:cs="Times New Roman" w:eastAsia="Times New Roman" w:hAnsi="Times New Roman"/>
          <w:rtl w:val="0"/>
        </w:rPr>
        <w:t xml:space="preserve">X</w:t>
      </w:r>
      <w:r w:rsidDel="00000000" w:rsidR="00000000" w:rsidRPr="00000000">
        <w:rPr>
          <w:rFonts w:ascii="Times New Roman" w:cs="Times New Roman" w:eastAsia="Times New Roman" w:hAnsi="Times New Roman"/>
          <w:vertAlign w:val="subscript"/>
          <w:rtl w:val="0"/>
        </w:rPr>
        <w:t xml:space="preserve">1</w:t>
      </w:r>
      <w:r w:rsidDel="00000000" w:rsidR="00000000" w:rsidRPr="00000000">
        <w:rPr>
          <w:rFonts w:ascii="Times New Roman" w:cs="Times New Roman" w:eastAsia="Times New Roman" w:hAnsi="Times New Roman"/>
          <w:rtl w:val="0"/>
        </w:rPr>
        <w:t xml:space="preserve"> + β</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X</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 β</w:t>
      </w:r>
      <w:r w:rsidDel="00000000" w:rsidR="00000000" w:rsidRPr="00000000">
        <w:rPr>
          <w:rFonts w:ascii="Times New Roman" w:cs="Times New Roman" w:eastAsia="Times New Roman" w:hAnsi="Times New Roman"/>
          <w:vertAlign w:val="subscript"/>
          <w:rtl w:val="0"/>
        </w:rPr>
        <w:t xml:space="preserve">3</w:t>
      </w:r>
      <w:r w:rsidDel="00000000" w:rsidR="00000000" w:rsidRPr="00000000">
        <w:rPr>
          <w:rFonts w:ascii="Times New Roman" w:cs="Times New Roman" w:eastAsia="Times New Roman" w:hAnsi="Times New Roman"/>
          <w:rtl w:val="0"/>
        </w:rPr>
        <w:t xml:space="preserve">X</w:t>
      </w:r>
      <w:r w:rsidDel="00000000" w:rsidR="00000000" w:rsidRPr="00000000">
        <w:rPr>
          <w:rFonts w:ascii="Times New Roman" w:cs="Times New Roman" w:eastAsia="Times New Roman" w:hAnsi="Times New Roman"/>
          <w:vertAlign w:val="subscript"/>
          <w:rtl w:val="0"/>
        </w:rPr>
        <w:t xml:space="preserve">3</w:t>
      </w:r>
      <w:r w:rsidDel="00000000" w:rsidR="00000000" w:rsidRPr="00000000">
        <w:rPr>
          <w:rFonts w:ascii="Times New Roman" w:cs="Times New Roman" w:eastAsia="Times New Roman" w:hAnsi="Times New Roman"/>
          <w:rtl w:val="0"/>
        </w:rPr>
        <w:t xml:space="preserve"> + ε</w:t>
        <w:tab/>
        <w:tab/>
        <w:tab/>
        <w:tab/>
        <w:tab/>
        <w:t xml:space="preserve">(1)</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 = Psychological Health (PH), X</w:t>
      </w:r>
      <w:r w:rsidDel="00000000" w:rsidR="00000000" w:rsidRPr="00000000">
        <w:rPr>
          <w:rFonts w:ascii="Times New Roman" w:cs="Times New Roman" w:eastAsia="Times New Roman" w:hAnsi="Times New Roman"/>
          <w:vertAlign w:val="subscript"/>
          <w:rtl w:val="0"/>
        </w:rPr>
        <w:t xml:space="preserve">1</w:t>
      </w:r>
      <w:r w:rsidDel="00000000" w:rsidR="00000000" w:rsidRPr="00000000">
        <w:rPr>
          <w:rFonts w:ascii="Times New Roman" w:cs="Times New Roman" w:eastAsia="Times New Roman" w:hAnsi="Times New Roman"/>
          <w:rtl w:val="0"/>
        </w:rPr>
        <w:t xml:space="preserve"> = Workload (WL), X</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 Job Insecurity (JI), X</w:t>
      </w:r>
      <w:r w:rsidDel="00000000" w:rsidR="00000000" w:rsidRPr="00000000">
        <w:rPr>
          <w:rFonts w:ascii="Times New Roman" w:cs="Times New Roman" w:eastAsia="Times New Roman" w:hAnsi="Times New Roman"/>
          <w:vertAlign w:val="subscript"/>
          <w:rtl w:val="0"/>
        </w:rPr>
        <w:t xml:space="preserve">3</w:t>
      </w:r>
      <w:r w:rsidDel="00000000" w:rsidR="00000000" w:rsidRPr="00000000">
        <w:rPr>
          <w:rFonts w:ascii="Times New Roman" w:cs="Times New Roman" w:eastAsia="Times New Roman" w:hAnsi="Times New Roman"/>
          <w:rtl w:val="0"/>
        </w:rPr>
        <w:t xml:space="preserve"> = Lack of Control (LC), β</w:t>
      </w:r>
      <w:r w:rsidDel="00000000" w:rsidR="00000000" w:rsidRPr="00000000">
        <w:rPr>
          <w:rFonts w:ascii="Times New Roman" w:cs="Times New Roman" w:eastAsia="Times New Roman" w:hAnsi="Times New Roman"/>
          <w:vertAlign w:val="subscript"/>
          <w:rtl w:val="0"/>
        </w:rPr>
        <w:t xml:space="preserve">0</w:t>
      </w:r>
      <w:r w:rsidDel="00000000" w:rsidR="00000000" w:rsidRPr="00000000">
        <w:rPr>
          <w:rFonts w:ascii="Times New Roman" w:cs="Times New Roman" w:eastAsia="Times New Roman" w:hAnsi="Times New Roman"/>
          <w:rtl w:val="0"/>
        </w:rPr>
        <w:t xml:space="preserve"> = Intercept</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β</w:t>
      </w:r>
      <w:r w:rsidDel="00000000" w:rsidR="00000000" w:rsidRPr="00000000">
        <w:rPr>
          <w:rFonts w:ascii="Times New Roman" w:cs="Times New Roman" w:eastAsia="Times New Roman" w:hAnsi="Times New Roman"/>
          <w:vertAlign w:val="subscript"/>
          <w:rtl w:val="0"/>
        </w:rPr>
        <w:t xml:space="preserve">1</w:t>
      </w:r>
      <w:r w:rsidDel="00000000" w:rsidR="00000000" w:rsidRPr="00000000">
        <w:rPr>
          <w:rFonts w:ascii="Times New Roman" w:cs="Times New Roman" w:eastAsia="Times New Roman" w:hAnsi="Times New Roman"/>
          <w:rtl w:val="0"/>
        </w:rPr>
        <w:t xml:space="preserve">, β</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β</w:t>
      </w:r>
      <w:r w:rsidDel="00000000" w:rsidR="00000000" w:rsidRPr="00000000">
        <w:rPr>
          <w:rFonts w:ascii="Times New Roman" w:cs="Times New Roman" w:eastAsia="Times New Roman" w:hAnsi="Times New Roman"/>
          <w:vertAlign w:val="subscript"/>
          <w:rtl w:val="0"/>
        </w:rPr>
        <w:t xml:space="preserve">3</w:t>
      </w:r>
      <w:r w:rsidDel="00000000" w:rsidR="00000000" w:rsidRPr="00000000">
        <w:rPr>
          <w:rFonts w:ascii="Times New Roman" w:cs="Times New Roman" w:eastAsia="Times New Roman" w:hAnsi="Times New Roman"/>
          <w:rtl w:val="0"/>
        </w:rPr>
        <w:t xml:space="preserve"> = Slope coefficients</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ε = Error term</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model enabled the examination of psychological health impact construction workers while controlling for moderating variables. To ensure validity and reliability, several techniques were employed. Pilot testing of survey questionnaires ensured their effectiveness. Member checking for interview data verified accuracy. Triangulation of data sources increased confidence in findings. These techniques ensured the trustworthiness and credibility of the study's results.</w:t>
      </w:r>
    </w:p>
    <w:p w:rsidR="00000000" w:rsidDel="00000000" w:rsidP="00000000" w:rsidRDefault="00000000" w:rsidRPr="00000000" w14:paraId="0000003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Results</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Descriptive statistics</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 shows the descriptive statistics of the demography and variables. The dataset provides valuable insights into the psychological health and well-being of employees in construction companies within the Centre Region of Cameroon. One of the key findings is that the employees generally have good psychological health, with an average score of 4.054. However, the range of scores indicates that some employees may be experiencing psychological distress, with scores as low as 3.2. This suggests that while many employees are coping well, there may be a subset of employees who require additional support.</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dataset also highlights the presence of psychosocial risk factors that can impact employees' psychological health. The average workload score is 4.099, indicating that employees are experiencing a relatively high workload. This can contribute to stress and anxiety, which can negatively impact psychological health. Additionally, the average job insecurity score is 3.406, suggesting that employees are experiencing some level of uncertainty about their job security. This can also contribute to stress and anxiety, and can impact employees' sense of well-being.</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the dataset indicates that employees are experiencing a lack of control over their work, with an average score of 3.486. This can contribute to feelings of powerlessness and frustration, which can negatively impact psychological health. The combination of high workload, job insecurity, and lack of control can create a toxic work environment that can have serious consequences for employees' psychological health.</w:t>
      </w:r>
    </w:p>
    <w:p w:rsidR="00000000" w:rsidDel="00000000" w:rsidP="00000000" w:rsidRDefault="00000000" w:rsidRPr="00000000" w14:paraId="0000003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1: Descriptive statistics</w:t>
      </w:r>
    </w:p>
    <w:tbl>
      <w:tblPr>
        <w:tblStyle w:val="Table1"/>
        <w:tblW w:w="8908.0" w:type="dxa"/>
        <w:jc w:val="left"/>
        <w:tblLayout w:type="fixed"/>
        <w:tblLook w:val="0000"/>
      </w:tblPr>
      <w:tblGrid>
        <w:gridCol w:w="2508"/>
        <w:gridCol w:w="800"/>
        <w:gridCol w:w="1400"/>
        <w:gridCol w:w="1400"/>
        <w:gridCol w:w="1400"/>
        <w:gridCol w:w="1400"/>
        <w:tblGridChange w:id="0">
          <w:tblGrid>
            <w:gridCol w:w="2508"/>
            <w:gridCol w:w="800"/>
            <w:gridCol w:w="1400"/>
            <w:gridCol w:w="1400"/>
            <w:gridCol w:w="1400"/>
            <w:gridCol w:w="1400"/>
          </w:tblGrid>
        </w:tblGridChange>
      </w:tblGrid>
      <w:tr>
        <w:trPr>
          <w:cantSplit w:val="0"/>
          <w:tblHeader w:val="0"/>
        </w:trPr>
        <w:tc>
          <w:tcPr>
            <w:tcBorders>
              <w:top w:color="000000" w:space="0" w:sz="4" w:val="single"/>
              <w:left w:color="000000" w:space="0" w:sz="0" w:val="nil"/>
              <w:bottom w:color="000000" w:space="0" w:sz="10" w:val="single"/>
              <w:right w:color="000000" w:space="0" w:sz="0" w:val="nil"/>
            </w:tcBorders>
          </w:tcPr>
          <w:p w:rsidR="00000000" w:rsidDel="00000000" w:rsidP="00000000" w:rsidRDefault="00000000" w:rsidRPr="00000000" w14:paraId="00000036">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Variable</w:t>
            </w:r>
          </w:p>
        </w:tc>
        <w:tc>
          <w:tcPr>
            <w:tcBorders>
              <w:top w:color="000000" w:space="0" w:sz="4" w:val="single"/>
              <w:left w:color="000000" w:space="0" w:sz="0" w:val="nil"/>
              <w:bottom w:color="000000" w:space="0" w:sz="10" w:val="single"/>
              <w:right w:color="000000" w:space="0" w:sz="0" w:val="nil"/>
            </w:tcBorders>
          </w:tcPr>
          <w:p w:rsidR="00000000" w:rsidDel="00000000" w:rsidP="00000000" w:rsidRDefault="00000000" w:rsidRPr="00000000" w14:paraId="00000037">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Obs</w:t>
            </w:r>
          </w:p>
        </w:tc>
        <w:tc>
          <w:tcPr>
            <w:tcBorders>
              <w:top w:color="000000" w:space="0" w:sz="4" w:val="single"/>
              <w:left w:color="000000" w:space="0" w:sz="0" w:val="nil"/>
              <w:bottom w:color="000000" w:space="0" w:sz="10" w:val="single"/>
              <w:right w:color="000000" w:space="0" w:sz="0" w:val="nil"/>
            </w:tcBorders>
          </w:tcPr>
          <w:p w:rsidR="00000000" w:rsidDel="00000000" w:rsidP="00000000" w:rsidRDefault="00000000" w:rsidRPr="00000000" w14:paraId="00000038">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Mean</w:t>
            </w:r>
          </w:p>
        </w:tc>
        <w:tc>
          <w:tcPr>
            <w:tcBorders>
              <w:top w:color="000000" w:space="0" w:sz="4" w:val="single"/>
              <w:left w:color="000000" w:space="0" w:sz="0" w:val="nil"/>
              <w:bottom w:color="000000" w:space="0" w:sz="10" w:val="single"/>
              <w:right w:color="000000" w:space="0" w:sz="0" w:val="nil"/>
            </w:tcBorders>
          </w:tcPr>
          <w:p w:rsidR="00000000" w:rsidDel="00000000" w:rsidP="00000000" w:rsidRDefault="00000000" w:rsidRPr="00000000" w14:paraId="00000039">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Std. Dev.</w:t>
            </w:r>
          </w:p>
        </w:tc>
        <w:tc>
          <w:tcPr>
            <w:tcBorders>
              <w:top w:color="000000" w:space="0" w:sz="4" w:val="single"/>
              <w:left w:color="000000" w:space="0" w:sz="0" w:val="nil"/>
              <w:bottom w:color="000000" w:space="0" w:sz="10" w:val="single"/>
              <w:right w:color="000000" w:space="0" w:sz="0" w:val="nil"/>
            </w:tcBorders>
          </w:tcPr>
          <w:p w:rsidR="00000000" w:rsidDel="00000000" w:rsidP="00000000" w:rsidRDefault="00000000" w:rsidRPr="00000000" w14:paraId="0000003A">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Min</w:t>
            </w:r>
          </w:p>
        </w:tc>
        <w:tc>
          <w:tcPr>
            <w:tcBorders>
              <w:top w:color="000000" w:space="0" w:sz="4" w:val="single"/>
              <w:left w:color="000000" w:space="0" w:sz="0" w:val="nil"/>
              <w:bottom w:color="000000" w:space="0" w:sz="10" w:val="single"/>
              <w:right w:color="000000" w:space="0" w:sz="0" w:val="nil"/>
            </w:tcBorders>
          </w:tcPr>
          <w:p w:rsidR="00000000" w:rsidDel="00000000" w:rsidP="00000000" w:rsidRDefault="00000000" w:rsidRPr="00000000" w14:paraId="0000003B">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Max</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Age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26.05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2.603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0">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1">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2">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Psychological Heal~H</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3">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4">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4.054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5">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6">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8">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WorkloadWL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A">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4.099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B">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C">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E">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Job InsecurityJI</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F">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0">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3.406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1">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2">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3">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4">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Lack of ControlLC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5">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6">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3.486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7">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8">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9">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r>
      <w:tr>
        <w:trPr>
          <w:cantSplit w:val="0"/>
          <w:tblHeader w:val="0"/>
        </w:trPr>
        <w:tc>
          <w:tcPr>
            <w:gridSpan w:val="6"/>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5A">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Source: Authors (2025)</w:t>
            </w:r>
          </w:p>
          <w:p w:rsidR="00000000" w:rsidDel="00000000" w:rsidP="00000000" w:rsidRDefault="00000000" w:rsidRPr="00000000" w14:paraId="0000005B">
            <w:pPr>
              <w:widowControl w:val="0"/>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Reliability Test</w:t>
      </w:r>
    </w:p>
    <w:p w:rsidR="00000000" w:rsidDel="00000000" w:rsidP="00000000" w:rsidRDefault="00000000" w:rsidRPr="00000000" w14:paraId="0000006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Cronbach's Alpha value of 0.800 on Table 2 indicates that the survey instrument used to measure psychosocial risk factors and their effects on employees' psychological health has a high level of internal consistency.</w:t>
      </w:r>
    </w:p>
    <w:p w:rsidR="00000000" w:rsidDel="00000000" w:rsidP="00000000" w:rsidRDefault="00000000" w:rsidRPr="00000000" w14:paraId="0000006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other words, the 5 items (questions) in the survey are strongly correlated with each other, suggesting that they are measuring the same underlying construct (psychosocial risk factors). This provides evidence that the survey instrument is reliable and can be used to draw valid conclusions.</w:t>
      </w:r>
    </w:p>
    <w:p w:rsidR="00000000" w:rsidDel="00000000" w:rsidP="00000000" w:rsidRDefault="00000000" w:rsidRPr="00000000" w14:paraId="0000006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Cronbach's Alpha value of 0.800 is generally considered to be excellent, as it indicates that the survey instrument has a high degree of reliability. This suggests that the results obtained from the survey can be trusted and are likely to be generalizable to the broader population of construction employees in the Centre Region of Cameroon.</w:t>
      </w:r>
    </w:p>
    <w:p w:rsidR="00000000" w:rsidDel="00000000" w:rsidP="00000000" w:rsidRDefault="00000000" w:rsidRPr="00000000" w14:paraId="0000006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context of the topic, this means that the survey instrument is capable of accurately measuring the psychosocial risk factors that affect employees' psychological health in construction companies. This provides a solid foundation for analysing the relationships between these risk factors and employees' psychological health.</w:t>
      </w:r>
    </w:p>
    <w:tbl>
      <w:tblPr>
        <w:tblStyle w:val="Table2"/>
        <w:tblW w:w="93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271"/>
        <w:gridCol w:w="4061"/>
        <w:tblGridChange w:id="0">
          <w:tblGrid>
            <w:gridCol w:w="5271"/>
            <w:gridCol w:w="4061"/>
          </w:tblGrid>
        </w:tblGridChange>
      </w:tblGrid>
      <w:tr>
        <w:trPr>
          <w:cantSplit w:val="1"/>
          <w:trHeight w:val="254" w:hRule="atLeast"/>
          <w:tblHeader w:val="0"/>
        </w:trPr>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67">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Table 2: Reliability Statistics</w:t>
            </w:r>
            <w:r w:rsidDel="00000000" w:rsidR="00000000" w:rsidRPr="00000000">
              <w:rPr>
                <w:rtl w:val="0"/>
              </w:rPr>
            </w:r>
          </w:p>
        </w:tc>
      </w:tr>
      <w:tr>
        <w:trPr>
          <w:cantSplit w:val="1"/>
          <w:trHeight w:val="508" w:hRule="atLeast"/>
          <w:tblHeader w:val="0"/>
        </w:trPr>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069">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Cronbach's Alpha</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06A">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 of Items</w:t>
            </w:r>
          </w:p>
        </w:tc>
      </w:tr>
      <w:tr>
        <w:trPr>
          <w:cantSplit w:val="1"/>
          <w:trHeight w:val="254" w:hRule="atLeast"/>
          <w:tblHeader w:val="0"/>
        </w:trPr>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06B">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.800</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06C">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r>
      <w:tr>
        <w:trPr>
          <w:cantSplit w:val="1"/>
          <w:trHeight w:val="254" w:hRule="atLeast"/>
          <w:tblHeader w:val="0"/>
        </w:trPr>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6D">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Source: Authors (2025)</w:t>
            </w:r>
          </w:p>
        </w:tc>
      </w:tr>
    </w:tbl>
    <w:p w:rsidR="00000000" w:rsidDel="00000000" w:rsidP="00000000" w:rsidRDefault="00000000" w:rsidRPr="00000000" w14:paraId="0000006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Normality test</w:t>
      </w:r>
    </w:p>
    <w:p w:rsidR="00000000" w:rsidDel="00000000" w:rsidP="00000000" w:rsidRDefault="00000000" w:rsidRPr="00000000" w14:paraId="0000007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of the normality tests, specifically the Kolmogorov-Smirnov and Shapiro-Wilk tests, are presented in the table. These tests are used to determine if the data follows a normal distribution, which is a common assumption in many statistical tests. The results indicate that the data for all variables, including Psychological Health (PH), Age, Workload (WL), Job Insecurity (JI), and Lack of Control (LC), is approximately normally distributed.</w:t>
      </w:r>
    </w:p>
    <w:p w:rsidR="00000000" w:rsidDel="00000000" w:rsidP="00000000" w:rsidRDefault="00000000" w:rsidRPr="00000000" w14:paraId="0000007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p-values for the Kolmogorov-Smirnov and Shapiro-Wilk tests are all above the conventional 0.05 threshold, which suggests that the data is normally distributed. However, some of the p-values are slightly above the threshold, which may indicate some minor deviations from normality. For example, the p-value for Psychological Health (PH) is 0.053, which is just above the threshold. Similarly, the p-values for Age, Workload (WL), Job Insecurity (JI), and Lack of Control (LC) are also slightly above the threshold.</w:t>
      </w:r>
    </w:p>
    <w:p w:rsidR="00000000" w:rsidDel="00000000" w:rsidP="00000000" w:rsidRDefault="00000000" w:rsidRPr="00000000" w14:paraId="0000007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the results suggest that the data can be considered suitable for analysis using parametric statistical tests, which assume normality. However, it's always a good idea to visually inspect the data using plots (e.g., histograms, Q-Q plots) to confirm the normality assumption. Visual inspection can help identify any minor deviations from normality that may not be detected by the normality tests.</w:t>
      </w:r>
    </w:p>
    <w:tbl>
      <w:tblPr>
        <w:tblStyle w:val="Table3"/>
        <w:tblW w:w="978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818"/>
        <w:gridCol w:w="1161"/>
        <w:gridCol w:w="1161"/>
        <w:gridCol w:w="1163"/>
        <w:gridCol w:w="1160"/>
        <w:gridCol w:w="1160"/>
        <w:gridCol w:w="1166"/>
        <w:tblGridChange w:id="0">
          <w:tblGrid>
            <w:gridCol w:w="2818"/>
            <w:gridCol w:w="1161"/>
            <w:gridCol w:w="1161"/>
            <w:gridCol w:w="1163"/>
            <w:gridCol w:w="1160"/>
            <w:gridCol w:w="1160"/>
            <w:gridCol w:w="1166"/>
          </w:tblGrid>
        </w:tblGridChange>
      </w:tblGrid>
      <w:tr>
        <w:trPr>
          <w:cantSplit w:val="1"/>
          <w:trHeight w:val="297"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76">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Table 3: Tests of Normality</w:t>
            </w:r>
            <w:r w:rsidDel="00000000" w:rsidR="00000000" w:rsidRPr="00000000">
              <w:rPr>
                <w:rtl w:val="0"/>
              </w:rPr>
            </w:r>
          </w:p>
        </w:tc>
      </w:tr>
      <w:tr>
        <w:trPr>
          <w:cantSplit w:val="1"/>
          <w:trHeight w:val="133" w:hRule="atLeast"/>
          <w:tblHeader w:val="0"/>
        </w:trPr>
        <w:tc>
          <w:tcPr>
            <w:vMerge w:val="restart"/>
            <w:tcBorders>
              <w:top w:color="000000" w:space="0" w:sz="16" w:val="single"/>
              <w:left w:color="000000" w:space="0" w:sz="16" w:val="single"/>
              <w:bottom w:color="000000" w:space="0" w:sz="0" w:val="nil"/>
              <w:right w:color="000000" w:space="0" w:sz="16" w:val="single"/>
            </w:tcBorders>
            <w:shd w:fill="ffffff" w:val="clear"/>
          </w:tcPr>
          <w:p w:rsidR="00000000" w:rsidDel="00000000" w:rsidP="00000000" w:rsidRDefault="00000000" w:rsidRPr="00000000" w14:paraId="0000007D">
            <w:pPr>
              <w:spacing w:after="0" w:lineRule="auto"/>
              <w:ind w:left="60" w:right="60" w:firstLine="0"/>
              <w:rPr>
                <w:rFonts w:ascii="Times New Roman" w:cs="Times New Roman" w:eastAsia="Times New Roman" w:hAnsi="Times New Roman"/>
                <w:color w:val="000000"/>
              </w:rPr>
            </w:pPr>
            <w:r w:rsidDel="00000000" w:rsidR="00000000" w:rsidRPr="00000000">
              <w:rPr>
                <w:rtl w:val="0"/>
              </w:rPr>
            </w:r>
          </w:p>
        </w:tc>
        <w:tc>
          <w:tcPr>
            <w:gridSpan w:val="3"/>
            <w:tcBorders>
              <w:top w:color="000000" w:space="0" w:sz="16" w:val="single"/>
              <w:left w:color="000000" w:space="0" w:sz="16" w:val="single"/>
            </w:tcBorders>
            <w:shd w:fill="ffffff" w:val="clear"/>
          </w:tcPr>
          <w:p w:rsidR="00000000" w:rsidDel="00000000" w:rsidP="00000000" w:rsidRDefault="00000000" w:rsidRPr="00000000" w14:paraId="0000007E">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Kolmogorov-Smirnov</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gridSpan w:val="3"/>
            <w:tcBorders>
              <w:top w:color="000000" w:space="0" w:sz="16" w:val="single"/>
            </w:tcBorders>
            <w:shd w:fill="ffffff" w:val="clear"/>
          </w:tcPr>
          <w:p w:rsidR="00000000" w:rsidDel="00000000" w:rsidP="00000000" w:rsidRDefault="00000000" w:rsidRPr="00000000" w14:paraId="00000081">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Shapiro-Wilk</w:t>
            </w:r>
          </w:p>
        </w:tc>
      </w:tr>
      <w:tr>
        <w:trPr>
          <w:cantSplit w:val="1"/>
          <w:trHeight w:val="576" w:hRule="atLeast"/>
          <w:tblHeader w:val="0"/>
        </w:trPr>
        <w:tc>
          <w:tcPr>
            <w:vMerge w:val="continue"/>
            <w:tcBorders>
              <w:top w:color="000000" w:space="0" w:sz="16" w:val="single"/>
              <w:left w:color="000000" w:space="0" w:sz="16" w:val="single"/>
              <w:bottom w:color="000000" w:space="0" w:sz="0" w:val="nil"/>
              <w:right w:color="000000" w:space="0" w:sz="16" w:val="single"/>
            </w:tcBorders>
            <w:shd w:fill="ffffff" w:val="cle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left w:color="000000" w:space="0" w:sz="16" w:val="single"/>
              <w:bottom w:color="000000" w:space="0" w:sz="16" w:val="single"/>
            </w:tcBorders>
            <w:shd w:fill="ffffff" w:val="clear"/>
          </w:tcPr>
          <w:p w:rsidR="00000000" w:rsidDel="00000000" w:rsidP="00000000" w:rsidRDefault="00000000" w:rsidRPr="00000000" w14:paraId="00000085">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Statistic</w:t>
            </w:r>
          </w:p>
        </w:tc>
        <w:tc>
          <w:tcPr>
            <w:tcBorders>
              <w:bottom w:color="000000" w:space="0" w:sz="16" w:val="single"/>
            </w:tcBorders>
            <w:shd w:fill="ffffff" w:val="clear"/>
          </w:tcPr>
          <w:p w:rsidR="00000000" w:rsidDel="00000000" w:rsidP="00000000" w:rsidRDefault="00000000" w:rsidRPr="00000000" w14:paraId="00000086">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df</w:t>
            </w:r>
          </w:p>
        </w:tc>
        <w:tc>
          <w:tcPr>
            <w:tcBorders>
              <w:bottom w:color="000000" w:space="0" w:sz="16" w:val="single"/>
            </w:tcBorders>
            <w:shd w:fill="ffffff" w:val="clear"/>
          </w:tcPr>
          <w:p w:rsidR="00000000" w:rsidDel="00000000" w:rsidP="00000000" w:rsidRDefault="00000000" w:rsidRPr="00000000" w14:paraId="00000087">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Sig.</w:t>
            </w:r>
          </w:p>
        </w:tc>
        <w:tc>
          <w:tcPr>
            <w:tcBorders>
              <w:bottom w:color="000000" w:space="0" w:sz="16" w:val="single"/>
            </w:tcBorders>
            <w:shd w:fill="ffffff" w:val="clear"/>
          </w:tcPr>
          <w:p w:rsidR="00000000" w:rsidDel="00000000" w:rsidP="00000000" w:rsidRDefault="00000000" w:rsidRPr="00000000" w14:paraId="00000088">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Statistic</w:t>
            </w:r>
          </w:p>
        </w:tc>
        <w:tc>
          <w:tcPr>
            <w:tcBorders>
              <w:bottom w:color="000000" w:space="0" w:sz="16" w:val="single"/>
            </w:tcBorders>
            <w:shd w:fill="ffffff" w:val="clear"/>
          </w:tcPr>
          <w:p w:rsidR="00000000" w:rsidDel="00000000" w:rsidP="00000000" w:rsidRDefault="00000000" w:rsidRPr="00000000" w14:paraId="00000089">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df</w:t>
            </w:r>
          </w:p>
        </w:tc>
        <w:tc>
          <w:tcPr>
            <w:tcBorders>
              <w:bottom w:color="000000" w:space="0" w:sz="16" w:val="single"/>
              <w:right w:color="000000" w:space="0" w:sz="16" w:val="single"/>
            </w:tcBorders>
            <w:shd w:fill="ffffff" w:val="clear"/>
          </w:tcPr>
          <w:p w:rsidR="00000000" w:rsidDel="00000000" w:rsidP="00000000" w:rsidRDefault="00000000" w:rsidRPr="00000000" w14:paraId="0000008A">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Sig.</w:t>
            </w:r>
          </w:p>
        </w:tc>
      </w:tr>
      <w:tr>
        <w:trPr>
          <w:cantSplit w:val="1"/>
          <w:trHeight w:val="297" w:hRule="atLeast"/>
          <w:tblHeader w:val="0"/>
        </w:trPr>
        <w:tc>
          <w:tcPr>
            <w:tcBorders>
              <w:top w:color="000000" w:space="0" w:sz="16" w:val="single"/>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08B">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Psychological_Health (PH)</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08C">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08D">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08E">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.053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08F">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.962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090">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091">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.050</w:t>
            </w:r>
          </w:p>
        </w:tc>
      </w:tr>
      <w:tr>
        <w:trPr>
          <w:cantSplit w:val="1"/>
          <w:trHeight w:val="297" w:hRule="atLeast"/>
          <w:tblHeader w:val="0"/>
        </w:trPr>
        <w:tc>
          <w:tcPr>
            <w:tcBorders>
              <w:top w:color="000000" w:space="0" w:sz="0" w:val="nil"/>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092">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Age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093">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94">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95">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.061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96">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.928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97">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098">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.060</w:t>
            </w:r>
          </w:p>
        </w:tc>
      </w:tr>
      <w:tr>
        <w:trPr>
          <w:cantSplit w:val="1"/>
          <w:trHeight w:val="297" w:hRule="atLeast"/>
          <w:tblHeader w:val="0"/>
        </w:trPr>
        <w:tc>
          <w:tcPr>
            <w:tcBorders>
              <w:top w:color="000000" w:space="0" w:sz="0" w:val="nil"/>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099">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Workload (WL)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09A">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9B">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9C">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.056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9D">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.962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9E">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09F">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.062</w:t>
            </w:r>
          </w:p>
        </w:tc>
      </w:tr>
      <w:tr>
        <w:trPr>
          <w:cantSplit w:val="1"/>
          <w:trHeight w:val="297" w:hRule="atLeast"/>
          <w:tblHeader w:val="0"/>
        </w:trPr>
        <w:tc>
          <w:tcPr>
            <w:tcBorders>
              <w:top w:color="000000" w:space="0" w:sz="0" w:val="nil"/>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0A0">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Job_Insecurity (JI)</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0A1">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A2">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A3">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.069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A4">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.966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A5">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0A6">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.057</w:t>
            </w:r>
          </w:p>
        </w:tc>
      </w:tr>
      <w:tr>
        <w:trPr>
          <w:cantSplit w:val="1"/>
          <w:trHeight w:val="297" w:hRule="atLeast"/>
          <w:tblHeader w:val="0"/>
        </w:trPr>
        <w:tc>
          <w:tcPr>
            <w:tcBorders>
              <w:top w:color="000000" w:space="0" w:sz="0" w:val="nil"/>
              <w:left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0A7">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Lack_of_Control (LC)</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0A8">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0A9">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0AA">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0AB">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.972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0AC">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100</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0AD">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.064</w:t>
            </w:r>
          </w:p>
        </w:tc>
      </w:tr>
    </w:tbl>
    <w:p w:rsidR="00000000" w:rsidDel="00000000" w:rsidP="00000000" w:rsidRDefault="00000000" w:rsidRPr="00000000" w14:paraId="000000AE">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Source: Authors (2025)</w:t>
      </w:r>
    </w:p>
    <w:p w:rsidR="00000000" w:rsidDel="00000000" w:rsidP="00000000" w:rsidRDefault="00000000" w:rsidRPr="00000000" w14:paraId="000000AF">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Multicolinearity test</w:t>
      </w:r>
    </w:p>
    <w:p w:rsidR="00000000" w:rsidDel="00000000" w:rsidP="00000000" w:rsidRDefault="00000000" w:rsidRPr="00000000" w14:paraId="000000B0">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table presents the results of the Variance Inflation Factor (VIF) analysis, which is used to assess the level of multicollinearity between the independent variables in the model. Multicollinearity occurs when two or more independent variables are highly correlated with each other, which can lead to unstable estimates of the regression coefficients.</w:t>
      </w:r>
    </w:p>
    <w:p w:rsidR="00000000" w:rsidDel="00000000" w:rsidP="00000000" w:rsidRDefault="00000000" w:rsidRPr="00000000" w14:paraId="000000B1">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VIF values for each independent variable are; Lack of Control (LC): 3.91, Job Insecurity (JI): 2.432, Workload (WL): 3.134</w:t>
      </w:r>
    </w:p>
    <w:p w:rsidR="00000000" w:rsidDel="00000000" w:rsidP="00000000" w:rsidRDefault="00000000" w:rsidRPr="00000000" w14:paraId="000000B2">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VIF values are all above 1, indicating that there is some level of multicollinearity between the independent variables. However, none of the VIF values exceed the conventional threshold of 5 or 10, which suggests that the level of multicollinearity is not severe.</w:t>
      </w:r>
    </w:p>
    <w:p w:rsidR="00000000" w:rsidDel="00000000" w:rsidP="00000000" w:rsidRDefault="00000000" w:rsidRPr="00000000" w14:paraId="000000B4">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Mean VIF value is 2.158, which is also above 1, indicating that there is some level of multicollinearity between the independent variables.</w:t>
      </w:r>
    </w:p>
    <w:p w:rsidR="00000000" w:rsidDel="00000000" w:rsidP="00000000" w:rsidRDefault="00000000" w:rsidRPr="00000000" w14:paraId="000000B5">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context of the topic, "Psychosocial Risk Factors and Their Effects on Employees' Psychological Health in Some Construction Companies within the Centre Region of Cameroon," the VIF analysis suggests that the independent variables (Lack of Control, Job Insecurity, and Workload) are somewhat correlated with each other. However, the level of multicollinearity is not severe, and the results can still be interpreted with caution.</w:t>
      </w:r>
    </w:p>
    <w:p w:rsidR="00000000" w:rsidDel="00000000" w:rsidP="00000000" w:rsidRDefault="00000000" w:rsidRPr="00000000" w14:paraId="000000B6">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suggest that the independent variables are related to each other, but they are still distinct constructs that can be used to predict employees' psychological health. For example, Lack of Control and Job Insecurity may be related to each other, but they still capture distinct aspects of the work environment that can impact employees' psychological health.</w:t>
      </w:r>
    </w:p>
    <w:p w:rsidR="00000000" w:rsidDel="00000000" w:rsidP="00000000" w:rsidRDefault="00000000" w:rsidRPr="00000000" w14:paraId="000000B7">
      <w:pP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4: Multicollinearity test </w:t>
      </w:r>
    </w:p>
    <w:tbl>
      <w:tblPr>
        <w:tblStyle w:val="Table4"/>
        <w:tblW w:w="9684.0" w:type="dxa"/>
        <w:jc w:val="left"/>
        <w:tblLayout w:type="fixed"/>
        <w:tblLook w:val="0000"/>
      </w:tblPr>
      <w:tblGrid>
        <w:gridCol w:w="4336"/>
        <w:gridCol w:w="2674"/>
        <w:gridCol w:w="2674"/>
        <w:tblGridChange w:id="0">
          <w:tblGrid>
            <w:gridCol w:w="4336"/>
            <w:gridCol w:w="2674"/>
            <w:gridCol w:w="2674"/>
          </w:tblGrid>
        </w:tblGridChange>
      </w:tblGrid>
      <w:tr>
        <w:trPr>
          <w:cantSplit w:val="0"/>
          <w:trHeight w:val="251" w:hRule="atLeast"/>
          <w:tblHeader w:val="0"/>
        </w:trPr>
        <w:tc>
          <w:tcPr>
            <w:tcBorders>
              <w:top w:color="000000" w:space="0" w:sz="4" w:val="single"/>
              <w:left w:color="000000" w:space="0" w:sz="0" w:val="nil"/>
              <w:bottom w:color="000000" w:space="0" w:sz="10" w:val="single"/>
              <w:right w:color="000000" w:space="0" w:sz="0" w:val="nil"/>
            </w:tcBorders>
          </w:tcPr>
          <w:p w:rsidR="00000000" w:rsidDel="00000000" w:rsidP="00000000" w:rsidRDefault="00000000" w:rsidRPr="00000000" w14:paraId="000000B8">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0" w:val="nil"/>
              <w:bottom w:color="000000" w:space="0" w:sz="10" w:val="single"/>
              <w:right w:color="000000" w:space="0" w:sz="0" w:val="nil"/>
            </w:tcBorders>
          </w:tcPr>
          <w:p w:rsidR="00000000" w:rsidDel="00000000" w:rsidP="00000000" w:rsidRDefault="00000000" w:rsidRPr="00000000" w14:paraId="000000B9">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VIF</w:t>
            </w:r>
          </w:p>
        </w:tc>
        <w:tc>
          <w:tcPr>
            <w:tcBorders>
              <w:top w:color="000000" w:space="0" w:sz="4" w:val="single"/>
              <w:left w:color="000000" w:space="0" w:sz="0" w:val="nil"/>
              <w:bottom w:color="000000" w:space="0" w:sz="10" w:val="single"/>
              <w:right w:color="000000" w:space="0" w:sz="0" w:val="nil"/>
            </w:tcBorders>
          </w:tcPr>
          <w:p w:rsidR="00000000" w:rsidDel="00000000" w:rsidP="00000000" w:rsidRDefault="00000000" w:rsidRPr="00000000" w14:paraId="000000BA">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1/VIF</w:t>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B">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Lack of ControlLC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C">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D">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.256</w:t>
            </w:r>
          </w:p>
        </w:tc>
      </w:tr>
      <w:tr>
        <w:trPr>
          <w:cantSplit w:val="0"/>
          <w:trHeight w:val="25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Job InsecurityJI</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F">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2.432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0">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w:t>
            </w:r>
          </w:p>
        </w:tc>
      </w:tr>
      <w:tr>
        <w:trPr>
          <w:cantSplit w:val="0"/>
          <w:trHeight w:val="25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1">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WorkloadWL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2">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3.134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3">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.319</w:t>
            </w:r>
          </w:p>
        </w:tc>
      </w:tr>
      <w:tr>
        <w:trPr>
          <w:cantSplit w:val="0"/>
          <w:trHeight w:val="251" w:hRule="atLeast"/>
          <w:tblHeader w:val="0"/>
        </w:trPr>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0C4">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Mean VIF</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0C5">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2.158</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0C6">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.463</w:t>
            </w:r>
          </w:p>
        </w:tc>
      </w:tr>
    </w:tbl>
    <w:p w:rsidR="00000000" w:rsidDel="00000000" w:rsidP="00000000" w:rsidRDefault="00000000" w:rsidRPr="00000000" w14:paraId="000000C7">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Source: Authors (2025)</w:t>
      </w:r>
    </w:p>
    <w:p w:rsidR="00000000" w:rsidDel="00000000" w:rsidP="00000000" w:rsidRDefault="00000000" w:rsidRPr="00000000" w14:paraId="000000C8">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Heteroskedasticity Test</w:t>
      </w:r>
    </w:p>
    <w:p w:rsidR="00000000" w:rsidDel="00000000" w:rsidP="00000000" w:rsidRDefault="00000000" w:rsidRPr="00000000" w14:paraId="000000C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Breusch-Pagan/Cook-Weisberg test is a statistical test used to detect the presence of heteroskedasticity in a regression model. Heteroskedasticity occurs when the variance of the residuals, or errors, in a regression model is not constant across all levels of the independent variables. In other words, the spread of the residuals is not the same for all values of the independent variables.</w:t>
      </w:r>
    </w:p>
    <w:p w:rsidR="00000000" w:rsidDel="00000000" w:rsidP="00000000" w:rsidRDefault="00000000" w:rsidRPr="00000000" w14:paraId="000000C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of the Breusch-Pagan/Cook-Weisberg test indicate that there is significant evidence of heteroskedasticity in the data. The chi-squared statistic is 11.18, and the probability of observing this statistic, or a more extreme value, under the null hypothesis of constant variance is 0.0008. This probability is very small, less than 0.01, which means that we reject the null hypothesis and conclude that the variance of the residuals is not constant across all levels of the independent variables.</w:t>
      </w:r>
    </w:p>
    <w:p w:rsidR="00000000" w:rsidDel="00000000" w:rsidP="00000000" w:rsidRDefault="00000000" w:rsidRPr="00000000" w14:paraId="000000C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context of the topic, "Psychosocial Risk Factors and Their Effects on Employees' Psychological Health in Some Construction Companies within the Centre Region of Cameroon," the presence of heteroskedasticity suggests that the relationship between the independent variables and the dependent variable, Psychological Health, is not constant across all levels of the independent variables. This could be due to various factors, such as non-linear relationships between the independent variables and the dependent variable, the presence of outliers or influential observations, or non-constant variance of the residuals across different levels of the independent variables.</w:t>
      </w:r>
    </w:p>
    <w:p w:rsidR="00000000" w:rsidDel="00000000" w:rsidP="00000000" w:rsidRDefault="00000000" w:rsidRPr="00000000" w14:paraId="000000C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presence of heteroskedasticity has implications for the interpretation of the regression results. Specifically, the standard errors of the regression coefficients may be biased, which can lead to incorrect conclusions about the significance of the independent variables. To address heteroskedasticity, researchers may consider using robust standard errors, transforming the data, or using alternative regression models that can accommodate non-constant variance. By addressing heteroskedasticity, researchers can increase the accuracy and reliability of their regression results.</w:t>
      </w:r>
    </w:p>
    <w:p w:rsidR="00000000" w:rsidDel="00000000" w:rsidP="00000000" w:rsidRDefault="00000000" w:rsidRPr="00000000" w14:paraId="000000C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5: Heteroskedasticity</w:t>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CF">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Breusch-Pagan / Cook-Weisberg test for heteroskedasticity </w:t>
              <w:br w:type="textWrapping"/>
              <w:t xml:space="preserve">         Ho: Constant variance</w:t>
              <w:br w:type="textWrapping"/>
              <w:t xml:space="preserve">         Variables: fitted values of Psychological Health (PH)</w:t>
              <w:br w:type="textWrapping"/>
              <w:t xml:space="preserve">         chi2(1)      =    11.18</w:t>
              <w:br w:type="textWrapping"/>
              <w:t xml:space="preserve">         Prob &gt; chi2  =   0.0008</w:t>
            </w:r>
          </w:p>
          <w:p w:rsidR="00000000" w:rsidDel="00000000" w:rsidP="00000000" w:rsidRDefault="00000000" w:rsidRPr="00000000" w14:paraId="000000D0">
            <w:pPr>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D1">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Source: Authors (2025)</w:t>
      </w:r>
    </w:p>
    <w:p w:rsidR="00000000" w:rsidDel="00000000" w:rsidP="00000000" w:rsidRDefault="00000000" w:rsidRPr="00000000" w14:paraId="000000D2">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Pairwise correlation test</w:t>
      </w:r>
    </w:p>
    <w:p w:rsidR="00000000" w:rsidDel="00000000" w:rsidP="00000000" w:rsidRDefault="00000000" w:rsidRPr="00000000" w14:paraId="000000D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correlation matrix presented in the table provides insight into the relationships between the variables Psychological Health (PH), Workload (WL), Job Insecurity (JI), and Lack of Control (LC). The correlation coefficients range from -1 to 1, indicating the strength and direction of the linear relationships between the variables. A correlation coefficient close to 1 indicates a strong positive linear relationship, while a coefficient close to -1 indicates a strong negative linear relationship.</w:t>
      </w:r>
    </w:p>
    <w:p w:rsidR="00000000" w:rsidDel="00000000" w:rsidP="00000000" w:rsidRDefault="00000000" w:rsidRPr="00000000" w14:paraId="000000D5">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of the correlation matrix indicate that Psychological Health (PH) is strongly negatively correlated with Workload (WL), Job Insecurity (JI), and Lack of Control (LC). This suggests that as Workload, Job Insecurity, and Lack of Control increase, Psychological Health tends to decrease. This finding is consistent with the literature on psychosocial risk factors, which suggests that high levels of Workload, Job Insecurity, and Lack of Control can have negative effects on employees' Psychological Health.</w:t>
      </w:r>
    </w:p>
    <w:p w:rsidR="00000000" w:rsidDel="00000000" w:rsidP="00000000" w:rsidRDefault="00000000" w:rsidRPr="00000000" w14:paraId="000000D7">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the correlation matrix indicates that Workload (WL) is strongly positively correlated with Job Insecurity (JI) and Lack of Control (LC). This suggests that Workload, Job Insecurity, and Lack of Control tend to increase together. This finding is also consistent with the literature, which suggests that these psychosocial risk factors often cluster together. For example, employees who experience high levels of Workload may also experience high levels of Job Insecurity and Lack of Control.</w:t>
      </w:r>
    </w:p>
    <w:p w:rsidR="00000000" w:rsidDel="00000000" w:rsidP="00000000" w:rsidRDefault="00000000" w:rsidRPr="00000000" w14:paraId="000000D9">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correlation matrix also indicates that Job Insecurity (JI) is strongly positively correlated with Lack of Control (LC). This suggests that Job Insecurity and Lack of Control tend to increase together. This finding is consistent with the literature, which suggests that employees who experience high levels of Job Insecurity may also experience high levels of Lack of Control.</w:t>
      </w:r>
    </w:p>
    <w:p w:rsidR="00000000" w:rsidDel="00000000" w:rsidP="00000000" w:rsidRDefault="00000000" w:rsidRPr="00000000" w14:paraId="000000DB">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context of the topic, "Psychosocial Risk Factors and Their Effects on Employees' Psychological Health in Some Construction Companies within the Centre Region of Cameroon," the correlation matrix suggests that psychosocial risk factors such as Workload, Job Insecurity, and Lack of Control are strongly associated with decreased Psychological Health. These findings have implications for the development of interventions aimed at mitigating the effects of psychosocial risk factors on employees' Psychological Health.</w:t>
      </w:r>
    </w:p>
    <w:p w:rsidR="00000000" w:rsidDel="00000000" w:rsidP="00000000" w:rsidRDefault="00000000" w:rsidRPr="00000000" w14:paraId="000000DD">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6: matrix correlation test</w:t>
      </w:r>
    </w:p>
    <w:tbl>
      <w:tblPr>
        <w:tblStyle w:val="Table6"/>
        <w:tblW w:w="9302.000000000002" w:type="dxa"/>
        <w:jc w:val="left"/>
        <w:tblLayout w:type="fixed"/>
        <w:tblLook w:val="0000"/>
      </w:tblPr>
      <w:tblGrid>
        <w:gridCol w:w="3750"/>
        <w:gridCol w:w="1387"/>
        <w:gridCol w:w="1387"/>
        <w:gridCol w:w="1387"/>
        <w:gridCol w:w="1391"/>
        <w:tblGridChange w:id="0">
          <w:tblGrid>
            <w:gridCol w:w="3750"/>
            <w:gridCol w:w="1387"/>
            <w:gridCol w:w="1387"/>
            <w:gridCol w:w="1387"/>
            <w:gridCol w:w="1391"/>
          </w:tblGrid>
        </w:tblGridChange>
      </w:tblGrid>
      <w:tr>
        <w:trPr>
          <w:cantSplit w:val="0"/>
          <w:trHeight w:val="254" w:hRule="atLeast"/>
          <w:tblHeader w:val="0"/>
        </w:trPr>
        <w:tc>
          <w:tcPr>
            <w:tcBorders>
              <w:top w:color="000000" w:space="0" w:sz="4" w:val="single"/>
              <w:left w:color="000000" w:space="0" w:sz="0" w:val="nil"/>
              <w:bottom w:color="000000" w:space="0" w:sz="6" w:val="single"/>
              <w:right w:color="000000" w:space="0" w:sz="0" w:val="nil"/>
            </w:tcBorders>
          </w:tcPr>
          <w:p w:rsidR="00000000" w:rsidDel="00000000" w:rsidP="00000000" w:rsidRDefault="00000000" w:rsidRPr="00000000" w14:paraId="000000DE">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Variables</w:t>
            </w:r>
          </w:p>
        </w:tc>
        <w:tc>
          <w:tcPr>
            <w:tcBorders>
              <w:top w:color="000000" w:space="0" w:sz="4" w:val="single"/>
              <w:left w:color="000000" w:space="0" w:sz="0" w:val="nil"/>
              <w:bottom w:color="000000" w:space="0" w:sz="6" w:val="single"/>
              <w:right w:color="000000" w:space="0" w:sz="0" w:val="nil"/>
            </w:tcBorders>
          </w:tcPr>
          <w:p w:rsidR="00000000" w:rsidDel="00000000" w:rsidP="00000000" w:rsidRDefault="00000000" w:rsidRPr="00000000" w14:paraId="000000DF">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0" w:val="nil"/>
              <w:bottom w:color="000000" w:space="0" w:sz="6" w:val="single"/>
              <w:right w:color="000000" w:space="0" w:sz="0" w:val="nil"/>
            </w:tcBorders>
          </w:tcPr>
          <w:p w:rsidR="00000000" w:rsidDel="00000000" w:rsidP="00000000" w:rsidRDefault="00000000" w:rsidRPr="00000000" w14:paraId="000000E0">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0" w:val="nil"/>
              <w:bottom w:color="000000" w:space="0" w:sz="6" w:val="single"/>
              <w:right w:color="000000" w:space="0" w:sz="0" w:val="nil"/>
            </w:tcBorders>
          </w:tcPr>
          <w:p w:rsidR="00000000" w:rsidDel="00000000" w:rsidP="00000000" w:rsidRDefault="00000000" w:rsidRPr="00000000" w14:paraId="000000E1">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0" w:val="nil"/>
              <w:bottom w:color="000000" w:space="0" w:sz="6" w:val="single"/>
              <w:right w:color="000000" w:space="0" w:sz="0" w:val="nil"/>
            </w:tcBorders>
          </w:tcPr>
          <w:p w:rsidR="00000000" w:rsidDel="00000000" w:rsidP="00000000" w:rsidRDefault="00000000" w:rsidRPr="00000000" w14:paraId="000000E2">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24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3">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Psychological Health (PH)</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4">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5">
            <w:pPr>
              <w:widowControl w:val="0"/>
              <w:spacing w:after="0" w:line="24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6">
            <w:pPr>
              <w:widowControl w:val="0"/>
              <w:spacing w:after="0" w:line="24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7">
            <w:pPr>
              <w:widowControl w:val="0"/>
              <w:spacing w:after="0" w:line="240" w:lineRule="auto"/>
              <w:jc w:val="right"/>
              <w:rPr>
                <w:rFonts w:ascii="Times New Roman" w:cs="Times New Roman" w:eastAsia="Times New Roman" w:hAnsi="Times New Roman"/>
              </w:rPr>
            </w:pPr>
            <w:r w:rsidDel="00000000" w:rsidR="00000000" w:rsidRPr="00000000">
              <w:rPr>
                <w:rtl w:val="0"/>
              </w:rPr>
            </w:r>
          </w:p>
        </w:tc>
      </w:tr>
      <w:tr>
        <w:trPr>
          <w:cantSplit w:val="0"/>
          <w:trHeight w:val="25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8">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Workload (WL)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9">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A">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B">
            <w:pPr>
              <w:widowControl w:val="0"/>
              <w:spacing w:after="0" w:line="24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C">
            <w:pPr>
              <w:widowControl w:val="0"/>
              <w:spacing w:after="0" w:line="240" w:lineRule="auto"/>
              <w:jc w:val="right"/>
              <w:rPr>
                <w:rFonts w:ascii="Times New Roman" w:cs="Times New Roman" w:eastAsia="Times New Roman" w:hAnsi="Times New Roman"/>
              </w:rPr>
            </w:pPr>
            <w:r w:rsidDel="00000000" w:rsidR="00000000" w:rsidRPr="00000000">
              <w:rPr>
                <w:rtl w:val="0"/>
              </w:rPr>
            </w:r>
          </w:p>
        </w:tc>
      </w:tr>
      <w:tr>
        <w:trPr>
          <w:cantSplit w:val="0"/>
          <w:trHeight w:val="25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D">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Job Insecurity (JI)</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E">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-0.847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F">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0.948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0">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1">
            <w:pPr>
              <w:widowControl w:val="0"/>
              <w:spacing w:after="0" w:line="240" w:lineRule="auto"/>
              <w:jc w:val="right"/>
              <w:rPr>
                <w:rFonts w:ascii="Times New Roman" w:cs="Times New Roman" w:eastAsia="Times New Roman" w:hAnsi="Times New Roman"/>
              </w:rPr>
            </w:pPr>
            <w:r w:rsidDel="00000000" w:rsidR="00000000" w:rsidRPr="00000000">
              <w:rPr>
                <w:rtl w:val="0"/>
              </w:rPr>
            </w:r>
          </w:p>
        </w:tc>
      </w:tr>
      <w:tr>
        <w:trPr>
          <w:cantSplit w:val="0"/>
          <w:trHeight w:val="25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2">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Lack of Control  (LC)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3">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-0.812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4">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0.966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5">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0.982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6">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w:t>
            </w:r>
          </w:p>
        </w:tc>
      </w:tr>
      <w:tr>
        <w:trPr>
          <w:cantSplit w:val="0"/>
          <w:trHeight w:val="254" w:hRule="atLeast"/>
          <w:tblHeader w:val="0"/>
        </w:trPr>
        <w:tc>
          <w:tcPr>
            <w:gridSpan w:val="5"/>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F7">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Source: Authors (2025)</w:t>
            </w:r>
          </w:p>
        </w:tc>
      </w:tr>
    </w:tbl>
    <w:p w:rsidR="00000000" w:rsidDel="00000000" w:rsidP="00000000" w:rsidRDefault="00000000" w:rsidRPr="00000000" w14:paraId="000000F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construction industry is known for its demanding work environment, long working hours, and high workload, which can have severe consequences on employees' psychological health. Research has consistently shown that excessive workload is a significant psychosocial risk factor that can lead to various mental health problems, including stress, anxiety, depression, and burnout (Demerouti &amp; Bakker, 2017; </w:t>
      </w:r>
      <w:r w:rsidDel="00000000" w:rsidR="00000000" w:rsidRPr="00000000">
        <w:rPr>
          <w:rFonts w:ascii="Arial" w:cs="Arial" w:eastAsia="Arial" w:hAnsi="Arial"/>
          <w:color w:val="333333"/>
          <w:sz w:val="21"/>
          <w:szCs w:val="21"/>
          <w:highlight w:val="white"/>
          <w:rtl w:val="0"/>
        </w:rPr>
        <w:t xml:space="preserve">Schaufeli &amp; Taris, 2014</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F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Studies have demonstrated that high workload can lead to increased levels of cortisol, a hormone associated with stress, which can have negative effects on employees' psychological health (Kivimäki et al., 2015). Moreover, research has shown that employees who experience high workload are more likely to experience sleep disturbances, fatigue, and decreased job satisfaction, all of which can further exacerbate psychological health problems (Bakker et al. 2014).</w:t>
      </w:r>
    </w:p>
    <w:p w:rsidR="00000000" w:rsidDel="00000000" w:rsidP="00000000" w:rsidRDefault="00000000" w:rsidRPr="00000000" w14:paraId="0000010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impact of workload on employees' psychological health can be attributed to several factors, including the perceived lack of control over work, long working hours, and the pressure to meet deadlines (</w:t>
      </w:r>
      <w:r w:rsidDel="00000000" w:rsidR="00000000" w:rsidRPr="00000000">
        <w:rPr>
          <w:rFonts w:ascii="Arial" w:cs="Arial" w:eastAsia="Arial" w:hAnsi="Arial"/>
          <w:color w:val="333333"/>
          <w:sz w:val="21"/>
          <w:szCs w:val="21"/>
          <w:highlight w:val="white"/>
          <w:rtl w:val="0"/>
        </w:rPr>
        <w:t xml:space="preserve">Schaufeli &amp; Taris, 2014</w:t>
      </w:r>
      <w:r w:rsidDel="00000000" w:rsidR="00000000" w:rsidRPr="00000000">
        <w:rPr>
          <w:rFonts w:ascii="Times New Roman" w:cs="Times New Roman" w:eastAsia="Times New Roman" w:hAnsi="Times New Roman"/>
          <w:rtl w:val="0"/>
        </w:rPr>
        <w:t xml:space="preserve">). Furthermore, research has shown that employees who experience high workload are more likely to engage in maladaptive coping strategies, such as substance abuse, which can further worsen psychological health problems (Kivimäki et al., 2015).</w:t>
      </w:r>
    </w:p>
    <w:p w:rsidR="00000000" w:rsidDel="00000000" w:rsidP="00000000" w:rsidRDefault="00000000" w:rsidRPr="00000000" w14:paraId="0000010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context of the construction industry, the effects of workload on employees' psychological health can be particularly severe due to the physical demands of the job, the pressure to meet deadlines, and the risk of accidents and injuries (Goldenhar et al., 2013). Research has shown that construction workers who experience high workload are more likely to experience stress, anxiety, and depression, which can have negative consequences for their overall well-being and job performance (</w:t>
      </w:r>
      <w:r w:rsidDel="00000000" w:rsidR="00000000" w:rsidRPr="00000000">
        <w:rPr>
          <w:rFonts w:ascii="Arial" w:cs="Arial" w:eastAsia="Arial" w:hAnsi="Arial"/>
          <w:color w:val="333333"/>
          <w:sz w:val="21"/>
          <w:szCs w:val="21"/>
          <w:highlight w:val="white"/>
          <w:rtl w:val="0"/>
        </w:rPr>
        <w:t xml:space="preserve">Schaufeli &amp; Taris, 2014).</w:t>
      </w:r>
      <w:r w:rsidDel="00000000" w:rsidR="00000000" w:rsidRPr="00000000">
        <w:rPr>
          <w:rtl w:val="0"/>
        </w:rPr>
      </w:r>
    </w:p>
    <w:p w:rsidR="00000000" w:rsidDel="00000000" w:rsidP="00000000" w:rsidRDefault="00000000" w:rsidRPr="00000000" w14:paraId="0000010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of the current study, as presented in the model summary, suggest that workload is a significant predictor of employees' psychological health, along with job insecurity and lack of control. The model explains 86.1% of the variance in psychological health, indicating a strong relationship between these psychosocial risk factors and employees' psychological health. The findings of this study are consistent with the literature, which highlights the importance of addressing workload and other psychosocial risk factors to promote employees' psychological health and well-being.</w:t>
      </w:r>
    </w:p>
    <w:p w:rsidR="00000000" w:rsidDel="00000000" w:rsidP="00000000" w:rsidRDefault="00000000" w:rsidRPr="00000000" w14:paraId="0000010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Cameroon, the construction industry is a significant sector that contributes to the country's economic growth. However, the industry is also known for its poor working conditions, long working hours, and high workload, which can have negative effects on employees' psychological health. The findings of this study suggest that construction companies in Cameroon need to prioritize employees' psychological health and well-being by addressing workload and other psychosocial risk factors.</w:t>
      </w:r>
    </w:p>
    <w:tbl>
      <w:tblPr>
        <w:tblStyle w:val="Table7"/>
        <w:tblW w:w="925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93"/>
        <w:gridCol w:w="1285"/>
        <w:gridCol w:w="1363"/>
        <w:gridCol w:w="1871"/>
        <w:gridCol w:w="1871"/>
        <w:gridCol w:w="1873"/>
        <w:tblGridChange w:id="0">
          <w:tblGrid>
            <w:gridCol w:w="993"/>
            <w:gridCol w:w="1285"/>
            <w:gridCol w:w="1363"/>
            <w:gridCol w:w="1871"/>
            <w:gridCol w:w="1871"/>
            <w:gridCol w:w="1873"/>
          </w:tblGrid>
        </w:tblGridChange>
      </w:tblGrid>
      <w:tr>
        <w:trPr>
          <w:cantSplit w:val="1"/>
          <w:trHeight w:val="320"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08">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Table 7: Model Summary</w:t>
            </w:r>
            <w:r w:rsidDel="00000000" w:rsidR="00000000" w:rsidRPr="00000000">
              <w:rPr>
                <w:rFonts w:ascii="Times New Roman" w:cs="Times New Roman" w:eastAsia="Times New Roman" w:hAnsi="Times New Roman"/>
                <w:b w:val="1"/>
                <w:color w:val="000000"/>
                <w:vertAlign w:val="superscript"/>
                <w:rtl w:val="0"/>
              </w:rPr>
              <w:t xml:space="preserve">b</w:t>
            </w:r>
            <w:r w:rsidDel="00000000" w:rsidR="00000000" w:rsidRPr="00000000">
              <w:rPr>
                <w:rtl w:val="0"/>
              </w:rPr>
            </w:r>
          </w:p>
        </w:tc>
      </w:tr>
      <w:tr>
        <w:trPr>
          <w:cantSplit w:val="1"/>
          <w:trHeight w:val="640" w:hRule="atLeast"/>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10E">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0F">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w:t>
            </w:r>
          </w:p>
        </w:tc>
        <w:tc>
          <w:tcPr>
            <w:tcBorders>
              <w:top w:color="000000" w:space="0" w:sz="16" w:val="single"/>
              <w:bottom w:color="000000" w:space="0" w:sz="16" w:val="single"/>
            </w:tcBorders>
            <w:shd w:fill="ffffff" w:val="clear"/>
          </w:tcPr>
          <w:p w:rsidR="00000000" w:rsidDel="00000000" w:rsidP="00000000" w:rsidRDefault="00000000" w:rsidRPr="00000000" w14:paraId="00000110">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 Square</w:t>
            </w:r>
          </w:p>
        </w:tc>
        <w:tc>
          <w:tcPr>
            <w:tcBorders>
              <w:top w:color="000000" w:space="0" w:sz="16" w:val="single"/>
              <w:bottom w:color="000000" w:space="0" w:sz="16" w:val="single"/>
            </w:tcBorders>
            <w:shd w:fill="ffffff" w:val="clear"/>
          </w:tcPr>
          <w:p w:rsidR="00000000" w:rsidDel="00000000" w:rsidP="00000000" w:rsidRDefault="00000000" w:rsidRPr="00000000" w14:paraId="00000111">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Adjusted R Square</w:t>
            </w:r>
          </w:p>
        </w:tc>
        <w:tc>
          <w:tcPr>
            <w:tcBorders>
              <w:top w:color="000000" w:space="0" w:sz="16" w:val="single"/>
              <w:bottom w:color="000000" w:space="0" w:sz="16" w:val="single"/>
            </w:tcBorders>
            <w:shd w:fill="ffffff" w:val="clear"/>
          </w:tcPr>
          <w:p w:rsidR="00000000" w:rsidDel="00000000" w:rsidP="00000000" w:rsidRDefault="00000000" w:rsidRPr="00000000" w14:paraId="00000112">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Std. Error of the Estimate</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13">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Durbin-Watson</w:t>
            </w:r>
          </w:p>
        </w:tc>
      </w:tr>
      <w:tr>
        <w:trPr>
          <w:cantSplit w:val="1"/>
          <w:trHeight w:val="320" w:hRule="atLeast"/>
          <w:tblHeader w:val="0"/>
        </w:trPr>
        <w:tc>
          <w:tcPr>
            <w:tcBorders>
              <w:top w:color="000000" w:space="0" w:sz="16" w:val="single"/>
              <w:left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114">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115">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.928</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116">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.861</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117">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.856</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118">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.1565530</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119">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1.628</w:t>
            </w:r>
          </w:p>
        </w:tc>
      </w:tr>
    </w:tbl>
    <w:p w:rsidR="00000000" w:rsidDel="00000000" w:rsidP="00000000" w:rsidRDefault="00000000" w:rsidRPr="00000000" w14:paraId="0000011A">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Source: Authors (2025)</w:t>
      </w:r>
    </w:p>
    <w:p w:rsidR="00000000" w:rsidDel="00000000" w:rsidP="00000000" w:rsidRDefault="00000000" w:rsidRPr="00000000" w14:paraId="0000011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Analysis of variance</w:t>
      </w:r>
    </w:p>
    <w:p w:rsidR="00000000" w:rsidDel="00000000" w:rsidP="00000000" w:rsidRDefault="00000000" w:rsidRPr="00000000" w14:paraId="0000011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ANOVA (Analysis of Variance) in table 8 presents the results of the analysis of the relationship between the psychosocial risk factors (Workload, Job Insecurity, and Lack of Control) and employees' psychological health in some construction companies within the Centre Region of Cameroon. The results indicate that the regression model is significant, as indicated by the F-statistic (197.691) and the p-value (.000). This means that the psychosocial risk factors (Workload, Job Insecurity, and Lack of Control) are significantly related to employees' psychological health.</w:t>
      </w:r>
    </w:p>
    <w:p w:rsidR="00000000" w:rsidDel="00000000" w:rsidP="00000000" w:rsidRDefault="00000000" w:rsidRPr="00000000" w14:paraId="0000011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significance of the regression model suggests that the psychosocial risk factors are strong predictors of employees' psychological health. The R-squared value, which represents the proportion of variance in employees' psychological health that is explained by the psychosocial risk factors, can be calculated using the sum of squares values. Based on the sum of squares values, the R-squared value can be calculated as (14.536 / 16.888) = 0.861. This means that approximately 86.1% of the variance in employees' psychological health can be explained by the psychosocial risk factors.</w:t>
      </w:r>
    </w:p>
    <w:p w:rsidR="00000000" w:rsidDel="00000000" w:rsidP="00000000" w:rsidRDefault="00000000" w:rsidRPr="00000000" w14:paraId="0000011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mean square values indicate the average amount of variance in employees' psychological health that is explained by each psychosocial risk factor. The mean square value for the regression model (4.845) is significantly higher than the mean square value for the residual (0.025), indicating that the psychosocial risk factors are strong predictors of employees' psychological health. This suggests that the psychosocial risk factors are important factors that contribute to employees' psychological health, and that addressing these factors can help to promote employees' psychological health and well-being.</w:t>
      </w:r>
    </w:p>
    <w:p w:rsidR="00000000" w:rsidDel="00000000" w:rsidP="00000000" w:rsidRDefault="00000000" w:rsidRPr="00000000" w14:paraId="0000012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context of the topic, the results suggest that psychosocial risk factors such as Workload, Job Insecurity, and Lack of Control are significantly related to employees' psychological health in construction companies within the Centre Region of Cameroon. The findings highlight the importance of addressing these psychosocial risk factors to promote employees' psychological health and well-being. This can be achieved through various strategies, such as implementing stress management programs, providing training on time management and prioritization, and promoting a healthy work-life balance. By addressing these psychosocial risk factors, construction companies can help to promote a healthy and productive work environment that supports the well-being of their employees.</w:t>
      </w:r>
    </w:p>
    <w:p w:rsidR="00000000" w:rsidDel="00000000" w:rsidP="00000000" w:rsidRDefault="00000000" w:rsidRPr="00000000" w14:paraId="00000121">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8"/>
        <w:tblW w:w="92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9"/>
        <w:gridCol w:w="1489"/>
        <w:gridCol w:w="1723"/>
        <w:gridCol w:w="1184"/>
        <w:gridCol w:w="1632"/>
        <w:gridCol w:w="1184"/>
        <w:gridCol w:w="1187"/>
        <w:tblGridChange w:id="0">
          <w:tblGrid>
            <w:gridCol w:w="859"/>
            <w:gridCol w:w="1489"/>
            <w:gridCol w:w="1723"/>
            <w:gridCol w:w="1184"/>
            <w:gridCol w:w="1632"/>
            <w:gridCol w:w="1184"/>
            <w:gridCol w:w="1187"/>
          </w:tblGrid>
        </w:tblGridChange>
      </w:tblGrid>
      <w:tr>
        <w:trPr>
          <w:cantSplit w:val="1"/>
          <w:trHeight w:val="355"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22">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Table 8: ANOVA</w:t>
            </w:r>
            <w:r w:rsidDel="00000000" w:rsidR="00000000" w:rsidRPr="00000000">
              <w:rPr>
                <w:rFonts w:ascii="Times New Roman" w:cs="Times New Roman" w:eastAsia="Times New Roman" w:hAnsi="Times New Roman"/>
                <w:b w:val="1"/>
                <w:color w:val="000000"/>
                <w:vertAlign w:val="superscript"/>
                <w:rtl w:val="0"/>
              </w:rPr>
              <w:t xml:space="preserve">a</w:t>
            </w:r>
            <w:r w:rsidDel="00000000" w:rsidR="00000000" w:rsidRPr="00000000">
              <w:rPr>
                <w:rtl w:val="0"/>
              </w:rPr>
            </w:r>
          </w:p>
        </w:tc>
      </w:tr>
      <w:tr>
        <w:trPr>
          <w:cantSplit w:val="1"/>
          <w:trHeight w:val="355"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29">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2B">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Sum of Squares</w:t>
            </w:r>
          </w:p>
        </w:tc>
        <w:tc>
          <w:tcPr>
            <w:tcBorders>
              <w:top w:color="000000" w:space="0" w:sz="16" w:val="single"/>
              <w:bottom w:color="000000" w:space="0" w:sz="16" w:val="single"/>
            </w:tcBorders>
            <w:shd w:fill="ffffff" w:val="clear"/>
          </w:tcPr>
          <w:p w:rsidR="00000000" w:rsidDel="00000000" w:rsidP="00000000" w:rsidRDefault="00000000" w:rsidRPr="00000000" w14:paraId="0000012C">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df</w:t>
            </w:r>
          </w:p>
        </w:tc>
        <w:tc>
          <w:tcPr>
            <w:tcBorders>
              <w:top w:color="000000" w:space="0" w:sz="16" w:val="single"/>
              <w:bottom w:color="000000" w:space="0" w:sz="16" w:val="single"/>
            </w:tcBorders>
            <w:shd w:fill="ffffff" w:val="clear"/>
          </w:tcPr>
          <w:p w:rsidR="00000000" w:rsidDel="00000000" w:rsidP="00000000" w:rsidRDefault="00000000" w:rsidRPr="00000000" w14:paraId="0000012D">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Mean Square</w:t>
            </w:r>
          </w:p>
        </w:tc>
        <w:tc>
          <w:tcPr>
            <w:tcBorders>
              <w:top w:color="000000" w:space="0" w:sz="16" w:val="single"/>
              <w:bottom w:color="000000" w:space="0" w:sz="16" w:val="single"/>
            </w:tcBorders>
            <w:shd w:fill="ffffff" w:val="clear"/>
          </w:tcPr>
          <w:p w:rsidR="00000000" w:rsidDel="00000000" w:rsidP="00000000" w:rsidRDefault="00000000" w:rsidRPr="00000000" w14:paraId="0000012E">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2F">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Sig.</w:t>
            </w:r>
          </w:p>
        </w:tc>
      </w:tr>
      <w:tr>
        <w:trPr>
          <w:cantSplit w:val="1"/>
          <w:trHeight w:val="160"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30">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31">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32">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14.536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33">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34">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4.845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35">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197.691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36">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.000</w:t>
            </w:r>
            <w:r w:rsidDel="00000000" w:rsidR="00000000" w:rsidRPr="00000000">
              <w:rPr>
                <w:rFonts w:ascii="Times New Roman" w:cs="Times New Roman" w:eastAsia="Times New Roman" w:hAnsi="Times New Roman"/>
                <w:color w:val="000000"/>
                <w:vertAlign w:val="superscript"/>
                <w:rtl w:val="0"/>
              </w:rPr>
              <w:t xml:space="preserve">b</w:t>
            </w:r>
            <w:r w:rsidDel="00000000" w:rsidR="00000000" w:rsidRPr="00000000">
              <w:rPr>
                <w:rtl w:val="0"/>
              </w:rPr>
            </w:r>
          </w:p>
        </w:tc>
      </w:tr>
      <w:tr>
        <w:trPr>
          <w:cantSplit w:val="1"/>
          <w:trHeight w:val="16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38">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39">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2.353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3A">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3B">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.025</w:t>
            </w:r>
          </w:p>
        </w:tc>
        <w:tc>
          <w:tcPr>
            <w:tcBorders>
              <w:top w:color="000000" w:space="0" w:sz="0" w:val="nil"/>
              <w:bottom w:color="000000" w:space="0" w:sz="0" w:val="nil"/>
            </w:tcBorders>
            <w:shd w:fill="ffffff" w:val="clear"/>
          </w:tcPr>
          <w:p w:rsidR="00000000" w:rsidDel="00000000" w:rsidP="00000000" w:rsidRDefault="00000000" w:rsidRPr="00000000" w14:paraId="0000013C">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Pr>
          <w:p w:rsidR="00000000" w:rsidDel="00000000" w:rsidP="00000000" w:rsidRDefault="00000000" w:rsidRPr="00000000" w14:paraId="0000013D">
            <w:pPr>
              <w:spacing w:after="0" w:line="240" w:lineRule="auto"/>
              <w:rPr>
                <w:rFonts w:ascii="Times New Roman" w:cs="Times New Roman" w:eastAsia="Times New Roman" w:hAnsi="Times New Roman"/>
              </w:rPr>
            </w:pPr>
            <w:r w:rsidDel="00000000" w:rsidR="00000000" w:rsidRPr="00000000">
              <w:rPr>
                <w:rtl w:val="0"/>
              </w:rPr>
            </w:r>
          </w:p>
        </w:tc>
      </w:tr>
      <w:tr>
        <w:trPr>
          <w:cantSplit w:val="1"/>
          <w:trHeight w:val="16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3F">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40">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16.888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41">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99</w:t>
            </w:r>
          </w:p>
        </w:tc>
        <w:tc>
          <w:tcPr>
            <w:tcBorders>
              <w:top w:color="000000" w:space="0" w:sz="0" w:val="nil"/>
              <w:bottom w:color="000000" w:space="0" w:sz="16" w:val="single"/>
            </w:tcBorders>
            <w:shd w:fill="ffffff" w:val="clear"/>
          </w:tcPr>
          <w:p w:rsidR="00000000" w:rsidDel="00000000" w:rsidP="00000000" w:rsidRDefault="00000000" w:rsidRPr="00000000" w14:paraId="00000142">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16" w:val="single"/>
            </w:tcBorders>
            <w:shd w:fill="ffffff" w:val="clear"/>
          </w:tcPr>
          <w:p w:rsidR="00000000" w:rsidDel="00000000" w:rsidP="00000000" w:rsidRDefault="00000000" w:rsidRPr="00000000" w14:paraId="00000143">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144">
            <w:pPr>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45">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Source: Authors (2025)</w:t>
      </w:r>
    </w:p>
    <w:p w:rsidR="00000000" w:rsidDel="00000000" w:rsidP="00000000" w:rsidRDefault="00000000" w:rsidRPr="00000000" w14:paraId="0000014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coefficients in table 9 presents the results of the regression analysis, which examined the relationships between the psychosocial risk factors (Lack of Control, Workload, and Job Insecurity) and employees' psychological health (PH) in some construction companies within the Centre Region of Cameroon. The results indicate that Lack of Control (LC) has a significant positive relationship with Psychological Health (PH). This means that as Lack of Control increases, Psychological Health also tends to increase. The unstandardized coefficient (B) for Lack of Control is 1.184, which means that for every one-unit increase in Lack of Control, Psychological Health increases by 1.184 units.</w:t>
      </w:r>
    </w:p>
    <w:p w:rsidR="00000000" w:rsidDel="00000000" w:rsidP="00000000" w:rsidRDefault="00000000" w:rsidRPr="00000000" w14:paraId="00000148">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other hand, Workload (WL) has a significant negative relationship with Psychological Health (PH). This means that as Workload increases, Psychological Health tends to decrease. The unstandardized coefficient (B) for Workload is -1.132, which means that for every one-unit increase in Workload, Psychological Health decreases by 1.132 units. Similarly, Job Insecurity (JI) has a significant negative relationship with Psychological Health (PH). This means that as Job Insecurity increases, Psychological Health tends to decrease. The unstandardized coefficient (B) for Job Insecurity is -1.010, which means that for every one-unit increase in Job Insecurity, Psychological Health decreases by 1.010 units.</w:t>
      </w:r>
    </w:p>
    <w:p w:rsidR="00000000" w:rsidDel="00000000" w:rsidP="00000000" w:rsidRDefault="00000000" w:rsidRPr="00000000" w14:paraId="00000149">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standardized coefficients (Beta) indicate the relative importance of each predictor variable. The results indicate that Workload (WL) has the strongest relationship with Psychological Health (PH), followed by Job Insecurity (JI) and Lack of Control (LC). This suggests that Workload is the most important predictor of Psychological Health, followed by Job Insecurity and Lack of Control. The 95% confidence intervals for the unstandardized coefficients indicate the range of values within which the true population parameter is likely to lie. The results indicate that the relationships between the psychosocial risk factors and Psychological Health are statistically significant and practically significant.</w:t>
      </w:r>
    </w:p>
    <w:p w:rsidR="00000000" w:rsidDel="00000000" w:rsidP="00000000" w:rsidRDefault="00000000" w:rsidRPr="00000000" w14:paraId="0000014A">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context of the topic, the results suggest that psychosocial risk factors such as Lack of Control, Workload, and Job Insecurity are significantly related to employees' psychological health in construction companies within the Centre Region of Cameroon. The findings highlight the importance of addressing these psychosocial risk factors to promote employees' psychological health and well-being. This can be achieved through various strategies, such as implementing stress management programs, providing training on time management and prioritization, and promoting a healthy work-life balance.</w:t>
      </w:r>
    </w:p>
    <w:p w:rsidR="00000000" w:rsidDel="00000000" w:rsidP="00000000" w:rsidRDefault="00000000" w:rsidRPr="00000000" w14:paraId="0000014C">
      <w:pPr>
        <w:spacing w:after="0" w:line="240" w:lineRule="auto"/>
        <w:rPr>
          <w:rFonts w:ascii="Times New Roman" w:cs="Times New Roman" w:eastAsia="Times New Roman" w:hAnsi="Times New Roman"/>
        </w:rPr>
      </w:pPr>
      <w:r w:rsidDel="00000000" w:rsidR="00000000" w:rsidRPr="00000000">
        <w:rPr>
          <w:rtl w:val="0"/>
        </w:rPr>
      </w:r>
    </w:p>
    <w:tbl>
      <w:tblPr>
        <w:tblStyle w:val="Table9"/>
        <w:tblW w:w="102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34"/>
        <w:gridCol w:w="1789"/>
        <w:gridCol w:w="1153"/>
        <w:gridCol w:w="1153"/>
        <w:gridCol w:w="1273"/>
        <w:gridCol w:w="874"/>
        <w:gridCol w:w="874"/>
        <w:gridCol w:w="1259"/>
        <w:gridCol w:w="1263"/>
        <w:tblGridChange w:id="0">
          <w:tblGrid>
            <w:gridCol w:w="634"/>
            <w:gridCol w:w="1789"/>
            <w:gridCol w:w="1153"/>
            <w:gridCol w:w="1153"/>
            <w:gridCol w:w="1273"/>
            <w:gridCol w:w="874"/>
            <w:gridCol w:w="874"/>
            <w:gridCol w:w="1259"/>
            <w:gridCol w:w="1263"/>
          </w:tblGrid>
        </w:tblGridChange>
      </w:tblGrid>
      <w:tr>
        <w:trPr>
          <w:cantSplit w:val="1"/>
          <w:trHeight w:val="276" w:hRule="atLeast"/>
          <w:tblHeader w:val="0"/>
        </w:trPr>
        <w:tc>
          <w:tcPr>
            <w:gridSpan w:val="9"/>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4D">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Table 9: Coefficients</w:t>
            </w:r>
            <w:r w:rsidDel="00000000" w:rsidR="00000000" w:rsidRPr="00000000">
              <w:rPr>
                <w:rFonts w:ascii="Times New Roman" w:cs="Times New Roman" w:eastAsia="Times New Roman" w:hAnsi="Times New Roman"/>
                <w:b w:val="1"/>
                <w:color w:val="000000"/>
                <w:vertAlign w:val="superscript"/>
                <w:rtl w:val="0"/>
              </w:rPr>
              <w:t xml:space="preserve">a</w:t>
            </w:r>
            <w:r w:rsidDel="00000000" w:rsidR="00000000" w:rsidRPr="00000000">
              <w:rPr>
                <w:rtl w:val="0"/>
              </w:rPr>
            </w:r>
          </w:p>
        </w:tc>
      </w:tr>
      <w:tr>
        <w:trPr>
          <w:cantSplit w:val="1"/>
          <w:trHeight w:val="124" w:hRule="atLeast"/>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156">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Model</w:t>
            </w:r>
          </w:p>
        </w:tc>
        <w:tc>
          <w:tcPr>
            <w:gridSpan w:val="2"/>
            <w:tcBorders>
              <w:top w:color="000000" w:space="0" w:sz="16" w:val="single"/>
              <w:left w:color="000000" w:space="0" w:sz="16" w:val="single"/>
            </w:tcBorders>
            <w:shd w:fill="ffffff" w:val="clear"/>
          </w:tcPr>
          <w:p w:rsidR="00000000" w:rsidDel="00000000" w:rsidP="00000000" w:rsidRDefault="00000000" w:rsidRPr="00000000" w14:paraId="00000158">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Unstandardized Coefficients</w:t>
            </w:r>
          </w:p>
        </w:tc>
        <w:tc>
          <w:tcPr>
            <w:tcBorders>
              <w:top w:color="000000" w:space="0" w:sz="16" w:val="single"/>
            </w:tcBorders>
            <w:shd w:fill="ffffff" w:val="clear"/>
          </w:tcPr>
          <w:p w:rsidR="00000000" w:rsidDel="00000000" w:rsidP="00000000" w:rsidRDefault="00000000" w:rsidRPr="00000000" w14:paraId="0000015A">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Standardized Coefficients</w:t>
            </w:r>
          </w:p>
        </w:tc>
        <w:tc>
          <w:tcPr>
            <w:vMerge w:val="restart"/>
            <w:tcBorders>
              <w:top w:color="000000" w:space="0" w:sz="16" w:val="single"/>
            </w:tcBorders>
            <w:shd w:fill="ffffff" w:val="clear"/>
          </w:tcPr>
          <w:p w:rsidR="00000000" w:rsidDel="00000000" w:rsidP="00000000" w:rsidRDefault="00000000" w:rsidRPr="00000000" w14:paraId="0000015B">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w:t>
            </w:r>
          </w:p>
        </w:tc>
        <w:tc>
          <w:tcPr>
            <w:vMerge w:val="restart"/>
            <w:tcBorders>
              <w:top w:color="000000" w:space="0" w:sz="16" w:val="single"/>
            </w:tcBorders>
            <w:shd w:fill="ffffff" w:val="clear"/>
          </w:tcPr>
          <w:p w:rsidR="00000000" w:rsidDel="00000000" w:rsidP="00000000" w:rsidRDefault="00000000" w:rsidRPr="00000000" w14:paraId="0000015C">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Sig.</w:t>
            </w:r>
          </w:p>
        </w:tc>
        <w:tc>
          <w:tcPr>
            <w:gridSpan w:val="2"/>
            <w:tcBorders>
              <w:top w:color="000000" w:space="0" w:sz="16" w:val="single"/>
            </w:tcBorders>
            <w:shd w:fill="ffffff" w:val="clear"/>
          </w:tcPr>
          <w:p w:rsidR="00000000" w:rsidDel="00000000" w:rsidP="00000000" w:rsidRDefault="00000000" w:rsidRPr="00000000" w14:paraId="0000015D">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95.0% Confidence Interval for B</w:t>
            </w:r>
          </w:p>
        </w:tc>
      </w:tr>
      <w:tr>
        <w:trPr>
          <w:cantSplit w:val="1"/>
          <w:trHeight w:val="124" w:hRule="atLeast"/>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left w:color="000000" w:space="0" w:sz="16" w:val="single"/>
              <w:bottom w:color="000000" w:space="0" w:sz="16" w:val="single"/>
            </w:tcBorders>
            <w:shd w:fill="ffffff" w:val="clear"/>
          </w:tcPr>
          <w:p w:rsidR="00000000" w:rsidDel="00000000" w:rsidP="00000000" w:rsidRDefault="00000000" w:rsidRPr="00000000" w14:paraId="00000161">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w:t>
            </w:r>
          </w:p>
        </w:tc>
        <w:tc>
          <w:tcPr>
            <w:tcBorders>
              <w:bottom w:color="000000" w:space="0" w:sz="16" w:val="single"/>
            </w:tcBorders>
            <w:shd w:fill="ffffff" w:val="clear"/>
          </w:tcPr>
          <w:p w:rsidR="00000000" w:rsidDel="00000000" w:rsidP="00000000" w:rsidRDefault="00000000" w:rsidRPr="00000000" w14:paraId="00000162">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Std. Error</w:t>
            </w:r>
          </w:p>
        </w:tc>
        <w:tc>
          <w:tcPr>
            <w:tcBorders>
              <w:bottom w:color="000000" w:space="0" w:sz="16" w:val="single"/>
            </w:tcBorders>
            <w:shd w:fill="ffffff" w:val="clear"/>
          </w:tcPr>
          <w:p w:rsidR="00000000" w:rsidDel="00000000" w:rsidP="00000000" w:rsidRDefault="00000000" w:rsidRPr="00000000" w14:paraId="00000163">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Beta</w:t>
            </w:r>
          </w:p>
        </w:tc>
        <w:tc>
          <w:tcPr>
            <w:vMerge w:val="continue"/>
            <w:tcBorders>
              <w:top w:color="000000" w:space="0" w:sz="16" w:val="single"/>
            </w:tcBorders>
            <w:shd w:fill="ffffff" w:val="clea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16" w:val="single"/>
            </w:tcBorders>
            <w:shd w:fill="ffffff" w:val="clea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bottom w:color="000000" w:space="0" w:sz="16" w:val="single"/>
            </w:tcBorders>
            <w:shd w:fill="ffffff" w:val="clear"/>
          </w:tcPr>
          <w:p w:rsidR="00000000" w:rsidDel="00000000" w:rsidP="00000000" w:rsidRDefault="00000000" w:rsidRPr="00000000" w14:paraId="00000166">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Lower Bound</w:t>
            </w:r>
          </w:p>
        </w:tc>
        <w:tc>
          <w:tcPr>
            <w:tcBorders>
              <w:bottom w:color="000000" w:space="0" w:sz="16" w:val="single"/>
              <w:right w:color="000000" w:space="0" w:sz="16" w:val="single"/>
            </w:tcBorders>
            <w:shd w:fill="ffffff" w:val="clear"/>
          </w:tcPr>
          <w:p w:rsidR="00000000" w:rsidDel="00000000" w:rsidP="00000000" w:rsidRDefault="00000000" w:rsidRPr="00000000" w14:paraId="00000167">
            <w:pPr>
              <w:spacing w:after="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Upper Bound</w:t>
            </w:r>
          </w:p>
        </w:tc>
      </w:tr>
      <w:tr>
        <w:trPr>
          <w:cantSplit w:val="1"/>
          <w:trHeight w:val="124"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68">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69">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6A">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8.006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6B">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.207</w:t>
            </w:r>
          </w:p>
        </w:tc>
        <w:tc>
          <w:tcPr>
            <w:tcBorders>
              <w:top w:color="000000" w:space="0" w:sz="16" w:val="single"/>
              <w:bottom w:color="000000" w:space="0" w:sz="0" w:val="nil"/>
            </w:tcBorders>
            <w:shd w:fill="ffffff" w:val="clear"/>
          </w:tcPr>
          <w:p w:rsidR="00000000" w:rsidDel="00000000" w:rsidP="00000000" w:rsidRDefault="00000000" w:rsidRPr="00000000" w14:paraId="0000016C">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6D">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38.591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6E">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6F">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7.594</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70">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8.417</w:t>
            </w:r>
          </w:p>
        </w:tc>
      </w:tr>
      <w:tr>
        <w:trPr>
          <w:cantSplit w:val="1"/>
          <w:trHeight w:val="12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72">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Lack_of_Control (LC)</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73">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1.184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4">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5">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1.907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6">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7.732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7">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8">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.880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79">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1.488</w:t>
            </w:r>
          </w:p>
        </w:tc>
      </w:tr>
      <w:tr>
        <w:trPr>
          <w:cantSplit w:val="1"/>
          <w:trHeight w:val="12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7B">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Workload (WL)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7C">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-1.132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D">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E">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F">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-9.623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0">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1">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-1.365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82">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-.898</w:t>
            </w:r>
          </w:p>
        </w:tc>
      </w:tr>
      <w:tr>
        <w:trPr>
          <w:cantSplit w:val="1"/>
          <w:trHeight w:val="12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84">
            <w:pPr>
              <w:spacing w:after="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Job_Insecurity (JI)</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85">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-1.010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86">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87">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-1.366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88">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-6.847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89">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8A">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-1.303</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8B">
            <w:pPr>
              <w:spacing w:after="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-.717</w:t>
            </w:r>
          </w:p>
        </w:tc>
      </w:tr>
      <w:tr>
        <w:trPr>
          <w:cantSplit w:val="1"/>
          <w:trHeight w:val="276" w:hRule="atLeast"/>
          <w:tblHeader w:val="0"/>
        </w:trPr>
        <w:tc>
          <w:tcPr>
            <w:gridSpan w:val="9"/>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8C">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Source: Authors (2025)</w:t>
            </w:r>
          </w:p>
          <w:p w:rsidR="00000000" w:rsidDel="00000000" w:rsidP="00000000" w:rsidRDefault="00000000" w:rsidRPr="00000000" w14:paraId="0000018D">
            <w:pPr>
              <w:spacing w:after="0" w:lineRule="auto"/>
              <w:ind w:left="60" w:right="60" w:firstLine="0"/>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19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of Results</w:t>
      </w:r>
    </w:p>
    <w:p w:rsidR="00000000" w:rsidDel="00000000" w:rsidP="00000000" w:rsidRDefault="00000000" w:rsidRPr="00000000" w14:paraId="000001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summary of results obtained in this study indicates that workload, job insecurity, and lack of control are significant predictors of employees' psychological health in construction companies within the Centre Region of Cameroon. These findings are consistent with previous studies that have shown that psychosocial risk factors such as workload, job insecurity, and lack of control can have negative effects on employees' psychological health (Demerouti &amp; Bakker, 2010; </w:t>
      </w:r>
      <w:r w:rsidDel="00000000" w:rsidR="00000000" w:rsidRPr="00000000">
        <w:rPr>
          <w:rFonts w:ascii="Arial" w:cs="Arial" w:eastAsia="Arial" w:hAnsi="Arial"/>
          <w:color w:val="333333"/>
          <w:sz w:val="21"/>
          <w:szCs w:val="21"/>
          <w:highlight w:val="white"/>
          <w:rtl w:val="0"/>
        </w:rPr>
        <w:t xml:space="preserve">Schaufeli &amp; Taris, 2014</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of this study also suggest that workload is the strongest predictor of psychological health, followed by job insecurity and lack of control. This is consistent with a study by Kivimäki et al. (2015) that found that long working hours and high workload were associated with an increased risk of depression and anxiety. Similarly, a study by Goldenhar et al. (2013) found that construction workers who experienced high levels of job insecurity and lack of control were more likely to experience stress and anxiety.</w:t>
      </w:r>
    </w:p>
    <w:p w:rsidR="00000000" w:rsidDel="00000000" w:rsidP="00000000" w:rsidRDefault="00000000" w:rsidRPr="00000000" w14:paraId="000001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findings of this study have implications for the development of interventions aimed at promoting employees' psychological health and well-being in construction companies. As suggested by Bakker et al. (2014), employers can implement stress management programs, provide training on time management and prioritization, and promote a healthy work-life balance to mitigate the negative effects of psychosocial risk factors on employees' psychological health. By addressing these risk factors, construction companies can help to promote a healthy and productive work environment that supports the well-being of their employees.</w:t>
      </w:r>
    </w:p>
    <w:p w:rsidR="00000000" w:rsidDel="00000000" w:rsidP="00000000" w:rsidRDefault="00000000" w:rsidRPr="00000000" w14:paraId="0000019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Conclusion</w:t>
      </w:r>
    </w:p>
    <w:p w:rsidR="00000000" w:rsidDel="00000000" w:rsidP="00000000" w:rsidRDefault="00000000" w:rsidRPr="00000000" w14:paraId="000001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found that workload, job insecurity, and lack of control are significant predictors of employees' psychological health in construction companies within the Centre Region of Cameroon. Specifically, the results indicate that workload is the strongest predictor of psychological health, followed by job insecurity and lack of control. This suggests that employees who experience high levels of workload, job insecurity, and lack of control are more likely to experience poor psychological health, including stress, anxiety, and depression.</w:t>
      </w:r>
    </w:p>
    <w:p w:rsidR="00000000" w:rsidDel="00000000" w:rsidP="00000000" w:rsidRDefault="00000000" w:rsidRPr="00000000" w14:paraId="0000019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also found that the psychosocial risk factors (workload, job insecurity, and lack of control) explain approximately 86.1% of the variance in psychological health. This indicates that these risk factors are a major contributor to employees' psychological health in the construction industry. The findings of this study highlight the importance of addressing psychosocial risk factors in the construction industry to promote employees' psychological health and well-being. By mitigating these risk factors, construction companies can help to create a healthier and more productive work environment for their employees.</w:t>
      </w:r>
    </w:p>
    <w:p w:rsidR="00000000" w:rsidDel="00000000" w:rsidP="00000000" w:rsidRDefault="00000000" w:rsidRPr="00000000" w14:paraId="0000019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conclusion, this study has provided valuable insights into the relationship between psychosocial risk factors and employees' psychological health in construction companies within the Centre Region of Cameroon. The findings of this study suggest that workload, job insecurity, and lack of control are significant predictors of employees' psychological health. These results are consistent with previous studies that have shown that psychosocial risk factors can have negative effects on employees' psychological health. The study's results have implications for the development of interventions aimed at promoting employees' psychological health and well-being in construction companies.</w:t>
      </w:r>
    </w:p>
    <w:p w:rsidR="00000000" w:rsidDel="00000000" w:rsidP="00000000" w:rsidRDefault="00000000" w:rsidRPr="00000000" w14:paraId="000001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the significant contributions of this study, there are several limitations that need to be acknowledged. One of the major limitations of this study is the use of a cross-sectional design, which does not allow for the establishment of causality between the psychosocial risk factors and employees' psychological health. Another limitation is the reliance on self-reported measures, which may be subject to biases and inaccuracies. Furthermore, the study only focused on construction companies within the Centre Region of Cameroon, which may not be representative of the entire construction industry in Cameroon.</w:t>
      </w:r>
    </w:p>
    <w:p w:rsidR="00000000" w:rsidDel="00000000" w:rsidP="00000000" w:rsidRDefault="00000000" w:rsidRPr="00000000" w14:paraId="0000019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findings of this study, several recommendations can be made for future research. Firstly, future studies should consider using longitudinal designs to establish causality between psychosocial risk factors and employees' psychological health. Secondly, future studies should consider using objective measures of psychosocial risk factors and employees' psychological health to minimize biases and inaccuracies. Thirdly, future studies should consider exploring the impact of psychosocial risk factors on employees' psychological health in other industries and sectors in Cameroon. Finally, future studies should consider developing and evaluating interventions aimed at mitigating the negative effects of psychosocial risk factors on employees' psychological health.</w:t>
      </w:r>
    </w:p>
    <w:p w:rsidR="00000000" w:rsidDel="00000000" w:rsidP="00000000" w:rsidRDefault="00000000" w:rsidRPr="00000000" w14:paraId="000001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terms of practical implications, the findings of this study suggest that construction companies in Cameroon should prioritize the development of interventions aimed at promoting employees' psychological health and well-being. This can be achieved through the implementation of stress management programs, provision of training on time management and prioritization, and promotion of a healthy work-life balance. Additionally, construction companies should consider providing support services for employees who are experiencing psychological health problems. By prioritizing employees' psychological health and well-being, construction companies in Cameroon can help to promote a healthy and productive work environment that supports the well-being of their employees.</w:t>
      </w:r>
    </w:p>
    <w:p w:rsidR="00000000" w:rsidDel="00000000" w:rsidP="00000000" w:rsidRDefault="00000000" w:rsidRPr="00000000" w14:paraId="000001A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2">
      <w:pPr>
        <w:rPr>
          <w:highlight w:val="yellow"/>
        </w:rPr>
      </w:pPr>
      <w:r w:rsidDel="00000000" w:rsidR="00000000" w:rsidRPr="00000000">
        <w:rPr>
          <w:highlight w:val="yellow"/>
          <w:rtl w:val="0"/>
        </w:rPr>
        <w:t xml:space="preserve">Disclaimer (Artificial intelligence)</w:t>
      </w:r>
    </w:p>
    <w:p w:rsidR="00000000" w:rsidDel="00000000" w:rsidP="00000000" w:rsidRDefault="00000000" w:rsidRPr="00000000" w14:paraId="000001A3">
      <w:pPr>
        <w:rPr>
          <w:highlight w:val="yellow"/>
        </w:rPr>
      </w:pPr>
      <w:r w:rsidDel="00000000" w:rsidR="00000000" w:rsidRPr="00000000">
        <w:rPr>
          <w:rtl w:val="0"/>
        </w:rPr>
      </w:r>
    </w:p>
    <w:p w:rsidR="00000000" w:rsidDel="00000000" w:rsidP="00000000" w:rsidRDefault="00000000" w:rsidRPr="00000000" w14:paraId="000001A4">
      <w:pPr>
        <w:rPr>
          <w:highlight w:val="yellow"/>
        </w:rPr>
      </w:pPr>
      <w:r w:rsidDel="00000000" w:rsidR="00000000" w:rsidRPr="00000000">
        <w:rPr>
          <w:highlight w:val="yellow"/>
          <w:rtl w:val="0"/>
        </w:rPr>
        <w:t xml:space="preserve">Option 1: </w:t>
      </w:r>
    </w:p>
    <w:p w:rsidR="00000000" w:rsidDel="00000000" w:rsidP="00000000" w:rsidRDefault="00000000" w:rsidRPr="00000000" w14:paraId="000001A5">
      <w:pPr>
        <w:rPr>
          <w:highlight w:val="yellow"/>
        </w:rPr>
      </w:pPr>
      <w:r w:rsidDel="00000000" w:rsidR="00000000" w:rsidRPr="00000000">
        <w:rPr>
          <w:rtl w:val="0"/>
        </w:rPr>
      </w:r>
    </w:p>
    <w:p w:rsidR="00000000" w:rsidDel="00000000" w:rsidP="00000000" w:rsidRDefault="00000000" w:rsidRPr="00000000" w14:paraId="000001A6">
      <w:pPr>
        <w:rPr>
          <w:highlight w:val="yellow"/>
        </w:rPr>
      </w:pPr>
      <w:r w:rsidDel="00000000" w:rsidR="00000000" w:rsidRPr="00000000">
        <w:rPr>
          <w:highlight w:val="yellow"/>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1A7">
      <w:pPr>
        <w:rPr>
          <w:highlight w:val="yellow"/>
        </w:rPr>
      </w:pPr>
      <w:r w:rsidDel="00000000" w:rsidR="00000000" w:rsidRPr="00000000">
        <w:rPr>
          <w:rtl w:val="0"/>
        </w:rPr>
      </w:r>
    </w:p>
    <w:p w:rsidR="00000000" w:rsidDel="00000000" w:rsidP="00000000" w:rsidRDefault="00000000" w:rsidRPr="00000000" w14:paraId="000001A8">
      <w:pPr>
        <w:rPr>
          <w:highlight w:val="yellow"/>
        </w:rPr>
      </w:pPr>
      <w:r w:rsidDel="00000000" w:rsidR="00000000" w:rsidRPr="00000000">
        <w:rPr>
          <w:highlight w:val="yellow"/>
          <w:rtl w:val="0"/>
        </w:rPr>
        <w:t xml:space="preserve">Option 2: </w:t>
      </w:r>
    </w:p>
    <w:p w:rsidR="00000000" w:rsidDel="00000000" w:rsidP="00000000" w:rsidRDefault="00000000" w:rsidRPr="00000000" w14:paraId="000001A9">
      <w:pPr>
        <w:rPr>
          <w:highlight w:val="yellow"/>
        </w:rPr>
      </w:pPr>
      <w:r w:rsidDel="00000000" w:rsidR="00000000" w:rsidRPr="00000000">
        <w:rPr>
          <w:rtl w:val="0"/>
        </w:rPr>
      </w:r>
    </w:p>
    <w:p w:rsidR="00000000" w:rsidDel="00000000" w:rsidP="00000000" w:rsidRDefault="00000000" w:rsidRPr="00000000" w14:paraId="000001AA">
      <w:pPr>
        <w:rPr>
          <w:highlight w:val="yellow"/>
        </w:rPr>
      </w:pPr>
      <w:r w:rsidDel="00000000" w:rsidR="00000000" w:rsidRPr="00000000">
        <w:rPr>
          <w:highlight w:val="yellow"/>
          <w:rtl w:val="0"/>
        </w:rPr>
        <w:t xml:space="preserve">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00000" w:rsidDel="00000000" w:rsidP="00000000" w:rsidRDefault="00000000" w:rsidRPr="00000000" w14:paraId="000001AB">
      <w:pPr>
        <w:rPr>
          <w:highlight w:val="yellow"/>
        </w:rPr>
      </w:pPr>
      <w:r w:rsidDel="00000000" w:rsidR="00000000" w:rsidRPr="00000000">
        <w:rPr>
          <w:rtl w:val="0"/>
        </w:rPr>
      </w:r>
    </w:p>
    <w:p w:rsidR="00000000" w:rsidDel="00000000" w:rsidP="00000000" w:rsidRDefault="00000000" w:rsidRPr="00000000" w14:paraId="000001AC">
      <w:pPr>
        <w:rPr>
          <w:highlight w:val="yellow"/>
        </w:rPr>
      </w:pPr>
      <w:r w:rsidDel="00000000" w:rsidR="00000000" w:rsidRPr="00000000">
        <w:rPr>
          <w:highlight w:val="yellow"/>
          <w:rtl w:val="0"/>
        </w:rPr>
        <w:t xml:space="preserve">Details of the AI usage are given below:</w:t>
      </w:r>
    </w:p>
    <w:p w:rsidR="00000000" w:rsidDel="00000000" w:rsidP="00000000" w:rsidRDefault="00000000" w:rsidRPr="00000000" w14:paraId="000001AD">
      <w:pPr>
        <w:rPr>
          <w:highlight w:val="yellow"/>
        </w:rPr>
      </w:pPr>
      <w:r w:rsidDel="00000000" w:rsidR="00000000" w:rsidRPr="00000000">
        <w:rPr>
          <w:highlight w:val="yellow"/>
          <w:rtl w:val="0"/>
        </w:rPr>
        <w:t xml:space="preserve">1.</w:t>
      </w:r>
    </w:p>
    <w:p w:rsidR="00000000" w:rsidDel="00000000" w:rsidP="00000000" w:rsidRDefault="00000000" w:rsidRPr="00000000" w14:paraId="000001AE">
      <w:pPr>
        <w:rPr>
          <w:highlight w:val="yellow"/>
        </w:rPr>
      </w:pPr>
      <w:r w:rsidDel="00000000" w:rsidR="00000000" w:rsidRPr="00000000">
        <w:rPr>
          <w:highlight w:val="yellow"/>
          <w:rtl w:val="0"/>
        </w:rPr>
        <w:t xml:space="preserve">2.</w:t>
      </w:r>
    </w:p>
    <w:p w:rsidR="00000000" w:rsidDel="00000000" w:rsidP="00000000" w:rsidRDefault="00000000" w:rsidRPr="00000000" w14:paraId="000001AF">
      <w:pPr>
        <w:rPr/>
      </w:pPr>
      <w:r w:rsidDel="00000000" w:rsidR="00000000" w:rsidRPr="00000000">
        <w:rPr>
          <w:highlight w:val="yellow"/>
          <w:rtl w:val="0"/>
        </w:rPr>
        <w:t xml:space="preserve">3.</w:t>
      </w:r>
      <w:r w:rsidDel="00000000" w:rsidR="00000000" w:rsidRPr="00000000">
        <w:rPr>
          <w:rtl w:val="0"/>
        </w:rPr>
      </w:r>
    </w:p>
    <w:p w:rsidR="00000000" w:rsidDel="00000000" w:rsidP="00000000" w:rsidRDefault="00000000" w:rsidRPr="00000000" w14:paraId="000001B0">
      <w:pPr>
        <w:jc w:val="both"/>
        <w:rPr>
          <w:rFonts w:ascii="Times New Roman" w:cs="Times New Roman" w:eastAsia="Times New Roman" w:hAnsi="Times New Roman"/>
        </w:rPr>
      </w:pPr>
      <w:bookmarkStart w:colFirst="0" w:colLast="0" w:name="_gjdgxs" w:id="0"/>
      <w:bookmarkEnd w:id="0"/>
      <w:r w:rsidDel="00000000" w:rsidR="00000000" w:rsidRPr="00000000">
        <w:rPr>
          <w:rtl w:val="0"/>
        </w:rPr>
      </w:r>
    </w:p>
    <w:p w:rsidR="00000000" w:rsidDel="00000000" w:rsidP="00000000" w:rsidRDefault="00000000" w:rsidRPr="00000000" w14:paraId="000001B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References</w:t>
      </w:r>
    </w:p>
    <w:p w:rsidR="00000000" w:rsidDel="00000000" w:rsidP="00000000" w:rsidRDefault="00000000" w:rsidRPr="00000000" w14:paraId="000001B2">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African Development Bank. (2018). Cameroon: Country Brief. https://www.afdb.org/sites/default/files/documents/publications/crb_cameroun_en_31-10-17_web_.pdf</w:t>
      </w:r>
    </w:p>
    <w:p w:rsidR="00000000" w:rsidDel="00000000" w:rsidP="00000000" w:rsidRDefault="00000000" w:rsidRPr="00000000" w14:paraId="000001B3">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African Development Bank. (2023). Cameroon: Local Content Policy. </w:t>
      </w:r>
      <w:hyperlink r:id="rId6">
        <w:r w:rsidDel="00000000" w:rsidR="00000000" w:rsidRPr="00000000">
          <w:rPr>
            <w:rFonts w:ascii="Times New Roman" w:cs="Times New Roman" w:eastAsia="Times New Roman" w:hAnsi="Times New Roman"/>
            <w:color w:val="1155cc"/>
            <w:u w:val="single"/>
            <w:rtl w:val="0"/>
          </w:rPr>
          <w:t xml:space="preserve">https://www.afdb.org/sites/default/files/documents/projects-and-operations/cameroun_-_country_strategy_paper_csp_2023-2028.pdf</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B4">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Bakker, A. B., &amp; Demerouti, E. (2007). The Job Demands-Resources model: State of the art. Journal of Managerial Psychology, 22(3), 309-328.</w:t>
      </w:r>
    </w:p>
    <w:p w:rsidR="00000000" w:rsidDel="00000000" w:rsidP="00000000" w:rsidRDefault="00000000" w:rsidRPr="00000000" w14:paraId="000001B5">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Bakker, A. B.,Demerouti, E., Sanz V., &amp; Ana, (2014). Burnout and Work Engagement: The JD-R Approach Annual Review of Organizational Psychology and Organizational Behavior. 10.1146/annurev-orgpsych-031413-091235</w:t>
      </w:r>
    </w:p>
    <w:p w:rsidR="00000000" w:rsidDel="00000000" w:rsidP="00000000" w:rsidRDefault="00000000" w:rsidRPr="00000000" w14:paraId="000001B6">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Bakker, A. B., &amp; Demerouti, E. (2018). Multiple levels in job demands-resources theory: Implications for employee well-being and performance. In E. Diener, S. Oishi, &amp; L. Tay (Eds.), Handbook of well-being. Salt Lake City, UT: DEF Publishers. DOI:nobascholar.com</w:t>
      </w:r>
    </w:p>
    <w:p w:rsidR="00000000" w:rsidDel="00000000" w:rsidP="00000000" w:rsidRDefault="00000000" w:rsidRPr="00000000" w14:paraId="000001B7">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Bolger, N., &amp; Zuckerman, A. (1995). A framework for studying personality in the stress process. Journal of Personality and Social Psychology, 69(5), 890-902.</w:t>
      </w:r>
    </w:p>
    <w:p w:rsidR="00000000" w:rsidDel="00000000" w:rsidP="00000000" w:rsidRDefault="00000000" w:rsidRPr="00000000" w14:paraId="000001B8">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Burchell, B. (1994). The effects of labour market position, job insecurity, and unemployment on psychological health. In C. L. Cooper &amp; I. T. Robertson (Eds.), International review of industrial and organizational psychology (pp. 33-64). Wiley.</w:t>
      </w:r>
    </w:p>
    <w:p w:rsidR="00000000" w:rsidDel="00000000" w:rsidP="00000000" w:rsidRDefault="00000000" w:rsidRPr="00000000" w14:paraId="000001B9">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Cameroon Ministry of Economy, Planning, and Regional Development. (2020). National Development Plan 2020-2025. https://www.effectivecooperation.org/system/files/2022-01/NATIONAL_DEVELOPMENT_STRATEGY_2020_2030.pdf</w:t>
      </w:r>
    </w:p>
    <w:p w:rsidR="00000000" w:rsidDel="00000000" w:rsidP="00000000" w:rsidRDefault="00000000" w:rsidRPr="00000000" w14:paraId="000001BA">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Cameroon road fund,  annual report. (2019). </w:t>
      </w:r>
      <w:hyperlink r:id="rId7">
        <w:r w:rsidDel="00000000" w:rsidR="00000000" w:rsidRPr="00000000">
          <w:rPr>
            <w:rFonts w:ascii="Times New Roman" w:cs="Times New Roman" w:eastAsia="Times New Roman" w:hAnsi="Times New Roman"/>
            <w:color w:val="1155cc"/>
            <w:u w:val="single"/>
            <w:rtl w:val="0"/>
          </w:rPr>
          <w:t xml:space="preserve">https://fondsroutiercameroun.org/wp-content/uploads/2022/01/Ra_fonds_routier_2019_En-print.178.1.pdf</w:t>
        </w:r>
      </w:hyperlink>
      <w:r w:rsidDel="00000000" w:rsidR="00000000" w:rsidRPr="00000000">
        <w:rPr>
          <w:rtl w:val="0"/>
        </w:rPr>
      </w:r>
    </w:p>
    <w:p w:rsidR="00000000" w:rsidDel="00000000" w:rsidP="00000000" w:rsidRDefault="00000000" w:rsidRPr="00000000" w14:paraId="000001BB">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Chiang, D., Antwi-Afari, M., Anwer, S., Mohandes, S. R., &amp; Li, X. (2024). Occupational stress in the construction industry: a bibliometric-qualitative analysis of literature and future research directions. 10.1108/IJBPA-08-2023-0114 International Journal of Building Pathology and Adaptation.</w:t>
      </w:r>
    </w:p>
    <w:p w:rsidR="00000000" w:rsidDel="00000000" w:rsidP="00000000" w:rsidRDefault="00000000" w:rsidRPr="00000000" w14:paraId="000001BC">
      <w:pPr>
        <w:ind w:left="720" w:hanging="720"/>
        <w:rPr>
          <w:rFonts w:ascii="Times New Roman" w:cs="Times New Roman" w:eastAsia="Times New Roman" w:hAnsi="Times New Roman"/>
        </w:rPr>
      </w:pPr>
      <w:r w:rsidDel="00000000" w:rsidR="00000000" w:rsidRPr="00000000">
        <w:rPr>
          <w:rFonts w:ascii="Verdana" w:cs="Verdana" w:eastAsia="Verdana" w:hAnsi="Verdana"/>
          <w:color w:val="232323"/>
          <w:sz w:val="21"/>
          <w:szCs w:val="21"/>
          <w:highlight w:val="white"/>
          <w:rtl w:val="0"/>
        </w:rPr>
        <w:t xml:space="preserve">Cohen, S., Gottlieb,B. H., &amp; Underwood, L. G. (2000). “Social Relationships and Health,” In: S. Cohen, L. Underwood and B. H. Gottlieb, Eds., Social Support Measurement and Intervention: A Guide for Health and Social Scientists, Oxford University Press, New York, pp. 3-25.</w:t>
      </w:r>
      <w:r w:rsidDel="00000000" w:rsidR="00000000" w:rsidRPr="00000000">
        <w:rPr>
          <w:rtl w:val="0"/>
        </w:rPr>
      </w:r>
    </w:p>
    <w:p w:rsidR="00000000" w:rsidDel="00000000" w:rsidP="00000000" w:rsidRDefault="00000000" w:rsidRPr="00000000" w14:paraId="000001BD">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Witte, H. (2005). Job insecurity: A review of the literature. International Journal of Management Reviews, 7(2), 103-124.</w:t>
      </w:r>
    </w:p>
    <w:p w:rsidR="00000000" w:rsidDel="00000000" w:rsidP="00000000" w:rsidRDefault="00000000" w:rsidRPr="00000000" w14:paraId="000001BE">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Demerouti, E., Bakker, A. B., Nachreiner, F., &amp; Schaufeli, W. B. (2001). The job demands-resources model of burnout. Journal of Applied Psychology, 86(3), 499–512. https://doi.org/10.1037/0021-9010.86.3.499</w:t>
      </w:r>
    </w:p>
    <w:p w:rsidR="00000000" w:rsidDel="00000000" w:rsidP="00000000" w:rsidRDefault="00000000" w:rsidRPr="00000000" w14:paraId="000001BF">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Demerouti E, Mostert K, Bakker A.B. (2010). Burnout and work engagement: a thorough investigation of the independency of both constructs. J Occup Health Psychol. 2010 Jul;15(3):209-222. doi: 10.1037/a0019408. PMID: 20604629.</w:t>
      </w:r>
    </w:p>
    <w:p w:rsidR="00000000" w:rsidDel="00000000" w:rsidP="00000000" w:rsidRDefault="00000000" w:rsidRPr="00000000" w14:paraId="000001C0">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Goldenhar, L. M., LaMontagne, A. D., Katz, T., Heaney, C., &amp; Landsbergis, P. (2013). The intervention research process in occupational safety and health: An overview from the NIOSH Office of Extramural Programs. American Journal of Industrial Medicine, 56(5), 527-539.</w:t>
      </w:r>
    </w:p>
    <w:p w:rsidR="00000000" w:rsidDel="00000000" w:rsidP="00000000" w:rsidRDefault="00000000" w:rsidRPr="00000000" w14:paraId="000001C1">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Hämmig O, Knecht M, Läubli T, Bauer GF. Work-life conflict and musculoskeletal disorders: a cross-sectional study of an unexplored association. BMC Musculoskelet Disord. 2011 Mar 16;12:60. doi: 10.1186/1471-2474-12-60. PMID: 21410950; PMCID: PMC3073966.</w:t>
      </w:r>
    </w:p>
    <w:p w:rsidR="00000000" w:rsidDel="00000000" w:rsidP="00000000" w:rsidRDefault="00000000" w:rsidRPr="00000000" w14:paraId="000001C2">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Hofstede, G. (2001). Culture's consequences: Comparing values, behaviors, institutions, and organizations across nations. Sage Publications.</w:t>
      </w:r>
    </w:p>
    <w:p w:rsidR="00000000" w:rsidDel="00000000" w:rsidP="00000000" w:rsidRDefault="00000000" w:rsidRPr="00000000" w14:paraId="000001C3">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Iacuone, D. (2005). 'Real men are tough guys': Hegemonic masculinity and safety in the construction industry. Journal of Occupational Health and Safety, Australia and New Zealand, 21(4), 351-361.</w:t>
      </w:r>
    </w:p>
    <w:p w:rsidR="00000000" w:rsidDel="00000000" w:rsidP="00000000" w:rsidRDefault="00000000" w:rsidRPr="00000000" w14:paraId="000001C4">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Labour Organization. (2021). Occupational Safety and Health Management in the Construction Sector. https://www.ilo.org/meetings-and-events/occupational-safety-and-health-management-construction-sector-3</w:t>
      </w:r>
    </w:p>
    <w:p w:rsidR="00000000" w:rsidDel="00000000" w:rsidP="00000000" w:rsidRDefault="00000000" w:rsidRPr="00000000" w14:paraId="000001C5">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Monetary Fund. (2021). Cameroon: Staff Report for the 2020 Article IV Consultation. https://www.imf.org/en/Publications/CR/Issues/2022/03/11/Cameroon-2021-Article-IV-Consultation-and-First-Reviews-Under-the-Extended-Credit-Facility-514974</w:t>
      </w:r>
    </w:p>
    <w:p w:rsidR="00000000" w:rsidDel="00000000" w:rsidP="00000000" w:rsidRDefault="00000000" w:rsidRPr="00000000" w14:paraId="000001C6">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Karasek, R. A., &amp; Theorell, T. (1990). Healthy work: Stress, productivity, and the reconstruction of working life. Basic Books.</w:t>
      </w:r>
    </w:p>
    <w:p w:rsidR="00000000" w:rsidDel="00000000" w:rsidP="00000000" w:rsidRDefault="00000000" w:rsidRPr="00000000" w14:paraId="000001C7">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Kivimäki, M., Jokela, M., Nyberg, S. T., Singh-Manoux, A., Fransson, E. I., Alfredsson, L., ... &amp; Westerholm, P. J. (2015). Long working hours and risk of coronary heart disease and stroke: A systematic review and meta-analysis. American Journal of Epidemiology, 182(7), 596-611.</w:t>
      </w:r>
    </w:p>
    <w:p w:rsidR="00000000" w:rsidDel="00000000" w:rsidP="00000000" w:rsidRDefault="00000000" w:rsidRPr="00000000" w14:paraId="000001C8">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Schnall, P., Dobson, M., &amp; Landsbergis, P. (2017). Work, Stress, and Cardiovascular Disease 10.1002/9781118993811.ch6</w:t>
      </w:r>
    </w:p>
    <w:p w:rsidR="00000000" w:rsidDel="00000000" w:rsidP="00000000" w:rsidRDefault="00000000" w:rsidRPr="00000000" w14:paraId="000001C9">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Maslach, C., &amp; Jackson, S. E. (1981). The measurement of experienced burnout. Journal of Occupational Behavior, 2(2), 99-113.</w:t>
      </w:r>
    </w:p>
    <w:p w:rsidR="00000000" w:rsidDel="00000000" w:rsidP="00000000" w:rsidRDefault="00000000" w:rsidRPr="00000000" w14:paraId="000001CA">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Maslach, C., &amp; Leiter, M. P. (2008). Early predictors of job burnout and engagement. Journal of Applied Psychology, 93(3), 498-512.</w:t>
      </w:r>
    </w:p>
    <w:p w:rsidR="00000000" w:rsidDel="00000000" w:rsidP="00000000" w:rsidRDefault="00000000" w:rsidRPr="00000000" w14:paraId="000001CB">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Podsakoff, P. M., MacKenzie, S. B., Lee, J. Y., &amp; Podsakoff, N. P. (2003). Common method biases in behavioral research: A critical review of the literature and recommended remedies. Journal of Applied Psychology, 88(5), 879-903.</w:t>
      </w:r>
    </w:p>
    <w:p w:rsidR="00000000" w:rsidDel="00000000" w:rsidP="00000000" w:rsidRDefault="00000000" w:rsidRPr="00000000" w14:paraId="000001CC">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Schaufeli, W. B., &amp; Taris, T. W. (2014). A critical review of the job demands-resources model: Implications for improving work and health. In G. F. Bauer &amp; O. Hämmig (Eds.), Bridging occupational, organizational and public health: A transdisciplinary approach (pp. 43–68). Springer Science + Business Media. https://doi.org/10.1007/978-94-007-5640-3_4</w:t>
      </w:r>
    </w:p>
    <w:p w:rsidR="00000000" w:rsidDel="00000000" w:rsidP="00000000" w:rsidRDefault="00000000" w:rsidRPr="00000000" w14:paraId="000001CD">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Siegrist, J. (1996). Adverse health effects of high-effort/low-reward conditions. Journal of Occupational Health Psychology, 1(1), 27-41.</w:t>
      </w:r>
    </w:p>
    <w:p w:rsidR="00000000" w:rsidDel="00000000" w:rsidP="00000000" w:rsidRDefault="00000000" w:rsidRPr="00000000" w14:paraId="000001CE">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Transparency International. (2020). Corruption Perceptions Index 2020. </w:t>
      </w:r>
    </w:p>
    <w:p w:rsidR="00000000" w:rsidDel="00000000" w:rsidP="00000000" w:rsidRDefault="00000000" w:rsidRPr="00000000" w14:paraId="000001CF">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Tugade, M. M., &amp; Fredrickson, B. L. (2004). Resilient individuals use positive emotions to bounce back from negative emotional experiences. Journal of Personality and Social Psychology, 86(3), 320-333. Demerouti, E., &amp; Bakker, A. B. (2018). Burnout and work engagement: An etiological model. Journal of Occupational Health Psychology, 23(3), 381-396.</w:t>
      </w:r>
    </w:p>
    <w:p w:rsidR="00000000" w:rsidDel="00000000" w:rsidP="00000000" w:rsidRDefault="00000000" w:rsidRPr="00000000" w14:paraId="000001D0">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Bank. (2023). Cameroon Overview. https://www.worldbank.org/en/country/cameroon/overview</w:t>
      </w:r>
    </w:p>
    <w:p w:rsidR="00000000" w:rsidDel="00000000" w:rsidP="00000000" w:rsidRDefault="00000000" w:rsidRPr="00000000" w14:paraId="000001D1">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Economic Forum. (2016). Shaping the Future of Construction, A Breakthrough in Mindset and Technology https://www3.weforum.org/docs/WEF_Shaping_the_Future_of_Construction.pdf</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s://www.afdb.org/sites/default/files/documents/projects-and-operations/cameroun_-_country_strategy_paper_csp_2023-2028.pdf" TargetMode="External"/><Relationship Id="rId7" Type="http://schemas.openxmlformats.org/officeDocument/2006/relationships/hyperlink" Target="https://fondsroutiercameroun.org/wp-content/uploads/2022/01/Ra_fonds_routier_2019_En-print.178.1.pdf"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