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481FC" w14:textId="77777777" w:rsidR="00520137" w:rsidRDefault="008937FE">
      <w:pPr>
        <w:pStyle w:val="Author"/>
        <w:spacing w:line="276" w:lineRule="auto"/>
        <w:rPr>
          <w:rFonts w:ascii="Arial" w:hAnsi="Arial" w:cs="Arial"/>
          <w:bCs/>
          <w:iCs/>
          <w:kern w:val="28"/>
          <w:sz w:val="36"/>
        </w:rPr>
      </w:pPr>
      <w:r>
        <w:rPr>
          <w:rFonts w:ascii="Arial" w:hAnsi="Arial" w:cs="Arial"/>
          <w:bCs/>
          <w:i/>
          <w:iCs/>
          <w:kern w:val="28"/>
          <w:sz w:val="36"/>
          <w:u w:val="single"/>
        </w:rPr>
        <w:t>Original Research Article</w:t>
      </w:r>
    </w:p>
    <w:p w14:paraId="062B9810" w14:textId="096D7BC5" w:rsidR="00520137" w:rsidRDefault="00965C03">
      <w:pPr>
        <w:pStyle w:val="Author"/>
        <w:spacing w:line="276" w:lineRule="auto"/>
        <w:rPr>
          <w:rFonts w:ascii="Arial" w:hAnsi="Arial" w:cs="Arial"/>
          <w:bCs/>
          <w:iCs/>
          <w:kern w:val="28"/>
          <w:sz w:val="36"/>
        </w:rPr>
      </w:pPr>
      <w:r>
        <w:rPr>
          <w:rFonts w:ascii="Arial" w:hAnsi="Arial" w:cs="Arial"/>
          <w:bCs/>
          <w:iCs/>
          <w:kern w:val="28"/>
          <w:sz w:val="36"/>
        </w:rPr>
        <w:t>Assessment</w:t>
      </w:r>
      <w:r w:rsidR="008937FE">
        <w:rPr>
          <w:rFonts w:ascii="Arial" w:hAnsi="Arial" w:cs="Arial"/>
          <w:bCs/>
          <w:iCs/>
          <w:kern w:val="28"/>
          <w:sz w:val="36"/>
        </w:rPr>
        <w:t xml:space="preserve"> o</w:t>
      </w:r>
      <w:r>
        <w:rPr>
          <w:rFonts w:ascii="Arial" w:hAnsi="Arial" w:cs="Arial"/>
          <w:bCs/>
          <w:iCs/>
          <w:kern w:val="28"/>
          <w:sz w:val="36"/>
        </w:rPr>
        <w:t>f</w:t>
      </w:r>
      <w:r w:rsidR="008937FE">
        <w:rPr>
          <w:rFonts w:ascii="Arial" w:hAnsi="Arial" w:cs="Arial"/>
          <w:bCs/>
          <w:iCs/>
          <w:kern w:val="28"/>
          <w:sz w:val="36"/>
        </w:rPr>
        <w:t xml:space="preserve"> </w:t>
      </w:r>
      <w:r>
        <w:rPr>
          <w:rFonts w:ascii="Arial" w:hAnsi="Arial" w:cs="Arial"/>
          <w:bCs/>
          <w:iCs/>
          <w:kern w:val="28"/>
          <w:sz w:val="36"/>
        </w:rPr>
        <w:t>a</w:t>
      </w:r>
      <w:r w:rsidR="008937FE">
        <w:rPr>
          <w:rFonts w:ascii="Arial" w:hAnsi="Arial" w:cs="Arial"/>
          <w:bCs/>
          <w:iCs/>
          <w:kern w:val="28"/>
          <w:sz w:val="36"/>
        </w:rPr>
        <w:t xml:space="preserve">grometeorological </w:t>
      </w:r>
      <w:r>
        <w:rPr>
          <w:rFonts w:ascii="Arial" w:hAnsi="Arial" w:cs="Arial"/>
          <w:bCs/>
          <w:iCs/>
          <w:kern w:val="28"/>
          <w:sz w:val="36"/>
        </w:rPr>
        <w:t>i</w:t>
      </w:r>
      <w:r w:rsidR="008937FE">
        <w:rPr>
          <w:rFonts w:ascii="Arial" w:hAnsi="Arial" w:cs="Arial"/>
          <w:bCs/>
          <w:iCs/>
          <w:kern w:val="28"/>
          <w:sz w:val="36"/>
        </w:rPr>
        <w:t xml:space="preserve">ndices </w:t>
      </w:r>
      <w:r>
        <w:rPr>
          <w:rFonts w:ascii="Arial" w:hAnsi="Arial" w:cs="Arial"/>
          <w:bCs/>
          <w:iCs/>
          <w:kern w:val="28"/>
          <w:sz w:val="36"/>
        </w:rPr>
        <w:t>in</w:t>
      </w:r>
      <w:r w:rsidR="008937FE">
        <w:rPr>
          <w:rFonts w:ascii="Arial" w:hAnsi="Arial" w:cs="Arial"/>
          <w:bCs/>
          <w:iCs/>
          <w:kern w:val="28"/>
          <w:sz w:val="36"/>
        </w:rPr>
        <w:t xml:space="preserve"> summer groundnut cultivars in South Saurashtra Agro-climatic Zone of Gujarat  </w:t>
      </w:r>
    </w:p>
    <w:p w14:paraId="5175467F" w14:textId="77777777" w:rsidR="00520137" w:rsidRDefault="00520137">
      <w:pPr>
        <w:pStyle w:val="Author"/>
        <w:spacing w:line="276" w:lineRule="auto"/>
        <w:jc w:val="both"/>
        <w:rPr>
          <w:rFonts w:ascii="Arial" w:hAnsi="Arial" w:cs="Arial"/>
          <w:sz w:val="36"/>
        </w:rPr>
      </w:pPr>
    </w:p>
    <w:p w14:paraId="1B1E682E" w14:textId="77777777" w:rsidR="00520137" w:rsidRDefault="008937FE">
      <w:pPr>
        <w:pStyle w:val="AbstHead"/>
        <w:spacing w:after="0" w:line="276" w:lineRule="auto"/>
        <w:jc w:val="both"/>
        <w:rPr>
          <w:rFonts w:ascii="Arial" w:hAnsi="Arial" w:cs="Arial"/>
        </w:rPr>
      </w:pPr>
      <w:r>
        <w:rPr>
          <w:rFonts w:ascii="Arial" w:hAnsi="Arial" w:cs="Arial"/>
        </w:rPr>
        <w:t xml:space="preserve">ABSTRACT </w:t>
      </w:r>
    </w:p>
    <w:p w14:paraId="788F71B7" w14:textId="77777777" w:rsidR="00520137" w:rsidRDefault="00520137">
      <w:pPr>
        <w:pStyle w:val="AbstHead"/>
        <w:spacing w:after="0" w:line="276"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18"/>
      </w:tblGrid>
      <w:tr w:rsidR="00520137" w14:paraId="60B5F15A" w14:textId="77777777">
        <w:tc>
          <w:tcPr>
            <w:tcW w:w="9576" w:type="dxa"/>
            <w:shd w:val="clear" w:color="auto" w:fill="F2F2F2"/>
          </w:tcPr>
          <w:p w14:paraId="320A84D9" w14:textId="77777777" w:rsidR="00520137" w:rsidRDefault="008937FE">
            <w:pPr>
              <w:pStyle w:val="Body"/>
              <w:spacing w:after="0" w:line="276" w:lineRule="auto"/>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 xml:space="preserve">To study the agrometeorological indices, heat use efficiency and phenothermal index of summer groundnut cultivars </w:t>
            </w:r>
          </w:p>
          <w:p w14:paraId="58974CFA" w14:textId="77777777" w:rsidR="00520137" w:rsidRDefault="008937FE">
            <w:pPr>
              <w:pStyle w:val="Body"/>
              <w:spacing w:after="0" w:line="276" w:lineRule="auto"/>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Strip Plot Design</w:t>
            </w:r>
          </w:p>
          <w:p w14:paraId="3F70EBFC" w14:textId="3FB06EAB" w:rsidR="00520137" w:rsidRDefault="008937FE">
            <w:pPr>
              <w:pStyle w:val="Body"/>
              <w:spacing w:after="0" w:line="276" w:lineRule="auto"/>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w:t>
            </w:r>
            <w:r w:rsidR="00965C03">
              <w:rPr>
                <w:rFonts w:ascii="Arial" w:eastAsia="Calibri" w:hAnsi="Arial" w:cs="Arial"/>
                <w:szCs w:val="22"/>
              </w:rPr>
              <w:t xml:space="preserve">The experiment was taken in summer 2024 at </w:t>
            </w:r>
            <w:r>
              <w:rPr>
                <w:rFonts w:ascii="Arial" w:eastAsia="Calibri" w:hAnsi="Arial" w:cs="Arial"/>
                <w:szCs w:val="22"/>
              </w:rPr>
              <w:t>Instructional Farm, Department of Agronomy, College of Agriculture, Junagadh Agricultural University, Junagadh</w:t>
            </w:r>
          </w:p>
          <w:p w14:paraId="6A1A023A" w14:textId="23D4990F" w:rsidR="00520137" w:rsidRDefault="008937FE">
            <w:pPr>
              <w:pStyle w:val="Body"/>
              <w:spacing w:after="0" w:line="276" w:lineRule="auto"/>
              <w:rPr>
                <w:rFonts w:ascii="Arial" w:eastAsia="Calibri" w:hAnsi="Arial" w:cs="Arial"/>
                <w:szCs w:val="22"/>
              </w:rPr>
            </w:pPr>
            <w:r>
              <w:rPr>
                <w:rFonts w:ascii="Arial" w:eastAsia="Calibri" w:hAnsi="Arial" w:cs="Arial"/>
                <w:b/>
                <w:bCs/>
                <w:szCs w:val="22"/>
              </w:rPr>
              <w:t xml:space="preserve">Methodology: </w:t>
            </w:r>
            <w:r>
              <w:rPr>
                <w:rFonts w:ascii="Arial" w:eastAsia="Calibri" w:hAnsi="Arial" w:cs="Arial"/>
                <w:szCs w:val="22"/>
              </w:rPr>
              <w:t>The experiment contained three replication and twelve treatment combinations,</w:t>
            </w:r>
            <w:r>
              <w:rPr>
                <w:rFonts w:ascii="Times New Roman" w:eastAsiaTheme="minorHAnsi" w:hAnsi="Times New Roman"/>
                <w:kern w:val="2"/>
                <w:sz w:val="24"/>
                <w:lang w:val="en-IN" w:bidi="hi-IN"/>
                <w14:ligatures w14:val="standardContextual"/>
              </w:rPr>
              <w:t xml:space="preserve"> </w:t>
            </w:r>
            <w:r>
              <w:rPr>
                <w:rFonts w:ascii="Arial" w:eastAsia="Calibri" w:hAnsi="Arial" w:cs="Arial"/>
                <w:szCs w:val="22"/>
                <w:lang w:val="en-IN"/>
              </w:rPr>
              <w:t xml:space="preserve">where horizontal plot consisted of four different sowing dates </w:t>
            </w:r>
            <w:r>
              <w:rPr>
                <w:rFonts w:ascii="Arial" w:eastAsia="Calibri" w:hAnsi="Arial" w:cs="Arial"/>
                <w:i/>
                <w:iCs/>
                <w:szCs w:val="22"/>
                <w:lang w:val="en-IN"/>
              </w:rPr>
              <w:t>viz.,</w:t>
            </w:r>
            <w:r>
              <w:rPr>
                <w:rFonts w:ascii="Arial" w:eastAsia="Calibri" w:hAnsi="Arial" w:cs="Arial"/>
                <w:szCs w:val="22"/>
                <w:lang w:val="en-IN"/>
              </w:rPr>
              <w:t xml:space="preserve"> D</w:t>
            </w:r>
            <w:r>
              <w:rPr>
                <w:rFonts w:ascii="Arial" w:eastAsia="Calibri" w:hAnsi="Arial" w:cs="Arial"/>
                <w:szCs w:val="22"/>
                <w:vertAlign w:val="subscript"/>
                <w:lang w:val="en-IN"/>
              </w:rPr>
              <w:t>1</w:t>
            </w:r>
            <w:r>
              <w:rPr>
                <w:rFonts w:ascii="Arial" w:eastAsia="Calibri" w:hAnsi="Arial" w:cs="Arial"/>
                <w:szCs w:val="22"/>
                <w:lang w:val="en-IN"/>
              </w:rPr>
              <w:t>: 4</w:t>
            </w:r>
            <w:r>
              <w:rPr>
                <w:rFonts w:ascii="Arial" w:eastAsia="Calibri" w:hAnsi="Arial" w:cs="Arial"/>
                <w:szCs w:val="22"/>
                <w:vertAlign w:val="superscript"/>
                <w:lang w:val="en-IN"/>
              </w:rPr>
              <w:t>th</w:t>
            </w:r>
            <w:r>
              <w:rPr>
                <w:rFonts w:ascii="Arial" w:eastAsia="Calibri" w:hAnsi="Arial" w:cs="Arial"/>
                <w:szCs w:val="22"/>
                <w:lang w:val="en-IN"/>
              </w:rPr>
              <w:t xml:space="preserve"> SMW, D</w:t>
            </w:r>
            <w:r>
              <w:rPr>
                <w:rFonts w:ascii="Arial" w:eastAsia="Calibri" w:hAnsi="Arial" w:cs="Arial"/>
                <w:szCs w:val="22"/>
                <w:vertAlign w:val="subscript"/>
                <w:lang w:val="en-IN"/>
              </w:rPr>
              <w:t>2</w:t>
            </w:r>
            <w:r>
              <w:rPr>
                <w:rFonts w:ascii="Arial" w:eastAsia="Calibri" w:hAnsi="Arial" w:cs="Arial"/>
                <w:szCs w:val="22"/>
                <w:lang w:val="en-IN"/>
              </w:rPr>
              <w:t>: 6</w:t>
            </w:r>
            <w:r>
              <w:rPr>
                <w:rFonts w:ascii="Arial" w:eastAsia="Calibri" w:hAnsi="Arial" w:cs="Arial"/>
                <w:szCs w:val="22"/>
                <w:vertAlign w:val="superscript"/>
                <w:lang w:val="en-IN"/>
              </w:rPr>
              <w:t>th</w:t>
            </w:r>
            <w:r>
              <w:rPr>
                <w:rFonts w:ascii="Arial" w:eastAsia="Calibri" w:hAnsi="Arial" w:cs="Arial"/>
                <w:szCs w:val="22"/>
                <w:lang w:val="en-IN"/>
              </w:rPr>
              <w:t xml:space="preserve"> SMW, D</w:t>
            </w:r>
            <w:r>
              <w:rPr>
                <w:rFonts w:ascii="Arial" w:eastAsia="Calibri" w:hAnsi="Arial" w:cs="Arial"/>
                <w:szCs w:val="22"/>
                <w:vertAlign w:val="subscript"/>
                <w:lang w:val="en-IN"/>
              </w:rPr>
              <w:t>3</w:t>
            </w:r>
            <w:r>
              <w:rPr>
                <w:rFonts w:ascii="Arial" w:eastAsia="Calibri" w:hAnsi="Arial" w:cs="Arial"/>
                <w:szCs w:val="22"/>
                <w:lang w:val="en-IN"/>
              </w:rPr>
              <w:t>: 8</w:t>
            </w:r>
            <w:r>
              <w:rPr>
                <w:rFonts w:ascii="Arial" w:eastAsia="Calibri" w:hAnsi="Arial" w:cs="Arial"/>
                <w:szCs w:val="22"/>
                <w:vertAlign w:val="superscript"/>
                <w:lang w:val="en-IN"/>
              </w:rPr>
              <w:t>th</w:t>
            </w:r>
            <w:r>
              <w:rPr>
                <w:rFonts w:ascii="Arial" w:eastAsia="Calibri" w:hAnsi="Arial" w:cs="Arial"/>
                <w:szCs w:val="22"/>
                <w:lang w:val="en-IN"/>
              </w:rPr>
              <w:t xml:space="preserve"> SMW and D</w:t>
            </w:r>
            <w:r>
              <w:rPr>
                <w:rFonts w:ascii="Arial" w:eastAsia="Calibri" w:hAnsi="Arial" w:cs="Arial"/>
                <w:szCs w:val="22"/>
                <w:vertAlign w:val="subscript"/>
                <w:lang w:val="en-IN"/>
              </w:rPr>
              <w:t>4</w:t>
            </w:r>
            <w:r>
              <w:rPr>
                <w:rFonts w:ascii="Arial" w:eastAsia="Calibri" w:hAnsi="Arial" w:cs="Arial"/>
                <w:szCs w:val="22"/>
                <w:lang w:val="en-IN"/>
              </w:rPr>
              <w:t>: 10</w:t>
            </w:r>
            <w:r>
              <w:rPr>
                <w:rFonts w:ascii="Arial" w:eastAsia="Calibri" w:hAnsi="Arial" w:cs="Arial"/>
                <w:szCs w:val="22"/>
                <w:vertAlign w:val="superscript"/>
                <w:lang w:val="en-IN"/>
              </w:rPr>
              <w:t>th</w:t>
            </w:r>
            <w:r>
              <w:rPr>
                <w:rFonts w:ascii="Arial" w:eastAsia="Calibri" w:hAnsi="Arial" w:cs="Arial"/>
                <w:szCs w:val="22"/>
                <w:lang w:val="en-IN"/>
              </w:rPr>
              <w:t xml:space="preserve"> SMW and vertical plot consisted of three different groundnut varieties </w:t>
            </w:r>
            <w:r>
              <w:rPr>
                <w:rFonts w:ascii="Arial" w:eastAsia="Calibri" w:hAnsi="Arial" w:cs="Arial"/>
                <w:i/>
                <w:iCs/>
                <w:szCs w:val="22"/>
                <w:lang w:val="en-IN"/>
              </w:rPr>
              <w:t>viz.,</w:t>
            </w:r>
            <w:r>
              <w:rPr>
                <w:rFonts w:ascii="Arial" w:eastAsia="Calibri" w:hAnsi="Arial" w:cs="Arial"/>
                <w:szCs w:val="22"/>
                <w:lang w:val="en-IN"/>
              </w:rPr>
              <w:t xml:space="preserve"> V</w:t>
            </w:r>
            <w:r>
              <w:rPr>
                <w:rFonts w:ascii="Arial" w:eastAsia="Calibri" w:hAnsi="Arial" w:cs="Arial"/>
                <w:szCs w:val="22"/>
                <w:vertAlign w:val="subscript"/>
                <w:lang w:val="en-IN"/>
              </w:rPr>
              <w:t>1</w:t>
            </w:r>
            <w:r>
              <w:rPr>
                <w:rFonts w:ascii="Arial" w:eastAsia="Calibri" w:hAnsi="Arial" w:cs="Arial"/>
                <w:szCs w:val="22"/>
                <w:lang w:val="en-IN"/>
              </w:rPr>
              <w:t>: GJG-31, V</w:t>
            </w:r>
            <w:r>
              <w:rPr>
                <w:rFonts w:ascii="Arial" w:eastAsia="Calibri" w:hAnsi="Arial" w:cs="Arial"/>
                <w:szCs w:val="22"/>
                <w:vertAlign w:val="subscript"/>
                <w:lang w:val="en-IN"/>
              </w:rPr>
              <w:t>2</w:t>
            </w:r>
            <w:r>
              <w:rPr>
                <w:rFonts w:ascii="Arial" w:eastAsia="Calibri" w:hAnsi="Arial" w:cs="Arial"/>
                <w:szCs w:val="22"/>
                <w:lang w:val="en-IN"/>
              </w:rPr>
              <w:t>: GG-34 and V</w:t>
            </w:r>
            <w:r>
              <w:rPr>
                <w:rFonts w:ascii="Arial" w:eastAsia="Calibri" w:hAnsi="Arial" w:cs="Arial"/>
                <w:szCs w:val="22"/>
                <w:vertAlign w:val="subscript"/>
                <w:lang w:val="en-IN"/>
              </w:rPr>
              <w:t>3</w:t>
            </w:r>
            <w:r>
              <w:rPr>
                <w:rFonts w:ascii="Arial" w:eastAsia="Calibri" w:hAnsi="Arial" w:cs="Arial"/>
                <w:szCs w:val="22"/>
                <w:lang w:val="en-IN"/>
              </w:rPr>
              <w:t>: GG-37.</w:t>
            </w:r>
            <w:r>
              <w:rPr>
                <w:rFonts w:ascii="Arial" w:eastAsia="Calibri" w:hAnsi="Arial" w:cs="Arial"/>
                <w:szCs w:val="22"/>
              </w:rPr>
              <w:t xml:space="preserve"> </w:t>
            </w:r>
            <w:r>
              <w:rPr>
                <w:rFonts w:ascii="Arial" w:eastAsia="Calibri" w:hAnsi="Arial" w:cs="Arial"/>
                <w:szCs w:val="22"/>
                <w:lang w:val="en-IN"/>
              </w:rPr>
              <w:t xml:space="preserve">The study assessed several agrometeorological indices </w:t>
            </w:r>
            <w:r>
              <w:rPr>
                <w:rFonts w:ascii="Arial" w:eastAsia="Calibri" w:hAnsi="Arial" w:cs="Arial"/>
                <w:i/>
                <w:iCs/>
                <w:szCs w:val="22"/>
                <w:lang w:val="en-IN"/>
              </w:rPr>
              <w:t>viz.,</w:t>
            </w:r>
            <w:r>
              <w:rPr>
                <w:rFonts w:ascii="Arial" w:eastAsia="Calibri" w:hAnsi="Arial" w:cs="Arial"/>
                <w:szCs w:val="22"/>
                <w:lang w:val="en-IN"/>
              </w:rPr>
              <w:t xml:space="preserve"> Growing Degree Days (GDD), Photothermal Unit (PTU), Heliothermal Unit (HTU), Hygrothermal Unit-I (HgTU-I) and Hygrothermal Unit-II (HgTU-II). The study also evaluated the Heat Use Efficiency (HUE) and Phenothermal Index.</w:t>
            </w:r>
          </w:p>
          <w:p w14:paraId="02D4698E" w14:textId="77777777" w:rsidR="00520137" w:rsidRDefault="008937FE">
            <w:pPr>
              <w:pStyle w:val="Body"/>
              <w:spacing w:after="0" w:line="276" w:lineRule="auto"/>
              <w:rPr>
                <w:rFonts w:ascii="Arial" w:eastAsia="Calibri" w:hAnsi="Arial" w:cs="Arial"/>
                <w:szCs w:val="22"/>
                <w:lang w:val="en-IN"/>
              </w:rPr>
            </w:pPr>
            <w:r>
              <w:rPr>
                <w:rFonts w:ascii="Arial" w:eastAsia="Calibri" w:hAnsi="Arial" w:cs="Arial"/>
                <w:b/>
                <w:bCs/>
                <w:szCs w:val="22"/>
              </w:rPr>
              <w:t>Results:</w:t>
            </w:r>
            <w:r>
              <w:rPr>
                <w:rFonts w:ascii="Arial" w:eastAsia="Calibri" w:hAnsi="Arial" w:cs="Arial"/>
                <w:szCs w:val="22"/>
              </w:rPr>
              <w:t xml:space="preserve"> </w:t>
            </w:r>
            <w:r>
              <w:rPr>
                <w:rFonts w:ascii="Arial" w:eastAsia="Calibri" w:hAnsi="Arial" w:cs="Arial"/>
                <w:szCs w:val="22"/>
                <w:lang w:val="en-IN"/>
              </w:rPr>
              <w:t>The study also evaluated the Heat Use Efficiency (HUE) and Phenothermal Index. The results showed 4</w:t>
            </w:r>
            <w:r>
              <w:rPr>
                <w:rFonts w:ascii="Arial" w:eastAsia="Calibri" w:hAnsi="Arial" w:cs="Arial"/>
                <w:szCs w:val="22"/>
                <w:vertAlign w:val="superscript"/>
                <w:lang w:val="en-IN"/>
              </w:rPr>
              <w:t>th</w:t>
            </w:r>
            <w:r>
              <w:rPr>
                <w:rFonts w:ascii="Arial" w:eastAsia="Calibri" w:hAnsi="Arial" w:cs="Arial"/>
                <w:szCs w:val="22"/>
                <w:lang w:val="en-IN"/>
              </w:rPr>
              <w:t xml:space="preserve"> SMW sowing time takes the highest GDD (2230 </w:t>
            </w:r>
            <w:r>
              <w:rPr>
                <w:rFonts w:ascii="Cambria Math" w:eastAsia="Calibri" w:hAnsi="Cambria Math" w:cs="Cambria Math"/>
                <w:szCs w:val="22"/>
                <w:lang w:val="en-IN"/>
              </w:rPr>
              <w:t>℃</w:t>
            </w:r>
            <w:r>
              <w:rPr>
                <w:rFonts w:ascii="Arial" w:eastAsia="Calibri" w:hAnsi="Arial" w:cs="Arial"/>
                <w:szCs w:val="22"/>
                <w:lang w:val="en-IN"/>
              </w:rPr>
              <w:t xml:space="preserve"> day), PTU (27426 </w:t>
            </w:r>
            <w:r>
              <w:rPr>
                <w:rFonts w:ascii="Cambria Math" w:eastAsia="Calibri" w:hAnsi="Cambria Math" w:cs="Cambria Math"/>
                <w:szCs w:val="22"/>
                <w:lang w:val="en-IN"/>
              </w:rPr>
              <w:t>℃</w:t>
            </w:r>
            <w:r>
              <w:rPr>
                <w:rFonts w:ascii="Arial" w:eastAsia="Calibri" w:hAnsi="Arial" w:cs="Arial"/>
                <w:szCs w:val="22"/>
                <w:lang w:val="en-IN"/>
              </w:rPr>
              <w:t xml:space="preserve"> day hrs.), HTU (21579 </w:t>
            </w:r>
            <w:r>
              <w:rPr>
                <w:rFonts w:ascii="Cambria Math" w:eastAsia="Calibri" w:hAnsi="Cambria Math" w:cs="Cambria Math"/>
                <w:szCs w:val="22"/>
                <w:lang w:val="en-IN"/>
              </w:rPr>
              <w:t>℃</w:t>
            </w:r>
            <w:r>
              <w:rPr>
                <w:rFonts w:ascii="Arial" w:eastAsia="Calibri" w:hAnsi="Arial" w:cs="Arial"/>
                <w:szCs w:val="22"/>
                <w:lang w:val="en-IN"/>
              </w:rPr>
              <w:t xml:space="preserve"> day hrs.) and HgTU-I (151772 </w:t>
            </w:r>
            <w:r>
              <w:rPr>
                <w:rFonts w:ascii="Cambria Math" w:eastAsia="Calibri" w:hAnsi="Cambria Math" w:cs="Cambria Math"/>
                <w:szCs w:val="22"/>
                <w:lang w:val="en-IN"/>
              </w:rPr>
              <w:t>℃</w:t>
            </w:r>
            <w:r>
              <w:rPr>
                <w:rFonts w:ascii="Arial" w:eastAsia="Calibri" w:hAnsi="Arial" w:cs="Arial"/>
                <w:szCs w:val="22"/>
                <w:lang w:val="en-IN"/>
              </w:rPr>
              <w:t xml:space="preserve"> per cent) while  10</w:t>
            </w:r>
            <w:r>
              <w:rPr>
                <w:rFonts w:ascii="Arial" w:eastAsia="Calibri" w:hAnsi="Arial" w:cs="Arial"/>
                <w:szCs w:val="22"/>
                <w:vertAlign w:val="superscript"/>
                <w:lang w:val="en-IN"/>
              </w:rPr>
              <w:t>th</w:t>
            </w:r>
            <w:r>
              <w:rPr>
                <w:rFonts w:ascii="Arial" w:eastAsia="Calibri" w:hAnsi="Arial" w:cs="Arial"/>
                <w:szCs w:val="22"/>
                <w:lang w:val="en-IN"/>
              </w:rPr>
              <w:t xml:space="preserve"> SMW sowing time takes highest HgTU-II (54048 </w:t>
            </w:r>
            <w:r>
              <w:rPr>
                <w:rFonts w:ascii="Cambria Math" w:eastAsia="Calibri" w:hAnsi="Cambria Math" w:cs="Cambria Math"/>
                <w:szCs w:val="22"/>
                <w:lang w:val="en-IN"/>
              </w:rPr>
              <w:t>℃</w:t>
            </w:r>
            <w:r>
              <w:rPr>
                <w:rFonts w:ascii="Arial" w:eastAsia="Calibri" w:hAnsi="Arial" w:cs="Arial"/>
                <w:szCs w:val="22"/>
                <w:lang w:val="en-IN"/>
              </w:rPr>
              <w:t xml:space="preserve"> per cent). HUE is highest in 6</w:t>
            </w:r>
            <w:r>
              <w:rPr>
                <w:rFonts w:ascii="Arial" w:eastAsia="Calibri" w:hAnsi="Arial" w:cs="Arial"/>
                <w:szCs w:val="22"/>
                <w:vertAlign w:val="superscript"/>
                <w:lang w:val="en-IN"/>
              </w:rPr>
              <w:t>th</w:t>
            </w:r>
            <w:r>
              <w:rPr>
                <w:rFonts w:ascii="Arial" w:eastAsia="Calibri" w:hAnsi="Arial" w:cs="Arial"/>
                <w:szCs w:val="22"/>
                <w:lang w:val="en-IN"/>
              </w:rPr>
              <w:t xml:space="preserve"> SMW sowing time (1.16 kg ha</w:t>
            </w:r>
            <w:r>
              <w:rPr>
                <w:rFonts w:ascii="Arial" w:eastAsia="Calibri" w:hAnsi="Arial" w:cs="Arial"/>
                <w:szCs w:val="22"/>
                <w:vertAlign w:val="superscript"/>
                <w:lang w:val="en-IN"/>
              </w:rPr>
              <w:t>-1</w:t>
            </w:r>
            <w:r>
              <w:rPr>
                <w:rFonts w:ascii="Arial" w:eastAsia="Calibri" w:hAnsi="Arial" w:cs="Arial"/>
                <w:szCs w:val="22"/>
                <w:lang w:val="en-IN"/>
              </w:rPr>
              <w:t xml:space="preserve"> day</w:t>
            </w:r>
            <w:r>
              <w:rPr>
                <w:rFonts w:ascii="Arial" w:eastAsia="Calibri" w:hAnsi="Arial" w:cs="Arial"/>
                <w:szCs w:val="22"/>
                <w:vertAlign w:val="superscript"/>
                <w:lang w:val="en-IN"/>
              </w:rPr>
              <w:t>-1</w:t>
            </w:r>
            <w:r>
              <w:rPr>
                <w:rFonts w:ascii="Arial" w:eastAsia="Calibri" w:hAnsi="Arial" w:cs="Arial"/>
                <w:szCs w:val="22"/>
                <w:lang w:val="en-IN"/>
              </w:rPr>
              <w:t>) and Phenothermal Index is highest in 10</w:t>
            </w:r>
            <w:r>
              <w:rPr>
                <w:rFonts w:ascii="Arial" w:eastAsia="Calibri" w:hAnsi="Arial" w:cs="Arial"/>
                <w:szCs w:val="22"/>
                <w:vertAlign w:val="superscript"/>
                <w:lang w:val="en-IN"/>
              </w:rPr>
              <w:t>th</w:t>
            </w:r>
            <w:r>
              <w:rPr>
                <w:rFonts w:ascii="Arial" w:eastAsia="Calibri" w:hAnsi="Arial" w:cs="Arial"/>
                <w:szCs w:val="22"/>
                <w:lang w:val="en-IN"/>
              </w:rPr>
              <w:t xml:space="preserve"> SMW (19.94 </w:t>
            </w:r>
            <w:r>
              <w:rPr>
                <w:rFonts w:ascii="Cambria Math" w:eastAsia="Calibri" w:hAnsi="Cambria Math" w:cs="Cambria Math"/>
                <w:szCs w:val="22"/>
                <w:lang w:val="en-IN"/>
              </w:rPr>
              <w:t>℃</w:t>
            </w:r>
            <w:r>
              <w:rPr>
                <w:rFonts w:ascii="Arial" w:eastAsia="Calibri" w:hAnsi="Arial" w:cs="Arial"/>
                <w:szCs w:val="22"/>
                <w:lang w:val="en-IN"/>
              </w:rPr>
              <w:t xml:space="preserve"> day hrs./day). Among the varieties, GJG-31 variety takes lowest GDD (2107 </w:t>
            </w:r>
            <w:r>
              <w:rPr>
                <w:rFonts w:ascii="Cambria Math" w:eastAsia="Calibri" w:hAnsi="Cambria Math" w:cs="Cambria Math"/>
                <w:szCs w:val="22"/>
                <w:lang w:val="en-IN"/>
              </w:rPr>
              <w:t>℃</w:t>
            </w:r>
            <w:r>
              <w:rPr>
                <w:rFonts w:ascii="Arial" w:eastAsia="Calibri" w:hAnsi="Arial" w:cs="Arial"/>
                <w:szCs w:val="22"/>
                <w:lang w:val="en-IN"/>
              </w:rPr>
              <w:t xml:space="preserve"> day), PTU (26226 </w:t>
            </w:r>
            <w:r>
              <w:rPr>
                <w:rFonts w:ascii="Cambria Math" w:eastAsia="Calibri" w:hAnsi="Cambria Math" w:cs="Cambria Math"/>
                <w:szCs w:val="22"/>
                <w:lang w:val="en-IN"/>
              </w:rPr>
              <w:t>℃</w:t>
            </w:r>
            <w:r>
              <w:rPr>
                <w:rFonts w:ascii="Arial" w:eastAsia="Calibri" w:hAnsi="Arial" w:cs="Arial"/>
                <w:szCs w:val="22"/>
                <w:lang w:val="en-IN"/>
              </w:rPr>
              <w:t xml:space="preserve"> day hrs.), HTU (20082 </w:t>
            </w:r>
            <w:r>
              <w:rPr>
                <w:rFonts w:ascii="Cambria Math" w:eastAsia="Calibri" w:hAnsi="Cambria Math" w:cs="Cambria Math"/>
                <w:szCs w:val="22"/>
                <w:lang w:val="en-IN"/>
              </w:rPr>
              <w:t>℃</w:t>
            </w:r>
            <w:r>
              <w:rPr>
                <w:rFonts w:ascii="Arial" w:eastAsia="Calibri" w:hAnsi="Arial" w:cs="Arial"/>
                <w:szCs w:val="22"/>
                <w:lang w:val="en-IN"/>
              </w:rPr>
              <w:t xml:space="preserve"> day hrs.) and HgTU-I (142443 </w:t>
            </w:r>
            <w:r>
              <w:rPr>
                <w:rFonts w:ascii="Cambria Math" w:eastAsia="Calibri" w:hAnsi="Cambria Math" w:cs="Cambria Math"/>
                <w:szCs w:val="22"/>
                <w:lang w:val="en-IN"/>
              </w:rPr>
              <w:t>℃</w:t>
            </w:r>
            <w:r>
              <w:rPr>
                <w:rFonts w:ascii="Arial" w:eastAsia="Calibri" w:hAnsi="Arial" w:cs="Arial"/>
                <w:szCs w:val="22"/>
                <w:lang w:val="en-IN"/>
              </w:rPr>
              <w:t xml:space="preserve"> per cent), HgTU-II (48686 </w:t>
            </w:r>
            <w:r>
              <w:rPr>
                <w:rFonts w:ascii="Cambria Math" w:eastAsia="Calibri" w:hAnsi="Cambria Math" w:cs="Cambria Math"/>
                <w:szCs w:val="22"/>
                <w:lang w:val="en-IN"/>
              </w:rPr>
              <w:t>℃</w:t>
            </w:r>
            <w:r>
              <w:rPr>
                <w:rFonts w:ascii="Arial" w:eastAsia="Calibri" w:hAnsi="Arial" w:cs="Arial"/>
                <w:szCs w:val="22"/>
                <w:lang w:val="en-IN"/>
              </w:rPr>
              <w:t xml:space="preserve"> per cent)and Phenothermal Index (17.99 </w:t>
            </w:r>
            <w:r>
              <w:rPr>
                <w:rFonts w:ascii="Cambria Math" w:eastAsia="Calibri" w:hAnsi="Cambria Math" w:cs="Cambria Math"/>
                <w:szCs w:val="22"/>
                <w:lang w:val="en-IN"/>
              </w:rPr>
              <w:t>℃</w:t>
            </w:r>
            <w:r>
              <w:rPr>
                <w:rFonts w:ascii="Arial" w:eastAsia="Calibri" w:hAnsi="Arial" w:cs="Arial"/>
                <w:szCs w:val="22"/>
                <w:lang w:val="en-IN"/>
              </w:rPr>
              <w:t xml:space="preserve"> day hrs./day). GJG-31 have the highest heat use efficiency (1.1 kg ha</w:t>
            </w:r>
            <w:r>
              <w:rPr>
                <w:rFonts w:ascii="Arial" w:eastAsia="Calibri" w:hAnsi="Arial" w:cs="Arial"/>
                <w:szCs w:val="22"/>
                <w:vertAlign w:val="superscript"/>
                <w:lang w:val="en-IN"/>
              </w:rPr>
              <w:t>-1</w:t>
            </w:r>
            <w:r>
              <w:rPr>
                <w:rFonts w:ascii="Arial" w:eastAsia="Calibri" w:hAnsi="Arial" w:cs="Arial"/>
                <w:szCs w:val="22"/>
                <w:lang w:val="en-IN"/>
              </w:rPr>
              <w:t xml:space="preserve"> day</w:t>
            </w:r>
            <w:r>
              <w:rPr>
                <w:rFonts w:ascii="Arial" w:eastAsia="Calibri" w:hAnsi="Arial" w:cs="Arial"/>
                <w:szCs w:val="22"/>
                <w:vertAlign w:val="superscript"/>
                <w:lang w:val="en-IN"/>
              </w:rPr>
              <w:t>-1</w:t>
            </w:r>
            <w:r>
              <w:rPr>
                <w:rFonts w:ascii="Arial" w:eastAsia="Calibri" w:hAnsi="Arial" w:cs="Arial"/>
                <w:szCs w:val="22"/>
                <w:lang w:val="en-IN"/>
              </w:rPr>
              <w:t>).</w:t>
            </w:r>
          </w:p>
          <w:p w14:paraId="29E21114" w14:textId="77777777" w:rsidR="00520137" w:rsidRDefault="008937FE">
            <w:pPr>
              <w:pStyle w:val="Body"/>
              <w:spacing w:after="0" w:line="276" w:lineRule="auto"/>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Based on this experiment it can be concluded that </w:t>
            </w:r>
            <w:r>
              <w:rPr>
                <w:rFonts w:ascii="Arial" w:eastAsia="Calibri" w:hAnsi="Arial" w:cs="Arial"/>
                <w:szCs w:val="22"/>
                <w:lang w:val="en-IN"/>
              </w:rPr>
              <w:t xml:space="preserve">the GDD, HTU, PTU and </w:t>
            </w:r>
            <w:r>
              <w:rPr>
                <w:rFonts w:ascii="Arial" w:eastAsia="Calibri" w:hAnsi="Arial" w:cs="Arial"/>
                <w:bCs/>
                <w:szCs w:val="22"/>
                <w:lang w:val="en-IN"/>
              </w:rPr>
              <w:t>HgTU-I</w:t>
            </w:r>
            <w:r>
              <w:rPr>
                <w:rFonts w:ascii="Arial" w:eastAsia="Calibri" w:hAnsi="Arial" w:cs="Arial"/>
                <w:szCs w:val="22"/>
                <w:lang w:val="en-IN"/>
              </w:rPr>
              <w:t xml:space="preserve"> decreased with delay in sowing and it was highest in 4</w:t>
            </w:r>
            <w:r>
              <w:rPr>
                <w:rFonts w:ascii="Arial" w:eastAsia="Calibri" w:hAnsi="Arial" w:cs="Arial"/>
                <w:szCs w:val="22"/>
                <w:vertAlign w:val="superscript"/>
                <w:lang w:val="en-IN"/>
              </w:rPr>
              <w:t>th</w:t>
            </w:r>
            <w:r>
              <w:rPr>
                <w:rFonts w:ascii="Arial" w:eastAsia="Calibri" w:hAnsi="Arial" w:cs="Arial"/>
                <w:szCs w:val="22"/>
                <w:lang w:val="en-IN"/>
              </w:rPr>
              <w:t xml:space="preserve"> SMW</w:t>
            </w:r>
            <w:r>
              <w:rPr>
                <w:rFonts w:ascii="Arial" w:eastAsia="Calibri" w:hAnsi="Arial" w:cs="Arial"/>
                <w:bCs/>
                <w:szCs w:val="22"/>
                <w:lang w:val="en-IN"/>
              </w:rPr>
              <w:t>. The highest HgTU-II and phenothermal index was observed in 10</w:t>
            </w:r>
            <w:r>
              <w:rPr>
                <w:rFonts w:ascii="Arial" w:eastAsia="Calibri" w:hAnsi="Arial" w:cs="Arial"/>
                <w:bCs/>
                <w:szCs w:val="22"/>
                <w:vertAlign w:val="superscript"/>
                <w:lang w:val="en-IN"/>
              </w:rPr>
              <w:t>th</w:t>
            </w:r>
            <w:r>
              <w:rPr>
                <w:rFonts w:ascii="Arial" w:eastAsia="Calibri" w:hAnsi="Arial" w:cs="Arial"/>
                <w:bCs/>
                <w:szCs w:val="22"/>
                <w:lang w:val="en-IN"/>
              </w:rPr>
              <w:t xml:space="preserve"> SMW. HUE was found highest in the 6</w:t>
            </w:r>
            <w:r>
              <w:rPr>
                <w:rFonts w:ascii="Arial" w:eastAsia="Calibri" w:hAnsi="Arial" w:cs="Arial"/>
                <w:bCs/>
                <w:szCs w:val="22"/>
                <w:vertAlign w:val="superscript"/>
                <w:lang w:val="en-IN"/>
              </w:rPr>
              <w:t>th</w:t>
            </w:r>
            <w:r>
              <w:rPr>
                <w:rFonts w:ascii="Arial" w:eastAsia="Calibri" w:hAnsi="Arial" w:cs="Arial"/>
                <w:bCs/>
                <w:szCs w:val="22"/>
                <w:lang w:val="en-IN"/>
              </w:rPr>
              <w:t xml:space="preserve"> SMW. Among the varieties, GJG-31 variety takes lowest agrometeorological indices and Phenothermal Index to reach the maturity respectively and had the highest HUE. </w:t>
            </w:r>
          </w:p>
        </w:tc>
      </w:tr>
    </w:tbl>
    <w:p w14:paraId="3EF8E64F" w14:textId="77777777" w:rsidR="00520137" w:rsidRDefault="00520137">
      <w:pPr>
        <w:pStyle w:val="Body"/>
        <w:spacing w:after="0" w:line="276" w:lineRule="auto"/>
        <w:rPr>
          <w:rFonts w:ascii="Arial" w:hAnsi="Arial" w:cs="Arial"/>
          <w:i/>
        </w:rPr>
      </w:pPr>
    </w:p>
    <w:p w14:paraId="6DA82BA7" w14:textId="77777777" w:rsidR="00520137" w:rsidRDefault="008937FE">
      <w:pPr>
        <w:pStyle w:val="Body"/>
        <w:spacing w:after="0" w:line="276" w:lineRule="auto"/>
        <w:rPr>
          <w:rFonts w:ascii="Arial" w:hAnsi="Arial" w:cs="Arial"/>
          <w:i/>
          <w:lang w:val="en-IN"/>
        </w:rPr>
      </w:pPr>
      <w:r>
        <w:rPr>
          <w:rFonts w:ascii="Arial" w:hAnsi="Arial" w:cs="Arial"/>
          <w:i/>
        </w:rPr>
        <w:t xml:space="preserve">Keywords: </w:t>
      </w:r>
      <w:r>
        <w:rPr>
          <w:rFonts w:ascii="Arial" w:hAnsi="Arial" w:cs="Arial"/>
          <w:i/>
          <w:lang w:val="en-IN"/>
        </w:rPr>
        <w:t>Summer groundnut, Agrometeorological indices, Heat Use Efficiency, GJG-31</w:t>
      </w:r>
    </w:p>
    <w:p w14:paraId="679FA665" w14:textId="77777777" w:rsidR="00520137" w:rsidRDefault="00520137">
      <w:pPr>
        <w:pStyle w:val="Body"/>
        <w:spacing w:after="0" w:line="276" w:lineRule="auto"/>
        <w:rPr>
          <w:rFonts w:ascii="Arial" w:hAnsi="Arial" w:cs="Arial"/>
        </w:rPr>
      </w:pPr>
    </w:p>
    <w:p w14:paraId="72BF4CED" w14:textId="77777777" w:rsidR="00520137" w:rsidRDefault="008937FE">
      <w:pPr>
        <w:pStyle w:val="AbstHead"/>
        <w:spacing w:after="0" w:line="276" w:lineRule="auto"/>
        <w:jc w:val="both"/>
        <w:rPr>
          <w:rFonts w:ascii="Arial" w:hAnsi="Arial" w:cs="Arial"/>
        </w:rPr>
      </w:pPr>
      <w:r>
        <w:rPr>
          <w:rFonts w:ascii="Arial" w:hAnsi="Arial" w:cs="Arial"/>
        </w:rPr>
        <w:lastRenderedPageBreak/>
        <w:t xml:space="preserve">1. INTRODUCTION </w:t>
      </w:r>
    </w:p>
    <w:p w14:paraId="2FF710F1" w14:textId="77777777" w:rsidR="00520137" w:rsidRDefault="00520137">
      <w:pPr>
        <w:pStyle w:val="AbstHead"/>
        <w:spacing w:after="0" w:line="276" w:lineRule="auto"/>
        <w:jc w:val="both"/>
        <w:rPr>
          <w:rFonts w:ascii="Arial" w:hAnsi="Arial" w:cs="Arial"/>
        </w:rPr>
      </w:pPr>
    </w:p>
    <w:p w14:paraId="3451B64F" w14:textId="77777777" w:rsidR="00520137" w:rsidRDefault="008937FE">
      <w:pPr>
        <w:pStyle w:val="Body"/>
        <w:spacing w:line="276" w:lineRule="auto"/>
        <w:ind w:firstLine="720"/>
        <w:rPr>
          <w:rFonts w:ascii="Arial" w:hAnsi="Arial" w:cs="Arial"/>
          <w:lang w:val="en-IN"/>
        </w:rPr>
      </w:pPr>
      <w:r>
        <w:rPr>
          <w:rFonts w:ascii="Arial" w:hAnsi="Arial" w:cs="Arial"/>
          <w:lang w:val="en-IN"/>
        </w:rPr>
        <w:t xml:space="preserve">Groundnut </w:t>
      </w:r>
      <w:r>
        <w:rPr>
          <w:rFonts w:ascii="Arial" w:hAnsi="Arial" w:cs="Arial"/>
          <w:bCs/>
          <w:lang w:val="en-IN"/>
        </w:rPr>
        <w:t>(</w:t>
      </w:r>
      <w:r>
        <w:rPr>
          <w:rFonts w:ascii="Arial" w:hAnsi="Arial" w:cs="Arial"/>
          <w:bCs/>
          <w:i/>
          <w:iCs/>
          <w:lang w:val="en-IN"/>
        </w:rPr>
        <w:t>Arachis hypogaea</w:t>
      </w:r>
      <w:r>
        <w:rPr>
          <w:rFonts w:ascii="Arial" w:hAnsi="Arial" w:cs="Arial"/>
          <w:bCs/>
          <w:lang w:val="en-IN"/>
        </w:rPr>
        <w:t xml:space="preserve"> L.) is an annual legume crop which belongs to family </w:t>
      </w:r>
      <w:r>
        <w:rPr>
          <w:rFonts w:ascii="Arial" w:hAnsi="Arial" w:cs="Arial"/>
          <w:bCs/>
          <w:i/>
          <w:iCs/>
          <w:lang w:val="en-IN"/>
        </w:rPr>
        <w:t>Leguminosae</w:t>
      </w:r>
      <w:r>
        <w:rPr>
          <w:rFonts w:ascii="Arial" w:hAnsi="Arial" w:cs="Arial"/>
          <w:bCs/>
          <w:lang w:val="en-IN"/>
        </w:rPr>
        <w:t xml:space="preserve"> and have its origin in South America. It is a major oilseed of tropical and subtropical countries. It is commonly known as peanut, earthnut, monkey nut and goobers. It is the 13</w:t>
      </w:r>
      <w:r>
        <w:rPr>
          <w:rFonts w:ascii="Arial" w:hAnsi="Arial" w:cs="Arial"/>
          <w:bCs/>
          <w:vertAlign w:val="superscript"/>
          <w:lang w:val="en-IN"/>
        </w:rPr>
        <w:t>th</w:t>
      </w:r>
      <w:r>
        <w:rPr>
          <w:rFonts w:ascii="Arial" w:hAnsi="Arial" w:cs="Arial"/>
          <w:bCs/>
          <w:lang w:val="en-IN"/>
        </w:rPr>
        <w:t xml:space="preserve"> most important food crop and 4</w:t>
      </w:r>
      <w:r>
        <w:rPr>
          <w:rFonts w:ascii="Arial" w:hAnsi="Arial" w:cs="Arial"/>
          <w:bCs/>
          <w:vertAlign w:val="superscript"/>
          <w:lang w:val="en-IN"/>
        </w:rPr>
        <w:t>th</w:t>
      </w:r>
      <w:r>
        <w:rPr>
          <w:rFonts w:ascii="Arial" w:hAnsi="Arial" w:cs="Arial"/>
          <w:bCs/>
          <w:lang w:val="en-IN"/>
        </w:rPr>
        <w:t xml:space="preserve"> most important oilseed crop of the world (</w:t>
      </w:r>
      <w:r>
        <w:rPr>
          <w:rFonts w:ascii="Arial" w:hAnsi="Arial" w:cs="Arial"/>
          <w:lang w:val="en-IN"/>
        </w:rPr>
        <w:t xml:space="preserve">Kumar </w:t>
      </w:r>
      <w:r>
        <w:rPr>
          <w:rFonts w:ascii="Arial" w:hAnsi="Arial" w:cs="Arial"/>
          <w:i/>
          <w:iCs/>
          <w:lang w:val="en-IN"/>
        </w:rPr>
        <w:t>et al.</w:t>
      </w:r>
      <w:r>
        <w:rPr>
          <w:rFonts w:ascii="Arial" w:hAnsi="Arial" w:cs="Arial"/>
          <w:lang w:val="en-IN"/>
        </w:rPr>
        <w:t>, 2017).</w:t>
      </w:r>
      <w:r>
        <w:rPr>
          <w:rFonts w:ascii="Arial" w:hAnsi="Arial" w:cs="Arial"/>
        </w:rPr>
        <w:t xml:space="preserve"> Groundnut kernels are an excellent source of plant protein, which is nearly about 27 to 33 per cent and contain 45 to 50 per cent oil, as well as essential minerals, carbohydrates and vitamins. They play an important role in the dietary requirements for poor women and children and haulms are used as livestock feed. Groundnut oil is composed of mixed glycerides and contains a high proportion of unsaturated fatty acids </w:t>
      </w:r>
      <w:r>
        <w:rPr>
          <w:rFonts w:ascii="Arial" w:hAnsi="Arial" w:cs="Arial"/>
          <w:i/>
          <w:iCs/>
        </w:rPr>
        <w:t>viz.,</w:t>
      </w:r>
      <w:r>
        <w:rPr>
          <w:rFonts w:ascii="Arial" w:hAnsi="Arial" w:cs="Arial"/>
        </w:rPr>
        <w:t xml:space="preserve"> oleic acid (50 to 65 %) and linoleic acid (18 to 30 %) (Young, 1996). The by-products of this crop like haulm and cake have good nutritive value. The groundnut cake obtained after groundnut oil extraction is rich in protein and considered as valuable organic manure and animal feed, which contains 7 to 8 per cent N, 1.5 per cent P</w:t>
      </w:r>
      <w:r>
        <w:rPr>
          <w:rFonts w:ascii="Arial" w:hAnsi="Arial" w:cs="Arial"/>
          <w:vertAlign w:val="subscript"/>
        </w:rPr>
        <w:t>2</w:t>
      </w:r>
      <w:r>
        <w:rPr>
          <w:rFonts w:ascii="Arial" w:hAnsi="Arial" w:cs="Arial"/>
        </w:rPr>
        <w:t>O</w:t>
      </w:r>
      <w:r>
        <w:rPr>
          <w:rFonts w:ascii="Arial" w:hAnsi="Arial" w:cs="Arial"/>
          <w:vertAlign w:val="subscript"/>
        </w:rPr>
        <w:t xml:space="preserve">5 </w:t>
      </w:r>
      <w:r>
        <w:rPr>
          <w:rFonts w:ascii="Arial" w:hAnsi="Arial" w:cs="Arial"/>
        </w:rPr>
        <w:t>and 1 per cent K</w:t>
      </w:r>
      <w:r>
        <w:rPr>
          <w:rFonts w:ascii="Arial" w:hAnsi="Arial" w:cs="Arial"/>
          <w:vertAlign w:val="subscript"/>
        </w:rPr>
        <w:t>2</w:t>
      </w:r>
      <w:r>
        <w:rPr>
          <w:rFonts w:ascii="Arial" w:hAnsi="Arial" w:cs="Arial"/>
        </w:rPr>
        <w:t xml:space="preserve">O. Some industrial products like paints, varnishes, soap and lubricating oils are also manufactured from groundnut. </w:t>
      </w:r>
      <w:r>
        <w:rPr>
          <w:rFonts w:ascii="Arial" w:hAnsi="Arial" w:cs="Arial"/>
          <w:lang w:val="en-IN"/>
        </w:rPr>
        <w:t xml:space="preserve">In India, total area under groundnut cultivation was 4.7 million hectares and total production was 10.2 million tonnes with productivity of 2163 kg/ha during the year 2023-24 (DA&amp;FW, 2024a). Among the major groundnut growing states in India, Gujarat ranks first in area and production with area of 1.7 million hectares and production of 4.6 million tonnes. Gujarat also ranks first in productivity with yield of 2739 kg/ha (DA&amp;FW, 2024b). Plant development and growth are complex responses to a variety of agrometeorological factors. Crop production in a given location is influenced by a number of factors, the most important of which is the weather. Temperature is the prime weather variable which affects plant life. Temperature is also one of the primary microclimatic factors driving the rates of plant growth. Plant has a definite temperature requirement before they attain certain phenological stages. Heat unit concept is the agronomic application of temperature effect on plant, which has been employed to correlate phenological development in crops and to predict maturity dates. Plants need a certain amount of heat to progress from one stage of their life cycle to the next, such as from emergence to leaf development. The accumulation of heat over time, according to research provides a more accurate physiological approximation than counting calendar days. Identifying meteorological suitable time of sowing for summer groundnut is important to have proper growth and development of plants. Different heat indices based on air temperature, such as growing degree days (GDD), photothermal units (PTU), heliothermal units (HTU), Hygrothermal Units (HgTU) and phenothermal index have been utilized to explain variations in phenological patterns and growth parameters. Measuring heat use efficiency (HUE) can help us determine how well a crop can produce yields in various growing conditions (Kingra and Kaur, 2011). In this study, our goal is to determine the best time to plant summer groundnut, how much heat they need and how efficiently they use that heat to grow. </w:t>
      </w:r>
    </w:p>
    <w:p w14:paraId="3DCBB67D" w14:textId="77777777" w:rsidR="00520137" w:rsidRDefault="008937FE">
      <w:pPr>
        <w:pStyle w:val="AbstHead"/>
        <w:spacing w:after="0" w:line="276" w:lineRule="auto"/>
        <w:jc w:val="both"/>
        <w:rPr>
          <w:rFonts w:ascii="Arial" w:hAnsi="Arial" w:cs="Arial"/>
        </w:rPr>
      </w:pPr>
      <w:r>
        <w:rPr>
          <w:rFonts w:ascii="Arial" w:hAnsi="Arial" w:cs="Arial"/>
        </w:rPr>
        <w:t xml:space="preserve">2. material and methods </w:t>
      </w:r>
    </w:p>
    <w:p w14:paraId="4B249F51" w14:textId="77777777" w:rsidR="00520137" w:rsidRDefault="00520137">
      <w:pPr>
        <w:pStyle w:val="AbstHead"/>
        <w:spacing w:after="0" w:line="276" w:lineRule="auto"/>
        <w:jc w:val="both"/>
        <w:rPr>
          <w:rFonts w:ascii="Arial" w:hAnsi="Arial" w:cs="Arial"/>
        </w:rPr>
      </w:pPr>
    </w:p>
    <w:p w14:paraId="5700D252" w14:textId="77777777" w:rsidR="00520137" w:rsidRDefault="008937FE">
      <w:pPr>
        <w:pStyle w:val="Body"/>
        <w:spacing w:after="0" w:line="276" w:lineRule="auto"/>
        <w:ind w:firstLine="720"/>
        <w:rPr>
          <w:rFonts w:ascii="Arial" w:hAnsi="Arial" w:cs="Arial"/>
          <w:lang w:val="en-IN"/>
        </w:rPr>
      </w:pPr>
      <w:r>
        <w:rPr>
          <w:rFonts w:ascii="Arial" w:hAnsi="Arial" w:cs="Arial"/>
          <w:lang w:val="en-IN"/>
        </w:rPr>
        <w:t xml:space="preserve">The experiment was conducted in C-6 plot of Instructional Farm, Department of Agronomy, College of Agriculture, Junagadh Agricultural University, Junagadh, Gujarat, </w:t>
      </w:r>
      <w:r>
        <w:rPr>
          <w:rFonts w:ascii="Arial" w:hAnsi="Arial" w:cs="Arial"/>
          <w:lang w:val="en-IN"/>
        </w:rPr>
        <w:lastRenderedPageBreak/>
        <w:t>India (21.5°N latitude and 70.5°E longitude and 60 m above the mean sea level) during summer season of 2024. This site is located in the South Saurashtra Agro-Climatic Zone of Gujarat. The experimental field has an even topography with a gentle slope having good drainage. The soil samples were taken randomly from experimental plot to a depth of 0-15. The soil was clayey in texture, medium in organic carbon (0.58 %), medium in available phosphorus (29.6 kg/ha) and available potash (224 kg/ha) with average nitrogen (247 kg/ha). Its pH was alkaline (8.31) and low in soluble salts. The experimental design followed a strip plot design with four different sowing dates as horizontal plot treatments and three groundnut varieties as vertical plot treatment with three replications. The treatments consisted of four sowing dates : D</w:t>
      </w:r>
      <w:r>
        <w:rPr>
          <w:rFonts w:ascii="Arial" w:hAnsi="Arial" w:cs="Arial"/>
          <w:vertAlign w:val="subscript"/>
          <w:lang w:val="en-IN"/>
        </w:rPr>
        <w:t>1</w:t>
      </w:r>
      <w:r>
        <w:rPr>
          <w:rFonts w:ascii="Arial" w:hAnsi="Arial" w:cs="Arial"/>
          <w:lang w:val="en-IN"/>
        </w:rPr>
        <w:t xml:space="preserve"> : 4</w:t>
      </w:r>
      <w:r>
        <w:rPr>
          <w:rFonts w:ascii="Arial" w:hAnsi="Arial" w:cs="Arial"/>
          <w:vertAlign w:val="superscript"/>
          <w:lang w:val="en-IN"/>
        </w:rPr>
        <w:t>th</w:t>
      </w:r>
      <w:r>
        <w:rPr>
          <w:rFonts w:ascii="Arial" w:hAnsi="Arial" w:cs="Arial"/>
          <w:lang w:val="en-IN"/>
        </w:rPr>
        <w:t xml:space="preserve"> SMW, D</w:t>
      </w:r>
      <w:r>
        <w:rPr>
          <w:rFonts w:ascii="Arial" w:hAnsi="Arial" w:cs="Arial"/>
          <w:vertAlign w:val="subscript"/>
          <w:lang w:val="en-IN"/>
        </w:rPr>
        <w:t>2</w:t>
      </w:r>
      <w:r>
        <w:rPr>
          <w:rFonts w:ascii="Arial" w:hAnsi="Arial" w:cs="Arial"/>
          <w:lang w:val="en-IN"/>
        </w:rPr>
        <w:t xml:space="preserve"> : 6</w:t>
      </w:r>
      <w:r>
        <w:rPr>
          <w:rFonts w:ascii="Arial" w:hAnsi="Arial" w:cs="Arial"/>
          <w:vertAlign w:val="superscript"/>
          <w:lang w:val="en-IN"/>
        </w:rPr>
        <w:t>th</w:t>
      </w:r>
      <w:r>
        <w:rPr>
          <w:rFonts w:ascii="Arial" w:hAnsi="Arial" w:cs="Arial"/>
          <w:lang w:val="en-IN"/>
        </w:rPr>
        <w:t xml:space="preserve"> SMW, D</w:t>
      </w:r>
      <w:r>
        <w:rPr>
          <w:rFonts w:ascii="Arial" w:hAnsi="Arial" w:cs="Arial"/>
          <w:vertAlign w:val="subscript"/>
          <w:lang w:val="en-IN"/>
        </w:rPr>
        <w:t>3</w:t>
      </w:r>
      <w:r>
        <w:rPr>
          <w:rFonts w:ascii="Arial" w:hAnsi="Arial" w:cs="Arial"/>
          <w:lang w:val="en-IN"/>
        </w:rPr>
        <w:t xml:space="preserve"> : 8</w:t>
      </w:r>
      <w:r>
        <w:rPr>
          <w:rFonts w:ascii="Arial" w:hAnsi="Arial" w:cs="Arial"/>
          <w:vertAlign w:val="superscript"/>
          <w:lang w:val="en-IN"/>
        </w:rPr>
        <w:t>th</w:t>
      </w:r>
      <w:r>
        <w:rPr>
          <w:rFonts w:ascii="Arial" w:hAnsi="Arial" w:cs="Arial"/>
          <w:lang w:val="en-IN"/>
        </w:rPr>
        <w:t xml:space="preserve"> SMW and D</w:t>
      </w:r>
      <w:r>
        <w:rPr>
          <w:rFonts w:ascii="Arial" w:hAnsi="Arial" w:cs="Arial"/>
          <w:vertAlign w:val="subscript"/>
          <w:lang w:val="en-IN"/>
        </w:rPr>
        <w:t>4</w:t>
      </w:r>
      <w:r>
        <w:rPr>
          <w:rFonts w:ascii="Arial" w:hAnsi="Arial" w:cs="Arial"/>
          <w:lang w:val="en-IN"/>
        </w:rPr>
        <w:t xml:space="preserve"> : 10</w:t>
      </w:r>
      <w:r>
        <w:rPr>
          <w:rFonts w:ascii="Arial" w:hAnsi="Arial" w:cs="Arial"/>
          <w:vertAlign w:val="superscript"/>
          <w:lang w:val="en-IN"/>
        </w:rPr>
        <w:t>th</w:t>
      </w:r>
      <w:r>
        <w:rPr>
          <w:rFonts w:ascii="Arial" w:hAnsi="Arial" w:cs="Arial"/>
          <w:lang w:val="en-IN"/>
        </w:rPr>
        <w:t xml:space="preserve"> SMW and three varieties: GJG-31, GG-34 and GG-37. The recommended dose of nitrogen, phosphorus and potassium (N: P</w:t>
      </w:r>
      <w:r>
        <w:rPr>
          <w:rFonts w:ascii="Arial" w:hAnsi="Arial" w:cs="Arial"/>
          <w:vertAlign w:val="subscript"/>
          <w:lang w:val="en-IN"/>
        </w:rPr>
        <w:t>2</w:t>
      </w:r>
      <w:r>
        <w:rPr>
          <w:rFonts w:ascii="Arial" w:hAnsi="Arial" w:cs="Arial"/>
          <w:lang w:val="en-IN"/>
        </w:rPr>
        <w:t>O</w:t>
      </w:r>
      <w:r>
        <w:rPr>
          <w:rFonts w:ascii="Arial" w:hAnsi="Arial" w:cs="Arial"/>
          <w:vertAlign w:val="subscript"/>
          <w:lang w:val="en-IN"/>
        </w:rPr>
        <w:t>5</w:t>
      </w:r>
      <w:r>
        <w:rPr>
          <w:rFonts w:ascii="Arial" w:hAnsi="Arial" w:cs="Arial"/>
          <w:lang w:val="en-IN"/>
        </w:rPr>
        <w:t>: K</w:t>
      </w:r>
      <w:r>
        <w:rPr>
          <w:rFonts w:ascii="Arial" w:hAnsi="Arial" w:cs="Arial"/>
          <w:vertAlign w:val="subscript"/>
          <w:lang w:val="en-IN"/>
        </w:rPr>
        <w:t>2</w:t>
      </w:r>
      <w:r>
        <w:rPr>
          <w:rFonts w:ascii="Arial" w:hAnsi="Arial" w:cs="Arial"/>
          <w:lang w:val="en-IN"/>
        </w:rPr>
        <w:t xml:space="preserve">O @ 25:50:50 kg/ha) was applied through urea, DAP and MOP. Entire dose was applied to all the plots as basal dose in furrow prior to sowing. The seed were treated with fungicide Vitavex powder (Carboxin 37.5% + Thiram 37.5% WS) @ 3 g/kg of seed mixed properly before sowing. The seeds of groundnut varieties were sown at the distance of 45 cm between the rows @ 120 kg/ha. The first irrigation was given just after sowing and remaining irrigations were given as and when required by the crop. Weed management was done by hand weeding and interculturing at 30 and 45 DAS respectively. The crop experienced iron deficiency which was controlled by application of 100 g ferrous sulphate with 10 g citric acid in 10 L of water. The crop was also infested by sucking pest at vegetative stage which was controlled by application of </w:t>
      </w:r>
      <w:proofErr w:type="spellStart"/>
      <w:r>
        <w:rPr>
          <w:rFonts w:ascii="Arial" w:hAnsi="Arial" w:cs="Arial"/>
          <w:lang w:val="en-IN"/>
        </w:rPr>
        <w:t>Rogor</w:t>
      </w:r>
      <w:proofErr w:type="spellEnd"/>
      <w:r>
        <w:rPr>
          <w:rFonts w:ascii="Arial" w:hAnsi="Arial" w:cs="Arial"/>
          <w:lang w:val="en-IN"/>
        </w:rPr>
        <w:t xml:space="preserve"> (Dimethoate 30% EC) @ 2 mL/L. The harvesting of the crop was done at physiological maturity manually. Weather parameters </w:t>
      </w:r>
      <w:r>
        <w:rPr>
          <w:rFonts w:ascii="Arial" w:hAnsi="Arial" w:cs="Arial"/>
          <w:i/>
          <w:iCs/>
          <w:lang w:val="en-IN"/>
        </w:rPr>
        <w:t>viz</w:t>
      </w:r>
      <w:r>
        <w:rPr>
          <w:rFonts w:ascii="Arial" w:hAnsi="Arial" w:cs="Arial"/>
          <w:lang w:val="en-IN"/>
        </w:rPr>
        <w:t>., maximum temperature (T</w:t>
      </w:r>
      <w:r>
        <w:rPr>
          <w:rFonts w:ascii="Arial" w:hAnsi="Arial" w:cs="Arial"/>
          <w:vertAlign w:val="subscript"/>
          <w:lang w:val="en-IN"/>
        </w:rPr>
        <w:t>max</w:t>
      </w:r>
      <w:r>
        <w:rPr>
          <w:rFonts w:ascii="Arial" w:hAnsi="Arial" w:cs="Arial"/>
          <w:lang w:val="en-IN"/>
        </w:rPr>
        <w:t>), minimum temperature (Tmin), Relative humidity (RH I &amp; RH II), Bright sunshine hours (BSS) were recorded at the agrometeorological observatory located near the experiment field. The</w:t>
      </w:r>
      <w:r>
        <w:rPr>
          <w:rFonts w:ascii="Arial" w:hAnsi="Arial" w:cs="Arial"/>
          <w:lang w:val="en-IN"/>
        </w:rPr>
        <w:br/>
        <w:t xml:space="preserve">agrometeorological indices </w:t>
      </w:r>
      <w:r>
        <w:rPr>
          <w:rFonts w:ascii="Arial" w:hAnsi="Arial" w:cs="Arial"/>
          <w:i/>
          <w:iCs/>
          <w:lang w:val="en-IN"/>
        </w:rPr>
        <w:t>viz</w:t>
      </w:r>
      <w:r>
        <w:rPr>
          <w:rFonts w:ascii="Arial" w:hAnsi="Arial" w:cs="Arial"/>
          <w:lang w:val="en-IN"/>
        </w:rPr>
        <w:t xml:space="preserve">., Growing Degree Days (GDD), Photothermal Unit (PTU), Heliothermal Unit (HgTU I &amp; II) and Heat Use Efficiency (HUE) and Phenothermal Index were calculated by following formulas using base temperature of 10 </w:t>
      </w:r>
      <w:r>
        <w:rPr>
          <w:rFonts w:ascii="Cambria Math" w:hAnsi="Cambria Math" w:cs="Cambria Math"/>
          <w:lang w:val="en-IN"/>
        </w:rPr>
        <w:t>℃</w:t>
      </w:r>
      <w:r>
        <w:rPr>
          <w:rFonts w:ascii="Arial" w:hAnsi="Arial" w:cs="Arial"/>
          <w:lang w:val="en-IN"/>
        </w:rPr>
        <w:t xml:space="preserve"> (Lavand, 2012).</w:t>
      </w:r>
    </w:p>
    <w:p w14:paraId="55918335" w14:textId="77777777" w:rsidR="00520137" w:rsidRDefault="008937FE">
      <w:pPr>
        <w:pStyle w:val="Body"/>
        <w:spacing w:after="0" w:line="276" w:lineRule="auto"/>
        <w:ind w:firstLine="720"/>
        <w:rPr>
          <w:rFonts w:ascii="Arial" w:hAnsi="Arial" w:cs="Arial"/>
          <w:lang w:val="en-IN"/>
        </w:rPr>
      </w:pPr>
      <w:r>
        <w:rPr>
          <w:rFonts w:ascii="Arial" w:hAnsi="Arial" w:cs="Arial"/>
          <w:lang w:val="en-IN"/>
        </w:rPr>
        <w:t>GDD = ∑ (T</w:t>
      </w:r>
      <w:r>
        <w:rPr>
          <w:rFonts w:ascii="Arial" w:hAnsi="Arial" w:cs="Arial"/>
          <w:vertAlign w:val="subscript"/>
          <w:lang w:val="en-IN"/>
        </w:rPr>
        <w:t>max</w:t>
      </w:r>
      <w:r>
        <w:rPr>
          <w:rFonts w:ascii="Arial" w:hAnsi="Arial" w:cs="Arial"/>
          <w:vertAlign w:val="superscript"/>
          <w:lang w:val="en-IN"/>
        </w:rPr>
        <w:t xml:space="preserve"> </w:t>
      </w:r>
      <w:r>
        <w:rPr>
          <w:rFonts w:ascii="Arial" w:hAnsi="Arial" w:cs="Arial"/>
          <w:lang w:val="en-IN"/>
        </w:rPr>
        <w:t>+ T</w:t>
      </w:r>
      <w:r>
        <w:rPr>
          <w:rFonts w:ascii="Arial" w:hAnsi="Arial" w:cs="Arial"/>
          <w:vertAlign w:val="subscript"/>
          <w:lang w:val="en-IN"/>
        </w:rPr>
        <w:t>min</w:t>
      </w:r>
      <w:r>
        <w:rPr>
          <w:rFonts w:ascii="Arial" w:hAnsi="Arial" w:cs="Arial"/>
          <w:lang w:val="en-IN"/>
        </w:rPr>
        <w:t>)/2 – Base temperature</w:t>
      </w:r>
    </w:p>
    <w:p w14:paraId="4A6365EA" w14:textId="77777777" w:rsidR="00520137" w:rsidRDefault="008937FE">
      <w:pPr>
        <w:pStyle w:val="Body"/>
        <w:spacing w:after="0" w:line="276" w:lineRule="auto"/>
        <w:ind w:firstLine="720"/>
        <w:rPr>
          <w:rFonts w:ascii="Arial" w:hAnsi="Arial" w:cs="Arial"/>
          <w:lang w:val="en-IN"/>
        </w:rPr>
      </w:pPr>
      <w:r>
        <w:rPr>
          <w:rFonts w:ascii="Arial" w:hAnsi="Arial" w:cs="Arial"/>
          <w:lang w:val="en-IN"/>
        </w:rPr>
        <w:t>PTU = GDD × Ma</w:t>
      </w:r>
      <w:r>
        <w:rPr>
          <w:rFonts w:ascii="Arial" w:hAnsi="Arial" w:cs="Arial"/>
          <w:bCs/>
          <w:lang w:val="en-IN"/>
        </w:rPr>
        <w:t>x</w:t>
      </w:r>
      <w:r>
        <w:rPr>
          <w:rFonts w:ascii="Arial" w:hAnsi="Arial" w:cs="Arial"/>
          <w:lang w:val="en-IN"/>
        </w:rPr>
        <w:t>imum possible bright sunshine hours (N)</w:t>
      </w:r>
    </w:p>
    <w:p w14:paraId="62499DCB" w14:textId="77777777" w:rsidR="00520137" w:rsidRDefault="008937FE">
      <w:pPr>
        <w:pStyle w:val="Body"/>
        <w:spacing w:after="0" w:line="276" w:lineRule="auto"/>
        <w:ind w:firstLine="720"/>
        <w:rPr>
          <w:rFonts w:ascii="Arial" w:hAnsi="Arial" w:cs="Arial"/>
          <w:lang w:val="en-IN"/>
        </w:rPr>
      </w:pPr>
      <w:r>
        <w:rPr>
          <w:rFonts w:ascii="Arial" w:hAnsi="Arial" w:cs="Arial"/>
          <w:lang w:val="en-IN"/>
        </w:rPr>
        <w:t>HTU = GDD × Actual bright sunshine hours (n)</w:t>
      </w:r>
    </w:p>
    <w:p w14:paraId="3D376224" w14:textId="77777777" w:rsidR="00520137" w:rsidRDefault="008937FE">
      <w:pPr>
        <w:pStyle w:val="Body"/>
        <w:spacing w:after="0" w:line="276" w:lineRule="auto"/>
        <w:ind w:firstLine="720"/>
        <w:rPr>
          <w:rFonts w:ascii="Arial" w:hAnsi="Arial" w:cs="Arial"/>
          <w:lang w:val="en-IN"/>
        </w:rPr>
      </w:pPr>
      <w:r>
        <w:rPr>
          <w:rFonts w:ascii="Arial" w:hAnsi="Arial" w:cs="Arial"/>
          <w:lang w:val="en-IN"/>
        </w:rPr>
        <w:t xml:space="preserve">HgTU-I = GDD </w:t>
      </w:r>
      <w:r>
        <w:rPr>
          <w:rFonts w:ascii="MS Gothic" w:eastAsia="MS Gothic" w:hAnsi="MS Gothic" w:cs="Arial" w:hint="eastAsia"/>
          <w:lang w:val="en-IN"/>
        </w:rPr>
        <w:t>×</w:t>
      </w:r>
      <w:r>
        <w:rPr>
          <w:rFonts w:ascii="Arial" w:hAnsi="Arial" w:cs="Arial"/>
          <w:lang w:val="en-IN"/>
        </w:rPr>
        <w:t xml:space="preserve"> RH-I</w:t>
      </w:r>
    </w:p>
    <w:p w14:paraId="10BCE06A" w14:textId="77777777" w:rsidR="00520137" w:rsidRDefault="008937FE">
      <w:pPr>
        <w:pStyle w:val="Body"/>
        <w:spacing w:after="0" w:line="276" w:lineRule="auto"/>
        <w:ind w:firstLine="720"/>
        <w:rPr>
          <w:rFonts w:ascii="Arial" w:hAnsi="Arial" w:cs="Arial"/>
          <w:lang w:val="en-IN"/>
        </w:rPr>
      </w:pPr>
      <w:r>
        <w:rPr>
          <w:rFonts w:ascii="Arial" w:hAnsi="Arial" w:cs="Arial"/>
          <w:lang w:val="en-IN"/>
        </w:rPr>
        <w:t xml:space="preserve">HgTU-II = GDD </w:t>
      </w:r>
      <w:r>
        <w:rPr>
          <w:rFonts w:ascii="MS Gothic" w:eastAsia="MS Gothic" w:hAnsi="MS Gothic" w:cs="Arial" w:hint="eastAsia"/>
          <w:lang w:val="en-IN"/>
        </w:rPr>
        <w:t>×</w:t>
      </w:r>
      <w:r>
        <w:rPr>
          <w:rFonts w:ascii="Arial" w:hAnsi="Arial" w:cs="Arial"/>
          <w:lang w:val="en-IN"/>
        </w:rPr>
        <w:t xml:space="preserve"> RH-II</w:t>
      </w:r>
    </w:p>
    <w:p w14:paraId="38F9F41C" w14:textId="77777777" w:rsidR="00520137" w:rsidRDefault="008937FE">
      <w:pPr>
        <w:pStyle w:val="Body"/>
        <w:spacing w:after="0" w:line="276" w:lineRule="auto"/>
        <w:ind w:firstLine="720"/>
        <w:rPr>
          <w:rFonts w:ascii="Arial" w:hAnsi="Arial" w:cs="Arial"/>
          <w:lang w:val="en-IN"/>
        </w:rPr>
      </w:pPr>
      <w:r>
        <w:rPr>
          <w:rFonts w:ascii="Arial" w:hAnsi="Arial" w:cs="Arial"/>
          <w:lang w:val="en-IN"/>
        </w:rPr>
        <w:t>HUE = Seed yield / Accumulated GDD</w:t>
      </w:r>
    </w:p>
    <w:p w14:paraId="6816B973" w14:textId="77777777" w:rsidR="00520137" w:rsidRDefault="008937FE">
      <w:pPr>
        <w:pStyle w:val="Body"/>
        <w:spacing w:after="0" w:line="276" w:lineRule="auto"/>
        <w:ind w:firstLine="720"/>
        <w:rPr>
          <w:rFonts w:ascii="Arial" w:hAnsi="Arial" w:cs="Arial"/>
          <w:lang w:val="en-IN"/>
        </w:rPr>
      </w:pPr>
      <w:r>
        <w:rPr>
          <w:rFonts w:ascii="Arial" w:hAnsi="Arial" w:cs="Arial"/>
          <w:lang w:val="en-IN"/>
        </w:rPr>
        <w:t xml:space="preserve">Phenothermal Index = Accumulated thermal units during a phenophase / duration of </w:t>
      </w:r>
    </w:p>
    <w:p w14:paraId="4AD56477" w14:textId="77777777" w:rsidR="00520137" w:rsidRDefault="008937FE">
      <w:pPr>
        <w:pStyle w:val="Body"/>
        <w:spacing w:after="0" w:line="276" w:lineRule="auto"/>
        <w:ind w:firstLine="720"/>
        <w:rPr>
          <w:rFonts w:ascii="Arial" w:hAnsi="Arial" w:cs="Arial"/>
          <w:lang w:val="en-IN"/>
        </w:rPr>
      </w:pPr>
      <w:r>
        <w:rPr>
          <w:rFonts w:ascii="Arial" w:hAnsi="Arial" w:cs="Arial"/>
          <w:lang w:val="en-IN"/>
        </w:rPr>
        <w:tab/>
      </w:r>
      <w:r>
        <w:rPr>
          <w:rFonts w:ascii="Arial" w:hAnsi="Arial" w:cs="Arial"/>
          <w:lang w:val="en-IN"/>
        </w:rPr>
        <w:tab/>
      </w:r>
      <w:r>
        <w:rPr>
          <w:rFonts w:ascii="Arial" w:hAnsi="Arial" w:cs="Arial"/>
          <w:lang w:val="en-IN"/>
        </w:rPr>
        <w:tab/>
        <w:t>phenophase</w:t>
      </w:r>
    </w:p>
    <w:p w14:paraId="777C1473" w14:textId="77777777" w:rsidR="00520137" w:rsidRDefault="00520137">
      <w:pPr>
        <w:pStyle w:val="Body"/>
        <w:spacing w:after="0" w:line="276" w:lineRule="auto"/>
        <w:ind w:firstLine="720"/>
        <w:rPr>
          <w:rFonts w:ascii="Arial" w:hAnsi="Arial" w:cs="Arial"/>
        </w:rPr>
      </w:pPr>
    </w:p>
    <w:p w14:paraId="6E297D34" w14:textId="77777777" w:rsidR="00520137" w:rsidRDefault="008937FE">
      <w:pPr>
        <w:pStyle w:val="Head1"/>
        <w:spacing w:after="0" w:line="276" w:lineRule="auto"/>
        <w:jc w:val="both"/>
        <w:rPr>
          <w:rFonts w:ascii="Arial" w:hAnsi="Arial" w:cs="Arial"/>
        </w:rPr>
      </w:pPr>
      <w:r>
        <w:rPr>
          <w:rFonts w:ascii="Arial" w:hAnsi="Arial" w:cs="Arial"/>
        </w:rPr>
        <w:t>3. results and discussion</w:t>
      </w:r>
    </w:p>
    <w:p w14:paraId="48B536CA" w14:textId="77777777" w:rsidR="00520137" w:rsidRDefault="00520137">
      <w:pPr>
        <w:pStyle w:val="Head1"/>
        <w:spacing w:after="0" w:line="276" w:lineRule="auto"/>
        <w:jc w:val="both"/>
        <w:rPr>
          <w:rFonts w:ascii="Arial" w:hAnsi="Arial" w:cs="Arial"/>
        </w:rPr>
      </w:pPr>
    </w:p>
    <w:p w14:paraId="6B03C9CF" w14:textId="77777777" w:rsidR="00520137" w:rsidRDefault="008937FE">
      <w:pPr>
        <w:pStyle w:val="Body"/>
        <w:spacing w:after="0" w:line="276" w:lineRule="auto"/>
        <w:rPr>
          <w:rFonts w:ascii="Arial" w:hAnsi="Arial" w:cs="Arial"/>
          <w:b/>
          <w:bCs/>
          <w:sz w:val="22"/>
          <w:szCs w:val="22"/>
          <w:lang w:val="en-IN"/>
        </w:rPr>
      </w:pPr>
      <w:r>
        <w:rPr>
          <w:rFonts w:ascii="Arial" w:hAnsi="Arial" w:cs="Arial"/>
          <w:b/>
          <w:bCs/>
          <w:sz w:val="22"/>
          <w:szCs w:val="22"/>
          <w:lang w:val="en-IN"/>
        </w:rPr>
        <w:t>3.1 Agrometeorological Indices</w:t>
      </w:r>
    </w:p>
    <w:p w14:paraId="0B61EFA8" w14:textId="77777777" w:rsidR="00520137" w:rsidRDefault="008937FE">
      <w:pPr>
        <w:pStyle w:val="Body"/>
        <w:spacing w:after="0" w:line="276" w:lineRule="auto"/>
        <w:rPr>
          <w:rFonts w:ascii="Arial" w:hAnsi="Arial" w:cs="Arial"/>
          <w:b/>
          <w:bCs/>
          <w:u w:val="single"/>
          <w:lang w:val="en-IN"/>
        </w:rPr>
      </w:pPr>
      <w:r>
        <w:rPr>
          <w:rFonts w:ascii="Arial" w:hAnsi="Arial" w:cs="Arial"/>
          <w:b/>
          <w:bCs/>
          <w:u w:val="single"/>
          <w:lang w:val="en-IN"/>
        </w:rPr>
        <w:t>3.1.1 Growing Degree Days (GDD)</w:t>
      </w:r>
    </w:p>
    <w:p w14:paraId="4733B169" w14:textId="017FCF27" w:rsidR="00520137" w:rsidRDefault="008937FE">
      <w:pPr>
        <w:pStyle w:val="Body"/>
        <w:spacing w:after="0" w:line="276" w:lineRule="auto"/>
        <w:rPr>
          <w:rFonts w:ascii="Arial" w:hAnsi="Arial" w:cs="Arial"/>
          <w:bCs/>
          <w:lang w:val="en-IN"/>
        </w:rPr>
      </w:pPr>
      <w:r>
        <w:rPr>
          <w:rFonts w:ascii="Arial" w:hAnsi="Arial" w:cs="Arial"/>
          <w:bCs/>
          <w:lang w:val="en-IN"/>
        </w:rPr>
        <w:tab/>
        <w:t xml:space="preserve">The data pertaining to accumulated GDD in different treatments is presented in the Table </w:t>
      </w:r>
      <w:r w:rsidR="001B104A">
        <w:rPr>
          <w:rFonts w:ascii="Arial" w:hAnsi="Arial" w:cs="Arial"/>
          <w:bCs/>
          <w:lang w:val="en-IN"/>
        </w:rPr>
        <w:t>2</w:t>
      </w:r>
      <w:r>
        <w:rPr>
          <w:rFonts w:ascii="Arial" w:hAnsi="Arial" w:cs="Arial"/>
          <w:bCs/>
          <w:lang w:val="en-IN"/>
        </w:rPr>
        <w:t>. In the sowing time, the GDD accumulation was highest in 4</w:t>
      </w:r>
      <w:r>
        <w:rPr>
          <w:rFonts w:ascii="Arial" w:hAnsi="Arial" w:cs="Arial"/>
          <w:bCs/>
          <w:vertAlign w:val="superscript"/>
          <w:lang w:val="en-IN"/>
        </w:rPr>
        <w:t>th</w:t>
      </w:r>
      <w:r>
        <w:rPr>
          <w:rFonts w:ascii="Arial" w:hAnsi="Arial" w:cs="Arial"/>
          <w:bCs/>
          <w:lang w:val="en-IN"/>
        </w:rPr>
        <w:t xml:space="preserve"> SMW (2230 </w:t>
      </w:r>
      <w:r>
        <w:rPr>
          <w:rFonts w:ascii="Cambria Math" w:hAnsi="Cambria Math" w:cs="Cambria Math"/>
          <w:bCs/>
          <w:lang w:val="en-IN"/>
        </w:rPr>
        <w:t>℃</w:t>
      </w:r>
      <w:r>
        <w:rPr>
          <w:rFonts w:ascii="Arial" w:hAnsi="Arial" w:cs="Arial"/>
          <w:bCs/>
          <w:lang w:val="en-IN"/>
        </w:rPr>
        <w:t xml:space="preserve"> day) than other sowing time. The minimum GDD was accumulated in 10</w:t>
      </w:r>
      <w:r>
        <w:rPr>
          <w:rFonts w:ascii="Arial" w:hAnsi="Arial" w:cs="Arial"/>
          <w:bCs/>
          <w:vertAlign w:val="superscript"/>
          <w:lang w:val="en-IN"/>
        </w:rPr>
        <w:t>th</w:t>
      </w:r>
      <w:r>
        <w:rPr>
          <w:rFonts w:ascii="Arial" w:hAnsi="Arial" w:cs="Arial"/>
          <w:bCs/>
          <w:lang w:val="en-IN"/>
        </w:rPr>
        <w:t xml:space="preserve"> SMW sowing time </w:t>
      </w:r>
      <w:r>
        <w:rPr>
          <w:rFonts w:ascii="Arial" w:hAnsi="Arial" w:cs="Arial"/>
          <w:bCs/>
          <w:lang w:val="en-IN"/>
        </w:rPr>
        <w:lastRenderedPageBreak/>
        <w:t xml:space="preserve">(2101 </w:t>
      </w:r>
      <w:r>
        <w:rPr>
          <w:rFonts w:ascii="Cambria Math" w:hAnsi="Cambria Math" w:cs="Cambria Math"/>
          <w:bCs/>
          <w:lang w:val="en-IN"/>
        </w:rPr>
        <w:t>℃</w:t>
      </w:r>
      <w:r>
        <w:rPr>
          <w:rFonts w:ascii="Arial" w:hAnsi="Arial" w:cs="Arial"/>
          <w:bCs/>
          <w:lang w:val="en-IN"/>
        </w:rPr>
        <w:t xml:space="preserve"> day). Among the varieties, GJG-31 variety accumulated lowest GDD (2107 </w:t>
      </w:r>
      <w:r>
        <w:rPr>
          <w:rFonts w:ascii="Cambria Math" w:hAnsi="Cambria Math" w:cs="Cambria Math"/>
          <w:bCs/>
          <w:lang w:val="en-IN"/>
        </w:rPr>
        <w:t>℃</w:t>
      </w:r>
      <w:r>
        <w:rPr>
          <w:rFonts w:ascii="Arial" w:hAnsi="Arial" w:cs="Arial"/>
          <w:bCs/>
          <w:lang w:val="en-IN"/>
        </w:rPr>
        <w:t xml:space="preserve"> day) and GG-34 had accumulated the highest GDD (2149 </w:t>
      </w:r>
      <w:r>
        <w:rPr>
          <w:rFonts w:ascii="Cambria Math" w:hAnsi="Cambria Math" w:cs="Cambria Math"/>
          <w:bCs/>
          <w:lang w:val="en-IN"/>
        </w:rPr>
        <w:t>℃</w:t>
      </w:r>
      <w:r>
        <w:rPr>
          <w:rFonts w:ascii="Arial" w:hAnsi="Arial" w:cs="Arial"/>
          <w:bCs/>
          <w:lang w:val="en-IN"/>
        </w:rPr>
        <w:t xml:space="preserve"> day). The GDD accumulation was highest in 4</w:t>
      </w:r>
      <w:r>
        <w:rPr>
          <w:rFonts w:ascii="Arial" w:hAnsi="Arial" w:cs="Arial"/>
          <w:bCs/>
          <w:vertAlign w:val="superscript"/>
          <w:lang w:val="en-IN"/>
        </w:rPr>
        <w:t>th</w:t>
      </w:r>
      <w:r>
        <w:rPr>
          <w:rFonts w:ascii="Arial" w:hAnsi="Arial" w:cs="Arial"/>
          <w:bCs/>
          <w:lang w:val="en-IN"/>
        </w:rPr>
        <w:t xml:space="preserve"> SMW due to longer duration of crop growing period and lowest in </w:t>
      </w:r>
      <w:r w:rsidR="00943319">
        <w:rPr>
          <w:rFonts w:ascii="Arial" w:hAnsi="Arial" w:cs="Arial"/>
          <w:bCs/>
          <w:lang w:val="en-IN"/>
        </w:rPr>
        <w:t>10</w:t>
      </w:r>
      <w:r w:rsidR="00943319" w:rsidRPr="00943319">
        <w:rPr>
          <w:rFonts w:ascii="Arial" w:hAnsi="Arial" w:cs="Arial"/>
          <w:bCs/>
          <w:vertAlign w:val="superscript"/>
          <w:lang w:val="en-IN"/>
        </w:rPr>
        <w:t>th</w:t>
      </w:r>
      <w:r w:rsidR="00943319">
        <w:rPr>
          <w:rFonts w:ascii="Arial" w:hAnsi="Arial" w:cs="Arial"/>
          <w:bCs/>
          <w:lang w:val="en-IN"/>
        </w:rPr>
        <w:t xml:space="preserve"> SMW </w:t>
      </w:r>
      <w:r>
        <w:rPr>
          <w:rFonts w:ascii="Arial" w:hAnsi="Arial" w:cs="Arial"/>
          <w:bCs/>
          <w:lang w:val="en-IN"/>
        </w:rPr>
        <w:t xml:space="preserve">sowing due to forced maturity caused by increase in temperature. The decrease in GDD may be due to decrease in the maturity period of the groundnut. </w:t>
      </w:r>
      <w:r w:rsidR="00943319">
        <w:rPr>
          <w:rFonts w:ascii="Arial" w:hAnsi="Arial" w:cs="Arial"/>
          <w:bCs/>
          <w:lang w:val="en-IN"/>
        </w:rPr>
        <w:t xml:space="preserve">With delay in sowing, there was rise in temperature, which cause groundnut cultivars to mature early and hence there was reduction in GDD required by the cultivars to complete their phenophases. </w:t>
      </w:r>
      <w:r>
        <w:rPr>
          <w:rFonts w:ascii="Arial" w:hAnsi="Arial" w:cs="Arial"/>
          <w:bCs/>
          <w:lang w:val="en-IN"/>
        </w:rPr>
        <w:t xml:space="preserve">These findings are in agreement with Mote and Pandey (2017), Dodiya (2022), Kumar </w:t>
      </w:r>
      <w:r>
        <w:rPr>
          <w:rFonts w:ascii="Arial" w:hAnsi="Arial" w:cs="Arial"/>
          <w:bCs/>
          <w:i/>
          <w:iCs/>
          <w:lang w:val="en-IN"/>
        </w:rPr>
        <w:t>et al.</w:t>
      </w:r>
      <w:r>
        <w:rPr>
          <w:rFonts w:ascii="Arial" w:hAnsi="Arial" w:cs="Arial"/>
          <w:bCs/>
          <w:lang w:val="en-IN"/>
        </w:rPr>
        <w:t xml:space="preserve"> (2022), </w:t>
      </w:r>
      <w:proofErr w:type="spellStart"/>
      <w:r>
        <w:rPr>
          <w:rFonts w:ascii="Arial" w:hAnsi="Arial" w:cs="Arial"/>
          <w:bCs/>
          <w:lang w:val="en-IN"/>
        </w:rPr>
        <w:t>Limbasiya</w:t>
      </w:r>
      <w:proofErr w:type="spellEnd"/>
      <w:r>
        <w:rPr>
          <w:rFonts w:ascii="Arial" w:hAnsi="Arial" w:cs="Arial"/>
          <w:bCs/>
          <w:lang w:val="en-IN"/>
        </w:rPr>
        <w:t xml:space="preserve"> (2022), Yadav </w:t>
      </w:r>
      <w:r>
        <w:rPr>
          <w:rFonts w:ascii="Arial" w:hAnsi="Arial" w:cs="Arial"/>
          <w:bCs/>
          <w:i/>
          <w:iCs/>
          <w:lang w:val="en-IN"/>
        </w:rPr>
        <w:t>et al.</w:t>
      </w:r>
      <w:r>
        <w:rPr>
          <w:rFonts w:ascii="Arial" w:hAnsi="Arial" w:cs="Arial"/>
          <w:bCs/>
          <w:lang w:val="en-IN"/>
        </w:rPr>
        <w:t xml:space="preserve"> (2023) and Yadavrao </w:t>
      </w:r>
      <w:r>
        <w:rPr>
          <w:rFonts w:ascii="Arial" w:hAnsi="Arial" w:cs="Arial"/>
          <w:bCs/>
          <w:i/>
          <w:iCs/>
          <w:lang w:val="en-IN"/>
        </w:rPr>
        <w:t>et al.</w:t>
      </w:r>
      <w:r>
        <w:rPr>
          <w:rFonts w:ascii="Arial" w:hAnsi="Arial" w:cs="Arial"/>
          <w:bCs/>
          <w:lang w:val="en-IN"/>
        </w:rPr>
        <w:t xml:space="preserve"> (2023).</w:t>
      </w:r>
    </w:p>
    <w:p w14:paraId="2529D786" w14:textId="77777777" w:rsidR="00520137" w:rsidRDefault="008937FE">
      <w:pPr>
        <w:pStyle w:val="Body"/>
        <w:spacing w:after="0" w:line="276" w:lineRule="auto"/>
        <w:rPr>
          <w:rFonts w:ascii="Arial" w:hAnsi="Arial" w:cs="Arial"/>
          <w:b/>
          <w:bCs/>
          <w:u w:val="single"/>
          <w:lang w:val="en-IN"/>
        </w:rPr>
      </w:pPr>
      <w:r>
        <w:rPr>
          <w:rFonts w:ascii="Arial" w:hAnsi="Arial" w:cs="Arial"/>
          <w:b/>
          <w:bCs/>
          <w:u w:val="single"/>
          <w:lang w:val="en-IN"/>
        </w:rPr>
        <w:t>3.1.2 Photothermal Unit (PTU)</w:t>
      </w:r>
    </w:p>
    <w:p w14:paraId="513DE301" w14:textId="12ED8885" w:rsidR="00520137" w:rsidRDefault="008937FE">
      <w:pPr>
        <w:pStyle w:val="Body"/>
        <w:spacing w:after="0" w:line="276" w:lineRule="auto"/>
        <w:rPr>
          <w:rFonts w:ascii="Arial" w:hAnsi="Arial" w:cs="Arial"/>
          <w:bCs/>
          <w:lang w:val="en-IN"/>
        </w:rPr>
      </w:pPr>
      <w:r>
        <w:rPr>
          <w:rFonts w:ascii="Arial" w:hAnsi="Arial" w:cs="Arial"/>
          <w:bCs/>
          <w:lang w:val="en-IN"/>
        </w:rPr>
        <w:tab/>
        <w:t xml:space="preserve">The photothermal unit under various sowing time and varieties is presented in the Table </w:t>
      </w:r>
      <w:r w:rsidR="001B104A">
        <w:rPr>
          <w:rFonts w:ascii="Arial" w:hAnsi="Arial" w:cs="Arial"/>
          <w:bCs/>
          <w:lang w:val="en-IN"/>
        </w:rPr>
        <w:t>2</w:t>
      </w:r>
      <w:r>
        <w:rPr>
          <w:rFonts w:ascii="Arial" w:hAnsi="Arial" w:cs="Arial"/>
          <w:bCs/>
          <w:lang w:val="en-IN"/>
        </w:rPr>
        <w:t>. In the sowing time, the photothermal unit was highest in 4</w:t>
      </w:r>
      <w:r>
        <w:rPr>
          <w:rFonts w:ascii="Arial" w:hAnsi="Arial" w:cs="Arial"/>
          <w:bCs/>
          <w:vertAlign w:val="superscript"/>
          <w:lang w:val="en-IN"/>
        </w:rPr>
        <w:t>th</w:t>
      </w:r>
      <w:r>
        <w:rPr>
          <w:rFonts w:ascii="Arial" w:hAnsi="Arial" w:cs="Arial"/>
          <w:bCs/>
          <w:lang w:val="en-IN"/>
        </w:rPr>
        <w:t xml:space="preserve"> SMW (27426 </w:t>
      </w:r>
      <w:r>
        <w:rPr>
          <w:rFonts w:ascii="Cambria Math" w:hAnsi="Cambria Math" w:cs="Cambria Math"/>
          <w:bCs/>
          <w:lang w:val="en-IN"/>
        </w:rPr>
        <w:t>℃</w:t>
      </w:r>
      <w:r>
        <w:rPr>
          <w:rFonts w:ascii="Arial" w:hAnsi="Arial" w:cs="Arial"/>
          <w:bCs/>
          <w:lang w:val="en-IN"/>
        </w:rPr>
        <w:t xml:space="preserve"> day hrs.) than other sowing time. The minimum photothermal unit was accumulated in 10</w:t>
      </w:r>
      <w:r>
        <w:rPr>
          <w:rFonts w:ascii="Arial" w:hAnsi="Arial" w:cs="Arial"/>
          <w:bCs/>
          <w:vertAlign w:val="superscript"/>
          <w:lang w:val="en-IN"/>
        </w:rPr>
        <w:t>th</w:t>
      </w:r>
      <w:r>
        <w:rPr>
          <w:rFonts w:ascii="Arial" w:hAnsi="Arial" w:cs="Arial"/>
          <w:bCs/>
          <w:lang w:val="en-IN"/>
        </w:rPr>
        <w:t xml:space="preserve"> SMW sowing time (26851 </w:t>
      </w:r>
      <w:r>
        <w:rPr>
          <w:rFonts w:ascii="Cambria Math" w:hAnsi="Cambria Math" w:cs="Cambria Math"/>
          <w:bCs/>
          <w:lang w:val="en-IN"/>
        </w:rPr>
        <w:t>℃</w:t>
      </w:r>
      <w:r>
        <w:rPr>
          <w:rFonts w:ascii="Arial" w:hAnsi="Arial" w:cs="Arial"/>
          <w:bCs/>
          <w:lang w:val="en-IN"/>
        </w:rPr>
        <w:t xml:space="preserve"> day hrs.). Among the varieties, GJG-31 variety accumulated lowest photothermal unit (26226 </w:t>
      </w:r>
      <w:r>
        <w:rPr>
          <w:rFonts w:ascii="Cambria Math" w:hAnsi="Cambria Math" w:cs="Cambria Math"/>
          <w:bCs/>
          <w:lang w:val="en-IN"/>
        </w:rPr>
        <w:t>℃</w:t>
      </w:r>
      <w:r>
        <w:rPr>
          <w:rFonts w:ascii="Arial" w:hAnsi="Arial" w:cs="Arial"/>
          <w:bCs/>
          <w:lang w:val="en-IN"/>
        </w:rPr>
        <w:t xml:space="preserve"> day hrs.) and GG-34 had accumulated the highest photothermal unit (28619 </w:t>
      </w:r>
      <w:r>
        <w:rPr>
          <w:rFonts w:ascii="Cambria Math" w:hAnsi="Cambria Math" w:cs="Cambria Math"/>
          <w:bCs/>
          <w:lang w:val="en-IN"/>
        </w:rPr>
        <w:t>℃</w:t>
      </w:r>
      <w:r>
        <w:rPr>
          <w:rFonts w:ascii="Arial" w:hAnsi="Arial" w:cs="Arial"/>
          <w:bCs/>
          <w:lang w:val="en-IN"/>
        </w:rPr>
        <w:t xml:space="preserve"> day hrs.). The photothermal unit also decrease with delay in the sowing due to variation in mean daily temperature that prevailed during the growth phases and late sown crop completed the life cycle earlier than the previous sowings due to increase in temperature. These findings are in agreement with Mote and Pandey (2017), Dodiya (2022), Kumar </w:t>
      </w:r>
      <w:r>
        <w:rPr>
          <w:rFonts w:ascii="Arial" w:hAnsi="Arial" w:cs="Arial"/>
          <w:bCs/>
          <w:i/>
          <w:iCs/>
          <w:lang w:val="en-IN"/>
        </w:rPr>
        <w:t>et al.</w:t>
      </w:r>
      <w:r>
        <w:rPr>
          <w:rFonts w:ascii="Arial" w:hAnsi="Arial" w:cs="Arial"/>
          <w:bCs/>
          <w:lang w:val="en-IN"/>
        </w:rPr>
        <w:t xml:space="preserve"> (2022), </w:t>
      </w:r>
      <w:proofErr w:type="spellStart"/>
      <w:r>
        <w:rPr>
          <w:rFonts w:ascii="Arial" w:hAnsi="Arial" w:cs="Arial"/>
          <w:bCs/>
          <w:lang w:val="en-IN"/>
        </w:rPr>
        <w:t>Limbasiya</w:t>
      </w:r>
      <w:proofErr w:type="spellEnd"/>
      <w:r>
        <w:rPr>
          <w:rFonts w:ascii="Arial" w:hAnsi="Arial" w:cs="Arial"/>
          <w:bCs/>
          <w:lang w:val="en-IN"/>
        </w:rPr>
        <w:t xml:space="preserve"> (2022), Yadav </w:t>
      </w:r>
      <w:r>
        <w:rPr>
          <w:rFonts w:ascii="Arial" w:hAnsi="Arial" w:cs="Arial"/>
          <w:bCs/>
          <w:i/>
          <w:iCs/>
          <w:lang w:val="en-IN"/>
        </w:rPr>
        <w:t>et al.</w:t>
      </w:r>
      <w:r>
        <w:rPr>
          <w:rFonts w:ascii="Arial" w:hAnsi="Arial" w:cs="Arial"/>
          <w:bCs/>
          <w:lang w:val="en-IN"/>
        </w:rPr>
        <w:t xml:space="preserve"> (2023) and Yadavrao </w:t>
      </w:r>
      <w:r>
        <w:rPr>
          <w:rFonts w:ascii="Arial" w:hAnsi="Arial" w:cs="Arial"/>
          <w:bCs/>
          <w:i/>
          <w:iCs/>
          <w:lang w:val="en-IN"/>
        </w:rPr>
        <w:t>et al.</w:t>
      </w:r>
      <w:r>
        <w:rPr>
          <w:rFonts w:ascii="Arial" w:hAnsi="Arial" w:cs="Arial"/>
          <w:bCs/>
          <w:lang w:val="en-IN"/>
        </w:rPr>
        <w:t xml:space="preserve"> (2023).</w:t>
      </w:r>
    </w:p>
    <w:p w14:paraId="4E3A8776" w14:textId="77777777" w:rsidR="00520137" w:rsidRDefault="008937FE">
      <w:pPr>
        <w:pStyle w:val="Body"/>
        <w:spacing w:after="0" w:line="276" w:lineRule="auto"/>
        <w:rPr>
          <w:rFonts w:ascii="Arial" w:hAnsi="Arial" w:cs="Arial"/>
          <w:b/>
          <w:bCs/>
          <w:u w:val="single"/>
          <w:lang w:val="en-IN"/>
        </w:rPr>
      </w:pPr>
      <w:r>
        <w:rPr>
          <w:rFonts w:ascii="Arial" w:hAnsi="Arial" w:cs="Arial"/>
          <w:b/>
          <w:bCs/>
          <w:u w:val="single"/>
          <w:lang w:val="en-IN"/>
        </w:rPr>
        <w:t>3.1.3 Heliothermal Unit (HTU)</w:t>
      </w:r>
    </w:p>
    <w:p w14:paraId="366B9B80" w14:textId="69AA1CEB" w:rsidR="00520137" w:rsidRDefault="008937FE">
      <w:pPr>
        <w:pStyle w:val="Body"/>
        <w:spacing w:after="0" w:line="276" w:lineRule="auto"/>
        <w:rPr>
          <w:rFonts w:ascii="Arial" w:hAnsi="Arial" w:cs="Arial"/>
          <w:bCs/>
          <w:lang w:val="en-IN"/>
        </w:rPr>
      </w:pPr>
      <w:r>
        <w:rPr>
          <w:rFonts w:ascii="Arial" w:hAnsi="Arial" w:cs="Arial"/>
          <w:bCs/>
          <w:lang w:val="en-IN"/>
        </w:rPr>
        <w:tab/>
        <w:t xml:space="preserve">The heliothermal unit under various sowing time and varieties is presented in the Table </w:t>
      </w:r>
      <w:r w:rsidR="001B104A">
        <w:rPr>
          <w:rFonts w:ascii="Arial" w:hAnsi="Arial" w:cs="Arial"/>
          <w:bCs/>
          <w:lang w:val="en-IN"/>
        </w:rPr>
        <w:t>2</w:t>
      </w:r>
      <w:r>
        <w:rPr>
          <w:rFonts w:ascii="Arial" w:hAnsi="Arial" w:cs="Arial"/>
          <w:bCs/>
          <w:lang w:val="en-IN"/>
        </w:rPr>
        <w:t>. In the sowing time, the heliothermal unit was highest in 4</w:t>
      </w:r>
      <w:r>
        <w:rPr>
          <w:rFonts w:ascii="Arial" w:hAnsi="Arial" w:cs="Arial"/>
          <w:bCs/>
          <w:vertAlign w:val="superscript"/>
          <w:lang w:val="en-IN"/>
        </w:rPr>
        <w:t>th</w:t>
      </w:r>
      <w:r>
        <w:rPr>
          <w:rFonts w:ascii="Arial" w:hAnsi="Arial" w:cs="Arial"/>
          <w:bCs/>
          <w:lang w:val="en-IN"/>
        </w:rPr>
        <w:t xml:space="preserve"> SMW (21579 </w:t>
      </w:r>
      <w:r>
        <w:rPr>
          <w:rFonts w:ascii="Cambria Math" w:hAnsi="Cambria Math" w:cs="Cambria Math"/>
          <w:bCs/>
          <w:lang w:val="en-IN"/>
        </w:rPr>
        <w:t>℃</w:t>
      </w:r>
      <w:r>
        <w:rPr>
          <w:rFonts w:ascii="Arial" w:hAnsi="Arial" w:cs="Arial"/>
          <w:bCs/>
          <w:lang w:val="en-IN"/>
        </w:rPr>
        <w:t xml:space="preserve"> day hrs.) than other sowing time. The minimum heliothermal unit was accumulated in 10</w:t>
      </w:r>
      <w:r>
        <w:rPr>
          <w:rFonts w:ascii="Arial" w:hAnsi="Arial" w:cs="Arial"/>
          <w:bCs/>
          <w:vertAlign w:val="superscript"/>
          <w:lang w:val="en-IN"/>
        </w:rPr>
        <w:t>th</w:t>
      </w:r>
      <w:r>
        <w:rPr>
          <w:rFonts w:ascii="Arial" w:hAnsi="Arial" w:cs="Arial"/>
          <w:bCs/>
          <w:lang w:val="en-IN"/>
        </w:rPr>
        <w:t xml:space="preserve"> SMW sowing time (18933 </w:t>
      </w:r>
      <w:r>
        <w:rPr>
          <w:rFonts w:ascii="Cambria Math" w:hAnsi="Cambria Math" w:cs="Cambria Math"/>
          <w:bCs/>
          <w:lang w:val="en-IN"/>
        </w:rPr>
        <w:t>℃</w:t>
      </w:r>
      <w:r>
        <w:rPr>
          <w:rFonts w:ascii="Arial" w:hAnsi="Arial" w:cs="Arial"/>
          <w:bCs/>
          <w:lang w:val="en-IN"/>
        </w:rPr>
        <w:t xml:space="preserve"> day hrs.). Among the varieties, GJG-31 variety accumulated lowest heliothermal unit (20082 </w:t>
      </w:r>
      <w:r>
        <w:rPr>
          <w:rFonts w:ascii="Cambria Math" w:hAnsi="Cambria Math" w:cs="Cambria Math"/>
          <w:bCs/>
          <w:lang w:val="en-IN"/>
        </w:rPr>
        <w:t>℃</w:t>
      </w:r>
      <w:r>
        <w:rPr>
          <w:rFonts w:ascii="Arial" w:hAnsi="Arial" w:cs="Arial"/>
          <w:bCs/>
          <w:lang w:val="en-IN"/>
        </w:rPr>
        <w:t xml:space="preserve"> day hrs.) and GG-34 had accumulated the highest heliothermal unit (21194 </w:t>
      </w:r>
      <w:r>
        <w:rPr>
          <w:rFonts w:ascii="Cambria Math" w:hAnsi="Cambria Math" w:cs="Cambria Math"/>
          <w:bCs/>
          <w:lang w:val="en-IN"/>
        </w:rPr>
        <w:t>℃</w:t>
      </w:r>
      <w:r>
        <w:rPr>
          <w:rFonts w:ascii="Arial" w:hAnsi="Arial" w:cs="Arial"/>
          <w:bCs/>
          <w:lang w:val="en-IN"/>
        </w:rPr>
        <w:t xml:space="preserve"> day hrs.). The heliothermal unit also decrease with advancement in dates of sowing. This might be due to reduction of crop period with delay in the date of sowing. These findings are in agreement with Mote and Pandey (2017), Dodiya (2022), Kumar </w:t>
      </w:r>
      <w:r>
        <w:rPr>
          <w:rFonts w:ascii="Arial" w:hAnsi="Arial" w:cs="Arial"/>
          <w:bCs/>
          <w:i/>
          <w:iCs/>
          <w:lang w:val="en-IN"/>
        </w:rPr>
        <w:t>et al.</w:t>
      </w:r>
      <w:r>
        <w:rPr>
          <w:rFonts w:ascii="Arial" w:hAnsi="Arial" w:cs="Arial"/>
          <w:bCs/>
          <w:lang w:val="en-IN"/>
        </w:rPr>
        <w:t xml:space="preserve"> (2022), </w:t>
      </w:r>
      <w:proofErr w:type="spellStart"/>
      <w:r>
        <w:rPr>
          <w:rFonts w:ascii="Arial" w:hAnsi="Arial" w:cs="Arial"/>
          <w:bCs/>
          <w:lang w:val="en-IN"/>
        </w:rPr>
        <w:t>Limbasiya</w:t>
      </w:r>
      <w:proofErr w:type="spellEnd"/>
      <w:r>
        <w:rPr>
          <w:rFonts w:ascii="Arial" w:hAnsi="Arial" w:cs="Arial"/>
          <w:bCs/>
          <w:lang w:val="en-IN"/>
        </w:rPr>
        <w:t xml:space="preserve"> (2022), Yadav </w:t>
      </w:r>
      <w:r>
        <w:rPr>
          <w:rFonts w:ascii="Arial" w:hAnsi="Arial" w:cs="Arial"/>
          <w:bCs/>
          <w:i/>
          <w:iCs/>
          <w:lang w:val="en-IN"/>
        </w:rPr>
        <w:t>et al.</w:t>
      </w:r>
      <w:r>
        <w:rPr>
          <w:rFonts w:ascii="Arial" w:hAnsi="Arial" w:cs="Arial"/>
          <w:bCs/>
          <w:lang w:val="en-IN"/>
        </w:rPr>
        <w:t xml:space="preserve"> (2023) and Yadavrao </w:t>
      </w:r>
      <w:r>
        <w:rPr>
          <w:rFonts w:ascii="Arial" w:hAnsi="Arial" w:cs="Arial"/>
          <w:bCs/>
          <w:i/>
          <w:iCs/>
          <w:lang w:val="en-IN"/>
        </w:rPr>
        <w:t>et al.</w:t>
      </w:r>
      <w:r>
        <w:rPr>
          <w:rFonts w:ascii="Arial" w:hAnsi="Arial" w:cs="Arial"/>
          <w:bCs/>
          <w:lang w:val="en-IN"/>
        </w:rPr>
        <w:t xml:space="preserve"> (2023).</w:t>
      </w:r>
    </w:p>
    <w:p w14:paraId="59394AFA" w14:textId="77777777" w:rsidR="00520137" w:rsidRDefault="008937FE">
      <w:pPr>
        <w:pStyle w:val="Body"/>
        <w:spacing w:after="0" w:line="276" w:lineRule="auto"/>
        <w:rPr>
          <w:rFonts w:ascii="Arial" w:hAnsi="Arial" w:cs="Arial"/>
          <w:bCs/>
          <w:u w:val="single"/>
          <w:lang w:val="en-IN"/>
        </w:rPr>
      </w:pPr>
      <w:r>
        <w:rPr>
          <w:rFonts w:ascii="Arial" w:hAnsi="Arial" w:cs="Arial"/>
          <w:bCs/>
          <w:u w:val="single"/>
          <w:lang w:val="en-IN"/>
        </w:rPr>
        <w:t xml:space="preserve"> </w:t>
      </w:r>
      <w:r>
        <w:rPr>
          <w:rFonts w:ascii="Arial" w:hAnsi="Arial" w:cs="Arial"/>
          <w:b/>
          <w:bCs/>
          <w:u w:val="single"/>
          <w:lang w:val="en-IN"/>
        </w:rPr>
        <w:t>3.1.4 Hygrothermal Unit-I (HgTU-I)</w:t>
      </w:r>
    </w:p>
    <w:p w14:paraId="05FE2B9F" w14:textId="78BB5BF7" w:rsidR="00520137" w:rsidRDefault="008937FE">
      <w:pPr>
        <w:pStyle w:val="Body"/>
        <w:spacing w:after="0" w:line="276" w:lineRule="auto"/>
        <w:rPr>
          <w:rFonts w:ascii="Arial" w:hAnsi="Arial" w:cs="Arial"/>
          <w:bCs/>
          <w:lang w:val="en-IN"/>
        </w:rPr>
      </w:pPr>
      <w:r>
        <w:rPr>
          <w:rFonts w:ascii="Arial" w:hAnsi="Arial" w:cs="Arial"/>
          <w:bCs/>
          <w:lang w:val="en-IN"/>
        </w:rPr>
        <w:tab/>
        <w:t xml:space="preserve">The accumulated morning hygrothermal unit or hygrothermal unit-I required by the crop for various phenophases under different sowing time and varieties is presented in the Table </w:t>
      </w:r>
      <w:r w:rsidR="001B104A">
        <w:rPr>
          <w:rFonts w:ascii="Arial" w:hAnsi="Arial" w:cs="Arial"/>
          <w:bCs/>
          <w:lang w:val="en-IN"/>
        </w:rPr>
        <w:t>2</w:t>
      </w:r>
      <w:r>
        <w:rPr>
          <w:rFonts w:ascii="Arial" w:hAnsi="Arial" w:cs="Arial"/>
          <w:bCs/>
          <w:lang w:val="en-IN"/>
        </w:rPr>
        <w:t>. In the sowing time, the hygrothermal unit-I was highest in 4</w:t>
      </w:r>
      <w:r>
        <w:rPr>
          <w:rFonts w:ascii="Arial" w:hAnsi="Arial" w:cs="Arial"/>
          <w:bCs/>
          <w:vertAlign w:val="superscript"/>
          <w:lang w:val="en-IN"/>
        </w:rPr>
        <w:t>th</w:t>
      </w:r>
      <w:r>
        <w:rPr>
          <w:rFonts w:ascii="Arial" w:hAnsi="Arial" w:cs="Arial"/>
          <w:bCs/>
          <w:lang w:val="en-IN"/>
        </w:rPr>
        <w:t xml:space="preserve"> SMW (151772 </w:t>
      </w:r>
      <w:r>
        <w:rPr>
          <w:rFonts w:ascii="Cambria Math" w:hAnsi="Cambria Math" w:cs="Cambria Math"/>
          <w:bCs/>
          <w:lang w:val="en-IN"/>
        </w:rPr>
        <w:t>℃</w:t>
      </w:r>
      <w:r>
        <w:rPr>
          <w:rFonts w:ascii="Arial" w:hAnsi="Arial" w:cs="Arial"/>
          <w:bCs/>
          <w:lang w:val="en-IN"/>
        </w:rPr>
        <w:t xml:space="preserve"> per cent) than other sowing time. The minimum hygrothermal unit-I accumulated in 8</w:t>
      </w:r>
      <w:r>
        <w:rPr>
          <w:rFonts w:ascii="Arial" w:hAnsi="Arial" w:cs="Arial"/>
          <w:bCs/>
          <w:vertAlign w:val="superscript"/>
          <w:lang w:val="en-IN"/>
        </w:rPr>
        <w:t>th</w:t>
      </w:r>
      <w:r>
        <w:rPr>
          <w:rFonts w:ascii="Arial" w:hAnsi="Arial" w:cs="Arial"/>
          <w:bCs/>
          <w:lang w:val="en-IN"/>
        </w:rPr>
        <w:t xml:space="preserve"> SMW sowing time (145541 </w:t>
      </w:r>
      <w:r>
        <w:rPr>
          <w:rFonts w:ascii="Cambria Math" w:hAnsi="Cambria Math" w:cs="Cambria Math"/>
          <w:bCs/>
          <w:lang w:val="en-IN"/>
        </w:rPr>
        <w:t>℃</w:t>
      </w:r>
      <w:r>
        <w:rPr>
          <w:rFonts w:ascii="Arial" w:hAnsi="Arial" w:cs="Arial"/>
          <w:bCs/>
          <w:lang w:val="en-IN"/>
        </w:rPr>
        <w:t xml:space="preserve"> per cent). Among the varieties, GJG-31 variety accumulated lowest hygrothermal unit-I (142443 </w:t>
      </w:r>
      <w:r>
        <w:rPr>
          <w:rFonts w:ascii="Cambria Math" w:hAnsi="Cambria Math" w:cs="Cambria Math"/>
          <w:bCs/>
          <w:lang w:val="en-IN"/>
        </w:rPr>
        <w:t>℃</w:t>
      </w:r>
      <w:r>
        <w:rPr>
          <w:rFonts w:ascii="Arial" w:hAnsi="Arial" w:cs="Arial"/>
          <w:bCs/>
          <w:lang w:val="en-IN"/>
        </w:rPr>
        <w:t xml:space="preserve"> per cent) and GG-34 had accumulated the highest hygrothermal unit-I (155612 </w:t>
      </w:r>
      <w:r>
        <w:rPr>
          <w:rFonts w:ascii="Cambria Math" w:hAnsi="Cambria Math" w:cs="Cambria Math"/>
          <w:bCs/>
          <w:lang w:val="en-IN"/>
        </w:rPr>
        <w:t>℃</w:t>
      </w:r>
      <w:r>
        <w:rPr>
          <w:rFonts w:ascii="Arial" w:hAnsi="Arial" w:cs="Arial"/>
          <w:bCs/>
          <w:lang w:val="en-IN"/>
        </w:rPr>
        <w:t xml:space="preserve"> per cent). The HgTU-I generally decrease with delay in sowing time but it increased in 10</w:t>
      </w:r>
      <w:r>
        <w:rPr>
          <w:rFonts w:ascii="Arial" w:hAnsi="Arial" w:cs="Arial"/>
          <w:bCs/>
          <w:vertAlign w:val="superscript"/>
          <w:lang w:val="en-IN"/>
        </w:rPr>
        <w:t>th</w:t>
      </w:r>
      <w:r>
        <w:rPr>
          <w:rFonts w:ascii="Arial" w:hAnsi="Arial" w:cs="Arial"/>
          <w:bCs/>
          <w:lang w:val="en-IN"/>
        </w:rPr>
        <w:t xml:space="preserve"> SMW. It might be due to increased relative humidity-I during later crop stage which was the result of early onset of monsoon. The findings are in close association with Kumar </w:t>
      </w:r>
      <w:r>
        <w:rPr>
          <w:rFonts w:ascii="Arial" w:hAnsi="Arial" w:cs="Arial"/>
          <w:bCs/>
          <w:i/>
          <w:iCs/>
          <w:lang w:val="en-IN"/>
        </w:rPr>
        <w:t>et al.</w:t>
      </w:r>
      <w:r>
        <w:rPr>
          <w:rFonts w:ascii="Arial" w:hAnsi="Arial" w:cs="Arial"/>
          <w:bCs/>
          <w:lang w:val="en-IN"/>
        </w:rPr>
        <w:t xml:space="preserve"> (2018) and </w:t>
      </w:r>
      <w:proofErr w:type="spellStart"/>
      <w:r>
        <w:rPr>
          <w:rFonts w:ascii="Arial" w:hAnsi="Arial" w:cs="Arial"/>
          <w:bCs/>
          <w:lang w:val="en-IN"/>
        </w:rPr>
        <w:t>Limbasiya</w:t>
      </w:r>
      <w:proofErr w:type="spellEnd"/>
      <w:r>
        <w:rPr>
          <w:rFonts w:ascii="Arial" w:hAnsi="Arial" w:cs="Arial"/>
          <w:bCs/>
          <w:lang w:val="en-IN"/>
        </w:rPr>
        <w:t xml:space="preserve"> (2022).</w:t>
      </w:r>
    </w:p>
    <w:p w14:paraId="02DC1B3A" w14:textId="77777777" w:rsidR="00520137" w:rsidRDefault="008937FE">
      <w:pPr>
        <w:pStyle w:val="Body"/>
        <w:spacing w:after="0" w:line="276" w:lineRule="auto"/>
        <w:rPr>
          <w:rFonts w:ascii="Arial" w:hAnsi="Arial" w:cs="Arial"/>
          <w:bCs/>
          <w:u w:val="single"/>
          <w:lang w:val="en-IN"/>
        </w:rPr>
      </w:pPr>
      <w:r>
        <w:rPr>
          <w:rFonts w:ascii="Arial" w:hAnsi="Arial" w:cs="Arial"/>
          <w:b/>
          <w:bCs/>
          <w:u w:val="single"/>
          <w:lang w:val="en-IN"/>
        </w:rPr>
        <w:t>3.1.5 Hygrothermal Unit-II (HgTU-II)</w:t>
      </w:r>
    </w:p>
    <w:p w14:paraId="510D36D8" w14:textId="7E2B8A57" w:rsidR="00520137" w:rsidRDefault="008937FE">
      <w:pPr>
        <w:pStyle w:val="Body"/>
        <w:spacing w:after="0" w:line="276" w:lineRule="auto"/>
        <w:rPr>
          <w:rFonts w:ascii="Arial" w:hAnsi="Arial" w:cs="Arial"/>
          <w:bCs/>
          <w:lang w:val="en-IN"/>
        </w:rPr>
      </w:pPr>
      <w:r>
        <w:rPr>
          <w:rFonts w:ascii="Arial" w:hAnsi="Arial" w:cs="Arial"/>
          <w:bCs/>
          <w:lang w:val="en-IN"/>
        </w:rPr>
        <w:tab/>
        <w:t xml:space="preserve">The accumulated afternoon hygrothermal unit or hygrothermal unit-II during various crop phenophases under different sowing time and varieties is presented in the Table </w:t>
      </w:r>
      <w:r w:rsidR="001B104A">
        <w:rPr>
          <w:rFonts w:ascii="Arial" w:hAnsi="Arial" w:cs="Arial"/>
          <w:bCs/>
          <w:lang w:val="en-IN"/>
        </w:rPr>
        <w:t>2</w:t>
      </w:r>
      <w:r>
        <w:rPr>
          <w:rFonts w:ascii="Arial" w:hAnsi="Arial" w:cs="Arial"/>
          <w:bCs/>
          <w:lang w:val="en-IN"/>
        </w:rPr>
        <w:t>. In the sowing time, the hygrothermal unit-II was highest in 10</w:t>
      </w:r>
      <w:r>
        <w:rPr>
          <w:rFonts w:ascii="Arial" w:hAnsi="Arial" w:cs="Arial"/>
          <w:bCs/>
          <w:vertAlign w:val="superscript"/>
          <w:lang w:val="en-IN"/>
        </w:rPr>
        <w:t>th</w:t>
      </w:r>
      <w:r>
        <w:rPr>
          <w:rFonts w:ascii="Arial" w:hAnsi="Arial" w:cs="Arial"/>
          <w:bCs/>
          <w:lang w:val="en-IN"/>
        </w:rPr>
        <w:t xml:space="preserve"> SMW (54048 </w:t>
      </w:r>
      <w:r>
        <w:rPr>
          <w:rFonts w:ascii="Cambria Math" w:hAnsi="Cambria Math" w:cs="Cambria Math"/>
          <w:bCs/>
          <w:lang w:val="en-IN"/>
        </w:rPr>
        <w:t>℃</w:t>
      </w:r>
      <w:r>
        <w:rPr>
          <w:rFonts w:ascii="Arial" w:hAnsi="Arial" w:cs="Arial"/>
          <w:bCs/>
          <w:lang w:val="en-IN"/>
        </w:rPr>
        <w:t xml:space="preserve"> per cent) than </w:t>
      </w:r>
      <w:r>
        <w:rPr>
          <w:rFonts w:ascii="Arial" w:hAnsi="Arial" w:cs="Arial"/>
          <w:bCs/>
          <w:lang w:val="en-IN"/>
        </w:rPr>
        <w:lastRenderedPageBreak/>
        <w:t>other sowing time. The minimum hygrothermal unit-II accumulated in 6</w:t>
      </w:r>
      <w:r>
        <w:rPr>
          <w:rFonts w:ascii="Arial" w:hAnsi="Arial" w:cs="Arial"/>
          <w:bCs/>
          <w:vertAlign w:val="superscript"/>
          <w:lang w:val="en-IN"/>
        </w:rPr>
        <w:t>th</w:t>
      </w:r>
      <w:r>
        <w:rPr>
          <w:rFonts w:ascii="Arial" w:hAnsi="Arial" w:cs="Arial"/>
          <w:bCs/>
          <w:lang w:val="en-IN"/>
        </w:rPr>
        <w:t xml:space="preserve"> SMW sowing time (49221 </w:t>
      </w:r>
      <w:r>
        <w:rPr>
          <w:rFonts w:ascii="Cambria Math" w:hAnsi="Cambria Math" w:cs="Cambria Math"/>
          <w:bCs/>
          <w:lang w:val="en-IN"/>
        </w:rPr>
        <w:t>℃</w:t>
      </w:r>
      <w:r>
        <w:rPr>
          <w:rFonts w:ascii="Arial" w:hAnsi="Arial" w:cs="Arial"/>
          <w:bCs/>
          <w:lang w:val="en-IN"/>
        </w:rPr>
        <w:t xml:space="preserve"> per cent). Among the varieties, GJG-31 variety accumulated lowest hygrothermal unit-II (48686 </w:t>
      </w:r>
      <w:r>
        <w:rPr>
          <w:rFonts w:ascii="Cambria Math" w:hAnsi="Cambria Math" w:cs="Cambria Math"/>
          <w:bCs/>
          <w:lang w:val="en-IN"/>
        </w:rPr>
        <w:t>℃</w:t>
      </w:r>
      <w:r>
        <w:rPr>
          <w:rFonts w:ascii="Arial" w:hAnsi="Arial" w:cs="Arial"/>
          <w:bCs/>
          <w:lang w:val="en-IN"/>
        </w:rPr>
        <w:t xml:space="preserve"> per cent) and GG-34 had accumulated the highest hygrothermal unit-II (55380 </w:t>
      </w:r>
      <w:r>
        <w:rPr>
          <w:rFonts w:ascii="Cambria Math" w:hAnsi="Cambria Math" w:cs="Cambria Math"/>
          <w:bCs/>
          <w:lang w:val="en-IN"/>
        </w:rPr>
        <w:t>℃</w:t>
      </w:r>
      <w:r>
        <w:rPr>
          <w:rFonts w:ascii="Arial" w:hAnsi="Arial" w:cs="Arial"/>
          <w:bCs/>
          <w:lang w:val="en-IN"/>
        </w:rPr>
        <w:t xml:space="preserve"> per cent). It might be due to increased relative humidity-II during later crop stage which was the result of early onset of monsoon. The findings are in close association with Kumar </w:t>
      </w:r>
      <w:r>
        <w:rPr>
          <w:rFonts w:ascii="Arial" w:hAnsi="Arial" w:cs="Arial"/>
          <w:bCs/>
          <w:i/>
          <w:iCs/>
          <w:lang w:val="en-IN"/>
        </w:rPr>
        <w:t>et al.</w:t>
      </w:r>
      <w:r>
        <w:rPr>
          <w:rFonts w:ascii="Arial" w:hAnsi="Arial" w:cs="Arial"/>
          <w:bCs/>
          <w:lang w:val="en-IN"/>
        </w:rPr>
        <w:t xml:space="preserve"> (2018), Dodiya (2022) and </w:t>
      </w:r>
      <w:proofErr w:type="spellStart"/>
      <w:r>
        <w:rPr>
          <w:rFonts w:ascii="Arial" w:hAnsi="Arial" w:cs="Arial"/>
          <w:bCs/>
          <w:lang w:val="en-IN"/>
        </w:rPr>
        <w:t>Limbasiya</w:t>
      </w:r>
      <w:proofErr w:type="spellEnd"/>
      <w:r>
        <w:rPr>
          <w:rFonts w:ascii="Arial" w:hAnsi="Arial" w:cs="Arial"/>
          <w:bCs/>
          <w:lang w:val="en-IN"/>
        </w:rPr>
        <w:t xml:space="preserve"> (2022).</w:t>
      </w:r>
    </w:p>
    <w:p w14:paraId="73B606AC" w14:textId="256DFDFB" w:rsidR="002B25F9" w:rsidRDefault="002B25F9" w:rsidP="002B25F9">
      <w:pPr>
        <w:widowControl w:val="0"/>
        <w:autoSpaceDE w:val="0"/>
        <w:autoSpaceDN w:val="0"/>
        <w:adjustRightInd w:val="0"/>
        <w:spacing w:line="276" w:lineRule="auto"/>
        <w:ind w:right="-1049"/>
        <w:jc w:val="both"/>
        <w:rPr>
          <w:rFonts w:ascii="Arial" w:hAnsi="Arial" w:cs="Arial"/>
          <w:b/>
          <w:bCs/>
          <w:szCs w:val="24"/>
        </w:rPr>
      </w:pPr>
      <w:r>
        <w:rPr>
          <w:rFonts w:ascii="Arial" w:hAnsi="Arial" w:cs="Arial"/>
          <w:b/>
          <w:bCs/>
          <w:szCs w:val="24"/>
        </w:rPr>
        <w:t xml:space="preserve">Table </w:t>
      </w:r>
      <w:r>
        <w:rPr>
          <w:rFonts w:ascii="Arial" w:hAnsi="Arial" w:cs="Arial"/>
          <w:b/>
          <w:bCs/>
          <w:szCs w:val="24"/>
        </w:rPr>
        <w:t>1</w:t>
      </w:r>
      <w:r>
        <w:rPr>
          <w:rFonts w:ascii="Arial" w:hAnsi="Arial" w:cs="Arial"/>
          <w:b/>
          <w:bCs/>
          <w:szCs w:val="24"/>
        </w:rPr>
        <w:t xml:space="preserve"> Effect of sowing dates on yield attributes and yield in summer groundnut cultivars</w:t>
      </w:r>
    </w:p>
    <w:p w14:paraId="02FDCDD9" w14:textId="77777777" w:rsidR="00520137" w:rsidRDefault="00520137">
      <w:pPr>
        <w:pStyle w:val="Body"/>
        <w:spacing w:after="0" w:line="276" w:lineRule="auto"/>
        <w:rPr>
          <w:rFonts w:ascii="Arial" w:hAnsi="Arial" w:cs="Arial"/>
          <w:bCs/>
          <w:lang w:val="en-IN"/>
        </w:rPr>
      </w:pPr>
    </w:p>
    <w:tbl>
      <w:tblPr>
        <w:tblW w:w="4462" w:type="pct"/>
        <w:tblInd w:w="675" w:type="dxa"/>
        <w:tblLayout w:type="fixed"/>
        <w:tblLook w:val="04A0" w:firstRow="1" w:lastRow="0" w:firstColumn="1" w:lastColumn="0" w:noHBand="0" w:noVBand="1"/>
      </w:tblPr>
      <w:tblGrid>
        <w:gridCol w:w="1842"/>
        <w:gridCol w:w="2694"/>
        <w:gridCol w:w="2976"/>
      </w:tblGrid>
      <w:tr w:rsidR="002B25F9" w14:paraId="62A1A0A3" w14:textId="41BFDFD8" w:rsidTr="002B25F9">
        <w:trPr>
          <w:trHeight w:val="352"/>
        </w:trPr>
        <w:tc>
          <w:tcPr>
            <w:tcW w:w="12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0D739" w14:textId="77777777" w:rsidR="002B25F9" w:rsidRDefault="002B25F9" w:rsidP="002B25F9">
            <w:pPr>
              <w:spacing w:line="276" w:lineRule="auto"/>
              <w:jc w:val="center"/>
              <w:rPr>
                <w:rFonts w:ascii="Arial" w:hAnsi="Arial" w:cs="Arial"/>
                <w:b/>
                <w:bCs/>
                <w:lang w:eastAsia="en-IN"/>
              </w:rPr>
            </w:pPr>
          </w:p>
          <w:p w14:paraId="19FAA28E" w14:textId="32EA08D0" w:rsidR="002B25F9" w:rsidRDefault="002B25F9" w:rsidP="002B25F9">
            <w:pPr>
              <w:spacing w:line="276" w:lineRule="auto"/>
              <w:jc w:val="center"/>
              <w:rPr>
                <w:rFonts w:ascii="Arial" w:hAnsi="Arial" w:cs="Arial"/>
                <w:b/>
                <w:bCs/>
                <w:lang w:eastAsia="en-IN"/>
              </w:rPr>
            </w:pPr>
            <w:r>
              <w:rPr>
                <w:rFonts w:ascii="Arial" w:hAnsi="Arial" w:cs="Arial"/>
                <w:b/>
                <w:bCs/>
                <w:lang w:eastAsia="en-IN"/>
              </w:rPr>
              <w:t>Treatment</w:t>
            </w:r>
          </w:p>
          <w:p w14:paraId="3F3ACF71" w14:textId="77777777" w:rsidR="002B25F9" w:rsidRDefault="002B25F9" w:rsidP="002B25F9">
            <w:pPr>
              <w:spacing w:line="276" w:lineRule="auto"/>
              <w:jc w:val="center"/>
              <w:rPr>
                <w:rFonts w:ascii="Arial" w:hAnsi="Arial" w:cs="Arial"/>
                <w:b/>
                <w:bCs/>
                <w:lang w:eastAsia="en-IN"/>
              </w:rPr>
            </w:pPr>
          </w:p>
          <w:p w14:paraId="4E35022F" w14:textId="77777777" w:rsidR="002B25F9" w:rsidRDefault="002B25F9" w:rsidP="002B25F9">
            <w:pPr>
              <w:spacing w:line="276" w:lineRule="auto"/>
              <w:jc w:val="center"/>
              <w:rPr>
                <w:rFonts w:ascii="Arial" w:hAnsi="Arial" w:cs="Arial"/>
                <w:b/>
                <w:bCs/>
                <w:lang w:eastAsia="en-IN"/>
              </w:rPr>
            </w:pPr>
          </w:p>
        </w:tc>
        <w:tc>
          <w:tcPr>
            <w:tcW w:w="1793" w:type="pct"/>
            <w:tcBorders>
              <w:top w:val="single" w:sz="4" w:space="0" w:color="auto"/>
              <w:left w:val="single" w:sz="4" w:space="0" w:color="auto"/>
              <w:bottom w:val="single" w:sz="4" w:space="0" w:color="auto"/>
              <w:right w:val="single" w:sz="4" w:space="0" w:color="auto"/>
            </w:tcBorders>
            <w:vAlign w:val="center"/>
          </w:tcPr>
          <w:p w14:paraId="4A14413C" w14:textId="097CB044" w:rsidR="002B25F9" w:rsidRDefault="002B25F9" w:rsidP="002B25F9">
            <w:pPr>
              <w:spacing w:line="276" w:lineRule="auto"/>
              <w:jc w:val="center"/>
              <w:rPr>
                <w:rFonts w:ascii="Arial" w:hAnsi="Arial" w:cs="Arial"/>
                <w:b/>
                <w:bCs/>
                <w:lang w:eastAsia="en-IN"/>
              </w:rPr>
            </w:pPr>
            <w:r>
              <w:rPr>
                <w:rFonts w:ascii="Arial" w:hAnsi="Arial" w:cs="Arial"/>
                <w:b/>
                <w:bCs/>
                <w:szCs w:val="24"/>
                <w:lang w:eastAsia="en-IN"/>
              </w:rPr>
              <w:t>Pod yield (kg/ha)</w:t>
            </w:r>
          </w:p>
        </w:tc>
        <w:tc>
          <w:tcPr>
            <w:tcW w:w="1981" w:type="pct"/>
            <w:tcBorders>
              <w:top w:val="single" w:sz="4" w:space="0" w:color="auto"/>
              <w:left w:val="single" w:sz="4" w:space="0" w:color="auto"/>
              <w:bottom w:val="single" w:sz="4" w:space="0" w:color="auto"/>
              <w:right w:val="single" w:sz="4" w:space="0" w:color="auto"/>
            </w:tcBorders>
            <w:vAlign w:val="center"/>
          </w:tcPr>
          <w:p w14:paraId="78FB2713" w14:textId="0F82D023" w:rsidR="002B25F9" w:rsidRDefault="002B25F9" w:rsidP="002B25F9">
            <w:pPr>
              <w:spacing w:line="276" w:lineRule="auto"/>
              <w:jc w:val="center"/>
              <w:rPr>
                <w:rFonts w:ascii="Arial" w:hAnsi="Arial" w:cs="Arial"/>
                <w:b/>
                <w:bCs/>
                <w:lang w:eastAsia="en-IN"/>
              </w:rPr>
            </w:pPr>
            <w:r>
              <w:rPr>
                <w:rFonts w:ascii="Arial" w:hAnsi="Arial" w:cs="Arial"/>
                <w:b/>
                <w:bCs/>
                <w:szCs w:val="24"/>
                <w:lang w:eastAsia="en-IN"/>
              </w:rPr>
              <w:t>Haulm yield (kg/ha)</w:t>
            </w:r>
          </w:p>
        </w:tc>
      </w:tr>
      <w:tr w:rsidR="002B25F9" w14:paraId="23F69816" w14:textId="77777777" w:rsidTr="002B25F9">
        <w:trPr>
          <w:trHeight w:val="352"/>
        </w:trPr>
        <w:tc>
          <w:tcPr>
            <w:tcW w:w="5000" w:type="pct"/>
            <w:gridSpan w:val="3"/>
            <w:tcBorders>
              <w:top w:val="single" w:sz="4" w:space="0" w:color="auto"/>
              <w:left w:val="single" w:sz="4" w:space="0" w:color="auto"/>
              <w:bottom w:val="single" w:sz="4" w:space="0" w:color="auto"/>
              <w:right w:val="single" w:sz="4" w:space="0" w:color="auto"/>
            </w:tcBorders>
          </w:tcPr>
          <w:p w14:paraId="6D9C65B4" w14:textId="5616FA4A" w:rsidR="002B25F9" w:rsidRDefault="002B25F9" w:rsidP="002B25F9">
            <w:pPr>
              <w:spacing w:line="276" w:lineRule="auto"/>
              <w:jc w:val="center"/>
              <w:rPr>
                <w:rFonts w:ascii="Arial" w:hAnsi="Arial" w:cs="Arial"/>
                <w:b/>
                <w:bCs/>
                <w:lang w:eastAsia="en-IN"/>
              </w:rPr>
            </w:pPr>
            <w:r>
              <w:rPr>
                <w:rFonts w:ascii="Arial" w:hAnsi="Arial" w:cs="Arial"/>
                <w:b/>
                <w:bCs/>
                <w:lang w:eastAsia="en-IN"/>
              </w:rPr>
              <w:t>Sowing date</w:t>
            </w:r>
          </w:p>
        </w:tc>
      </w:tr>
      <w:tr w:rsidR="002B25F9" w14:paraId="07EA8B3A" w14:textId="150B8566" w:rsidTr="002B25F9">
        <w:trPr>
          <w:trHeight w:val="408"/>
        </w:trPr>
        <w:tc>
          <w:tcPr>
            <w:tcW w:w="12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6355AD6" w14:textId="77777777" w:rsidR="002B25F9" w:rsidRDefault="002B25F9" w:rsidP="002B25F9">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1</w:t>
            </w:r>
            <w:r>
              <w:rPr>
                <w:rFonts w:ascii="Arial" w:hAnsi="Arial" w:cs="Arial"/>
                <w:b/>
                <w:bCs/>
                <w:color w:val="000000"/>
                <w:lang w:eastAsia="en-IN"/>
              </w:rPr>
              <w:t>: 4</w:t>
            </w:r>
            <w:r>
              <w:rPr>
                <w:rFonts w:ascii="Arial" w:hAnsi="Arial" w:cs="Arial"/>
                <w:b/>
                <w:bCs/>
                <w:color w:val="000000"/>
                <w:vertAlign w:val="superscript"/>
                <w:lang w:eastAsia="en-IN"/>
              </w:rPr>
              <w:t>th</w:t>
            </w:r>
            <w:r>
              <w:rPr>
                <w:rFonts w:ascii="Arial" w:hAnsi="Arial" w:cs="Arial"/>
                <w:b/>
                <w:bCs/>
                <w:color w:val="000000"/>
                <w:lang w:eastAsia="en-IN"/>
              </w:rPr>
              <w:t xml:space="preserve"> SMW</w:t>
            </w:r>
          </w:p>
        </w:tc>
        <w:tc>
          <w:tcPr>
            <w:tcW w:w="1793" w:type="pct"/>
            <w:tcBorders>
              <w:top w:val="nil"/>
              <w:left w:val="single" w:sz="4" w:space="0" w:color="auto"/>
              <w:bottom w:val="single" w:sz="4" w:space="0" w:color="auto"/>
              <w:right w:val="single" w:sz="4" w:space="0" w:color="auto"/>
            </w:tcBorders>
            <w:shd w:val="clear" w:color="auto" w:fill="FFFFFF" w:themeFill="background1"/>
            <w:vAlign w:val="center"/>
          </w:tcPr>
          <w:p w14:paraId="14DEB3DB" w14:textId="39F5A185" w:rsidR="002B25F9" w:rsidRDefault="002B25F9" w:rsidP="002B25F9">
            <w:pPr>
              <w:spacing w:line="276" w:lineRule="auto"/>
              <w:jc w:val="center"/>
              <w:rPr>
                <w:rFonts w:ascii="Arial" w:hAnsi="Arial" w:cs="Arial"/>
                <w:b/>
                <w:bCs/>
                <w:color w:val="000000"/>
                <w:lang w:eastAsia="en-IN"/>
              </w:rPr>
            </w:pPr>
            <w:r>
              <w:rPr>
                <w:rFonts w:ascii="Arial" w:hAnsi="Arial" w:cs="Arial"/>
                <w:color w:val="000000"/>
                <w:szCs w:val="24"/>
                <w:lang w:eastAsia="en-IN"/>
              </w:rPr>
              <w:t>1849</w:t>
            </w:r>
          </w:p>
        </w:tc>
        <w:tc>
          <w:tcPr>
            <w:tcW w:w="1981" w:type="pct"/>
            <w:tcBorders>
              <w:top w:val="nil"/>
              <w:left w:val="single" w:sz="4" w:space="0" w:color="auto"/>
              <w:bottom w:val="single" w:sz="4" w:space="0" w:color="auto"/>
              <w:right w:val="single" w:sz="4" w:space="0" w:color="auto"/>
            </w:tcBorders>
            <w:shd w:val="clear" w:color="auto" w:fill="FFFFFF" w:themeFill="background1"/>
            <w:vAlign w:val="center"/>
          </w:tcPr>
          <w:p w14:paraId="76095D90" w14:textId="1F42399E" w:rsidR="002B25F9" w:rsidRDefault="002B25F9" w:rsidP="002B25F9">
            <w:pPr>
              <w:spacing w:line="276" w:lineRule="auto"/>
              <w:jc w:val="center"/>
              <w:rPr>
                <w:rFonts w:ascii="Arial" w:hAnsi="Arial" w:cs="Arial"/>
                <w:b/>
                <w:bCs/>
                <w:color w:val="000000"/>
                <w:lang w:eastAsia="en-IN"/>
              </w:rPr>
            </w:pPr>
            <w:r>
              <w:rPr>
                <w:rFonts w:ascii="Arial" w:hAnsi="Arial" w:cs="Arial"/>
                <w:color w:val="000000"/>
                <w:szCs w:val="24"/>
                <w:lang w:eastAsia="en-IN"/>
              </w:rPr>
              <w:t>2223</w:t>
            </w:r>
          </w:p>
        </w:tc>
      </w:tr>
      <w:tr w:rsidR="002B25F9" w14:paraId="3528F0A7" w14:textId="60575067" w:rsidTr="002B25F9">
        <w:trPr>
          <w:trHeight w:val="408"/>
        </w:trPr>
        <w:tc>
          <w:tcPr>
            <w:tcW w:w="12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BEBEE7C" w14:textId="77777777" w:rsidR="002B25F9" w:rsidRDefault="002B25F9" w:rsidP="002B25F9">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2</w:t>
            </w:r>
            <w:r>
              <w:rPr>
                <w:rFonts w:ascii="Arial" w:hAnsi="Arial" w:cs="Arial"/>
                <w:b/>
                <w:bCs/>
                <w:color w:val="000000"/>
                <w:lang w:eastAsia="en-IN"/>
              </w:rPr>
              <w:t>: 6</w:t>
            </w:r>
            <w:r>
              <w:rPr>
                <w:rFonts w:ascii="Arial" w:hAnsi="Arial" w:cs="Arial"/>
                <w:b/>
                <w:bCs/>
                <w:color w:val="000000"/>
                <w:vertAlign w:val="superscript"/>
                <w:lang w:eastAsia="en-IN"/>
              </w:rPr>
              <w:t>th</w:t>
            </w:r>
            <w:r>
              <w:rPr>
                <w:rFonts w:ascii="Arial" w:hAnsi="Arial" w:cs="Arial"/>
                <w:b/>
                <w:bCs/>
                <w:color w:val="000000"/>
                <w:lang w:eastAsia="en-IN"/>
              </w:rPr>
              <w:t xml:space="preserve"> SMW</w:t>
            </w:r>
          </w:p>
        </w:tc>
        <w:tc>
          <w:tcPr>
            <w:tcW w:w="1793" w:type="pct"/>
            <w:tcBorders>
              <w:top w:val="nil"/>
              <w:left w:val="single" w:sz="4" w:space="0" w:color="auto"/>
              <w:bottom w:val="single" w:sz="4" w:space="0" w:color="auto"/>
              <w:right w:val="single" w:sz="4" w:space="0" w:color="auto"/>
            </w:tcBorders>
            <w:shd w:val="clear" w:color="auto" w:fill="FFFFFF" w:themeFill="background1"/>
            <w:vAlign w:val="center"/>
          </w:tcPr>
          <w:p w14:paraId="17D275E0" w14:textId="4AA9351E" w:rsidR="002B25F9" w:rsidRDefault="002B25F9" w:rsidP="002B25F9">
            <w:pPr>
              <w:spacing w:line="276" w:lineRule="auto"/>
              <w:jc w:val="center"/>
              <w:rPr>
                <w:rFonts w:ascii="Arial" w:hAnsi="Arial" w:cs="Arial"/>
                <w:b/>
                <w:bCs/>
                <w:color w:val="000000"/>
                <w:lang w:eastAsia="en-IN"/>
              </w:rPr>
            </w:pPr>
            <w:r>
              <w:rPr>
                <w:rFonts w:ascii="Arial" w:hAnsi="Arial" w:cs="Arial"/>
                <w:color w:val="000000"/>
                <w:szCs w:val="24"/>
                <w:lang w:eastAsia="en-IN"/>
              </w:rPr>
              <w:t>2563</w:t>
            </w:r>
          </w:p>
        </w:tc>
        <w:tc>
          <w:tcPr>
            <w:tcW w:w="1981" w:type="pct"/>
            <w:tcBorders>
              <w:top w:val="nil"/>
              <w:left w:val="single" w:sz="4" w:space="0" w:color="auto"/>
              <w:bottom w:val="single" w:sz="4" w:space="0" w:color="auto"/>
              <w:right w:val="single" w:sz="4" w:space="0" w:color="auto"/>
            </w:tcBorders>
            <w:shd w:val="clear" w:color="auto" w:fill="FFFFFF" w:themeFill="background1"/>
            <w:vAlign w:val="center"/>
          </w:tcPr>
          <w:p w14:paraId="10B45943" w14:textId="5867AE1E" w:rsidR="002B25F9" w:rsidRDefault="002B25F9" w:rsidP="002B25F9">
            <w:pPr>
              <w:spacing w:line="276" w:lineRule="auto"/>
              <w:jc w:val="center"/>
              <w:rPr>
                <w:rFonts w:ascii="Arial" w:hAnsi="Arial" w:cs="Arial"/>
                <w:b/>
                <w:bCs/>
                <w:color w:val="000000"/>
                <w:lang w:eastAsia="en-IN"/>
              </w:rPr>
            </w:pPr>
            <w:r>
              <w:rPr>
                <w:rFonts w:ascii="Arial" w:hAnsi="Arial" w:cs="Arial"/>
                <w:color w:val="000000"/>
                <w:szCs w:val="24"/>
                <w:lang w:eastAsia="en-IN"/>
              </w:rPr>
              <w:t>2882</w:t>
            </w:r>
          </w:p>
        </w:tc>
      </w:tr>
      <w:tr w:rsidR="002B25F9" w14:paraId="1977CAF1" w14:textId="71D10AA5" w:rsidTr="002B25F9">
        <w:trPr>
          <w:trHeight w:val="408"/>
        </w:trPr>
        <w:tc>
          <w:tcPr>
            <w:tcW w:w="12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EA4F5D4" w14:textId="77777777" w:rsidR="002B25F9" w:rsidRDefault="002B25F9" w:rsidP="002B25F9">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3</w:t>
            </w:r>
            <w:r>
              <w:rPr>
                <w:rFonts w:ascii="Arial" w:hAnsi="Arial" w:cs="Arial"/>
                <w:b/>
                <w:bCs/>
                <w:color w:val="000000"/>
                <w:lang w:eastAsia="en-IN"/>
              </w:rPr>
              <w:t>: 8</w:t>
            </w:r>
            <w:r>
              <w:rPr>
                <w:rFonts w:ascii="Arial" w:hAnsi="Arial" w:cs="Arial"/>
                <w:b/>
                <w:bCs/>
                <w:color w:val="000000"/>
                <w:vertAlign w:val="superscript"/>
                <w:lang w:eastAsia="en-IN"/>
              </w:rPr>
              <w:t>th</w:t>
            </w:r>
            <w:r>
              <w:rPr>
                <w:rFonts w:ascii="Arial" w:hAnsi="Arial" w:cs="Arial"/>
                <w:b/>
                <w:bCs/>
                <w:color w:val="000000"/>
                <w:lang w:eastAsia="en-IN"/>
              </w:rPr>
              <w:t xml:space="preserve"> SMW</w:t>
            </w:r>
          </w:p>
        </w:tc>
        <w:tc>
          <w:tcPr>
            <w:tcW w:w="1793" w:type="pct"/>
            <w:tcBorders>
              <w:top w:val="nil"/>
              <w:left w:val="single" w:sz="4" w:space="0" w:color="auto"/>
              <w:bottom w:val="single" w:sz="4" w:space="0" w:color="auto"/>
              <w:right w:val="single" w:sz="4" w:space="0" w:color="auto"/>
            </w:tcBorders>
            <w:shd w:val="clear" w:color="auto" w:fill="FFFFFF" w:themeFill="background1"/>
            <w:vAlign w:val="center"/>
          </w:tcPr>
          <w:p w14:paraId="37995A8B" w14:textId="1C8F9628" w:rsidR="002B25F9" w:rsidRDefault="002B25F9" w:rsidP="002B25F9">
            <w:pPr>
              <w:spacing w:line="276" w:lineRule="auto"/>
              <w:jc w:val="center"/>
              <w:rPr>
                <w:rFonts w:ascii="Arial" w:hAnsi="Arial" w:cs="Arial"/>
                <w:b/>
                <w:bCs/>
                <w:color w:val="000000"/>
                <w:lang w:eastAsia="en-IN"/>
              </w:rPr>
            </w:pPr>
            <w:r>
              <w:rPr>
                <w:rFonts w:ascii="Arial" w:hAnsi="Arial" w:cs="Arial"/>
                <w:color w:val="000000"/>
                <w:szCs w:val="24"/>
                <w:lang w:eastAsia="en-IN"/>
              </w:rPr>
              <w:t>2298</w:t>
            </w:r>
          </w:p>
        </w:tc>
        <w:tc>
          <w:tcPr>
            <w:tcW w:w="1981" w:type="pct"/>
            <w:tcBorders>
              <w:top w:val="nil"/>
              <w:left w:val="single" w:sz="4" w:space="0" w:color="auto"/>
              <w:bottom w:val="single" w:sz="4" w:space="0" w:color="auto"/>
              <w:right w:val="single" w:sz="4" w:space="0" w:color="auto"/>
            </w:tcBorders>
            <w:shd w:val="clear" w:color="auto" w:fill="FFFFFF" w:themeFill="background1"/>
            <w:vAlign w:val="center"/>
          </w:tcPr>
          <w:p w14:paraId="7B925BB1" w14:textId="4B804D87" w:rsidR="002B25F9" w:rsidRDefault="002B25F9" w:rsidP="002B25F9">
            <w:pPr>
              <w:spacing w:line="276" w:lineRule="auto"/>
              <w:jc w:val="center"/>
              <w:rPr>
                <w:rFonts w:ascii="Arial" w:hAnsi="Arial" w:cs="Arial"/>
                <w:b/>
                <w:bCs/>
                <w:color w:val="000000"/>
                <w:lang w:eastAsia="en-IN"/>
              </w:rPr>
            </w:pPr>
            <w:r>
              <w:rPr>
                <w:rFonts w:ascii="Arial" w:hAnsi="Arial" w:cs="Arial"/>
                <w:color w:val="000000"/>
                <w:szCs w:val="24"/>
                <w:lang w:eastAsia="en-IN"/>
              </w:rPr>
              <w:t>2797</w:t>
            </w:r>
          </w:p>
        </w:tc>
      </w:tr>
      <w:tr w:rsidR="002B25F9" w14:paraId="615855B2" w14:textId="38D489F7" w:rsidTr="002B25F9">
        <w:trPr>
          <w:trHeight w:val="408"/>
        </w:trPr>
        <w:tc>
          <w:tcPr>
            <w:tcW w:w="12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3B13C05" w14:textId="77777777" w:rsidR="002B25F9" w:rsidRDefault="002B25F9" w:rsidP="002B25F9">
            <w:pPr>
              <w:spacing w:line="276" w:lineRule="auto"/>
              <w:rPr>
                <w:rFonts w:ascii="Arial" w:hAnsi="Arial" w:cs="Arial"/>
                <w:b/>
                <w:bCs/>
                <w:color w:val="000000"/>
                <w:lang w:eastAsia="en-IN"/>
              </w:rPr>
            </w:pPr>
            <w:r>
              <w:rPr>
                <w:rFonts w:ascii="Arial" w:hAnsi="Arial" w:cs="Arial"/>
                <w:b/>
                <w:bCs/>
                <w:color w:val="000000"/>
                <w:lang w:eastAsia="en-IN"/>
              </w:rPr>
              <w:t>D</w:t>
            </w:r>
            <w:r>
              <w:rPr>
                <w:rFonts w:ascii="Arial" w:hAnsi="Arial" w:cs="Arial"/>
                <w:b/>
                <w:bCs/>
                <w:color w:val="000000"/>
                <w:vertAlign w:val="subscript"/>
                <w:lang w:eastAsia="en-IN"/>
              </w:rPr>
              <w:t>4</w:t>
            </w:r>
            <w:r>
              <w:rPr>
                <w:rFonts w:ascii="Arial" w:hAnsi="Arial" w:cs="Arial"/>
                <w:b/>
                <w:bCs/>
                <w:color w:val="000000"/>
                <w:lang w:eastAsia="en-IN"/>
              </w:rPr>
              <w:t>: 10</w:t>
            </w:r>
            <w:r>
              <w:rPr>
                <w:rFonts w:ascii="Arial" w:hAnsi="Arial" w:cs="Arial"/>
                <w:b/>
                <w:bCs/>
                <w:color w:val="000000"/>
                <w:vertAlign w:val="superscript"/>
                <w:lang w:eastAsia="en-IN"/>
              </w:rPr>
              <w:t xml:space="preserve">th </w:t>
            </w:r>
            <w:r>
              <w:rPr>
                <w:rFonts w:ascii="Arial" w:hAnsi="Arial" w:cs="Arial"/>
                <w:b/>
                <w:bCs/>
                <w:color w:val="000000"/>
                <w:lang w:eastAsia="en-IN"/>
              </w:rPr>
              <w:t>SMW</w:t>
            </w:r>
          </w:p>
        </w:tc>
        <w:tc>
          <w:tcPr>
            <w:tcW w:w="1793" w:type="pct"/>
            <w:tcBorders>
              <w:top w:val="nil"/>
              <w:left w:val="single" w:sz="4" w:space="0" w:color="auto"/>
              <w:bottom w:val="single" w:sz="4" w:space="0" w:color="auto"/>
              <w:right w:val="single" w:sz="4" w:space="0" w:color="auto"/>
            </w:tcBorders>
            <w:shd w:val="clear" w:color="auto" w:fill="FFFFFF" w:themeFill="background1"/>
            <w:vAlign w:val="center"/>
          </w:tcPr>
          <w:p w14:paraId="783AC2C5" w14:textId="142B1B72" w:rsidR="002B25F9" w:rsidRDefault="002B25F9" w:rsidP="002B25F9">
            <w:pPr>
              <w:spacing w:line="276" w:lineRule="auto"/>
              <w:jc w:val="center"/>
              <w:rPr>
                <w:rFonts w:ascii="Arial" w:hAnsi="Arial" w:cs="Arial"/>
                <w:b/>
                <w:bCs/>
                <w:color w:val="000000"/>
                <w:lang w:eastAsia="en-IN"/>
              </w:rPr>
            </w:pPr>
            <w:r>
              <w:rPr>
                <w:rFonts w:ascii="Arial" w:hAnsi="Arial" w:cs="Arial"/>
                <w:color w:val="000000"/>
                <w:szCs w:val="24"/>
                <w:lang w:eastAsia="en-IN"/>
              </w:rPr>
              <w:t>2108</w:t>
            </w:r>
          </w:p>
        </w:tc>
        <w:tc>
          <w:tcPr>
            <w:tcW w:w="1981" w:type="pct"/>
            <w:tcBorders>
              <w:top w:val="nil"/>
              <w:left w:val="single" w:sz="4" w:space="0" w:color="auto"/>
              <w:bottom w:val="single" w:sz="4" w:space="0" w:color="auto"/>
              <w:right w:val="single" w:sz="4" w:space="0" w:color="auto"/>
            </w:tcBorders>
            <w:shd w:val="clear" w:color="auto" w:fill="FFFFFF" w:themeFill="background1"/>
            <w:vAlign w:val="center"/>
          </w:tcPr>
          <w:p w14:paraId="4CBD9B87" w14:textId="54C8B15D" w:rsidR="002B25F9" w:rsidRDefault="002B25F9" w:rsidP="002B25F9">
            <w:pPr>
              <w:spacing w:line="276" w:lineRule="auto"/>
              <w:jc w:val="center"/>
              <w:rPr>
                <w:rFonts w:ascii="Arial" w:hAnsi="Arial" w:cs="Arial"/>
                <w:b/>
                <w:bCs/>
                <w:color w:val="000000"/>
                <w:lang w:eastAsia="en-IN"/>
              </w:rPr>
            </w:pPr>
            <w:r>
              <w:rPr>
                <w:rFonts w:ascii="Arial" w:hAnsi="Arial" w:cs="Arial"/>
                <w:color w:val="000000"/>
                <w:szCs w:val="24"/>
                <w:lang w:eastAsia="en-IN"/>
              </w:rPr>
              <w:t>2771</w:t>
            </w:r>
          </w:p>
        </w:tc>
      </w:tr>
      <w:tr w:rsidR="002B25F9" w14:paraId="670B4B11" w14:textId="210458DF" w:rsidTr="002B25F9">
        <w:trPr>
          <w:trHeight w:val="324"/>
        </w:trPr>
        <w:tc>
          <w:tcPr>
            <w:tcW w:w="12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4DC6B41" w14:textId="77777777" w:rsidR="002B25F9" w:rsidRDefault="002B25F9" w:rsidP="002B25F9">
            <w:pPr>
              <w:spacing w:line="276" w:lineRule="auto"/>
              <w:rPr>
                <w:rFonts w:ascii="Arial" w:hAnsi="Arial" w:cs="Arial"/>
                <w:color w:val="000000"/>
                <w:lang w:eastAsia="en-IN"/>
              </w:rPr>
            </w:pPr>
            <w:r>
              <w:rPr>
                <w:rFonts w:ascii="Arial" w:hAnsi="Arial" w:cs="Arial"/>
                <w:color w:val="000000"/>
                <w:lang w:eastAsia="en-IN"/>
              </w:rPr>
              <w:t>S.</w:t>
            </w:r>
            <w:proofErr w:type="gramStart"/>
            <w:r>
              <w:rPr>
                <w:rFonts w:ascii="Arial" w:hAnsi="Arial" w:cs="Arial"/>
                <w:color w:val="000000"/>
                <w:lang w:eastAsia="en-IN"/>
              </w:rPr>
              <w:t>Em.±</w:t>
            </w:r>
            <w:proofErr w:type="gramEnd"/>
          </w:p>
        </w:tc>
        <w:tc>
          <w:tcPr>
            <w:tcW w:w="1793" w:type="pct"/>
            <w:tcBorders>
              <w:top w:val="nil"/>
              <w:left w:val="single" w:sz="4" w:space="0" w:color="auto"/>
              <w:bottom w:val="single" w:sz="4" w:space="0" w:color="auto"/>
              <w:right w:val="single" w:sz="4" w:space="0" w:color="auto"/>
            </w:tcBorders>
            <w:shd w:val="clear" w:color="auto" w:fill="FFFFFF" w:themeFill="background1"/>
            <w:vAlign w:val="center"/>
          </w:tcPr>
          <w:p w14:paraId="4F01B6F3" w14:textId="32492B88"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57.35</w:t>
            </w:r>
          </w:p>
        </w:tc>
        <w:tc>
          <w:tcPr>
            <w:tcW w:w="1981" w:type="pct"/>
            <w:tcBorders>
              <w:top w:val="nil"/>
              <w:left w:val="single" w:sz="4" w:space="0" w:color="auto"/>
              <w:bottom w:val="single" w:sz="4" w:space="0" w:color="auto"/>
              <w:right w:val="single" w:sz="4" w:space="0" w:color="auto"/>
            </w:tcBorders>
            <w:shd w:val="clear" w:color="auto" w:fill="FFFFFF" w:themeFill="background1"/>
            <w:vAlign w:val="center"/>
          </w:tcPr>
          <w:p w14:paraId="3ED219C9" w14:textId="3C17C5B7"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90.44</w:t>
            </w:r>
          </w:p>
        </w:tc>
      </w:tr>
      <w:tr w:rsidR="002B25F9" w14:paraId="6F92B341" w14:textId="1D340565" w:rsidTr="002B25F9">
        <w:trPr>
          <w:trHeight w:val="324"/>
        </w:trPr>
        <w:tc>
          <w:tcPr>
            <w:tcW w:w="12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74BBCB1" w14:textId="77777777" w:rsidR="002B25F9" w:rsidRDefault="002B25F9" w:rsidP="002B25F9">
            <w:pPr>
              <w:spacing w:line="276" w:lineRule="auto"/>
              <w:rPr>
                <w:rFonts w:ascii="Arial" w:hAnsi="Arial" w:cs="Arial"/>
                <w:color w:val="000000"/>
                <w:lang w:eastAsia="en-IN"/>
              </w:rPr>
            </w:pPr>
            <w:r>
              <w:rPr>
                <w:rFonts w:ascii="Arial" w:hAnsi="Arial" w:cs="Arial"/>
                <w:color w:val="000000"/>
                <w:lang w:eastAsia="en-IN"/>
              </w:rPr>
              <w:t>C.D. at 5 %</w:t>
            </w:r>
          </w:p>
        </w:tc>
        <w:tc>
          <w:tcPr>
            <w:tcW w:w="1793" w:type="pct"/>
            <w:tcBorders>
              <w:top w:val="nil"/>
              <w:left w:val="single" w:sz="4" w:space="0" w:color="auto"/>
              <w:bottom w:val="single" w:sz="4" w:space="0" w:color="auto"/>
              <w:right w:val="single" w:sz="4" w:space="0" w:color="auto"/>
            </w:tcBorders>
            <w:shd w:val="clear" w:color="auto" w:fill="FFFFFF" w:themeFill="background1"/>
            <w:vAlign w:val="center"/>
          </w:tcPr>
          <w:p w14:paraId="63EFBD13" w14:textId="7708D7FE"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198.45</w:t>
            </w:r>
          </w:p>
        </w:tc>
        <w:tc>
          <w:tcPr>
            <w:tcW w:w="1981" w:type="pct"/>
            <w:tcBorders>
              <w:top w:val="nil"/>
              <w:left w:val="single" w:sz="4" w:space="0" w:color="auto"/>
              <w:bottom w:val="single" w:sz="4" w:space="0" w:color="auto"/>
              <w:right w:val="single" w:sz="4" w:space="0" w:color="auto"/>
            </w:tcBorders>
            <w:shd w:val="clear" w:color="auto" w:fill="FFFFFF" w:themeFill="background1"/>
            <w:vAlign w:val="center"/>
          </w:tcPr>
          <w:p w14:paraId="6FBFB134" w14:textId="2953154C"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312.98</w:t>
            </w:r>
          </w:p>
        </w:tc>
      </w:tr>
      <w:tr w:rsidR="002B25F9" w14:paraId="481194D4" w14:textId="27FE1CF7" w:rsidTr="002B25F9">
        <w:trPr>
          <w:trHeight w:val="324"/>
        </w:trPr>
        <w:tc>
          <w:tcPr>
            <w:tcW w:w="12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9F3C676" w14:textId="77777777" w:rsidR="002B25F9" w:rsidRDefault="002B25F9" w:rsidP="002B25F9">
            <w:pPr>
              <w:spacing w:line="276" w:lineRule="auto"/>
              <w:rPr>
                <w:rFonts w:ascii="Arial" w:hAnsi="Arial" w:cs="Arial"/>
                <w:color w:val="000000"/>
                <w:lang w:eastAsia="en-IN"/>
              </w:rPr>
            </w:pPr>
            <w:r>
              <w:rPr>
                <w:rFonts w:ascii="Arial" w:hAnsi="Arial" w:cs="Arial"/>
                <w:color w:val="000000"/>
                <w:lang w:eastAsia="en-IN"/>
              </w:rPr>
              <w:t>C.V. %</w:t>
            </w:r>
          </w:p>
        </w:tc>
        <w:tc>
          <w:tcPr>
            <w:tcW w:w="1793" w:type="pct"/>
            <w:tcBorders>
              <w:top w:val="nil"/>
              <w:left w:val="single" w:sz="4" w:space="0" w:color="auto"/>
              <w:bottom w:val="single" w:sz="4" w:space="0" w:color="auto"/>
              <w:right w:val="single" w:sz="4" w:space="0" w:color="auto"/>
            </w:tcBorders>
            <w:shd w:val="clear" w:color="auto" w:fill="FFFFFF" w:themeFill="background1"/>
            <w:vAlign w:val="center"/>
          </w:tcPr>
          <w:p w14:paraId="3D525698" w14:textId="7364DF58"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7.80</w:t>
            </w:r>
          </w:p>
        </w:tc>
        <w:tc>
          <w:tcPr>
            <w:tcW w:w="1981" w:type="pct"/>
            <w:tcBorders>
              <w:top w:val="nil"/>
              <w:left w:val="single" w:sz="4" w:space="0" w:color="auto"/>
              <w:bottom w:val="single" w:sz="4" w:space="0" w:color="auto"/>
              <w:right w:val="single" w:sz="4" w:space="0" w:color="auto"/>
            </w:tcBorders>
            <w:shd w:val="clear" w:color="auto" w:fill="FFFFFF" w:themeFill="background1"/>
            <w:vAlign w:val="center"/>
          </w:tcPr>
          <w:p w14:paraId="5AA9F9FC" w14:textId="7FD931E5"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10.17</w:t>
            </w:r>
          </w:p>
        </w:tc>
      </w:tr>
      <w:tr w:rsidR="002B25F9" w14:paraId="14CBAA09" w14:textId="77777777" w:rsidTr="002B25F9">
        <w:trPr>
          <w:trHeight w:val="352"/>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875B6F" w14:textId="45E8129C" w:rsidR="002B25F9" w:rsidRDefault="002B25F9" w:rsidP="002B25F9">
            <w:pPr>
              <w:spacing w:line="276" w:lineRule="auto"/>
              <w:jc w:val="center"/>
              <w:rPr>
                <w:rFonts w:ascii="Arial" w:hAnsi="Arial" w:cs="Arial"/>
                <w:b/>
                <w:bCs/>
                <w:lang w:eastAsia="en-IN"/>
              </w:rPr>
            </w:pPr>
            <w:r>
              <w:rPr>
                <w:rFonts w:ascii="Arial" w:hAnsi="Arial" w:cs="Arial"/>
                <w:b/>
                <w:bCs/>
                <w:lang w:eastAsia="en-IN"/>
              </w:rPr>
              <w:t>Cultivars</w:t>
            </w:r>
          </w:p>
        </w:tc>
      </w:tr>
      <w:tr w:rsidR="002B25F9" w14:paraId="0F0B3DCF" w14:textId="004E5148" w:rsidTr="002B25F9">
        <w:trPr>
          <w:trHeight w:val="422"/>
        </w:trPr>
        <w:tc>
          <w:tcPr>
            <w:tcW w:w="12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46E6A5" w14:textId="77777777" w:rsidR="002B25F9" w:rsidRDefault="002B25F9" w:rsidP="002B25F9">
            <w:pPr>
              <w:spacing w:line="276" w:lineRule="auto"/>
              <w:rPr>
                <w:rFonts w:ascii="Arial" w:hAnsi="Arial" w:cs="Arial"/>
                <w:b/>
                <w:bCs/>
                <w:color w:val="000000"/>
                <w:lang w:eastAsia="en-IN"/>
              </w:rPr>
            </w:pPr>
            <w:r>
              <w:rPr>
                <w:rFonts w:ascii="Arial" w:hAnsi="Arial" w:cs="Arial"/>
                <w:b/>
                <w:bCs/>
                <w:color w:val="000000"/>
                <w:lang w:eastAsia="en-IN"/>
              </w:rPr>
              <w:t>V</w:t>
            </w:r>
            <w:r>
              <w:rPr>
                <w:rFonts w:ascii="Arial" w:hAnsi="Arial" w:cs="Arial"/>
                <w:b/>
                <w:bCs/>
                <w:color w:val="000000"/>
                <w:vertAlign w:val="subscript"/>
                <w:lang w:eastAsia="en-IN"/>
              </w:rPr>
              <w:t>1</w:t>
            </w:r>
            <w:r>
              <w:rPr>
                <w:rFonts w:ascii="Arial" w:hAnsi="Arial" w:cs="Arial"/>
                <w:b/>
                <w:bCs/>
                <w:color w:val="000000"/>
                <w:lang w:eastAsia="en-IN"/>
              </w:rPr>
              <w:t>: GJG-31</w:t>
            </w:r>
          </w:p>
        </w:tc>
        <w:tc>
          <w:tcPr>
            <w:tcW w:w="1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45210" w14:textId="7E21E0BC" w:rsidR="002B25F9" w:rsidRDefault="002B25F9" w:rsidP="002B25F9">
            <w:pPr>
              <w:spacing w:line="276" w:lineRule="auto"/>
              <w:jc w:val="center"/>
              <w:rPr>
                <w:rFonts w:ascii="Arial" w:hAnsi="Arial" w:cs="Arial"/>
                <w:b/>
                <w:bCs/>
                <w:color w:val="000000"/>
                <w:lang w:eastAsia="en-IN"/>
              </w:rPr>
            </w:pPr>
            <w:r>
              <w:rPr>
                <w:rFonts w:ascii="Arial" w:hAnsi="Arial" w:cs="Arial"/>
                <w:color w:val="000000"/>
                <w:szCs w:val="24"/>
                <w:lang w:eastAsia="en-IN"/>
              </w:rPr>
              <w:t>2403</w:t>
            </w:r>
          </w:p>
        </w:tc>
        <w:tc>
          <w:tcPr>
            <w:tcW w:w="19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0E024" w14:textId="74B78980" w:rsidR="002B25F9" w:rsidRDefault="002B25F9" w:rsidP="002B25F9">
            <w:pPr>
              <w:spacing w:line="276" w:lineRule="auto"/>
              <w:jc w:val="center"/>
              <w:rPr>
                <w:rFonts w:ascii="Arial" w:hAnsi="Arial" w:cs="Arial"/>
                <w:b/>
                <w:bCs/>
                <w:color w:val="000000"/>
                <w:lang w:eastAsia="en-IN"/>
              </w:rPr>
            </w:pPr>
            <w:r>
              <w:rPr>
                <w:rFonts w:ascii="Arial" w:hAnsi="Arial" w:cs="Arial"/>
                <w:color w:val="000000"/>
                <w:szCs w:val="24"/>
                <w:lang w:eastAsia="en-IN"/>
              </w:rPr>
              <w:t>2840</w:t>
            </w:r>
          </w:p>
        </w:tc>
      </w:tr>
      <w:tr w:rsidR="002B25F9" w14:paraId="14996E04" w14:textId="6BF3ACA1" w:rsidTr="002B25F9">
        <w:trPr>
          <w:trHeight w:val="422"/>
        </w:trPr>
        <w:tc>
          <w:tcPr>
            <w:tcW w:w="12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4ED6F6" w14:textId="77777777" w:rsidR="002B25F9" w:rsidRDefault="002B25F9" w:rsidP="002B25F9">
            <w:pPr>
              <w:spacing w:line="276" w:lineRule="auto"/>
              <w:rPr>
                <w:rFonts w:ascii="Arial" w:hAnsi="Arial" w:cs="Arial"/>
                <w:b/>
                <w:bCs/>
                <w:color w:val="000000"/>
                <w:lang w:eastAsia="en-IN"/>
              </w:rPr>
            </w:pPr>
            <w:r>
              <w:rPr>
                <w:rFonts w:ascii="Arial" w:hAnsi="Arial" w:cs="Arial"/>
                <w:b/>
                <w:bCs/>
                <w:color w:val="000000"/>
                <w:lang w:eastAsia="en-IN"/>
              </w:rPr>
              <w:t>V</w:t>
            </w:r>
            <w:r>
              <w:rPr>
                <w:rFonts w:ascii="Arial" w:hAnsi="Arial" w:cs="Arial"/>
                <w:b/>
                <w:bCs/>
                <w:color w:val="000000"/>
                <w:vertAlign w:val="subscript"/>
                <w:lang w:eastAsia="en-IN"/>
              </w:rPr>
              <w:t>2</w:t>
            </w:r>
            <w:r>
              <w:rPr>
                <w:rFonts w:ascii="Arial" w:hAnsi="Arial" w:cs="Arial"/>
                <w:b/>
                <w:bCs/>
                <w:color w:val="000000"/>
                <w:lang w:eastAsia="en-IN"/>
              </w:rPr>
              <w:t>: GG-34</w:t>
            </w:r>
          </w:p>
        </w:tc>
        <w:tc>
          <w:tcPr>
            <w:tcW w:w="1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511F6" w14:textId="4022E16C" w:rsidR="002B25F9" w:rsidRDefault="002B25F9" w:rsidP="002B25F9">
            <w:pPr>
              <w:spacing w:line="276" w:lineRule="auto"/>
              <w:jc w:val="center"/>
              <w:rPr>
                <w:rFonts w:ascii="Arial" w:hAnsi="Arial" w:cs="Arial"/>
                <w:b/>
                <w:bCs/>
                <w:color w:val="000000"/>
                <w:lang w:eastAsia="en-IN"/>
              </w:rPr>
            </w:pPr>
            <w:r>
              <w:rPr>
                <w:rFonts w:ascii="Arial" w:hAnsi="Arial" w:cs="Arial"/>
                <w:color w:val="000000"/>
                <w:szCs w:val="24"/>
                <w:lang w:eastAsia="en-IN"/>
              </w:rPr>
              <w:t>2001</w:t>
            </w:r>
          </w:p>
        </w:tc>
        <w:tc>
          <w:tcPr>
            <w:tcW w:w="19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285C2" w14:textId="152EB1B2" w:rsidR="002B25F9" w:rsidRDefault="002B25F9" w:rsidP="002B25F9">
            <w:pPr>
              <w:spacing w:line="276" w:lineRule="auto"/>
              <w:jc w:val="center"/>
              <w:rPr>
                <w:rFonts w:ascii="Arial" w:hAnsi="Arial" w:cs="Arial"/>
                <w:b/>
                <w:bCs/>
                <w:color w:val="000000"/>
                <w:lang w:eastAsia="en-IN"/>
              </w:rPr>
            </w:pPr>
            <w:r>
              <w:rPr>
                <w:rFonts w:ascii="Arial" w:hAnsi="Arial" w:cs="Arial"/>
                <w:color w:val="000000"/>
                <w:szCs w:val="24"/>
                <w:lang w:eastAsia="en-IN"/>
              </w:rPr>
              <w:t>2479</w:t>
            </w:r>
          </w:p>
        </w:tc>
      </w:tr>
      <w:tr w:rsidR="002B25F9" w14:paraId="6EFCFEFB" w14:textId="73426B9E" w:rsidTr="002B25F9">
        <w:trPr>
          <w:trHeight w:val="422"/>
        </w:trPr>
        <w:tc>
          <w:tcPr>
            <w:tcW w:w="12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1E5057" w14:textId="77777777" w:rsidR="002B25F9" w:rsidRDefault="002B25F9" w:rsidP="002B25F9">
            <w:pPr>
              <w:spacing w:line="276" w:lineRule="auto"/>
              <w:rPr>
                <w:rFonts w:ascii="Arial" w:hAnsi="Arial" w:cs="Arial"/>
                <w:b/>
                <w:bCs/>
                <w:color w:val="000000"/>
                <w:lang w:eastAsia="en-IN"/>
              </w:rPr>
            </w:pPr>
            <w:r>
              <w:rPr>
                <w:rFonts w:ascii="Arial" w:hAnsi="Arial" w:cs="Arial"/>
                <w:b/>
                <w:bCs/>
                <w:color w:val="000000"/>
                <w:lang w:eastAsia="en-IN"/>
              </w:rPr>
              <w:t>V</w:t>
            </w:r>
            <w:r>
              <w:rPr>
                <w:rFonts w:ascii="Arial" w:hAnsi="Arial" w:cs="Arial"/>
                <w:b/>
                <w:bCs/>
                <w:color w:val="000000"/>
                <w:vertAlign w:val="subscript"/>
                <w:lang w:eastAsia="en-IN"/>
              </w:rPr>
              <w:t>3</w:t>
            </w:r>
            <w:r>
              <w:rPr>
                <w:rFonts w:ascii="Arial" w:hAnsi="Arial" w:cs="Arial"/>
                <w:b/>
                <w:bCs/>
                <w:color w:val="000000"/>
                <w:lang w:eastAsia="en-IN"/>
              </w:rPr>
              <w:t>: GG-37</w:t>
            </w:r>
          </w:p>
        </w:tc>
        <w:tc>
          <w:tcPr>
            <w:tcW w:w="1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975B4" w14:textId="3B63BBC0" w:rsidR="002B25F9" w:rsidRDefault="002B25F9" w:rsidP="002B25F9">
            <w:pPr>
              <w:spacing w:line="276" w:lineRule="auto"/>
              <w:jc w:val="center"/>
              <w:rPr>
                <w:rFonts w:ascii="Arial" w:hAnsi="Arial" w:cs="Arial"/>
                <w:b/>
                <w:bCs/>
                <w:color w:val="000000"/>
                <w:lang w:eastAsia="en-IN"/>
              </w:rPr>
            </w:pPr>
            <w:r>
              <w:rPr>
                <w:rFonts w:ascii="Arial" w:hAnsi="Arial" w:cs="Arial"/>
                <w:color w:val="000000"/>
                <w:szCs w:val="24"/>
                <w:lang w:eastAsia="en-IN"/>
              </w:rPr>
              <w:t>2209</w:t>
            </w:r>
          </w:p>
        </w:tc>
        <w:tc>
          <w:tcPr>
            <w:tcW w:w="19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78E40" w14:textId="7C269687" w:rsidR="002B25F9" w:rsidRDefault="002B25F9" w:rsidP="002B25F9">
            <w:pPr>
              <w:spacing w:line="276" w:lineRule="auto"/>
              <w:jc w:val="center"/>
              <w:rPr>
                <w:rFonts w:ascii="Arial" w:hAnsi="Arial" w:cs="Arial"/>
                <w:b/>
                <w:bCs/>
                <w:color w:val="000000"/>
                <w:lang w:eastAsia="en-IN"/>
              </w:rPr>
            </w:pPr>
            <w:r>
              <w:rPr>
                <w:rFonts w:ascii="Arial" w:hAnsi="Arial" w:cs="Arial"/>
                <w:color w:val="000000"/>
                <w:szCs w:val="24"/>
                <w:lang w:eastAsia="en-IN"/>
              </w:rPr>
              <w:t>2686</w:t>
            </w:r>
          </w:p>
        </w:tc>
      </w:tr>
      <w:tr w:rsidR="002B25F9" w14:paraId="6C948E8B" w14:textId="4688FED9" w:rsidTr="002B25F9">
        <w:trPr>
          <w:trHeight w:val="324"/>
        </w:trPr>
        <w:tc>
          <w:tcPr>
            <w:tcW w:w="1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EDA2B" w14:textId="77777777" w:rsidR="002B25F9" w:rsidRDefault="002B25F9" w:rsidP="002B25F9">
            <w:pPr>
              <w:spacing w:line="276" w:lineRule="auto"/>
              <w:rPr>
                <w:rFonts w:ascii="Arial" w:hAnsi="Arial" w:cs="Arial"/>
                <w:color w:val="000000"/>
                <w:lang w:eastAsia="en-IN"/>
              </w:rPr>
            </w:pPr>
            <w:r>
              <w:rPr>
                <w:rFonts w:ascii="Arial" w:hAnsi="Arial" w:cs="Arial"/>
                <w:color w:val="000000"/>
                <w:lang w:eastAsia="en-IN"/>
              </w:rPr>
              <w:t>S.</w:t>
            </w:r>
            <w:proofErr w:type="gramStart"/>
            <w:r>
              <w:rPr>
                <w:rFonts w:ascii="Arial" w:hAnsi="Arial" w:cs="Arial"/>
                <w:color w:val="000000"/>
                <w:lang w:eastAsia="en-IN"/>
              </w:rPr>
              <w:t>Em.±</w:t>
            </w:r>
            <w:proofErr w:type="gramEnd"/>
          </w:p>
        </w:tc>
        <w:tc>
          <w:tcPr>
            <w:tcW w:w="1793" w:type="pct"/>
            <w:tcBorders>
              <w:top w:val="single" w:sz="4" w:space="0" w:color="auto"/>
              <w:left w:val="single" w:sz="4" w:space="0" w:color="auto"/>
              <w:bottom w:val="single" w:sz="4" w:space="0" w:color="auto"/>
              <w:right w:val="single" w:sz="4" w:space="0" w:color="auto"/>
            </w:tcBorders>
            <w:vAlign w:val="center"/>
          </w:tcPr>
          <w:p w14:paraId="7CDD8873" w14:textId="6F69BAD1"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45.10</w:t>
            </w:r>
          </w:p>
        </w:tc>
        <w:tc>
          <w:tcPr>
            <w:tcW w:w="1981" w:type="pct"/>
            <w:tcBorders>
              <w:top w:val="single" w:sz="4" w:space="0" w:color="auto"/>
              <w:left w:val="single" w:sz="4" w:space="0" w:color="auto"/>
              <w:bottom w:val="single" w:sz="4" w:space="0" w:color="auto"/>
              <w:right w:val="single" w:sz="4" w:space="0" w:color="auto"/>
            </w:tcBorders>
            <w:vAlign w:val="center"/>
          </w:tcPr>
          <w:p w14:paraId="10A59D42" w14:textId="4630D4D8"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61.55</w:t>
            </w:r>
          </w:p>
        </w:tc>
      </w:tr>
      <w:tr w:rsidR="002B25F9" w14:paraId="56CE5B8A" w14:textId="3C8E98F6" w:rsidTr="002B25F9">
        <w:trPr>
          <w:trHeight w:val="324"/>
        </w:trPr>
        <w:tc>
          <w:tcPr>
            <w:tcW w:w="1226" w:type="pct"/>
            <w:tcBorders>
              <w:top w:val="nil"/>
              <w:left w:val="single" w:sz="4" w:space="0" w:color="auto"/>
              <w:bottom w:val="single" w:sz="4" w:space="0" w:color="auto"/>
              <w:right w:val="single" w:sz="4" w:space="0" w:color="auto"/>
            </w:tcBorders>
            <w:shd w:val="clear" w:color="auto" w:fill="auto"/>
            <w:noWrap/>
            <w:vAlign w:val="center"/>
            <w:hideMark/>
          </w:tcPr>
          <w:p w14:paraId="1A2D4C21" w14:textId="77777777" w:rsidR="002B25F9" w:rsidRDefault="002B25F9" w:rsidP="002B25F9">
            <w:pPr>
              <w:spacing w:line="276" w:lineRule="auto"/>
              <w:rPr>
                <w:rFonts w:ascii="Arial" w:hAnsi="Arial" w:cs="Arial"/>
                <w:color w:val="000000"/>
                <w:lang w:eastAsia="en-IN"/>
              </w:rPr>
            </w:pPr>
            <w:r>
              <w:rPr>
                <w:rFonts w:ascii="Arial" w:hAnsi="Arial" w:cs="Arial"/>
                <w:color w:val="000000"/>
                <w:lang w:eastAsia="en-IN"/>
              </w:rPr>
              <w:t>C.D. at 5 %</w:t>
            </w:r>
          </w:p>
        </w:tc>
        <w:tc>
          <w:tcPr>
            <w:tcW w:w="1793" w:type="pct"/>
            <w:tcBorders>
              <w:top w:val="nil"/>
              <w:left w:val="single" w:sz="4" w:space="0" w:color="auto"/>
              <w:bottom w:val="single" w:sz="4" w:space="0" w:color="auto"/>
              <w:right w:val="single" w:sz="4" w:space="0" w:color="auto"/>
            </w:tcBorders>
            <w:vAlign w:val="center"/>
          </w:tcPr>
          <w:p w14:paraId="7F565C60" w14:textId="5A62321E"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177.10</w:t>
            </w:r>
          </w:p>
        </w:tc>
        <w:tc>
          <w:tcPr>
            <w:tcW w:w="1981" w:type="pct"/>
            <w:tcBorders>
              <w:top w:val="nil"/>
              <w:left w:val="single" w:sz="4" w:space="0" w:color="auto"/>
              <w:bottom w:val="single" w:sz="4" w:space="0" w:color="auto"/>
              <w:right w:val="single" w:sz="4" w:space="0" w:color="auto"/>
            </w:tcBorders>
            <w:vAlign w:val="center"/>
          </w:tcPr>
          <w:p w14:paraId="458EE0BF" w14:textId="042985F7"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241.69</w:t>
            </w:r>
          </w:p>
        </w:tc>
      </w:tr>
      <w:tr w:rsidR="002B25F9" w14:paraId="569BC042" w14:textId="1550CEE3" w:rsidTr="002B25F9">
        <w:trPr>
          <w:trHeight w:val="324"/>
        </w:trPr>
        <w:tc>
          <w:tcPr>
            <w:tcW w:w="1226" w:type="pct"/>
            <w:tcBorders>
              <w:top w:val="nil"/>
              <w:left w:val="single" w:sz="4" w:space="0" w:color="auto"/>
              <w:bottom w:val="single" w:sz="4" w:space="0" w:color="auto"/>
              <w:right w:val="single" w:sz="4" w:space="0" w:color="auto"/>
            </w:tcBorders>
            <w:shd w:val="clear" w:color="auto" w:fill="auto"/>
            <w:noWrap/>
            <w:vAlign w:val="center"/>
            <w:hideMark/>
          </w:tcPr>
          <w:p w14:paraId="459A96E6" w14:textId="77777777" w:rsidR="002B25F9" w:rsidRDefault="002B25F9" w:rsidP="002B25F9">
            <w:pPr>
              <w:spacing w:line="276" w:lineRule="auto"/>
              <w:rPr>
                <w:rFonts w:ascii="Arial" w:hAnsi="Arial" w:cs="Arial"/>
                <w:color w:val="000000"/>
                <w:lang w:eastAsia="en-IN"/>
              </w:rPr>
            </w:pPr>
            <w:r>
              <w:rPr>
                <w:rFonts w:ascii="Arial" w:hAnsi="Arial" w:cs="Arial"/>
                <w:color w:val="000000"/>
                <w:lang w:eastAsia="en-IN"/>
              </w:rPr>
              <w:t>C.V. %</w:t>
            </w:r>
          </w:p>
        </w:tc>
        <w:tc>
          <w:tcPr>
            <w:tcW w:w="1793" w:type="pct"/>
            <w:tcBorders>
              <w:top w:val="nil"/>
              <w:left w:val="single" w:sz="4" w:space="0" w:color="auto"/>
              <w:bottom w:val="single" w:sz="4" w:space="0" w:color="auto"/>
              <w:right w:val="single" w:sz="4" w:space="0" w:color="auto"/>
            </w:tcBorders>
            <w:vAlign w:val="center"/>
          </w:tcPr>
          <w:p w14:paraId="6510285A" w14:textId="4804F8C5"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7.09</w:t>
            </w:r>
          </w:p>
        </w:tc>
        <w:tc>
          <w:tcPr>
            <w:tcW w:w="1981" w:type="pct"/>
            <w:tcBorders>
              <w:top w:val="nil"/>
              <w:left w:val="single" w:sz="4" w:space="0" w:color="auto"/>
              <w:bottom w:val="single" w:sz="4" w:space="0" w:color="auto"/>
              <w:right w:val="single" w:sz="4" w:space="0" w:color="auto"/>
            </w:tcBorders>
            <w:vAlign w:val="center"/>
          </w:tcPr>
          <w:p w14:paraId="581DA997" w14:textId="01C88592"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7.99</w:t>
            </w:r>
          </w:p>
        </w:tc>
      </w:tr>
      <w:tr w:rsidR="002B25F9" w14:paraId="10136644" w14:textId="77777777" w:rsidTr="002B25F9">
        <w:trPr>
          <w:trHeight w:val="352"/>
        </w:trPr>
        <w:tc>
          <w:tcPr>
            <w:tcW w:w="5000" w:type="pct"/>
            <w:gridSpan w:val="3"/>
            <w:tcBorders>
              <w:top w:val="single" w:sz="4" w:space="0" w:color="auto"/>
              <w:left w:val="single" w:sz="4" w:space="0" w:color="auto"/>
              <w:bottom w:val="single" w:sz="4" w:space="0" w:color="auto"/>
              <w:right w:val="single" w:sz="4" w:space="0" w:color="auto"/>
            </w:tcBorders>
          </w:tcPr>
          <w:p w14:paraId="302B817D" w14:textId="04FFD881" w:rsidR="002B25F9" w:rsidRDefault="002B25F9" w:rsidP="002B25F9">
            <w:pPr>
              <w:spacing w:line="276" w:lineRule="auto"/>
              <w:jc w:val="center"/>
              <w:rPr>
                <w:rFonts w:ascii="Arial" w:hAnsi="Arial" w:cs="Arial"/>
                <w:b/>
                <w:bCs/>
                <w:lang w:eastAsia="en-IN"/>
              </w:rPr>
            </w:pPr>
            <w:r>
              <w:rPr>
                <w:rFonts w:ascii="Arial" w:hAnsi="Arial" w:cs="Arial"/>
                <w:b/>
                <w:bCs/>
                <w:lang w:eastAsia="en-IN"/>
              </w:rPr>
              <w:t>Interaction (D x V)</w:t>
            </w:r>
          </w:p>
        </w:tc>
      </w:tr>
      <w:tr w:rsidR="002B25F9" w14:paraId="6230529E" w14:textId="3047E421" w:rsidTr="002B25F9">
        <w:trPr>
          <w:trHeight w:val="324"/>
        </w:trPr>
        <w:tc>
          <w:tcPr>
            <w:tcW w:w="1226" w:type="pct"/>
            <w:tcBorders>
              <w:top w:val="nil"/>
              <w:left w:val="single" w:sz="4" w:space="0" w:color="auto"/>
              <w:bottom w:val="single" w:sz="4" w:space="0" w:color="auto"/>
              <w:right w:val="single" w:sz="4" w:space="0" w:color="auto"/>
            </w:tcBorders>
            <w:shd w:val="clear" w:color="auto" w:fill="auto"/>
            <w:noWrap/>
            <w:vAlign w:val="center"/>
            <w:hideMark/>
          </w:tcPr>
          <w:p w14:paraId="5346E79D" w14:textId="77777777" w:rsidR="002B25F9" w:rsidRDefault="002B25F9" w:rsidP="002B25F9">
            <w:pPr>
              <w:spacing w:line="276" w:lineRule="auto"/>
              <w:rPr>
                <w:rFonts w:ascii="Arial" w:hAnsi="Arial" w:cs="Arial"/>
                <w:color w:val="000000"/>
                <w:lang w:eastAsia="en-IN"/>
              </w:rPr>
            </w:pPr>
            <w:r>
              <w:rPr>
                <w:rFonts w:ascii="Arial" w:hAnsi="Arial" w:cs="Arial"/>
                <w:color w:val="000000"/>
                <w:lang w:eastAsia="en-IN"/>
              </w:rPr>
              <w:t>S.</w:t>
            </w:r>
            <w:proofErr w:type="gramStart"/>
            <w:r>
              <w:rPr>
                <w:rFonts w:ascii="Arial" w:hAnsi="Arial" w:cs="Arial"/>
                <w:color w:val="000000"/>
                <w:lang w:eastAsia="en-IN"/>
              </w:rPr>
              <w:t>Em.±</w:t>
            </w:r>
            <w:proofErr w:type="gramEnd"/>
          </w:p>
        </w:tc>
        <w:tc>
          <w:tcPr>
            <w:tcW w:w="1793" w:type="pct"/>
            <w:tcBorders>
              <w:top w:val="nil"/>
              <w:left w:val="single" w:sz="4" w:space="0" w:color="auto"/>
              <w:bottom w:val="single" w:sz="4" w:space="0" w:color="auto"/>
              <w:right w:val="single" w:sz="4" w:space="0" w:color="auto"/>
            </w:tcBorders>
            <w:vAlign w:val="center"/>
          </w:tcPr>
          <w:p w14:paraId="1C536959" w14:textId="0B5DD977"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77.88</w:t>
            </w:r>
          </w:p>
        </w:tc>
        <w:tc>
          <w:tcPr>
            <w:tcW w:w="1981" w:type="pct"/>
            <w:tcBorders>
              <w:top w:val="nil"/>
              <w:left w:val="single" w:sz="4" w:space="0" w:color="auto"/>
              <w:bottom w:val="single" w:sz="4" w:space="0" w:color="auto"/>
              <w:right w:val="single" w:sz="4" w:space="0" w:color="auto"/>
            </w:tcBorders>
            <w:vAlign w:val="center"/>
          </w:tcPr>
          <w:p w14:paraId="5107969C" w14:textId="2A6C68B9"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93.51</w:t>
            </w:r>
          </w:p>
        </w:tc>
      </w:tr>
      <w:tr w:rsidR="002B25F9" w14:paraId="56A5B9E8" w14:textId="2B29C999" w:rsidTr="002B25F9">
        <w:trPr>
          <w:trHeight w:val="324"/>
        </w:trPr>
        <w:tc>
          <w:tcPr>
            <w:tcW w:w="1226" w:type="pct"/>
            <w:tcBorders>
              <w:top w:val="nil"/>
              <w:left w:val="single" w:sz="4" w:space="0" w:color="auto"/>
              <w:bottom w:val="single" w:sz="4" w:space="0" w:color="auto"/>
              <w:right w:val="single" w:sz="4" w:space="0" w:color="auto"/>
            </w:tcBorders>
            <w:shd w:val="clear" w:color="auto" w:fill="auto"/>
            <w:noWrap/>
            <w:vAlign w:val="center"/>
            <w:hideMark/>
          </w:tcPr>
          <w:p w14:paraId="72DE5668" w14:textId="77777777" w:rsidR="002B25F9" w:rsidRDefault="002B25F9" w:rsidP="002B25F9">
            <w:pPr>
              <w:spacing w:line="276" w:lineRule="auto"/>
              <w:rPr>
                <w:rFonts w:ascii="Arial" w:hAnsi="Arial" w:cs="Arial"/>
                <w:color w:val="000000"/>
                <w:lang w:eastAsia="en-IN"/>
              </w:rPr>
            </w:pPr>
            <w:r>
              <w:rPr>
                <w:rFonts w:ascii="Arial" w:hAnsi="Arial" w:cs="Arial"/>
                <w:color w:val="000000"/>
                <w:lang w:eastAsia="en-IN"/>
              </w:rPr>
              <w:t>C.D. at 5 %</w:t>
            </w:r>
          </w:p>
        </w:tc>
        <w:tc>
          <w:tcPr>
            <w:tcW w:w="1793" w:type="pct"/>
            <w:tcBorders>
              <w:top w:val="nil"/>
              <w:left w:val="single" w:sz="4" w:space="0" w:color="auto"/>
              <w:bottom w:val="single" w:sz="4" w:space="0" w:color="auto"/>
              <w:right w:val="single" w:sz="4" w:space="0" w:color="auto"/>
            </w:tcBorders>
            <w:vAlign w:val="center"/>
          </w:tcPr>
          <w:p w14:paraId="7E8FC80A" w14:textId="1BFA476B"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239.98</w:t>
            </w:r>
          </w:p>
        </w:tc>
        <w:tc>
          <w:tcPr>
            <w:tcW w:w="1981" w:type="pct"/>
            <w:tcBorders>
              <w:top w:val="nil"/>
              <w:left w:val="single" w:sz="4" w:space="0" w:color="auto"/>
              <w:bottom w:val="single" w:sz="4" w:space="0" w:color="auto"/>
              <w:right w:val="single" w:sz="4" w:space="0" w:color="auto"/>
            </w:tcBorders>
            <w:vAlign w:val="center"/>
          </w:tcPr>
          <w:p w14:paraId="7D27ADC6" w14:textId="6B928EEA"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288.14</w:t>
            </w:r>
          </w:p>
        </w:tc>
      </w:tr>
      <w:tr w:rsidR="002B25F9" w14:paraId="78D7F7A6" w14:textId="764271CC" w:rsidTr="002B25F9">
        <w:trPr>
          <w:trHeight w:val="324"/>
        </w:trPr>
        <w:tc>
          <w:tcPr>
            <w:tcW w:w="1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9E94D" w14:textId="77777777" w:rsidR="002B25F9" w:rsidRDefault="002B25F9" w:rsidP="002B25F9">
            <w:pPr>
              <w:spacing w:line="276" w:lineRule="auto"/>
              <w:rPr>
                <w:rFonts w:ascii="Arial" w:hAnsi="Arial" w:cs="Arial"/>
                <w:color w:val="000000"/>
                <w:lang w:eastAsia="en-IN"/>
              </w:rPr>
            </w:pPr>
            <w:r>
              <w:rPr>
                <w:rFonts w:ascii="Arial" w:hAnsi="Arial" w:cs="Arial"/>
                <w:color w:val="000000"/>
                <w:lang w:eastAsia="en-IN"/>
              </w:rPr>
              <w:t>C.V.%</w:t>
            </w:r>
          </w:p>
        </w:tc>
        <w:tc>
          <w:tcPr>
            <w:tcW w:w="1793" w:type="pct"/>
            <w:tcBorders>
              <w:top w:val="single" w:sz="4" w:space="0" w:color="auto"/>
              <w:left w:val="single" w:sz="4" w:space="0" w:color="auto"/>
              <w:bottom w:val="single" w:sz="4" w:space="0" w:color="auto"/>
              <w:right w:val="single" w:sz="4" w:space="0" w:color="auto"/>
            </w:tcBorders>
            <w:vAlign w:val="center"/>
          </w:tcPr>
          <w:p w14:paraId="5195488F" w14:textId="708185F0"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6.12</w:t>
            </w:r>
          </w:p>
        </w:tc>
        <w:tc>
          <w:tcPr>
            <w:tcW w:w="1981" w:type="pct"/>
            <w:tcBorders>
              <w:top w:val="single" w:sz="4" w:space="0" w:color="auto"/>
              <w:left w:val="single" w:sz="4" w:space="0" w:color="auto"/>
              <w:bottom w:val="single" w:sz="4" w:space="0" w:color="auto"/>
              <w:right w:val="single" w:sz="4" w:space="0" w:color="auto"/>
            </w:tcBorders>
            <w:vAlign w:val="center"/>
          </w:tcPr>
          <w:p w14:paraId="6E149C76" w14:textId="33FC4DC9" w:rsidR="002B25F9" w:rsidRDefault="002B25F9" w:rsidP="002B25F9">
            <w:pPr>
              <w:spacing w:line="276" w:lineRule="auto"/>
              <w:jc w:val="center"/>
              <w:rPr>
                <w:rFonts w:ascii="Arial" w:hAnsi="Arial" w:cs="Arial"/>
                <w:color w:val="000000"/>
                <w:lang w:eastAsia="en-IN"/>
              </w:rPr>
            </w:pPr>
            <w:r>
              <w:rPr>
                <w:rFonts w:ascii="Arial" w:hAnsi="Arial" w:cs="Arial"/>
                <w:color w:val="000000"/>
                <w:szCs w:val="24"/>
                <w:lang w:eastAsia="en-IN"/>
              </w:rPr>
              <w:t>6.07</w:t>
            </w:r>
          </w:p>
        </w:tc>
      </w:tr>
    </w:tbl>
    <w:p w14:paraId="41CCB3C6" w14:textId="77777777" w:rsidR="002B25F9" w:rsidRDefault="002B25F9">
      <w:pPr>
        <w:pStyle w:val="Body"/>
        <w:spacing w:line="276" w:lineRule="auto"/>
        <w:rPr>
          <w:rFonts w:ascii="Arial" w:hAnsi="Arial" w:cs="Arial"/>
          <w:b/>
          <w:bCs/>
          <w:lang w:val="en-IN"/>
        </w:rPr>
      </w:pPr>
    </w:p>
    <w:p w14:paraId="3187F6D0" w14:textId="77777777" w:rsidR="002B25F9" w:rsidRDefault="002B25F9">
      <w:pPr>
        <w:pStyle w:val="Body"/>
        <w:spacing w:line="276" w:lineRule="auto"/>
        <w:rPr>
          <w:rFonts w:ascii="Arial" w:hAnsi="Arial" w:cs="Arial"/>
          <w:b/>
          <w:bCs/>
          <w:lang w:val="en-IN"/>
        </w:rPr>
      </w:pPr>
    </w:p>
    <w:p w14:paraId="4D7BE307" w14:textId="77777777" w:rsidR="002B25F9" w:rsidRDefault="002B25F9">
      <w:pPr>
        <w:pStyle w:val="Body"/>
        <w:spacing w:line="276" w:lineRule="auto"/>
        <w:rPr>
          <w:rFonts w:ascii="Arial" w:hAnsi="Arial" w:cs="Arial"/>
          <w:b/>
          <w:bCs/>
          <w:lang w:val="en-IN"/>
        </w:rPr>
      </w:pPr>
    </w:p>
    <w:p w14:paraId="49B658D3" w14:textId="77777777" w:rsidR="002B25F9" w:rsidRDefault="002B25F9">
      <w:pPr>
        <w:rPr>
          <w:rFonts w:ascii="Arial" w:hAnsi="Arial" w:cs="Arial"/>
          <w:b/>
          <w:bCs/>
          <w:lang w:val="en-IN"/>
        </w:rPr>
      </w:pPr>
      <w:r>
        <w:rPr>
          <w:rFonts w:ascii="Arial" w:hAnsi="Arial" w:cs="Arial"/>
          <w:b/>
          <w:bCs/>
          <w:lang w:val="en-IN"/>
        </w:rPr>
        <w:br w:type="page"/>
      </w:r>
    </w:p>
    <w:p w14:paraId="5DCEABFD" w14:textId="500FC771" w:rsidR="00520137" w:rsidRDefault="008937FE">
      <w:pPr>
        <w:pStyle w:val="Body"/>
        <w:spacing w:line="276" w:lineRule="auto"/>
        <w:rPr>
          <w:rFonts w:ascii="Arial" w:hAnsi="Arial" w:cs="Arial"/>
          <w:b/>
          <w:bCs/>
          <w:lang w:val="en-IN"/>
        </w:rPr>
      </w:pPr>
      <w:r>
        <w:rPr>
          <w:rFonts w:ascii="Arial" w:hAnsi="Arial" w:cs="Arial"/>
          <w:b/>
          <w:bCs/>
          <w:lang w:val="en-IN"/>
        </w:rPr>
        <w:lastRenderedPageBreak/>
        <w:t xml:space="preserve">Table </w:t>
      </w:r>
      <w:r w:rsidR="002B25F9">
        <w:rPr>
          <w:rFonts w:ascii="Arial" w:hAnsi="Arial" w:cs="Arial"/>
          <w:b/>
          <w:bCs/>
          <w:lang w:val="en-IN"/>
        </w:rPr>
        <w:t>2</w:t>
      </w:r>
      <w:r>
        <w:rPr>
          <w:rFonts w:ascii="Arial" w:hAnsi="Arial" w:cs="Arial"/>
          <w:b/>
          <w:bCs/>
          <w:lang w:val="en-IN"/>
        </w:rPr>
        <w:t xml:space="preserve"> Effect of treatments on various agrometeorological indices to reach the </w:t>
      </w:r>
      <w:r>
        <w:rPr>
          <w:rFonts w:ascii="Arial" w:hAnsi="Arial" w:cs="Arial"/>
          <w:b/>
          <w:bCs/>
          <w:color w:val="FFFFFF" w:themeColor="background1"/>
          <w:lang w:val="en-IN"/>
        </w:rPr>
        <w:t>monkey</w:t>
      </w:r>
      <w:r>
        <w:rPr>
          <w:rFonts w:ascii="Arial" w:hAnsi="Arial" w:cs="Arial"/>
          <w:b/>
          <w:bCs/>
          <w:lang w:val="en-IN"/>
        </w:rPr>
        <w:t xml:space="preserve">  maturity in summer groundnut during crop season 2024</w:t>
      </w:r>
    </w:p>
    <w:tbl>
      <w:tblPr>
        <w:tblW w:w="5312" w:type="pct"/>
        <w:tblInd w:w="108" w:type="dxa"/>
        <w:tblLayout w:type="fixed"/>
        <w:tblLook w:val="04A0" w:firstRow="1" w:lastRow="0" w:firstColumn="1" w:lastColumn="0" w:noHBand="0" w:noVBand="1"/>
      </w:tblPr>
      <w:tblGrid>
        <w:gridCol w:w="1655"/>
        <w:gridCol w:w="1080"/>
        <w:gridCol w:w="1536"/>
        <w:gridCol w:w="1508"/>
        <w:gridCol w:w="1647"/>
        <w:gridCol w:w="1517"/>
      </w:tblGrid>
      <w:tr w:rsidR="00520137" w14:paraId="4AF09AF9" w14:textId="77777777">
        <w:trPr>
          <w:trHeight w:val="635"/>
        </w:trPr>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8DE8E"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Treatment</w:t>
            </w:r>
          </w:p>
          <w:p w14:paraId="556ECFAB" w14:textId="77777777" w:rsidR="00520137" w:rsidRDefault="00520137">
            <w:pPr>
              <w:pStyle w:val="Body"/>
              <w:spacing w:line="276" w:lineRule="auto"/>
              <w:jc w:val="center"/>
              <w:rPr>
                <w:rFonts w:ascii="Arial" w:hAnsi="Arial" w:cs="Arial"/>
                <w:b/>
                <w:bCs/>
                <w:lang w:val="en-IN"/>
              </w:rPr>
            </w:pPr>
          </w:p>
          <w:p w14:paraId="1721A40C" w14:textId="77777777" w:rsidR="00520137" w:rsidRDefault="00520137">
            <w:pPr>
              <w:pStyle w:val="Body"/>
              <w:spacing w:line="276" w:lineRule="auto"/>
              <w:jc w:val="center"/>
              <w:rPr>
                <w:rFonts w:ascii="Arial" w:hAnsi="Arial" w:cs="Arial"/>
                <w:b/>
                <w:bCs/>
                <w:lang w:val="en-IN"/>
              </w:rPr>
            </w:pPr>
          </w:p>
        </w:tc>
        <w:tc>
          <w:tcPr>
            <w:tcW w:w="604" w:type="pct"/>
            <w:tcBorders>
              <w:top w:val="single" w:sz="4" w:space="0" w:color="auto"/>
              <w:left w:val="single" w:sz="4" w:space="0" w:color="auto"/>
              <w:bottom w:val="single" w:sz="4" w:space="0" w:color="auto"/>
              <w:right w:val="single" w:sz="4" w:space="0" w:color="auto"/>
            </w:tcBorders>
            <w:vAlign w:val="center"/>
          </w:tcPr>
          <w:p w14:paraId="009F1A6F"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GDD</w:t>
            </w:r>
          </w:p>
          <w:p w14:paraId="72C5BF08"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w:t>
            </w:r>
            <w:r>
              <w:rPr>
                <w:rFonts w:ascii="Cambria Math" w:hAnsi="Cambria Math" w:cs="Cambria Math"/>
                <w:b/>
                <w:bCs/>
                <w:lang w:val="en-IN"/>
              </w:rPr>
              <w:t>℃</w:t>
            </w:r>
            <w:r>
              <w:rPr>
                <w:rFonts w:ascii="Arial" w:hAnsi="Arial" w:cs="Arial"/>
                <w:b/>
                <w:bCs/>
                <w:lang w:val="en-IN"/>
              </w:rPr>
              <w:t xml:space="preserve"> day)</w:t>
            </w:r>
          </w:p>
        </w:tc>
        <w:tc>
          <w:tcPr>
            <w:tcW w:w="859" w:type="pct"/>
            <w:tcBorders>
              <w:top w:val="single" w:sz="4" w:space="0" w:color="auto"/>
              <w:left w:val="single" w:sz="4" w:space="0" w:color="auto"/>
              <w:bottom w:val="single" w:sz="4" w:space="0" w:color="auto"/>
              <w:right w:val="single" w:sz="4" w:space="0" w:color="auto"/>
            </w:tcBorders>
            <w:vAlign w:val="center"/>
          </w:tcPr>
          <w:p w14:paraId="273E8447"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PTU</w:t>
            </w:r>
          </w:p>
          <w:p w14:paraId="24656C3D"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w:t>
            </w:r>
            <w:r>
              <w:rPr>
                <w:rFonts w:ascii="Cambria Math" w:hAnsi="Cambria Math" w:cs="Cambria Math"/>
                <w:b/>
                <w:bCs/>
                <w:lang w:val="en-IN"/>
              </w:rPr>
              <w:t>℃</w:t>
            </w:r>
            <w:r>
              <w:rPr>
                <w:rFonts w:ascii="Arial" w:hAnsi="Arial" w:cs="Arial"/>
                <w:b/>
                <w:bCs/>
                <w:lang w:val="en-IN"/>
              </w:rPr>
              <w:t xml:space="preserve"> day hrs.)</w:t>
            </w:r>
          </w:p>
        </w:tc>
        <w:tc>
          <w:tcPr>
            <w:tcW w:w="843" w:type="pct"/>
            <w:tcBorders>
              <w:top w:val="single" w:sz="4" w:space="0" w:color="auto"/>
              <w:left w:val="single" w:sz="4" w:space="0" w:color="auto"/>
              <w:bottom w:val="single" w:sz="4" w:space="0" w:color="auto"/>
              <w:right w:val="single" w:sz="4" w:space="0" w:color="auto"/>
            </w:tcBorders>
            <w:vAlign w:val="center"/>
          </w:tcPr>
          <w:p w14:paraId="61F62ED5"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HTU</w:t>
            </w:r>
          </w:p>
          <w:p w14:paraId="3C6F96F1"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w:t>
            </w:r>
            <w:r>
              <w:rPr>
                <w:rFonts w:ascii="Cambria Math" w:hAnsi="Cambria Math" w:cs="Cambria Math"/>
                <w:b/>
                <w:bCs/>
                <w:lang w:val="en-IN"/>
              </w:rPr>
              <w:t>℃</w:t>
            </w:r>
            <w:r>
              <w:rPr>
                <w:rFonts w:ascii="Arial" w:hAnsi="Arial" w:cs="Arial"/>
                <w:b/>
                <w:bCs/>
                <w:lang w:val="en-IN"/>
              </w:rPr>
              <w:t xml:space="preserve"> day hrs.)</w:t>
            </w:r>
          </w:p>
        </w:tc>
        <w:tc>
          <w:tcPr>
            <w:tcW w:w="921" w:type="pct"/>
            <w:tcBorders>
              <w:top w:val="single" w:sz="4" w:space="0" w:color="auto"/>
              <w:left w:val="single" w:sz="4" w:space="0" w:color="auto"/>
              <w:bottom w:val="single" w:sz="4" w:space="0" w:color="auto"/>
              <w:right w:val="single" w:sz="4" w:space="0" w:color="auto"/>
            </w:tcBorders>
            <w:vAlign w:val="center"/>
          </w:tcPr>
          <w:p w14:paraId="1FFE752B"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HgTU-I</w:t>
            </w:r>
          </w:p>
          <w:p w14:paraId="7FE1AF62"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w:t>
            </w:r>
            <w:r>
              <w:rPr>
                <w:rFonts w:ascii="Cambria Math" w:hAnsi="Cambria Math" w:cs="Cambria Math"/>
                <w:b/>
                <w:bCs/>
                <w:lang w:val="en-IN"/>
              </w:rPr>
              <w:t>℃</w:t>
            </w:r>
            <w:r>
              <w:rPr>
                <w:rFonts w:ascii="Arial" w:hAnsi="Arial" w:cs="Arial"/>
                <w:b/>
                <w:bCs/>
                <w:lang w:val="en-IN"/>
              </w:rPr>
              <w:t xml:space="preserve"> per cent)</w:t>
            </w:r>
          </w:p>
        </w:tc>
        <w:tc>
          <w:tcPr>
            <w:tcW w:w="846" w:type="pct"/>
            <w:tcBorders>
              <w:top w:val="single" w:sz="4" w:space="0" w:color="auto"/>
              <w:left w:val="single" w:sz="4" w:space="0" w:color="auto"/>
              <w:bottom w:val="single" w:sz="4" w:space="0" w:color="auto"/>
              <w:right w:val="single" w:sz="4" w:space="0" w:color="auto"/>
            </w:tcBorders>
            <w:vAlign w:val="center"/>
          </w:tcPr>
          <w:p w14:paraId="10124EB9"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HgTU-II</w:t>
            </w:r>
          </w:p>
          <w:p w14:paraId="2962B619"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w:t>
            </w:r>
            <w:r>
              <w:rPr>
                <w:rFonts w:ascii="Cambria Math" w:hAnsi="Cambria Math" w:cs="Cambria Math"/>
                <w:b/>
                <w:bCs/>
                <w:lang w:val="en-IN"/>
              </w:rPr>
              <w:t>℃</w:t>
            </w:r>
            <w:r>
              <w:rPr>
                <w:rFonts w:ascii="Arial" w:hAnsi="Arial" w:cs="Arial"/>
                <w:b/>
                <w:bCs/>
                <w:lang w:val="en-IN"/>
              </w:rPr>
              <w:t xml:space="preserve"> per cent)</w:t>
            </w:r>
          </w:p>
        </w:tc>
      </w:tr>
      <w:tr w:rsidR="00520137" w14:paraId="4D5C1EF4" w14:textId="77777777">
        <w:trPr>
          <w:trHeight w:val="733"/>
        </w:trPr>
        <w:tc>
          <w:tcPr>
            <w:tcW w:w="5000" w:type="pct"/>
            <w:gridSpan w:val="6"/>
            <w:tcBorders>
              <w:top w:val="nil"/>
              <w:left w:val="single" w:sz="4" w:space="0" w:color="auto"/>
              <w:bottom w:val="single" w:sz="4" w:space="0" w:color="auto"/>
              <w:right w:val="single" w:sz="4" w:space="0" w:color="auto"/>
            </w:tcBorders>
            <w:shd w:val="clear" w:color="auto" w:fill="FFFFFF" w:themeFill="background1"/>
            <w:noWrap/>
            <w:vAlign w:val="center"/>
          </w:tcPr>
          <w:p w14:paraId="0B761DA6"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Sowing Time</w:t>
            </w:r>
          </w:p>
        </w:tc>
      </w:tr>
      <w:tr w:rsidR="00520137" w14:paraId="0F7328CA" w14:textId="77777777">
        <w:trPr>
          <w:trHeight w:val="733"/>
        </w:trPr>
        <w:tc>
          <w:tcPr>
            <w:tcW w:w="92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21C5293"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D</w:t>
            </w:r>
            <w:r>
              <w:rPr>
                <w:rFonts w:ascii="Arial" w:hAnsi="Arial" w:cs="Arial"/>
                <w:b/>
                <w:bCs/>
                <w:vertAlign w:val="subscript"/>
                <w:lang w:val="en-IN"/>
              </w:rPr>
              <w:t>1</w:t>
            </w:r>
            <w:r>
              <w:rPr>
                <w:rFonts w:ascii="Arial" w:hAnsi="Arial" w:cs="Arial"/>
                <w:b/>
                <w:bCs/>
                <w:lang w:val="en-IN"/>
              </w:rPr>
              <w:t>: 4</w:t>
            </w:r>
            <w:r>
              <w:rPr>
                <w:rFonts w:ascii="Arial" w:hAnsi="Arial" w:cs="Arial"/>
                <w:b/>
                <w:bCs/>
                <w:vertAlign w:val="superscript"/>
                <w:lang w:val="en-IN"/>
              </w:rPr>
              <w:t>th</w:t>
            </w:r>
            <w:r>
              <w:rPr>
                <w:rFonts w:ascii="Arial" w:hAnsi="Arial" w:cs="Arial"/>
                <w:b/>
                <w:bCs/>
                <w:lang w:val="en-IN"/>
              </w:rPr>
              <w:t xml:space="preserve"> SMW</w:t>
            </w:r>
          </w:p>
        </w:tc>
        <w:tc>
          <w:tcPr>
            <w:tcW w:w="604" w:type="pct"/>
            <w:tcBorders>
              <w:top w:val="nil"/>
              <w:left w:val="single" w:sz="4" w:space="0" w:color="auto"/>
              <w:bottom w:val="single" w:sz="4" w:space="0" w:color="auto"/>
              <w:right w:val="single" w:sz="4" w:space="0" w:color="auto"/>
            </w:tcBorders>
            <w:shd w:val="clear" w:color="auto" w:fill="FFFFFF" w:themeFill="background1"/>
            <w:vAlign w:val="center"/>
          </w:tcPr>
          <w:p w14:paraId="7398CCBB" w14:textId="77777777" w:rsidR="00520137" w:rsidRDefault="008937FE">
            <w:pPr>
              <w:pStyle w:val="Body"/>
              <w:spacing w:line="276" w:lineRule="auto"/>
              <w:jc w:val="center"/>
              <w:rPr>
                <w:rFonts w:ascii="Arial" w:hAnsi="Arial" w:cs="Arial"/>
                <w:bCs/>
                <w:lang w:val="en-IN"/>
              </w:rPr>
            </w:pPr>
            <w:r>
              <w:rPr>
                <w:rFonts w:ascii="Arial" w:hAnsi="Arial" w:cs="Arial"/>
                <w:bCs/>
                <w:lang w:val="en-IN"/>
              </w:rPr>
              <w:t>2230</w:t>
            </w:r>
          </w:p>
        </w:tc>
        <w:tc>
          <w:tcPr>
            <w:tcW w:w="859" w:type="pct"/>
            <w:tcBorders>
              <w:top w:val="nil"/>
              <w:left w:val="single" w:sz="4" w:space="0" w:color="auto"/>
              <w:bottom w:val="single" w:sz="4" w:space="0" w:color="auto"/>
              <w:right w:val="single" w:sz="4" w:space="0" w:color="auto"/>
            </w:tcBorders>
            <w:shd w:val="clear" w:color="auto" w:fill="FFFFFF" w:themeFill="background1"/>
            <w:vAlign w:val="center"/>
          </w:tcPr>
          <w:p w14:paraId="47F32163" w14:textId="77777777" w:rsidR="00520137" w:rsidRDefault="008937FE">
            <w:pPr>
              <w:pStyle w:val="Body"/>
              <w:spacing w:line="276" w:lineRule="auto"/>
              <w:jc w:val="center"/>
              <w:rPr>
                <w:rFonts w:ascii="Arial" w:hAnsi="Arial" w:cs="Arial"/>
                <w:bCs/>
                <w:lang w:val="en-IN"/>
              </w:rPr>
            </w:pPr>
            <w:r>
              <w:rPr>
                <w:rFonts w:ascii="Arial" w:hAnsi="Arial" w:cs="Arial"/>
                <w:bCs/>
                <w:lang w:val="en-IN"/>
              </w:rPr>
              <w:t>27426</w:t>
            </w:r>
          </w:p>
        </w:tc>
        <w:tc>
          <w:tcPr>
            <w:tcW w:w="843" w:type="pct"/>
            <w:tcBorders>
              <w:top w:val="nil"/>
              <w:left w:val="single" w:sz="4" w:space="0" w:color="auto"/>
              <w:bottom w:val="single" w:sz="4" w:space="0" w:color="auto"/>
              <w:right w:val="single" w:sz="4" w:space="0" w:color="auto"/>
            </w:tcBorders>
            <w:shd w:val="clear" w:color="auto" w:fill="FFFFFF" w:themeFill="background1"/>
            <w:vAlign w:val="center"/>
          </w:tcPr>
          <w:p w14:paraId="5554ABC1" w14:textId="77777777" w:rsidR="00520137" w:rsidRDefault="008937FE">
            <w:pPr>
              <w:pStyle w:val="Body"/>
              <w:spacing w:line="276" w:lineRule="auto"/>
              <w:jc w:val="center"/>
              <w:rPr>
                <w:rFonts w:ascii="Arial" w:hAnsi="Arial" w:cs="Arial"/>
                <w:bCs/>
                <w:lang w:val="en-IN"/>
              </w:rPr>
            </w:pPr>
            <w:r>
              <w:rPr>
                <w:rFonts w:ascii="Arial" w:hAnsi="Arial" w:cs="Arial"/>
                <w:bCs/>
                <w:lang w:val="en-IN"/>
              </w:rPr>
              <w:t>21579</w:t>
            </w:r>
          </w:p>
        </w:tc>
        <w:tc>
          <w:tcPr>
            <w:tcW w:w="921" w:type="pct"/>
            <w:tcBorders>
              <w:top w:val="nil"/>
              <w:left w:val="single" w:sz="4" w:space="0" w:color="auto"/>
              <w:bottom w:val="single" w:sz="4" w:space="0" w:color="auto"/>
              <w:right w:val="single" w:sz="4" w:space="0" w:color="auto"/>
            </w:tcBorders>
            <w:shd w:val="clear" w:color="auto" w:fill="FFFFFF" w:themeFill="background1"/>
            <w:vAlign w:val="center"/>
          </w:tcPr>
          <w:p w14:paraId="2C4DEE52" w14:textId="77777777" w:rsidR="00520137" w:rsidRDefault="008937FE">
            <w:pPr>
              <w:pStyle w:val="Body"/>
              <w:spacing w:line="276" w:lineRule="auto"/>
              <w:jc w:val="center"/>
              <w:rPr>
                <w:rFonts w:ascii="Arial" w:hAnsi="Arial" w:cs="Arial"/>
                <w:bCs/>
                <w:lang w:val="en-IN"/>
              </w:rPr>
            </w:pPr>
            <w:r>
              <w:rPr>
                <w:rFonts w:ascii="Arial" w:hAnsi="Arial" w:cs="Arial"/>
                <w:bCs/>
                <w:lang w:val="en-IN"/>
              </w:rPr>
              <w:t>151772</w:t>
            </w:r>
          </w:p>
        </w:tc>
        <w:tc>
          <w:tcPr>
            <w:tcW w:w="846" w:type="pct"/>
            <w:tcBorders>
              <w:top w:val="nil"/>
              <w:left w:val="single" w:sz="4" w:space="0" w:color="auto"/>
              <w:bottom w:val="single" w:sz="4" w:space="0" w:color="auto"/>
              <w:right w:val="single" w:sz="4" w:space="0" w:color="auto"/>
            </w:tcBorders>
            <w:shd w:val="clear" w:color="auto" w:fill="FFFFFF" w:themeFill="background1"/>
            <w:vAlign w:val="center"/>
          </w:tcPr>
          <w:p w14:paraId="44BC8626" w14:textId="77777777" w:rsidR="00520137" w:rsidRDefault="008937FE">
            <w:pPr>
              <w:pStyle w:val="Body"/>
              <w:spacing w:line="276" w:lineRule="auto"/>
              <w:jc w:val="center"/>
              <w:rPr>
                <w:rFonts w:ascii="Arial" w:hAnsi="Arial" w:cs="Arial"/>
                <w:bCs/>
                <w:lang w:val="en-IN"/>
              </w:rPr>
            </w:pPr>
            <w:r>
              <w:rPr>
                <w:rFonts w:ascii="Arial" w:hAnsi="Arial" w:cs="Arial"/>
                <w:bCs/>
                <w:lang w:val="en-IN"/>
              </w:rPr>
              <w:t>50915</w:t>
            </w:r>
          </w:p>
        </w:tc>
      </w:tr>
      <w:tr w:rsidR="00520137" w14:paraId="61F18DF4" w14:textId="77777777">
        <w:trPr>
          <w:trHeight w:val="733"/>
        </w:trPr>
        <w:tc>
          <w:tcPr>
            <w:tcW w:w="92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FF07DB6"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D</w:t>
            </w:r>
            <w:r>
              <w:rPr>
                <w:rFonts w:ascii="Arial" w:hAnsi="Arial" w:cs="Arial"/>
                <w:b/>
                <w:bCs/>
                <w:vertAlign w:val="subscript"/>
                <w:lang w:val="en-IN"/>
              </w:rPr>
              <w:t>2</w:t>
            </w:r>
            <w:r>
              <w:rPr>
                <w:rFonts w:ascii="Arial" w:hAnsi="Arial" w:cs="Arial"/>
                <w:b/>
                <w:bCs/>
                <w:lang w:val="en-IN"/>
              </w:rPr>
              <w:t>: 6</w:t>
            </w:r>
            <w:r>
              <w:rPr>
                <w:rFonts w:ascii="Arial" w:hAnsi="Arial" w:cs="Arial"/>
                <w:b/>
                <w:bCs/>
                <w:vertAlign w:val="superscript"/>
                <w:lang w:val="en-IN"/>
              </w:rPr>
              <w:t>th</w:t>
            </w:r>
            <w:r>
              <w:rPr>
                <w:rFonts w:ascii="Arial" w:hAnsi="Arial" w:cs="Arial"/>
                <w:b/>
                <w:bCs/>
                <w:lang w:val="en-IN"/>
              </w:rPr>
              <w:t xml:space="preserve"> SMW</w:t>
            </w:r>
          </w:p>
          <w:p w14:paraId="58138F06" w14:textId="77777777" w:rsidR="00520137" w:rsidRDefault="00520137">
            <w:pPr>
              <w:pStyle w:val="Body"/>
              <w:spacing w:line="276" w:lineRule="auto"/>
              <w:jc w:val="center"/>
              <w:rPr>
                <w:rFonts w:ascii="Arial" w:hAnsi="Arial" w:cs="Arial"/>
                <w:b/>
                <w:bCs/>
                <w:lang w:val="en-IN"/>
              </w:rPr>
            </w:pPr>
          </w:p>
        </w:tc>
        <w:tc>
          <w:tcPr>
            <w:tcW w:w="604" w:type="pct"/>
            <w:tcBorders>
              <w:top w:val="nil"/>
              <w:left w:val="single" w:sz="4" w:space="0" w:color="auto"/>
              <w:bottom w:val="single" w:sz="4" w:space="0" w:color="auto"/>
              <w:right w:val="single" w:sz="4" w:space="0" w:color="auto"/>
            </w:tcBorders>
            <w:shd w:val="clear" w:color="auto" w:fill="FFFFFF" w:themeFill="background1"/>
            <w:vAlign w:val="center"/>
          </w:tcPr>
          <w:p w14:paraId="0162C634" w14:textId="77777777" w:rsidR="00520137" w:rsidRDefault="008937FE">
            <w:pPr>
              <w:pStyle w:val="Body"/>
              <w:spacing w:line="276" w:lineRule="auto"/>
              <w:jc w:val="center"/>
              <w:rPr>
                <w:rFonts w:ascii="Arial" w:hAnsi="Arial" w:cs="Arial"/>
                <w:bCs/>
                <w:lang w:val="en-IN"/>
              </w:rPr>
            </w:pPr>
            <w:r>
              <w:rPr>
                <w:rFonts w:ascii="Arial" w:hAnsi="Arial" w:cs="Arial"/>
                <w:bCs/>
                <w:lang w:val="en-IN"/>
              </w:rPr>
              <w:t>2215</w:t>
            </w:r>
          </w:p>
        </w:tc>
        <w:tc>
          <w:tcPr>
            <w:tcW w:w="859" w:type="pct"/>
            <w:tcBorders>
              <w:top w:val="nil"/>
              <w:left w:val="single" w:sz="4" w:space="0" w:color="auto"/>
              <w:bottom w:val="single" w:sz="4" w:space="0" w:color="auto"/>
              <w:right w:val="single" w:sz="4" w:space="0" w:color="auto"/>
            </w:tcBorders>
            <w:shd w:val="clear" w:color="auto" w:fill="FFFFFF" w:themeFill="background1"/>
            <w:vAlign w:val="center"/>
          </w:tcPr>
          <w:p w14:paraId="455A7761" w14:textId="77777777" w:rsidR="00520137" w:rsidRDefault="008937FE">
            <w:pPr>
              <w:pStyle w:val="Body"/>
              <w:spacing w:line="276" w:lineRule="auto"/>
              <w:jc w:val="center"/>
              <w:rPr>
                <w:rFonts w:ascii="Arial" w:hAnsi="Arial" w:cs="Arial"/>
                <w:bCs/>
                <w:lang w:val="en-IN"/>
              </w:rPr>
            </w:pPr>
            <w:r>
              <w:rPr>
                <w:rFonts w:ascii="Arial" w:hAnsi="Arial" w:cs="Arial"/>
                <w:bCs/>
                <w:lang w:val="en-IN"/>
              </w:rPr>
              <w:t>27393</w:t>
            </w:r>
          </w:p>
        </w:tc>
        <w:tc>
          <w:tcPr>
            <w:tcW w:w="843" w:type="pct"/>
            <w:tcBorders>
              <w:top w:val="nil"/>
              <w:left w:val="single" w:sz="4" w:space="0" w:color="auto"/>
              <w:bottom w:val="single" w:sz="4" w:space="0" w:color="auto"/>
              <w:right w:val="single" w:sz="4" w:space="0" w:color="auto"/>
            </w:tcBorders>
            <w:shd w:val="clear" w:color="auto" w:fill="FFFFFF" w:themeFill="background1"/>
            <w:vAlign w:val="center"/>
          </w:tcPr>
          <w:p w14:paraId="3AA2B0D0" w14:textId="77777777" w:rsidR="00520137" w:rsidRDefault="008937FE">
            <w:pPr>
              <w:pStyle w:val="Body"/>
              <w:spacing w:line="276" w:lineRule="auto"/>
              <w:jc w:val="center"/>
              <w:rPr>
                <w:rFonts w:ascii="Arial" w:hAnsi="Arial" w:cs="Arial"/>
                <w:bCs/>
                <w:lang w:val="en-IN"/>
              </w:rPr>
            </w:pPr>
            <w:r>
              <w:rPr>
                <w:rFonts w:ascii="Arial" w:hAnsi="Arial" w:cs="Arial"/>
                <w:bCs/>
                <w:lang w:val="en-IN"/>
              </w:rPr>
              <w:t>21384</w:t>
            </w:r>
          </w:p>
        </w:tc>
        <w:tc>
          <w:tcPr>
            <w:tcW w:w="921" w:type="pct"/>
            <w:tcBorders>
              <w:top w:val="nil"/>
              <w:left w:val="single" w:sz="4" w:space="0" w:color="auto"/>
              <w:bottom w:val="single" w:sz="4" w:space="0" w:color="auto"/>
              <w:right w:val="single" w:sz="4" w:space="0" w:color="auto"/>
            </w:tcBorders>
            <w:shd w:val="clear" w:color="auto" w:fill="FFFFFF" w:themeFill="background1"/>
            <w:vAlign w:val="center"/>
          </w:tcPr>
          <w:p w14:paraId="0E65E213" w14:textId="77777777" w:rsidR="00520137" w:rsidRDefault="008937FE">
            <w:pPr>
              <w:pStyle w:val="Body"/>
              <w:spacing w:line="276" w:lineRule="auto"/>
              <w:jc w:val="center"/>
              <w:rPr>
                <w:rFonts w:ascii="Arial" w:hAnsi="Arial" w:cs="Arial"/>
                <w:bCs/>
                <w:lang w:val="en-IN"/>
              </w:rPr>
            </w:pPr>
            <w:r>
              <w:rPr>
                <w:rFonts w:ascii="Arial" w:hAnsi="Arial" w:cs="Arial"/>
                <w:bCs/>
                <w:lang w:val="en-IN"/>
              </w:rPr>
              <w:t>147312</w:t>
            </w:r>
          </w:p>
        </w:tc>
        <w:tc>
          <w:tcPr>
            <w:tcW w:w="846" w:type="pct"/>
            <w:tcBorders>
              <w:top w:val="nil"/>
              <w:left w:val="single" w:sz="4" w:space="0" w:color="auto"/>
              <w:bottom w:val="single" w:sz="4" w:space="0" w:color="auto"/>
              <w:right w:val="single" w:sz="4" w:space="0" w:color="auto"/>
            </w:tcBorders>
            <w:shd w:val="clear" w:color="auto" w:fill="FFFFFF" w:themeFill="background1"/>
            <w:vAlign w:val="center"/>
          </w:tcPr>
          <w:p w14:paraId="759EA374" w14:textId="77777777" w:rsidR="00520137" w:rsidRDefault="008937FE">
            <w:pPr>
              <w:pStyle w:val="Body"/>
              <w:spacing w:line="276" w:lineRule="auto"/>
              <w:jc w:val="center"/>
              <w:rPr>
                <w:rFonts w:ascii="Arial" w:hAnsi="Arial" w:cs="Arial"/>
                <w:bCs/>
                <w:lang w:val="en-IN"/>
              </w:rPr>
            </w:pPr>
            <w:r>
              <w:rPr>
                <w:rFonts w:ascii="Arial" w:hAnsi="Arial" w:cs="Arial"/>
                <w:bCs/>
                <w:lang w:val="en-IN"/>
              </w:rPr>
              <w:t>49221</w:t>
            </w:r>
          </w:p>
        </w:tc>
      </w:tr>
      <w:tr w:rsidR="00520137" w14:paraId="1A241A51" w14:textId="77777777">
        <w:trPr>
          <w:trHeight w:val="733"/>
        </w:trPr>
        <w:tc>
          <w:tcPr>
            <w:tcW w:w="92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DFAA60"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D</w:t>
            </w:r>
            <w:r>
              <w:rPr>
                <w:rFonts w:ascii="Arial" w:hAnsi="Arial" w:cs="Arial"/>
                <w:b/>
                <w:bCs/>
                <w:vertAlign w:val="subscript"/>
                <w:lang w:val="en-IN"/>
              </w:rPr>
              <w:t>3</w:t>
            </w:r>
            <w:r>
              <w:rPr>
                <w:rFonts w:ascii="Arial" w:hAnsi="Arial" w:cs="Arial"/>
                <w:b/>
                <w:bCs/>
                <w:lang w:val="en-IN"/>
              </w:rPr>
              <w:t>: 8</w:t>
            </w:r>
            <w:r>
              <w:rPr>
                <w:rFonts w:ascii="Arial" w:hAnsi="Arial" w:cs="Arial"/>
                <w:b/>
                <w:bCs/>
                <w:vertAlign w:val="superscript"/>
                <w:lang w:val="en-IN"/>
              </w:rPr>
              <w:t>th</w:t>
            </w:r>
            <w:r>
              <w:rPr>
                <w:rFonts w:ascii="Arial" w:hAnsi="Arial" w:cs="Arial"/>
                <w:b/>
                <w:bCs/>
                <w:lang w:val="en-IN"/>
              </w:rPr>
              <w:t xml:space="preserve"> SMW</w:t>
            </w:r>
          </w:p>
          <w:p w14:paraId="4197EB75" w14:textId="77777777" w:rsidR="00520137" w:rsidRDefault="00520137">
            <w:pPr>
              <w:pStyle w:val="Body"/>
              <w:spacing w:line="276" w:lineRule="auto"/>
              <w:jc w:val="center"/>
              <w:rPr>
                <w:rFonts w:ascii="Arial" w:hAnsi="Arial" w:cs="Arial"/>
                <w:b/>
                <w:bCs/>
                <w:lang w:val="en-IN"/>
              </w:rPr>
            </w:pPr>
          </w:p>
        </w:tc>
        <w:tc>
          <w:tcPr>
            <w:tcW w:w="604" w:type="pct"/>
            <w:tcBorders>
              <w:top w:val="nil"/>
              <w:left w:val="single" w:sz="4" w:space="0" w:color="auto"/>
              <w:bottom w:val="single" w:sz="4" w:space="0" w:color="auto"/>
              <w:right w:val="single" w:sz="4" w:space="0" w:color="auto"/>
            </w:tcBorders>
            <w:shd w:val="clear" w:color="auto" w:fill="FFFFFF" w:themeFill="background1"/>
            <w:vAlign w:val="center"/>
          </w:tcPr>
          <w:p w14:paraId="7C30C563" w14:textId="77777777" w:rsidR="00520137" w:rsidRDefault="008937FE">
            <w:pPr>
              <w:pStyle w:val="Body"/>
              <w:spacing w:line="276" w:lineRule="auto"/>
              <w:jc w:val="center"/>
              <w:rPr>
                <w:rFonts w:ascii="Arial" w:hAnsi="Arial" w:cs="Arial"/>
                <w:bCs/>
                <w:lang w:val="en-IN"/>
              </w:rPr>
            </w:pPr>
            <w:r>
              <w:rPr>
                <w:rFonts w:ascii="Arial" w:hAnsi="Arial" w:cs="Arial"/>
                <w:bCs/>
                <w:lang w:val="en-IN"/>
              </w:rPr>
              <w:t>2209</w:t>
            </w:r>
          </w:p>
        </w:tc>
        <w:tc>
          <w:tcPr>
            <w:tcW w:w="859" w:type="pct"/>
            <w:tcBorders>
              <w:top w:val="nil"/>
              <w:left w:val="single" w:sz="4" w:space="0" w:color="auto"/>
              <w:bottom w:val="single" w:sz="4" w:space="0" w:color="auto"/>
              <w:right w:val="single" w:sz="4" w:space="0" w:color="auto"/>
            </w:tcBorders>
            <w:shd w:val="clear" w:color="auto" w:fill="FFFFFF" w:themeFill="background1"/>
            <w:vAlign w:val="center"/>
          </w:tcPr>
          <w:p w14:paraId="761157A7" w14:textId="77777777" w:rsidR="00520137" w:rsidRDefault="008937FE">
            <w:pPr>
              <w:pStyle w:val="Body"/>
              <w:spacing w:line="276" w:lineRule="auto"/>
              <w:jc w:val="center"/>
              <w:rPr>
                <w:rFonts w:ascii="Arial" w:hAnsi="Arial" w:cs="Arial"/>
                <w:bCs/>
                <w:lang w:val="en-IN"/>
              </w:rPr>
            </w:pPr>
            <w:r>
              <w:rPr>
                <w:rFonts w:ascii="Arial" w:hAnsi="Arial" w:cs="Arial"/>
                <w:bCs/>
                <w:lang w:val="en-IN"/>
              </w:rPr>
              <w:t>27175</w:t>
            </w:r>
          </w:p>
        </w:tc>
        <w:tc>
          <w:tcPr>
            <w:tcW w:w="843" w:type="pct"/>
            <w:tcBorders>
              <w:top w:val="nil"/>
              <w:left w:val="single" w:sz="4" w:space="0" w:color="auto"/>
              <w:bottom w:val="single" w:sz="4" w:space="0" w:color="auto"/>
              <w:right w:val="single" w:sz="4" w:space="0" w:color="auto"/>
            </w:tcBorders>
            <w:shd w:val="clear" w:color="auto" w:fill="FFFFFF" w:themeFill="background1"/>
            <w:vAlign w:val="center"/>
          </w:tcPr>
          <w:p w14:paraId="125CA911" w14:textId="77777777" w:rsidR="00520137" w:rsidRDefault="008937FE">
            <w:pPr>
              <w:pStyle w:val="Body"/>
              <w:spacing w:line="276" w:lineRule="auto"/>
              <w:jc w:val="center"/>
              <w:rPr>
                <w:rFonts w:ascii="Arial" w:hAnsi="Arial" w:cs="Arial"/>
                <w:bCs/>
                <w:lang w:val="en-IN"/>
              </w:rPr>
            </w:pPr>
            <w:r>
              <w:rPr>
                <w:rFonts w:ascii="Arial" w:hAnsi="Arial" w:cs="Arial"/>
                <w:bCs/>
                <w:lang w:val="en-IN"/>
              </w:rPr>
              <w:t>20314</w:t>
            </w:r>
          </w:p>
        </w:tc>
        <w:tc>
          <w:tcPr>
            <w:tcW w:w="921" w:type="pct"/>
            <w:tcBorders>
              <w:top w:val="nil"/>
              <w:left w:val="single" w:sz="4" w:space="0" w:color="auto"/>
              <w:bottom w:val="single" w:sz="4" w:space="0" w:color="auto"/>
              <w:right w:val="single" w:sz="4" w:space="0" w:color="auto"/>
            </w:tcBorders>
            <w:shd w:val="clear" w:color="auto" w:fill="FFFFFF" w:themeFill="background1"/>
            <w:vAlign w:val="center"/>
          </w:tcPr>
          <w:p w14:paraId="07CEAD59" w14:textId="77777777" w:rsidR="00520137" w:rsidRDefault="008937FE">
            <w:pPr>
              <w:pStyle w:val="Body"/>
              <w:spacing w:line="276" w:lineRule="auto"/>
              <w:jc w:val="center"/>
              <w:rPr>
                <w:rFonts w:ascii="Arial" w:hAnsi="Arial" w:cs="Arial"/>
                <w:bCs/>
                <w:lang w:val="en-IN"/>
              </w:rPr>
            </w:pPr>
            <w:r>
              <w:rPr>
                <w:rFonts w:ascii="Arial" w:hAnsi="Arial" w:cs="Arial"/>
                <w:bCs/>
                <w:lang w:val="en-IN"/>
              </w:rPr>
              <w:t>145541</w:t>
            </w:r>
          </w:p>
        </w:tc>
        <w:tc>
          <w:tcPr>
            <w:tcW w:w="846" w:type="pct"/>
            <w:tcBorders>
              <w:top w:val="nil"/>
              <w:left w:val="single" w:sz="4" w:space="0" w:color="auto"/>
              <w:bottom w:val="single" w:sz="4" w:space="0" w:color="auto"/>
              <w:right w:val="single" w:sz="4" w:space="0" w:color="auto"/>
            </w:tcBorders>
            <w:shd w:val="clear" w:color="auto" w:fill="FFFFFF" w:themeFill="background1"/>
            <w:vAlign w:val="center"/>
          </w:tcPr>
          <w:p w14:paraId="1EDCDD57" w14:textId="77777777" w:rsidR="00520137" w:rsidRDefault="008937FE">
            <w:pPr>
              <w:pStyle w:val="Body"/>
              <w:spacing w:line="276" w:lineRule="auto"/>
              <w:jc w:val="center"/>
              <w:rPr>
                <w:rFonts w:ascii="Arial" w:hAnsi="Arial" w:cs="Arial"/>
                <w:bCs/>
                <w:lang w:val="en-IN"/>
              </w:rPr>
            </w:pPr>
            <w:r>
              <w:rPr>
                <w:rFonts w:ascii="Arial" w:hAnsi="Arial" w:cs="Arial"/>
                <w:bCs/>
                <w:lang w:val="en-IN"/>
              </w:rPr>
              <w:t>51432</w:t>
            </w:r>
          </w:p>
        </w:tc>
      </w:tr>
      <w:tr w:rsidR="00520137" w14:paraId="6D1A905B" w14:textId="77777777">
        <w:trPr>
          <w:trHeight w:val="733"/>
        </w:trPr>
        <w:tc>
          <w:tcPr>
            <w:tcW w:w="925"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6124261" w14:textId="77777777" w:rsidR="00520137" w:rsidRDefault="008937FE">
            <w:pPr>
              <w:pStyle w:val="Body"/>
              <w:spacing w:line="276" w:lineRule="auto"/>
              <w:jc w:val="center"/>
              <w:rPr>
                <w:rFonts w:ascii="Arial" w:hAnsi="Arial" w:cs="Arial"/>
                <w:b/>
                <w:bCs/>
                <w:vertAlign w:val="superscript"/>
                <w:lang w:val="en-IN"/>
              </w:rPr>
            </w:pPr>
            <w:r>
              <w:rPr>
                <w:rFonts w:ascii="Arial" w:hAnsi="Arial" w:cs="Arial"/>
                <w:b/>
                <w:bCs/>
                <w:lang w:val="en-IN"/>
              </w:rPr>
              <w:t>D</w:t>
            </w:r>
            <w:r>
              <w:rPr>
                <w:rFonts w:ascii="Arial" w:hAnsi="Arial" w:cs="Arial"/>
                <w:b/>
                <w:bCs/>
                <w:vertAlign w:val="subscript"/>
                <w:lang w:val="en-IN"/>
              </w:rPr>
              <w:t>4</w:t>
            </w:r>
            <w:r>
              <w:rPr>
                <w:rFonts w:ascii="Arial" w:hAnsi="Arial" w:cs="Arial"/>
                <w:b/>
                <w:bCs/>
                <w:lang w:val="en-IN"/>
              </w:rPr>
              <w:t>: 10</w:t>
            </w:r>
            <w:r>
              <w:rPr>
                <w:rFonts w:ascii="Arial" w:hAnsi="Arial" w:cs="Arial"/>
                <w:b/>
                <w:bCs/>
                <w:vertAlign w:val="superscript"/>
                <w:lang w:val="en-IN"/>
              </w:rPr>
              <w:t xml:space="preserve">th </w:t>
            </w:r>
            <w:r>
              <w:rPr>
                <w:rFonts w:ascii="Arial" w:hAnsi="Arial" w:cs="Arial"/>
                <w:b/>
                <w:bCs/>
                <w:lang w:val="en-IN"/>
              </w:rPr>
              <w:t>SMW</w:t>
            </w:r>
          </w:p>
          <w:p w14:paraId="358982D8" w14:textId="77777777" w:rsidR="00520137" w:rsidRDefault="00520137">
            <w:pPr>
              <w:pStyle w:val="Body"/>
              <w:spacing w:line="276" w:lineRule="auto"/>
              <w:jc w:val="center"/>
              <w:rPr>
                <w:rFonts w:ascii="Arial" w:hAnsi="Arial" w:cs="Arial"/>
                <w:b/>
                <w:bCs/>
                <w:lang w:val="en-IN"/>
              </w:rPr>
            </w:pPr>
          </w:p>
        </w:tc>
        <w:tc>
          <w:tcPr>
            <w:tcW w:w="604" w:type="pct"/>
            <w:tcBorders>
              <w:top w:val="nil"/>
              <w:left w:val="single" w:sz="4" w:space="0" w:color="auto"/>
              <w:bottom w:val="single" w:sz="4" w:space="0" w:color="auto"/>
              <w:right w:val="single" w:sz="4" w:space="0" w:color="auto"/>
            </w:tcBorders>
            <w:shd w:val="clear" w:color="auto" w:fill="FFFFFF" w:themeFill="background1"/>
            <w:vAlign w:val="center"/>
          </w:tcPr>
          <w:p w14:paraId="776D58D4" w14:textId="77777777" w:rsidR="00520137" w:rsidRDefault="008937FE">
            <w:pPr>
              <w:pStyle w:val="Body"/>
              <w:spacing w:line="276" w:lineRule="auto"/>
              <w:jc w:val="center"/>
              <w:rPr>
                <w:rFonts w:ascii="Arial" w:hAnsi="Arial" w:cs="Arial"/>
                <w:bCs/>
                <w:lang w:val="en-IN"/>
              </w:rPr>
            </w:pPr>
            <w:r>
              <w:rPr>
                <w:rFonts w:ascii="Arial" w:hAnsi="Arial" w:cs="Arial"/>
                <w:bCs/>
                <w:lang w:val="en-IN"/>
              </w:rPr>
              <w:t>2101</w:t>
            </w:r>
          </w:p>
        </w:tc>
        <w:tc>
          <w:tcPr>
            <w:tcW w:w="859" w:type="pct"/>
            <w:tcBorders>
              <w:top w:val="nil"/>
              <w:left w:val="single" w:sz="4" w:space="0" w:color="auto"/>
              <w:bottom w:val="single" w:sz="4" w:space="0" w:color="auto"/>
              <w:right w:val="single" w:sz="4" w:space="0" w:color="auto"/>
            </w:tcBorders>
            <w:shd w:val="clear" w:color="auto" w:fill="FFFFFF" w:themeFill="background1"/>
            <w:vAlign w:val="center"/>
          </w:tcPr>
          <w:p w14:paraId="38F5BE58" w14:textId="77777777" w:rsidR="00520137" w:rsidRDefault="008937FE">
            <w:pPr>
              <w:pStyle w:val="Body"/>
              <w:spacing w:line="276" w:lineRule="auto"/>
              <w:jc w:val="center"/>
              <w:rPr>
                <w:rFonts w:ascii="Arial" w:hAnsi="Arial" w:cs="Arial"/>
                <w:bCs/>
                <w:lang w:val="en-IN"/>
              </w:rPr>
            </w:pPr>
            <w:r>
              <w:rPr>
                <w:rFonts w:ascii="Arial" w:hAnsi="Arial" w:cs="Arial"/>
                <w:bCs/>
                <w:lang w:val="en-IN"/>
              </w:rPr>
              <w:t>26851</w:t>
            </w:r>
          </w:p>
        </w:tc>
        <w:tc>
          <w:tcPr>
            <w:tcW w:w="843" w:type="pct"/>
            <w:tcBorders>
              <w:top w:val="nil"/>
              <w:left w:val="single" w:sz="4" w:space="0" w:color="auto"/>
              <w:bottom w:val="single" w:sz="4" w:space="0" w:color="auto"/>
              <w:right w:val="single" w:sz="4" w:space="0" w:color="auto"/>
            </w:tcBorders>
            <w:shd w:val="clear" w:color="auto" w:fill="FFFFFF" w:themeFill="background1"/>
            <w:vAlign w:val="center"/>
          </w:tcPr>
          <w:p w14:paraId="4693FD3A" w14:textId="77777777" w:rsidR="00520137" w:rsidRDefault="008937FE">
            <w:pPr>
              <w:pStyle w:val="Body"/>
              <w:spacing w:line="276" w:lineRule="auto"/>
              <w:jc w:val="center"/>
              <w:rPr>
                <w:rFonts w:ascii="Arial" w:hAnsi="Arial" w:cs="Arial"/>
                <w:bCs/>
                <w:lang w:val="en-IN"/>
              </w:rPr>
            </w:pPr>
            <w:r>
              <w:rPr>
                <w:rFonts w:ascii="Arial" w:hAnsi="Arial" w:cs="Arial"/>
                <w:bCs/>
                <w:lang w:val="en-IN"/>
              </w:rPr>
              <w:t>18933</w:t>
            </w:r>
          </w:p>
        </w:tc>
        <w:tc>
          <w:tcPr>
            <w:tcW w:w="921" w:type="pct"/>
            <w:tcBorders>
              <w:top w:val="nil"/>
              <w:left w:val="single" w:sz="4" w:space="0" w:color="auto"/>
              <w:bottom w:val="single" w:sz="4" w:space="0" w:color="auto"/>
              <w:right w:val="single" w:sz="4" w:space="0" w:color="auto"/>
            </w:tcBorders>
            <w:shd w:val="clear" w:color="auto" w:fill="FFFFFF" w:themeFill="background1"/>
            <w:vAlign w:val="center"/>
          </w:tcPr>
          <w:p w14:paraId="366669F2" w14:textId="77777777" w:rsidR="00520137" w:rsidRDefault="008937FE">
            <w:pPr>
              <w:pStyle w:val="Body"/>
              <w:spacing w:line="276" w:lineRule="auto"/>
              <w:jc w:val="center"/>
              <w:rPr>
                <w:rFonts w:ascii="Arial" w:hAnsi="Arial" w:cs="Arial"/>
                <w:bCs/>
                <w:lang w:val="en-IN"/>
              </w:rPr>
            </w:pPr>
            <w:r>
              <w:rPr>
                <w:rFonts w:ascii="Arial" w:hAnsi="Arial" w:cs="Arial"/>
                <w:bCs/>
                <w:lang w:val="en-IN"/>
              </w:rPr>
              <w:t>146638</w:t>
            </w:r>
          </w:p>
        </w:tc>
        <w:tc>
          <w:tcPr>
            <w:tcW w:w="846" w:type="pct"/>
            <w:tcBorders>
              <w:top w:val="nil"/>
              <w:left w:val="single" w:sz="4" w:space="0" w:color="auto"/>
              <w:bottom w:val="single" w:sz="4" w:space="0" w:color="auto"/>
              <w:right w:val="single" w:sz="4" w:space="0" w:color="auto"/>
            </w:tcBorders>
            <w:shd w:val="clear" w:color="auto" w:fill="FFFFFF" w:themeFill="background1"/>
            <w:vAlign w:val="center"/>
          </w:tcPr>
          <w:p w14:paraId="11FB3485" w14:textId="77777777" w:rsidR="00520137" w:rsidRDefault="008937FE">
            <w:pPr>
              <w:pStyle w:val="Body"/>
              <w:spacing w:line="276" w:lineRule="auto"/>
              <w:jc w:val="center"/>
              <w:rPr>
                <w:rFonts w:ascii="Arial" w:hAnsi="Arial" w:cs="Arial"/>
                <w:bCs/>
                <w:lang w:val="en-IN"/>
              </w:rPr>
            </w:pPr>
            <w:r>
              <w:rPr>
                <w:rFonts w:ascii="Arial" w:hAnsi="Arial" w:cs="Arial"/>
                <w:bCs/>
                <w:lang w:val="en-IN"/>
              </w:rPr>
              <w:t>54048</w:t>
            </w:r>
          </w:p>
        </w:tc>
      </w:tr>
      <w:tr w:rsidR="00520137" w14:paraId="1AABCAEC" w14:textId="77777777">
        <w:trPr>
          <w:trHeight w:val="733"/>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20DC2F"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Varieties</w:t>
            </w:r>
          </w:p>
        </w:tc>
      </w:tr>
      <w:tr w:rsidR="00520137" w14:paraId="09A03C7F" w14:textId="77777777">
        <w:trPr>
          <w:trHeight w:val="733"/>
        </w:trPr>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947D06"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V</w:t>
            </w:r>
            <w:r>
              <w:rPr>
                <w:rFonts w:ascii="Arial" w:hAnsi="Arial" w:cs="Arial"/>
                <w:b/>
                <w:bCs/>
                <w:vertAlign w:val="subscript"/>
                <w:lang w:val="en-IN"/>
              </w:rPr>
              <w:t>1</w:t>
            </w:r>
            <w:r>
              <w:rPr>
                <w:rFonts w:ascii="Arial" w:hAnsi="Arial" w:cs="Arial"/>
                <w:b/>
                <w:bCs/>
                <w:lang w:val="en-IN"/>
              </w:rPr>
              <w:t>: GJG-31</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D3F5A" w14:textId="77777777" w:rsidR="00520137" w:rsidRDefault="008937FE">
            <w:pPr>
              <w:pStyle w:val="Body"/>
              <w:spacing w:line="276" w:lineRule="auto"/>
              <w:jc w:val="center"/>
              <w:rPr>
                <w:rFonts w:ascii="Arial" w:hAnsi="Arial" w:cs="Arial"/>
                <w:bCs/>
                <w:lang w:val="en-IN"/>
              </w:rPr>
            </w:pPr>
            <w:r>
              <w:rPr>
                <w:rFonts w:ascii="Arial" w:hAnsi="Arial" w:cs="Arial"/>
                <w:bCs/>
                <w:lang w:val="en-IN"/>
              </w:rPr>
              <w:t>2107</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40FF3" w14:textId="77777777" w:rsidR="00520137" w:rsidRDefault="008937FE">
            <w:pPr>
              <w:pStyle w:val="Body"/>
              <w:spacing w:line="276" w:lineRule="auto"/>
              <w:jc w:val="center"/>
              <w:rPr>
                <w:rFonts w:ascii="Arial" w:hAnsi="Arial" w:cs="Arial"/>
                <w:bCs/>
                <w:lang w:val="en-IN"/>
              </w:rPr>
            </w:pPr>
            <w:r>
              <w:rPr>
                <w:rFonts w:ascii="Arial" w:hAnsi="Arial" w:cs="Arial"/>
                <w:bCs/>
                <w:lang w:val="en-IN"/>
              </w:rPr>
              <w:t>26226</w:t>
            </w:r>
          </w:p>
        </w:tc>
        <w:tc>
          <w:tcPr>
            <w:tcW w:w="8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4B637" w14:textId="77777777" w:rsidR="00520137" w:rsidRDefault="008937FE">
            <w:pPr>
              <w:pStyle w:val="Body"/>
              <w:spacing w:line="276" w:lineRule="auto"/>
              <w:jc w:val="center"/>
              <w:rPr>
                <w:rFonts w:ascii="Arial" w:hAnsi="Arial" w:cs="Arial"/>
                <w:bCs/>
                <w:lang w:val="en-IN"/>
              </w:rPr>
            </w:pPr>
            <w:r>
              <w:rPr>
                <w:rFonts w:ascii="Arial" w:hAnsi="Arial" w:cs="Arial"/>
                <w:bCs/>
                <w:lang w:val="en-IN"/>
              </w:rPr>
              <w:t>20082</w:t>
            </w:r>
          </w:p>
        </w:tc>
        <w:tc>
          <w:tcPr>
            <w:tcW w:w="9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F4D20" w14:textId="77777777" w:rsidR="00520137" w:rsidRDefault="008937FE">
            <w:pPr>
              <w:pStyle w:val="Body"/>
              <w:spacing w:line="276" w:lineRule="auto"/>
              <w:jc w:val="center"/>
              <w:rPr>
                <w:rFonts w:ascii="Arial" w:hAnsi="Arial" w:cs="Arial"/>
                <w:bCs/>
                <w:lang w:val="en-IN"/>
              </w:rPr>
            </w:pPr>
            <w:r>
              <w:rPr>
                <w:rFonts w:ascii="Arial" w:hAnsi="Arial" w:cs="Arial"/>
                <w:bCs/>
                <w:lang w:val="en-IN"/>
              </w:rPr>
              <w:t>142443</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E82E3" w14:textId="77777777" w:rsidR="00520137" w:rsidRDefault="008937FE">
            <w:pPr>
              <w:pStyle w:val="Body"/>
              <w:spacing w:line="276" w:lineRule="auto"/>
              <w:jc w:val="center"/>
              <w:rPr>
                <w:rFonts w:ascii="Arial" w:hAnsi="Arial" w:cs="Arial"/>
                <w:bCs/>
                <w:lang w:val="en-IN"/>
              </w:rPr>
            </w:pPr>
            <w:r>
              <w:rPr>
                <w:rFonts w:ascii="Arial" w:hAnsi="Arial" w:cs="Arial"/>
                <w:bCs/>
                <w:lang w:val="en-IN"/>
              </w:rPr>
              <w:t>48686</w:t>
            </w:r>
          </w:p>
        </w:tc>
      </w:tr>
      <w:tr w:rsidR="00520137" w14:paraId="4551DFD8" w14:textId="77777777">
        <w:trPr>
          <w:trHeight w:val="733"/>
        </w:trPr>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3D9BB1"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V</w:t>
            </w:r>
            <w:r>
              <w:rPr>
                <w:rFonts w:ascii="Arial" w:hAnsi="Arial" w:cs="Arial"/>
                <w:b/>
                <w:bCs/>
                <w:vertAlign w:val="subscript"/>
                <w:lang w:val="en-IN"/>
              </w:rPr>
              <w:t>2</w:t>
            </w:r>
            <w:r>
              <w:rPr>
                <w:rFonts w:ascii="Arial" w:hAnsi="Arial" w:cs="Arial"/>
                <w:b/>
                <w:bCs/>
                <w:lang w:val="en-IN"/>
              </w:rPr>
              <w:t>: GG-34</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AC10C" w14:textId="77777777" w:rsidR="00520137" w:rsidRDefault="008937FE">
            <w:pPr>
              <w:pStyle w:val="Body"/>
              <w:spacing w:line="276" w:lineRule="auto"/>
              <w:jc w:val="center"/>
              <w:rPr>
                <w:rFonts w:ascii="Arial" w:hAnsi="Arial" w:cs="Arial"/>
                <w:bCs/>
                <w:lang w:val="en-IN"/>
              </w:rPr>
            </w:pPr>
            <w:r>
              <w:rPr>
                <w:rFonts w:ascii="Arial" w:hAnsi="Arial" w:cs="Arial"/>
                <w:bCs/>
                <w:lang w:val="en-IN"/>
              </w:rPr>
              <w:t>2310</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CCAD7" w14:textId="77777777" w:rsidR="00520137" w:rsidRDefault="008937FE">
            <w:pPr>
              <w:pStyle w:val="Body"/>
              <w:spacing w:line="276" w:lineRule="auto"/>
              <w:jc w:val="center"/>
              <w:rPr>
                <w:rFonts w:ascii="Arial" w:hAnsi="Arial" w:cs="Arial"/>
                <w:bCs/>
                <w:lang w:val="en-IN"/>
              </w:rPr>
            </w:pPr>
            <w:r>
              <w:rPr>
                <w:rFonts w:ascii="Arial" w:hAnsi="Arial" w:cs="Arial"/>
                <w:bCs/>
                <w:lang w:val="en-IN"/>
              </w:rPr>
              <w:t>28619</w:t>
            </w:r>
          </w:p>
        </w:tc>
        <w:tc>
          <w:tcPr>
            <w:tcW w:w="8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E8001" w14:textId="77777777" w:rsidR="00520137" w:rsidRDefault="008937FE">
            <w:pPr>
              <w:pStyle w:val="Body"/>
              <w:spacing w:line="276" w:lineRule="auto"/>
              <w:jc w:val="center"/>
              <w:rPr>
                <w:rFonts w:ascii="Arial" w:hAnsi="Arial" w:cs="Arial"/>
                <w:bCs/>
                <w:lang w:val="en-IN"/>
              </w:rPr>
            </w:pPr>
            <w:r>
              <w:rPr>
                <w:rFonts w:ascii="Arial" w:hAnsi="Arial" w:cs="Arial"/>
                <w:bCs/>
                <w:lang w:val="en-IN"/>
              </w:rPr>
              <w:t>21194</w:t>
            </w:r>
          </w:p>
        </w:tc>
        <w:tc>
          <w:tcPr>
            <w:tcW w:w="9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1A7C4" w14:textId="77777777" w:rsidR="00520137" w:rsidRDefault="008937FE">
            <w:pPr>
              <w:pStyle w:val="Body"/>
              <w:spacing w:line="276" w:lineRule="auto"/>
              <w:jc w:val="center"/>
              <w:rPr>
                <w:rFonts w:ascii="Arial" w:hAnsi="Arial" w:cs="Arial"/>
                <w:bCs/>
                <w:lang w:val="en-IN"/>
              </w:rPr>
            </w:pPr>
            <w:r>
              <w:rPr>
                <w:rFonts w:ascii="Arial" w:hAnsi="Arial" w:cs="Arial"/>
                <w:bCs/>
                <w:lang w:val="en-IN"/>
              </w:rPr>
              <w:t>155612</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DD85B" w14:textId="77777777" w:rsidR="00520137" w:rsidRDefault="008937FE">
            <w:pPr>
              <w:pStyle w:val="Body"/>
              <w:spacing w:line="276" w:lineRule="auto"/>
              <w:jc w:val="center"/>
              <w:rPr>
                <w:rFonts w:ascii="Arial" w:hAnsi="Arial" w:cs="Arial"/>
                <w:bCs/>
                <w:lang w:val="en-IN"/>
              </w:rPr>
            </w:pPr>
            <w:r>
              <w:rPr>
                <w:rFonts w:ascii="Arial" w:hAnsi="Arial" w:cs="Arial"/>
                <w:bCs/>
                <w:lang w:val="en-IN"/>
              </w:rPr>
              <w:t>55380</w:t>
            </w:r>
          </w:p>
        </w:tc>
      </w:tr>
      <w:tr w:rsidR="00520137" w14:paraId="3C53BF16" w14:textId="77777777">
        <w:trPr>
          <w:trHeight w:val="733"/>
        </w:trPr>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053190"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V</w:t>
            </w:r>
            <w:r>
              <w:rPr>
                <w:rFonts w:ascii="Arial" w:hAnsi="Arial" w:cs="Arial"/>
                <w:b/>
                <w:bCs/>
                <w:vertAlign w:val="subscript"/>
                <w:lang w:val="en-IN"/>
              </w:rPr>
              <w:t>3</w:t>
            </w:r>
            <w:r>
              <w:rPr>
                <w:rFonts w:ascii="Arial" w:hAnsi="Arial" w:cs="Arial"/>
                <w:b/>
                <w:bCs/>
                <w:lang w:val="en-IN"/>
              </w:rPr>
              <w:t>: GG-37</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B682E" w14:textId="77777777" w:rsidR="00520137" w:rsidRDefault="008937FE">
            <w:pPr>
              <w:pStyle w:val="Body"/>
              <w:spacing w:line="276" w:lineRule="auto"/>
              <w:jc w:val="center"/>
              <w:rPr>
                <w:rFonts w:ascii="Arial" w:hAnsi="Arial" w:cs="Arial"/>
                <w:bCs/>
                <w:lang w:val="en-IN"/>
              </w:rPr>
            </w:pPr>
            <w:r>
              <w:rPr>
                <w:rFonts w:ascii="Arial" w:hAnsi="Arial" w:cs="Arial"/>
                <w:bCs/>
                <w:lang w:val="en-IN"/>
              </w:rPr>
              <w:t>2149</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8AB1E" w14:textId="77777777" w:rsidR="00520137" w:rsidRDefault="008937FE">
            <w:pPr>
              <w:pStyle w:val="Body"/>
              <w:spacing w:line="276" w:lineRule="auto"/>
              <w:jc w:val="center"/>
              <w:rPr>
                <w:rFonts w:ascii="Arial" w:hAnsi="Arial" w:cs="Arial"/>
                <w:bCs/>
                <w:lang w:val="en-IN"/>
              </w:rPr>
            </w:pPr>
            <w:r>
              <w:rPr>
                <w:rFonts w:ascii="Arial" w:hAnsi="Arial" w:cs="Arial"/>
                <w:bCs/>
                <w:lang w:val="en-IN"/>
              </w:rPr>
              <w:t>26790</w:t>
            </w:r>
          </w:p>
        </w:tc>
        <w:tc>
          <w:tcPr>
            <w:tcW w:w="8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961DD" w14:textId="77777777" w:rsidR="00520137" w:rsidRDefault="008937FE">
            <w:pPr>
              <w:pStyle w:val="Body"/>
              <w:spacing w:line="276" w:lineRule="auto"/>
              <w:jc w:val="center"/>
              <w:rPr>
                <w:rFonts w:ascii="Arial" w:hAnsi="Arial" w:cs="Arial"/>
                <w:bCs/>
                <w:lang w:val="en-IN"/>
              </w:rPr>
            </w:pPr>
            <w:r>
              <w:rPr>
                <w:rFonts w:ascii="Arial" w:hAnsi="Arial" w:cs="Arial"/>
                <w:bCs/>
                <w:lang w:val="en-IN"/>
              </w:rPr>
              <w:t>20380</w:t>
            </w:r>
          </w:p>
        </w:tc>
        <w:tc>
          <w:tcPr>
            <w:tcW w:w="9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C0519" w14:textId="77777777" w:rsidR="00520137" w:rsidRDefault="008937FE">
            <w:pPr>
              <w:pStyle w:val="Body"/>
              <w:spacing w:line="276" w:lineRule="auto"/>
              <w:jc w:val="center"/>
              <w:rPr>
                <w:rFonts w:ascii="Arial" w:hAnsi="Arial" w:cs="Arial"/>
                <w:bCs/>
                <w:lang w:val="en-IN"/>
              </w:rPr>
            </w:pPr>
            <w:r>
              <w:rPr>
                <w:rFonts w:ascii="Arial" w:hAnsi="Arial" w:cs="Arial"/>
                <w:bCs/>
                <w:lang w:val="en-IN"/>
              </w:rPr>
              <w:t>145393</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C5131" w14:textId="77777777" w:rsidR="00520137" w:rsidRDefault="008937FE">
            <w:pPr>
              <w:pStyle w:val="Body"/>
              <w:spacing w:line="276" w:lineRule="auto"/>
              <w:jc w:val="center"/>
              <w:rPr>
                <w:rFonts w:ascii="Arial" w:hAnsi="Arial" w:cs="Arial"/>
                <w:bCs/>
                <w:lang w:val="en-IN"/>
              </w:rPr>
            </w:pPr>
            <w:r>
              <w:rPr>
                <w:rFonts w:ascii="Arial" w:hAnsi="Arial" w:cs="Arial"/>
                <w:bCs/>
                <w:lang w:val="en-IN"/>
              </w:rPr>
              <w:t>50146</w:t>
            </w:r>
          </w:p>
        </w:tc>
      </w:tr>
    </w:tbl>
    <w:p w14:paraId="73D67340" w14:textId="77777777" w:rsidR="00520137" w:rsidRDefault="008937FE">
      <w:pPr>
        <w:pStyle w:val="Body"/>
        <w:spacing w:after="0" w:line="276" w:lineRule="auto"/>
        <w:rPr>
          <w:rFonts w:ascii="Arial" w:hAnsi="Arial" w:cs="Arial"/>
          <w:b/>
          <w:bCs/>
          <w:sz w:val="22"/>
          <w:szCs w:val="22"/>
          <w:lang w:val="en-IN"/>
        </w:rPr>
      </w:pPr>
      <w:r>
        <w:rPr>
          <w:rFonts w:ascii="Arial" w:hAnsi="Arial" w:cs="Arial"/>
          <w:b/>
          <w:bCs/>
          <w:sz w:val="22"/>
          <w:szCs w:val="22"/>
          <w:lang w:val="en-IN"/>
        </w:rPr>
        <w:t>3.2 Heat Use Efficiency (HUE)</w:t>
      </w:r>
    </w:p>
    <w:p w14:paraId="05104A4D" w14:textId="35496ACC" w:rsidR="00520137" w:rsidRDefault="008937FE">
      <w:pPr>
        <w:pStyle w:val="Body"/>
        <w:spacing w:after="0" w:line="276" w:lineRule="auto"/>
        <w:rPr>
          <w:rFonts w:ascii="Arial" w:hAnsi="Arial" w:cs="Arial"/>
          <w:bCs/>
          <w:lang w:val="en-IN"/>
        </w:rPr>
      </w:pPr>
      <w:r>
        <w:rPr>
          <w:rFonts w:ascii="Arial" w:hAnsi="Arial" w:cs="Arial"/>
          <w:b/>
          <w:bCs/>
          <w:lang w:val="en-IN"/>
        </w:rPr>
        <w:tab/>
      </w:r>
      <w:r>
        <w:rPr>
          <w:rFonts w:ascii="Arial" w:hAnsi="Arial" w:cs="Arial"/>
          <w:bCs/>
          <w:lang w:val="en-IN"/>
        </w:rPr>
        <w:t xml:space="preserve">The heat use efficiency attained by different sowing time and varieties is presented in the Table </w:t>
      </w:r>
      <w:r w:rsidR="001B104A">
        <w:rPr>
          <w:rFonts w:ascii="Arial" w:hAnsi="Arial" w:cs="Arial"/>
          <w:bCs/>
          <w:lang w:val="en-IN"/>
        </w:rPr>
        <w:t>3</w:t>
      </w:r>
      <w:r>
        <w:rPr>
          <w:rFonts w:ascii="Arial" w:hAnsi="Arial" w:cs="Arial"/>
          <w:bCs/>
          <w:lang w:val="en-IN"/>
        </w:rPr>
        <w:t>. The heat use efficiency was highest in 6</w:t>
      </w:r>
      <w:r>
        <w:rPr>
          <w:rFonts w:ascii="Arial" w:hAnsi="Arial" w:cs="Arial"/>
          <w:bCs/>
          <w:vertAlign w:val="superscript"/>
          <w:lang w:val="en-IN"/>
        </w:rPr>
        <w:t>th</w:t>
      </w:r>
      <w:r>
        <w:rPr>
          <w:rFonts w:ascii="Arial" w:hAnsi="Arial" w:cs="Arial"/>
          <w:bCs/>
          <w:lang w:val="en-IN"/>
        </w:rPr>
        <w:t xml:space="preserve"> SMW (1.16 kg ha</w:t>
      </w:r>
      <w:r>
        <w:rPr>
          <w:rFonts w:ascii="Arial" w:hAnsi="Arial" w:cs="Arial"/>
          <w:bCs/>
          <w:vertAlign w:val="superscript"/>
          <w:lang w:val="en-IN"/>
        </w:rPr>
        <w:t>-1</w:t>
      </w:r>
      <w:r>
        <w:rPr>
          <w:rFonts w:ascii="Arial" w:hAnsi="Arial" w:cs="Arial"/>
          <w:bCs/>
          <w:lang w:val="en-IN"/>
        </w:rPr>
        <w:t xml:space="preserve"> day</w:t>
      </w:r>
      <w:r>
        <w:rPr>
          <w:rFonts w:ascii="Arial" w:hAnsi="Arial" w:cs="Arial"/>
          <w:bCs/>
          <w:vertAlign w:val="superscript"/>
          <w:lang w:val="en-IN"/>
        </w:rPr>
        <w:t>-1</w:t>
      </w:r>
      <w:r>
        <w:rPr>
          <w:rFonts w:ascii="Arial" w:hAnsi="Arial" w:cs="Arial"/>
          <w:bCs/>
          <w:lang w:val="en-IN"/>
        </w:rPr>
        <w:t>) which was followed by 8</w:t>
      </w:r>
      <w:r>
        <w:rPr>
          <w:rFonts w:ascii="Arial" w:hAnsi="Arial" w:cs="Arial"/>
          <w:bCs/>
          <w:vertAlign w:val="superscript"/>
          <w:lang w:val="en-IN"/>
        </w:rPr>
        <w:t>th</w:t>
      </w:r>
      <w:r>
        <w:rPr>
          <w:rFonts w:ascii="Arial" w:hAnsi="Arial" w:cs="Arial"/>
          <w:bCs/>
          <w:lang w:val="en-IN"/>
        </w:rPr>
        <w:t xml:space="preserve"> SMW (1.04 kg ha</w:t>
      </w:r>
      <w:r>
        <w:rPr>
          <w:rFonts w:ascii="Arial" w:hAnsi="Arial" w:cs="Arial"/>
          <w:bCs/>
          <w:vertAlign w:val="superscript"/>
          <w:lang w:val="en-IN"/>
        </w:rPr>
        <w:t>-1</w:t>
      </w:r>
      <w:r>
        <w:rPr>
          <w:rFonts w:ascii="Arial" w:hAnsi="Arial" w:cs="Arial"/>
          <w:bCs/>
          <w:lang w:val="en-IN"/>
        </w:rPr>
        <w:t xml:space="preserve"> day</w:t>
      </w:r>
      <w:r>
        <w:rPr>
          <w:rFonts w:ascii="Arial" w:hAnsi="Arial" w:cs="Arial"/>
          <w:bCs/>
          <w:vertAlign w:val="superscript"/>
          <w:lang w:val="en-IN"/>
        </w:rPr>
        <w:t>-1</w:t>
      </w:r>
      <w:r>
        <w:rPr>
          <w:rFonts w:ascii="Arial" w:hAnsi="Arial" w:cs="Arial"/>
          <w:bCs/>
          <w:lang w:val="en-IN"/>
        </w:rPr>
        <w:t>). The lowest heat use efficiency was taken by 4</w:t>
      </w:r>
      <w:r>
        <w:rPr>
          <w:rFonts w:ascii="Arial" w:hAnsi="Arial" w:cs="Arial"/>
          <w:bCs/>
          <w:vertAlign w:val="superscript"/>
          <w:lang w:val="en-IN"/>
        </w:rPr>
        <w:t>th</w:t>
      </w:r>
      <w:r>
        <w:rPr>
          <w:rFonts w:ascii="Arial" w:hAnsi="Arial" w:cs="Arial"/>
          <w:bCs/>
          <w:lang w:val="en-IN"/>
        </w:rPr>
        <w:t xml:space="preserve"> SMW (0.83 kg ha</w:t>
      </w:r>
      <w:r>
        <w:rPr>
          <w:rFonts w:ascii="Arial" w:hAnsi="Arial" w:cs="Arial"/>
          <w:bCs/>
          <w:vertAlign w:val="superscript"/>
          <w:lang w:val="en-IN"/>
        </w:rPr>
        <w:t>-1</w:t>
      </w:r>
      <w:r>
        <w:rPr>
          <w:rFonts w:ascii="Arial" w:hAnsi="Arial" w:cs="Arial"/>
          <w:bCs/>
          <w:lang w:val="en-IN"/>
        </w:rPr>
        <w:t xml:space="preserve"> day</w:t>
      </w:r>
      <w:r>
        <w:rPr>
          <w:rFonts w:ascii="Arial" w:hAnsi="Arial" w:cs="Arial"/>
          <w:bCs/>
          <w:vertAlign w:val="superscript"/>
          <w:lang w:val="en-IN"/>
        </w:rPr>
        <w:t>-1</w:t>
      </w:r>
      <w:r>
        <w:rPr>
          <w:rFonts w:ascii="Arial" w:hAnsi="Arial" w:cs="Arial"/>
          <w:bCs/>
          <w:lang w:val="en-IN"/>
        </w:rPr>
        <w:t>). Amon the varieties, the highest HUE was obtained by GJG-31 (1.14 kg ha</w:t>
      </w:r>
      <w:r>
        <w:rPr>
          <w:rFonts w:ascii="Arial" w:hAnsi="Arial" w:cs="Arial"/>
          <w:bCs/>
          <w:vertAlign w:val="superscript"/>
          <w:lang w:val="en-IN"/>
        </w:rPr>
        <w:t>-1</w:t>
      </w:r>
      <w:r>
        <w:rPr>
          <w:rFonts w:ascii="Arial" w:hAnsi="Arial" w:cs="Arial"/>
          <w:bCs/>
          <w:lang w:val="en-IN"/>
        </w:rPr>
        <w:t xml:space="preserve"> day</w:t>
      </w:r>
      <w:r>
        <w:rPr>
          <w:rFonts w:ascii="Arial" w:hAnsi="Arial" w:cs="Arial"/>
          <w:bCs/>
          <w:vertAlign w:val="superscript"/>
          <w:lang w:val="en-IN"/>
        </w:rPr>
        <w:t>-1</w:t>
      </w:r>
      <w:r>
        <w:rPr>
          <w:rFonts w:ascii="Arial" w:hAnsi="Arial" w:cs="Arial"/>
          <w:bCs/>
          <w:lang w:val="en-IN"/>
        </w:rPr>
        <w:t>) and it was followed by GG-37 (1.03 kg ha</w:t>
      </w:r>
      <w:r>
        <w:rPr>
          <w:rFonts w:ascii="Arial" w:hAnsi="Arial" w:cs="Arial"/>
          <w:bCs/>
          <w:vertAlign w:val="superscript"/>
          <w:lang w:val="en-IN"/>
        </w:rPr>
        <w:t>-1</w:t>
      </w:r>
      <w:r>
        <w:rPr>
          <w:rFonts w:ascii="Arial" w:hAnsi="Arial" w:cs="Arial"/>
          <w:bCs/>
          <w:lang w:val="en-IN"/>
        </w:rPr>
        <w:t xml:space="preserve"> day</w:t>
      </w:r>
      <w:r>
        <w:rPr>
          <w:rFonts w:ascii="Arial" w:hAnsi="Arial" w:cs="Arial"/>
          <w:bCs/>
          <w:vertAlign w:val="superscript"/>
          <w:lang w:val="en-IN"/>
        </w:rPr>
        <w:t>-1</w:t>
      </w:r>
      <w:r>
        <w:rPr>
          <w:rFonts w:ascii="Arial" w:hAnsi="Arial" w:cs="Arial"/>
          <w:bCs/>
          <w:lang w:val="en-IN"/>
        </w:rPr>
        <w:t>). The lowest HUE was recorded by GG-34 (0.86 kg ha</w:t>
      </w:r>
      <w:r>
        <w:rPr>
          <w:rFonts w:ascii="Arial" w:hAnsi="Arial" w:cs="Arial"/>
          <w:bCs/>
          <w:vertAlign w:val="superscript"/>
          <w:lang w:val="en-IN"/>
        </w:rPr>
        <w:t>-1</w:t>
      </w:r>
      <w:r>
        <w:rPr>
          <w:rFonts w:ascii="Arial" w:hAnsi="Arial" w:cs="Arial"/>
          <w:bCs/>
          <w:lang w:val="en-IN"/>
        </w:rPr>
        <w:t xml:space="preserve"> day</w:t>
      </w:r>
      <w:r>
        <w:rPr>
          <w:rFonts w:ascii="Arial" w:hAnsi="Arial" w:cs="Arial"/>
          <w:bCs/>
          <w:vertAlign w:val="superscript"/>
          <w:lang w:val="en-IN"/>
        </w:rPr>
        <w:t>-1</w:t>
      </w:r>
      <w:r>
        <w:rPr>
          <w:rFonts w:ascii="Arial" w:hAnsi="Arial" w:cs="Arial"/>
          <w:bCs/>
          <w:lang w:val="en-IN"/>
        </w:rPr>
        <w:t xml:space="preserve">). The similar findings have been reported by Kingra and Kaur (2012), Sudheer (2013), Vora </w:t>
      </w:r>
      <w:r>
        <w:rPr>
          <w:rFonts w:ascii="Arial" w:hAnsi="Arial" w:cs="Arial"/>
          <w:bCs/>
          <w:i/>
          <w:iCs/>
          <w:lang w:val="en-IN"/>
        </w:rPr>
        <w:t>et al.</w:t>
      </w:r>
      <w:r>
        <w:rPr>
          <w:rFonts w:ascii="Arial" w:hAnsi="Arial" w:cs="Arial"/>
          <w:bCs/>
          <w:lang w:val="en-IN"/>
        </w:rPr>
        <w:t xml:space="preserve"> (2018), Dodiya (2022) and </w:t>
      </w:r>
      <w:proofErr w:type="spellStart"/>
      <w:r>
        <w:rPr>
          <w:rFonts w:ascii="Arial" w:hAnsi="Arial" w:cs="Arial"/>
          <w:bCs/>
          <w:lang w:val="en-IN"/>
        </w:rPr>
        <w:t>Limbasiya</w:t>
      </w:r>
      <w:proofErr w:type="spellEnd"/>
      <w:r>
        <w:rPr>
          <w:rFonts w:ascii="Arial" w:hAnsi="Arial" w:cs="Arial"/>
          <w:bCs/>
          <w:lang w:val="en-IN"/>
        </w:rPr>
        <w:t xml:space="preserve"> (2022).</w:t>
      </w:r>
    </w:p>
    <w:p w14:paraId="5CFF1CC0" w14:textId="77777777" w:rsidR="00520137" w:rsidRDefault="00520137">
      <w:pPr>
        <w:pStyle w:val="Body"/>
        <w:spacing w:after="0" w:line="276" w:lineRule="auto"/>
        <w:rPr>
          <w:rFonts w:ascii="Arial" w:hAnsi="Arial" w:cs="Arial"/>
          <w:bCs/>
          <w:lang w:val="en-IN"/>
        </w:rPr>
      </w:pPr>
    </w:p>
    <w:p w14:paraId="41FED51B" w14:textId="77777777" w:rsidR="00520137" w:rsidRDefault="008937FE">
      <w:pPr>
        <w:pStyle w:val="Body"/>
        <w:spacing w:after="0" w:line="276" w:lineRule="auto"/>
        <w:rPr>
          <w:rFonts w:ascii="Arial" w:hAnsi="Arial" w:cs="Arial"/>
          <w:b/>
          <w:bCs/>
          <w:sz w:val="22"/>
          <w:szCs w:val="22"/>
          <w:lang w:val="en-IN"/>
        </w:rPr>
      </w:pPr>
      <w:r>
        <w:rPr>
          <w:rFonts w:ascii="Arial" w:hAnsi="Arial" w:cs="Arial"/>
          <w:b/>
          <w:bCs/>
          <w:sz w:val="22"/>
          <w:szCs w:val="22"/>
          <w:lang w:val="en-IN"/>
        </w:rPr>
        <w:t>3.3 Phenothermal Index</w:t>
      </w:r>
    </w:p>
    <w:p w14:paraId="6842411A" w14:textId="0AEA9E86" w:rsidR="00520137" w:rsidRDefault="008937FE">
      <w:pPr>
        <w:pStyle w:val="Body"/>
        <w:spacing w:after="0" w:line="276" w:lineRule="auto"/>
        <w:rPr>
          <w:rFonts w:ascii="Arial" w:hAnsi="Arial" w:cs="Arial"/>
          <w:bCs/>
          <w:lang w:val="en-IN"/>
        </w:rPr>
      </w:pPr>
      <w:r>
        <w:rPr>
          <w:rFonts w:ascii="Arial" w:hAnsi="Arial" w:cs="Arial"/>
          <w:bCs/>
          <w:lang w:val="en-IN"/>
        </w:rPr>
        <w:tab/>
        <w:t xml:space="preserve">The phenothermal index for different sowing time and varieties is presented in Table </w:t>
      </w:r>
      <w:r w:rsidR="001B104A">
        <w:rPr>
          <w:rFonts w:ascii="Arial" w:hAnsi="Arial" w:cs="Arial"/>
          <w:bCs/>
          <w:lang w:val="en-IN"/>
        </w:rPr>
        <w:t>3</w:t>
      </w:r>
      <w:r>
        <w:rPr>
          <w:rFonts w:ascii="Arial" w:hAnsi="Arial" w:cs="Arial"/>
          <w:bCs/>
          <w:lang w:val="en-IN"/>
        </w:rPr>
        <w:t>. The phenothermal index was highest in 10</w:t>
      </w:r>
      <w:r>
        <w:rPr>
          <w:rFonts w:ascii="Arial" w:hAnsi="Arial" w:cs="Arial"/>
          <w:bCs/>
          <w:vertAlign w:val="superscript"/>
          <w:lang w:val="en-IN"/>
        </w:rPr>
        <w:t>th</w:t>
      </w:r>
      <w:r>
        <w:rPr>
          <w:rFonts w:ascii="Arial" w:hAnsi="Arial" w:cs="Arial"/>
          <w:bCs/>
          <w:lang w:val="en-IN"/>
        </w:rPr>
        <w:t xml:space="preserve"> SMW (19.94 </w:t>
      </w:r>
      <w:r>
        <w:rPr>
          <w:rFonts w:ascii="Cambria Math" w:hAnsi="Cambria Math" w:cs="Cambria Math"/>
          <w:bCs/>
          <w:lang w:val="en-IN"/>
        </w:rPr>
        <w:t>℃</w:t>
      </w:r>
      <w:r>
        <w:rPr>
          <w:rFonts w:ascii="Arial" w:hAnsi="Arial" w:cs="Arial"/>
          <w:bCs/>
          <w:lang w:val="en-IN"/>
        </w:rPr>
        <w:t xml:space="preserve"> day hrs./day) which was followed by 8</w:t>
      </w:r>
      <w:r>
        <w:rPr>
          <w:rFonts w:ascii="Arial" w:hAnsi="Arial" w:cs="Arial"/>
          <w:bCs/>
          <w:vertAlign w:val="superscript"/>
          <w:lang w:val="en-IN"/>
        </w:rPr>
        <w:t>th</w:t>
      </w:r>
      <w:r>
        <w:rPr>
          <w:rFonts w:ascii="Arial" w:hAnsi="Arial" w:cs="Arial"/>
          <w:bCs/>
          <w:lang w:val="en-IN"/>
        </w:rPr>
        <w:t xml:space="preserve"> SMW (19.77 </w:t>
      </w:r>
      <w:r>
        <w:rPr>
          <w:rFonts w:ascii="Cambria Math" w:hAnsi="Cambria Math" w:cs="Cambria Math"/>
          <w:bCs/>
          <w:lang w:val="en-IN"/>
        </w:rPr>
        <w:t>℃</w:t>
      </w:r>
      <w:r>
        <w:rPr>
          <w:rFonts w:ascii="Arial" w:hAnsi="Arial" w:cs="Arial"/>
          <w:bCs/>
          <w:lang w:val="en-IN"/>
        </w:rPr>
        <w:t xml:space="preserve"> day hrs./day). The lowest phenothermal index was taken by </w:t>
      </w:r>
      <w:r>
        <w:rPr>
          <w:rFonts w:ascii="Arial" w:hAnsi="Arial" w:cs="Arial"/>
          <w:bCs/>
          <w:lang w:val="en-IN"/>
        </w:rPr>
        <w:lastRenderedPageBreak/>
        <w:t>4</w:t>
      </w:r>
      <w:r>
        <w:rPr>
          <w:rFonts w:ascii="Arial" w:hAnsi="Arial" w:cs="Arial"/>
          <w:bCs/>
          <w:vertAlign w:val="superscript"/>
          <w:lang w:val="en-IN"/>
        </w:rPr>
        <w:t>th</w:t>
      </w:r>
      <w:r>
        <w:rPr>
          <w:rFonts w:ascii="Arial" w:hAnsi="Arial" w:cs="Arial"/>
          <w:bCs/>
          <w:lang w:val="en-IN"/>
        </w:rPr>
        <w:t xml:space="preserve"> SMW (17.14 </w:t>
      </w:r>
      <w:r>
        <w:rPr>
          <w:rFonts w:ascii="Cambria Math" w:hAnsi="Cambria Math" w:cs="Cambria Math"/>
          <w:bCs/>
          <w:lang w:val="en-IN"/>
        </w:rPr>
        <w:t>℃</w:t>
      </w:r>
      <w:r>
        <w:rPr>
          <w:rFonts w:ascii="Arial" w:hAnsi="Arial" w:cs="Arial"/>
          <w:bCs/>
          <w:lang w:val="en-IN"/>
        </w:rPr>
        <w:t xml:space="preserve"> day hrs./day). Amon the varieties, the highest phenothermal index was obtained by GG-34 (18.85 </w:t>
      </w:r>
      <w:r>
        <w:rPr>
          <w:rFonts w:ascii="Cambria Math" w:hAnsi="Cambria Math" w:cs="Cambria Math"/>
          <w:bCs/>
          <w:lang w:val="en-IN"/>
        </w:rPr>
        <w:t>℃</w:t>
      </w:r>
      <w:r>
        <w:rPr>
          <w:rFonts w:ascii="Arial" w:hAnsi="Arial" w:cs="Arial"/>
          <w:bCs/>
          <w:lang w:val="en-IN"/>
        </w:rPr>
        <w:t xml:space="preserve"> day hrs./day) and it was followed by GG-37 (18.04 </w:t>
      </w:r>
      <w:r>
        <w:rPr>
          <w:rFonts w:ascii="Cambria Math" w:hAnsi="Cambria Math" w:cs="Cambria Math"/>
          <w:bCs/>
          <w:lang w:val="en-IN"/>
        </w:rPr>
        <w:t>℃</w:t>
      </w:r>
      <w:r>
        <w:rPr>
          <w:rFonts w:ascii="Arial" w:hAnsi="Arial" w:cs="Arial"/>
          <w:bCs/>
          <w:lang w:val="en-IN"/>
        </w:rPr>
        <w:t xml:space="preserve"> day hrs./day). The lowest phenothermal index was recorded by GJG-31 (17.99 </w:t>
      </w:r>
      <w:r>
        <w:rPr>
          <w:rFonts w:ascii="Cambria Math" w:hAnsi="Cambria Math" w:cs="Cambria Math"/>
          <w:bCs/>
          <w:lang w:val="en-IN"/>
        </w:rPr>
        <w:t>℃</w:t>
      </w:r>
      <w:r>
        <w:rPr>
          <w:rFonts w:ascii="Arial" w:hAnsi="Arial" w:cs="Arial"/>
          <w:bCs/>
          <w:lang w:val="en-IN"/>
        </w:rPr>
        <w:t xml:space="preserve"> day hrs./day). The findings are in close agreement with Dodiya (2022) and </w:t>
      </w:r>
      <w:proofErr w:type="spellStart"/>
      <w:r>
        <w:rPr>
          <w:rFonts w:ascii="Arial" w:hAnsi="Arial" w:cs="Arial"/>
          <w:bCs/>
          <w:lang w:val="en-IN"/>
        </w:rPr>
        <w:t>Limbasiya</w:t>
      </w:r>
      <w:proofErr w:type="spellEnd"/>
      <w:r>
        <w:rPr>
          <w:rFonts w:ascii="Arial" w:hAnsi="Arial" w:cs="Arial"/>
          <w:bCs/>
          <w:lang w:val="en-IN"/>
        </w:rPr>
        <w:t xml:space="preserve"> (2022).</w:t>
      </w:r>
    </w:p>
    <w:p w14:paraId="50C8698C" w14:textId="5EFB8119" w:rsidR="00520137" w:rsidRDefault="008937FE">
      <w:pPr>
        <w:pStyle w:val="Body"/>
        <w:spacing w:line="276" w:lineRule="auto"/>
        <w:rPr>
          <w:rFonts w:ascii="Arial" w:hAnsi="Arial" w:cs="Arial"/>
          <w:b/>
          <w:bCs/>
          <w:lang w:val="en-IN"/>
        </w:rPr>
      </w:pPr>
      <w:r>
        <w:rPr>
          <w:rFonts w:ascii="Arial" w:hAnsi="Arial" w:cs="Arial"/>
          <w:b/>
          <w:bCs/>
          <w:lang w:val="en-IN"/>
        </w:rPr>
        <w:t xml:space="preserve">Table </w:t>
      </w:r>
      <w:r w:rsidR="002B25F9">
        <w:rPr>
          <w:rFonts w:ascii="Arial" w:hAnsi="Arial" w:cs="Arial"/>
          <w:b/>
          <w:bCs/>
          <w:lang w:val="en-IN"/>
        </w:rPr>
        <w:t>3</w:t>
      </w:r>
      <w:r>
        <w:rPr>
          <w:rFonts w:ascii="Arial" w:hAnsi="Arial" w:cs="Arial"/>
          <w:b/>
          <w:bCs/>
          <w:lang w:val="en-IN"/>
        </w:rPr>
        <w:t xml:space="preserve"> Effect of treatments on heat use efficiency and phenothermal index to reach </w:t>
      </w:r>
      <w:r>
        <w:rPr>
          <w:rFonts w:ascii="Arial" w:hAnsi="Arial" w:cs="Arial"/>
          <w:b/>
          <w:bCs/>
          <w:color w:val="FFFFFF" w:themeColor="background1"/>
          <w:lang w:val="en-IN"/>
        </w:rPr>
        <w:t>box</w:t>
      </w:r>
      <w:r>
        <w:rPr>
          <w:rFonts w:ascii="Arial" w:hAnsi="Arial" w:cs="Arial"/>
          <w:b/>
          <w:bCs/>
          <w:lang w:val="en-IN"/>
        </w:rPr>
        <w:t xml:space="preserve">        the maturity in summer groundnut during crop season 2024</w:t>
      </w:r>
    </w:p>
    <w:tbl>
      <w:tblPr>
        <w:tblW w:w="4772" w:type="pct"/>
        <w:tblInd w:w="108" w:type="dxa"/>
        <w:tblLayout w:type="fixed"/>
        <w:tblLook w:val="04A0" w:firstRow="1" w:lastRow="0" w:firstColumn="1" w:lastColumn="0" w:noHBand="0" w:noVBand="1"/>
      </w:tblPr>
      <w:tblGrid>
        <w:gridCol w:w="2277"/>
        <w:gridCol w:w="2871"/>
        <w:gridCol w:w="2886"/>
      </w:tblGrid>
      <w:tr w:rsidR="00520137" w14:paraId="0E86488E" w14:textId="77777777">
        <w:trPr>
          <w:trHeight w:val="521"/>
        </w:trPr>
        <w:tc>
          <w:tcPr>
            <w:tcW w:w="1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5F74D"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Treatment</w:t>
            </w:r>
          </w:p>
          <w:p w14:paraId="356D1DD7" w14:textId="77777777" w:rsidR="00520137" w:rsidRDefault="00520137">
            <w:pPr>
              <w:pStyle w:val="Body"/>
              <w:spacing w:line="276" w:lineRule="auto"/>
              <w:jc w:val="center"/>
              <w:rPr>
                <w:rFonts w:ascii="Arial" w:hAnsi="Arial" w:cs="Arial"/>
                <w:b/>
                <w:bCs/>
                <w:lang w:val="en-IN"/>
              </w:rPr>
            </w:pPr>
          </w:p>
          <w:p w14:paraId="361E84EB" w14:textId="77777777" w:rsidR="00520137" w:rsidRDefault="00520137">
            <w:pPr>
              <w:pStyle w:val="Body"/>
              <w:spacing w:line="276" w:lineRule="auto"/>
              <w:jc w:val="center"/>
              <w:rPr>
                <w:rFonts w:ascii="Arial" w:hAnsi="Arial" w:cs="Arial"/>
                <w:b/>
                <w:bCs/>
                <w:lang w:val="en-IN"/>
              </w:rPr>
            </w:pPr>
          </w:p>
        </w:tc>
        <w:tc>
          <w:tcPr>
            <w:tcW w:w="1787" w:type="pct"/>
            <w:tcBorders>
              <w:top w:val="single" w:sz="4" w:space="0" w:color="auto"/>
              <w:left w:val="single" w:sz="4" w:space="0" w:color="auto"/>
              <w:bottom w:val="single" w:sz="4" w:space="0" w:color="auto"/>
              <w:right w:val="single" w:sz="4" w:space="0" w:color="auto"/>
            </w:tcBorders>
            <w:vAlign w:val="center"/>
          </w:tcPr>
          <w:p w14:paraId="4BDDED9B"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Heat Use Efficiency</w:t>
            </w:r>
          </w:p>
          <w:p w14:paraId="1BF14307"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(kg ha</w:t>
            </w:r>
            <w:r>
              <w:rPr>
                <w:rFonts w:ascii="Arial" w:hAnsi="Arial" w:cs="Arial"/>
                <w:b/>
                <w:bCs/>
                <w:vertAlign w:val="superscript"/>
                <w:lang w:val="en-IN"/>
              </w:rPr>
              <w:t>-1</w:t>
            </w:r>
            <w:r>
              <w:rPr>
                <w:rFonts w:ascii="Arial" w:hAnsi="Arial" w:cs="Arial"/>
                <w:b/>
                <w:bCs/>
                <w:lang w:val="en-IN"/>
              </w:rPr>
              <w:t xml:space="preserve"> day</w:t>
            </w:r>
            <w:r>
              <w:rPr>
                <w:rFonts w:ascii="Arial" w:hAnsi="Arial" w:cs="Arial"/>
                <w:b/>
                <w:bCs/>
                <w:vertAlign w:val="superscript"/>
                <w:lang w:val="en-IN"/>
              </w:rPr>
              <w:t>-1</w:t>
            </w:r>
            <w:r>
              <w:rPr>
                <w:rFonts w:ascii="Arial" w:hAnsi="Arial" w:cs="Arial"/>
                <w:b/>
                <w:bCs/>
                <w:lang w:val="en-IN"/>
              </w:rPr>
              <w:t>)</w:t>
            </w:r>
          </w:p>
        </w:tc>
        <w:tc>
          <w:tcPr>
            <w:tcW w:w="1796" w:type="pct"/>
            <w:tcBorders>
              <w:top w:val="single" w:sz="4" w:space="0" w:color="auto"/>
              <w:left w:val="single" w:sz="4" w:space="0" w:color="auto"/>
              <w:bottom w:val="single" w:sz="4" w:space="0" w:color="auto"/>
              <w:right w:val="single" w:sz="4" w:space="0" w:color="auto"/>
            </w:tcBorders>
            <w:vAlign w:val="center"/>
          </w:tcPr>
          <w:p w14:paraId="11A536B7"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Phenothermal Index</w:t>
            </w:r>
          </w:p>
          <w:p w14:paraId="0A30D5C9"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w:t>
            </w:r>
            <w:r>
              <w:rPr>
                <w:rFonts w:ascii="Cambria Math" w:hAnsi="Cambria Math" w:cs="Cambria Math"/>
                <w:b/>
                <w:bCs/>
                <w:lang w:val="en-IN"/>
              </w:rPr>
              <w:t>℃</w:t>
            </w:r>
            <w:r>
              <w:rPr>
                <w:rFonts w:ascii="Arial" w:hAnsi="Arial" w:cs="Arial"/>
                <w:b/>
                <w:bCs/>
                <w:lang w:val="en-IN"/>
              </w:rPr>
              <w:t xml:space="preserve"> day hrs./day)</w:t>
            </w:r>
          </w:p>
        </w:tc>
      </w:tr>
      <w:tr w:rsidR="00520137" w14:paraId="4342F9DD" w14:textId="77777777">
        <w:trPr>
          <w:trHeight w:val="602"/>
        </w:trPr>
        <w:tc>
          <w:tcPr>
            <w:tcW w:w="5000" w:type="pct"/>
            <w:gridSpan w:val="3"/>
            <w:tcBorders>
              <w:top w:val="nil"/>
              <w:left w:val="single" w:sz="4" w:space="0" w:color="auto"/>
              <w:bottom w:val="single" w:sz="4" w:space="0" w:color="auto"/>
              <w:right w:val="single" w:sz="4" w:space="0" w:color="auto"/>
            </w:tcBorders>
            <w:shd w:val="clear" w:color="auto" w:fill="FFFFFF" w:themeFill="background1"/>
            <w:noWrap/>
            <w:vAlign w:val="center"/>
          </w:tcPr>
          <w:p w14:paraId="509A1C78"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Sowing Time</w:t>
            </w:r>
          </w:p>
        </w:tc>
      </w:tr>
      <w:tr w:rsidR="00520137" w14:paraId="2F872B0D" w14:textId="77777777">
        <w:trPr>
          <w:trHeight w:val="602"/>
        </w:trPr>
        <w:tc>
          <w:tcPr>
            <w:tcW w:w="141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B787E0E"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D</w:t>
            </w:r>
            <w:r>
              <w:rPr>
                <w:rFonts w:ascii="Arial" w:hAnsi="Arial" w:cs="Arial"/>
                <w:b/>
                <w:bCs/>
                <w:vertAlign w:val="subscript"/>
                <w:lang w:val="en-IN"/>
              </w:rPr>
              <w:t>1</w:t>
            </w:r>
            <w:r>
              <w:rPr>
                <w:rFonts w:ascii="Arial" w:hAnsi="Arial" w:cs="Arial"/>
                <w:b/>
                <w:bCs/>
                <w:lang w:val="en-IN"/>
              </w:rPr>
              <w:t>: 4</w:t>
            </w:r>
            <w:r>
              <w:rPr>
                <w:rFonts w:ascii="Arial" w:hAnsi="Arial" w:cs="Arial"/>
                <w:b/>
                <w:bCs/>
                <w:vertAlign w:val="superscript"/>
                <w:lang w:val="en-IN"/>
              </w:rPr>
              <w:t>th</w:t>
            </w:r>
            <w:r>
              <w:rPr>
                <w:rFonts w:ascii="Arial" w:hAnsi="Arial" w:cs="Arial"/>
                <w:b/>
                <w:bCs/>
                <w:lang w:val="en-IN"/>
              </w:rPr>
              <w:t xml:space="preserve"> SMW</w:t>
            </w:r>
          </w:p>
        </w:tc>
        <w:tc>
          <w:tcPr>
            <w:tcW w:w="1787" w:type="pct"/>
            <w:tcBorders>
              <w:top w:val="nil"/>
              <w:left w:val="single" w:sz="4" w:space="0" w:color="auto"/>
              <w:bottom w:val="single" w:sz="4" w:space="0" w:color="auto"/>
              <w:right w:val="single" w:sz="4" w:space="0" w:color="auto"/>
            </w:tcBorders>
            <w:shd w:val="clear" w:color="auto" w:fill="FFFFFF" w:themeFill="background1"/>
            <w:vAlign w:val="center"/>
          </w:tcPr>
          <w:p w14:paraId="5888D911" w14:textId="77777777" w:rsidR="00520137" w:rsidRDefault="008937FE">
            <w:pPr>
              <w:pStyle w:val="Body"/>
              <w:spacing w:line="276" w:lineRule="auto"/>
              <w:jc w:val="center"/>
              <w:rPr>
                <w:rFonts w:ascii="Arial" w:hAnsi="Arial" w:cs="Arial"/>
                <w:bCs/>
                <w:lang w:val="en-IN"/>
              </w:rPr>
            </w:pPr>
            <w:r>
              <w:rPr>
                <w:rFonts w:ascii="Arial" w:hAnsi="Arial" w:cs="Arial"/>
                <w:bCs/>
                <w:lang w:val="en-IN"/>
              </w:rPr>
              <w:t>0.83</w:t>
            </w:r>
          </w:p>
        </w:tc>
        <w:tc>
          <w:tcPr>
            <w:tcW w:w="1796" w:type="pct"/>
            <w:tcBorders>
              <w:top w:val="nil"/>
              <w:left w:val="single" w:sz="4" w:space="0" w:color="auto"/>
              <w:bottom w:val="single" w:sz="4" w:space="0" w:color="auto"/>
              <w:right w:val="single" w:sz="4" w:space="0" w:color="auto"/>
            </w:tcBorders>
            <w:shd w:val="clear" w:color="auto" w:fill="FFFFFF" w:themeFill="background1"/>
            <w:vAlign w:val="center"/>
          </w:tcPr>
          <w:p w14:paraId="14FC564B" w14:textId="77777777" w:rsidR="00520137" w:rsidRDefault="008937FE">
            <w:pPr>
              <w:pStyle w:val="Body"/>
              <w:spacing w:line="276" w:lineRule="auto"/>
              <w:jc w:val="center"/>
              <w:rPr>
                <w:rFonts w:ascii="Arial" w:hAnsi="Arial" w:cs="Arial"/>
                <w:bCs/>
                <w:lang w:val="en-IN"/>
              </w:rPr>
            </w:pPr>
            <w:r>
              <w:rPr>
                <w:rFonts w:ascii="Arial" w:hAnsi="Arial" w:cs="Arial"/>
                <w:bCs/>
                <w:lang w:val="en-IN"/>
              </w:rPr>
              <w:t>17.14</w:t>
            </w:r>
          </w:p>
        </w:tc>
      </w:tr>
      <w:tr w:rsidR="00520137" w14:paraId="02FD4403" w14:textId="77777777">
        <w:trPr>
          <w:trHeight w:val="602"/>
        </w:trPr>
        <w:tc>
          <w:tcPr>
            <w:tcW w:w="141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F8B6737"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D</w:t>
            </w:r>
            <w:r>
              <w:rPr>
                <w:rFonts w:ascii="Arial" w:hAnsi="Arial" w:cs="Arial"/>
                <w:b/>
                <w:bCs/>
                <w:vertAlign w:val="subscript"/>
                <w:lang w:val="en-IN"/>
              </w:rPr>
              <w:t>2</w:t>
            </w:r>
            <w:r>
              <w:rPr>
                <w:rFonts w:ascii="Arial" w:hAnsi="Arial" w:cs="Arial"/>
                <w:b/>
                <w:bCs/>
                <w:lang w:val="en-IN"/>
              </w:rPr>
              <w:t>: 6</w:t>
            </w:r>
            <w:r>
              <w:rPr>
                <w:rFonts w:ascii="Arial" w:hAnsi="Arial" w:cs="Arial"/>
                <w:b/>
                <w:bCs/>
                <w:vertAlign w:val="superscript"/>
                <w:lang w:val="en-IN"/>
              </w:rPr>
              <w:t>th</w:t>
            </w:r>
            <w:r>
              <w:rPr>
                <w:rFonts w:ascii="Arial" w:hAnsi="Arial" w:cs="Arial"/>
                <w:b/>
                <w:bCs/>
                <w:lang w:val="en-IN"/>
              </w:rPr>
              <w:t xml:space="preserve"> SMW</w:t>
            </w:r>
          </w:p>
          <w:p w14:paraId="52038C7C" w14:textId="77777777" w:rsidR="00520137" w:rsidRDefault="00520137">
            <w:pPr>
              <w:pStyle w:val="Body"/>
              <w:spacing w:line="276" w:lineRule="auto"/>
              <w:jc w:val="center"/>
              <w:rPr>
                <w:rFonts w:ascii="Arial" w:hAnsi="Arial" w:cs="Arial"/>
                <w:b/>
                <w:bCs/>
                <w:lang w:val="en-IN"/>
              </w:rPr>
            </w:pPr>
          </w:p>
        </w:tc>
        <w:tc>
          <w:tcPr>
            <w:tcW w:w="1787" w:type="pct"/>
            <w:tcBorders>
              <w:top w:val="nil"/>
              <w:left w:val="single" w:sz="4" w:space="0" w:color="auto"/>
              <w:bottom w:val="single" w:sz="4" w:space="0" w:color="auto"/>
              <w:right w:val="single" w:sz="4" w:space="0" w:color="auto"/>
            </w:tcBorders>
            <w:shd w:val="clear" w:color="auto" w:fill="FFFFFF" w:themeFill="background1"/>
            <w:vAlign w:val="center"/>
          </w:tcPr>
          <w:p w14:paraId="6D315347" w14:textId="77777777" w:rsidR="00520137" w:rsidRDefault="008937FE">
            <w:pPr>
              <w:pStyle w:val="Body"/>
              <w:spacing w:line="276" w:lineRule="auto"/>
              <w:jc w:val="center"/>
              <w:rPr>
                <w:rFonts w:ascii="Arial" w:hAnsi="Arial" w:cs="Arial"/>
                <w:bCs/>
                <w:lang w:val="en-IN"/>
              </w:rPr>
            </w:pPr>
            <w:r>
              <w:rPr>
                <w:rFonts w:ascii="Arial" w:hAnsi="Arial" w:cs="Arial"/>
                <w:bCs/>
                <w:lang w:val="en-IN"/>
              </w:rPr>
              <w:t>1.16</w:t>
            </w:r>
          </w:p>
        </w:tc>
        <w:tc>
          <w:tcPr>
            <w:tcW w:w="1796" w:type="pct"/>
            <w:tcBorders>
              <w:top w:val="nil"/>
              <w:left w:val="single" w:sz="4" w:space="0" w:color="auto"/>
              <w:bottom w:val="single" w:sz="4" w:space="0" w:color="auto"/>
              <w:right w:val="single" w:sz="4" w:space="0" w:color="auto"/>
            </w:tcBorders>
            <w:shd w:val="clear" w:color="auto" w:fill="FFFFFF" w:themeFill="background1"/>
            <w:vAlign w:val="center"/>
          </w:tcPr>
          <w:p w14:paraId="1854A9A8" w14:textId="77777777" w:rsidR="00520137" w:rsidRDefault="008937FE">
            <w:pPr>
              <w:pStyle w:val="Body"/>
              <w:spacing w:line="276" w:lineRule="auto"/>
              <w:jc w:val="center"/>
              <w:rPr>
                <w:rFonts w:ascii="Arial" w:hAnsi="Arial" w:cs="Arial"/>
                <w:bCs/>
                <w:lang w:val="en-IN"/>
              </w:rPr>
            </w:pPr>
            <w:r>
              <w:rPr>
                <w:rFonts w:ascii="Arial" w:hAnsi="Arial" w:cs="Arial"/>
                <w:bCs/>
                <w:lang w:val="en-IN"/>
              </w:rPr>
              <w:t>18.69</w:t>
            </w:r>
          </w:p>
        </w:tc>
      </w:tr>
      <w:tr w:rsidR="00520137" w14:paraId="77B36887" w14:textId="77777777">
        <w:trPr>
          <w:trHeight w:val="602"/>
        </w:trPr>
        <w:tc>
          <w:tcPr>
            <w:tcW w:w="141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926E07C"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D</w:t>
            </w:r>
            <w:r>
              <w:rPr>
                <w:rFonts w:ascii="Arial" w:hAnsi="Arial" w:cs="Arial"/>
                <w:b/>
                <w:bCs/>
                <w:vertAlign w:val="subscript"/>
                <w:lang w:val="en-IN"/>
              </w:rPr>
              <w:t>3</w:t>
            </w:r>
            <w:r>
              <w:rPr>
                <w:rFonts w:ascii="Arial" w:hAnsi="Arial" w:cs="Arial"/>
                <w:b/>
                <w:bCs/>
                <w:lang w:val="en-IN"/>
              </w:rPr>
              <w:t>: 8</w:t>
            </w:r>
            <w:r>
              <w:rPr>
                <w:rFonts w:ascii="Arial" w:hAnsi="Arial" w:cs="Arial"/>
                <w:b/>
                <w:bCs/>
                <w:vertAlign w:val="superscript"/>
                <w:lang w:val="en-IN"/>
              </w:rPr>
              <w:t>th</w:t>
            </w:r>
            <w:r>
              <w:rPr>
                <w:rFonts w:ascii="Arial" w:hAnsi="Arial" w:cs="Arial"/>
                <w:b/>
                <w:bCs/>
                <w:lang w:val="en-IN"/>
              </w:rPr>
              <w:t xml:space="preserve"> SMW</w:t>
            </w:r>
          </w:p>
          <w:p w14:paraId="737ED421" w14:textId="77777777" w:rsidR="00520137" w:rsidRDefault="00520137">
            <w:pPr>
              <w:pStyle w:val="Body"/>
              <w:spacing w:line="276" w:lineRule="auto"/>
              <w:jc w:val="center"/>
              <w:rPr>
                <w:rFonts w:ascii="Arial" w:hAnsi="Arial" w:cs="Arial"/>
                <w:b/>
                <w:bCs/>
                <w:lang w:val="en-IN"/>
              </w:rPr>
            </w:pPr>
          </w:p>
        </w:tc>
        <w:tc>
          <w:tcPr>
            <w:tcW w:w="1787" w:type="pct"/>
            <w:tcBorders>
              <w:top w:val="nil"/>
              <w:left w:val="single" w:sz="4" w:space="0" w:color="auto"/>
              <w:bottom w:val="single" w:sz="4" w:space="0" w:color="auto"/>
              <w:right w:val="single" w:sz="4" w:space="0" w:color="auto"/>
            </w:tcBorders>
            <w:shd w:val="clear" w:color="auto" w:fill="FFFFFF" w:themeFill="background1"/>
            <w:vAlign w:val="center"/>
          </w:tcPr>
          <w:p w14:paraId="639CFA16" w14:textId="77777777" w:rsidR="00520137" w:rsidRDefault="008937FE">
            <w:pPr>
              <w:pStyle w:val="Body"/>
              <w:spacing w:line="276" w:lineRule="auto"/>
              <w:jc w:val="center"/>
              <w:rPr>
                <w:rFonts w:ascii="Arial" w:hAnsi="Arial" w:cs="Arial"/>
                <w:bCs/>
                <w:lang w:val="en-IN"/>
              </w:rPr>
            </w:pPr>
            <w:r>
              <w:rPr>
                <w:rFonts w:ascii="Arial" w:hAnsi="Arial" w:cs="Arial"/>
                <w:bCs/>
                <w:lang w:val="en-IN"/>
              </w:rPr>
              <w:t>1.04</w:t>
            </w:r>
          </w:p>
        </w:tc>
        <w:tc>
          <w:tcPr>
            <w:tcW w:w="1796" w:type="pct"/>
            <w:tcBorders>
              <w:top w:val="nil"/>
              <w:left w:val="single" w:sz="4" w:space="0" w:color="auto"/>
              <w:bottom w:val="single" w:sz="4" w:space="0" w:color="auto"/>
              <w:right w:val="single" w:sz="4" w:space="0" w:color="auto"/>
            </w:tcBorders>
            <w:shd w:val="clear" w:color="auto" w:fill="FFFFFF" w:themeFill="background1"/>
            <w:vAlign w:val="center"/>
          </w:tcPr>
          <w:p w14:paraId="183300D3" w14:textId="77777777" w:rsidR="00520137" w:rsidRDefault="008937FE">
            <w:pPr>
              <w:pStyle w:val="Body"/>
              <w:spacing w:line="276" w:lineRule="auto"/>
              <w:jc w:val="center"/>
              <w:rPr>
                <w:rFonts w:ascii="Arial" w:hAnsi="Arial" w:cs="Arial"/>
                <w:bCs/>
                <w:lang w:val="en-IN"/>
              </w:rPr>
            </w:pPr>
            <w:r>
              <w:rPr>
                <w:rFonts w:ascii="Arial" w:hAnsi="Arial" w:cs="Arial"/>
                <w:bCs/>
                <w:lang w:val="en-IN"/>
              </w:rPr>
              <w:t>19.77</w:t>
            </w:r>
          </w:p>
        </w:tc>
      </w:tr>
      <w:tr w:rsidR="00520137" w14:paraId="24D9AEC9" w14:textId="77777777">
        <w:trPr>
          <w:trHeight w:val="602"/>
        </w:trPr>
        <w:tc>
          <w:tcPr>
            <w:tcW w:w="141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8BE06FE" w14:textId="77777777" w:rsidR="00520137" w:rsidRDefault="008937FE">
            <w:pPr>
              <w:pStyle w:val="Body"/>
              <w:spacing w:line="276" w:lineRule="auto"/>
              <w:jc w:val="center"/>
              <w:rPr>
                <w:rFonts w:ascii="Arial" w:hAnsi="Arial" w:cs="Arial"/>
                <w:b/>
                <w:bCs/>
                <w:vertAlign w:val="superscript"/>
                <w:lang w:val="en-IN"/>
              </w:rPr>
            </w:pPr>
            <w:r>
              <w:rPr>
                <w:rFonts w:ascii="Arial" w:hAnsi="Arial" w:cs="Arial"/>
                <w:b/>
                <w:bCs/>
                <w:lang w:val="en-IN"/>
              </w:rPr>
              <w:t>D</w:t>
            </w:r>
            <w:r>
              <w:rPr>
                <w:rFonts w:ascii="Arial" w:hAnsi="Arial" w:cs="Arial"/>
                <w:b/>
                <w:bCs/>
                <w:vertAlign w:val="subscript"/>
                <w:lang w:val="en-IN"/>
              </w:rPr>
              <w:t>4</w:t>
            </w:r>
            <w:r>
              <w:rPr>
                <w:rFonts w:ascii="Arial" w:hAnsi="Arial" w:cs="Arial"/>
                <w:b/>
                <w:bCs/>
                <w:lang w:val="en-IN"/>
              </w:rPr>
              <w:t>: 10</w:t>
            </w:r>
            <w:r>
              <w:rPr>
                <w:rFonts w:ascii="Arial" w:hAnsi="Arial" w:cs="Arial"/>
                <w:b/>
                <w:bCs/>
                <w:vertAlign w:val="superscript"/>
                <w:lang w:val="en-IN"/>
              </w:rPr>
              <w:t xml:space="preserve">th </w:t>
            </w:r>
            <w:r>
              <w:rPr>
                <w:rFonts w:ascii="Arial" w:hAnsi="Arial" w:cs="Arial"/>
                <w:b/>
                <w:bCs/>
                <w:lang w:val="en-IN"/>
              </w:rPr>
              <w:t>SMW</w:t>
            </w:r>
          </w:p>
          <w:p w14:paraId="6D1F132A" w14:textId="77777777" w:rsidR="00520137" w:rsidRDefault="00520137">
            <w:pPr>
              <w:pStyle w:val="Body"/>
              <w:spacing w:line="276" w:lineRule="auto"/>
              <w:jc w:val="center"/>
              <w:rPr>
                <w:rFonts w:ascii="Arial" w:hAnsi="Arial" w:cs="Arial"/>
                <w:b/>
                <w:bCs/>
                <w:lang w:val="en-IN"/>
              </w:rPr>
            </w:pPr>
          </w:p>
        </w:tc>
        <w:tc>
          <w:tcPr>
            <w:tcW w:w="1787" w:type="pct"/>
            <w:tcBorders>
              <w:top w:val="nil"/>
              <w:left w:val="single" w:sz="4" w:space="0" w:color="auto"/>
              <w:bottom w:val="single" w:sz="4" w:space="0" w:color="auto"/>
              <w:right w:val="single" w:sz="4" w:space="0" w:color="auto"/>
            </w:tcBorders>
            <w:shd w:val="clear" w:color="auto" w:fill="FFFFFF" w:themeFill="background1"/>
            <w:vAlign w:val="center"/>
          </w:tcPr>
          <w:p w14:paraId="5C2F2ABE" w14:textId="77777777" w:rsidR="00520137" w:rsidRDefault="008937FE">
            <w:pPr>
              <w:pStyle w:val="Body"/>
              <w:spacing w:line="276" w:lineRule="auto"/>
              <w:jc w:val="center"/>
              <w:rPr>
                <w:rFonts w:ascii="Arial" w:hAnsi="Arial" w:cs="Arial"/>
                <w:bCs/>
                <w:lang w:val="en-IN"/>
              </w:rPr>
            </w:pPr>
            <w:r>
              <w:rPr>
                <w:rFonts w:ascii="Arial" w:hAnsi="Arial" w:cs="Arial"/>
                <w:bCs/>
                <w:lang w:val="en-IN"/>
              </w:rPr>
              <w:t>1.00</w:t>
            </w:r>
          </w:p>
        </w:tc>
        <w:tc>
          <w:tcPr>
            <w:tcW w:w="1796" w:type="pct"/>
            <w:tcBorders>
              <w:top w:val="nil"/>
              <w:left w:val="single" w:sz="4" w:space="0" w:color="auto"/>
              <w:bottom w:val="single" w:sz="4" w:space="0" w:color="auto"/>
              <w:right w:val="single" w:sz="4" w:space="0" w:color="auto"/>
            </w:tcBorders>
            <w:shd w:val="clear" w:color="auto" w:fill="FFFFFF" w:themeFill="background1"/>
            <w:vAlign w:val="center"/>
          </w:tcPr>
          <w:p w14:paraId="188797DD" w14:textId="77777777" w:rsidR="00520137" w:rsidRDefault="008937FE">
            <w:pPr>
              <w:pStyle w:val="Body"/>
              <w:spacing w:line="276" w:lineRule="auto"/>
              <w:jc w:val="center"/>
              <w:rPr>
                <w:rFonts w:ascii="Arial" w:hAnsi="Arial" w:cs="Arial"/>
                <w:bCs/>
                <w:lang w:val="en-IN"/>
              </w:rPr>
            </w:pPr>
            <w:r>
              <w:rPr>
                <w:rFonts w:ascii="Arial" w:hAnsi="Arial" w:cs="Arial"/>
                <w:bCs/>
                <w:lang w:val="en-IN"/>
              </w:rPr>
              <w:t>19.94</w:t>
            </w:r>
          </w:p>
        </w:tc>
      </w:tr>
      <w:tr w:rsidR="00520137" w14:paraId="4F335407" w14:textId="77777777">
        <w:trPr>
          <w:trHeight w:val="602"/>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132305"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Varieties</w:t>
            </w:r>
          </w:p>
        </w:tc>
      </w:tr>
      <w:tr w:rsidR="00520137" w14:paraId="41F85B33" w14:textId="77777777">
        <w:trPr>
          <w:trHeight w:val="602"/>
        </w:trPr>
        <w:tc>
          <w:tcPr>
            <w:tcW w:w="14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2B68E1"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V</w:t>
            </w:r>
            <w:r>
              <w:rPr>
                <w:rFonts w:ascii="Arial" w:hAnsi="Arial" w:cs="Arial"/>
                <w:b/>
                <w:bCs/>
                <w:vertAlign w:val="subscript"/>
                <w:lang w:val="en-IN"/>
              </w:rPr>
              <w:t>1</w:t>
            </w:r>
            <w:r>
              <w:rPr>
                <w:rFonts w:ascii="Arial" w:hAnsi="Arial" w:cs="Arial"/>
                <w:b/>
                <w:bCs/>
                <w:lang w:val="en-IN"/>
              </w:rPr>
              <w:t>: GJG-31</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385DC" w14:textId="77777777" w:rsidR="00520137" w:rsidRDefault="008937FE">
            <w:pPr>
              <w:pStyle w:val="Body"/>
              <w:spacing w:line="276" w:lineRule="auto"/>
              <w:jc w:val="center"/>
              <w:rPr>
                <w:rFonts w:ascii="Arial" w:hAnsi="Arial" w:cs="Arial"/>
                <w:bCs/>
                <w:lang w:val="en-IN"/>
              </w:rPr>
            </w:pPr>
            <w:r>
              <w:rPr>
                <w:rFonts w:ascii="Arial" w:hAnsi="Arial" w:cs="Arial"/>
                <w:bCs/>
                <w:lang w:val="en-IN"/>
              </w:rPr>
              <w:t>1.14</w:t>
            </w:r>
          </w:p>
        </w:tc>
        <w:tc>
          <w:tcPr>
            <w:tcW w:w="1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32827" w14:textId="77777777" w:rsidR="00520137" w:rsidRDefault="008937FE">
            <w:pPr>
              <w:pStyle w:val="Body"/>
              <w:spacing w:line="276" w:lineRule="auto"/>
              <w:jc w:val="center"/>
              <w:rPr>
                <w:rFonts w:ascii="Arial" w:hAnsi="Arial" w:cs="Arial"/>
                <w:bCs/>
                <w:lang w:val="en-IN"/>
              </w:rPr>
            </w:pPr>
            <w:r>
              <w:rPr>
                <w:rFonts w:ascii="Arial" w:hAnsi="Arial" w:cs="Arial"/>
                <w:bCs/>
                <w:lang w:val="en-IN"/>
              </w:rPr>
              <w:t>17.99</w:t>
            </w:r>
          </w:p>
        </w:tc>
      </w:tr>
      <w:tr w:rsidR="00520137" w14:paraId="44E728CC" w14:textId="77777777">
        <w:trPr>
          <w:trHeight w:val="602"/>
        </w:trPr>
        <w:tc>
          <w:tcPr>
            <w:tcW w:w="14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CF971B"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V</w:t>
            </w:r>
            <w:r>
              <w:rPr>
                <w:rFonts w:ascii="Arial" w:hAnsi="Arial" w:cs="Arial"/>
                <w:b/>
                <w:bCs/>
                <w:vertAlign w:val="subscript"/>
                <w:lang w:val="en-IN"/>
              </w:rPr>
              <w:t>2</w:t>
            </w:r>
            <w:r>
              <w:rPr>
                <w:rFonts w:ascii="Arial" w:hAnsi="Arial" w:cs="Arial"/>
                <w:b/>
                <w:bCs/>
                <w:lang w:val="en-IN"/>
              </w:rPr>
              <w:t>: GG-34</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4D003" w14:textId="77777777" w:rsidR="00520137" w:rsidRDefault="008937FE">
            <w:pPr>
              <w:pStyle w:val="Body"/>
              <w:spacing w:line="276" w:lineRule="auto"/>
              <w:jc w:val="center"/>
              <w:rPr>
                <w:rFonts w:ascii="Arial" w:hAnsi="Arial" w:cs="Arial"/>
                <w:bCs/>
                <w:lang w:val="en-IN"/>
              </w:rPr>
            </w:pPr>
            <w:r>
              <w:rPr>
                <w:rFonts w:ascii="Arial" w:hAnsi="Arial" w:cs="Arial"/>
                <w:bCs/>
                <w:lang w:val="en-IN"/>
              </w:rPr>
              <w:t>0.86</w:t>
            </w:r>
          </w:p>
        </w:tc>
        <w:tc>
          <w:tcPr>
            <w:tcW w:w="1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CB777" w14:textId="77777777" w:rsidR="00520137" w:rsidRDefault="008937FE">
            <w:pPr>
              <w:pStyle w:val="Body"/>
              <w:spacing w:line="276" w:lineRule="auto"/>
              <w:jc w:val="center"/>
              <w:rPr>
                <w:rFonts w:ascii="Arial" w:hAnsi="Arial" w:cs="Arial"/>
                <w:bCs/>
                <w:lang w:val="en-IN"/>
              </w:rPr>
            </w:pPr>
            <w:r>
              <w:rPr>
                <w:rFonts w:ascii="Arial" w:hAnsi="Arial" w:cs="Arial"/>
                <w:bCs/>
                <w:lang w:val="en-IN"/>
              </w:rPr>
              <w:t>18.85</w:t>
            </w:r>
          </w:p>
        </w:tc>
      </w:tr>
      <w:tr w:rsidR="00520137" w14:paraId="6D8C981E" w14:textId="77777777">
        <w:trPr>
          <w:trHeight w:val="602"/>
        </w:trPr>
        <w:tc>
          <w:tcPr>
            <w:tcW w:w="14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14E868" w14:textId="77777777" w:rsidR="00520137" w:rsidRDefault="008937FE">
            <w:pPr>
              <w:pStyle w:val="Body"/>
              <w:spacing w:line="276" w:lineRule="auto"/>
              <w:jc w:val="center"/>
              <w:rPr>
                <w:rFonts w:ascii="Arial" w:hAnsi="Arial" w:cs="Arial"/>
                <w:b/>
                <w:bCs/>
                <w:lang w:val="en-IN"/>
              </w:rPr>
            </w:pPr>
            <w:r>
              <w:rPr>
                <w:rFonts w:ascii="Arial" w:hAnsi="Arial" w:cs="Arial"/>
                <w:b/>
                <w:bCs/>
                <w:lang w:val="en-IN"/>
              </w:rPr>
              <w:t>V</w:t>
            </w:r>
            <w:r>
              <w:rPr>
                <w:rFonts w:ascii="Arial" w:hAnsi="Arial" w:cs="Arial"/>
                <w:b/>
                <w:bCs/>
                <w:vertAlign w:val="subscript"/>
                <w:lang w:val="en-IN"/>
              </w:rPr>
              <w:t>3</w:t>
            </w:r>
            <w:r>
              <w:rPr>
                <w:rFonts w:ascii="Arial" w:hAnsi="Arial" w:cs="Arial"/>
                <w:b/>
                <w:bCs/>
                <w:lang w:val="en-IN"/>
              </w:rPr>
              <w:t>: GG-37</w:t>
            </w:r>
          </w:p>
        </w:tc>
        <w:tc>
          <w:tcPr>
            <w:tcW w:w="17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4D6DF" w14:textId="77777777" w:rsidR="00520137" w:rsidRDefault="008937FE">
            <w:pPr>
              <w:pStyle w:val="Body"/>
              <w:spacing w:line="276" w:lineRule="auto"/>
              <w:jc w:val="center"/>
              <w:rPr>
                <w:rFonts w:ascii="Arial" w:hAnsi="Arial" w:cs="Arial"/>
                <w:bCs/>
                <w:lang w:val="en-IN"/>
              </w:rPr>
            </w:pPr>
            <w:r>
              <w:rPr>
                <w:rFonts w:ascii="Arial" w:hAnsi="Arial" w:cs="Arial"/>
                <w:bCs/>
                <w:lang w:val="en-IN"/>
              </w:rPr>
              <w:t>1.03</w:t>
            </w:r>
          </w:p>
        </w:tc>
        <w:tc>
          <w:tcPr>
            <w:tcW w:w="17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3CA82" w14:textId="77777777" w:rsidR="00520137" w:rsidRDefault="008937FE">
            <w:pPr>
              <w:pStyle w:val="Body"/>
              <w:spacing w:line="276" w:lineRule="auto"/>
              <w:jc w:val="center"/>
              <w:rPr>
                <w:rFonts w:ascii="Arial" w:hAnsi="Arial" w:cs="Arial"/>
                <w:bCs/>
                <w:lang w:val="en-IN"/>
              </w:rPr>
            </w:pPr>
            <w:r>
              <w:rPr>
                <w:rFonts w:ascii="Arial" w:hAnsi="Arial" w:cs="Arial"/>
                <w:bCs/>
                <w:lang w:val="en-IN"/>
              </w:rPr>
              <w:t>18.04</w:t>
            </w:r>
          </w:p>
        </w:tc>
      </w:tr>
    </w:tbl>
    <w:p w14:paraId="45B4AE42" w14:textId="77777777" w:rsidR="00520137" w:rsidRDefault="008937FE">
      <w:pPr>
        <w:pStyle w:val="Body"/>
        <w:spacing w:after="0" w:line="276" w:lineRule="auto"/>
        <w:rPr>
          <w:rFonts w:ascii="Arial" w:hAnsi="Arial" w:cs="Arial"/>
          <w:b/>
          <w:sz w:val="22"/>
          <w:szCs w:val="22"/>
          <w:lang w:val="en-IN"/>
        </w:rPr>
      </w:pPr>
      <w:r>
        <w:rPr>
          <w:rFonts w:ascii="Arial" w:hAnsi="Arial" w:cs="Arial"/>
          <w:b/>
          <w:sz w:val="22"/>
          <w:szCs w:val="22"/>
          <w:lang w:val="en-IN"/>
        </w:rPr>
        <w:t>4. CONCLUSION</w:t>
      </w:r>
    </w:p>
    <w:p w14:paraId="3F8E0174" w14:textId="6746591A" w:rsidR="00520137" w:rsidRDefault="008937FE">
      <w:pPr>
        <w:pStyle w:val="Body"/>
        <w:spacing w:after="0" w:line="276" w:lineRule="auto"/>
        <w:ind w:firstLine="720"/>
        <w:rPr>
          <w:rFonts w:ascii="Arial" w:hAnsi="Arial" w:cs="Arial"/>
          <w:bCs/>
          <w:lang w:val="en-IN"/>
        </w:rPr>
      </w:pPr>
      <w:r>
        <w:rPr>
          <w:rFonts w:ascii="Arial" w:hAnsi="Arial" w:cs="Arial"/>
          <w:bCs/>
          <w:lang w:val="en-IN"/>
        </w:rPr>
        <w:t>From the present study on groundnut during summer season 2024, we concluded that the GDD, HTU and PTU decreased with delay in sowing and it was highest in 4</w:t>
      </w:r>
      <w:r>
        <w:rPr>
          <w:rFonts w:ascii="Arial" w:hAnsi="Arial" w:cs="Arial"/>
          <w:bCs/>
          <w:vertAlign w:val="superscript"/>
          <w:lang w:val="en-IN"/>
        </w:rPr>
        <w:t>th</w:t>
      </w:r>
      <w:r>
        <w:rPr>
          <w:rFonts w:ascii="Arial" w:hAnsi="Arial" w:cs="Arial"/>
          <w:bCs/>
          <w:lang w:val="en-IN"/>
        </w:rPr>
        <w:t xml:space="preserve"> SMW and lowest in 10</w:t>
      </w:r>
      <w:r>
        <w:rPr>
          <w:rFonts w:ascii="Arial" w:hAnsi="Arial" w:cs="Arial"/>
          <w:bCs/>
          <w:vertAlign w:val="superscript"/>
          <w:lang w:val="en-IN"/>
        </w:rPr>
        <w:t>th</w:t>
      </w:r>
      <w:r>
        <w:rPr>
          <w:rFonts w:ascii="Arial" w:hAnsi="Arial" w:cs="Arial"/>
          <w:bCs/>
          <w:lang w:val="en-IN"/>
        </w:rPr>
        <w:t xml:space="preserve"> SMW. The HgTU-I decreased with delayed in sowing</w:t>
      </w:r>
      <w:r w:rsidR="000A27AA">
        <w:rPr>
          <w:rFonts w:ascii="Arial" w:hAnsi="Arial" w:cs="Arial"/>
          <w:bCs/>
          <w:lang w:val="en-IN"/>
        </w:rPr>
        <w:t xml:space="preserve"> and </w:t>
      </w:r>
      <w:r>
        <w:rPr>
          <w:rFonts w:ascii="Arial" w:hAnsi="Arial" w:cs="Arial"/>
          <w:bCs/>
          <w:lang w:val="en-IN"/>
        </w:rPr>
        <w:t>it was maximum in 4</w:t>
      </w:r>
      <w:r>
        <w:rPr>
          <w:rFonts w:ascii="Arial" w:hAnsi="Arial" w:cs="Arial"/>
          <w:bCs/>
          <w:vertAlign w:val="superscript"/>
          <w:lang w:val="en-IN"/>
        </w:rPr>
        <w:t>th</w:t>
      </w:r>
      <w:r>
        <w:rPr>
          <w:rFonts w:ascii="Arial" w:hAnsi="Arial" w:cs="Arial"/>
          <w:bCs/>
          <w:lang w:val="en-IN"/>
        </w:rPr>
        <w:t xml:space="preserve"> SMW but was lowest in 8</w:t>
      </w:r>
      <w:r>
        <w:rPr>
          <w:rFonts w:ascii="Arial" w:hAnsi="Arial" w:cs="Arial"/>
          <w:bCs/>
          <w:vertAlign w:val="superscript"/>
          <w:lang w:val="en-IN"/>
        </w:rPr>
        <w:t>th</w:t>
      </w:r>
      <w:r>
        <w:rPr>
          <w:rFonts w:ascii="Arial" w:hAnsi="Arial" w:cs="Arial"/>
          <w:bCs/>
          <w:lang w:val="en-IN"/>
        </w:rPr>
        <w:t xml:space="preserve"> SMW and highest HgTU-II was observed in 10</w:t>
      </w:r>
      <w:r>
        <w:rPr>
          <w:rFonts w:ascii="Arial" w:hAnsi="Arial" w:cs="Arial"/>
          <w:bCs/>
          <w:vertAlign w:val="superscript"/>
          <w:lang w:val="en-IN"/>
        </w:rPr>
        <w:t>th</w:t>
      </w:r>
      <w:r>
        <w:rPr>
          <w:rFonts w:ascii="Arial" w:hAnsi="Arial" w:cs="Arial"/>
          <w:bCs/>
          <w:lang w:val="en-IN"/>
        </w:rPr>
        <w:t xml:space="preserve"> SMW</w:t>
      </w:r>
      <w:r w:rsidR="000A27AA">
        <w:rPr>
          <w:rFonts w:ascii="Arial" w:hAnsi="Arial" w:cs="Arial"/>
          <w:bCs/>
          <w:lang w:val="en-IN"/>
        </w:rPr>
        <w:t xml:space="preserve"> and lowest in 6</w:t>
      </w:r>
      <w:r w:rsidR="000A27AA" w:rsidRPr="000A27AA">
        <w:rPr>
          <w:rFonts w:ascii="Arial" w:hAnsi="Arial" w:cs="Arial"/>
          <w:bCs/>
          <w:vertAlign w:val="superscript"/>
          <w:lang w:val="en-IN"/>
        </w:rPr>
        <w:t>th</w:t>
      </w:r>
      <w:r w:rsidR="000A27AA">
        <w:rPr>
          <w:rFonts w:ascii="Arial" w:hAnsi="Arial" w:cs="Arial"/>
          <w:bCs/>
          <w:lang w:val="en-IN"/>
        </w:rPr>
        <w:t xml:space="preserve"> SMW</w:t>
      </w:r>
      <w:r>
        <w:rPr>
          <w:rFonts w:ascii="Arial" w:hAnsi="Arial" w:cs="Arial"/>
          <w:bCs/>
          <w:lang w:val="en-IN"/>
        </w:rPr>
        <w:t>. HUE was found highest in the 6</w:t>
      </w:r>
      <w:r>
        <w:rPr>
          <w:rFonts w:ascii="Arial" w:hAnsi="Arial" w:cs="Arial"/>
          <w:bCs/>
          <w:vertAlign w:val="superscript"/>
          <w:lang w:val="en-IN"/>
        </w:rPr>
        <w:t>th</w:t>
      </w:r>
      <w:r>
        <w:rPr>
          <w:rFonts w:ascii="Arial" w:hAnsi="Arial" w:cs="Arial"/>
          <w:bCs/>
          <w:lang w:val="en-IN"/>
        </w:rPr>
        <w:t xml:space="preserve"> SMW. Phenothermal index was found maximum in 10</w:t>
      </w:r>
      <w:r>
        <w:rPr>
          <w:rFonts w:ascii="Arial" w:hAnsi="Arial" w:cs="Arial"/>
          <w:bCs/>
          <w:vertAlign w:val="superscript"/>
          <w:lang w:val="en-IN"/>
        </w:rPr>
        <w:t>th</w:t>
      </w:r>
      <w:r>
        <w:rPr>
          <w:rFonts w:ascii="Arial" w:hAnsi="Arial" w:cs="Arial"/>
          <w:bCs/>
          <w:lang w:val="en-IN"/>
        </w:rPr>
        <w:t xml:space="preserve"> SMW. Among the varieties, GJG-31 variety takes lowest and GG-34 variety takes highest GDD, PTU, HTU, HgTU-I, HgTU-II and Phenothermal Index to reach the maturity respectively. GJG-31 had the highest and GG-34 had lowest HUE respectively.</w:t>
      </w:r>
      <w:r w:rsidR="00943319">
        <w:rPr>
          <w:rFonts w:ascii="Arial" w:hAnsi="Arial" w:cs="Arial"/>
          <w:bCs/>
          <w:lang w:val="en-IN"/>
        </w:rPr>
        <w:t xml:space="preserve"> Based on the study, it can also be concluded that sowing in 6</w:t>
      </w:r>
      <w:r w:rsidR="00943319" w:rsidRPr="00943319">
        <w:rPr>
          <w:rFonts w:ascii="Arial" w:hAnsi="Arial" w:cs="Arial"/>
          <w:bCs/>
          <w:vertAlign w:val="superscript"/>
          <w:lang w:val="en-IN"/>
        </w:rPr>
        <w:t>th</w:t>
      </w:r>
      <w:r w:rsidR="00943319">
        <w:rPr>
          <w:rFonts w:ascii="Arial" w:hAnsi="Arial" w:cs="Arial"/>
          <w:bCs/>
          <w:lang w:val="en-IN"/>
        </w:rPr>
        <w:t xml:space="preserve"> SMW is recommended as all the phenophases of the groundnut are completed on time and it gives higher pod and haulm yield. </w:t>
      </w:r>
    </w:p>
    <w:p w14:paraId="45DA930F" w14:textId="77777777" w:rsidR="009D3ABF" w:rsidRDefault="009D3ABF">
      <w:pPr>
        <w:pStyle w:val="Body"/>
        <w:spacing w:after="0" w:line="276" w:lineRule="auto"/>
        <w:ind w:firstLine="720"/>
        <w:rPr>
          <w:rFonts w:ascii="Arial" w:hAnsi="Arial" w:cs="Arial"/>
          <w:bCs/>
          <w:lang w:val="en-IN"/>
        </w:rPr>
      </w:pPr>
    </w:p>
    <w:p w14:paraId="514A90A2" w14:textId="04F0CEEF" w:rsidR="009D3ABF" w:rsidRPr="000A27AA" w:rsidRDefault="009D3ABF" w:rsidP="009D3ABF">
      <w:r w:rsidRPr="000A27AA">
        <w:lastRenderedPageBreak/>
        <w:t>Disclaimer (Artificial intelligence)</w:t>
      </w:r>
    </w:p>
    <w:p w14:paraId="349B7A35" w14:textId="77777777" w:rsidR="009D3ABF" w:rsidRPr="000A27AA" w:rsidRDefault="009D3ABF" w:rsidP="009D3ABF"/>
    <w:p w14:paraId="4BAC178C" w14:textId="77777777" w:rsidR="009D3ABF" w:rsidRPr="000A27AA" w:rsidRDefault="009D3ABF" w:rsidP="009D3ABF">
      <w:r w:rsidRPr="000A27AA">
        <w:t xml:space="preserve">Author(s) hereby declare that NO generative AI technologies such as Large Language Models (ChatGPT, COPILOT, etc.) and text-to-image generators have been used during the writing or editing of this manuscript. </w:t>
      </w:r>
    </w:p>
    <w:p w14:paraId="24103CF6" w14:textId="77777777" w:rsidR="009D3ABF" w:rsidRPr="00394842" w:rsidRDefault="009D3ABF" w:rsidP="009D3ABF">
      <w:pPr>
        <w:rPr>
          <w:highlight w:val="yellow"/>
        </w:rPr>
      </w:pPr>
    </w:p>
    <w:p w14:paraId="616B0E7F" w14:textId="77777777" w:rsidR="00520137" w:rsidRDefault="00520137">
      <w:pPr>
        <w:pStyle w:val="Body"/>
        <w:spacing w:after="0" w:line="276" w:lineRule="auto"/>
        <w:jc w:val="left"/>
        <w:rPr>
          <w:rFonts w:ascii="Arial" w:hAnsi="Arial" w:cs="Arial"/>
          <w:bCs/>
          <w:lang w:val="en-IN"/>
        </w:rPr>
      </w:pPr>
    </w:p>
    <w:p w14:paraId="6317F74D" w14:textId="77777777" w:rsidR="00520137" w:rsidRDefault="008937FE">
      <w:pPr>
        <w:pStyle w:val="ReferHead"/>
        <w:spacing w:after="0" w:line="276" w:lineRule="auto"/>
        <w:jc w:val="both"/>
        <w:rPr>
          <w:rFonts w:ascii="Arial" w:hAnsi="Arial" w:cs="Arial"/>
        </w:rPr>
      </w:pPr>
      <w:r>
        <w:rPr>
          <w:rFonts w:ascii="Arial" w:hAnsi="Arial" w:cs="Arial"/>
        </w:rPr>
        <w:t>References</w:t>
      </w:r>
    </w:p>
    <w:p w14:paraId="297724A8" w14:textId="77777777" w:rsidR="00520137" w:rsidRDefault="008937FE">
      <w:pPr>
        <w:pStyle w:val="Body"/>
        <w:spacing w:after="0" w:line="276" w:lineRule="auto"/>
        <w:rPr>
          <w:rFonts w:ascii="Arial" w:hAnsi="Arial" w:cs="Arial"/>
          <w:lang w:val="en-IN"/>
        </w:rPr>
      </w:pPr>
      <w:r>
        <w:rPr>
          <w:rFonts w:ascii="Arial" w:hAnsi="Arial" w:cs="Arial"/>
          <w:lang w:val="en-IN"/>
        </w:rPr>
        <w:t>1. Kumar, A., Tripathi M. K. and Pal, V. (2017). Effect of sowing time on growth, phenology and yield attribute of summer groundnut (</w:t>
      </w:r>
      <w:r>
        <w:rPr>
          <w:rFonts w:ascii="Arial" w:hAnsi="Arial" w:cs="Arial"/>
          <w:i/>
          <w:iCs/>
          <w:lang w:val="en-IN"/>
        </w:rPr>
        <w:t xml:space="preserve">Arachis hypogea </w:t>
      </w:r>
      <w:r>
        <w:rPr>
          <w:rFonts w:ascii="Arial" w:hAnsi="Arial" w:cs="Arial"/>
          <w:lang w:val="en-IN"/>
        </w:rPr>
        <w:t xml:space="preserve">L.) in Allahabad, </w:t>
      </w:r>
      <w:r>
        <w:rPr>
          <w:rFonts w:ascii="Arial" w:hAnsi="Arial" w:cs="Arial"/>
          <w:bCs/>
          <w:i/>
          <w:iCs/>
          <w:lang w:val="en-IN"/>
        </w:rPr>
        <w:t>International Journal of Current Microbiology and Applied Sciences</w:t>
      </w:r>
      <w:r>
        <w:rPr>
          <w:rFonts w:ascii="Arial" w:hAnsi="Arial" w:cs="Arial"/>
          <w:bCs/>
          <w:lang w:val="en-IN"/>
        </w:rPr>
        <w:t xml:space="preserve">, </w:t>
      </w:r>
      <w:r>
        <w:rPr>
          <w:rFonts w:ascii="Arial" w:hAnsi="Arial" w:cs="Arial"/>
          <w:lang w:val="en-IN"/>
        </w:rPr>
        <w:t xml:space="preserve"> </w:t>
      </w:r>
      <w:r>
        <w:rPr>
          <w:rFonts w:ascii="Arial" w:hAnsi="Arial" w:cs="Arial"/>
          <w:b/>
          <w:bCs/>
          <w:lang w:val="en-IN"/>
        </w:rPr>
        <w:t>6(4)</w:t>
      </w:r>
      <w:r>
        <w:rPr>
          <w:rFonts w:ascii="Arial" w:hAnsi="Arial" w:cs="Arial"/>
          <w:lang w:val="en-IN"/>
        </w:rPr>
        <w:t xml:space="preserve"> : 2357-2365</w:t>
      </w:r>
    </w:p>
    <w:p w14:paraId="5AC61925" w14:textId="77777777" w:rsidR="00520137" w:rsidRDefault="008937FE">
      <w:pPr>
        <w:pStyle w:val="Body"/>
        <w:spacing w:after="0" w:line="276" w:lineRule="auto"/>
        <w:rPr>
          <w:rFonts w:ascii="Arial" w:hAnsi="Arial" w:cs="Arial"/>
          <w:b/>
        </w:rPr>
      </w:pPr>
      <w:r>
        <w:rPr>
          <w:rFonts w:ascii="Arial" w:hAnsi="Arial" w:cs="Arial"/>
          <w:bCs/>
          <w:lang w:val="en-IN"/>
        </w:rPr>
        <w:t>2. Young, C. (1996). Peanut oil. Bailey’s Industrial Oil and Fat Product 2 : 337-392</w:t>
      </w:r>
    </w:p>
    <w:p w14:paraId="7CBF91A8" w14:textId="77777777" w:rsidR="00520137" w:rsidRDefault="008937FE">
      <w:pPr>
        <w:pStyle w:val="Body"/>
        <w:spacing w:after="0" w:line="276" w:lineRule="auto"/>
        <w:rPr>
          <w:rFonts w:ascii="Arial" w:hAnsi="Arial" w:cs="Arial"/>
          <w:lang w:val="en-IN"/>
        </w:rPr>
      </w:pPr>
      <w:r>
        <w:rPr>
          <w:rFonts w:ascii="Arial" w:hAnsi="Arial" w:cs="Arial"/>
          <w:lang w:val="en-IN"/>
        </w:rPr>
        <w:t xml:space="preserve">3. DA&amp;FW (2024a). All India crop wise area, production and yield. Department of Agriculture and Farmers Welfare. Available at </w:t>
      </w:r>
      <w:hyperlink r:id="rId8" w:history="1">
        <w:r>
          <w:rPr>
            <w:rStyle w:val="Hyperlink"/>
            <w:rFonts w:ascii="Arial" w:hAnsi="Arial" w:cs="Arial"/>
            <w:lang w:val="en-IN"/>
          </w:rPr>
          <w:t>https://upag.gov.in/dash-reports/allindiaapy?rtab=Area%2C+Production+%26+Yield&amp;rtype=reports</w:t>
        </w:r>
      </w:hyperlink>
      <w:r>
        <w:rPr>
          <w:rFonts w:ascii="Arial" w:hAnsi="Arial" w:cs="Arial"/>
          <w:lang w:val="en-IN"/>
        </w:rPr>
        <w:t>, accessed on 10</w:t>
      </w:r>
      <w:r>
        <w:rPr>
          <w:rFonts w:ascii="Arial" w:hAnsi="Arial" w:cs="Arial"/>
          <w:vertAlign w:val="superscript"/>
          <w:lang w:val="en-IN"/>
        </w:rPr>
        <w:t>th</w:t>
      </w:r>
      <w:r>
        <w:rPr>
          <w:rFonts w:ascii="Arial" w:hAnsi="Arial" w:cs="Arial"/>
          <w:lang w:val="en-IN"/>
        </w:rPr>
        <w:t xml:space="preserve"> May, 2025.</w:t>
      </w:r>
    </w:p>
    <w:p w14:paraId="5C43C57A" w14:textId="77777777" w:rsidR="00520137" w:rsidRDefault="008937FE">
      <w:pPr>
        <w:pStyle w:val="Body"/>
        <w:spacing w:after="0" w:line="276" w:lineRule="auto"/>
        <w:rPr>
          <w:rFonts w:ascii="Arial" w:hAnsi="Arial" w:cs="Arial"/>
          <w:lang w:val="en-IN"/>
        </w:rPr>
      </w:pPr>
      <w:r>
        <w:rPr>
          <w:rFonts w:ascii="Arial" w:hAnsi="Arial" w:cs="Arial"/>
          <w:lang w:val="en-IN"/>
        </w:rPr>
        <w:t xml:space="preserve">4. DA&amp;FW (2024b). State wise area, production and yield contribution. Department of Agriculture and Farmers Welfare. Available at </w:t>
      </w:r>
      <w:hyperlink r:id="rId9" w:history="1">
        <w:r>
          <w:rPr>
            <w:rStyle w:val="Hyperlink"/>
            <w:rFonts w:ascii="Arial" w:hAnsi="Arial" w:cs="Arial"/>
            <w:lang w:val="en-IN"/>
          </w:rPr>
          <w:t>https://upag.gov.in/dash-reports/statewiseapyandpercentagetoallindia?rtab=Area%2C+Production+%26+Yield&amp;rtype=reports</w:t>
        </w:r>
      </w:hyperlink>
      <w:r>
        <w:rPr>
          <w:rFonts w:ascii="Arial" w:hAnsi="Arial" w:cs="Arial"/>
          <w:lang w:val="en-IN"/>
        </w:rPr>
        <w:t>, accessed on 10</w:t>
      </w:r>
      <w:r>
        <w:rPr>
          <w:rFonts w:ascii="Arial" w:hAnsi="Arial" w:cs="Arial"/>
          <w:vertAlign w:val="superscript"/>
          <w:lang w:val="en-IN"/>
        </w:rPr>
        <w:t>th</w:t>
      </w:r>
      <w:r>
        <w:rPr>
          <w:rFonts w:ascii="Arial" w:hAnsi="Arial" w:cs="Arial"/>
          <w:lang w:val="en-IN"/>
        </w:rPr>
        <w:t xml:space="preserve"> May, 2025.</w:t>
      </w:r>
    </w:p>
    <w:p w14:paraId="2EFBC571" w14:textId="77777777" w:rsidR="00520137" w:rsidRDefault="008937FE">
      <w:pPr>
        <w:pStyle w:val="Body"/>
        <w:spacing w:after="0" w:line="276" w:lineRule="auto"/>
        <w:rPr>
          <w:rFonts w:ascii="Arial" w:hAnsi="Arial" w:cs="Arial"/>
          <w:bCs/>
          <w:lang w:val="en-IN"/>
        </w:rPr>
      </w:pPr>
      <w:r>
        <w:rPr>
          <w:rFonts w:ascii="Arial" w:hAnsi="Arial" w:cs="Arial"/>
          <w:bCs/>
          <w:lang w:val="en-IN"/>
        </w:rPr>
        <w:t>5. Kingra, P. K. and Kaur, P. (2011). Agroclimatic indices for prediction of pod yield of groundnut (</w:t>
      </w:r>
      <w:r>
        <w:rPr>
          <w:rFonts w:ascii="Arial" w:hAnsi="Arial" w:cs="Arial"/>
          <w:bCs/>
          <w:i/>
          <w:iCs/>
          <w:lang w:val="en-IN"/>
        </w:rPr>
        <w:t xml:space="preserve">Arachis hypogea </w:t>
      </w:r>
      <w:r>
        <w:rPr>
          <w:rFonts w:ascii="Arial" w:hAnsi="Arial" w:cs="Arial"/>
          <w:bCs/>
          <w:lang w:val="en-IN"/>
        </w:rPr>
        <w:t xml:space="preserve">L.) in Punjab, </w:t>
      </w:r>
      <w:r>
        <w:rPr>
          <w:rFonts w:ascii="Arial" w:hAnsi="Arial" w:cs="Arial"/>
          <w:bCs/>
          <w:i/>
          <w:iCs/>
          <w:lang w:val="en-IN"/>
        </w:rPr>
        <w:t>Journal of Research, PAU,</w:t>
      </w:r>
      <w:r>
        <w:rPr>
          <w:rFonts w:ascii="Arial" w:hAnsi="Arial" w:cs="Arial"/>
          <w:bCs/>
          <w:lang w:val="en-IN"/>
        </w:rPr>
        <w:t xml:space="preserve"> </w:t>
      </w:r>
      <w:r>
        <w:rPr>
          <w:rFonts w:ascii="Arial" w:hAnsi="Arial" w:cs="Arial"/>
          <w:b/>
          <w:lang w:val="en-IN"/>
        </w:rPr>
        <w:t>48</w:t>
      </w:r>
      <w:r>
        <w:rPr>
          <w:rFonts w:ascii="Arial" w:hAnsi="Arial" w:cs="Arial"/>
          <w:bCs/>
          <w:lang w:val="en-IN"/>
        </w:rPr>
        <w:t xml:space="preserve"> : 1-4</w:t>
      </w:r>
    </w:p>
    <w:p w14:paraId="0BD25E04" w14:textId="77777777" w:rsidR="00520137" w:rsidRDefault="008937FE">
      <w:pPr>
        <w:pStyle w:val="Body"/>
        <w:spacing w:after="0" w:line="276" w:lineRule="auto"/>
        <w:rPr>
          <w:rFonts w:ascii="Arial" w:hAnsi="Arial" w:cs="Arial"/>
          <w:lang w:val="en-IN"/>
        </w:rPr>
      </w:pPr>
      <w:r>
        <w:rPr>
          <w:rFonts w:ascii="Arial" w:hAnsi="Arial" w:cs="Arial"/>
          <w:lang w:val="en-IN"/>
        </w:rPr>
        <w:t xml:space="preserve">6. Lavand P. (2012). Crop-weather relationship in summer green gram. M. Sc. (Agri.), Junagadh Agricultural University, Junagadh, </w:t>
      </w:r>
      <w:proofErr w:type="spellStart"/>
      <w:r>
        <w:rPr>
          <w:rFonts w:ascii="Arial" w:hAnsi="Arial" w:cs="Arial"/>
          <w:lang w:val="en-IN"/>
        </w:rPr>
        <w:t>Krishikosh</w:t>
      </w:r>
      <w:proofErr w:type="spellEnd"/>
      <w:r>
        <w:rPr>
          <w:rFonts w:ascii="Arial" w:hAnsi="Arial" w:cs="Arial"/>
          <w:lang w:val="en-IN"/>
        </w:rPr>
        <w:t xml:space="preserve"> repository. https://krishikosh.egranth.ac.in/items/acb28b9e-8b7a-4751-b64c-51636a2269f</w:t>
      </w:r>
    </w:p>
    <w:p w14:paraId="206D6A64" w14:textId="77777777" w:rsidR="00520137" w:rsidRDefault="008937FE">
      <w:pPr>
        <w:pStyle w:val="Body"/>
        <w:spacing w:after="0" w:line="276" w:lineRule="auto"/>
        <w:rPr>
          <w:rFonts w:ascii="Arial" w:hAnsi="Arial" w:cs="Arial"/>
          <w:lang w:val="en-IN"/>
        </w:rPr>
      </w:pPr>
      <w:r>
        <w:rPr>
          <w:rFonts w:ascii="Arial" w:hAnsi="Arial" w:cs="Arial"/>
          <w:lang w:val="en-IN"/>
        </w:rPr>
        <w:t xml:space="preserve">7. Mote, B. M. and Pandey, V. (2017). Effect of temperature variation on phenology and heat units of summer groundnut cultivars, </w:t>
      </w:r>
      <w:r>
        <w:rPr>
          <w:rFonts w:ascii="Arial" w:hAnsi="Arial" w:cs="Arial"/>
          <w:i/>
          <w:iCs/>
          <w:lang w:val="en-IN"/>
        </w:rPr>
        <w:t>Journal of Agrometeorology,</w:t>
      </w:r>
      <w:r>
        <w:rPr>
          <w:rFonts w:ascii="Arial" w:hAnsi="Arial" w:cs="Arial"/>
          <w:lang w:val="en-IN"/>
        </w:rPr>
        <w:t xml:space="preserve"> </w:t>
      </w:r>
      <w:r>
        <w:rPr>
          <w:rFonts w:ascii="Arial" w:hAnsi="Arial" w:cs="Arial"/>
          <w:b/>
          <w:bCs/>
          <w:lang w:val="en-IN"/>
        </w:rPr>
        <w:t>19(Special Issue-AGMET 2016)</w:t>
      </w:r>
      <w:r>
        <w:rPr>
          <w:rFonts w:ascii="Arial" w:hAnsi="Arial" w:cs="Arial"/>
          <w:lang w:val="en-IN"/>
        </w:rPr>
        <w:t xml:space="preserve"> : 98-102</w:t>
      </w:r>
    </w:p>
    <w:p w14:paraId="209734E1" w14:textId="77777777" w:rsidR="00520137" w:rsidRDefault="008937FE">
      <w:pPr>
        <w:pStyle w:val="Body"/>
        <w:spacing w:after="0" w:line="276" w:lineRule="auto"/>
        <w:rPr>
          <w:rFonts w:ascii="Arial" w:hAnsi="Arial" w:cs="Arial"/>
          <w:lang w:val="en-IN"/>
        </w:rPr>
      </w:pPr>
      <w:r>
        <w:rPr>
          <w:rFonts w:ascii="Arial" w:hAnsi="Arial" w:cs="Arial"/>
          <w:lang w:val="en-IN"/>
        </w:rPr>
        <w:t>8. Dodiya D. (2022). Phenophasic thermal requirement and yield prediction of summer green gram (</w:t>
      </w:r>
      <w:r>
        <w:rPr>
          <w:rFonts w:ascii="Arial" w:hAnsi="Arial" w:cs="Arial"/>
          <w:i/>
          <w:iCs/>
          <w:lang w:val="en-IN"/>
        </w:rPr>
        <w:t>Vigna radiata</w:t>
      </w:r>
      <w:r>
        <w:rPr>
          <w:rFonts w:ascii="Arial" w:hAnsi="Arial" w:cs="Arial"/>
          <w:lang w:val="en-IN"/>
        </w:rPr>
        <w:t xml:space="preserve"> L.) cultivars under varying weather conditions. M. Sc. (Agri.), Junagadh Agricultural University, Junagadh, </w:t>
      </w:r>
      <w:proofErr w:type="spellStart"/>
      <w:r>
        <w:rPr>
          <w:rFonts w:ascii="Arial" w:hAnsi="Arial" w:cs="Arial"/>
          <w:lang w:val="en-IN"/>
        </w:rPr>
        <w:t>Krishikosh</w:t>
      </w:r>
      <w:proofErr w:type="spellEnd"/>
      <w:r>
        <w:rPr>
          <w:rFonts w:ascii="Arial" w:hAnsi="Arial" w:cs="Arial"/>
          <w:lang w:val="en-IN"/>
        </w:rPr>
        <w:t xml:space="preserve"> Repository. https://krishikosh.egranth.ac.in/items/1fdccb0d-068d-4081-906f-22308c4edb30.</w:t>
      </w:r>
    </w:p>
    <w:p w14:paraId="63D45834" w14:textId="77777777" w:rsidR="00520137" w:rsidRDefault="008937FE">
      <w:pPr>
        <w:pStyle w:val="Body"/>
        <w:spacing w:after="0" w:line="276" w:lineRule="auto"/>
        <w:rPr>
          <w:rFonts w:ascii="Arial" w:hAnsi="Arial" w:cs="Arial"/>
          <w:lang w:val="en-IN"/>
        </w:rPr>
      </w:pPr>
      <w:r>
        <w:rPr>
          <w:rFonts w:ascii="Arial" w:hAnsi="Arial" w:cs="Arial"/>
          <w:lang w:val="en-IN"/>
        </w:rPr>
        <w:t xml:space="preserve">9. Kumar, P., Kumar, S., Hooda, V. S., Neelam, Kumar, A., Thakral, S. K., and </w:t>
      </w:r>
      <w:r>
        <w:rPr>
          <w:rFonts w:ascii="Arial" w:hAnsi="Arial" w:cs="Arial"/>
          <w:i/>
          <w:iCs/>
          <w:lang w:val="en-IN"/>
        </w:rPr>
        <w:t>et al.</w:t>
      </w:r>
      <w:r>
        <w:rPr>
          <w:rFonts w:ascii="Arial" w:hAnsi="Arial" w:cs="Arial"/>
          <w:lang w:val="en-IN"/>
        </w:rPr>
        <w:t xml:space="preserve"> (2022). Agrometeorological indices influenced by different sowing dates, irrigation and fertilizer levels under late sown Indian mustard in western Haryana, India. </w:t>
      </w:r>
      <w:r>
        <w:rPr>
          <w:rFonts w:ascii="Arial" w:hAnsi="Arial" w:cs="Arial"/>
          <w:i/>
          <w:iCs/>
          <w:lang w:val="en-IN"/>
        </w:rPr>
        <w:t>Journal of Agrometeorology,</w:t>
      </w:r>
      <w:r>
        <w:rPr>
          <w:rFonts w:ascii="Arial" w:hAnsi="Arial" w:cs="Arial"/>
          <w:lang w:val="en-IN"/>
        </w:rPr>
        <w:t xml:space="preserve"> </w:t>
      </w:r>
      <w:r>
        <w:rPr>
          <w:rFonts w:ascii="Arial" w:hAnsi="Arial" w:cs="Arial"/>
          <w:b/>
          <w:bCs/>
          <w:lang w:val="en-IN"/>
        </w:rPr>
        <w:t>24(2)</w:t>
      </w:r>
      <w:r>
        <w:rPr>
          <w:rFonts w:ascii="Arial" w:hAnsi="Arial" w:cs="Arial"/>
          <w:lang w:val="en-IN"/>
        </w:rPr>
        <w:t xml:space="preserve"> : 172-178</w:t>
      </w:r>
    </w:p>
    <w:p w14:paraId="6448B322" w14:textId="77777777" w:rsidR="00520137" w:rsidRDefault="008937FE">
      <w:pPr>
        <w:pStyle w:val="Body"/>
        <w:spacing w:after="0" w:line="276" w:lineRule="auto"/>
        <w:rPr>
          <w:rFonts w:ascii="Arial" w:hAnsi="Arial" w:cs="Arial"/>
          <w:bCs/>
          <w:lang w:val="en-IN"/>
        </w:rPr>
      </w:pPr>
      <w:r>
        <w:rPr>
          <w:rFonts w:ascii="Arial" w:hAnsi="Arial" w:cs="Arial"/>
          <w:lang w:val="en-IN"/>
        </w:rPr>
        <w:t xml:space="preserve">10. </w:t>
      </w:r>
      <w:proofErr w:type="spellStart"/>
      <w:r>
        <w:rPr>
          <w:rFonts w:ascii="Arial" w:hAnsi="Arial" w:cs="Arial"/>
          <w:lang w:val="en-IN"/>
        </w:rPr>
        <w:t>Limbasiya</w:t>
      </w:r>
      <w:proofErr w:type="spellEnd"/>
      <w:r>
        <w:rPr>
          <w:rFonts w:ascii="Arial" w:hAnsi="Arial" w:cs="Arial"/>
          <w:lang w:val="en-IN"/>
        </w:rPr>
        <w:t xml:space="preserve"> N. (2022). Phenophasic thermal requirement and yield prediction of summer </w:t>
      </w:r>
      <w:proofErr w:type="spellStart"/>
      <w:r>
        <w:rPr>
          <w:rFonts w:ascii="Arial" w:hAnsi="Arial" w:cs="Arial"/>
          <w:lang w:val="en-IN"/>
        </w:rPr>
        <w:t>blackgram</w:t>
      </w:r>
      <w:proofErr w:type="spellEnd"/>
      <w:r>
        <w:rPr>
          <w:rFonts w:ascii="Arial" w:hAnsi="Arial" w:cs="Arial"/>
          <w:lang w:val="en-IN"/>
        </w:rPr>
        <w:t xml:space="preserve"> (</w:t>
      </w:r>
      <w:r>
        <w:rPr>
          <w:rFonts w:ascii="Arial" w:hAnsi="Arial" w:cs="Arial"/>
          <w:i/>
          <w:iCs/>
          <w:lang w:val="en-IN"/>
        </w:rPr>
        <w:t>Vigna mungo</w:t>
      </w:r>
      <w:r>
        <w:rPr>
          <w:rFonts w:ascii="Arial" w:hAnsi="Arial" w:cs="Arial"/>
          <w:lang w:val="en-IN"/>
        </w:rPr>
        <w:t xml:space="preserve"> L.) cultivars under varying weather conditions. M. Sc. (Agri.), Junagadh Agricultural University, Junagadh, </w:t>
      </w:r>
      <w:proofErr w:type="spellStart"/>
      <w:r>
        <w:rPr>
          <w:rFonts w:ascii="Arial" w:hAnsi="Arial" w:cs="Arial"/>
          <w:lang w:val="en-IN"/>
        </w:rPr>
        <w:t>Krishikosh</w:t>
      </w:r>
      <w:proofErr w:type="spellEnd"/>
      <w:r>
        <w:rPr>
          <w:rFonts w:ascii="Arial" w:hAnsi="Arial" w:cs="Arial"/>
          <w:lang w:val="en-IN"/>
        </w:rPr>
        <w:t xml:space="preserve"> repository. https://krishikosh.egranth.ac.in/items/2363dede-9854-4c2d-b90a-b3cf1abb415d.</w:t>
      </w:r>
    </w:p>
    <w:p w14:paraId="540CFCF0" w14:textId="77777777" w:rsidR="00520137" w:rsidRDefault="008937FE">
      <w:pPr>
        <w:pStyle w:val="Body"/>
        <w:spacing w:after="0" w:line="276" w:lineRule="auto"/>
        <w:rPr>
          <w:rFonts w:ascii="Arial" w:hAnsi="Arial" w:cs="Arial"/>
          <w:lang w:val="en-IN"/>
        </w:rPr>
      </w:pPr>
      <w:r>
        <w:rPr>
          <w:rFonts w:ascii="Arial" w:hAnsi="Arial" w:cs="Arial"/>
          <w:lang w:val="en-IN"/>
        </w:rPr>
        <w:t>11. Yadav, S. T. (2023). Thermal Indices of groundnut (</w:t>
      </w:r>
      <w:r>
        <w:rPr>
          <w:rFonts w:ascii="Arial" w:hAnsi="Arial" w:cs="Arial"/>
          <w:i/>
          <w:iCs/>
          <w:lang w:val="en-IN"/>
        </w:rPr>
        <w:t xml:space="preserve">Arachis hypogea </w:t>
      </w:r>
      <w:r>
        <w:rPr>
          <w:rFonts w:ascii="Arial" w:hAnsi="Arial" w:cs="Arial"/>
          <w:lang w:val="en-IN"/>
        </w:rPr>
        <w:t xml:space="preserve">L.) cultivars under rainfed condition in middle Gujarat, </w:t>
      </w:r>
      <w:r>
        <w:rPr>
          <w:rFonts w:ascii="Arial" w:hAnsi="Arial" w:cs="Arial"/>
          <w:i/>
          <w:iCs/>
          <w:lang w:val="en-IN"/>
        </w:rPr>
        <w:t xml:space="preserve">Mysore Journal of Agricultural Sciences, </w:t>
      </w:r>
      <w:r>
        <w:rPr>
          <w:rFonts w:ascii="Arial" w:hAnsi="Arial" w:cs="Arial"/>
          <w:b/>
          <w:bCs/>
          <w:lang w:val="en-IN"/>
        </w:rPr>
        <w:t>57(4)</w:t>
      </w:r>
      <w:r>
        <w:rPr>
          <w:rFonts w:ascii="Arial" w:hAnsi="Arial" w:cs="Arial"/>
          <w:lang w:val="en-IN"/>
        </w:rPr>
        <w:t xml:space="preserve"> : 405-410</w:t>
      </w:r>
    </w:p>
    <w:p w14:paraId="11505802" w14:textId="77777777" w:rsidR="00520137" w:rsidRDefault="008937FE">
      <w:pPr>
        <w:pStyle w:val="Body"/>
        <w:spacing w:after="0" w:line="276" w:lineRule="auto"/>
        <w:rPr>
          <w:rFonts w:ascii="Arial" w:hAnsi="Arial" w:cs="Arial"/>
          <w:lang w:val="en-IN"/>
        </w:rPr>
      </w:pPr>
      <w:r>
        <w:rPr>
          <w:rFonts w:ascii="Arial" w:hAnsi="Arial" w:cs="Arial"/>
          <w:lang w:val="en-IN"/>
        </w:rPr>
        <w:t xml:space="preserve">12. Yadavrao, W. S., </w:t>
      </w:r>
      <w:proofErr w:type="spellStart"/>
      <w:r>
        <w:rPr>
          <w:rFonts w:ascii="Arial" w:hAnsi="Arial" w:cs="Arial"/>
          <w:lang w:val="en-IN"/>
        </w:rPr>
        <w:t>Bhambhar</w:t>
      </w:r>
      <w:proofErr w:type="spellEnd"/>
      <w:r>
        <w:rPr>
          <w:rFonts w:ascii="Arial" w:hAnsi="Arial" w:cs="Arial"/>
          <w:lang w:val="en-IN"/>
        </w:rPr>
        <w:t xml:space="preserve">, K. S., Satish, M. S., Dadaji, J. J., Shaikh, A. A. and Atmaram S. V. (2023). Thermal indices requirement of </w:t>
      </w:r>
      <w:r>
        <w:rPr>
          <w:rFonts w:ascii="Arial" w:hAnsi="Arial" w:cs="Arial"/>
          <w:i/>
          <w:iCs/>
          <w:lang w:val="en-IN"/>
        </w:rPr>
        <w:t>kharif</w:t>
      </w:r>
      <w:r>
        <w:rPr>
          <w:rFonts w:ascii="Arial" w:hAnsi="Arial" w:cs="Arial"/>
          <w:lang w:val="en-IN"/>
        </w:rPr>
        <w:t xml:space="preserve"> groundnut (</w:t>
      </w:r>
      <w:r>
        <w:rPr>
          <w:rFonts w:ascii="Arial" w:hAnsi="Arial" w:cs="Arial"/>
          <w:i/>
          <w:iCs/>
          <w:lang w:val="en-IN"/>
        </w:rPr>
        <w:t xml:space="preserve">Arachis hypogea </w:t>
      </w:r>
      <w:r>
        <w:rPr>
          <w:rFonts w:ascii="Arial" w:hAnsi="Arial" w:cs="Arial"/>
          <w:lang w:val="en-IN"/>
        </w:rPr>
        <w:t xml:space="preserve">L.) varieties under different sowing window in western Maharashtra, India, </w:t>
      </w:r>
      <w:r>
        <w:rPr>
          <w:rFonts w:ascii="Arial" w:hAnsi="Arial" w:cs="Arial"/>
          <w:i/>
          <w:iCs/>
          <w:lang w:val="en-IN"/>
        </w:rPr>
        <w:t>International Journal of Environment and Climate Change,</w:t>
      </w:r>
      <w:r>
        <w:rPr>
          <w:rFonts w:ascii="Arial" w:hAnsi="Arial" w:cs="Arial"/>
          <w:lang w:val="en-IN"/>
        </w:rPr>
        <w:t xml:space="preserve"> </w:t>
      </w:r>
      <w:r>
        <w:rPr>
          <w:rFonts w:ascii="Arial" w:hAnsi="Arial" w:cs="Arial"/>
          <w:b/>
          <w:bCs/>
          <w:lang w:val="en-IN"/>
        </w:rPr>
        <w:t>13(8)</w:t>
      </w:r>
      <w:r>
        <w:rPr>
          <w:rFonts w:ascii="Arial" w:hAnsi="Arial" w:cs="Arial"/>
          <w:lang w:val="en-IN"/>
        </w:rPr>
        <w:t xml:space="preserve"> : 265-277</w:t>
      </w:r>
    </w:p>
    <w:p w14:paraId="524D0FE1" w14:textId="77777777" w:rsidR="00520137" w:rsidRDefault="008937FE">
      <w:pPr>
        <w:pStyle w:val="Body"/>
        <w:spacing w:after="0" w:line="276" w:lineRule="auto"/>
        <w:rPr>
          <w:rFonts w:ascii="Arial" w:hAnsi="Arial" w:cs="Arial"/>
          <w:bCs/>
          <w:lang w:val="en-IN"/>
        </w:rPr>
      </w:pPr>
      <w:r>
        <w:rPr>
          <w:rFonts w:ascii="Arial" w:hAnsi="Arial" w:cs="Arial"/>
          <w:bCs/>
          <w:lang w:val="en-IN"/>
        </w:rPr>
        <w:lastRenderedPageBreak/>
        <w:t xml:space="preserve">13. Kumar, A., Tripathi M. K., Pal, V. and Sharma, S. K. (2018). Study on agrometeorological indices, thermal and photothermal use efficiency of summer groundnut </w:t>
      </w:r>
      <w:bookmarkStart w:id="0" w:name="_Hlk156466475"/>
      <w:r>
        <w:rPr>
          <w:rFonts w:ascii="Arial" w:hAnsi="Arial" w:cs="Arial"/>
          <w:bCs/>
          <w:lang w:val="en-IN"/>
        </w:rPr>
        <w:t>(</w:t>
      </w:r>
      <w:r>
        <w:rPr>
          <w:rFonts w:ascii="Arial" w:hAnsi="Arial" w:cs="Arial"/>
          <w:bCs/>
          <w:i/>
          <w:iCs/>
          <w:lang w:val="en-IN"/>
        </w:rPr>
        <w:t>Arachis hypogaea</w:t>
      </w:r>
      <w:r>
        <w:rPr>
          <w:rFonts w:ascii="Arial" w:hAnsi="Arial" w:cs="Arial"/>
          <w:bCs/>
          <w:lang w:val="en-IN"/>
        </w:rPr>
        <w:t xml:space="preserve"> L.)</w:t>
      </w:r>
      <w:bookmarkEnd w:id="0"/>
      <w:r>
        <w:rPr>
          <w:rFonts w:ascii="Arial" w:hAnsi="Arial" w:cs="Arial"/>
          <w:bCs/>
          <w:lang w:val="en-IN"/>
        </w:rPr>
        <w:t xml:space="preserve"> at Allahabad region, India, </w:t>
      </w:r>
      <w:r>
        <w:rPr>
          <w:rFonts w:ascii="Arial" w:hAnsi="Arial" w:cs="Arial"/>
          <w:bCs/>
          <w:i/>
          <w:iCs/>
          <w:lang w:val="en-IN"/>
        </w:rPr>
        <w:t>International Journal of Current Microbiology and Applied Sciences</w:t>
      </w:r>
      <w:r>
        <w:rPr>
          <w:rFonts w:ascii="Arial" w:hAnsi="Arial" w:cs="Arial"/>
          <w:bCs/>
          <w:lang w:val="en-IN"/>
        </w:rPr>
        <w:t xml:space="preserve">, </w:t>
      </w:r>
      <w:r>
        <w:rPr>
          <w:rFonts w:ascii="Arial" w:hAnsi="Arial" w:cs="Arial"/>
          <w:b/>
          <w:lang w:val="en-IN"/>
        </w:rPr>
        <w:t>7(5)</w:t>
      </w:r>
      <w:r>
        <w:rPr>
          <w:rFonts w:ascii="Arial" w:hAnsi="Arial" w:cs="Arial"/>
          <w:bCs/>
          <w:lang w:val="en-IN"/>
        </w:rPr>
        <w:t xml:space="preserve"> : 1889-1897</w:t>
      </w:r>
    </w:p>
    <w:p w14:paraId="71670BB1" w14:textId="77777777" w:rsidR="00520137" w:rsidRDefault="008937FE">
      <w:pPr>
        <w:pStyle w:val="Body"/>
        <w:spacing w:after="0" w:line="276" w:lineRule="auto"/>
        <w:rPr>
          <w:rFonts w:ascii="Arial" w:hAnsi="Arial" w:cs="Arial"/>
          <w:bCs/>
          <w:lang w:val="en-IN"/>
        </w:rPr>
      </w:pPr>
      <w:r>
        <w:rPr>
          <w:rFonts w:ascii="Arial" w:hAnsi="Arial" w:cs="Arial"/>
          <w:bCs/>
          <w:lang w:val="en-IN"/>
        </w:rPr>
        <w:t xml:space="preserve">14. Kingra, P. K. and Kaur, P. (2012). Effects of dates of sowing on thermal utilization and heat use efficiency of groundnut cultivars in central Punjab, </w:t>
      </w:r>
      <w:r>
        <w:rPr>
          <w:rFonts w:ascii="Arial" w:hAnsi="Arial" w:cs="Arial"/>
          <w:bCs/>
          <w:i/>
          <w:iCs/>
          <w:lang w:val="en-IN"/>
        </w:rPr>
        <w:t>Journal of Agricultural Physics,</w:t>
      </w:r>
      <w:r>
        <w:rPr>
          <w:rFonts w:ascii="Arial" w:hAnsi="Arial" w:cs="Arial"/>
          <w:bCs/>
          <w:lang w:val="en-IN"/>
        </w:rPr>
        <w:t xml:space="preserve"> </w:t>
      </w:r>
      <w:r>
        <w:rPr>
          <w:rFonts w:ascii="Arial" w:hAnsi="Arial" w:cs="Arial"/>
          <w:b/>
          <w:lang w:val="en-IN"/>
        </w:rPr>
        <w:t>12(1)</w:t>
      </w:r>
      <w:r>
        <w:rPr>
          <w:rFonts w:ascii="Arial" w:hAnsi="Arial" w:cs="Arial"/>
          <w:bCs/>
          <w:lang w:val="en-IN"/>
        </w:rPr>
        <w:t xml:space="preserve"> : 1-12 </w:t>
      </w:r>
    </w:p>
    <w:p w14:paraId="19388727" w14:textId="77777777" w:rsidR="00520137" w:rsidRDefault="008937FE">
      <w:pPr>
        <w:pStyle w:val="Body"/>
        <w:spacing w:after="0" w:line="276" w:lineRule="auto"/>
        <w:rPr>
          <w:rFonts w:ascii="Arial" w:hAnsi="Arial" w:cs="Arial"/>
          <w:bCs/>
          <w:lang w:val="en-IN"/>
        </w:rPr>
      </w:pPr>
      <w:r>
        <w:rPr>
          <w:rFonts w:ascii="Arial" w:hAnsi="Arial" w:cs="Arial"/>
          <w:bCs/>
          <w:lang w:val="en-IN"/>
        </w:rPr>
        <w:t xml:space="preserve">15. Sudheer, K. V. S., Murthy, V. R. K., Narasimha Rao, S. B. S. and Sai Reddy M. V. (2013). </w:t>
      </w:r>
      <w:r>
        <w:rPr>
          <w:rFonts w:ascii="Arial" w:hAnsi="Arial" w:cs="Arial"/>
          <w:lang w:val="en-IN"/>
        </w:rPr>
        <w:t>Determination of pod maturity and prediction of phenological events in groundnut by degree day indices,</w:t>
      </w:r>
      <w:r>
        <w:rPr>
          <w:rFonts w:ascii="Arial" w:hAnsi="Arial" w:cs="Arial"/>
          <w:bCs/>
          <w:lang w:val="en-IN"/>
        </w:rPr>
        <w:t xml:space="preserve"> </w:t>
      </w:r>
      <w:r>
        <w:rPr>
          <w:rFonts w:ascii="Arial" w:hAnsi="Arial" w:cs="Arial"/>
          <w:bCs/>
          <w:i/>
          <w:iCs/>
          <w:lang w:val="en-IN"/>
        </w:rPr>
        <w:t xml:space="preserve">Frontiers in Crop Improvement, </w:t>
      </w:r>
      <w:r>
        <w:rPr>
          <w:rFonts w:ascii="Arial" w:hAnsi="Arial" w:cs="Arial"/>
          <w:b/>
          <w:lang w:val="en-IN"/>
        </w:rPr>
        <w:t>1(2)</w:t>
      </w:r>
      <w:r>
        <w:rPr>
          <w:rFonts w:ascii="Arial" w:hAnsi="Arial" w:cs="Arial"/>
          <w:bCs/>
          <w:lang w:val="en-IN"/>
        </w:rPr>
        <w:t xml:space="preserve"> : 109-112</w:t>
      </w:r>
    </w:p>
    <w:p w14:paraId="28A5B4C4" w14:textId="77777777" w:rsidR="00520137" w:rsidRDefault="008937FE">
      <w:pPr>
        <w:pStyle w:val="Body"/>
        <w:spacing w:after="0" w:line="276" w:lineRule="auto"/>
        <w:rPr>
          <w:rFonts w:ascii="Arial" w:hAnsi="Arial" w:cs="Arial"/>
          <w:lang w:val="en-IN"/>
        </w:rPr>
      </w:pPr>
      <w:r>
        <w:rPr>
          <w:rFonts w:ascii="Arial" w:hAnsi="Arial" w:cs="Arial"/>
          <w:lang w:val="en-IN"/>
        </w:rPr>
        <w:t xml:space="preserve">16. Vora, V. D., </w:t>
      </w:r>
      <w:proofErr w:type="spellStart"/>
      <w:r>
        <w:rPr>
          <w:rFonts w:ascii="Arial" w:hAnsi="Arial" w:cs="Arial"/>
          <w:lang w:val="en-IN"/>
        </w:rPr>
        <w:t>Sanepara</w:t>
      </w:r>
      <w:proofErr w:type="spellEnd"/>
      <w:r>
        <w:rPr>
          <w:rFonts w:ascii="Arial" w:hAnsi="Arial" w:cs="Arial"/>
          <w:lang w:val="en-IN"/>
        </w:rPr>
        <w:t xml:space="preserve">, D. P., </w:t>
      </w:r>
      <w:proofErr w:type="spellStart"/>
      <w:r>
        <w:rPr>
          <w:rFonts w:ascii="Arial" w:hAnsi="Arial" w:cs="Arial"/>
          <w:lang w:val="en-IN"/>
        </w:rPr>
        <w:t>Chopda</w:t>
      </w:r>
      <w:proofErr w:type="spellEnd"/>
      <w:r>
        <w:rPr>
          <w:rFonts w:ascii="Arial" w:hAnsi="Arial" w:cs="Arial"/>
          <w:lang w:val="en-IN"/>
        </w:rPr>
        <w:t xml:space="preserve">, M. C., </w:t>
      </w:r>
      <w:proofErr w:type="spellStart"/>
      <w:r>
        <w:rPr>
          <w:rFonts w:ascii="Arial" w:hAnsi="Arial" w:cs="Arial"/>
          <w:lang w:val="en-IN"/>
        </w:rPr>
        <w:t>Vekariya</w:t>
      </w:r>
      <w:proofErr w:type="spellEnd"/>
      <w:r>
        <w:rPr>
          <w:rFonts w:ascii="Arial" w:hAnsi="Arial" w:cs="Arial"/>
          <w:lang w:val="en-IN"/>
        </w:rPr>
        <w:t xml:space="preserve">, P. D., Patel, J. T., </w:t>
      </w:r>
      <w:proofErr w:type="spellStart"/>
      <w:r>
        <w:rPr>
          <w:rFonts w:ascii="Arial" w:hAnsi="Arial" w:cs="Arial"/>
          <w:lang w:val="en-IN"/>
        </w:rPr>
        <w:t>Rakholiya</w:t>
      </w:r>
      <w:proofErr w:type="spellEnd"/>
      <w:r>
        <w:rPr>
          <w:rFonts w:ascii="Arial" w:hAnsi="Arial" w:cs="Arial"/>
          <w:lang w:val="en-IN"/>
        </w:rPr>
        <w:t xml:space="preserve"> and </w:t>
      </w:r>
      <w:r>
        <w:rPr>
          <w:rFonts w:ascii="Arial" w:hAnsi="Arial" w:cs="Arial"/>
          <w:i/>
          <w:iCs/>
          <w:lang w:val="en-IN"/>
        </w:rPr>
        <w:t>et al.</w:t>
      </w:r>
      <w:r>
        <w:rPr>
          <w:rFonts w:ascii="Arial" w:hAnsi="Arial" w:cs="Arial"/>
          <w:lang w:val="en-IN"/>
        </w:rPr>
        <w:t xml:space="preserve"> (2018). Thermal requirement of </w:t>
      </w:r>
      <w:r>
        <w:rPr>
          <w:rFonts w:ascii="Arial" w:hAnsi="Arial" w:cs="Arial"/>
          <w:i/>
          <w:iCs/>
          <w:lang w:val="en-IN"/>
        </w:rPr>
        <w:t>kharif</w:t>
      </w:r>
      <w:r>
        <w:rPr>
          <w:rFonts w:ascii="Arial" w:hAnsi="Arial" w:cs="Arial"/>
          <w:lang w:val="en-IN"/>
        </w:rPr>
        <w:t xml:space="preserve"> crops under rainfed condition in north Saurashtra of Gujarat, </w:t>
      </w:r>
      <w:r>
        <w:rPr>
          <w:rFonts w:ascii="Arial" w:hAnsi="Arial" w:cs="Arial"/>
          <w:i/>
          <w:iCs/>
          <w:lang w:val="en-IN"/>
        </w:rPr>
        <w:t xml:space="preserve">Journal of Pharmacognosy and Phytochemistry, </w:t>
      </w:r>
      <w:r>
        <w:rPr>
          <w:rFonts w:ascii="Arial" w:hAnsi="Arial" w:cs="Arial"/>
          <w:b/>
          <w:bCs/>
          <w:lang w:val="en-IN"/>
        </w:rPr>
        <w:t>7(1)</w:t>
      </w:r>
      <w:r>
        <w:rPr>
          <w:rFonts w:ascii="Arial" w:hAnsi="Arial" w:cs="Arial"/>
          <w:lang w:val="en-IN"/>
        </w:rPr>
        <w:t xml:space="preserve"> : 666-670</w:t>
      </w:r>
    </w:p>
    <w:sectPr w:rsidR="00520137">
      <w:headerReference w:type="even" r:id="rId10"/>
      <w:headerReference w:type="default" r:id="rId11"/>
      <w:headerReference w:type="first" r:id="rId12"/>
      <w:type w:val="continuous"/>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21C82" w14:textId="77777777" w:rsidR="003563C7" w:rsidRDefault="003563C7">
      <w:r>
        <w:separator/>
      </w:r>
    </w:p>
  </w:endnote>
  <w:endnote w:type="continuationSeparator" w:id="0">
    <w:p w14:paraId="6ABB485A" w14:textId="77777777" w:rsidR="003563C7" w:rsidRDefault="0035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603A3" w14:textId="77777777" w:rsidR="003563C7" w:rsidRDefault="003563C7">
      <w:r>
        <w:separator/>
      </w:r>
    </w:p>
  </w:footnote>
  <w:footnote w:type="continuationSeparator" w:id="0">
    <w:p w14:paraId="5CA8E734" w14:textId="77777777" w:rsidR="003563C7" w:rsidRDefault="0035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458B" w14:textId="77777777" w:rsidR="00520137" w:rsidRDefault="00000000">
    <w:pPr>
      <w:pStyle w:val="Header"/>
    </w:pPr>
    <w:r>
      <w:rPr>
        <w:noProof/>
      </w:rPr>
      <w:pict w14:anchorId="39299E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610313" o:spid="_x0000_s1026"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4B89E" w14:textId="77777777" w:rsidR="00520137" w:rsidRDefault="00000000">
    <w:pPr>
      <w:pStyle w:val="Header"/>
      <w:jc w:val="right"/>
      <w:rPr>
        <w:rFonts w:ascii="Monotype Corsiva" w:hAnsi="Monotype Corsiva"/>
        <w:sz w:val="24"/>
        <w:szCs w:val="24"/>
        <w:lang w:val="en-IN"/>
      </w:rPr>
    </w:pPr>
    <w:r>
      <w:rPr>
        <w:noProof/>
      </w:rPr>
      <w:pict w14:anchorId="0CC4B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610314" o:spid="_x0000_s1027" type="#_x0000_t136" style="position:absolute;left:0;text-align:left;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83B5EF0" w14:textId="77777777" w:rsidR="00520137" w:rsidRDefault="00520137">
    <w:pPr>
      <w:pStyle w:val="Header"/>
      <w:jc w:val="right"/>
      <w:rPr>
        <w:rFonts w:ascii="Monotype Corsiva" w:hAnsi="Monotype Corsiva"/>
        <w:sz w:val="24"/>
        <w:szCs w:val="24"/>
        <w:lang w:val="en-IN"/>
      </w:rPr>
    </w:pPr>
  </w:p>
  <w:p w14:paraId="48B5F959" w14:textId="77777777" w:rsidR="00520137" w:rsidRDefault="00520137">
    <w:pPr>
      <w:pStyle w:val="Header"/>
      <w:jc w:val="right"/>
      <w:rPr>
        <w:rFonts w:ascii="Monotype Corsiva" w:hAnsi="Monotype Corsiva"/>
        <w:sz w:val="24"/>
        <w:szCs w:val="24"/>
        <w:lang w:val="en-IN"/>
      </w:rPr>
    </w:pPr>
  </w:p>
  <w:p w14:paraId="082BB536" w14:textId="77777777" w:rsidR="00520137" w:rsidRDefault="00520137">
    <w:pPr>
      <w:pStyle w:val="Header"/>
      <w:jc w:val="right"/>
      <w:rPr>
        <w:rFonts w:ascii="Monotype Corsiva" w:hAnsi="Monotype Corsiva"/>
        <w:sz w:val="24"/>
        <w:szCs w:val="24"/>
        <w:lang w:val="en-I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8A99" w14:textId="77777777" w:rsidR="00520137" w:rsidRDefault="00000000">
    <w:pPr>
      <w:pStyle w:val="Header"/>
    </w:pPr>
    <w:r>
      <w:rPr>
        <w:noProof/>
      </w:rPr>
      <w:pict w14:anchorId="72F93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610312" o:spid="_x0000_s1025" type="#_x0000_t136" style="position:absolute;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416733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83623278">
    <w:abstractNumId w:val="15"/>
  </w:num>
  <w:num w:numId="3" w16cid:durableId="734014368">
    <w:abstractNumId w:val="23"/>
  </w:num>
  <w:num w:numId="4" w16cid:durableId="176818863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0094207">
    <w:abstractNumId w:val="7"/>
  </w:num>
  <w:num w:numId="6" w16cid:durableId="519779786">
    <w:abstractNumId w:val="6"/>
  </w:num>
  <w:num w:numId="7" w16cid:durableId="1700008145">
    <w:abstractNumId w:val="1"/>
  </w:num>
  <w:num w:numId="8" w16cid:durableId="1764643121">
    <w:abstractNumId w:val="12"/>
  </w:num>
  <w:num w:numId="9" w16cid:durableId="1891073681">
    <w:abstractNumId w:val="25"/>
  </w:num>
  <w:num w:numId="10" w16cid:durableId="1875968952">
    <w:abstractNumId w:val="2"/>
  </w:num>
  <w:num w:numId="11" w16cid:durableId="2130465361">
    <w:abstractNumId w:val="18"/>
  </w:num>
  <w:num w:numId="12" w16cid:durableId="270170326">
    <w:abstractNumId w:val="3"/>
  </w:num>
  <w:num w:numId="13" w16cid:durableId="325868368">
    <w:abstractNumId w:val="17"/>
  </w:num>
  <w:num w:numId="14" w16cid:durableId="441459146">
    <w:abstractNumId w:val="8"/>
  </w:num>
  <w:num w:numId="15" w16cid:durableId="1152255142">
    <w:abstractNumId w:val="21"/>
  </w:num>
  <w:num w:numId="16" w16cid:durableId="214700416">
    <w:abstractNumId w:val="5"/>
  </w:num>
  <w:num w:numId="17" w16cid:durableId="1713654548">
    <w:abstractNumId w:val="22"/>
  </w:num>
  <w:num w:numId="18" w16cid:durableId="74057988">
    <w:abstractNumId w:val="14"/>
  </w:num>
  <w:num w:numId="19" w16cid:durableId="1757172128">
    <w:abstractNumId w:val="28"/>
  </w:num>
  <w:num w:numId="20" w16cid:durableId="1355106862">
    <w:abstractNumId w:val="11"/>
  </w:num>
  <w:num w:numId="21" w16cid:durableId="1417097853">
    <w:abstractNumId w:val="9"/>
  </w:num>
  <w:num w:numId="22" w16cid:durableId="1313018665">
    <w:abstractNumId w:val="13"/>
  </w:num>
  <w:num w:numId="23" w16cid:durableId="1498495359">
    <w:abstractNumId w:val="19"/>
  </w:num>
  <w:num w:numId="24" w16cid:durableId="950668177">
    <w:abstractNumId w:val="26"/>
  </w:num>
  <w:num w:numId="25" w16cid:durableId="1964578171">
    <w:abstractNumId w:val="4"/>
  </w:num>
  <w:num w:numId="26" w16cid:durableId="1474445795">
    <w:abstractNumId w:val="16"/>
  </w:num>
  <w:num w:numId="27" w16cid:durableId="1412966611">
    <w:abstractNumId w:val="20"/>
  </w:num>
  <w:num w:numId="28" w16cid:durableId="348415752">
    <w:abstractNumId w:val="27"/>
  </w:num>
  <w:num w:numId="29" w16cid:durableId="796147235">
    <w:abstractNumId w:val="24"/>
  </w:num>
  <w:num w:numId="30" w16cid:durableId="2143107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0137"/>
    <w:rsid w:val="000A27AA"/>
    <w:rsid w:val="001B104A"/>
    <w:rsid w:val="002B25F9"/>
    <w:rsid w:val="003563C7"/>
    <w:rsid w:val="00520137"/>
    <w:rsid w:val="00562720"/>
    <w:rsid w:val="008937FE"/>
    <w:rsid w:val="00943319"/>
    <w:rsid w:val="00965C03"/>
    <w:rsid w:val="009D3ABF"/>
    <w:rsid w:val="00A017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96D4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link w:val="HeaderChar"/>
    <w:uiPriority w:val="99"/>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666666"/>
    </w:rPr>
  </w:style>
  <w:style w:type="character" w:customStyle="1" w:styleId="fontstyle01">
    <w:name w:val="fontstyle01"/>
    <w:basedOn w:val="DefaultParagraphFont"/>
    <w:rPr>
      <w:rFonts w:ascii="TimesNewRomanPSMT" w:hAnsi="TimesNewRomanPSMT" w:hint="default"/>
      <w:b w:val="0"/>
      <w:bCs w:val="0"/>
      <w:i w:val="0"/>
      <w:iCs w:val="0"/>
      <w:color w:val="000000"/>
      <w:sz w:val="24"/>
      <w:szCs w:val="24"/>
    </w:rPr>
  </w:style>
  <w:style w:type="character" w:customStyle="1" w:styleId="HeaderChar">
    <w:name w:val="Header Char"/>
    <w:basedOn w:val="DefaultParagraphFont"/>
    <w:link w:val="Header"/>
    <w:uiPriority w:val="99"/>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ag.gov.in/dash-reports/allindiaapy?rtab=Area%2C+Production+%26+Yield&amp;rtype=repor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pag.gov.in/dash-reports/statewiseapyandpercentagetoallindia?rtab=Area%2C+Production+%26+Yield&amp;rtype=repor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0FA2A-7600-41D4-A307-851F2AA11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445</TotalTime>
  <Pages>9</Pages>
  <Words>3165</Words>
  <Characters>18046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21169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dev bhutiya</cp:lastModifiedBy>
  <cp:revision>28</cp:revision>
  <cp:lastPrinted>1999-07-06T11:00:00Z</cp:lastPrinted>
  <dcterms:created xsi:type="dcterms:W3CDTF">2014-10-25T14:34:00Z</dcterms:created>
  <dcterms:modified xsi:type="dcterms:W3CDTF">2025-07-10T11:12:00Z</dcterms:modified>
</cp:coreProperties>
</file>