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970" w:rsidRPr="00265970" w:rsidRDefault="00265970" w:rsidP="00265970">
      <w:pPr>
        <w:spacing w:line="360" w:lineRule="auto"/>
        <w:jc w:val="both"/>
        <w:rPr>
          <w:rFonts w:asciiTheme="majorBidi" w:hAnsiTheme="majorBidi" w:cstheme="majorBidi"/>
          <w:b/>
          <w:bCs/>
          <w:i/>
          <w:iCs/>
          <w:u w:val="single"/>
        </w:rPr>
      </w:pPr>
      <w:r w:rsidRPr="00265970">
        <w:rPr>
          <w:rFonts w:asciiTheme="majorBidi" w:hAnsiTheme="majorBidi" w:cstheme="majorBidi"/>
          <w:b/>
          <w:bCs/>
          <w:i/>
          <w:iCs/>
          <w:u w:val="single"/>
        </w:rPr>
        <w:t xml:space="preserve">Clinical Practice Article </w:t>
      </w:r>
    </w:p>
    <w:p w:rsidR="00D66894" w:rsidRPr="00E05D0F" w:rsidRDefault="00D66894" w:rsidP="000810A5">
      <w:pPr>
        <w:spacing w:line="360" w:lineRule="auto"/>
        <w:jc w:val="both"/>
        <w:rPr>
          <w:rFonts w:asciiTheme="majorBidi" w:hAnsiTheme="majorBidi" w:cstheme="majorBidi"/>
          <w:b/>
          <w:bCs/>
        </w:rPr>
      </w:pPr>
      <w:r w:rsidRPr="00E05D0F">
        <w:rPr>
          <w:rFonts w:asciiTheme="majorBidi" w:hAnsiTheme="majorBidi" w:cstheme="majorBidi"/>
          <w:b/>
          <w:bCs/>
        </w:rPr>
        <w:t xml:space="preserve">Efficacy of </w:t>
      </w:r>
      <w:r w:rsidR="00D65591" w:rsidRPr="00E05D0F">
        <w:rPr>
          <w:rFonts w:asciiTheme="majorBidi" w:hAnsiTheme="majorBidi" w:cstheme="majorBidi"/>
          <w:b/>
          <w:bCs/>
          <w:i/>
          <w:iCs/>
        </w:rPr>
        <w:t>Qurse</w:t>
      </w:r>
      <w:r w:rsidR="009F6F26" w:rsidRPr="00E05D0F">
        <w:rPr>
          <w:rFonts w:asciiTheme="majorBidi" w:hAnsiTheme="majorBidi" w:cstheme="majorBidi"/>
          <w:b/>
          <w:bCs/>
          <w:i/>
          <w:iCs/>
        </w:rPr>
        <w:t xml:space="preserve"> </w:t>
      </w:r>
      <w:r w:rsidR="00D65591" w:rsidRPr="00E05D0F">
        <w:rPr>
          <w:rFonts w:asciiTheme="majorBidi" w:hAnsiTheme="majorBidi" w:cstheme="majorBidi"/>
          <w:b/>
          <w:bCs/>
          <w:i/>
          <w:iCs/>
        </w:rPr>
        <w:t xml:space="preserve">Ziabetas </w:t>
      </w:r>
      <w:r w:rsidR="00991F10" w:rsidRPr="00E05D0F">
        <w:rPr>
          <w:rFonts w:asciiTheme="majorBidi" w:hAnsiTheme="majorBidi" w:cstheme="majorBidi"/>
          <w:b/>
          <w:bCs/>
          <w:i/>
          <w:iCs/>
        </w:rPr>
        <w:t xml:space="preserve">Khas </w:t>
      </w:r>
      <w:r w:rsidRPr="00E05D0F">
        <w:rPr>
          <w:rFonts w:asciiTheme="majorBidi" w:hAnsiTheme="majorBidi" w:cstheme="majorBidi"/>
          <w:b/>
          <w:bCs/>
        </w:rPr>
        <w:t xml:space="preserve">and </w:t>
      </w:r>
      <w:r w:rsidR="006A307B" w:rsidRPr="00E05D0F">
        <w:rPr>
          <w:rFonts w:asciiTheme="majorBidi" w:hAnsiTheme="majorBidi" w:cstheme="majorBidi"/>
          <w:b/>
          <w:bCs/>
          <w:i/>
          <w:iCs/>
        </w:rPr>
        <w:t>Habb-e-</w:t>
      </w:r>
      <w:r w:rsidR="000810A5">
        <w:rPr>
          <w:rFonts w:asciiTheme="majorBidi" w:hAnsiTheme="majorBidi" w:cstheme="majorBidi"/>
          <w:b/>
          <w:bCs/>
          <w:i/>
          <w:iCs/>
        </w:rPr>
        <w:t>Asab</w:t>
      </w:r>
      <w:r w:rsidRPr="00E05D0F">
        <w:rPr>
          <w:rFonts w:asciiTheme="majorBidi" w:hAnsiTheme="majorBidi" w:cstheme="majorBidi"/>
          <w:b/>
          <w:bCs/>
        </w:rPr>
        <w:t xml:space="preserve"> in the management of </w:t>
      </w:r>
      <w:r w:rsidR="00A40BDA" w:rsidRPr="00E05D0F">
        <w:rPr>
          <w:rFonts w:asciiTheme="majorBidi" w:hAnsiTheme="majorBidi" w:cstheme="majorBidi"/>
          <w:b/>
          <w:bCs/>
        </w:rPr>
        <w:t>Diabetic Peripheral Neuropathy</w:t>
      </w:r>
      <w:r w:rsidRPr="00E05D0F">
        <w:rPr>
          <w:rFonts w:asciiTheme="majorBidi" w:hAnsiTheme="majorBidi" w:cstheme="majorBidi"/>
          <w:b/>
          <w:bCs/>
        </w:rPr>
        <w:t>: A Case Series</w:t>
      </w:r>
    </w:p>
    <w:p w:rsidR="0065280A" w:rsidRDefault="0065280A" w:rsidP="00AA7306">
      <w:pPr>
        <w:spacing w:line="360" w:lineRule="auto"/>
        <w:jc w:val="both"/>
        <w:rPr>
          <w:rFonts w:asciiTheme="majorBidi" w:hAnsiTheme="majorBidi" w:cstheme="majorBidi"/>
          <w:b/>
          <w:bCs/>
        </w:rPr>
      </w:pPr>
    </w:p>
    <w:p w:rsidR="00E7300A" w:rsidRPr="00E05D0F" w:rsidRDefault="00E7300A" w:rsidP="00AA7306">
      <w:pPr>
        <w:spacing w:line="360" w:lineRule="auto"/>
        <w:jc w:val="both"/>
        <w:rPr>
          <w:rFonts w:asciiTheme="majorBidi" w:hAnsiTheme="majorBidi" w:cstheme="majorBidi"/>
          <w:b/>
          <w:bCs/>
        </w:rPr>
      </w:pPr>
      <w:r w:rsidRPr="00E05D0F">
        <w:rPr>
          <w:rFonts w:asciiTheme="majorBidi" w:hAnsiTheme="majorBidi" w:cstheme="majorBidi"/>
          <w:b/>
          <w:bCs/>
        </w:rPr>
        <w:t>Abstract</w:t>
      </w:r>
    </w:p>
    <w:p w:rsidR="00E7300A" w:rsidRPr="00E05D0F" w:rsidRDefault="00E7300A" w:rsidP="000E78FA">
      <w:pPr>
        <w:pStyle w:val="NormalWeb"/>
        <w:spacing w:line="360" w:lineRule="auto"/>
        <w:jc w:val="both"/>
      </w:pPr>
      <w:r w:rsidRPr="00E05D0F">
        <w:rPr>
          <w:rStyle w:val="ai-insert"/>
        </w:rPr>
        <w:t xml:space="preserve">Diabetic Peripheral Neuropathy (DPN) is a prevalent complication of type 2 diabetes mellitus (T2DM), typically managed symptomatically </w:t>
      </w:r>
      <w:r w:rsidR="00346335" w:rsidRPr="00E05D0F">
        <w:rPr>
          <w:rStyle w:val="ai-insert"/>
        </w:rPr>
        <w:t xml:space="preserve">owing </w:t>
      </w:r>
      <w:r w:rsidRPr="00E05D0F">
        <w:rPr>
          <w:rStyle w:val="ai-insert"/>
        </w:rPr>
        <w:t xml:space="preserve">to </w:t>
      </w:r>
      <w:r w:rsidR="00346335" w:rsidRPr="00E05D0F">
        <w:rPr>
          <w:rStyle w:val="ai-insert"/>
        </w:rPr>
        <w:t xml:space="preserve">a </w:t>
      </w:r>
      <w:r w:rsidRPr="00E05D0F">
        <w:rPr>
          <w:rStyle w:val="ai-insert"/>
        </w:rPr>
        <w:t xml:space="preserve">lack of curative therapies. </w:t>
      </w:r>
      <w:r w:rsidR="00346335" w:rsidRPr="00E05D0F">
        <w:rPr>
          <w:rStyle w:val="ai-insert"/>
        </w:rPr>
        <w:t xml:space="preserve">The Unani </w:t>
      </w:r>
      <w:r w:rsidR="00AB0494" w:rsidRPr="00E05D0F">
        <w:rPr>
          <w:rStyle w:val="ai-insert"/>
        </w:rPr>
        <w:t xml:space="preserve">System </w:t>
      </w:r>
      <w:r w:rsidR="00346335" w:rsidRPr="00E05D0F">
        <w:rPr>
          <w:rStyle w:val="ai-insert"/>
        </w:rPr>
        <w:t xml:space="preserve">of </w:t>
      </w:r>
      <w:r w:rsidR="00AB0494" w:rsidRPr="00E05D0F">
        <w:rPr>
          <w:rStyle w:val="ai-insert"/>
        </w:rPr>
        <w:t xml:space="preserve">Medicine </w:t>
      </w:r>
      <w:r w:rsidRPr="00E05D0F">
        <w:rPr>
          <w:rStyle w:val="ai-insert"/>
        </w:rPr>
        <w:t xml:space="preserve">offers holistic management strategies aligned with </w:t>
      </w:r>
      <w:r w:rsidRPr="00E05D0F">
        <w:rPr>
          <w:rStyle w:val="Emphasis"/>
        </w:rPr>
        <w:t xml:space="preserve">Akhlat </w:t>
      </w:r>
      <w:r w:rsidRPr="00E05D0F">
        <w:t>(~</w:t>
      </w:r>
      <w:r w:rsidRPr="00E05D0F">
        <w:rPr>
          <w:rStyle w:val="ai-insert"/>
        </w:rPr>
        <w:t>humoral</w:t>
      </w:r>
      <w:r w:rsidRPr="00E05D0F">
        <w:t>)</w:t>
      </w:r>
      <w:r w:rsidRPr="00E05D0F">
        <w:rPr>
          <w:rStyle w:val="ai-insert"/>
        </w:rPr>
        <w:t xml:space="preserve"> balance and detoxification. This case series assessed the efficacy of two classical Unani formulations, </w:t>
      </w:r>
      <w:r w:rsidRPr="00E05D0F">
        <w:rPr>
          <w:rStyle w:val="ai-insert"/>
          <w:i/>
          <w:iCs/>
        </w:rPr>
        <w:t xml:space="preserve">Qurse Ziabetus Khas </w:t>
      </w:r>
      <w:r w:rsidRPr="00E05D0F">
        <w:rPr>
          <w:rStyle w:val="ai-insert"/>
        </w:rPr>
        <w:t xml:space="preserve">(QZK) and </w:t>
      </w:r>
      <w:r w:rsidRPr="00E05D0F">
        <w:rPr>
          <w:rStyle w:val="ai-insert"/>
          <w:i/>
          <w:iCs/>
        </w:rPr>
        <w:t xml:space="preserve">Habb-e-Asab </w:t>
      </w:r>
      <w:r w:rsidRPr="00E05D0F">
        <w:rPr>
          <w:rStyle w:val="ai-insert"/>
        </w:rPr>
        <w:t>(HA), in DPN</w:t>
      </w:r>
      <w:r w:rsidR="00346335" w:rsidRPr="00E05D0F">
        <w:rPr>
          <w:rStyle w:val="ai-insert"/>
        </w:rPr>
        <w:t xml:space="preserve"> patients</w:t>
      </w:r>
      <w:r w:rsidRPr="00E05D0F">
        <w:rPr>
          <w:rStyle w:val="ai-insert"/>
        </w:rPr>
        <w:t xml:space="preserve">. Three male patients, aged 52–59 years, </w:t>
      </w:r>
      <w:r w:rsidRPr="00E05D0F">
        <w:t xml:space="preserve">diagnosed </w:t>
      </w:r>
      <w:r w:rsidRPr="00E05D0F">
        <w:rPr>
          <w:rStyle w:val="ai-insert"/>
        </w:rPr>
        <w:t xml:space="preserve">with T2DM and DPN symptoms, were included. Each patient </w:t>
      </w:r>
      <w:r w:rsidR="00346335" w:rsidRPr="00E05D0F">
        <w:rPr>
          <w:rStyle w:val="ai-insert"/>
        </w:rPr>
        <w:t xml:space="preserve">had experienced </w:t>
      </w:r>
      <w:r w:rsidRPr="00E05D0F">
        <w:rPr>
          <w:rStyle w:val="ai-insert"/>
        </w:rPr>
        <w:t xml:space="preserve">tingling, numbness, and burning pain in the lower extremities. The intervention involved oral administration of QZK (2 g) and HA (500 mg) twice daily for 56 days alongside conventional medicines. Clinical evaluation included the Toronto Clinical Neuropathy Score; Vibration Perception Threshold (VPT); </w:t>
      </w:r>
      <w:r w:rsidR="00346335" w:rsidRPr="00E05D0F">
        <w:rPr>
          <w:rStyle w:val="ai-insert"/>
        </w:rPr>
        <w:t>Visual Analogue Scale</w:t>
      </w:r>
      <w:r w:rsidRPr="00E05D0F">
        <w:rPr>
          <w:rStyle w:val="ai-insert"/>
        </w:rPr>
        <w:t xml:space="preserve"> for pain, burning sensation, and numbness with HbA1c levels; and WHOQOL-BREF for quality of life. Post-treatment, two patients showed marked reductions in VPT values, and all three patients reported decreased pain intensity (VAS scores decreased from 8–9/10 to 3–6/10). The WHOQOL-BREF scores improved in all </w:t>
      </w:r>
      <w:r w:rsidR="00346335" w:rsidRPr="00E05D0F">
        <w:rPr>
          <w:rStyle w:val="ai-insert"/>
        </w:rPr>
        <w:t xml:space="preserve">the </w:t>
      </w:r>
      <w:r w:rsidRPr="00E05D0F">
        <w:rPr>
          <w:rStyle w:val="ai-insert"/>
        </w:rPr>
        <w:t xml:space="preserve">patients (40–47 to 55–71). HbA1c levels decreased, indicating improved glycemic control. No adverse events </w:t>
      </w:r>
      <w:r w:rsidR="00346335" w:rsidRPr="00E05D0F">
        <w:rPr>
          <w:rStyle w:val="ai-insert"/>
        </w:rPr>
        <w:t>were reported</w:t>
      </w:r>
      <w:r w:rsidRPr="00E05D0F">
        <w:rPr>
          <w:rStyle w:val="ai-insert"/>
        </w:rPr>
        <w:t xml:space="preserve">. QZK and HA </w:t>
      </w:r>
      <w:r w:rsidR="00346335" w:rsidRPr="00E05D0F">
        <w:rPr>
          <w:rStyle w:val="ai-insert"/>
        </w:rPr>
        <w:t xml:space="preserve">have </w:t>
      </w:r>
      <w:r w:rsidRPr="00E05D0F">
        <w:rPr>
          <w:rStyle w:val="ai-insert"/>
        </w:rPr>
        <w:t xml:space="preserve">demonstrated promising results in alleviating neuropathic symptoms, improving glycemic control, and enhancing </w:t>
      </w:r>
      <w:r w:rsidR="00346335" w:rsidRPr="00E05D0F">
        <w:rPr>
          <w:rStyle w:val="ai-insert"/>
        </w:rPr>
        <w:t xml:space="preserve">the </w:t>
      </w:r>
      <w:r w:rsidRPr="00E05D0F">
        <w:rPr>
          <w:rStyle w:val="ai-insert"/>
        </w:rPr>
        <w:t xml:space="preserve">quality of life in patients. These findings support Unani pharmacotherapy as a complementary approach for </w:t>
      </w:r>
      <w:r w:rsidR="00346335" w:rsidRPr="00E05D0F">
        <w:rPr>
          <w:rStyle w:val="ai-insert"/>
        </w:rPr>
        <w:t xml:space="preserve">the management of </w:t>
      </w:r>
      <w:r w:rsidRPr="00E05D0F">
        <w:rPr>
          <w:rStyle w:val="ai-insert"/>
        </w:rPr>
        <w:t xml:space="preserve">DPN. Larger controlled trials are needed to confirm these observations and </w:t>
      </w:r>
      <w:r w:rsidR="00346335" w:rsidRPr="00E05D0F">
        <w:rPr>
          <w:rStyle w:val="ai-insert"/>
        </w:rPr>
        <w:t xml:space="preserve">to </w:t>
      </w:r>
      <w:r w:rsidRPr="00E05D0F">
        <w:rPr>
          <w:rStyle w:val="ai-insert"/>
        </w:rPr>
        <w:t>establish standardized treatment protocols</w:t>
      </w:r>
      <w:r w:rsidR="0090223E">
        <w:rPr>
          <w:rStyle w:val="ai-insert"/>
        </w:rPr>
        <w:t>.</w:t>
      </w:r>
    </w:p>
    <w:p w:rsidR="00C93CCE" w:rsidRPr="00E05D0F" w:rsidRDefault="00413F69" w:rsidP="00413F69">
      <w:pPr>
        <w:spacing w:line="360" w:lineRule="auto"/>
        <w:jc w:val="both"/>
        <w:rPr>
          <w:rFonts w:asciiTheme="majorBidi" w:hAnsiTheme="majorBidi" w:cstheme="majorBidi"/>
          <w:b/>
          <w:bCs/>
        </w:rPr>
      </w:pPr>
      <w:r w:rsidRPr="00E05D0F">
        <w:rPr>
          <w:rFonts w:asciiTheme="majorBidi" w:hAnsiTheme="majorBidi" w:cstheme="majorBidi"/>
          <w:b/>
          <w:bCs/>
        </w:rPr>
        <w:t xml:space="preserve">Keywords: </w:t>
      </w:r>
      <w:r w:rsidRPr="00E05D0F">
        <w:rPr>
          <w:rFonts w:asciiTheme="majorBidi" w:hAnsiTheme="majorBidi" w:cstheme="majorBidi"/>
        </w:rPr>
        <w:t>T2DM, Unani medicine, Diabetic Peripheral Neuropathy, Ziabetas, HbA1c</w:t>
      </w:r>
      <w:r w:rsidR="007B6BD1" w:rsidRPr="00E05D0F">
        <w:rPr>
          <w:rFonts w:asciiTheme="majorBidi" w:hAnsiTheme="majorBidi" w:cstheme="majorBidi"/>
          <w:b/>
          <w:bCs/>
        </w:rPr>
        <w:t xml:space="preserve"> </w:t>
      </w:r>
    </w:p>
    <w:p w:rsidR="00413F69" w:rsidRDefault="00413F69" w:rsidP="00413F69">
      <w:pPr>
        <w:spacing w:line="360" w:lineRule="auto"/>
        <w:jc w:val="both"/>
        <w:rPr>
          <w:rFonts w:asciiTheme="majorBidi" w:hAnsiTheme="majorBidi" w:cstheme="majorBidi"/>
          <w:b/>
          <w:bCs/>
        </w:rPr>
      </w:pPr>
    </w:p>
    <w:p w:rsidR="00C63112" w:rsidRDefault="00C63112" w:rsidP="00413F69">
      <w:pPr>
        <w:spacing w:line="360" w:lineRule="auto"/>
        <w:jc w:val="both"/>
        <w:rPr>
          <w:rFonts w:asciiTheme="majorBidi" w:hAnsiTheme="majorBidi" w:cstheme="majorBidi"/>
          <w:b/>
          <w:bCs/>
        </w:rPr>
      </w:pPr>
    </w:p>
    <w:p w:rsidR="00C63112" w:rsidRDefault="00C63112" w:rsidP="00413F69">
      <w:pPr>
        <w:spacing w:line="360" w:lineRule="auto"/>
        <w:jc w:val="both"/>
        <w:rPr>
          <w:rFonts w:asciiTheme="majorBidi" w:hAnsiTheme="majorBidi" w:cstheme="majorBidi"/>
          <w:b/>
          <w:bCs/>
        </w:rPr>
      </w:pPr>
    </w:p>
    <w:p w:rsidR="00C63112" w:rsidRPr="00E05D0F" w:rsidRDefault="00C63112" w:rsidP="00413F69">
      <w:pPr>
        <w:spacing w:line="360" w:lineRule="auto"/>
        <w:jc w:val="both"/>
        <w:rPr>
          <w:rFonts w:asciiTheme="majorBidi" w:hAnsiTheme="majorBidi" w:cstheme="majorBidi"/>
          <w:b/>
          <w:bCs/>
        </w:rPr>
      </w:pPr>
    </w:p>
    <w:p w:rsidR="00504B9E" w:rsidRPr="00E05D0F" w:rsidRDefault="005E7387" w:rsidP="007E4D2B">
      <w:pPr>
        <w:spacing w:line="360" w:lineRule="auto"/>
        <w:jc w:val="both"/>
        <w:rPr>
          <w:rFonts w:asciiTheme="majorBidi" w:hAnsiTheme="majorBidi" w:cstheme="majorBidi"/>
          <w:b/>
          <w:bCs/>
        </w:rPr>
      </w:pPr>
      <w:r>
        <w:rPr>
          <w:rFonts w:asciiTheme="majorBidi" w:hAnsiTheme="majorBidi" w:cstheme="majorBidi"/>
          <w:b/>
          <w:bCs/>
        </w:rPr>
        <w:lastRenderedPageBreak/>
        <w:t>Introduction</w:t>
      </w:r>
    </w:p>
    <w:p w:rsidR="00320697" w:rsidRPr="00E05D0F" w:rsidRDefault="004D471D" w:rsidP="00FA7433">
      <w:pPr>
        <w:pStyle w:val="NormalWeb"/>
        <w:spacing w:before="0" w:beforeAutospacing="0" w:after="0" w:afterAutospacing="0" w:line="360" w:lineRule="auto"/>
        <w:jc w:val="both"/>
        <w:rPr>
          <w:rFonts w:asciiTheme="majorBidi" w:hAnsiTheme="majorBidi" w:cstheme="majorBidi"/>
        </w:rPr>
      </w:pPr>
      <w:r w:rsidRPr="00E05D0F">
        <w:rPr>
          <w:rFonts w:asciiTheme="majorBidi" w:hAnsiTheme="majorBidi" w:cstheme="majorBidi"/>
        </w:rPr>
        <w:t xml:space="preserve">Diabetic Peripheral Neuropathy (DPN) is </w:t>
      </w:r>
      <w:r w:rsidR="001B3C98" w:rsidRPr="00E05D0F">
        <w:rPr>
          <w:rFonts w:asciiTheme="majorBidi" w:hAnsiTheme="majorBidi" w:cstheme="majorBidi"/>
        </w:rPr>
        <w:t xml:space="preserve">one of the </w:t>
      </w:r>
      <w:r w:rsidRPr="00E05D0F">
        <w:rPr>
          <w:rFonts w:asciiTheme="majorBidi" w:hAnsiTheme="majorBidi" w:cstheme="majorBidi"/>
        </w:rPr>
        <w:t xml:space="preserve">most common </w:t>
      </w:r>
      <w:r w:rsidR="001B3C98" w:rsidRPr="00E05D0F">
        <w:rPr>
          <w:rFonts w:asciiTheme="majorBidi" w:hAnsiTheme="majorBidi" w:cstheme="majorBidi"/>
        </w:rPr>
        <w:t xml:space="preserve">long-term </w:t>
      </w:r>
      <w:r w:rsidRPr="00E05D0F">
        <w:rPr>
          <w:rFonts w:asciiTheme="majorBidi" w:hAnsiTheme="majorBidi" w:cstheme="majorBidi"/>
        </w:rPr>
        <w:t>complication of diabetes mellitus</w:t>
      </w:r>
      <w:r w:rsidR="001B3C98" w:rsidRPr="00E05D0F">
        <w:rPr>
          <w:rFonts w:asciiTheme="majorBidi" w:hAnsiTheme="majorBidi" w:cstheme="majorBidi"/>
        </w:rPr>
        <w:t xml:space="preserve"> (DM)</w:t>
      </w:r>
      <w:r w:rsidRPr="00E05D0F">
        <w:rPr>
          <w:rFonts w:asciiTheme="majorBidi" w:hAnsiTheme="majorBidi" w:cstheme="majorBidi"/>
        </w:rPr>
        <w:t>, primarily affecting nerves in the extremities.</w:t>
      </w:r>
      <w:r w:rsidR="001B3C98" w:rsidRPr="00E05D0F">
        <w:rPr>
          <w:rFonts w:asciiTheme="majorBidi" w:hAnsiTheme="majorBidi" w:cstheme="majorBidi"/>
        </w:rPr>
        <w:t xml:space="preserve"> </w:t>
      </w:r>
      <w:r w:rsidR="00565B6D" w:rsidRPr="00380436">
        <w:rPr>
          <w:rFonts w:asciiTheme="majorBidi" w:hAnsiTheme="majorBidi" w:cstheme="majorBidi"/>
          <w:vertAlign w:val="superscript"/>
        </w:rPr>
        <w:fldChar w:fldCharType="begin"/>
      </w:r>
      <w:r w:rsidR="0051541C" w:rsidRPr="00380436">
        <w:rPr>
          <w:rFonts w:asciiTheme="majorBidi" w:hAnsiTheme="majorBidi" w:cstheme="majorBidi"/>
          <w:vertAlign w:val="superscript"/>
        </w:rPr>
        <w:instrText xml:space="preserve"> ADDIN ZOTERO_ITEM CSL_CITATION {"citationID":"MVLmyC9b","properties":{"formattedCitation":"(1)","plainCitation":"(1)","noteIndex":0},"citationItems":[{"id":56,"uris":["http://zotero.org/users/local/IUvTSyB4/items/GQAI56RL"],"itemData":{"id":56,"type":"book","abstract":"Diabetic neuropathies are the most common chronic complications of diabetes, with an estimated lifetime prevalence exceeding 50% in people with diabetes. Among various forms of neuropathy, diabetic peripheral neuropathy (DPN) is the most common and has the strongest evidence base regarding therapeutic approaches. This American Diabetes Association clinical compendium summarizes the latest information about screening for, diagnosing, and treating painful DPN in routine clinical practice. It opens with an overview of the epidemiology of DPN, followed by a description of the pathophysiology of the disease and its often severely painful symptoms. The authors recommend a stepwise approach to effectively diagnose DPN and offer a novel perspective on the impact of social determinants of health on the development and management of DPN. They summarizes the latest guidance on effective therapies, including pharmacological oral and topical agents, nutraceutical products, and nonpharmacological therapies, including physical activity and dietary interventions, passive modalities, and energy or nerve stimulation techniques. Throughout the publication, the authors identify knowledge gaps that need to be addressed and advocate a personalized care approach to reduce the burden of painful DPN and optimize quality of life for individuals affected by it.","call-number":"NBK580224","collection-title":"ADA Clinical Compendia Series","event-place":"Arlington (VA)","language":"eng","license":"© 2022 by American Diabetes Association. All rights reserved. None of the contents may be reproduced without the written permission of the American Diabetes Association.","note":"PMID: 35544662","publisher":"American Diabetes Association","publisher-place":"Arlington (VA)","source":"PubMed","title":"Diagnosis and Treatment of Painful Diabetic Peripheral Neuropathy","URL":"http://www.ncbi.nlm.nih.gov/books/NBK580224/","author":[{"family":"Pop-Busui","given":"Rodica"},{"family":"Ang","given":"Lynn"},{"family":"Boulton","given":"Andrew J. M."},{"family":"Feldman","given":"Eva L."},{"family":"Marcus","given":"Robin L."},{"family":"Mizokami-Stout","given":"Kara"},{"family":"Singleton","given":"J. Robinson"},{"family":"Ziegler","given":"Dan"}],"accessed":{"date-parts":[["2025",7,8]]},"issued":{"date-parts":[["2022"]]}}}],"schema":"https://github.com/citation-style-language/schema/raw/master/csl-citation.json"} </w:instrText>
      </w:r>
      <w:r w:rsidR="00565B6D" w:rsidRPr="00380436">
        <w:rPr>
          <w:rFonts w:asciiTheme="majorBidi" w:hAnsiTheme="majorBidi" w:cstheme="majorBidi"/>
          <w:vertAlign w:val="superscript"/>
        </w:rPr>
        <w:fldChar w:fldCharType="separate"/>
      </w:r>
      <w:r w:rsidR="00380436">
        <w:rPr>
          <w:rFonts w:asciiTheme="majorBidi" w:hAnsiTheme="majorBidi" w:cstheme="majorBidi"/>
          <w:vertAlign w:val="superscript"/>
        </w:rPr>
        <w:t>[</w:t>
      </w:r>
      <w:r w:rsidR="0051541C" w:rsidRPr="00380436">
        <w:rPr>
          <w:rFonts w:asciiTheme="majorBidi" w:hAnsiTheme="majorBidi" w:cstheme="majorBidi"/>
          <w:vertAlign w:val="superscript"/>
        </w:rPr>
        <w:t>1</w:t>
      </w:r>
      <w:r w:rsidR="00565B6D" w:rsidRPr="00380436">
        <w:rPr>
          <w:rFonts w:asciiTheme="majorBidi" w:hAnsiTheme="majorBidi" w:cstheme="majorBidi"/>
          <w:vertAlign w:val="superscript"/>
        </w:rPr>
        <w:fldChar w:fldCharType="end"/>
      </w:r>
      <w:r w:rsidR="00380436">
        <w:rPr>
          <w:rFonts w:asciiTheme="majorBidi" w:hAnsiTheme="majorBidi" w:cstheme="majorBidi"/>
          <w:vertAlign w:val="superscript"/>
        </w:rPr>
        <w:t>]</w:t>
      </w:r>
      <w:r w:rsidR="0051541C" w:rsidRPr="00E05D0F">
        <w:rPr>
          <w:rFonts w:asciiTheme="majorBidi" w:hAnsiTheme="majorBidi" w:cstheme="majorBidi"/>
        </w:rPr>
        <w:t xml:space="preserve"> </w:t>
      </w:r>
      <w:r w:rsidRPr="00E05D0F">
        <w:rPr>
          <w:rFonts w:asciiTheme="majorBidi" w:hAnsiTheme="majorBidi" w:cstheme="majorBidi"/>
        </w:rPr>
        <w:t xml:space="preserve">Clinically, it </w:t>
      </w:r>
      <w:r w:rsidR="008E51D4" w:rsidRPr="00E05D0F">
        <w:rPr>
          <w:rFonts w:asciiTheme="majorBidi" w:hAnsiTheme="majorBidi" w:cstheme="majorBidi"/>
        </w:rPr>
        <w:t xml:space="preserve">is </w:t>
      </w:r>
      <w:r w:rsidRPr="00E05D0F">
        <w:rPr>
          <w:rFonts w:asciiTheme="majorBidi" w:hAnsiTheme="majorBidi" w:cstheme="majorBidi"/>
        </w:rPr>
        <w:t>defined as pain, tingling, burning sensation</w:t>
      </w:r>
      <w:r w:rsidR="008E51D4" w:rsidRPr="00E05D0F">
        <w:rPr>
          <w:rFonts w:asciiTheme="majorBidi" w:hAnsiTheme="majorBidi" w:cstheme="majorBidi"/>
        </w:rPr>
        <w:t>s</w:t>
      </w:r>
      <w:r w:rsidRPr="00E05D0F">
        <w:rPr>
          <w:rFonts w:asciiTheme="majorBidi" w:hAnsiTheme="majorBidi" w:cstheme="majorBidi"/>
        </w:rPr>
        <w:t>, numbness, and muscle weakness.</w:t>
      </w:r>
      <w:r w:rsidR="00D943F2" w:rsidRPr="00E05D0F">
        <w:rPr>
          <w:rFonts w:asciiTheme="majorBidi" w:hAnsiTheme="majorBidi" w:cstheme="majorBidi"/>
        </w:rPr>
        <w:t xml:space="preserve"> </w:t>
      </w:r>
      <w:r w:rsidR="00565B6D" w:rsidRPr="00380436">
        <w:rPr>
          <w:rFonts w:asciiTheme="majorBidi" w:hAnsiTheme="majorBidi" w:cstheme="majorBidi"/>
          <w:vertAlign w:val="superscript"/>
        </w:rPr>
        <w:fldChar w:fldCharType="begin"/>
      </w:r>
      <w:r w:rsidR="0051541C" w:rsidRPr="00380436">
        <w:rPr>
          <w:rFonts w:asciiTheme="majorBidi" w:hAnsiTheme="majorBidi" w:cstheme="majorBidi"/>
          <w:vertAlign w:val="superscript"/>
        </w:rPr>
        <w:instrText xml:space="preserve"> ADDIN ZOTERO_ITEM CSL_CITATION {"citationID":"BLZiARW8","properties":{"formattedCitation":"(2)","plainCitation":"(2)","noteIndex":0},"citationItems":[{"id":58,"uris":["http://zotero.org/users/local/IUvTSyB4/items/VIDYGYDR"],"itemData":{"id":58,"type":"chapter","abstract":"Peripheral neuropathy encompasses a broad range of clinical pathologies potentially presenting with peripheral nervous system dysfunction. Patients with peripheral neuropathy often present with varying degrees of numbness, tingling, aching, burning sensation, weakness of limbs, hyperalgesia, allodynia, and pain. This pain has been characterized as superficial, deep-seated, or severe, unremitting pain with exacerbation at night. While metabolic disorders represent the predominant etiology of extremity pain caused by an underlying peripheral neuropathy clinical pathology, broad clinical consideration is given to many clinical conditions. Although there are many possible causes of peripheral neuropathy, the most prevalent subtype, diabetic peripheral neuropathy (DPN), can lead to significant complications ranging from paresthesia to loss of limb and life. Early assessment of symptoms of peripheral polyneuropathy helps avoid neuropathic foot ulcers to combat potential morbidity and mortality resulting from the pathophysiologic poor wound healing potential, which can lead to limb compromise, local to systemic infection, septicemia, and even death. DPN is primarily diagnosed clinically through history and neurological assessment of small fiber sensation with temperature changes or pinpricks, large fiber sensation with vibrations, and ulceration risk with pressure testing using a 10 g monofilament. Neurology consultation and specialized testing, including nerve conduction studies and intraepidermal nerve fiber density testing, are only indicated for patients with atypical clinical features (eg, rapid symptom onset, severe neuromotor impairment, and asymmetrically abnormal sensation). The exact cause of DPN is not known. Proposed theories include metabolic, neurovascular, and autoimmune pathways have been proposed. Mechanical compression (eg, carpal tunnel), genetics, and social and lifestyle factors such as chronic alcohol consumption and smoking have all been implicated. Perpetually high blood serum glucose leads to insulin resistance, promoting oxidative stress, inflammation, and cell damage. First, the distal sensory and autonomic nerve fibers are damaged; the damage continues with proximal progression, leading to a gradual loss of protective sensation in the skin and foot joints. DPN management consists of several strategies, including preventative measures (eg, patient education, proper foot care, correct shoe wear, and annual foot exam), glucose control, dietary modifications, weight loss, and pain control. Half of the diabetic peripheral neuropathies may be asymmetric. If not recognized and preventative foot care is not implemented, patients have an increased risk of injury due to their insensate feet.","call-number":"NBK442009","container-title":"StatPearls","event-place":"Treasure Island (FL)","language":"eng","license":"Copyright © 2025, StatPearls Publishing LLC.","note":"PMID: 28723038","publisher":"StatPearls Publishing","publisher-place":"Treasure Island (FL)","source":"PubMed","title":"Diabetic Peripheral Neuropathy","URL":"http://www.ncbi.nlm.nih.gov/books/NBK442009/","author":[{"family":"Bodman","given":"Myron A."},{"family":"Dreyer","given":"Mark A."},{"family":"Varacallo","given":"Matthew A."}],"accessed":{"date-parts":[["2025",7,8]]},"issued":{"date-parts":[["2025"]]}}}],"schema":"https://github.com/citation-style-language/schema/raw/master/csl-citation.json"} </w:instrText>
      </w:r>
      <w:r w:rsidR="00565B6D" w:rsidRPr="00380436">
        <w:rPr>
          <w:rFonts w:asciiTheme="majorBidi" w:hAnsiTheme="majorBidi" w:cstheme="majorBidi"/>
          <w:vertAlign w:val="superscript"/>
        </w:rPr>
        <w:fldChar w:fldCharType="separate"/>
      </w:r>
      <w:r w:rsidR="00380436" w:rsidRPr="00380436">
        <w:rPr>
          <w:rFonts w:asciiTheme="majorBidi" w:hAnsiTheme="majorBidi" w:cstheme="majorBidi"/>
          <w:vertAlign w:val="superscript"/>
        </w:rPr>
        <w:t>[</w:t>
      </w:r>
      <w:r w:rsidR="0051541C" w:rsidRPr="00380436">
        <w:rPr>
          <w:rFonts w:asciiTheme="majorBidi" w:hAnsiTheme="majorBidi" w:cstheme="majorBidi"/>
          <w:vertAlign w:val="superscript"/>
        </w:rPr>
        <w:t>2</w:t>
      </w:r>
      <w:r w:rsidR="00565B6D" w:rsidRPr="00380436">
        <w:rPr>
          <w:rFonts w:asciiTheme="majorBidi" w:hAnsiTheme="majorBidi" w:cstheme="majorBidi"/>
          <w:vertAlign w:val="superscript"/>
        </w:rPr>
        <w:fldChar w:fldCharType="end"/>
      </w:r>
      <w:r w:rsidR="00380436" w:rsidRPr="00380436">
        <w:rPr>
          <w:rFonts w:asciiTheme="majorBidi" w:hAnsiTheme="majorBidi" w:cstheme="majorBidi"/>
          <w:vertAlign w:val="superscript"/>
        </w:rPr>
        <w:t>]</w:t>
      </w:r>
      <w:r w:rsidR="0051541C" w:rsidRPr="00E05D0F">
        <w:rPr>
          <w:rFonts w:asciiTheme="majorBidi" w:hAnsiTheme="majorBidi" w:cstheme="majorBidi"/>
        </w:rPr>
        <w:t xml:space="preserve"> </w:t>
      </w:r>
      <w:r w:rsidRPr="00E05D0F">
        <w:rPr>
          <w:rFonts w:asciiTheme="majorBidi" w:hAnsiTheme="majorBidi" w:cstheme="majorBidi"/>
        </w:rPr>
        <w:t xml:space="preserve">While the exact prevalence of DPN remains </w:t>
      </w:r>
      <w:r w:rsidR="008E51D4" w:rsidRPr="00E05D0F">
        <w:rPr>
          <w:rFonts w:asciiTheme="majorBidi" w:hAnsiTheme="majorBidi" w:cstheme="majorBidi"/>
        </w:rPr>
        <w:t>unclear</w:t>
      </w:r>
      <w:r w:rsidRPr="00E05D0F">
        <w:rPr>
          <w:rFonts w:asciiTheme="majorBidi" w:hAnsiTheme="majorBidi" w:cstheme="majorBidi"/>
        </w:rPr>
        <w:t>, it is</w:t>
      </w:r>
      <w:r w:rsidR="00D943F2" w:rsidRPr="00E05D0F">
        <w:rPr>
          <w:rFonts w:asciiTheme="majorBidi" w:hAnsiTheme="majorBidi" w:cstheme="majorBidi"/>
        </w:rPr>
        <w:t xml:space="preserve"> estimated that approximately 35</w:t>
      </w:r>
      <w:r w:rsidRPr="00E05D0F">
        <w:rPr>
          <w:rFonts w:asciiTheme="majorBidi" w:hAnsiTheme="majorBidi" w:cstheme="majorBidi"/>
        </w:rPr>
        <w:t xml:space="preserve">% of individuals diagnosed with </w:t>
      </w:r>
      <w:r w:rsidR="00D943F2" w:rsidRPr="00E05D0F">
        <w:rPr>
          <w:rFonts w:asciiTheme="majorBidi" w:hAnsiTheme="majorBidi" w:cstheme="majorBidi"/>
        </w:rPr>
        <w:t xml:space="preserve">type 2 </w:t>
      </w:r>
      <w:r w:rsidRPr="00E05D0F">
        <w:rPr>
          <w:rFonts w:asciiTheme="majorBidi" w:hAnsiTheme="majorBidi" w:cstheme="majorBidi"/>
        </w:rPr>
        <w:t xml:space="preserve">diabetes </w:t>
      </w:r>
      <w:r w:rsidR="00D943F2" w:rsidRPr="00E05D0F">
        <w:rPr>
          <w:rFonts w:asciiTheme="majorBidi" w:hAnsiTheme="majorBidi" w:cstheme="majorBidi"/>
        </w:rPr>
        <w:t xml:space="preserve">mellitus (T2DM) </w:t>
      </w:r>
      <w:r w:rsidRPr="00E05D0F">
        <w:rPr>
          <w:rFonts w:asciiTheme="majorBidi" w:hAnsiTheme="majorBidi" w:cstheme="majorBidi"/>
        </w:rPr>
        <w:t>are affected by this condition</w:t>
      </w:r>
      <w:r w:rsidR="00855AEB" w:rsidRPr="00E05D0F">
        <w:rPr>
          <w:rFonts w:asciiTheme="majorBidi" w:hAnsiTheme="majorBidi" w:cstheme="majorBidi"/>
        </w:rPr>
        <w:t>.</w:t>
      </w:r>
      <w:r w:rsidR="00D943F2" w:rsidRPr="00E05D0F">
        <w:rPr>
          <w:rFonts w:asciiTheme="majorBidi" w:hAnsiTheme="majorBidi" w:cstheme="majorBidi"/>
        </w:rPr>
        <w:t xml:space="preserve"> </w:t>
      </w:r>
      <w:r w:rsidR="00565B6D" w:rsidRPr="00250BB7">
        <w:rPr>
          <w:rFonts w:asciiTheme="majorBidi" w:hAnsiTheme="majorBidi" w:cstheme="majorBidi"/>
          <w:vertAlign w:val="superscript"/>
        </w:rPr>
        <w:fldChar w:fldCharType="begin"/>
      </w:r>
      <w:r w:rsidR="00451511" w:rsidRPr="00250BB7">
        <w:rPr>
          <w:rFonts w:asciiTheme="majorBidi" w:hAnsiTheme="majorBidi" w:cstheme="majorBidi"/>
          <w:vertAlign w:val="superscript"/>
        </w:rPr>
        <w:instrText xml:space="preserve"> ADDIN ZOTERO_ITEM CSL_CITATION {"citationID":"puGRTUqm","properties":{"formattedCitation":"(3)","plainCitation":"(3)","noteIndex":0},"citationItems":[{"id":61,"uris":["http://zotero.org/users/local/IUvTSyB4/items/GS7HVHGH"],"itemData":{"id":61,"type":"article-journal","abstract":"Objective\nThe aim of this study was to assess the prevalence of diabetic peripheral neuropathy (DPN) and associated risk factors among patients with type 1 (T1D) and type 2 diabetes (T2D).\nMethods\nA total of 141 patients with T1D and 844 patients with T2D mostly from primary care practices were enrolled in our register initiative. DPN was assessed using the Neuropathy Symptom Score (NSS) and Neuropathy Deficit Score (NDS). Data were analyzed by bivariate and multivariate logistic regression.\nResults\nThe overall prevalence of DPN in the cohort was 40.3% [95% CI: 37.3-43.3%], 29.1% [22.0-36.9%] among patients with T1D and 42.2% [38.9-45.6%] with T2D (p&lt;0.005). DPN prevalence increased with age from 11.9% [4.5-20.9%] aged ≤40 years up to &gt;50% [47.7-57.5%] aged &gt;70 years (p&lt;0.001). The diabetes duration subclassification revealed a high DPN-prevalence of 35% [15.0-55.0%] among patients with T2D at time of diagnosis. A significant increase of prevalence was present 5 and 25 years following T1D and 25 years following T2D diagnosis (p&lt;0.001). DPN risk factors were “older age” (OR [95% CI]: 1.05 [1.02-1.08], p&lt;0.005) and loss of consciousness due to severe hypoglycemia episodes (OR [95% CI]: 10.28 [1.70-62.01], p&lt;0.05) for T1D and “older age” (OR [95% CI]: 1.02 [1.00-1.04], p=0.056) and the presence of a cardiovascular-metabolic profile (obesity, hypertension, low HDL-c levels, elevated triglycerides, low physical activity and limited range of motion) for T2D. Furthermore, co-morbidities such as diabetic nephropathy (OR [95% CI]: 1.92 [1.14-3.22]), retinopathy (OR [95% CI]: 1.87 [1.10-3.18]) and peripheral artery disease (OR [95% CI]: 1.81 [1.07-3.08]) were independently associated with DPN (p&lt;0.05).\nConclusions\nHigh rates of DPN among outpatients with diabetes suggest the need for early screening, especially in individuals that present with a plethora of co-morbidities. Diabetes treatment regimens that preclude a cardiovascular-metabolic risk profile and episodes of severe hypoglycemia should be sought, given that such episodes are more common among patients suffering from DPN.","collection-title":"Obesity and Cardiometabolic Disease","container-title":"Endocrine and Metabolic Science","DOI":"10.1016/j.endmts.2020.100053","ISSN":"2666-3961","issue":"1","journalAbbreviation":"Endocrine and Metabolic Science","page":"100053","source":"ScienceDirect","title":"Prevalence and risk factors of diabetic peripheral neuropathy in a diabetics cohort: Register initiative “diabetes and nerves”","title-short":"Prevalence and risk factors of diabetic peripheral neuropathy in a diabetics cohort","volume":"1","author":[{"family":"Pfannkuche","given":"André"},{"family":"Alhajjar","given":"Ahmad"},{"family":"Ming","given":"Antao"},{"family":"Walter","given":"Isabell"},{"family":"Piehler","given":"Claudia"},{"family":"Mertens","given":"Peter R."}],"issued":{"date-parts":[["2020",7,1]]}}}],"schema":"https://github.com/citation-style-language/schema/raw/master/csl-citation.json"} </w:instrText>
      </w:r>
      <w:r w:rsidR="00565B6D" w:rsidRPr="00250BB7">
        <w:rPr>
          <w:rFonts w:asciiTheme="majorBidi" w:hAnsiTheme="majorBidi" w:cstheme="majorBidi"/>
          <w:vertAlign w:val="superscript"/>
        </w:rPr>
        <w:fldChar w:fldCharType="separate"/>
      </w:r>
      <w:r w:rsidR="00250BB7" w:rsidRPr="00250BB7">
        <w:rPr>
          <w:rFonts w:asciiTheme="majorBidi" w:hAnsiTheme="majorBidi" w:cstheme="majorBidi"/>
          <w:vertAlign w:val="superscript"/>
        </w:rPr>
        <w:t>[</w:t>
      </w:r>
      <w:r w:rsidR="00451511" w:rsidRPr="00250BB7">
        <w:rPr>
          <w:rFonts w:asciiTheme="majorBidi" w:hAnsiTheme="majorBidi" w:cstheme="majorBidi"/>
          <w:vertAlign w:val="superscript"/>
        </w:rPr>
        <w:t>3</w:t>
      </w:r>
      <w:r w:rsidR="00565B6D" w:rsidRPr="00250BB7">
        <w:rPr>
          <w:rFonts w:asciiTheme="majorBidi" w:hAnsiTheme="majorBidi" w:cstheme="majorBidi"/>
          <w:vertAlign w:val="superscript"/>
        </w:rPr>
        <w:fldChar w:fldCharType="end"/>
      </w:r>
      <w:r w:rsidR="00250BB7" w:rsidRPr="00250BB7">
        <w:rPr>
          <w:rFonts w:asciiTheme="majorBidi" w:hAnsiTheme="majorBidi" w:cstheme="majorBidi"/>
          <w:vertAlign w:val="superscript"/>
        </w:rPr>
        <w:t>]</w:t>
      </w:r>
      <w:r w:rsidR="00451511" w:rsidRPr="00E05D0F">
        <w:rPr>
          <w:rFonts w:asciiTheme="majorBidi" w:hAnsiTheme="majorBidi" w:cstheme="majorBidi"/>
        </w:rPr>
        <w:t xml:space="preserve"> </w:t>
      </w:r>
      <w:r w:rsidR="00D943F2" w:rsidRPr="00E05D0F">
        <w:rPr>
          <w:rFonts w:asciiTheme="majorBidi" w:hAnsiTheme="majorBidi" w:cstheme="majorBidi"/>
        </w:rPr>
        <w:t>E</w:t>
      </w:r>
      <w:r w:rsidR="00855AEB" w:rsidRPr="00E05D0F">
        <w:rPr>
          <w:rFonts w:asciiTheme="majorBidi" w:hAnsiTheme="majorBidi" w:cstheme="majorBidi"/>
        </w:rPr>
        <w:t xml:space="preserve">levated serum glucose </w:t>
      </w:r>
      <w:r w:rsidR="008E51D4" w:rsidRPr="00E05D0F">
        <w:rPr>
          <w:rFonts w:asciiTheme="majorBidi" w:hAnsiTheme="majorBidi" w:cstheme="majorBidi"/>
        </w:rPr>
        <w:t xml:space="preserve">levels </w:t>
      </w:r>
      <w:r w:rsidR="00855AEB" w:rsidRPr="00E05D0F">
        <w:rPr>
          <w:rFonts w:asciiTheme="majorBidi" w:hAnsiTheme="majorBidi" w:cstheme="majorBidi"/>
        </w:rPr>
        <w:t>ind</w:t>
      </w:r>
      <w:r w:rsidR="008E51D4" w:rsidRPr="00E05D0F">
        <w:rPr>
          <w:rFonts w:asciiTheme="majorBidi" w:hAnsiTheme="majorBidi" w:cstheme="majorBidi"/>
        </w:rPr>
        <w:t>uce</w:t>
      </w:r>
      <w:r w:rsidR="00855AEB" w:rsidRPr="00E05D0F">
        <w:rPr>
          <w:rFonts w:asciiTheme="majorBidi" w:hAnsiTheme="majorBidi" w:cstheme="majorBidi"/>
        </w:rPr>
        <w:t xml:space="preserve"> insulin resistance, dyslipidemia, and oxidative stress in the endoplasmic reticulum and mitochondria, leading to </w:t>
      </w:r>
      <w:r w:rsidR="00D943F2" w:rsidRPr="00E05D0F">
        <w:rPr>
          <w:rFonts w:asciiTheme="majorBidi" w:hAnsiTheme="majorBidi" w:cstheme="majorBidi"/>
        </w:rPr>
        <w:t>reactive oxygen species (</w:t>
      </w:r>
      <w:r w:rsidR="00855AEB" w:rsidRPr="00E05D0F">
        <w:rPr>
          <w:rFonts w:asciiTheme="majorBidi" w:hAnsiTheme="majorBidi" w:cstheme="majorBidi"/>
        </w:rPr>
        <w:t>ROS</w:t>
      </w:r>
      <w:r w:rsidR="00D943F2" w:rsidRPr="00E05D0F">
        <w:rPr>
          <w:rFonts w:asciiTheme="majorBidi" w:hAnsiTheme="majorBidi" w:cstheme="majorBidi"/>
        </w:rPr>
        <w:t>)</w:t>
      </w:r>
      <w:r w:rsidR="00855AEB" w:rsidRPr="00E05D0F">
        <w:rPr>
          <w:rFonts w:asciiTheme="majorBidi" w:hAnsiTheme="majorBidi" w:cstheme="majorBidi"/>
        </w:rPr>
        <w:t xml:space="preserve"> accumulation, inflammation, </w:t>
      </w:r>
      <w:r w:rsidR="00D86881" w:rsidRPr="00E05D0F">
        <w:rPr>
          <w:rFonts w:asciiTheme="majorBidi" w:hAnsiTheme="majorBidi" w:cstheme="majorBidi"/>
        </w:rPr>
        <w:t>mitochondrial dysfunction</w:t>
      </w:r>
      <w:r w:rsidR="008E51D4" w:rsidRPr="00E05D0F">
        <w:rPr>
          <w:rFonts w:asciiTheme="majorBidi" w:hAnsiTheme="majorBidi" w:cstheme="majorBidi"/>
        </w:rPr>
        <w:t>,</w:t>
      </w:r>
      <w:r w:rsidR="00D86881" w:rsidRPr="00E05D0F">
        <w:rPr>
          <w:rFonts w:asciiTheme="majorBidi" w:hAnsiTheme="majorBidi" w:cstheme="majorBidi"/>
        </w:rPr>
        <w:t xml:space="preserve"> </w:t>
      </w:r>
      <w:r w:rsidR="00855AEB" w:rsidRPr="00E05D0F">
        <w:rPr>
          <w:rFonts w:asciiTheme="majorBidi" w:hAnsiTheme="majorBidi" w:cstheme="majorBidi"/>
        </w:rPr>
        <w:t xml:space="preserve">and </w:t>
      </w:r>
      <w:r w:rsidR="00D86881" w:rsidRPr="00E05D0F">
        <w:rPr>
          <w:rFonts w:asciiTheme="majorBidi" w:hAnsiTheme="majorBidi" w:cstheme="majorBidi"/>
        </w:rPr>
        <w:t xml:space="preserve">nerve cell </w:t>
      </w:r>
      <w:r w:rsidR="00855AEB" w:rsidRPr="00E05D0F">
        <w:rPr>
          <w:rFonts w:asciiTheme="majorBidi" w:hAnsiTheme="majorBidi" w:cstheme="majorBidi"/>
        </w:rPr>
        <w:t>damage.</w:t>
      </w:r>
      <w:r w:rsidR="0095549C" w:rsidRPr="00E05D0F">
        <w:rPr>
          <w:rFonts w:asciiTheme="majorBidi" w:hAnsiTheme="majorBidi" w:cstheme="majorBidi"/>
        </w:rPr>
        <w:t xml:space="preserve"> </w:t>
      </w:r>
      <w:r w:rsidR="00565B6D" w:rsidRPr="001B0B9F">
        <w:rPr>
          <w:rFonts w:asciiTheme="majorBidi" w:hAnsiTheme="majorBidi" w:cstheme="majorBidi"/>
          <w:vertAlign w:val="superscript"/>
        </w:rPr>
        <w:fldChar w:fldCharType="begin"/>
      </w:r>
      <w:r w:rsidR="0095549C" w:rsidRPr="001B0B9F">
        <w:rPr>
          <w:rFonts w:asciiTheme="majorBidi" w:hAnsiTheme="majorBidi" w:cstheme="majorBidi"/>
          <w:vertAlign w:val="superscript"/>
        </w:rPr>
        <w:instrText xml:space="preserve"> ADDIN ZOTERO_ITEM CSL_CITATION {"citationID":"nOCb9EZf","properties":{"formattedCitation":"(1,4)","plainCitation":"(1,4)","noteIndex":0},"citationItems":[{"id":56,"uris":["http://zotero.org/users/local/IUvTSyB4/items/GQAI56RL"],"itemData":{"id":56,"type":"book","abstract":"Diabetic neuropathies are the most common chronic complications of diabetes, with an estimated lifetime prevalence exceeding 50% in people with diabetes. Among various forms of neuropathy, diabetic peripheral neuropathy (DPN) is the most common and has the strongest evidence base regarding therapeutic approaches. This American Diabetes Association clinical compendium summarizes the latest information about screening for, diagnosing, and treating painful DPN in routine clinical practice. It opens with an overview of the epidemiology of DPN, followed by a description of the pathophysiology of the disease and its often severely painful symptoms. The authors recommend a stepwise approach to effectively diagnose DPN and offer a novel perspective on the impact of social determinants of health on the development and management of DPN. They summarizes the latest guidance on effective therapies, including pharmacological oral and topical agents, nutraceutical products, and nonpharmacological therapies, including physical activity and dietary interventions, passive modalities, and energy or nerve stimulation techniques. Throughout the publication, the authors identify knowledge gaps that need to be addressed and advocate a personalized care approach to reduce the burden of painful DPN and optimize quality of life for individuals affected by it.","call-number":"NBK580224","collection-title":"ADA Clinical Compendia Series","event-place":"Arlington (VA)","language":"eng","license":"© 2022 by American Diabetes Association. All rights reserved. None of the contents may be reproduced without the written permission of the American Diabetes Association.","note":"PMID: 35544662","publisher":"American Diabetes Association","publisher-place":"Arlington (VA)","source":"PubMed","title":"Diagnosis and Treatment of Painful Diabetic Peripheral Neuropathy","URL":"http://www.ncbi.nlm.nih.gov/books/NBK580224/","author":[{"family":"Pop-Busui","given":"Rodica"},{"family":"Ang","given":"Lynn"},{"family":"Boulton","given":"Andrew J. M."},{"family":"Feldman","given":"Eva L."},{"family":"Marcus","given":"Robin L."},{"family":"Mizokami-Stout","given":"Kara"},{"family":"Singleton","given":"J. Robinson"},{"family":"Ziegler","given":"Dan"}],"accessed":{"date-parts":[["2025",7,8]]},"issued":{"date-parts":[["2022"]]}}},{"id":63,"uris":["http://zotero.org/users/local/IUvTSyB4/items/KAK5EX5G"],"itemData":{"id":63,"type":"article-journal","abstract":"The pathogenesis of diabetic neuropathy is complex, and various pathogenic pathways have been proposed. A better understanding of the pathophysiology is warranted for developing novel therapeutic strategies. Here, we summarize recent evidence from experiments using animal models of type 1 and type 2 diabetes showing that low-grade intraneural inflammation is a facet of diabetic neuropathy. Our experimental data suggest that these mild inflammatory processes are a likely common terminal pathway in diabetic neuropathy associated with the degeneration of intraepidermal nerve fibers. In contrast to earlier reports claiming toxic effects of high-iron content, we found the opposite, i.e., nutritional iron deficiency caused low-grade inflammation and fiber degeneration while in normal or high non-heme iron nutrition no or only extremely mild inflammatory signs were identified in nerve tissue. Obesity and dyslipidemia also appear to trigger mild inflammation of peripheral nerves, associated with neuropathy even in the absence of overt diabetes mellitus. Our finding may be the experimental analog of recent observations identifying systemic proinflammatory activity in human sensorimotor diabetic neuropathy. In a rat model of type 1 diabetes, a mild neuropathy with inflammatory components could be induced by insulin treatment causing an abrupt reduction in HbA1c. This is in line with observations in patients with severe diabetes developing a small fiber neuropathy upon treatment-induced rapid HbA1c reduction. If the inflammatory pathogenesis could be further substantiated by data from human tissues and intervention studies, anti-inflammatory compounds with different modes of action may become candidates for the treatment or prevention of diabetic neuropathy.","container-title":"International Journal of Molecular Sciences","DOI":"10.3390/ijms221910835","ISSN":"1422-0067","issue":"19","journalAbbreviation":"Int J Mol Sci","language":"eng","note":"PMID: 34639176\nPMCID: PMC8509236","page":"10835","source":"PubMed","title":"Inflammatory Mechanisms in the Pathophysiology of Diabetic Peripheral Neuropathy (DN)-New Aspects","volume":"22","author":[{"family":"Baum","given":"Petra"},{"family":"Toyka","given":"Klaus V."},{"family":"Blüher","given":"Matthias"},{"family":"Kosacka","given":"Joanna"},{"family":"Nowicki","given":"Marcin"}],"issued":{"date-parts":[["2021",10,7]]}}}],"schema":"https://github.com/citation-style-language/schema/raw/master/csl-citation.json"} </w:instrText>
      </w:r>
      <w:r w:rsidR="00565B6D" w:rsidRPr="001B0B9F">
        <w:rPr>
          <w:rFonts w:asciiTheme="majorBidi" w:hAnsiTheme="majorBidi" w:cstheme="majorBidi"/>
          <w:vertAlign w:val="superscript"/>
        </w:rPr>
        <w:fldChar w:fldCharType="separate"/>
      </w:r>
      <w:r w:rsidR="001B0B9F" w:rsidRPr="001B0B9F">
        <w:rPr>
          <w:rFonts w:asciiTheme="majorBidi" w:hAnsiTheme="majorBidi" w:cstheme="majorBidi"/>
          <w:vertAlign w:val="superscript"/>
        </w:rPr>
        <w:t>[</w:t>
      </w:r>
      <w:r w:rsidR="0095549C" w:rsidRPr="001B0B9F">
        <w:rPr>
          <w:rFonts w:asciiTheme="majorBidi" w:hAnsiTheme="majorBidi" w:cstheme="majorBidi"/>
          <w:vertAlign w:val="superscript"/>
        </w:rPr>
        <w:t>1,4</w:t>
      </w:r>
      <w:r w:rsidR="00565B6D" w:rsidRPr="001B0B9F">
        <w:rPr>
          <w:rFonts w:asciiTheme="majorBidi" w:hAnsiTheme="majorBidi" w:cstheme="majorBidi"/>
          <w:vertAlign w:val="superscript"/>
        </w:rPr>
        <w:fldChar w:fldCharType="end"/>
      </w:r>
      <w:r w:rsidR="001B0B9F" w:rsidRPr="001B0B9F">
        <w:rPr>
          <w:rFonts w:asciiTheme="majorBidi" w:hAnsiTheme="majorBidi" w:cstheme="majorBidi"/>
          <w:vertAlign w:val="superscript"/>
        </w:rPr>
        <w:t>]</w:t>
      </w:r>
      <w:r w:rsidR="00D943F2" w:rsidRPr="00E05D0F">
        <w:rPr>
          <w:rFonts w:asciiTheme="majorBidi" w:hAnsiTheme="majorBidi" w:cstheme="majorBidi"/>
        </w:rPr>
        <w:t xml:space="preserve"> </w:t>
      </w:r>
      <w:r w:rsidR="00403BA1" w:rsidRPr="00E05D0F">
        <w:rPr>
          <w:rFonts w:asciiTheme="majorBidi" w:hAnsiTheme="majorBidi" w:cstheme="majorBidi"/>
        </w:rPr>
        <w:t xml:space="preserve">The exact description of such </w:t>
      </w:r>
      <w:r w:rsidR="008E51D4" w:rsidRPr="00E05D0F">
        <w:rPr>
          <w:rFonts w:asciiTheme="majorBidi" w:hAnsiTheme="majorBidi" w:cstheme="majorBidi"/>
        </w:rPr>
        <w:t xml:space="preserve">a </w:t>
      </w:r>
      <w:r w:rsidR="00403BA1" w:rsidRPr="00E05D0F">
        <w:rPr>
          <w:rFonts w:asciiTheme="majorBidi" w:hAnsiTheme="majorBidi" w:cstheme="majorBidi"/>
        </w:rPr>
        <w:t xml:space="preserve">disease is not mentioned in </w:t>
      </w:r>
      <w:r w:rsidR="008E51D4" w:rsidRPr="00E05D0F">
        <w:rPr>
          <w:rFonts w:asciiTheme="majorBidi" w:hAnsiTheme="majorBidi" w:cstheme="majorBidi"/>
        </w:rPr>
        <w:t>Unani System of Medicine (</w:t>
      </w:r>
      <w:r w:rsidR="00403BA1" w:rsidRPr="00E05D0F">
        <w:rPr>
          <w:rFonts w:asciiTheme="majorBidi" w:hAnsiTheme="majorBidi" w:cstheme="majorBidi"/>
        </w:rPr>
        <w:t>USM</w:t>
      </w:r>
      <w:r w:rsidR="008E51D4" w:rsidRPr="00E05D0F">
        <w:rPr>
          <w:rFonts w:asciiTheme="majorBidi" w:hAnsiTheme="majorBidi" w:cstheme="majorBidi"/>
        </w:rPr>
        <w:t>)</w:t>
      </w:r>
      <w:r w:rsidR="00403BA1" w:rsidRPr="00E05D0F">
        <w:rPr>
          <w:rFonts w:asciiTheme="majorBidi" w:hAnsiTheme="majorBidi" w:cstheme="majorBidi"/>
        </w:rPr>
        <w:t xml:space="preserve">, but a similar condition has </w:t>
      </w:r>
      <w:r w:rsidR="008E51D4" w:rsidRPr="00E05D0F">
        <w:rPr>
          <w:rFonts w:asciiTheme="majorBidi" w:hAnsiTheme="majorBidi" w:cstheme="majorBidi"/>
        </w:rPr>
        <w:t xml:space="preserve">been </w:t>
      </w:r>
      <w:r w:rsidR="00403BA1" w:rsidRPr="00E05D0F">
        <w:rPr>
          <w:rFonts w:asciiTheme="majorBidi" w:hAnsiTheme="majorBidi" w:cstheme="majorBidi"/>
        </w:rPr>
        <w:t>described and treated successfully</w:t>
      </w:r>
      <w:r w:rsidR="008E51D4" w:rsidRPr="00E05D0F">
        <w:rPr>
          <w:rFonts w:asciiTheme="majorBidi" w:hAnsiTheme="majorBidi" w:cstheme="majorBidi"/>
        </w:rPr>
        <w:t>,</w:t>
      </w:r>
      <w:r w:rsidR="00403BA1" w:rsidRPr="00E05D0F">
        <w:rPr>
          <w:rFonts w:asciiTheme="majorBidi" w:hAnsiTheme="majorBidi" w:cstheme="majorBidi"/>
        </w:rPr>
        <w:t xml:space="preserve"> known as </w:t>
      </w:r>
      <w:r w:rsidR="00403BA1" w:rsidRPr="00E05D0F">
        <w:rPr>
          <w:rFonts w:asciiTheme="majorBidi" w:hAnsiTheme="majorBidi" w:cstheme="majorBidi"/>
          <w:i/>
          <w:iCs/>
        </w:rPr>
        <w:t>Waja-ul-Asab</w:t>
      </w:r>
      <w:r w:rsidR="00403BA1" w:rsidRPr="00E05D0F">
        <w:rPr>
          <w:rFonts w:asciiTheme="majorBidi" w:hAnsiTheme="majorBidi" w:cstheme="majorBidi"/>
        </w:rPr>
        <w:t xml:space="preserve"> (</w:t>
      </w:r>
      <w:r w:rsidR="008E51D4" w:rsidRPr="00E05D0F">
        <w:rPr>
          <w:rFonts w:asciiTheme="majorBidi" w:hAnsiTheme="majorBidi" w:cstheme="majorBidi"/>
        </w:rPr>
        <w:t>~</w:t>
      </w:r>
      <w:r w:rsidR="00403BA1" w:rsidRPr="00E05D0F">
        <w:rPr>
          <w:rFonts w:asciiTheme="majorBidi" w:hAnsiTheme="majorBidi" w:cstheme="majorBidi"/>
        </w:rPr>
        <w:t>neuropathic pain)</w:t>
      </w:r>
      <w:r w:rsidR="0079580D" w:rsidRPr="00E05D0F">
        <w:rPr>
          <w:rFonts w:asciiTheme="majorBidi" w:hAnsiTheme="majorBidi" w:cstheme="majorBidi"/>
        </w:rPr>
        <w:t xml:space="preserve"> or </w:t>
      </w:r>
      <w:r w:rsidR="0079580D" w:rsidRPr="00E05D0F">
        <w:rPr>
          <w:rFonts w:asciiTheme="majorBidi" w:hAnsiTheme="majorBidi" w:cstheme="majorBidi"/>
          <w:i/>
          <w:iCs/>
        </w:rPr>
        <w:t>Khadar</w:t>
      </w:r>
      <w:r w:rsidR="0079580D" w:rsidRPr="00E05D0F">
        <w:rPr>
          <w:rFonts w:asciiTheme="majorBidi" w:hAnsiTheme="majorBidi" w:cstheme="majorBidi"/>
        </w:rPr>
        <w:t xml:space="preserve"> (</w:t>
      </w:r>
      <w:r w:rsidR="008E51D4" w:rsidRPr="00E05D0F">
        <w:rPr>
          <w:rFonts w:asciiTheme="majorBidi" w:hAnsiTheme="majorBidi" w:cstheme="majorBidi"/>
        </w:rPr>
        <w:t>~</w:t>
      </w:r>
      <w:r w:rsidR="0079580D" w:rsidRPr="00E05D0F">
        <w:rPr>
          <w:rFonts w:asciiTheme="majorBidi" w:hAnsiTheme="majorBidi" w:cstheme="majorBidi"/>
        </w:rPr>
        <w:t>numbness)</w:t>
      </w:r>
      <w:r w:rsidR="008E51D4" w:rsidRPr="00E05D0F">
        <w:rPr>
          <w:rFonts w:asciiTheme="majorBidi" w:hAnsiTheme="majorBidi" w:cstheme="majorBidi"/>
        </w:rPr>
        <w:t>,</w:t>
      </w:r>
      <w:r w:rsidR="0079580D" w:rsidRPr="00E05D0F">
        <w:rPr>
          <w:rFonts w:asciiTheme="majorBidi" w:hAnsiTheme="majorBidi" w:cstheme="majorBidi"/>
        </w:rPr>
        <w:t xml:space="preserve"> which are attributed to humoral imbalances developed in nerves, primarily due to</w:t>
      </w:r>
      <w:r w:rsidR="008E51D4" w:rsidRPr="00E05D0F">
        <w:rPr>
          <w:rFonts w:asciiTheme="majorBidi" w:hAnsiTheme="majorBidi" w:cstheme="majorBidi"/>
        </w:rPr>
        <w:t xml:space="preserve"> the</w:t>
      </w:r>
      <w:r w:rsidR="0079580D" w:rsidRPr="00E05D0F">
        <w:rPr>
          <w:rFonts w:asciiTheme="majorBidi" w:hAnsiTheme="majorBidi" w:cstheme="majorBidi"/>
        </w:rPr>
        <w:t xml:space="preserve"> accumulation of morbid </w:t>
      </w:r>
      <w:r w:rsidR="0079580D" w:rsidRPr="00E05D0F">
        <w:rPr>
          <w:rFonts w:asciiTheme="majorBidi" w:hAnsiTheme="majorBidi" w:cstheme="majorBidi"/>
          <w:i/>
          <w:iCs/>
        </w:rPr>
        <w:t>Khilt Balgham</w:t>
      </w:r>
      <w:r w:rsidR="0079580D" w:rsidRPr="00E05D0F">
        <w:rPr>
          <w:rFonts w:asciiTheme="majorBidi" w:hAnsiTheme="majorBidi" w:cstheme="majorBidi"/>
        </w:rPr>
        <w:t xml:space="preserve"> (</w:t>
      </w:r>
      <w:r w:rsidR="008E51D4" w:rsidRPr="00E05D0F">
        <w:rPr>
          <w:rFonts w:asciiTheme="majorBidi" w:hAnsiTheme="majorBidi" w:cstheme="majorBidi"/>
        </w:rPr>
        <w:t>~</w:t>
      </w:r>
      <w:r w:rsidR="0079580D" w:rsidRPr="00E05D0F">
        <w:rPr>
          <w:rFonts w:asciiTheme="majorBidi" w:hAnsiTheme="majorBidi" w:cstheme="majorBidi"/>
        </w:rPr>
        <w:t>phlegm humor)</w:t>
      </w:r>
      <w:r w:rsidR="00403BA1" w:rsidRPr="00E05D0F">
        <w:rPr>
          <w:rFonts w:asciiTheme="majorBidi" w:hAnsiTheme="majorBidi" w:cstheme="majorBidi"/>
        </w:rPr>
        <w:t>.</w:t>
      </w:r>
      <w:r w:rsidR="0095549C" w:rsidRPr="00E05D0F">
        <w:rPr>
          <w:rFonts w:asciiTheme="majorBidi" w:hAnsiTheme="majorBidi" w:cstheme="majorBidi"/>
        </w:rPr>
        <w:t xml:space="preserve"> </w:t>
      </w:r>
      <w:r w:rsidR="00565B6D" w:rsidRPr="001B0B9F">
        <w:rPr>
          <w:rFonts w:asciiTheme="majorBidi" w:hAnsiTheme="majorBidi" w:cstheme="majorBidi"/>
          <w:vertAlign w:val="superscript"/>
        </w:rPr>
        <w:fldChar w:fldCharType="begin"/>
      </w:r>
      <w:r w:rsidR="0095549C" w:rsidRPr="001B0B9F">
        <w:rPr>
          <w:rFonts w:asciiTheme="majorBidi" w:hAnsiTheme="majorBidi" w:cstheme="majorBidi"/>
          <w:vertAlign w:val="superscript"/>
        </w:rPr>
        <w:instrText xml:space="preserve"> ADDIN ZOTERO_ITEM CSL_CITATION {"citationID":"z3UPUaEE","properties":{"formattedCitation":"(5,6)","plainCitation":"(5,6)","noteIndex":0},"citationItems":[{"id":68,"uris":["http://zotero.org/users/local/IUvTSyB4/items/ZGNKZKU6"],"itemData":{"id":68,"type":"book","title":"Sina I. Al-Qanoon Fit-Tib (urdu translation). New Delhi: Idrar Kitabus Shifa: p 126-129."}},{"id":66,"uris":["http://zotero.org/users/local/IUvTSyB4/items/I2W9NMEF"],"itemData":{"id":66,"type":"article-journal","abstract":"Background: Diabetes  is  a  major  global  health  concern  in  the  twenty-first  century.  The  International Diabetes Federation (IDF) estimates that by the end of 2021, complications from  diabetes would have killed 747,000 peoples in India. Diabetic peripheral neuropathy (DPN)  is a disorder that develops in patients with diabetes (type 1 and type 2) and is not attributable  to any other peripheral neuropathy causes. Clinically, it may manifest as burning, tingling,  numbness, or neuropathic pain in the foot that tends to get worse at night. DPN frequently  results in ulceration, infection, deterioration of the skin, and ultimately amputation. Methods: This study will be conducted as randomized standard-controlled, single-blind  trial on 150 DPN subjects with type 2 diabetes by randomly assigned them to two groups  (test or standard), where test group will receive two capsules twice (containing 500 mg  powder of test drug in each capsule) with water and control group will receive one capsule of  pregabalin 75 mg twice. Both groups will be treated for 60 days with 30 days post treatment  follow-up addition to their regular anti-diabetic treatment. The subjective parameters of  burning, tingling, and pain in the feet will be evaluated every two weeks using the visual  analog scale (VAS) and arbitrary scale. Objective parameters, Toronto Clinical Scoring  System (TCSS) will be assessed fortnightly along with vibratory perception threshold (VPT),  assessed pre and post-treatment. Data will be assessed statistically with appropriate tests.","container-title":"International Research Journal of Ayurveda and Yoga","DOI":"10.48165/IRJAY.2024.71103","ISSN":"2581-785X","issue":"11","language":"en","license":"Copyright (c) 2024 Mohd   Shahid, Mohd Aleemuddin Quamri (Author)","note":"number: 11","page":"16-23","source":"journals.acspublisher.com","title":"A Study Protocol on the Evaluation of Comparative Efficacy of Waj (Acorus calamus Linn.) versus Pregabalin in Diabetic Peripheral Neuropathy","volume":"7","author":[{"family":"Shahid","given":"Mohd"},{"family":"Quamri","given":"Mohd Aleemuddin"}],"issued":{"date-parts":[["2024",11,30]]}}}],"schema":"https://github.com/citation-style-language/schema/raw/master/csl-citation.json"} </w:instrText>
      </w:r>
      <w:r w:rsidR="00565B6D" w:rsidRPr="001B0B9F">
        <w:rPr>
          <w:rFonts w:asciiTheme="majorBidi" w:hAnsiTheme="majorBidi" w:cstheme="majorBidi"/>
          <w:vertAlign w:val="superscript"/>
        </w:rPr>
        <w:fldChar w:fldCharType="separate"/>
      </w:r>
      <w:r w:rsidR="001B0B9F" w:rsidRPr="001B0B9F">
        <w:rPr>
          <w:rFonts w:asciiTheme="majorBidi" w:hAnsiTheme="majorBidi" w:cstheme="majorBidi"/>
          <w:vertAlign w:val="superscript"/>
        </w:rPr>
        <w:t>[</w:t>
      </w:r>
      <w:r w:rsidR="0095549C" w:rsidRPr="001B0B9F">
        <w:rPr>
          <w:rFonts w:asciiTheme="majorBidi" w:hAnsiTheme="majorBidi" w:cstheme="majorBidi"/>
          <w:vertAlign w:val="superscript"/>
        </w:rPr>
        <w:t>5,6</w:t>
      </w:r>
      <w:r w:rsidR="00565B6D" w:rsidRPr="001B0B9F">
        <w:rPr>
          <w:rFonts w:asciiTheme="majorBidi" w:hAnsiTheme="majorBidi" w:cstheme="majorBidi"/>
          <w:vertAlign w:val="superscript"/>
        </w:rPr>
        <w:fldChar w:fldCharType="end"/>
      </w:r>
      <w:r w:rsidR="001B0B9F" w:rsidRPr="001B0B9F">
        <w:rPr>
          <w:rFonts w:asciiTheme="majorBidi" w:hAnsiTheme="majorBidi" w:cstheme="majorBidi"/>
          <w:vertAlign w:val="superscript"/>
        </w:rPr>
        <w:t>]</w:t>
      </w:r>
      <w:r w:rsidR="00403BA1" w:rsidRPr="00E05D0F">
        <w:rPr>
          <w:rFonts w:asciiTheme="majorBidi" w:hAnsiTheme="majorBidi" w:cstheme="majorBidi"/>
        </w:rPr>
        <w:t xml:space="preserve"> </w:t>
      </w:r>
      <w:r w:rsidR="003F19AA" w:rsidRPr="00E05D0F">
        <w:rPr>
          <w:rFonts w:asciiTheme="majorBidi" w:hAnsiTheme="majorBidi" w:cstheme="majorBidi"/>
        </w:rPr>
        <w:t xml:space="preserve">This </w:t>
      </w:r>
      <w:r w:rsidR="00403BA1" w:rsidRPr="00E05D0F">
        <w:rPr>
          <w:rFonts w:asciiTheme="majorBidi" w:hAnsiTheme="majorBidi" w:cstheme="majorBidi"/>
        </w:rPr>
        <w:t xml:space="preserve">long standing complication of </w:t>
      </w:r>
      <w:r w:rsidR="003F19AA" w:rsidRPr="00E05D0F">
        <w:rPr>
          <w:rFonts w:asciiTheme="majorBidi" w:hAnsiTheme="majorBidi" w:cstheme="majorBidi"/>
        </w:rPr>
        <w:t xml:space="preserve">DM </w:t>
      </w:r>
      <w:r w:rsidR="00403BA1" w:rsidRPr="00E05D0F">
        <w:rPr>
          <w:rFonts w:asciiTheme="majorBidi" w:hAnsiTheme="majorBidi" w:cstheme="majorBidi"/>
        </w:rPr>
        <w:t>affecting peripheral nerves</w:t>
      </w:r>
      <w:r w:rsidR="008E51D4" w:rsidRPr="00E05D0F">
        <w:rPr>
          <w:rFonts w:asciiTheme="majorBidi" w:hAnsiTheme="majorBidi" w:cstheme="majorBidi"/>
        </w:rPr>
        <w:t xml:space="preserve"> is</w:t>
      </w:r>
      <w:r w:rsidR="00403BA1" w:rsidRPr="00E05D0F">
        <w:rPr>
          <w:rFonts w:asciiTheme="majorBidi" w:hAnsiTheme="majorBidi" w:cstheme="majorBidi"/>
        </w:rPr>
        <w:t xml:space="preserve"> managed by strict</w:t>
      </w:r>
      <w:r w:rsidR="003F19AA" w:rsidRPr="00E05D0F">
        <w:rPr>
          <w:rFonts w:asciiTheme="majorBidi" w:hAnsiTheme="majorBidi" w:cstheme="majorBidi"/>
        </w:rPr>
        <w:t xml:space="preserve"> control</w:t>
      </w:r>
      <w:r w:rsidR="00403BA1" w:rsidRPr="00E05D0F">
        <w:rPr>
          <w:rFonts w:asciiTheme="majorBidi" w:hAnsiTheme="majorBidi" w:cstheme="majorBidi"/>
        </w:rPr>
        <w:t xml:space="preserve"> of blood sugar level</w:t>
      </w:r>
      <w:r w:rsidR="008E51D4" w:rsidRPr="00E05D0F">
        <w:rPr>
          <w:rFonts w:asciiTheme="majorBidi" w:hAnsiTheme="majorBidi" w:cstheme="majorBidi"/>
        </w:rPr>
        <w:t>s</w:t>
      </w:r>
      <w:r w:rsidR="00403BA1" w:rsidRPr="00E05D0F">
        <w:rPr>
          <w:rFonts w:asciiTheme="majorBidi" w:hAnsiTheme="majorBidi" w:cstheme="majorBidi"/>
        </w:rPr>
        <w:t xml:space="preserve"> and </w:t>
      </w:r>
      <w:r w:rsidR="008E51D4" w:rsidRPr="00E05D0F">
        <w:rPr>
          <w:rFonts w:asciiTheme="majorBidi" w:hAnsiTheme="majorBidi" w:cstheme="majorBidi"/>
        </w:rPr>
        <w:t xml:space="preserve">the use of </w:t>
      </w:r>
      <w:r w:rsidR="003F19AA" w:rsidRPr="00E05D0F">
        <w:rPr>
          <w:rFonts w:asciiTheme="majorBidi" w:hAnsiTheme="majorBidi" w:cstheme="majorBidi"/>
        </w:rPr>
        <w:t xml:space="preserve">pharmaceutical agents such </w:t>
      </w:r>
      <w:r w:rsidR="00403BA1" w:rsidRPr="00E05D0F">
        <w:rPr>
          <w:rFonts w:asciiTheme="majorBidi" w:hAnsiTheme="majorBidi" w:cstheme="majorBidi"/>
        </w:rPr>
        <w:t xml:space="preserve">as analgesics, antidepressants, </w:t>
      </w:r>
      <w:r w:rsidR="008E51D4" w:rsidRPr="00E05D0F">
        <w:rPr>
          <w:rFonts w:asciiTheme="majorBidi" w:hAnsiTheme="majorBidi" w:cstheme="majorBidi"/>
        </w:rPr>
        <w:t xml:space="preserve">and </w:t>
      </w:r>
      <w:r w:rsidR="00403BA1" w:rsidRPr="00E05D0F">
        <w:rPr>
          <w:rFonts w:asciiTheme="majorBidi" w:hAnsiTheme="majorBidi" w:cstheme="majorBidi"/>
        </w:rPr>
        <w:t>anticonvulsants.</w:t>
      </w:r>
      <w:r w:rsidR="003F19AA" w:rsidRPr="00E05D0F">
        <w:rPr>
          <w:rFonts w:asciiTheme="majorBidi" w:hAnsiTheme="majorBidi" w:cstheme="majorBidi"/>
        </w:rPr>
        <w:t xml:space="preserve"> </w:t>
      </w:r>
      <w:r w:rsidR="008E51D4" w:rsidRPr="00E05D0F">
        <w:rPr>
          <w:rFonts w:asciiTheme="majorBidi" w:hAnsiTheme="majorBidi" w:cstheme="majorBidi"/>
        </w:rPr>
        <w:t xml:space="preserve">To </w:t>
      </w:r>
      <w:r w:rsidR="003F19AA" w:rsidRPr="00E05D0F">
        <w:rPr>
          <w:rFonts w:asciiTheme="majorBidi" w:hAnsiTheme="majorBidi" w:cstheme="majorBidi"/>
        </w:rPr>
        <w:t>date</w:t>
      </w:r>
      <w:r w:rsidR="008E51D4" w:rsidRPr="00E05D0F">
        <w:rPr>
          <w:rFonts w:asciiTheme="majorBidi" w:hAnsiTheme="majorBidi" w:cstheme="majorBidi"/>
        </w:rPr>
        <w:t>,</w:t>
      </w:r>
      <w:r w:rsidR="003F19AA" w:rsidRPr="00E05D0F">
        <w:rPr>
          <w:rFonts w:asciiTheme="majorBidi" w:hAnsiTheme="majorBidi" w:cstheme="majorBidi"/>
        </w:rPr>
        <w:t xml:space="preserve"> no exact pathogenesis </w:t>
      </w:r>
      <w:r w:rsidR="008E51D4" w:rsidRPr="00E05D0F">
        <w:rPr>
          <w:rFonts w:asciiTheme="majorBidi" w:hAnsiTheme="majorBidi" w:cstheme="majorBidi"/>
        </w:rPr>
        <w:t xml:space="preserve">has been </w:t>
      </w:r>
      <w:r w:rsidR="003F19AA" w:rsidRPr="00E05D0F">
        <w:rPr>
          <w:rFonts w:asciiTheme="majorBidi" w:hAnsiTheme="majorBidi" w:cstheme="majorBidi"/>
        </w:rPr>
        <w:t>established</w:t>
      </w:r>
      <w:r w:rsidR="008E51D4" w:rsidRPr="00E05D0F">
        <w:rPr>
          <w:rFonts w:asciiTheme="majorBidi" w:hAnsiTheme="majorBidi" w:cstheme="majorBidi"/>
        </w:rPr>
        <w:t xml:space="preserve"> and, a</w:t>
      </w:r>
      <w:r w:rsidR="003F19AA" w:rsidRPr="00E05D0F">
        <w:rPr>
          <w:rFonts w:asciiTheme="majorBidi" w:hAnsiTheme="majorBidi" w:cstheme="majorBidi"/>
        </w:rPr>
        <w:t xml:space="preserve"> symptomatic treatment approach </w:t>
      </w:r>
      <w:r w:rsidR="008E51D4" w:rsidRPr="00E05D0F">
        <w:rPr>
          <w:rFonts w:asciiTheme="majorBidi" w:hAnsiTheme="majorBidi" w:cstheme="majorBidi"/>
        </w:rPr>
        <w:t xml:space="preserve">has been </w:t>
      </w:r>
      <w:r w:rsidR="003F19AA" w:rsidRPr="00E05D0F">
        <w:rPr>
          <w:rFonts w:asciiTheme="majorBidi" w:hAnsiTheme="majorBidi" w:cstheme="majorBidi"/>
        </w:rPr>
        <w:t xml:space="preserve">considered. </w:t>
      </w:r>
      <w:r w:rsidR="00552ADA">
        <w:rPr>
          <w:rFonts w:asciiTheme="majorBidi" w:hAnsiTheme="majorBidi" w:cstheme="majorBidi"/>
        </w:rPr>
        <w:t xml:space="preserve">The </w:t>
      </w:r>
      <w:r w:rsidR="0079580D" w:rsidRPr="00E05D0F">
        <w:rPr>
          <w:rFonts w:asciiTheme="majorBidi" w:hAnsiTheme="majorBidi" w:cstheme="majorBidi"/>
        </w:rPr>
        <w:t xml:space="preserve">Food </w:t>
      </w:r>
      <w:r w:rsidR="00B43D36" w:rsidRPr="00E05D0F">
        <w:rPr>
          <w:rFonts w:asciiTheme="majorBidi" w:hAnsiTheme="majorBidi" w:cstheme="majorBidi"/>
        </w:rPr>
        <w:t xml:space="preserve">and </w:t>
      </w:r>
      <w:r w:rsidR="00552ADA">
        <w:rPr>
          <w:rFonts w:asciiTheme="majorBidi" w:hAnsiTheme="majorBidi" w:cstheme="majorBidi"/>
        </w:rPr>
        <w:t>Drug A</w:t>
      </w:r>
      <w:r w:rsidR="0079580D" w:rsidRPr="00E05D0F">
        <w:rPr>
          <w:rFonts w:asciiTheme="majorBidi" w:hAnsiTheme="majorBidi" w:cstheme="majorBidi"/>
        </w:rPr>
        <w:t xml:space="preserve">dministration </w:t>
      </w:r>
      <w:r w:rsidR="00B43D36" w:rsidRPr="00E05D0F">
        <w:rPr>
          <w:rFonts w:asciiTheme="majorBidi" w:hAnsiTheme="majorBidi" w:cstheme="majorBidi"/>
        </w:rPr>
        <w:t xml:space="preserve">(FDA) </w:t>
      </w:r>
      <w:r w:rsidR="0079580D" w:rsidRPr="00E05D0F">
        <w:rPr>
          <w:rFonts w:asciiTheme="majorBidi" w:hAnsiTheme="majorBidi" w:cstheme="majorBidi"/>
        </w:rPr>
        <w:t>approved three agents for symptomatic rel</w:t>
      </w:r>
      <w:r w:rsidR="00B43D36" w:rsidRPr="00E05D0F">
        <w:rPr>
          <w:rFonts w:asciiTheme="majorBidi" w:hAnsiTheme="majorBidi" w:cstheme="majorBidi"/>
        </w:rPr>
        <w:t>ief</w:t>
      </w:r>
      <w:r w:rsidR="0079580D" w:rsidRPr="00E05D0F">
        <w:rPr>
          <w:rFonts w:asciiTheme="majorBidi" w:hAnsiTheme="majorBidi" w:cstheme="majorBidi"/>
        </w:rPr>
        <w:t xml:space="preserve"> of painful DPN</w:t>
      </w:r>
      <w:r w:rsidR="00B43D36" w:rsidRPr="00E05D0F">
        <w:rPr>
          <w:rFonts w:asciiTheme="majorBidi" w:hAnsiTheme="majorBidi" w:cstheme="majorBidi"/>
        </w:rPr>
        <w:t>:</w:t>
      </w:r>
      <w:r w:rsidR="0079580D" w:rsidRPr="00E05D0F">
        <w:rPr>
          <w:rFonts w:asciiTheme="majorBidi" w:hAnsiTheme="majorBidi" w:cstheme="majorBidi"/>
        </w:rPr>
        <w:t xml:space="preserve"> </w:t>
      </w:r>
      <w:r w:rsidR="0079580D" w:rsidRPr="00E05D0F">
        <w:rPr>
          <w:rFonts w:asciiTheme="majorBidi" w:hAnsiTheme="majorBidi" w:cstheme="majorBidi"/>
          <w:shd w:val="clear" w:color="auto" w:fill="FFFFFF"/>
        </w:rPr>
        <w:t>pregabalin, duloxetine, and tapentadol.</w:t>
      </w:r>
      <w:r w:rsidR="0095549C" w:rsidRPr="00E05D0F">
        <w:rPr>
          <w:rFonts w:asciiTheme="majorBidi" w:hAnsiTheme="majorBidi" w:cstheme="majorBidi"/>
          <w:shd w:val="clear" w:color="auto" w:fill="FFFFFF"/>
        </w:rPr>
        <w:t xml:space="preserve"> </w:t>
      </w:r>
      <w:r w:rsidR="00565B6D" w:rsidRPr="001B0B9F">
        <w:rPr>
          <w:rFonts w:asciiTheme="majorBidi" w:hAnsiTheme="majorBidi" w:cstheme="majorBidi"/>
          <w:shd w:val="clear" w:color="auto" w:fill="FFFFFF"/>
          <w:vertAlign w:val="superscript"/>
        </w:rPr>
        <w:fldChar w:fldCharType="begin"/>
      </w:r>
      <w:r w:rsidR="0095549C" w:rsidRPr="001B0B9F">
        <w:rPr>
          <w:rFonts w:asciiTheme="majorBidi" w:hAnsiTheme="majorBidi" w:cstheme="majorBidi"/>
          <w:shd w:val="clear" w:color="auto" w:fill="FFFFFF"/>
          <w:vertAlign w:val="superscript"/>
        </w:rPr>
        <w:instrText xml:space="preserve"> ADDIN ZOTERO_ITEM CSL_CITATION {"citationID":"l9OkLdvv","properties":{"formattedCitation":"(1)","plainCitation":"(1)","noteIndex":0},"citationItems":[{"id":56,"uris":["http://zotero.org/users/local/IUvTSyB4/items/GQAI56RL"],"itemData":{"id":56,"type":"book","abstract":"Diabetic neuropathies are the most common chronic complications of diabetes, with an estimated lifetime prevalence exceeding 50% in people with diabetes. Among various forms of neuropathy, diabetic peripheral neuropathy (DPN) is the most common and has the strongest evidence base regarding therapeutic approaches. This American Diabetes Association clinical compendium summarizes the latest information about screening for, diagnosing, and treating painful DPN in routine clinical practice. It opens with an overview of the epidemiology of DPN, followed by a description of the pathophysiology of the disease and its often severely painful symptoms. The authors recommend a stepwise approach to effectively diagnose DPN and offer a novel perspective on the impact of social determinants of health on the development and management of DPN. They summarizes the latest guidance on effective therapies, including pharmacological oral and topical agents, nutraceutical products, and nonpharmacological therapies, including physical activity and dietary interventions, passive modalities, and energy or nerve stimulation techniques. Throughout the publication, the authors identify knowledge gaps that need to be addressed and advocate a personalized care approach to reduce the burden of painful DPN and optimize quality of life for individuals affected by it.","call-number":"NBK580224","collection-title":"ADA Clinical Compendia Series","event-place":"Arlington (VA)","language":"eng","license":"© 2022 by American Diabetes Association. All rights reserved. None of the contents may be reproduced without the written permission of the American Diabetes Association.","note":"PMID: 35544662","publisher":"American Diabetes Association","publisher-place":"Arlington (VA)","source":"PubMed","title":"Diagnosis and Treatment of Painful Diabetic Peripheral Neuropathy","URL":"http://www.ncbi.nlm.nih.gov/books/NBK580224/","author":[{"family":"Pop-Busui","given":"Rodica"},{"family":"Ang","given":"Lynn"},{"family":"Boulton","given":"Andrew J. M."},{"family":"Feldman","given":"Eva L."},{"family":"Marcus","given":"Robin L."},{"family":"Mizokami-Stout","given":"Kara"},{"family":"Singleton","given":"J. Robinson"},{"family":"Ziegler","given":"Dan"}],"accessed":{"date-parts":[["2025",7,8]]},"issued":{"date-parts":[["2022"]]}}}],"schema":"https://github.com/citation-style-language/schema/raw/master/csl-citation.json"} </w:instrText>
      </w:r>
      <w:r w:rsidR="00565B6D" w:rsidRPr="001B0B9F">
        <w:rPr>
          <w:rFonts w:asciiTheme="majorBidi" w:hAnsiTheme="majorBidi" w:cstheme="majorBidi"/>
          <w:shd w:val="clear" w:color="auto" w:fill="FFFFFF"/>
          <w:vertAlign w:val="superscript"/>
        </w:rPr>
        <w:fldChar w:fldCharType="separate"/>
      </w:r>
      <w:r w:rsidR="001B0B9F" w:rsidRPr="001B0B9F">
        <w:rPr>
          <w:rFonts w:asciiTheme="majorBidi" w:hAnsiTheme="majorBidi" w:cstheme="majorBidi"/>
          <w:vertAlign w:val="superscript"/>
        </w:rPr>
        <w:t>[</w:t>
      </w:r>
      <w:r w:rsidR="0095549C" w:rsidRPr="001B0B9F">
        <w:rPr>
          <w:rFonts w:asciiTheme="majorBidi" w:hAnsiTheme="majorBidi" w:cstheme="majorBidi"/>
          <w:vertAlign w:val="superscript"/>
        </w:rPr>
        <w:t>1</w:t>
      </w:r>
      <w:r w:rsidR="00565B6D" w:rsidRPr="001B0B9F">
        <w:rPr>
          <w:rFonts w:asciiTheme="majorBidi" w:hAnsiTheme="majorBidi" w:cstheme="majorBidi"/>
          <w:shd w:val="clear" w:color="auto" w:fill="FFFFFF"/>
          <w:vertAlign w:val="superscript"/>
        </w:rPr>
        <w:fldChar w:fldCharType="end"/>
      </w:r>
      <w:r w:rsidR="001B0B9F" w:rsidRPr="001B0B9F">
        <w:rPr>
          <w:rFonts w:asciiTheme="majorBidi" w:hAnsiTheme="majorBidi" w:cstheme="majorBidi"/>
          <w:shd w:val="clear" w:color="auto" w:fill="FFFFFF"/>
          <w:vertAlign w:val="superscript"/>
        </w:rPr>
        <w:t>]</w:t>
      </w:r>
      <w:r w:rsidR="0079580D" w:rsidRPr="00E05D0F">
        <w:rPr>
          <w:rFonts w:asciiTheme="majorBidi" w:hAnsiTheme="majorBidi" w:cstheme="majorBidi"/>
        </w:rPr>
        <w:t xml:space="preserve"> </w:t>
      </w:r>
      <w:r w:rsidR="0079580D" w:rsidRPr="00E05D0F">
        <w:rPr>
          <w:rStyle w:val="Emphasis"/>
          <w:rFonts w:asciiTheme="majorBidi" w:hAnsiTheme="majorBidi" w:cstheme="majorBidi"/>
          <w:i w:val="0"/>
          <w:iCs w:val="0"/>
        </w:rPr>
        <w:t>Current Pain and Headache Reports</w:t>
      </w:r>
      <w:r w:rsidR="0079580D" w:rsidRPr="00E05D0F">
        <w:rPr>
          <w:rFonts w:asciiTheme="majorBidi" w:hAnsiTheme="majorBidi" w:cstheme="majorBidi"/>
        </w:rPr>
        <w:t xml:space="preserve"> (2022) </w:t>
      </w:r>
      <w:r w:rsidR="00496456" w:rsidRPr="00E05D0F">
        <w:rPr>
          <w:rFonts w:asciiTheme="majorBidi" w:hAnsiTheme="majorBidi" w:cstheme="majorBidi"/>
        </w:rPr>
        <w:t xml:space="preserve">described </w:t>
      </w:r>
      <w:r w:rsidR="0079580D" w:rsidRPr="00E05D0F">
        <w:rPr>
          <w:rFonts w:asciiTheme="majorBidi" w:hAnsiTheme="majorBidi" w:cstheme="majorBidi"/>
        </w:rPr>
        <w:t xml:space="preserve">a treatment algorithm for </w:t>
      </w:r>
      <w:r w:rsidR="00496456" w:rsidRPr="00E05D0F">
        <w:rPr>
          <w:rFonts w:asciiTheme="majorBidi" w:hAnsiTheme="majorBidi" w:cstheme="majorBidi"/>
        </w:rPr>
        <w:t>DPN</w:t>
      </w:r>
      <w:r w:rsidR="0079580D" w:rsidRPr="00E05D0F">
        <w:rPr>
          <w:rFonts w:asciiTheme="majorBidi" w:hAnsiTheme="majorBidi" w:cstheme="majorBidi"/>
        </w:rPr>
        <w:t xml:space="preserve">, dividing </w:t>
      </w:r>
      <w:r w:rsidR="00496456" w:rsidRPr="00E05D0F">
        <w:rPr>
          <w:rFonts w:asciiTheme="majorBidi" w:hAnsiTheme="majorBidi" w:cstheme="majorBidi"/>
        </w:rPr>
        <w:t>it into first</w:t>
      </w:r>
      <w:r w:rsidR="00B43D36" w:rsidRPr="00E05D0F">
        <w:rPr>
          <w:rFonts w:asciiTheme="majorBidi" w:hAnsiTheme="majorBidi" w:cstheme="majorBidi"/>
        </w:rPr>
        <w:t>-</w:t>
      </w:r>
      <w:r w:rsidR="00496456" w:rsidRPr="00E05D0F">
        <w:rPr>
          <w:rFonts w:asciiTheme="majorBidi" w:hAnsiTheme="majorBidi" w:cstheme="majorBidi"/>
        </w:rPr>
        <w:t>, second</w:t>
      </w:r>
      <w:r w:rsidR="00B43D36" w:rsidRPr="00E05D0F">
        <w:rPr>
          <w:rFonts w:asciiTheme="majorBidi" w:hAnsiTheme="majorBidi" w:cstheme="majorBidi"/>
        </w:rPr>
        <w:t>-</w:t>
      </w:r>
      <w:r w:rsidR="0079580D" w:rsidRPr="00E05D0F">
        <w:rPr>
          <w:rFonts w:asciiTheme="majorBidi" w:hAnsiTheme="majorBidi" w:cstheme="majorBidi"/>
        </w:rPr>
        <w:t>, and third-line conservative, pharmacologic</w:t>
      </w:r>
      <w:r w:rsidR="00B43D36" w:rsidRPr="00E05D0F">
        <w:rPr>
          <w:rFonts w:asciiTheme="majorBidi" w:hAnsiTheme="majorBidi" w:cstheme="majorBidi"/>
        </w:rPr>
        <w:t>al</w:t>
      </w:r>
      <w:r w:rsidR="0079580D" w:rsidRPr="00E05D0F">
        <w:rPr>
          <w:rFonts w:asciiTheme="majorBidi" w:hAnsiTheme="majorBidi" w:cstheme="majorBidi"/>
        </w:rPr>
        <w:t>, and interventional strategies.</w:t>
      </w:r>
      <w:r w:rsidR="0095549C" w:rsidRPr="00E05D0F">
        <w:rPr>
          <w:rFonts w:asciiTheme="majorBidi" w:hAnsiTheme="majorBidi" w:cstheme="majorBidi"/>
        </w:rPr>
        <w:t xml:space="preserve"> </w:t>
      </w:r>
      <w:r w:rsidR="00565B6D" w:rsidRPr="001B0B9F">
        <w:rPr>
          <w:rFonts w:asciiTheme="majorBidi" w:hAnsiTheme="majorBidi" w:cstheme="majorBidi"/>
          <w:vertAlign w:val="superscript"/>
        </w:rPr>
        <w:fldChar w:fldCharType="begin"/>
      </w:r>
      <w:r w:rsidR="0095549C" w:rsidRPr="001B0B9F">
        <w:rPr>
          <w:rFonts w:asciiTheme="majorBidi" w:hAnsiTheme="majorBidi" w:cstheme="majorBidi"/>
          <w:vertAlign w:val="superscript"/>
        </w:rPr>
        <w:instrText xml:space="preserve"> ADDIN ZOTERO_ITEM CSL_CITATION {"citationID":"SnXUjDf9","properties":{"formattedCitation":"(7)","plainCitation":"(7)","noteIndex":0},"citationItems":[{"id":69,"uris":["http://zotero.org/users/local/IUvTSyB4/items/IZLQFTI8"],"itemData":{"id":69,"type":"article-journal","abstract":"Intensive glycemic control with insulin in patients with type 1 diabetes may be associated with lower odds of distal symmetric polyneuropathy compared to patients who receive conventional insulin therapy. First-line pharmacologic therapy for PDN includes gabapentinoids (pregabalin and gabapentin) an …","container-title":"Current pain and headache reports","DOI":"10.1007/s11916-022-01061-7","ISSN":"1534-3081","issue":"8","language":"en","note":"publisher: Curr Pain Headache Rep\nPMID: 35716275","source":"pubmed.ncbi.nlm.nih.gov","title":"Evidence-Based Treatment of Painful Diabetic Neuropathy: a Systematic Review","title-short":"Evidence-Based Treatment of Painful Diabetic Neuropathy","URL":"https://pubmed.ncbi.nlm.nih.gov/35716275/","volume":"26","author":[{"family":"Rs","given":"D'Souza"},{"family":"R","given":"Barman"},{"family":"A","given":"Joseph"},{"family":"A","given":"Abd-Elsayed"}],"accessed":{"date-parts":[["2025",7,8]]},"issued":{"date-parts":[["2022",8]]}}}],"schema":"https://github.com/citation-style-language/schema/raw/master/csl-citation.json"} </w:instrText>
      </w:r>
      <w:r w:rsidR="00565B6D" w:rsidRPr="001B0B9F">
        <w:rPr>
          <w:rFonts w:asciiTheme="majorBidi" w:hAnsiTheme="majorBidi" w:cstheme="majorBidi"/>
          <w:vertAlign w:val="superscript"/>
        </w:rPr>
        <w:fldChar w:fldCharType="separate"/>
      </w:r>
      <w:r w:rsidR="001B0B9F" w:rsidRPr="001B0B9F">
        <w:rPr>
          <w:rFonts w:asciiTheme="majorBidi" w:hAnsiTheme="majorBidi" w:cstheme="majorBidi"/>
          <w:vertAlign w:val="superscript"/>
        </w:rPr>
        <w:t>[</w:t>
      </w:r>
      <w:r w:rsidR="0095549C" w:rsidRPr="001B0B9F">
        <w:rPr>
          <w:rFonts w:asciiTheme="majorBidi" w:hAnsiTheme="majorBidi" w:cstheme="majorBidi"/>
          <w:vertAlign w:val="superscript"/>
        </w:rPr>
        <w:t>7</w:t>
      </w:r>
      <w:r w:rsidR="00565B6D" w:rsidRPr="001B0B9F">
        <w:rPr>
          <w:rFonts w:asciiTheme="majorBidi" w:hAnsiTheme="majorBidi" w:cstheme="majorBidi"/>
          <w:vertAlign w:val="superscript"/>
        </w:rPr>
        <w:fldChar w:fldCharType="end"/>
      </w:r>
      <w:r w:rsidR="001B0B9F" w:rsidRPr="001B0B9F">
        <w:rPr>
          <w:rFonts w:asciiTheme="majorBidi" w:hAnsiTheme="majorBidi" w:cstheme="majorBidi"/>
          <w:vertAlign w:val="superscript"/>
        </w:rPr>
        <w:t>]</w:t>
      </w:r>
      <w:r w:rsidR="00496456" w:rsidRPr="00E05D0F">
        <w:rPr>
          <w:rFonts w:asciiTheme="majorBidi" w:hAnsiTheme="majorBidi" w:cstheme="majorBidi"/>
        </w:rPr>
        <w:t xml:space="preserve"> </w:t>
      </w:r>
      <w:r w:rsidR="00614149" w:rsidRPr="00E05D0F">
        <w:rPr>
          <w:rFonts w:asciiTheme="majorBidi" w:hAnsiTheme="majorBidi" w:cstheme="majorBidi"/>
        </w:rPr>
        <w:t>Analgesics are commonly prescribed to reli</w:t>
      </w:r>
      <w:r w:rsidR="00B43D36" w:rsidRPr="00E05D0F">
        <w:rPr>
          <w:rFonts w:asciiTheme="majorBidi" w:hAnsiTheme="majorBidi" w:cstheme="majorBidi"/>
        </w:rPr>
        <w:t>e</w:t>
      </w:r>
      <w:r w:rsidR="00614149" w:rsidRPr="00E05D0F">
        <w:rPr>
          <w:rFonts w:asciiTheme="majorBidi" w:hAnsiTheme="majorBidi" w:cstheme="majorBidi"/>
        </w:rPr>
        <w:t xml:space="preserve">ve </w:t>
      </w:r>
      <w:r w:rsidR="00B43D36" w:rsidRPr="00E05D0F">
        <w:rPr>
          <w:rFonts w:asciiTheme="majorBidi" w:hAnsiTheme="majorBidi" w:cstheme="majorBidi"/>
        </w:rPr>
        <w:t xml:space="preserve">the </w:t>
      </w:r>
      <w:r w:rsidR="00614149" w:rsidRPr="00E05D0F">
        <w:rPr>
          <w:rFonts w:asciiTheme="majorBidi" w:hAnsiTheme="majorBidi" w:cstheme="majorBidi"/>
        </w:rPr>
        <w:t>symptoms of DPN</w:t>
      </w:r>
      <w:r w:rsidR="00B43D36" w:rsidRPr="00E05D0F">
        <w:rPr>
          <w:rFonts w:asciiTheme="majorBidi" w:hAnsiTheme="majorBidi" w:cstheme="majorBidi"/>
        </w:rPr>
        <w:t>; their long-term use may lead</w:t>
      </w:r>
      <w:r w:rsidR="00614149" w:rsidRPr="00E05D0F">
        <w:rPr>
          <w:rFonts w:asciiTheme="majorBidi" w:hAnsiTheme="majorBidi" w:cstheme="majorBidi"/>
        </w:rPr>
        <w:t xml:space="preserve"> to side effects such as somnolence, headache, nausea, tremor, erectile dysfunction, confusion, dry mouth, and an elevated risk of suicidal thoughts.</w:t>
      </w:r>
      <w:r w:rsidR="0095549C" w:rsidRPr="00E05D0F">
        <w:rPr>
          <w:rFonts w:asciiTheme="majorBidi" w:hAnsiTheme="majorBidi" w:cstheme="majorBidi"/>
        </w:rPr>
        <w:t xml:space="preserve"> </w:t>
      </w:r>
      <w:r w:rsidR="00565B6D" w:rsidRPr="001B0B9F">
        <w:rPr>
          <w:rFonts w:asciiTheme="majorBidi" w:hAnsiTheme="majorBidi" w:cstheme="majorBidi"/>
          <w:vertAlign w:val="superscript"/>
        </w:rPr>
        <w:fldChar w:fldCharType="begin"/>
      </w:r>
      <w:r w:rsidR="0095549C" w:rsidRPr="001B0B9F">
        <w:rPr>
          <w:rFonts w:asciiTheme="majorBidi" w:hAnsiTheme="majorBidi" w:cstheme="majorBidi"/>
          <w:vertAlign w:val="superscript"/>
        </w:rPr>
        <w:instrText xml:space="preserve"> ADDIN ZOTERO_ITEM CSL_CITATION {"citationID":"pPtj4JC9","properties":{"formattedCitation":"(6)","plainCitation":"(6)","noteIndex":0},"citationItems":[{"id":66,"uris":["http://zotero.org/users/local/IUvTSyB4/items/I2W9NMEF"],"itemData":{"id":66,"type":"article-journal","abstract":"Background: Diabetes  is  a  major  global  health  concern  in  the  twenty-first  century.  The  International Diabetes Federation (IDF) estimates that by the end of 2021, complications from  diabetes would have killed 747,000 peoples in India. Diabetic peripheral neuropathy (DPN)  is a disorder that develops in patients with diabetes (type 1 and type 2) and is not attributable  to any other peripheral neuropathy causes. Clinically, it may manifest as burning, tingling,  numbness, or neuropathic pain in the foot that tends to get worse at night. DPN frequently  results in ulceration, infection, deterioration of the skin, and ultimately amputation. Methods: This study will be conducted as randomized standard-controlled, single-blind  trial on 150 DPN subjects with type 2 diabetes by randomly assigned them to two groups  (test or standard), where test group will receive two capsules twice (containing 500 mg  powder of test drug in each capsule) with water and control group will receive one capsule of  pregabalin 75 mg twice. Both groups will be treated for 60 days with 30 days post treatment  follow-up addition to their regular anti-diabetic treatment. The subjective parameters of  burning, tingling, and pain in the feet will be evaluated every two weeks using the visual  analog scale (VAS) and arbitrary scale. Objective parameters, Toronto Clinical Scoring  System (TCSS) will be assessed fortnightly along with vibratory perception threshold (VPT),  assessed pre and post-treatment. Data will be assessed statistically with appropriate tests.","container-title":"International Research Journal of Ayurveda and Yoga","DOI":"10.48165/IRJAY.2024.71103","ISSN":"2581-785X","issue":"11","language":"en","license":"Copyright (c) 2024 Mohd   Shahid, Mohd Aleemuddin Quamri (Author)","note":"number: 11","page":"16-23","source":"journals.acspublisher.com","title":"A Study Protocol on the Evaluation of Comparative Efficacy of Waj (Acorus calamus Linn.) versus Pregabalin in Diabetic Peripheral Neuropathy","volume":"7","author":[{"family":"Shahid","given":"Mohd"},{"family":"Quamri","given":"Mohd Aleemuddin"}],"issued":{"date-parts":[["2024",11,30]]}}}],"schema":"https://github.com/citation-style-language/schema/raw/master/csl-citation.json"} </w:instrText>
      </w:r>
      <w:r w:rsidR="00565B6D" w:rsidRPr="001B0B9F">
        <w:rPr>
          <w:rFonts w:asciiTheme="majorBidi" w:hAnsiTheme="majorBidi" w:cstheme="majorBidi"/>
          <w:vertAlign w:val="superscript"/>
        </w:rPr>
        <w:fldChar w:fldCharType="separate"/>
      </w:r>
      <w:r w:rsidR="001B0B9F" w:rsidRPr="001B0B9F">
        <w:rPr>
          <w:rFonts w:asciiTheme="majorBidi" w:hAnsiTheme="majorBidi" w:cstheme="majorBidi"/>
          <w:vertAlign w:val="superscript"/>
        </w:rPr>
        <w:t>[</w:t>
      </w:r>
      <w:r w:rsidR="0095549C" w:rsidRPr="001B0B9F">
        <w:rPr>
          <w:rFonts w:asciiTheme="majorBidi" w:hAnsiTheme="majorBidi" w:cstheme="majorBidi"/>
          <w:vertAlign w:val="superscript"/>
        </w:rPr>
        <w:t>6</w:t>
      </w:r>
      <w:r w:rsidR="00565B6D" w:rsidRPr="001B0B9F">
        <w:rPr>
          <w:rFonts w:asciiTheme="majorBidi" w:hAnsiTheme="majorBidi" w:cstheme="majorBidi"/>
          <w:vertAlign w:val="superscript"/>
        </w:rPr>
        <w:fldChar w:fldCharType="end"/>
      </w:r>
      <w:r w:rsidR="001B0B9F" w:rsidRPr="001B0B9F">
        <w:rPr>
          <w:rFonts w:asciiTheme="majorBidi" w:hAnsiTheme="majorBidi" w:cstheme="majorBidi"/>
          <w:vertAlign w:val="superscript"/>
        </w:rPr>
        <w:t>]</w:t>
      </w:r>
      <w:r w:rsidR="0095549C" w:rsidRPr="00E05D0F">
        <w:rPr>
          <w:rFonts w:asciiTheme="majorBidi" w:hAnsiTheme="majorBidi" w:cstheme="majorBidi"/>
        </w:rPr>
        <w:t xml:space="preserve"> </w:t>
      </w:r>
      <w:r w:rsidR="0090351C" w:rsidRPr="00E05D0F">
        <w:rPr>
          <w:rFonts w:asciiTheme="majorBidi" w:hAnsiTheme="majorBidi" w:cstheme="majorBidi"/>
        </w:rPr>
        <w:t xml:space="preserve">Several theories have been proposed to explain the pathophysiology of DPN. However, hyperglycemia-induced metabolic oxidative stress and mitochondrial dysfunction secondary to oxidative damage remain the most well-supported mechanisms to date. </w:t>
      </w:r>
      <w:r w:rsidR="00565B6D" w:rsidRPr="00FA0B45">
        <w:rPr>
          <w:rFonts w:asciiTheme="majorBidi" w:hAnsiTheme="majorBidi" w:cstheme="majorBidi"/>
          <w:vertAlign w:val="superscript"/>
        </w:rPr>
        <w:fldChar w:fldCharType="begin"/>
      </w:r>
      <w:r w:rsidR="0090351C" w:rsidRPr="00FA0B45">
        <w:rPr>
          <w:rFonts w:asciiTheme="majorBidi" w:hAnsiTheme="majorBidi" w:cstheme="majorBidi"/>
          <w:vertAlign w:val="superscript"/>
        </w:rPr>
        <w:instrText xml:space="preserve"> ADDIN ZOTERO_ITEM CSL_CITATION {"citationID":"2pw1EHx9","properties":{"formattedCitation":"(1)","plainCitation":"(1)","noteIndex":0},"citationItems":[{"id":56,"uris":["http://zotero.org/users/local/IUvTSyB4/items/GQAI56RL"],"itemData":{"id":56,"type":"book","abstract":"Diabetic neuropathies are the most common chronic complications of diabetes, with an estimated lifetime prevalence exceeding 50% in people with diabetes. Among various forms of neuropathy, diabetic peripheral neuropathy (DPN) is the most common and has the strongest evidence base regarding therapeutic approaches. This American Diabetes Association clinical compendium summarizes the latest information about screening for, diagnosing, and treating painful DPN in routine clinical practice. It opens with an overview of the epidemiology of DPN, followed by a description of the pathophysiology of the disease and its often severely painful symptoms. The authors recommend a stepwise approach to effectively diagnose DPN and offer a novel perspective on the impact of social determinants of health on the development and management of DPN. They summarizes the latest guidance on effective therapies, including pharmacological oral and topical agents, nutraceutical products, and nonpharmacological therapies, including physical activity and dietary interventions, passive modalities, and energy or nerve stimulation techniques. Throughout the publication, the authors identify knowledge gaps that need to be addressed and advocate a personalized care approach to reduce the burden of painful DPN and optimize quality of life for individuals affected by it.","call-number":"NBK580224","collection-title":"ADA Clinical Compendia Series","event-place":"Arlington (VA)","language":"eng","license":"© 2022 by American Diabetes Association. All rights reserved. None of the contents may be reproduced without the written permission of the American Diabetes Association.","note":"PMID: 35544662","publisher":"American Diabetes Association","publisher-place":"Arlington (VA)","source":"PubMed","title":"Diagnosis and Treatment of Painful Diabetic Peripheral Neuropathy","URL":"http://www.ncbi.nlm.nih.gov/books/NBK580224/","author":[{"family":"Pop-Busui","given":"Rodica"},{"family":"Ang","given":"Lynn"},{"family":"Boulton","given":"Andrew J. M."},{"family":"Feldman","given":"Eva L."},{"family":"Marcus","given":"Robin L."},{"family":"Mizokami-Stout","given":"Kara"},{"family":"Singleton","given":"J. Robinson"},{"family":"Ziegler","given":"Dan"}],"accessed":{"date-parts":[["2025",7,8]]},"issued":{"date-parts":[["2022"]]}}}],"schema":"https://github.com/citation-style-language/schema/raw/master/csl-citation.json"} </w:instrText>
      </w:r>
      <w:r w:rsidR="00565B6D" w:rsidRPr="00FA0B45">
        <w:rPr>
          <w:rFonts w:asciiTheme="majorBidi" w:hAnsiTheme="majorBidi" w:cstheme="majorBidi"/>
          <w:vertAlign w:val="superscript"/>
        </w:rPr>
        <w:fldChar w:fldCharType="separate"/>
      </w:r>
      <w:r w:rsidR="00FA0B45" w:rsidRPr="00FA0B45">
        <w:rPr>
          <w:rFonts w:asciiTheme="majorBidi" w:hAnsiTheme="majorBidi" w:cstheme="majorBidi"/>
          <w:vertAlign w:val="superscript"/>
        </w:rPr>
        <w:t>[</w:t>
      </w:r>
      <w:r w:rsidR="0090351C" w:rsidRPr="00FA0B45">
        <w:rPr>
          <w:rFonts w:asciiTheme="majorBidi" w:hAnsiTheme="majorBidi" w:cstheme="majorBidi"/>
          <w:vertAlign w:val="superscript"/>
        </w:rPr>
        <w:t>1</w:t>
      </w:r>
      <w:r w:rsidR="00565B6D" w:rsidRPr="00FA0B45">
        <w:rPr>
          <w:rFonts w:asciiTheme="majorBidi" w:hAnsiTheme="majorBidi" w:cstheme="majorBidi"/>
          <w:vertAlign w:val="superscript"/>
        </w:rPr>
        <w:fldChar w:fldCharType="end"/>
      </w:r>
      <w:r w:rsidR="00FA0B45" w:rsidRPr="00FA0B45">
        <w:rPr>
          <w:rFonts w:asciiTheme="majorBidi" w:hAnsiTheme="majorBidi" w:cstheme="majorBidi"/>
          <w:vertAlign w:val="superscript"/>
        </w:rPr>
        <w:t>]</w:t>
      </w:r>
      <w:r w:rsidR="0090351C" w:rsidRPr="00E05D0F">
        <w:rPr>
          <w:rFonts w:asciiTheme="majorBidi" w:hAnsiTheme="majorBidi" w:cstheme="majorBidi"/>
        </w:rPr>
        <w:t xml:space="preserve"> </w:t>
      </w:r>
      <w:r w:rsidR="00E748F8" w:rsidRPr="00E05D0F">
        <w:rPr>
          <w:rFonts w:asciiTheme="majorBidi" w:hAnsiTheme="majorBidi" w:cstheme="majorBidi"/>
        </w:rPr>
        <w:t xml:space="preserve">The USM approaches illness by focusing on the </w:t>
      </w:r>
      <w:r w:rsidR="00B43D36" w:rsidRPr="00E05D0F">
        <w:rPr>
          <w:rStyle w:val="Emphasis"/>
          <w:rFonts w:asciiTheme="majorBidi" w:hAnsiTheme="majorBidi" w:cstheme="majorBidi"/>
        </w:rPr>
        <w:t>tanqiya-e-mawad-e-fasida</w:t>
      </w:r>
      <w:r w:rsidR="00B43D36" w:rsidRPr="00E05D0F">
        <w:rPr>
          <w:rFonts w:asciiTheme="majorBidi" w:hAnsiTheme="majorBidi" w:cstheme="majorBidi"/>
        </w:rPr>
        <w:t xml:space="preserve"> (~</w:t>
      </w:r>
      <w:r w:rsidR="00E748F8" w:rsidRPr="00E05D0F">
        <w:rPr>
          <w:rFonts w:asciiTheme="majorBidi" w:hAnsiTheme="majorBidi" w:cstheme="majorBidi"/>
        </w:rPr>
        <w:t>elimination of morbid humor</w:t>
      </w:r>
      <w:r w:rsidR="00B43D36" w:rsidRPr="00E05D0F">
        <w:rPr>
          <w:rFonts w:asciiTheme="majorBidi" w:hAnsiTheme="majorBidi" w:cstheme="majorBidi"/>
        </w:rPr>
        <w:t>)</w:t>
      </w:r>
      <w:r w:rsidR="00E748F8" w:rsidRPr="00E05D0F">
        <w:rPr>
          <w:rFonts w:asciiTheme="majorBidi" w:hAnsiTheme="majorBidi" w:cstheme="majorBidi"/>
        </w:rPr>
        <w:t xml:space="preserve">, </w:t>
      </w:r>
      <w:r w:rsidR="00B43D36" w:rsidRPr="00E05D0F">
        <w:rPr>
          <w:rStyle w:val="Emphasis"/>
          <w:rFonts w:asciiTheme="majorBidi" w:hAnsiTheme="majorBidi" w:cstheme="majorBidi"/>
        </w:rPr>
        <w:t>tahleel-e-warm</w:t>
      </w:r>
      <w:r w:rsidR="00B43D36" w:rsidRPr="00E05D0F">
        <w:rPr>
          <w:rFonts w:asciiTheme="majorBidi" w:hAnsiTheme="majorBidi" w:cstheme="majorBidi"/>
        </w:rPr>
        <w:t xml:space="preserve"> (~reduction of </w:t>
      </w:r>
      <w:r w:rsidR="00E748F8" w:rsidRPr="00E05D0F">
        <w:rPr>
          <w:rFonts w:asciiTheme="majorBidi" w:hAnsiTheme="majorBidi" w:cstheme="majorBidi"/>
        </w:rPr>
        <w:t>inflammat</w:t>
      </w:r>
      <w:r w:rsidR="00B43D36" w:rsidRPr="00E05D0F">
        <w:rPr>
          <w:rFonts w:asciiTheme="majorBidi" w:hAnsiTheme="majorBidi" w:cstheme="majorBidi"/>
        </w:rPr>
        <w:t>ion)</w:t>
      </w:r>
      <w:r w:rsidR="00E748F8" w:rsidRPr="00E05D0F">
        <w:rPr>
          <w:rFonts w:asciiTheme="majorBidi" w:hAnsiTheme="majorBidi" w:cstheme="majorBidi"/>
        </w:rPr>
        <w:t xml:space="preserve">, and </w:t>
      </w:r>
      <w:r w:rsidR="00B43D36" w:rsidRPr="00E05D0F">
        <w:rPr>
          <w:rStyle w:val="Emphasis"/>
          <w:rFonts w:asciiTheme="majorBidi" w:hAnsiTheme="majorBidi" w:cstheme="majorBidi"/>
        </w:rPr>
        <w:t>taskeen-e-dard</w:t>
      </w:r>
      <w:r w:rsidR="00B43D36" w:rsidRPr="00E05D0F">
        <w:rPr>
          <w:rFonts w:asciiTheme="majorBidi" w:hAnsiTheme="majorBidi" w:cstheme="majorBidi"/>
        </w:rPr>
        <w:t xml:space="preserve"> (~</w:t>
      </w:r>
      <w:r w:rsidR="00E748F8" w:rsidRPr="00E05D0F">
        <w:rPr>
          <w:rFonts w:asciiTheme="majorBidi" w:hAnsiTheme="majorBidi" w:cstheme="majorBidi"/>
        </w:rPr>
        <w:t>alleviation of pain</w:t>
      </w:r>
      <w:r w:rsidR="00B43D36" w:rsidRPr="00E05D0F">
        <w:rPr>
          <w:rFonts w:asciiTheme="majorBidi" w:hAnsiTheme="majorBidi" w:cstheme="majorBidi"/>
        </w:rPr>
        <w:t>)</w:t>
      </w:r>
      <w:r w:rsidR="00E748F8" w:rsidRPr="00E05D0F">
        <w:rPr>
          <w:rFonts w:asciiTheme="majorBidi" w:hAnsiTheme="majorBidi" w:cstheme="majorBidi"/>
        </w:rPr>
        <w:t xml:space="preserve">. </w:t>
      </w:r>
      <w:r w:rsidR="00D14F6F" w:rsidRPr="00E05D0F">
        <w:rPr>
          <w:rFonts w:asciiTheme="majorBidi" w:hAnsiTheme="majorBidi" w:cstheme="majorBidi"/>
        </w:rPr>
        <w:t xml:space="preserve"> </w:t>
      </w:r>
      <w:r w:rsidR="00E748F8" w:rsidRPr="00E05D0F">
        <w:rPr>
          <w:rFonts w:asciiTheme="majorBidi" w:hAnsiTheme="majorBidi" w:cstheme="majorBidi"/>
        </w:rPr>
        <w:t xml:space="preserve">In the present </w:t>
      </w:r>
      <w:r w:rsidR="00B43D36" w:rsidRPr="00E05D0F">
        <w:rPr>
          <w:rFonts w:asciiTheme="majorBidi" w:hAnsiTheme="majorBidi" w:cstheme="majorBidi"/>
        </w:rPr>
        <w:t>case series</w:t>
      </w:r>
      <w:r w:rsidR="00E748F8" w:rsidRPr="00E05D0F">
        <w:rPr>
          <w:rFonts w:asciiTheme="majorBidi" w:hAnsiTheme="majorBidi" w:cstheme="majorBidi"/>
        </w:rPr>
        <w:t xml:space="preserve">, two classical Unani classical formulations, </w:t>
      </w:r>
      <w:r w:rsidR="00E748F8" w:rsidRPr="00E05D0F">
        <w:rPr>
          <w:rFonts w:asciiTheme="majorBidi" w:hAnsiTheme="majorBidi" w:cstheme="majorBidi"/>
          <w:i/>
          <w:iCs/>
        </w:rPr>
        <w:t>Qurse Ziabetus</w:t>
      </w:r>
      <w:r w:rsidR="00991F10" w:rsidRPr="00E05D0F">
        <w:rPr>
          <w:rFonts w:asciiTheme="majorBidi" w:hAnsiTheme="majorBidi" w:cstheme="majorBidi"/>
          <w:b/>
          <w:bCs/>
          <w:i/>
          <w:iCs/>
        </w:rPr>
        <w:t xml:space="preserve"> </w:t>
      </w:r>
      <w:r w:rsidR="00991F10" w:rsidRPr="00E05D0F">
        <w:rPr>
          <w:rFonts w:asciiTheme="majorBidi" w:hAnsiTheme="majorBidi" w:cstheme="majorBidi"/>
          <w:i/>
          <w:iCs/>
        </w:rPr>
        <w:t>Khas</w:t>
      </w:r>
      <w:r w:rsidR="00E748F8" w:rsidRPr="00E05D0F">
        <w:rPr>
          <w:rFonts w:asciiTheme="majorBidi" w:hAnsiTheme="majorBidi" w:cstheme="majorBidi"/>
        </w:rPr>
        <w:t xml:space="preserve"> </w:t>
      </w:r>
      <w:r w:rsidR="00D14F6F" w:rsidRPr="00E05D0F">
        <w:rPr>
          <w:rFonts w:asciiTheme="majorBidi" w:hAnsiTheme="majorBidi" w:cstheme="majorBidi"/>
        </w:rPr>
        <w:t>(QZ</w:t>
      </w:r>
      <w:r w:rsidR="00991F10" w:rsidRPr="00E05D0F">
        <w:rPr>
          <w:rFonts w:asciiTheme="majorBidi" w:hAnsiTheme="majorBidi" w:cstheme="majorBidi"/>
        </w:rPr>
        <w:t>K</w:t>
      </w:r>
      <w:r w:rsidR="00D14F6F" w:rsidRPr="00E05D0F">
        <w:rPr>
          <w:rFonts w:asciiTheme="majorBidi" w:hAnsiTheme="majorBidi" w:cstheme="majorBidi"/>
        </w:rPr>
        <w:t>)</w:t>
      </w:r>
      <w:r w:rsidR="006E4584" w:rsidRPr="00E05D0F">
        <w:rPr>
          <w:rFonts w:asciiTheme="majorBidi" w:hAnsiTheme="majorBidi" w:cstheme="majorBidi"/>
        </w:rPr>
        <w:t xml:space="preserve"> </w:t>
      </w:r>
      <w:r w:rsidR="00565B6D" w:rsidRPr="00FA0B45">
        <w:rPr>
          <w:rFonts w:asciiTheme="majorBidi" w:hAnsiTheme="majorBidi" w:cstheme="majorBidi"/>
          <w:vertAlign w:val="superscript"/>
        </w:rPr>
        <w:fldChar w:fldCharType="begin"/>
      </w:r>
      <w:r w:rsidR="006E4584" w:rsidRPr="00FA0B45">
        <w:rPr>
          <w:rFonts w:asciiTheme="majorBidi" w:hAnsiTheme="majorBidi" w:cstheme="majorBidi"/>
          <w:vertAlign w:val="superscript"/>
        </w:rPr>
        <w:instrText xml:space="preserve"> ADDIN ZOTERO_ITEM CSL_CITATION {"citationID":"f9X2UymV","properties":{"formattedCitation":"(8)","plainCitation":"(8)","noteIndex":0},"citationItems":[{"id":74,"uris":["http://zotero.org/users/local/IUvTSyB4/items/AM89JLQN"],"itemData":{"id":74,"type":"document","title":"Ansari AP, Nasir A. Therapeutic effect of ‘Qurs-i-Ziabetus Khas’ in Diabetes Mellitus- A Case Report. J Ayu Herb Med 2020;6(1):4."}}],"schema":"https://github.com/citation-style-language/schema/raw/master/csl-citation.json"} </w:instrText>
      </w:r>
      <w:r w:rsidR="00565B6D" w:rsidRPr="00FA0B45">
        <w:rPr>
          <w:rFonts w:asciiTheme="majorBidi" w:hAnsiTheme="majorBidi" w:cstheme="majorBidi"/>
          <w:vertAlign w:val="superscript"/>
        </w:rPr>
        <w:fldChar w:fldCharType="separate"/>
      </w:r>
      <w:r w:rsidR="00FA0B45" w:rsidRPr="00FA0B45">
        <w:rPr>
          <w:rFonts w:asciiTheme="majorBidi" w:hAnsiTheme="majorBidi" w:cstheme="majorBidi"/>
          <w:vertAlign w:val="superscript"/>
        </w:rPr>
        <w:t>[</w:t>
      </w:r>
      <w:r w:rsidR="006E4584" w:rsidRPr="00FA0B45">
        <w:rPr>
          <w:rFonts w:asciiTheme="majorBidi" w:hAnsiTheme="majorBidi" w:cstheme="majorBidi"/>
          <w:vertAlign w:val="superscript"/>
        </w:rPr>
        <w:t>8</w:t>
      </w:r>
      <w:r w:rsidR="00565B6D" w:rsidRPr="00FA0B45">
        <w:rPr>
          <w:rFonts w:asciiTheme="majorBidi" w:hAnsiTheme="majorBidi" w:cstheme="majorBidi"/>
          <w:vertAlign w:val="superscript"/>
        </w:rPr>
        <w:fldChar w:fldCharType="end"/>
      </w:r>
      <w:r w:rsidR="00FA0B45" w:rsidRPr="00FA0B45">
        <w:rPr>
          <w:rFonts w:asciiTheme="majorBidi" w:hAnsiTheme="majorBidi" w:cstheme="majorBidi"/>
          <w:vertAlign w:val="superscript"/>
        </w:rPr>
        <w:t>]</w:t>
      </w:r>
      <w:r w:rsidR="006E4584" w:rsidRPr="00E05D0F">
        <w:rPr>
          <w:rFonts w:asciiTheme="majorBidi" w:hAnsiTheme="majorBidi" w:cstheme="majorBidi"/>
        </w:rPr>
        <w:t xml:space="preserve"> </w:t>
      </w:r>
      <w:r w:rsidR="00E748F8" w:rsidRPr="00E05D0F">
        <w:rPr>
          <w:rFonts w:asciiTheme="majorBidi" w:hAnsiTheme="majorBidi" w:cstheme="majorBidi"/>
        </w:rPr>
        <w:t xml:space="preserve">and </w:t>
      </w:r>
      <w:r w:rsidR="00E748F8" w:rsidRPr="00E05D0F">
        <w:rPr>
          <w:rFonts w:asciiTheme="majorBidi" w:hAnsiTheme="majorBidi" w:cstheme="majorBidi"/>
          <w:i/>
          <w:iCs/>
        </w:rPr>
        <w:t>Habb-e-A</w:t>
      </w:r>
      <w:r w:rsidR="00A84CF2" w:rsidRPr="00E05D0F">
        <w:rPr>
          <w:rFonts w:asciiTheme="majorBidi" w:hAnsiTheme="majorBidi" w:cstheme="majorBidi"/>
          <w:i/>
          <w:iCs/>
        </w:rPr>
        <w:t>sab</w:t>
      </w:r>
      <w:r w:rsidR="00D14F6F" w:rsidRPr="00E05D0F">
        <w:rPr>
          <w:rFonts w:asciiTheme="majorBidi" w:hAnsiTheme="majorBidi" w:cstheme="majorBidi"/>
          <w:i/>
          <w:iCs/>
        </w:rPr>
        <w:t xml:space="preserve"> </w:t>
      </w:r>
      <w:r w:rsidR="00D14F6F" w:rsidRPr="00E05D0F">
        <w:rPr>
          <w:rFonts w:asciiTheme="majorBidi" w:hAnsiTheme="majorBidi" w:cstheme="majorBidi"/>
        </w:rPr>
        <w:t>(HA)</w:t>
      </w:r>
      <w:r w:rsidR="006E4584" w:rsidRPr="00E05D0F">
        <w:rPr>
          <w:rFonts w:asciiTheme="majorBidi" w:hAnsiTheme="majorBidi" w:cstheme="majorBidi"/>
        </w:rPr>
        <w:t xml:space="preserve"> </w:t>
      </w:r>
      <w:r w:rsidR="00565B6D" w:rsidRPr="00FA0B45">
        <w:rPr>
          <w:rFonts w:asciiTheme="majorBidi" w:hAnsiTheme="majorBidi" w:cstheme="majorBidi"/>
          <w:vertAlign w:val="superscript"/>
        </w:rPr>
        <w:fldChar w:fldCharType="begin"/>
      </w:r>
      <w:r w:rsidR="006E4584" w:rsidRPr="00FA0B45">
        <w:rPr>
          <w:rFonts w:asciiTheme="majorBidi" w:hAnsiTheme="majorBidi" w:cstheme="majorBidi"/>
          <w:vertAlign w:val="superscript"/>
        </w:rPr>
        <w:instrText xml:space="preserve"> ADDIN ZOTERO_ITEM CSL_CITATION {"citationID":"X1st2nRf","properties":{"formattedCitation":"(9)","plainCitation":"(9)","noteIndex":0},"citationItems":[{"id":75,"uris":["http://zotero.org/users/local/IUvTSyB4/items/BTU23UMD"],"itemData":{"id":75,"type":"article-journal","abstract":"OBJECTIVES: Diabetic peripheral neuropathy (DPN) is a common diabetes complication. The prevalence of neuropathy is 55% for type 1 and 66% for type 2 diabetes. In Unani medicine neuropathy is known as Khidr (numbness). It is treated with drugs possessing hypoglycemic and analgesic properties, etc. Habb-e-Asab, a polyherbal Unani formulation used for the treatment of Waja-ul-Asab (neuralgia) is routinely used for its indications in neurological pain in Unani medicine. The aim of this study to investigate the efficacy of Habb-e-Asab in diabetic peripheral neuropathy.\nMETHODS: Thirty patients with DPN were randomly assigned to test (n=20) and control (n=10) groups in a randomized single-blind placebo control study. For 45 days, the test group was given 250 mg Habb-e-Asab twice a day and the control group 250 mg placebo twice a day. The subjective parameters Pain in feet, burning in feet, and tingling in feet was assessed by the arbitrary scale and VAS fortnightly and objective parameters MNSI, and VPT was assessed in pre-post-treatment.\nRESULTS: The research drug revealed highly statistically significant with p&lt;0.001 on VAS score and MNSI whereas VPT is significant with p&lt;0.01 on few points. But control group exhibits no significant effect in any of the parameters. No adverse effects had been reported in either group.\nCONCLUSIONS: Our finding indicated that the Habb-e-Asab for 45 days improved and reduced the severity of DPN in a patient with diabetes (CTRI/2018/02/011725).","container-title":"Journal of Basic and Clinical Physiology and Pharmacology","DOI":"10.1515/jbcpp-2021-0330","ISSN":"2191-0286","issue":"6","journalAbbreviation":"J Basic Clin Physiol Pharmacol","language":"eng","note":"PMID: 35026880","page":"735-744","source":"PubMed","title":"Efficacy of Habb-e-Asab in diabetic peripheral neuropathy: a randomized placebo control study","title-short":"Efficacy of Habb-e-Asab in diabetic peripheral neuropathy","volume":"34","author":[{"family":"Nizamdeen","given":"Fathima Nafha"},{"family":"Quamri","given":"Mohd Aleemuddin"},{"family":"Anzar Alam","given":"Md"}],"issued":{"date-parts":[["2023",11,1]]}}}],"schema":"https://github.com/citation-style-language/schema/raw/master/csl-citation.json"} </w:instrText>
      </w:r>
      <w:r w:rsidR="00565B6D" w:rsidRPr="00FA0B45">
        <w:rPr>
          <w:rFonts w:asciiTheme="majorBidi" w:hAnsiTheme="majorBidi" w:cstheme="majorBidi"/>
          <w:vertAlign w:val="superscript"/>
        </w:rPr>
        <w:fldChar w:fldCharType="separate"/>
      </w:r>
      <w:r w:rsidR="00FA0B45" w:rsidRPr="00FA0B45">
        <w:rPr>
          <w:rFonts w:asciiTheme="majorBidi" w:hAnsiTheme="majorBidi" w:cstheme="majorBidi"/>
          <w:vertAlign w:val="superscript"/>
        </w:rPr>
        <w:t>[</w:t>
      </w:r>
      <w:r w:rsidR="006E4584" w:rsidRPr="00FA0B45">
        <w:rPr>
          <w:rFonts w:asciiTheme="majorBidi" w:hAnsiTheme="majorBidi" w:cstheme="majorBidi"/>
          <w:vertAlign w:val="superscript"/>
        </w:rPr>
        <w:t>9</w:t>
      </w:r>
      <w:r w:rsidR="00565B6D" w:rsidRPr="00FA0B45">
        <w:rPr>
          <w:rFonts w:asciiTheme="majorBidi" w:hAnsiTheme="majorBidi" w:cstheme="majorBidi"/>
          <w:vertAlign w:val="superscript"/>
        </w:rPr>
        <w:fldChar w:fldCharType="end"/>
      </w:r>
      <w:r w:rsidR="00FA0B45" w:rsidRPr="00FA0B45">
        <w:rPr>
          <w:rFonts w:asciiTheme="majorBidi" w:hAnsiTheme="majorBidi" w:cstheme="majorBidi"/>
          <w:vertAlign w:val="superscript"/>
        </w:rPr>
        <w:t>]</w:t>
      </w:r>
      <w:r w:rsidR="00E748F8" w:rsidRPr="00E05D0F">
        <w:rPr>
          <w:rFonts w:asciiTheme="majorBidi" w:hAnsiTheme="majorBidi" w:cstheme="majorBidi"/>
        </w:rPr>
        <w:t xml:space="preserve">, were </w:t>
      </w:r>
      <w:r w:rsidR="00B43D36" w:rsidRPr="00E05D0F">
        <w:rPr>
          <w:rFonts w:asciiTheme="majorBidi" w:hAnsiTheme="majorBidi" w:cstheme="majorBidi"/>
        </w:rPr>
        <w:t>evaluated</w:t>
      </w:r>
      <w:r w:rsidR="00E748F8" w:rsidRPr="00E05D0F">
        <w:rPr>
          <w:rFonts w:asciiTheme="majorBidi" w:hAnsiTheme="majorBidi" w:cstheme="majorBidi"/>
        </w:rPr>
        <w:t xml:space="preserve">. </w:t>
      </w:r>
      <w:r w:rsidR="0090351C" w:rsidRPr="00E05D0F">
        <w:rPr>
          <w:rFonts w:asciiTheme="majorBidi" w:hAnsiTheme="majorBidi" w:cstheme="majorBidi"/>
        </w:rPr>
        <w:t xml:space="preserve">Both </w:t>
      </w:r>
      <w:r w:rsidR="0090351C" w:rsidRPr="00E05D0F">
        <w:rPr>
          <w:rStyle w:val="Emphasis"/>
          <w:rFonts w:asciiTheme="majorBidi" w:hAnsiTheme="majorBidi" w:cstheme="majorBidi"/>
          <w:i w:val="0"/>
          <w:iCs w:val="0"/>
        </w:rPr>
        <w:t>QZK</w:t>
      </w:r>
      <w:r w:rsidR="0090351C" w:rsidRPr="00E05D0F">
        <w:rPr>
          <w:rFonts w:asciiTheme="majorBidi" w:hAnsiTheme="majorBidi" w:cstheme="majorBidi"/>
        </w:rPr>
        <w:t xml:space="preserve"> and </w:t>
      </w:r>
      <w:r w:rsidR="0090351C" w:rsidRPr="00E05D0F">
        <w:rPr>
          <w:rStyle w:val="Emphasis"/>
          <w:rFonts w:asciiTheme="majorBidi" w:hAnsiTheme="majorBidi" w:cstheme="majorBidi"/>
          <w:i w:val="0"/>
          <w:iCs w:val="0"/>
        </w:rPr>
        <w:t>HA</w:t>
      </w:r>
      <w:r w:rsidR="0090351C" w:rsidRPr="00E05D0F">
        <w:rPr>
          <w:rFonts w:asciiTheme="majorBidi" w:hAnsiTheme="majorBidi" w:cstheme="majorBidi"/>
        </w:rPr>
        <w:t xml:space="preserve"> were selected based on their formulations and indications. It was hypothesized that these formulations possess anti hyperglycemic and antioxidant properties, </w:t>
      </w:r>
      <w:r w:rsidR="0090351C" w:rsidRPr="00E05D0F">
        <w:rPr>
          <w:rFonts w:asciiTheme="majorBidi" w:hAnsiTheme="majorBidi" w:cstheme="majorBidi"/>
        </w:rPr>
        <w:lastRenderedPageBreak/>
        <w:t xml:space="preserve">thereby potentially contributing to the management of DPN. </w:t>
      </w:r>
      <w:r w:rsidR="00E748F8" w:rsidRPr="00E05D0F">
        <w:rPr>
          <w:rFonts w:asciiTheme="majorBidi" w:hAnsiTheme="majorBidi" w:cstheme="majorBidi"/>
        </w:rPr>
        <w:t>QZ</w:t>
      </w:r>
      <w:r w:rsidR="00A84CF2" w:rsidRPr="00E05D0F">
        <w:rPr>
          <w:rFonts w:asciiTheme="majorBidi" w:hAnsiTheme="majorBidi" w:cstheme="majorBidi"/>
        </w:rPr>
        <w:t>K</w:t>
      </w:r>
      <w:r w:rsidR="00D14F6F" w:rsidRPr="00E05D0F">
        <w:rPr>
          <w:rFonts w:asciiTheme="majorBidi" w:hAnsiTheme="majorBidi" w:cstheme="majorBidi"/>
        </w:rPr>
        <w:t xml:space="preserve"> </w:t>
      </w:r>
      <w:r w:rsidR="00E748F8" w:rsidRPr="00E05D0F">
        <w:rPr>
          <w:rFonts w:asciiTheme="majorBidi" w:hAnsiTheme="majorBidi" w:cstheme="majorBidi"/>
        </w:rPr>
        <w:t>is a well-documented hypoglycemic agent</w:t>
      </w:r>
      <w:r w:rsidR="00014B0A" w:rsidRPr="00E05D0F">
        <w:rPr>
          <w:rFonts w:asciiTheme="majorBidi" w:hAnsiTheme="majorBidi" w:cstheme="majorBidi"/>
        </w:rPr>
        <w:t>.</w:t>
      </w:r>
      <w:r w:rsidR="00E748F8" w:rsidRPr="00E05D0F">
        <w:rPr>
          <w:rFonts w:asciiTheme="majorBidi" w:hAnsiTheme="majorBidi" w:cstheme="majorBidi"/>
        </w:rPr>
        <w:t xml:space="preserve"> </w:t>
      </w:r>
      <w:r w:rsidR="00014B0A" w:rsidRPr="00E05D0F">
        <w:rPr>
          <w:rFonts w:asciiTheme="majorBidi" w:hAnsiTheme="majorBidi" w:cstheme="majorBidi"/>
        </w:rPr>
        <w:t>HA, another polyherbal Unani formulation</w:t>
      </w:r>
      <w:r w:rsidR="0090351C" w:rsidRPr="00E05D0F">
        <w:rPr>
          <w:rFonts w:asciiTheme="majorBidi" w:hAnsiTheme="majorBidi" w:cstheme="majorBidi"/>
        </w:rPr>
        <w:t>,</w:t>
      </w:r>
      <w:r w:rsidR="00014B0A" w:rsidRPr="00E05D0F">
        <w:rPr>
          <w:rFonts w:asciiTheme="majorBidi" w:hAnsiTheme="majorBidi" w:cstheme="majorBidi"/>
        </w:rPr>
        <w:t xml:space="preserve"> has traditionally</w:t>
      </w:r>
      <w:r w:rsidR="0090351C" w:rsidRPr="00E05D0F">
        <w:rPr>
          <w:rFonts w:asciiTheme="majorBidi" w:hAnsiTheme="majorBidi" w:cstheme="majorBidi"/>
        </w:rPr>
        <w:t xml:space="preserve"> been used to treat </w:t>
      </w:r>
      <w:r w:rsidR="00014B0A" w:rsidRPr="00E05D0F">
        <w:rPr>
          <w:rFonts w:asciiTheme="majorBidi" w:hAnsiTheme="majorBidi" w:cstheme="majorBidi"/>
        </w:rPr>
        <w:t>neurological disorders, particularly in alleviating neuropathic pain</w:t>
      </w:r>
      <w:r w:rsidR="00E748F8" w:rsidRPr="00E05D0F">
        <w:rPr>
          <w:rFonts w:asciiTheme="majorBidi" w:hAnsiTheme="majorBidi" w:cstheme="majorBidi"/>
        </w:rPr>
        <w:t>.</w:t>
      </w:r>
      <w:r w:rsidR="006E4584" w:rsidRPr="00E05D0F">
        <w:rPr>
          <w:rFonts w:asciiTheme="majorBidi" w:hAnsiTheme="majorBidi" w:cstheme="majorBidi"/>
        </w:rPr>
        <w:t xml:space="preserve"> </w:t>
      </w:r>
      <w:r w:rsidR="00565B6D" w:rsidRPr="00FA7433">
        <w:rPr>
          <w:rFonts w:asciiTheme="majorBidi" w:hAnsiTheme="majorBidi" w:cstheme="majorBidi"/>
          <w:vertAlign w:val="superscript"/>
        </w:rPr>
        <w:fldChar w:fldCharType="begin"/>
      </w:r>
      <w:r w:rsidR="006E4584" w:rsidRPr="00FA7433">
        <w:rPr>
          <w:rFonts w:asciiTheme="majorBidi" w:hAnsiTheme="majorBidi" w:cstheme="majorBidi"/>
          <w:vertAlign w:val="superscript"/>
        </w:rPr>
        <w:instrText xml:space="preserve"> ADDIN ZOTERO_ITEM CSL_CITATION {"citationID":"eNVVQSOi","properties":{"formattedCitation":"(9)","plainCitation":"(9)","noteIndex":0},"citationItems":[{"id":75,"uris":["http://zotero.org/users/local/IUvTSyB4/items/BTU23UMD"],"itemData":{"id":75,"type":"article-journal","abstract":"OBJECTIVES: Diabetic peripheral neuropathy (DPN) is a common diabetes complication. The prevalence of neuropathy is 55% for type 1 and 66% for type 2 diabetes. In Unani medicine neuropathy is known as Khidr (numbness). It is treated with drugs possessing hypoglycemic and analgesic properties, etc. Habb-e-Asab, a polyherbal Unani formulation used for the treatment of Waja-ul-Asab (neuralgia) is routinely used for its indications in neurological pain in Unani medicine. The aim of this study to investigate the efficacy of Habb-e-Asab in diabetic peripheral neuropathy.\nMETHODS: Thirty patients with DPN were randomly assigned to test (n=20) and control (n=10) groups in a randomized single-blind placebo control study. For 45 days, the test group was given 250 mg Habb-e-Asab twice a day and the control group 250 mg placebo twice a day. The subjective parameters Pain in feet, burning in feet, and tingling in feet was assessed by the arbitrary scale and VAS fortnightly and objective parameters MNSI, and VPT was assessed in pre-post-treatment.\nRESULTS: The research drug revealed highly statistically significant with p&lt;0.001 on VAS score and MNSI whereas VPT is significant with p&lt;0.01 on few points. But control group exhibits no significant effect in any of the parameters. No adverse effects had been reported in either group.\nCONCLUSIONS: Our finding indicated that the Habb-e-Asab for 45 days improved and reduced the severity of DPN in a patient with diabetes (CTRI/2018/02/011725).","container-title":"Journal of Basic and Clinical Physiology and Pharmacology","DOI":"10.1515/jbcpp-2021-0330","ISSN":"2191-0286","issue":"6","journalAbbreviation":"J Basic Clin Physiol Pharmacol","language":"eng","note":"PMID: 35026880","page":"735-744","source":"PubMed","title":"Efficacy of Habb-e-Asab in diabetic peripheral neuropathy: a randomized placebo control study","title-short":"Efficacy of Habb-e-Asab in diabetic peripheral neuropathy","volume":"34","author":[{"family":"Nizamdeen","given":"Fathima Nafha"},{"family":"Quamri","given":"Mohd Aleemuddin"},{"family":"Anzar Alam","given":"Md"}],"issued":{"date-parts":[["2023",11,1]]}}}],"schema":"https://github.com/citation-style-language/schema/raw/master/csl-citation.json"} </w:instrText>
      </w:r>
      <w:r w:rsidR="00565B6D" w:rsidRPr="00FA7433">
        <w:rPr>
          <w:rFonts w:asciiTheme="majorBidi" w:hAnsiTheme="majorBidi" w:cstheme="majorBidi"/>
          <w:vertAlign w:val="superscript"/>
        </w:rPr>
        <w:fldChar w:fldCharType="separate"/>
      </w:r>
      <w:r w:rsidR="00FA7433" w:rsidRPr="00FA7433">
        <w:rPr>
          <w:rFonts w:asciiTheme="majorBidi" w:hAnsiTheme="majorBidi" w:cstheme="majorBidi"/>
          <w:vertAlign w:val="superscript"/>
        </w:rPr>
        <w:t>[</w:t>
      </w:r>
      <w:r w:rsidR="006E4584" w:rsidRPr="00FA7433">
        <w:rPr>
          <w:rFonts w:asciiTheme="majorBidi" w:hAnsiTheme="majorBidi" w:cstheme="majorBidi"/>
          <w:vertAlign w:val="superscript"/>
        </w:rPr>
        <w:t>9</w:t>
      </w:r>
      <w:r w:rsidR="00565B6D" w:rsidRPr="00FA7433">
        <w:rPr>
          <w:rFonts w:asciiTheme="majorBidi" w:hAnsiTheme="majorBidi" w:cstheme="majorBidi"/>
          <w:vertAlign w:val="superscript"/>
        </w:rPr>
        <w:fldChar w:fldCharType="end"/>
      </w:r>
      <w:r w:rsidR="00FA7433" w:rsidRPr="00FA7433">
        <w:rPr>
          <w:rFonts w:asciiTheme="majorBidi" w:hAnsiTheme="majorBidi" w:cstheme="majorBidi"/>
          <w:vertAlign w:val="superscript"/>
        </w:rPr>
        <w:t>]</w:t>
      </w:r>
      <w:r w:rsidR="00014B0A" w:rsidRPr="00E05D0F">
        <w:rPr>
          <w:rFonts w:asciiTheme="majorBidi" w:hAnsiTheme="majorBidi" w:cstheme="majorBidi"/>
        </w:rPr>
        <w:t xml:space="preserve"> </w:t>
      </w:r>
      <w:r w:rsidR="0090351C" w:rsidRPr="00E05D0F">
        <w:rPr>
          <w:rFonts w:asciiTheme="majorBidi" w:hAnsiTheme="majorBidi" w:cstheme="majorBidi"/>
        </w:rPr>
        <w:t>This case series evaluated</w:t>
      </w:r>
      <w:r w:rsidR="002F3441" w:rsidRPr="00E05D0F">
        <w:rPr>
          <w:rFonts w:asciiTheme="majorBidi" w:hAnsiTheme="majorBidi" w:cstheme="majorBidi"/>
        </w:rPr>
        <w:t xml:space="preserve"> the therapeutic efficacy of </w:t>
      </w:r>
      <w:r w:rsidR="00292F3B" w:rsidRPr="00E05D0F">
        <w:rPr>
          <w:rFonts w:asciiTheme="majorBidi" w:hAnsiTheme="majorBidi" w:cstheme="majorBidi"/>
        </w:rPr>
        <w:t xml:space="preserve">QZK and HA </w:t>
      </w:r>
      <w:r w:rsidR="002F3441" w:rsidRPr="00E05D0F">
        <w:rPr>
          <w:rFonts w:asciiTheme="majorBidi" w:hAnsiTheme="majorBidi" w:cstheme="majorBidi"/>
        </w:rPr>
        <w:t xml:space="preserve">in patients with </w:t>
      </w:r>
      <w:r w:rsidR="00292F3B" w:rsidRPr="00E05D0F">
        <w:rPr>
          <w:rFonts w:asciiTheme="majorBidi" w:hAnsiTheme="majorBidi" w:cstheme="majorBidi"/>
        </w:rPr>
        <w:t>DPN</w:t>
      </w:r>
      <w:r w:rsidR="002F3441" w:rsidRPr="00E05D0F">
        <w:rPr>
          <w:rFonts w:asciiTheme="majorBidi" w:hAnsiTheme="majorBidi" w:cstheme="majorBidi"/>
        </w:rPr>
        <w:t xml:space="preserve">. </w:t>
      </w:r>
      <w:r w:rsidR="0090351C" w:rsidRPr="00E05D0F">
        <w:rPr>
          <w:rFonts w:asciiTheme="majorBidi" w:hAnsiTheme="majorBidi" w:cstheme="majorBidi"/>
        </w:rPr>
        <w:t>This</w:t>
      </w:r>
      <w:r w:rsidR="00320697" w:rsidRPr="00E05D0F">
        <w:rPr>
          <w:rFonts w:asciiTheme="majorBidi" w:hAnsiTheme="majorBidi" w:cstheme="majorBidi"/>
        </w:rPr>
        <w:t xml:space="preserve"> study </w:t>
      </w:r>
      <w:r w:rsidR="0090351C" w:rsidRPr="00E05D0F">
        <w:rPr>
          <w:rFonts w:asciiTheme="majorBidi" w:hAnsiTheme="majorBidi" w:cstheme="majorBidi"/>
        </w:rPr>
        <w:t xml:space="preserve">demonstrates </w:t>
      </w:r>
      <w:r w:rsidR="00320697" w:rsidRPr="00E05D0F">
        <w:rPr>
          <w:rFonts w:asciiTheme="majorBidi" w:hAnsiTheme="majorBidi" w:cstheme="majorBidi"/>
        </w:rPr>
        <w:t>the efficacy and safety of the Unani m</w:t>
      </w:r>
      <w:r w:rsidR="0090351C" w:rsidRPr="00E05D0F">
        <w:rPr>
          <w:rFonts w:asciiTheme="majorBidi" w:hAnsiTheme="majorBidi" w:cstheme="majorBidi"/>
        </w:rPr>
        <w:t>edicinal</w:t>
      </w:r>
      <w:r w:rsidR="00320697" w:rsidRPr="00E05D0F">
        <w:rPr>
          <w:rFonts w:asciiTheme="majorBidi" w:hAnsiTheme="majorBidi" w:cstheme="majorBidi"/>
        </w:rPr>
        <w:t xml:space="preserve"> approach as a safe and effective alternative </w:t>
      </w:r>
      <w:r w:rsidR="0090351C" w:rsidRPr="00E05D0F">
        <w:rPr>
          <w:rFonts w:asciiTheme="majorBidi" w:hAnsiTheme="majorBidi" w:cstheme="majorBidi"/>
        </w:rPr>
        <w:t xml:space="preserve">for </w:t>
      </w:r>
      <w:r w:rsidR="00320697" w:rsidRPr="00E05D0F">
        <w:rPr>
          <w:rFonts w:asciiTheme="majorBidi" w:hAnsiTheme="majorBidi" w:cstheme="majorBidi"/>
        </w:rPr>
        <w:t>the management of DPN.</w:t>
      </w:r>
    </w:p>
    <w:p w:rsidR="00821363" w:rsidRPr="00E05D0F" w:rsidRDefault="00821363"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Case presentation</w:t>
      </w:r>
    </w:p>
    <w:p w:rsidR="00821363" w:rsidRPr="00E05D0F" w:rsidRDefault="00821363" w:rsidP="00514CB1">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color w:val="auto"/>
          <w:sz w:val="24"/>
          <w:szCs w:val="24"/>
        </w:rPr>
        <w:t xml:space="preserve">The three cases that were taken had presented with complaints </w:t>
      </w:r>
      <w:r w:rsidR="00514CB1" w:rsidRPr="00E05D0F">
        <w:rPr>
          <w:rFonts w:asciiTheme="majorBidi" w:hAnsiTheme="majorBidi" w:cstheme="majorBidi"/>
          <w:color w:val="auto"/>
          <w:sz w:val="24"/>
          <w:szCs w:val="24"/>
        </w:rPr>
        <w:t xml:space="preserve">of </w:t>
      </w:r>
      <w:r w:rsidR="00B8490A" w:rsidRPr="00E05D0F">
        <w:rPr>
          <w:rFonts w:asciiTheme="majorBidi" w:hAnsiTheme="majorBidi" w:cstheme="majorBidi"/>
          <w:color w:val="auto"/>
          <w:sz w:val="24"/>
          <w:szCs w:val="24"/>
        </w:rPr>
        <w:t>burning</w:t>
      </w:r>
      <w:r w:rsidR="00A470DC" w:rsidRPr="00E05D0F">
        <w:rPr>
          <w:rFonts w:asciiTheme="majorBidi" w:hAnsiTheme="majorBidi" w:cstheme="majorBidi"/>
          <w:color w:val="auto"/>
          <w:sz w:val="24"/>
          <w:szCs w:val="24"/>
        </w:rPr>
        <w:t xml:space="preserve"> sensation</w:t>
      </w:r>
      <w:r w:rsidR="00B8490A" w:rsidRPr="00E05D0F">
        <w:rPr>
          <w:rFonts w:asciiTheme="majorBidi" w:hAnsiTheme="majorBidi" w:cstheme="majorBidi"/>
          <w:color w:val="auto"/>
          <w:sz w:val="24"/>
          <w:szCs w:val="24"/>
        </w:rPr>
        <w:t xml:space="preserve">, </w:t>
      </w:r>
      <w:r w:rsidR="00F4213C" w:rsidRPr="00E05D0F">
        <w:rPr>
          <w:rFonts w:asciiTheme="majorBidi" w:hAnsiTheme="majorBidi" w:cstheme="majorBidi"/>
          <w:color w:val="auto"/>
          <w:sz w:val="24"/>
          <w:szCs w:val="24"/>
        </w:rPr>
        <w:t>numbness</w:t>
      </w:r>
      <w:r w:rsidR="00B8490A" w:rsidRPr="00E05D0F">
        <w:rPr>
          <w:rFonts w:asciiTheme="majorBidi" w:hAnsiTheme="majorBidi" w:cstheme="majorBidi"/>
          <w:color w:val="auto"/>
          <w:sz w:val="24"/>
          <w:szCs w:val="24"/>
        </w:rPr>
        <w:t xml:space="preserve">, and </w:t>
      </w:r>
      <w:r w:rsidRPr="00E05D0F">
        <w:rPr>
          <w:rFonts w:asciiTheme="majorBidi" w:hAnsiTheme="majorBidi" w:cstheme="majorBidi"/>
          <w:color w:val="auto"/>
          <w:sz w:val="24"/>
          <w:szCs w:val="24"/>
        </w:rPr>
        <w:t xml:space="preserve">neuropathic pain, </w:t>
      </w:r>
      <w:r w:rsidR="00514CB1" w:rsidRPr="00E05D0F">
        <w:rPr>
          <w:rFonts w:asciiTheme="majorBidi" w:hAnsiTheme="majorBidi" w:cstheme="majorBidi"/>
          <w:color w:val="auto"/>
          <w:sz w:val="24"/>
          <w:szCs w:val="24"/>
        </w:rPr>
        <w:t xml:space="preserve">of </w:t>
      </w:r>
      <w:r w:rsidRPr="00E05D0F">
        <w:rPr>
          <w:rFonts w:asciiTheme="majorBidi" w:hAnsiTheme="majorBidi" w:cstheme="majorBidi"/>
          <w:color w:val="auto"/>
          <w:sz w:val="24"/>
          <w:szCs w:val="24"/>
        </w:rPr>
        <w:t xml:space="preserve">varying durations. The </w:t>
      </w:r>
      <w:r w:rsidR="00514CB1" w:rsidRPr="00E05D0F">
        <w:rPr>
          <w:rFonts w:asciiTheme="majorBidi" w:hAnsiTheme="majorBidi" w:cstheme="majorBidi"/>
          <w:color w:val="auto"/>
          <w:sz w:val="24"/>
          <w:szCs w:val="24"/>
        </w:rPr>
        <w:t>patients</w:t>
      </w:r>
      <w:r w:rsidRPr="00E05D0F">
        <w:rPr>
          <w:rFonts w:asciiTheme="majorBidi" w:hAnsiTheme="majorBidi" w:cstheme="majorBidi"/>
          <w:color w:val="auto"/>
          <w:sz w:val="24"/>
          <w:szCs w:val="24"/>
        </w:rPr>
        <w:t xml:space="preserve"> were evaluated based on </w:t>
      </w:r>
      <w:r w:rsidR="00514CB1" w:rsidRPr="00E05D0F">
        <w:rPr>
          <w:rFonts w:asciiTheme="majorBidi" w:hAnsiTheme="majorBidi" w:cstheme="majorBidi"/>
          <w:color w:val="auto"/>
          <w:sz w:val="24"/>
          <w:szCs w:val="24"/>
        </w:rPr>
        <w:t xml:space="preserve">their </w:t>
      </w:r>
      <w:r w:rsidRPr="00E05D0F">
        <w:rPr>
          <w:rFonts w:asciiTheme="majorBidi" w:hAnsiTheme="majorBidi" w:cstheme="majorBidi"/>
          <w:color w:val="auto"/>
          <w:sz w:val="24"/>
          <w:szCs w:val="24"/>
        </w:rPr>
        <w:t>history, clinical presentation, and diagnostic findings.</w:t>
      </w:r>
    </w:p>
    <w:p w:rsidR="00821363" w:rsidRPr="00E05D0F" w:rsidRDefault="00821363"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 xml:space="preserve">Case </w:t>
      </w:r>
      <w:r w:rsidR="00EF0EAE" w:rsidRPr="00E05D0F">
        <w:rPr>
          <w:rFonts w:asciiTheme="majorBidi" w:hAnsiTheme="majorBidi" w:cstheme="majorBidi"/>
          <w:b/>
          <w:bCs/>
          <w:color w:val="auto"/>
          <w:sz w:val="24"/>
          <w:szCs w:val="24"/>
        </w:rPr>
        <w:t>N</w:t>
      </w:r>
      <w:r w:rsidRPr="00E05D0F">
        <w:rPr>
          <w:rFonts w:asciiTheme="majorBidi" w:hAnsiTheme="majorBidi" w:cstheme="majorBidi"/>
          <w:b/>
          <w:bCs/>
          <w:color w:val="auto"/>
          <w:sz w:val="24"/>
          <w:szCs w:val="24"/>
        </w:rPr>
        <w:t>o.</w:t>
      </w:r>
      <w:r w:rsidR="00F25A3F" w:rsidRPr="00E05D0F">
        <w:rPr>
          <w:rFonts w:asciiTheme="majorBidi" w:hAnsiTheme="majorBidi" w:cstheme="majorBidi"/>
          <w:b/>
          <w:bCs/>
          <w:color w:val="auto"/>
          <w:sz w:val="24"/>
          <w:szCs w:val="24"/>
        </w:rPr>
        <w:t xml:space="preserve"> </w:t>
      </w:r>
      <w:r w:rsidRPr="00E05D0F">
        <w:rPr>
          <w:rFonts w:asciiTheme="majorBidi" w:hAnsiTheme="majorBidi" w:cstheme="majorBidi"/>
          <w:b/>
          <w:bCs/>
          <w:color w:val="auto"/>
          <w:sz w:val="24"/>
          <w:szCs w:val="24"/>
        </w:rPr>
        <w:t>1</w:t>
      </w:r>
    </w:p>
    <w:p w:rsidR="00687B71" w:rsidRPr="00E05D0F" w:rsidRDefault="00687B71" w:rsidP="00FC0F6C">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color w:val="auto"/>
          <w:sz w:val="24"/>
          <w:szCs w:val="24"/>
        </w:rPr>
        <w:t xml:space="preserve">A 53-year-old male patient was admitted to the </w:t>
      </w:r>
      <w:r w:rsidR="00FC0F6C" w:rsidRPr="00E05D0F">
        <w:rPr>
          <w:rFonts w:asciiTheme="majorBidi" w:hAnsiTheme="majorBidi" w:cstheme="majorBidi"/>
          <w:color w:val="auto"/>
          <w:sz w:val="24"/>
          <w:szCs w:val="24"/>
        </w:rPr>
        <w:t xml:space="preserve">In-Patient Department (IPD) </w:t>
      </w:r>
      <w:r w:rsidRPr="00E05D0F">
        <w:rPr>
          <w:rFonts w:asciiTheme="majorBidi" w:hAnsiTheme="majorBidi" w:cstheme="majorBidi"/>
          <w:color w:val="auto"/>
          <w:sz w:val="24"/>
          <w:szCs w:val="24"/>
        </w:rPr>
        <w:t>on 27.01.2025 bearing CR. no.</w:t>
      </w:r>
      <w:r w:rsidR="00E73CE6" w:rsidRPr="00E05D0F">
        <w:rPr>
          <w:rFonts w:asciiTheme="majorBidi" w:hAnsiTheme="majorBidi" w:cstheme="majorBidi"/>
          <w:color w:val="auto"/>
          <w:sz w:val="24"/>
          <w:szCs w:val="24"/>
        </w:rPr>
        <w:t xml:space="preserve"> 474615</w:t>
      </w:r>
      <w:r w:rsidR="00FC0F6C"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with complaints of profuse sweating, frequent micturition, numbness</w:t>
      </w:r>
      <w:r w:rsidR="00FC0F6C"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and pain in </w:t>
      </w:r>
      <w:r w:rsidR="00FC0F6C" w:rsidRPr="00E05D0F">
        <w:rPr>
          <w:rFonts w:asciiTheme="majorBidi" w:hAnsiTheme="majorBidi" w:cstheme="majorBidi"/>
          <w:color w:val="auto"/>
          <w:sz w:val="24"/>
          <w:szCs w:val="24"/>
        </w:rPr>
        <w:t xml:space="preserve">the </w:t>
      </w:r>
      <w:r w:rsidRPr="00E05D0F">
        <w:rPr>
          <w:rFonts w:asciiTheme="majorBidi" w:hAnsiTheme="majorBidi" w:cstheme="majorBidi"/>
          <w:color w:val="auto"/>
          <w:sz w:val="24"/>
          <w:szCs w:val="24"/>
        </w:rPr>
        <w:t xml:space="preserve">bilateral soles. The patient </w:t>
      </w:r>
      <w:r w:rsidR="00FC0F6C" w:rsidRPr="00E05D0F">
        <w:rPr>
          <w:rFonts w:asciiTheme="majorBidi" w:hAnsiTheme="majorBidi" w:cstheme="majorBidi"/>
          <w:color w:val="auto"/>
          <w:sz w:val="24"/>
          <w:szCs w:val="24"/>
        </w:rPr>
        <w:t xml:space="preserve">also complained of </w:t>
      </w:r>
      <w:r w:rsidRPr="00E05D0F">
        <w:rPr>
          <w:rFonts w:asciiTheme="majorBidi" w:hAnsiTheme="majorBidi" w:cstheme="majorBidi"/>
          <w:color w:val="auto"/>
          <w:sz w:val="24"/>
          <w:szCs w:val="24"/>
        </w:rPr>
        <w:t>gas</w:t>
      </w:r>
      <w:r w:rsidR="00FC0F6C" w:rsidRPr="00E05D0F">
        <w:rPr>
          <w:rFonts w:asciiTheme="majorBidi" w:hAnsiTheme="majorBidi" w:cstheme="majorBidi"/>
          <w:color w:val="auto"/>
          <w:sz w:val="24"/>
          <w:szCs w:val="24"/>
        </w:rPr>
        <w:t>eous</w:t>
      </w:r>
      <w:r w:rsidRPr="00E05D0F">
        <w:rPr>
          <w:rFonts w:asciiTheme="majorBidi" w:hAnsiTheme="majorBidi" w:cstheme="majorBidi"/>
          <w:color w:val="auto"/>
          <w:sz w:val="24"/>
          <w:szCs w:val="24"/>
        </w:rPr>
        <w:t xml:space="preserve"> </w:t>
      </w:r>
      <w:r w:rsidR="00FC0F6C" w:rsidRPr="00E05D0F">
        <w:rPr>
          <w:rFonts w:asciiTheme="majorBidi" w:hAnsiTheme="majorBidi" w:cstheme="majorBidi"/>
          <w:color w:val="auto"/>
          <w:sz w:val="24"/>
          <w:szCs w:val="24"/>
        </w:rPr>
        <w:t xml:space="preserve">problems, </w:t>
      </w:r>
      <w:r w:rsidRPr="00E05D0F">
        <w:rPr>
          <w:rFonts w:asciiTheme="majorBidi" w:hAnsiTheme="majorBidi" w:cstheme="majorBidi"/>
          <w:color w:val="auto"/>
          <w:sz w:val="24"/>
          <w:szCs w:val="24"/>
        </w:rPr>
        <w:t>constipation</w:t>
      </w:r>
      <w:r w:rsidR="00FC0F6C"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and muscle weakness in </w:t>
      </w:r>
      <w:r w:rsidR="00FC0F6C" w:rsidRPr="00E05D0F">
        <w:rPr>
          <w:rFonts w:asciiTheme="majorBidi" w:hAnsiTheme="majorBidi" w:cstheme="majorBidi"/>
          <w:color w:val="auto"/>
          <w:sz w:val="24"/>
          <w:szCs w:val="24"/>
        </w:rPr>
        <w:t xml:space="preserve">the </w:t>
      </w:r>
      <w:r w:rsidRPr="00E05D0F">
        <w:rPr>
          <w:rFonts w:asciiTheme="majorBidi" w:hAnsiTheme="majorBidi" w:cstheme="majorBidi"/>
          <w:color w:val="auto"/>
          <w:sz w:val="24"/>
          <w:szCs w:val="24"/>
        </w:rPr>
        <w:t xml:space="preserve">lower limbs. He was diagnosed </w:t>
      </w:r>
      <w:r w:rsidR="00FC0F6C" w:rsidRPr="00E05D0F">
        <w:rPr>
          <w:rFonts w:asciiTheme="majorBidi" w:hAnsiTheme="majorBidi" w:cstheme="majorBidi"/>
          <w:color w:val="auto"/>
          <w:sz w:val="24"/>
          <w:szCs w:val="24"/>
        </w:rPr>
        <w:t xml:space="preserve">with </w:t>
      </w:r>
      <w:r w:rsidR="003C429F" w:rsidRPr="00E05D0F">
        <w:rPr>
          <w:rFonts w:asciiTheme="majorBidi" w:hAnsiTheme="majorBidi" w:cstheme="majorBidi"/>
          <w:color w:val="auto"/>
          <w:sz w:val="24"/>
          <w:szCs w:val="24"/>
        </w:rPr>
        <w:t>T2DM</w:t>
      </w:r>
      <w:r w:rsidRPr="00E05D0F">
        <w:rPr>
          <w:rFonts w:asciiTheme="majorBidi" w:hAnsiTheme="majorBidi" w:cstheme="majorBidi"/>
          <w:color w:val="auto"/>
          <w:sz w:val="24"/>
          <w:szCs w:val="24"/>
        </w:rPr>
        <w:t xml:space="preserve"> </w:t>
      </w:r>
      <w:r w:rsidR="00FC0F6C" w:rsidRPr="00E05D0F">
        <w:rPr>
          <w:rFonts w:asciiTheme="majorBidi" w:hAnsiTheme="majorBidi" w:cstheme="majorBidi"/>
          <w:color w:val="auto"/>
          <w:sz w:val="24"/>
          <w:szCs w:val="24"/>
        </w:rPr>
        <w:t>for</w:t>
      </w:r>
      <w:r w:rsidRPr="00E05D0F">
        <w:rPr>
          <w:rFonts w:asciiTheme="majorBidi" w:hAnsiTheme="majorBidi" w:cstheme="majorBidi"/>
          <w:color w:val="auto"/>
          <w:sz w:val="24"/>
          <w:szCs w:val="24"/>
        </w:rPr>
        <w:t xml:space="preserve"> 7 years and </w:t>
      </w:r>
      <w:r w:rsidR="00552ADA">
        <w:rPr>
          <w:rFonts w:asciiTheme="majorBidi" w:hAnsiTheme="majorBidi" w:cstheme="majorBidi"/>
          <w:color w:val="auto"/>
          <w:sz w:val="24"/>
          <w:szCs w:val="24"/>
        </w:rPr>
        <w:t xml:space="preserve">has </w:t>
      </w:r>
      <w:r w:rsidR="0029259A" w:rsidRPr="00E05D0F">
        <w:rPr>
          <w:rFonts w:asciiTheme="majorBidi" w:hAnsiTheme="majorBidi" w:cstheme="majorBidi"/>
          <w:color w:val="auto"/>
          <w:sz w:val="24"/>
          <w:szCs w:val="24"/>
        </w:rPr>
        <w:t>received</w:t>
      </w:r>
      <w:r w:rsidR="00FC0F6C" w:rsidRPr="00E05D0F">
        <w:rPr>
          <w:rFonts w:asciiTheme="majorBidi" w:hAnsiTheme="majorBidi" w:cstheme="majorBidi"/>
          <w:color w:val="auto"/>
          <w:sz w:val="24"/>
          <w:szCs w:val="24"/>
        </w:rPr>
        <w:t xml:space="preserve"> </w:t>
      </w:r>
      <w:r w:rsidRPr="00E05D0F">
        <w:rPr>
          <w:rFonts w:asciiTheme="majorBidi" w:hAnsiTheme="majorBidi" w:cstheme="majorBidi"/>
          <w:color w:val="auto"/>
          <w:sz w:val="24"/>
          <w:szCs w:val="24"/>
        </w:rPr>
        <w:t>conventional treatment since then</w:t>
      </w:r>
      <w:r w:rsidR="00552ADA">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with poor compliance. He was taking metformin 500</w:t>
      </w:r>
      <w:r w:rsidR="00C83BB5" w:rsidRPr="00E05D0F">
        <w:rPr>
          <w:rFonts w:asciiTheme="majorBidi" w:hAnsiTheme="majorBidi" w:cstheme="majorBidi"/>
          <w:color w:val="auto"/>
          <w:sz w:val="24"/>
          <w:szCs w:val="24"/>
        </w:rPr>
        <w:t xml:space="preserve"> mg</w:t>
      </w:r>
      <w:r w:rsidRPr="00E05D0F">
        <w:rPr>
          <w:rFonts w:asciiTheme="majorBidi" w:hAnsiTheme="majorBidi" w:cstheme="majorBidi"/>
          <w:color w:val="auto"/>
          <w:sz w:val="24"/>
          <w:szCs w:val="24"/>
        </w:rPr>
        <w:t xml:space="preserve"> three times a day </w:t>
      </w:r>
      <w:r w:rsidR="00FC0F6C" w:rsidRPr="00E05D0F">
        <w:rPr>
          <w:rFonts w:asciiTheme="majorBidi" w:hAnsiTheme="majorBidi" w:cstheme="majorBidi"/>
          <w:color w:val="auto"/>
          <w:sz w:val="24"/>
          <w:szCs w:val="24"/>
        </w:rPr>
        <w:t xml:space="preserve">for </w:t>
      </w:r>
      <w:r w:rsidR="00E73CE6" w:rsidRPr="00E05D0F">
        <w:rPr>
          <w:rFonts w:asciiTheme="majorBidi" w:hAnsiTheme="majorBidi" w:cstheme="majorBidi"/>
          <w:color w:val="auto"/>
          <w:sz w:val="24"/>
          <w:szCs w:val="24"/>
        </w:rPr>
        <w:t xml:space="preserve">7 years </w:t>
      </w:r>
      <w:r w:rsidRPr="00E05D0F">
        <w:rPr>
          <w:rFonts w:asciiTheme="majorBidi" w:hAnsiTheme="majorBidi" w:cstheme="majorBidi"/>
          <w:color w:val="auto"/>
          <w:sz w:val="24"/>
          <w:szCs w:val="24"/>
        </w:rPr>
        <w:t xml:space="preserve">and glimepiride 1 mg once in </w:t>
      </w:r>
      <w:r w:rsidR="00E73CE6" w:rsidRPr="00E05D0F">
        <w:rPr>
          <w:rFonts w:asciiTheme="majorBidi" w:hAnsiTheme="majorBidi" w:cstheme="majorBidi"/>
          <w:color w:val="auto"/>
          <w:sz w:val="24"/>
          <w:szCs w:val="24"/>
        </w:rPr>
        <w:t xml:space="preserve">the </w:t>
      </w:r>
      <w:r w:rsidRPr="00E05D0F">
        <w:rPr>
          <w:rFonts w:asciiTheme="majorBidi" w:hAnsiTheme="majorBidi" w:cstheme="majorBidi"/>
          <w:color w:val="auto"/>
          <w:sz w:val="24"/>
          <w:szCs w:val="24"/>
        </w:rPr>
        <w:t>morning after breakfast</w:t>
      </w:r>
      <w:r w:rsidR="00FC0F6C" w:rsidRPr="00E05D0F">
        <w:rPr>
          <w:rFonts w:asciiTheme="majorBidi" w:hAnsiTheme="majorBidi" w:cstheme="majorBidi"/>
          <w:color w:val="auto"/>
          <w:sz w:val="24"/>
          <w:szCs w:val="24"/>
        </w:rPr>
        <w:t xml:space="preserve"> for 6 months</w:t>
      </w:r>
      <w:r w:rsidRPr="00E05D0F">
        <w:rPr>
          <w:rFonts w:asciiTheme="majorBidi" w:hAnsiTheme="majorBidi" w:cstheme="majorBidi"/>
          <w:color w:val="auto"/>
          <w:sz w:val="24"/>
          <w:szCs w:val="24"/>
        </w:rPr>
        <w:t>.</w:t>
      </w:r>
    </w:p>
    <w:p w:rsidR="00EF0EAE" w:rsidRPr="00E05D0F" w:rsidRDefault="00EF0EAE"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Case No.</w:t>
      </w:r>
      <w:r w:rsidR="00F25A3F" w:rsidRPr="00E05D0F">
        <w:rPr>
          <w:rFonts w:asciiTheme="majorBidi" w:hAnsiTheme="majorBidi" w:cstheme="majorBidi"/>
          <w:b/>
          <w:bCs/>
          <w:color w:val="auto"/>
          <w:sz w:val="24"/>
          <w:szCs w:val="24"/>
        </w:rPr>
        <w:t xml:space="preserve"> </w:t>
      </w:r>
      <w:r w:rsidRPr="00E05D0F">
        <w:rPr>
          <w:rFonts w:asciiTheme="majorBidi" w:hAnsiTheme="majorBidi" w:cstheme="majorBidi"/>
          <w:b/>
          <w:bCs/>
          <w:color w:val="auto"/>
          <w:sz w:val="24"/>
          <w:szCs w:val="24"/>
        </w:rPr>
        <w:t>2</w:t>
      </w:r>
    </w:p>
    <w:p w:rsidR="00687B71" w:rsidRPr="00E05D0F" w:rsidRDefault="00687B71" w:rsidP="001E34BF">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color w:val="auto"/>
          <w:sz w:val="24"/>
          <w:szCs w:val="24"/>
        </w:rPr>
        <w:t>A 59-year-old male patient was admitted to t</w:t>
      </w:r>
      <w:r w:rsidR="00FD5528" w:rsidRPr="00E05D0F">
        <w:rPr>
          <w:rFonts w:asciiTheme="majorBidi" w:hAnsiTheme="majorBidi" w:cstheme="majorBidi"/>
          <w:color w:val="auto"/>
          <w:sz w:val="24"/>
          <w:szCs w:val="24"/>
        </w:rPr>
        <w:t xml:space="preserve">he </w:t>
      </w:r>
      <w:r w:rsidR="001E34BF" w:rsidRPr="00E05D0F">
        <w:rPr>
          <w:rFonts w:asciiTheme="majorBidi" w:hAnsiTheme="majorBidi" w:cstheme="majorBidi"/>
          <w:color w:val="auto"/>
          <w:sz w:val="24"/>
          <w:szCs w:val="24"/>
        </w:rPr>
        <w:t xml:space="preserve">IPD </w:t>
      </w:r>
      <w:r w:rsidR="00FD5528" w:rsidRPr="00E05D0F">
        <w:rPr>
          <w:rFonts w:asciiTheme="majorBidi" w:hAnsiTheme="majorBidi" w:cstheme="majorBidi"/>
          <w:color w:val="auto"/>
          <w:sz w:val="24"/>
          <w:szCs w:val="24"/>
        </w:rPr>
        <w:t>on 1</w:t>
      </w:r>
      <w:r w:rsidRPr="00E05D0F">
        <w:rPr>
          <w:rFonts w:asciiTheme="majorBidi" w:hAnsiTheme="majorBidi" w:cstheme="majorBidi"/>
          <w:color w:val="auto"/>
          <w:sz w:val="24"/>
          <w:szCs w:val="24"/>
        </w:rPr>
        <w:t>6.02.2025 bearing CR. no.</w:t>
      </w:r>
      <w:r w:rsidR="00E73CE6" w:rsidRPr="00E05D0F">
        <w:rPr>
          <w:rFonts w:asciiTheme="majorBidi" w:hAnsiTheme="majorBidi" w:cstheme="majorBidi"/>
          <w:color w:val="auto"/>
          <w:sz w:val="24"/>
          <w:szCs w:val="24"/>
        </w:rPr>
        <w:t xml:space="preserve"> 674941</w:t>
      </w:r>
      <w:r w:rsidR="001E34BF"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with complaints of burning sensation, tingling, numbness</w:t>
      </w:r>
      <w:r w:rsidR="001E34BF"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and neuropathic pain (aggr</w:t>
      </w:r>
      <w:r w:rsidR="001E34BF" w:rsidRPr="00E05D0F">
        <w:rPr>
          <w:rFonts w:asciiTheme="majorBidi" w:hAnsiTheme="majorBidi" w:cstheme="majorBidi"/>
          <w:color w:val="auto"/>
          <w:sz w:val="24"/>
          <w:szCs w:val="24"/>
        </w:rPr>
        <w:t>avated during night) in both</w:t>
      </w:r>
      <w:r w:rsidRPr="00E05D0F">
        <w:rPr>
          <w:rFonts w:asciiTheme="majorBidi" w:hAnsiTheme="majorBidi" w:cstheme="majorBidi"/>
          <w:color w:val="auto"/>
          <w:sz w:val="24"/>
          <w:szCs w:val="24"/>
        </w:rPr>
        <w:t xml:space="preserve"> lower feet soles </w:t>
      </w:r>
      <w:r w:rsidR="00552ADA">
        <w:rPr>
          <w:rFonts w:asciiTheme="majorBidi" w:hAnsiTheme="majorBidi" w:cstheme="majorBidi"/>
          <w:color w:val="auto"/>
          <w:sz w:val="24"/>
          <w:szCs w:val="24"/>
        </w:rPr>
        <w:t>for</w:t>
      </w:r>
      <w:r w:rsidRPr="00E05D0F">
        <w:rPr>
          <w:rFonts w:asciiTheme="majorBidi" w:hAnsiTheme="majorBidi" w:cstheme="majorBidi"/>
          <w:color w:val="auto"/>
          <w:sz w:val="24"/>
          <w:szCs w:val="24"/>
        </w:rPr>
        <w:t xml:space="preserve"> </w:t>
      </w:r>
      <w:r w:rsidR="001E34BF" w:rsidRPr="00E05D0F">
        <w:rPr>
          <w:rFonts w:asciiTheme="majorBidi" w:hAnsiTheme="majorBidi" w:cstheme="majorBidi"/>
          <w:color w:val="auto"/>
          <w:sz w:val="24"/>
          <w:szCs w:val="24"/>
        </w:rPr>
        <w:t xml:space="preserve">the </w:t>
      </w:r>
      <w:r w:rsidRPr="00E05D0F">
        <w:rPr>
          <w:rFonts w:asciiTheme="majorBidi" w:hAnsiTheme="majorBidi" w:cstheme="majorBidi"/>
          <w:color w:val="auto"/>
          <w:sz w:val="24"/>
          <w:szCs w:val="24"/>
        </w:rPr>
        <w:t xml:space="preserve">last 6 months. He </w:t>
      </w:r>
      <w:r w:rsidR="001E34BF" w:rsidRPr="00E05D0F">
        <w:rPr>
          <w:rFonts w:asciiTheme="majorBidi" w:hAnsiTheme="majorBidi" w:cstheme="majorBidi"/>
          <w:color w:val="auto"/>
          <w:sz w:val="24"/>
          <w:szCs w:val="24"/>
        </w:rPr>
        <w:t xml:space="preserve">had been </w:t>
      </w:r>
      <w:r w:rsidR="009F6C30" w:rsidRPr="00E05D0F">
        <w:rPr>
          <w:rFonts w:asciiTheme="majorBidi" w:hAnsiTheme="majorBidi" w:cstheme="majorBidi"/>
          <w:color w:val="auto"/>
          <w:sz w:val="24"/>
          <w:szCs w:val="24"/>
        </w:rPr>
        <w:t xml:space="preserve">diagnosed </w:t>
      </w:r>
      <w:r w:rsidR="001E34BF" w:rsidRPr="00E05D0F">
        <w:rPr>
          <w:rFonts w:asciiTheme="majorBidi" w:hAnsiTheme="majorBidi" w:cstheme="majorBidi"/>
          <w:color w:val="auto"/>
          <w:sz w:val="24"/>
          <w:szCs w:val="24"/>
        </w:rPr>
        <w:t xml:space="preserve">with </w:t>
      </w:r>
      <w:r w:rsidRPr="00E05D0F">
        <w:rPr>
          <w:rFonts w:asciiTheme="majorBidi" w:hAnsiTheme="majorBidi" w:cstheme="majorBidi"/>
          <w:color w:val="auto"/>
          <w:sz w:val="24"/>
          <w:szCs w:val="24"/>
        </w:rPr>
        <w:t xml:space="preserve">T2DM </w:t>
      </w:r>
      <w:r w:rsidR="001E34BF" w:rsidRPr="00E05D0F">
        <w:rPr>
          <w:rFonts w:asciiTheme="majorBidi" w:hAnsiTheme="majorBidi" w:cstheme="majorBidi"/>
          <w:color w:val="auto"/>
          <w:sz w:val="24"/>
          <w:szCs w:val="24"/>
        </w:rPr>
        <w:t>for</w:t>
      </w:r>
      <w:r w:rsidRPr="00E05D0F">
        <w:rPr>
          <w:rFonts w:asciiTheme="majorBidi" w:hAnsiTheme="majorBidi" w:cstheme="majorBidi"/>
          <w:color w:val="auto"/>
          <w:sz w:val="24"/>
          <w:szCs w:val="24"/>
        </w:rPr>
        <w:t xml:space="preserve"> 5 years and </w:t>
      </w:r>
      <w:r w:rsidR="001E34BF" w:rsidRPr="00E05D0F">
        <w:rPr>
          <w:rFonts w:asciiTheme="majorBidi" w:hAnsiTheme="majorBidi" w:cstheme="majorBidi"/>
          <w:color w:val="auto"/>
          <w:sz w:val="24"/>
          <w:szCs w:val="24"/>
        </w:rPr>
        <w:t xml:space="preserve">has been receiving </w:t>
      </w:r>
      <w:r w:rsidRPr="00E05D0F">
        <w:rPr>
          <w:rFonts w:asciiTheme="majorBidi" w:hAnsiTheme="majorBidi" w:cstheme="majorBidi"/>
          <w:color w:val="auto"/>
          <w:sz w:val="24"/>
          <w:szCs w:val="24"/>
        </w:rPr>
        <w:t xml:space="preserve">anti-diabetic drugs since then. He </w:t>
      </w:r>
      <w:r w:rsidR="001E34BF" w:rsidRPr="00E05D0F">
        <w:rPr>
          <w:rFonts w:asciiTheme="majorBidi" w:hAnsiTheme="majorBidi" w:cstheme="majorBidi"/>
          <w:color w:val="auto"/>
          <w:sz w:val="24"/>
          <w:szCs w:val="24"/>
        </w:rPr>
        <w:t>had been taking</w:t>
      </w:r>
      <w:r w:rsidRPr="00E05D0F">
        <w:rPr>
          <w:rFonts w:asciiTheme="majorBidi" w:hAnsiTheme="majorBidi" w:cstheme="majorBidi"/>
          <w:color w:val="auto"/>
          <w:sz w:val="24"/>
          <w:szCs w:val="24"/>
        </w:rPr>
        <w:t xml:space="preserve"> metformin 500 mg </w:t>
      </w:r>
      <w:r w:rsidR="001E34BF" w:rsidRPr="00E05D0F">
        <w:rPr>
          <w:rFonts w:asciiTheme="majorBidi" w:hAnsiTheme="majorBidi" w:cstheme="majorBidi"/>
          <w:color w:val="auto"/>
          <w:sz w:val="24"/>
          <w:szCs w:val="24"/>
        </w:rPr>
        <w:t xml:space="preserve">twice </w:t>
      </w:r>
      <w:r w:rsidRPr="00E05D0F">
        <w:rPr>
          <w:rFonts w:asciiTheme="majorBidi" w:hAnsiTheme="majorBidi" w:cstheme="majorBidi"/>
          <w:color w:val="auto"/>
          <w:sz w:val="24"/>
          <w:szCs w:val="24"/>
        </w:rPr>
        <w:t xml:space="preserve">a day </w:t>
      </w:r>
      <w:r w:rsidR="001E34BF" w:rsidRPr="00E05D0F">
        <w:rPr>
          <w:rFonts w:asciiTheme="majorBidi" w:hAnsiTheme="majorBidi" w:cstheme="majorBidi"/>
          <w:color w:val="auto"/>
          <w:sz w:val="24"/>
          <w:szCs w:val="24"/>
        </w:rPr>
        <w:t>for</w:t>
      </w:r>
      <w:r w:rsidRPr="00E05D0F">
        <w:rPr>
          <w:rFonts w:asciiTheme="majorBidi" w:hAnsiTheme="majorBidi" w:cstheme="majorBidi"/>
          <w:color w:val="auto"/>
          <w:sz w:val="24"/>
          <w:szCs w:val="24"/>
        </w:rPr>
        <w:t xml:space="preserve"> 5 years and glimepiride</w:t>
      </w:r>
      <w:r w:rsidR="00C83BB5" w:rsidRPr="00E05D0F">
        <w:rPr>
          <w:rFonts w:asciiTheme="majorBidi" w:hAnsiTheme="majorBidi" w:cstheme="majorBidi"/>
          <w:color w:val="auto"/>
          <w:sz w:val="24"/>
          <w:szCs w:val="24"/>
        </w:rPr>
        <w:t xml:space="preserve"> 1 mg</w:t>
      </w:r>
      <w:r w:rsidRPr="00E05D0F">
        <w:rPr>
          <w:rFonts w:asciiTheme="majorBidi" w:hAnsiTheme="majorBidi" w:cstheme="majorBidi"/>
          <w:color w:val="auto"/>
          <w:sz w:val="24"/>
          <w:szCs w:val="24"/>
        </w:rPr>
        <w:t xml:space="preserve"> since 1 year</w:t>
      </w:r>
      <w:r w:rsidR="00181761" w:rsidRPr="00E05D0F">
        <w:rPr>
          <w:rFonts w:asciiTheme="majorBidi" w:hAnsiTheme="majorBidi" w:cstheme="majorBidi"/>
          <w:color w:val="auto"/>
          <w:sz w:val="24"/>
          <w:szCs w:val="24"/>
        </w:rPr>
        <w:t xml:space="preserve"> once in the morning after breakfast</w:t>
      </w:r>
      <w:r w:rsidRPr="00E05D0F">
        <w:rPr>
          <w:rFonts w:asciiTheme="majorBidi" w:hAnsiTheme="majorBidi" w:cstheme="majorBidi"/>
          <w:color w:val="auto"/>
          <w:sz w:val="24"/>
          <w:szCs w:val="24"/>
        </w:rPr>
        <w:t xml:space="preserve">. </w:t>
      </w:r>
    </w:p>
    <w:p w:rsidR="003764FA" w:rsidRPr="00E05D0F" w:rsidRDefault="003764FA"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Case No.</w:t>
      </w:r>
      <w:r w:rsidR="00F25A3F" w:rsidRPr="00E05D0F">
        <w:rPr>
          <w:rFonts w:asciiTheme="majorBidi" w:hAnsiTheme="majorBidi" w:cstheme="majorBidi"/>
          <w:b/>
          <w:bCs/>
          <w:color w:val="auto"/>
          <w:sz w:val="24"/>
          <w:szCs w:val="24"/>
        </w:rPr>
        <w:t xml:space="preserve"> </w:t>
      </w:r>
      <w:r w:rsidRPr="00E05D0F">
        <w:rPr>
          <w:rFonts w:asciiTheme="majorBidi" w:hAnsiTheme="majorBidi" w:cstheme="majorBidi"/>
          <w:b/>
          <w:bCs/>
          <w:color w:val="auto"/>
          <w:sz w:val="24"/>
          <w:szCs w:val="24"/>
        </w:rPr>
        <w:t>3</w:t>
      </w:r>
    </w:p>
    <w:p w:rsidR="00BD7936" w:rsidRPr="00E05D0F" w:rsidRDefault="003764FA" w:rsidP="00C84AD4">
      <w:pPr>
        <w:spacing w:line="360" w:lineRule="auto"/>
        <w:jc w:val="both"/>
        <w:rPr>
          <w:rFonts w:asciiTheme="majorBidi" w:eastAsia="Times New Roman" w:hAnsiTheme="majorBidi" w:cstheme="majorBidi"/>
          <w:kern w:val="0"/>
        </w:rPr>
      </w:pPr>
      <w:r w:rsidRPr="00E05D0F">
        <w:rPr>
          <w:rFonts w:asciiTheme="majorBidi" w:hAnsiTheme="majorBidi" w:cstheme="majorBidi"/>
        </w:rPr>
        <w:t xml:space="preserve">A 52-year-old male patient was admitted to the </w:t>
      </w:r>
      <w:r w:rsidR="007A7720" w:rsidRPr="00E05D0F">
        <w:rPr>
          <w:rFonts w:asciiTheme="majorBidi" w:hAnsiTheme="majorBidi" w:cstheme="majorBidi"/>
        </w:rPr>
        <w:t xml:space="preserve">IPD </w:t>
      </w:r>
      <w:r w:rsidR="00FD5528" w:rsidRPr="00E05D0F">
        <w:rPr>
          <w:rFonts w:asciiTheme="majorBidi" w:hAnsiTheme="majorBidi" w:cstheme="majorBidi"/>
        </w:rPr>
        <w:t>on 20.02</w:t>
      </w:r>
      <w:r w:rsidRPr="00E05D0F">
        <w:rPr>
          <w:rFonts w:asciiTheme="majorBidi" w:hAnsiTheme="majorBidi" w:cstheme="majorBidi"/>
        </w:rPr>
        <w:t xml:space="preserve">.2025 bearing CR. no. </w:t>
      </w:r>
      <w:r w:rsidR="00E73CE6" w:rsidRPr="00E05D0F">
        <w:rPr>
          <w:rFonts w:asciiTheme="majorBidi" w:hAnsiTheme="majorBidi" w:cstheme="majorBidi"/>
        </w:rPr>
        <w:t>676541</w:t>
      </w:r>
      <w:r w:rsidR="007A7720" w:rsidRPr="00E05D0F">
        <w:rPr>
          <w:rFonts w:asciiTheme="majorBidi" w:hAnsiTheme="majorBidi" w:cstheme="majorBidi"/>
        </w:rPr>
        <w:t>,</w:t>
      </w:r>
      <w:r w:rsidR="00E73CE6" w:rsidRPr="00E05D0F">
        <w:rPr>
          <w:rFonts w:asciiTheme="majorBidi" w:hAnsiTheme="majorBidi" w:cstheme="majorBidi"/>
        </w:rPr>
        <w:t xml:space="preserve"> </w:t>
      </w:r>
      <w:r w:rsidRPr="00E05D0F">
        <w:rPr>
          <w:rFonts w:asciiTheme="majorBidi" w:hAnsiTheme="majorBidi" w:cstheme="majorBidi"/>
        </w:rPr>
        <w:t xml:space="preserve">with complaints of </w:t>
      </w:r>
      <w:r w:rsidR="007A7720" w:rsidRPr="00E05D0F">
        <w:rPr>
          <w:rFonts w:asciiTheme="majorBidi" w:hAnsiTheme="majorBidi" w:cstheme="majorBidi"/>
        </w:rPr>
        <w:t>pain, burning sensations,</w:t>
      </w:r>
      <w:r w:rsidRPr="00E05D0F">
        <w:rPr>
          <w:rFonts w:asciiTheme="majorBidi" w:hAnsiTheme="majorBidi" w:cstheme="majorBidi"/>
        </w:rPr>
        <w:t xml:space="preserve"> and numbness in </w:t>
      </w:r>
      <w:r w:rsidR="00552ADA">
        <w:rPr>
          <w:rFonts w:asciiTheme="majorBidi" w:hAnsiTheme="majorBidi" w:cstheme="majorBidi"/>
        </w:rPr>
        <w:t xml:space="preserve">the </w:t>
      </w:r>
      <w:r w:rsidR="00181761" w:rsidRPr="00E05D0F">
        <w:rPr>
          <w:rFonts w:asciiTheme="majorBidi" w:hAnsiTheme="majorBidi" w:cstheme="majorBidi"/>
        </w:rPr>
        <w:t xml:space="preserve">bilateral soles and hand fingers </w:t>
      </w:r>
      <w:r w:rsidR="00C84AD4" w:rsidRPr="00E05D0F">
        <w:rPr>
          <w:rFonts w:asciiTheme="majorBidi" w:hAnsiTheme="majorBidi" w:cstheme="majorBidi"/>
        </w:rPr>
        <w:t>for 4 years</w:t>
      </w:r>
      <w:r w:rsidR="00552ADA">
        <w:rPr>
          <w:rFonts w:asciiTheme="majorBidi" w:hAnsiTheme="majorBidi" w:cstheme="majorBidi"/>
        </w:rPr>
        <w:t>,</w:t>
      </w:r>
      <w:r w:rsidR="00C84AD4" w:rsidRPr="00E05D0F">
        <w:rPr>
          <w:rFonts w:asciiTheme="majorBidi" w:hAnsiTheme="majorBidi" w:cstheme="majorBidi"/>
        </w:rPr>
        <w:t xml:space="preserve"> </w:t>
      </w:r>
      <w:r w:rsidRPr="00E05D0F">
        <w:rPr>
          <w:rFonts w:asciiTheme="majorBidi" w:hAnsiTheme="majorBidi" w:cstheme="majorBidi"/>
        </w:rPr>
        <w:t xml:space="preserve">with loss of sensation </w:t>
      </w:r>
      <w:r w:rsidR="00227CE0" w:rsidRPr="00E05D0F">
        <w:rPr>
          <w:rFonts w:asciiTheme="majorBidi" w:hAnsiTheme="majorBidi" w:cstheme="majorBidi"/>
        </w:rPr>
        <w:t>to temperature or touch</w:t>
      </w:r>
      <w:r w:rsidR="009F6C30" w:rsidRPr="00E05D0F">
        <w:rPr>
          <w:rFonts w:asciiTheme="majorBidi" w:hAnsiTheme="majorBidi" w:cstheme="majorBidi"/>
        </w:rPr>
        <w:t xml:space="preserve"> in </w:t>
      </w:r>
      <w:r w:rsidR="00C84AD4" w:rsidRPr="00E05D0F">
        <w:rPr>
          <w:rFonts w:asciiTheme="majorBidi" w:hAnsiTheme="majorBidi" w:cstheme="majorBidi"/>
        </w:rPr>
        <w:t xml:space="preserve">the </w:t>
      </w:r>
      <w:r w:rsidR="009F6C30" w:rsidRPr="00E05D0F">
        <w:rPr>
          <w:rFonts w:asciiTheme="majorBidi" w:hAnsiTheme="majorBidi" w:cstheme="majorBidi"/>
        </w:rPr>
        <w:t xml:space="preserve">right great toe </w:t>
      </w:r>
      <w:r w:rsidR="00C84AD4" w:rsidRPr="00E05D0F">
        <w:rPr>
          <w:rFonts w:asciiTheme="majorBidi" w:hAnsiTheme="majorBidi" w:cstheme="majorBidi"/>
        </w:rPr>
        <w:t xml:space="preserve">for </w:t>
      </w:r>
      <w:r w:rsidR="009F6C30" w:rsidRPr="00E05D0F">
        <w:rPr>
          <w:rFonts w:asciiTheme="majorBidi" w:hAnsiTheme="majorBidi" w:cstheme="majorBidi"/>
        </w:rPr>
        <w:t>6 months</w:t>
      </w:r>
      <w:r w:rsidR="00227CE0" w:rsidRPr="00E05D0F">
        <w:rPr>
          <w:rFonts w:asciiTheme="majorBidi" w:hAnsiTheme="majorBidi" w:cstheme="majorBidi"/>
        </w:rPr>
        <w:t xml:space="preserve">. </w:t>
      </w:r>
      <w:r w:rsidR="00C84AD4" w:rsidRPr="00E05D0F">
        <w:rPr>
          <w:rFonts w:asciiTheme="majorBidi" w:hAnsiTheme="majorBidi" w:cstheme="majorBidi"/>
        </w:rPr>
        <w:t xml:space="preserve">The patient </w:t>
      </w:r>
      <w:r w:rsidR="009F6C30" w:rsidRPr="00E05D0F">
        <w:rPr>
          <w:rFonts w:asciiTheme="majorBidi" w:hAnsiTheme="majorBidi" w:cstheme="majorBidi"/>
        </w:rPr>
        <w:t>also reported symptoms of erectile dysfunction and chronic constipation</w:t>
      </w:r>
      <w:r w:rsidR="00E10A3E" w:rsidRPr="00E05D0F">
        <w:rPr>
          <w:rFonts w:asciiTheme="majorBidi" w:hAnsiTheme="majorBidi" w:cstheme="majorBidi"/>
        </w:rPr>
        <w:t xml:space="preserve">. He </w:t>
      </w:r>
      <w:r w:rsidR="00C84AD4" w:rsidRPr="00E05D0F">
        <w:rPr>
          <w:rFonts w:asciiTheme="majorBidi" w:hAnsiTheme="majorBidi" w:cstheme="majorBidi"/>
        </w:rPr>
        <w:t xml:space="preserve">had been </w:t>
      </w:r>
      <w:r w:rsidR="00E10A3E" w:rsidRPr="00E05D0F">
        <w:rPr>
          <w:rFonts w:asciiTheme="majorBidi" w:hAnsiTheme="majorBidi" w:cstheme="majorBidi"/>
        </w:rPr>
        <w:t xml:space="preserve">diagnosed </w:t>
      </w:r>
      <w:r w:rsidR="00C84AD4" w:rsidRPr="00E05D0F">
        <w:rPr>
          <w:rFonts w:asciiTheme="majorBidi" w:hAnsiTheme="majorBidi" w:cstheme="majorBidi"/>
        </w:rPr>
        <w:t xml:space="preserve">with </w:t>
      </w:r>
      <w:r w:rsidR="00E10A3E" w:rsidRPr="00E05D0F">
        <w:rPr>
          <w:rFonts w:asciiTheme="majorBidi" w:hAnsiTheme="majorBidi" w:cstheme="majorBidi"/>
        </w:rPr>
        <w:t xml:space="preserve">T2DM </w:t>
      </w:r>
      <w:r w:rsidR="00C84AD4" w:rsidRPr="00E05D0F">
        <w:rPr>
          <w:rFonts w:asciiTheme="majorBidi" w:hAnsiTheme="majorBidi" w:cstheme="majorBidi"/>
        </w:rPr>
        <w:t>for</w:t>
      </w:r>
      <w:r w:rsidR="00E10A3E" w:rsidRPr="00E05D0F">
        <w:rPr>
          <w:rFonts w:asciiTheme="majorBidi" w:hAnsiTheme="majorBidi" w:cstheme="majorBidi"/>
        </w:rPr>
        <w:t xml:space="preserve"> 10</w:t>
      </w:r>
      <w:r w:rsidR="009F6C30" w:rsidRPr="00E05D0F">
        <w:rPr>
          <w:rFonts w:asciiTheme="majorBidi" w:hAnsiTheme="majorBidi" w:cstheme="majorBidi"/>
        </w:rPr>
        <w:t xml:space="preserve"> years and </w:t>
      </w:r>
      <w:r w:rsidR="00C84AD4" w:rsidRPr="00E05D0F">
        <w:rPr>
          <w:rFonts w:asciiTheme="majorBidi" w:hAnsiTheme="majorBidi" w:cstheme="majorBidi"/>
        </w:rPr>
        <w:t xml:space="preserve">has been receiving </w:t>
      </w:r>
      <w:r w:rsidR="009F6C30" w:rsidRPr="00E05D0F">
        <w:rPr>
          <w:rFonts w:asciiTheme="majorBidi" w:hAnsiTheme="majorBidi" w:cstheme="majorBidi"/>
        </w:rPr>
        <w:t>anti-diabeti</w:t>
      </w:r>
      <w:r w:rsidR="00C84AD4" w:rsidRPr="00E05D0F">
        <w:rPr>
          <w:rFonts w:asciiTheme="majorBidi" w:hAnsiTheme="majorBidi" w:cstheme="majorBidi"/>
        </w:rPr>
        <w:t xml:space="preserve">c drugs since then. He was </w:t>
      </w:r>
      <w:r w:rsidR="00C84AD4" w:rsidRPr="00E05D0F">
        <w:rPr>
          <w:rFonts w:asciiTheme="majorBidi" w:hAnsiTheme="majorBidi" w:cstheme="majorBidi"/>
        </w:rPr>
        <w:lastRenderedPageBreak/>
        <w:t>taking</w:t>
      </w:r>
      <w:r w:rsidR="009F6C30" w:rsidRPr="00E05D0F">
        <w:rPr>
          <w:rFonts w:asciiTheme="majorBidi" w:hAnsiTheme="majorBidi" w:cstheme="majorBidi"/>
        </w:rPr>
        <w:t xml:space="preserve"> metformin 500 mg three times a day, dapagliflozin 10 mg once a day and glimepiride 2 mg once </w:t>
      </w:r>
      <w:r w:rsidR="00C84AD4" w:rsidRPr="00E05D0F">
        <w:rPr>
          <w:rFonts w:asciiTheme="majorBidi" w:hAnsiTheme="majorBidi" w:cstheme="majorBidi"/>
        </w:rPr>
        <w:t xml:space="preserve">a </w:t>
      </w:r>
      <w:r w:rsidR="009F6C30" w:rsidRPr="00E05D0F">
        <w:rPr>
          <w:rFonts w:asciiTheme="majorBidi" w:hAnsiTheme="majorBidi" w:cstheme="majorBidi"/>
        </w:rPr>
        <w:t>morning after breakfast.</w:t>
      </w:r>
    </w:p>
    <w:p w:rsidR="00227CE0" w:rsidRPr="00E05D0F" w:rsidRDefault="00227CE0"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 xml:space="preserve">Diagnostic procedure and </w:t>
      </w:r>
      <w:r w:rsidR="00181F13" w:rsidRPr="00E05D0F">
        <w:rPr>
          <w:rFonts w:asciiTheme="majorBidi" w:hAnsiTheme="majorBidi" w:cstheme="majorBidi"/>
          <w:b/>
          <w:bCs/>
          <w:color w:val="auto"/>
          <w:sz w:val="24"/>
          <w:szCs w:val="24"/>
        </w:rPr>
        <w:t xml:space="preserve">clinical </w:t>
      </w:r>
      <w:r w:rsidRPr="00E05D0F">
        <w:rPr>
          <w:rFonts w:asciiTheme="majorBidi" w:hAnsiTheme="majorBidi" w:cstheme="majorBidi"/>
          <w:b/>
          <w:bCs/>
          <w:color w:val="auto"/>
          <w:sz w:val="24"/>
          <w:szCs w:val="24"/>
        </w:rPr>
        <w:t>assessment</w:t>
      </w:r>
    </w:p>
    <w:p w:rsidR="00227CE0" w:rsidRPr="00E05D0F" w:rsidRDefault="00227CE0" w:rsidP="007E4D2B">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color w:val="auto"/>
          <w:sz w:val="24"/>
          <w:szCs w:val="24"/>
        </w:rPr>
        <w:t xml:space="preserve">The diagnosis of </w:t>
      </w:r>
      <w:r w:rsidR="00181F13" w:rsidRPr="00E05D0F">
        <w:rPr>
          <w:rFonts w:asciiTheme="majorBidi" w:hAnsiTheme="majorBidi" w:cstheme="majorBidi"/>
          <w:color w:val="auto"/>
          <w:sz w:val="24"/>
          <w:szCs w:val="24"/>
        </w:rPr>
        <w:t>DPN</w:t>
      </w:r>
      <w:r w:rsidR="00F90DC5" w:rsidRPr="00E05D0F">
        <w:rPr>
          <w:rFonts w:asciiTheme="majorBidi" w:hAnsiTheme="majorBidi" w:cstheme="majorBidi"/>
          <w:color w:val="auto"/>
          <w:sz w:val="24"/>
          <w:szCs w:val="24"/>
        </w:rPr>
        <w:t xml:space="preserve"> was established based on </w:t>
      </w:r>
      <w:r w:rsidRPr="00E05D0F">
        <w:rPr>
          <w:rFonts w:asciiTheme="majorBidi" w:hAnsiTheme="majorBidi" w:cstheme="majorBidi"/>
          <w:color w:val="auto"/>
          <w:sz w:val="24"/>
          <w:szCs w:val="24"/>
        </w:rPr>
        <w:t>detail</w:t>
      </w:r>
      <w:r w:rsidR="00F90DC5" w:rsidRPr="00E05D0F">
        <w:rPr>
          <w:rFonts w:asciiTheme="majorBidi" w:hAnsiTheme="majorBidi" w:cstheme="majorBidi"/>
          <w:color w:val="auto"/>
          <w:sz w:val="24"/>
          <w:szCs w:val="24"/>
        </w:rPr>
        <w:t xml:space="preserve">ed clinical evaluation, history </w:t>
      </w:r>
      <w:r w:rsidRPr="00E05D0F">
        <w:rPr>
          <w:rFonts w:asciiTheme="majorBidi" w:hAnsiTheme="majorBidi" w:cstheme="majorBidi"/>
          <w:color w:val="auto"/>
          <w:sz w:val="24"/>
          <w:szCs w:val="24"/>
        </w:rPr>
        <w:t>taking, special test</w:t>
      </w:r>
      <w:r w:rsidR="00F90DC5" w:rsidRPr="00E05D0F">
        <w:rPr>
          <w:rFonts w:asciiTheme="majorBidi" w:hAnsiTheme="majorBidi" w:cstheme="majorBidi"/>
          <w:color w:val="auto"/>
          <w:sz w:val="24"/>
          <w:szCs w:val="24"/>
        </w:rPr>
        <w:t>s</w:t>
      </w:r>
      <w:r w:rsidRPr="00E05D0F">
        <w:rPr>
          <w:rFonts w:asciiTheme="majorBidi" w:hAnsiTheme="majorBidi" w:cstheme="majorBidi"/>
          <w:color w:val="auto"/>
          <w:sz w:val="24"/>
          <w:szCs w:val="24"/>
        </w:rPr>
        <w:t>, and diagnostic investigations. The assessment included a combinati</w:t>
      </w:r>
      <w:r w:rsidR="00181F13" w:rsidRPr="00E05D0F">
        <w:rPr>
          <w:rFonts w:asciiTheme="majorBidi" w:hAnsiTheme="majorBidi" w:cstheme="majorBidi"/>
          <w:color w:val="auto"/>
          <w:sz w:val="24"/>
          <w:szCs w:val="24"/>
        </w:rPr>
        <w:t>on of neurological examination</w:t>
      </w:r>
      <w:r w:rsidRPr="00E05D0F">
        <w:rPr>
          <w:rFonts w:asciiTheme="majorBidi" w:hAnsiTheme="majorBidi" w:cstheme="majorBidi"/>
          <w:color w:val="auto"/>
          <w:sz w:val="24"/>
          <w:szCs w:val="24"/>
        </w:rPr>
        <w:t xml:space="preserve"> and functional impairment analysis to determine the severity and extent of </w:t>
      </w:r>
      <w:r w:rsidR="00181F13" w:rsidRPr="00E05D0F">
        <w:rPr>
          <w:rFonts w:asciiTheme="majorBidi" w:hAnsiTheme="majorBidi" w:cstheme="majorBidi"/>
          <w:color w:val="auto"/>
          <w:sz w:val="24"/>
          <w:szCs w:val="24"/>
        </w:rPr>
        <w:t>diabetic neuropathy</w:t>
      </w:r>
      <w:r w:rsidR="003663B3" w:rsidRPr="00E05D0F">
        <w:rPr>
          <w:rFonts w:asciiTheme="majorBidi" w:hAnsiTheme="majorBidi" w:cstheme="majorBidi"/>
          <w:color w:val="auto"/>
          <w:sz w:val="24"/>
          <w:szCs w:val="24"/>
        </w:rPr>
        <w:t xml:space="preserve">. </w:t>
      </w:r>
      <w:r w:rsidR="00181F13" w:rsidRPr="00E05D0F">
        <w:rPr>
          <w:rFonts w:asciiTheme="majorBidi" w:hAnsiTheme="majorBidi" w:cstheme="majorBidi"/>
          <w:color w:val="auto"/>
          <w:sz w:val="24"/>
          <w:szCs w:val="24"/>
        </w:rPr>
        <w:t xml:space="preserve">The </w:t>
      </w:r>
      <w:r w:rsidR="003663B3" w:rsidRPr="00E05D0F">
        <w:rPr>
          <w:rFonts w:asciiTheme="majorBidi" w:hAnsiTheme="majorBidi" w:cstheme="majorBidi"/>
          <w:color w:val="auto"/>
          <w:sz w:val="24"/>
          <w:szCs w:val="24"/>
        </w:rPr>
        <w:t xml:space="preserve">Toronto Clinical Neuropathy Score (TCNS) was used </w:t>
      </w:r>
      <w:r w:rsidR="00181F13" w:rsidRPr="00E05D0F">
        <w:rPr>
          <w:rFonts w:asciiTheme="majorBidi" w:hAnsiTheme="majorBidi" w:cstheme="majorBidi"/>
          <w:color w:val="auto"/>
          <w:sz w:val="24"/>
          <w:szCs w:val="24"/>
        </w:rPr>
        <w:t>to</w:t>
      </w:r>
      <w:r w:rsidR="00F90DC5" w:rsidRPr="00E05D0F">
        <w:rPr>
          <w:rFonts w:asciiTheme="majorBidi" w:hAnsiTheme="majorBidi" w:cstheme="majorBidi"/>
          <w:color w:val="auto"/>
          <w:sz w:val="24"/>
          <w:szCs w:val="24"/>
        </w:rPr>
        <w:t xml:space="preserve"> assess the severity and grade</w:t>
      </w:r>
      <w:r w:rsidR="00181F13" w:rsidRPr="00E05D0F">
        <w:rPr>
          <w:rFonts w:asciiTheme="majorBidi" w:hAnsiTheme="majorBidi" w:cstheme="majorBidi"/>
          <w:color w:val="auto"/>
          <w:sz w:val="24"/>
          <w:szCs w:val="24"/>
        </w:rPr>
        <w:t xml:space="preserve"> of DPN.  The </w:t>
      </w:r>
      <w:r w:rsidR="00F7544F" w:rsidRPr="00E05D0F">
        <w:rPr>
          <w:rFonts w:asciiTheme="majorBidi" w:hAnsiTheme="majorBidi" w:cstheme="majorBidi"/>
          <w:color w:val="auto"/>
          <w:sz w:val="24"/>
          <w:szCs w:val="24"/>
        </w:rPr>
        <w:t>Vibration</w:t>
      </w:r>
      <w:r w:rsidR="0016561A" w:rsidRPr="00E05D0F">
        <w:rPr>
          <w:rFonts w:asciiTheme="majorBidi" w:hAnsiTheme="majorBidi" w:cstheme="majorBidi"/>
          <w:color w:val="auto"/>
          <w:sz w:val="24"/>
          <w:szCs w:val="24"/>
        </w:rPr>
        <w:t xml:space="preserve"> Perception </w:t>
      </w:r>
      <w:r w:rsidR="00F253E3" w:rsidRPr="00E05D0F">
        <w:rPr>
          <w:rFonts w:asciiTheme="majorBidi" w:hAnsiTheme="majorBidi" w:cstheme="majorBidi"/>
          <w:color w:val="auto"/>
          <w:sz w:val="24"/>
          <w:szCs w:val="24"/>
        </w:rPr>
        <w:t xml:space="preserve">Threshold </w:t>
      </w:r>
      <w:r w:rsidR="00181F13" w:rsidRPr="00E05D0F">
        <w:rPr>
          <w:rFonts w:asciiTheme="majorBidi" w:hAnsiTheme="majorBidi" w:cstheme="majorBidi"/>
          <w:color w:val="auto"/>
          <w:sz w:val="24"/>
          <w:szCs w:val="24"/>
        </w:rPr>
        <w:t xml:space="preserve">(VPT) </w:t>
      </w:r>
      <w:r w:rsidR="00F253E3" w:rsidRPr="00E05D0F">
        <w:rPr>
          <w:rFonts w:asciiTheme="majorBidi" w:hAnsiTheme="majorBidi" w:cstheme="majorBidi"/>
          <w:color w:val="auto"/>
          <w:sz w:val="24"/>
          <w:szCs w:val="24"/>
        </w:rPr>
        <w:t>test</w:t>
      </w:r>
      <w:r w:rsidR="00181F13" w:rsidRPr="00E05D0F">
        <w:rPr>
          <w:rFonts w:asciiTheme="majorBidi" w:hAnsiTheme="majorBidi" w:cstheme="majorBidi"/>
          <w:color w:val="auto"/>
          <w:sz w:val="24"/>
          <w:szCs w:val="24"/>
        </w:rPr>
        <w:t xml:space="preserve"> was used for diagnosis and as </w:t>
      </w:r>
      <w:r w:rsidR="00F90DC5" w:rsidRPr="00E05D0F">
        <w:rPr>
          <w:rFonts w:asciiTheme="majorBidi" w:hAnsiTheme="majorBidi" w:cstheme="majorBidi"/>
          <w:color w:val="auto"/>
          <w:sz w:val="24"/>
          <w:szCs w:val="24"/>
        </w:rPr>
        <w:t xml:space="preserve">an </w:t>
      </w:r>
      <w:r w:rsidR="00181F13" w:rsidRPr="00E05D0F">
        <w:rPr>
          <w:rFonts w:asciiTheme="majorBidi" w:hAnsiTheme="majorBidi" w:cstheme="majorBidi"/>
          <w:color w:val="auto"/>
          <w:sz w:val="24"/>
          <w:szCs w:val="24"/>
        </w:rPr>
        <w:t xml:space="preserve">objective parameter for </w:t>
      </w:r>
      <w:r w:rsidR="00F90DC5" w:rsidRPr="00E05D0F">
        <w:rPr>
          <w:rFonts w:asciiTheme="majorBidi" w:hAnsiTheme="majorBidi" w:cstheme="majorBidi"/>
          <w:color w:val="auto"/>
          <w:sz w:val="24"/>
          <w:szCs w:val="24"/>
        </w:rPr>
        <w:t xml:space="preserve">the </w:t>
      </w:r>
      <w:r w:rsidR="00181F13" w:rsidRPr="00E05D0F">
        <w:rPr>
          <w:rFonts w:asciiTheme="majorBidi" w:hAnsiTheme="majorBidi" w:cstheme="majorBidi"/>
          <w:color w:val="auto"/>
          <w:sz w:val="24"/>
          <w:szCs w:val="24"/>
        </w:rPr>
        <w:t>efficacy of the test drugs</w:t>
      </w:r>
      <w:r w:rsidR="0016561A" w:rsidRPr="00E05D0F">
        <w:rPr>
          <w:rFonts w:asciiTheme="majorBidi" w:hAnsiTheme="majorBidi" w:cstheme="majorBidi"/>
          <w:color w:val="auto"/>
          <w:sz w:val="24"/>
          <w:szCs w:val="24"/>
        </w:rPr>
        <w:t>.</w:t>
      </w:r>
    </w:p>
    <w:p w:rsidR="00227CE0" w:rsidRPr="00E05D0F" w:rsidRDefault="00227CE0"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Clinical examination</w:t>
      </w:r>
    </w:p>
    <w:p w:rsidR="007E61D1" w:rsidRPr="00E05D0F" w:rsidRDefault="007E61D1" w:rsidP="00DD6700">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color w:val="auto"/>
          <w:sz w:val="24"/>
          <w:szCs w:val="24"/>
        </w:rPr>
        <w:t>All three patients presented with numbness</w:t>
      </w:r>
      <w:r w:rsidR="00CB0CB2"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w:t>
      </w:r>
      <w:r w:rsidR="00CB0CB2" w:rsidRPr="00E05D0F">
        <w:rPr>
          <w:rFonts w:asciiTheme="majorBidi" w:hAnsiTheme="majorBidi" w:cstheme="majorBidi"/>
          <w:color w:val="auto"/>
          <w:sz w:val="24"/>
          <w:szCs w:val="24"/>
        </w:rPr>
        <w:t xml:space="preserve">burning </w:t>
      </w:r>
      <w:r w:rsidRPr="00E05D0F">
        <w:rPr>
          <w:rFonts w:asciiTheme="majorBidi" w:hAnsiTheme="majorBidi" w:cstheme="majorBidi"/>
          <w:color w:val="auto"/>
          <w:sz w:val="24"/>
          <w:szCs w:val="24"/>
        </w:rPr>
        <w:t>sensation</w:t>
      </w:r>
      <w:r w:rsidR="00DD6700"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w:t>
      </w:r>
      <w:r w:rsidR="00CB0CB2" w:rsidRPr="00E05D0F">
        <w:rPr>
          <w:rFonts w:asciiTheme="majorBidi" w:hAnsiTheme="majorBidi" w:cstheme="majorBidi"/>
          <w:color w:val="auto"/>
          <w:sz w:val="24"/>
          <w:szCs w:val="24"/>
        </w:rPr>
        <w:t xml:space="preserve">and </w:t>
      </w:r>
      <w:r w:rsidRPr="00E05D0F">
        <w:rPr>
          <w:rFonts w:asciiTheme="majorBidi" w:hAnsiTheme="majorBidi" w:cstheme="majorBidi"/>
          <w:color w:val="auto"/>
          <w:sz w:val="24"/>
          <w:szCs w:val="24"/>
        </w:rPr>
        <w:t>pain in</w:t>
      </w:r>
      <w:r w:rsidR="00DD6700" w:rsidRPr="00E05D0F">
        <w:rPr>
          <w:rFonts w:asciiTheme="majorBidi" w:hAnsiTheme="majorBidi" w:cstheme="majorBidi"/>
          <w:color w:val="auto"/>
          <w:sz w:val="24"/>
          <w:szCs w:val="24"/>
        </w:rPr>
        <w:t xml:space="preserve"> the</w:t>
      </w:r>
      <w:r w:rsidRPr="00E05D0F">
        <w:rPr>
          <w:rFonts w:asciiTheme="majorBidi" w:hAnsiTheme="majorBidi" w:cstheme="majorBidi"/>
          <w:color w:val="auto"/>
          <w:sz w:val="24"/>
          <w:szCs w:val="24"/>
        </w:rPr>
        <w:t xml:space="preserve"> lower limbs</w:t>
      </w:r>
      <w:r w:rsidR="00DD6700"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particularly </w:t>
      </w:r>
      <w:r w:rsidR="00CB0CB2" w:rsidRPr="00E05D0F">
        <w:rPr>
          <w:rFonts w:asciiTheme="majorBidi" w:hAnsiTheme="majorBidi" w:cstheme="majorBidi"/>
          <w:color w:val="auto"/>
          <w:sz w:val="24"/>
          <w:szCs w:val="24"/>
        </w:rPr>
        <w:t xml:space="preserve">in </w:t>
      </w:r>
      <w:r w:rsidR="00DD6700" w:rsidRPr="00E05D0F">
        <w:rPr>
          <w:rFonts w:asciiTheme="majorBidi" w:hAnsiTheme="majorBidi" w:cstheme="majorBidi"/>
          <w:color w:val="auto"/>
          <w:sz w:val="24"/>
          <w:szCs w:val="24"/>
        </w:rPr>
        <w:t xml:space="preserve">the </w:t>
      </w:r>
      <w:r w:rsidRPr="00E05D0F">
        <w:rPr>
          <w:rFonts w:asciiTheme="majorBidi" w:hAnsiTheme="majorBidi" w:cstheme="majorBidi"/>
          <w:color w:val="auto"/>
          <w:sz w:val="24"/>
          <w:szCs w:val="24"/>
        </w:rPr>
        <w:t>soles.</w:t>
      </w:r>
      <w:r w:rsidR="00DD6700" w:rsidRPr="00E05D0F">
        <w:rPr>
          <w:rFonts w:asciiTheme="majorBidi" w:hAnsiTheme="majorBidi" w:cstheme="majorBidi"/>
          <w:color w:val="auto"/>
          <w:sz w:val="24"/>
          <w:szCs w:val="24"/>
        </w:rPr>
        <w:t xml:space="preserve"> The associated symptoms include</w:t>
      </w:r>
      <w:r w:rsidRPr="00E05D0F">
        <w:rPr>
          <w:rFonts w:asciiTheme="majorBidi" w:hAnsiTheme="majorBidi" w:cstheme="majorBidi"/>
          <w:color w:val="auto"/>
          <w:sz w:val="24"/>
          <w:szCs w:val="24"/>
        </w:rPr>
        <w:t xml:space="preserve"> muscle weakness </w:t>
      </w:r>
      <w:r w:rsidR="00DD6700" w:rsidRPr="00E05D0F">
        <w:rPr>
          <w:rFonts w:asciiTheme="majorBidi" w:hAnsiTheme="majorBidi" w:cstheme="majorBidi"/>
          <w:color w:val="auto"/>
          <w:sz w:val="24"/>
          <w:szCs w:val="24"/>
        </w:rPr>
        <w:t xml:space="preserve">in </w:t>
      </w:r>
      <w:r w:rsidRPr="00E05D0F">
        <w:rPr>
          <w:rFonts w:asciiTheme="majorBidi" w:hAnsiTheme="majorBidi" w:cstheme="majorBidi"/>
          <w:color w:val="auto"/>
          <w:sz w:val="24"/>
          <w:szCs w:val="24"/>
        </w:rPr>
        <w:t xml:space="preserve">the lower extremities. All patients were examined for </w:t>
      </w:r>
      <w:r w:rsidR="00CB0CB2" w:rsidRPr="00E05D0F">
        <w:rPr>
          <w:rFonts w:asciiTheme="majorBidi" w:hAnsiTheme="majorBidi" w:cstheme="majorBidi"/>
          <w:color w:val="auto"/>
          <w:sz w:val="24"/>
          <w:szCs w:val="24"/>
        </w:rPr>
        <w:t>foot deformities, skin changes</w:t>
      </w:r>
      <w:r w:rsidRPr="00E05D0F">
        <w:rPr>
          <w:rFonts w:asciiTheme="majorBidi" w:hAnsiTheme="majorBidi" w:cstheme="majorBidi"/>
          <w:color w:val="auto"/>
          <w:sz w:val="24"/>
          <w:szCs w:val="24"/>
        </w:rPr>
        <w:t>, nail abnormalitie</w:t>
      </w:r>
      <w:r w:rsidR="00DD6700" w:rsidRPr="00E05D0F">
        <w:rPr>
          <w:rFonts w:asciiTheme="majorBidi" w:hAnsiTheme="majorBidi" w:cstheme="majorBidi"/>
          <w:color w:val="auto"/>
          <w:sz w:val="24"/>
          <w:szCs w:val="24"/>
        </w:rPr>
        <w:t>s, and other signs of infection</w:t>
      </w:r>
      <w:r w:rsidRPr="00E05D0F">
        <w:rPr>
          <w:rFonts w:asciiTheme="majorBidi" w:hAnsiTheme="majorBidi" w:cstheme="majorBidi"/>
          <w:color w:val="auto"/>
          <w:sz w:val="24"/>
          <w:szCs w:val="24"/>
        </w:rPr>
        <w:t>.</w:t>
      </w:r>
    </w:p>
    <w:p w:rsidR="007E61D1" w:rsidRPr="00E05D0F" w:rsidRDefault="00125A57"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Vibr</w:t>
      </w:r>
      <w:r w:rsidR="00C93CCE" w:rsidRPr="00E05D0F">
        <w:rPr>
          <w:rFonts w:asciiTheme="majorBidi" w:hAnsiTheme="majorBidi" w:cstheme="majorBidi"/>
          <w:b/>
          <w:bCs/>
          <w:color w:val="auto"/>
          <w:sz w:val="24"/>
          <w:szCs w:val="24"/>
        </w:rPr>
        <w:t>ation Perception Threshold</w:t>
      </w:r>
    </w:p>
    <w:p w:rsidR="00125A57" w:rsidRPr="00E05D0F" w:rsidRDefault="001103A9" w:rsidP="0029259A">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color w:val="auto"/>
          <w:sz w:val="24"/>
          <w:szCs w:val="24"/>
        </w:rPr>
        <w:t>The VPT was assessed at six specific locations on the plantar aspect of the foot, including the great toe (GT), the first (M1), third (M3), and fifth metatarsal (M5) heads, the medial midfoot (MF) region, and the heel (H). The vibration probe was first applied to the hand</w:t>
      </w:r>
      <w:r w:rsidR="00564E1D" w:rsidRPr="00E05D0F">
        <w:rPr>
          <w:rFonts w:asciiTheme="majorBidi" w:hAnsiTheme="majorBidi" w:cstheme="majorBidi"/>
          <w:color w:val="auto"/>
          <w:sz w:val="24"/>
          <w:szCs w:val="24"/>
        </w:rPr>
        <w:t>s</w:t>
      </w:r>
      <w:r w:rsidRPr="00E05D0F">
        <w:rPr>
          <w:rFonts w:asciiTheme="majorBidi" w:hAnsiTheme="majorBidi" w:cstheme="majorBidi"/>
          <w:color w:val="auto"/>
          <w:sz w:val="24"/>
          <w:szCs w:val="24"/>
        </w:rPr>
        <w:t xml:space="preserve"> to familiarize them with the sensation. With eyes closed, the patient underwent VPT testing at six points on the foot. They were i</w:t>
      </w:r>
      <w:r w:rsidR="00484FD2" w:rsidRPr="00E05D0F">
        <w:rPr>
          <w:rFonts w:asciiTheme="majorBidi" w:hAnsiTheme="majorBidi" w:cstheme="majorBidi"/>
          <w:color w:val="auto"/>
          <w:sz w:val="24"/>
          <w:szCs w:val="24"/>
        </w:rPr>
        <w:t>nstructed to respond verbally (yes or no</w:t>
      </w:r>
      <w:r w:rsidRPr="00E05D0F">
        <w:rPr>
          <w:rFonts w:asciiTheme="majorBidi" w:hAnsiTheme="majorBidi" w:cstheme="majorBidi"/>
          <w:color w:val="auto"/>
          <w:sz w:val="24"/>
          <w:szCs w:val="24"/>
        </w:rPr>
        <w:t>)</w:t>
      </w:r>
      <w:r w:rsidR="00564E1D" w:rsidRPr="00E05D0F">
        <w:rPr>
          <w:rFonts w:asciiTheme="majorBidi" w:hAnsiTheme="majorBidi" w:cstheme="majorBidi"/>
          <w:color w:val="auto"/>
          <w:sz w:val="24"/>
          <w:szCs w:val="24"/>
        </w:rPr>
        <w:t xml:space="preserve"> to sense the</w:t>
      </w:r>
      <w:r w:rsidRPr="00E05D0F">
        <w:rPr>
          <w:rFonts w:asciiTheme="majorBidi" w:hAnsiTheme="majorBidi" w:cstheme="majorBidi"/>
          <w:color w:val="auto"/>
          <w:sz w:val="24"/>
          <w:szCs w:val="24"/>
        </w:rPr>
        <w:t xml:space="preserve"> vibration</w:t>
      </w:r>
      <w:r w:rsidR="00564E1D" w:rsidRPr="00E05D0F">
        <w:rPr>
          <w:rFonts w:asciiTheme="majorBidi" w:hAnsiTheme="majorBidi" w:cstheme="majorBidi"/>
          <w:color w:val="auto"/>
          <w:sz w:val="24"/>
          <w:szCs w:val="24"/>
        </w:rPr>
        <w:t>s</w:t>
      </w:r>
      <w:r w:rsidRPr="00E05D0F">
        <w:rPr>
          <w:rFonts w:asciiTheme="majorBidi" w:hAnsiTheme="majorBidi" w:cstheme="majorBidi"/>
          <w:color w:val="auto"/>
          <w:sz w:val="24"/>
          <w:szCs w:val="24"/>
        </w:rPr>
        <w:t xml:space="preserve">. Stimulation began at 1 V and </w:t>
      </w:r>
      <w:r w:rsidR="00564E1D" w:rsidRPr="00E05D0F">
        <w:rPr>
          <w:rFonts w:asciiTheme="majorBidi" w:hAnsiTheme="majorBidi" w:cstheme="majorBidi"/>
          <w:color w:val="auto"/>
          <w:sz w:val="24"/>
          <w:szCs w:val="24"/>
        </w:rPr>
        <w:t xml:space="preserve">was gradually </w:t>
      </w:r>
      <w:r w:rsidRPr="00E05D0F">
        <w:rPr>
          <w:rFonts w:asciiTheme="majorBidi" w:hAnsiTheme="majorBidi" w:cstheme="majorBidi"/>
          <w:color w:val="auto"/>
          <w:sz w:val="24"/>
          <w:szCs w:val="24"/>
        </w:rPr>
        <w:t xml:space="preserve">increased until perception occurred. The lowest perceived </w:t>
      </w:r>
      <w:r w:rsidR="00564E1D" w:rsidRPr="00E05D0F">
        <w:rPr>
          <w:rFonts w:asciiTheme="majorBidi" w:hAnsiTheme="majorBidi" w:cstheme="majorBidi"/>
          <w:color w:val="auto"/>
          <w:sz w:val="24"/>
          <w:szCs w:val="24"/>
        </w:rPr>
        <w:t xml:space="preserve">voltage </w:t>
      </w:r>
      <w:r w:rsidRPr="00E05D0F">
        <w:rPr>
          <w:rFonts w:asciiTheme="majorBidi" w:hAnsiTheme="majorBidi" w:cstheme="majorBidi"/>
          <w:color w:val="auto"/>
          <w:sz w:val="24"/>
          <w:szCs w:val="24"/>
        </w:rPr>
        <w:t>at each site was recorded as the VPT, and the mean value across all six points was calculated for each patient.</w:t>
      </w:r>
      <w:r w:rsidR="006E4584" w:rsidRPr="00E05D0F">
        <w:rPr>
          <w:rFonts w:asciiTheme="majorBidi" w:hAnsiTheme="majorBidi" w:cstheme="majorBidi"/>
          <w:color w:val="auto"/>
          <w:sz w:val="24"/>
          <w:szCs w:val="24"/>
        </w:rPr>
        <w:t xml:space="preserve"> </w:t>
      </w:r>
      <w:r w:rsidR="00565B6D" w:rsidRPr="0029259A">
        <w:rPr>
          <w:rFonts w:asciiTheme="majorBidi" w:hAnsiTheme="majorBidi" w:cstheme="majorBidi"/>
          <w:color w:val="auto"/>
          <w:sz w:val="24"/>
          <w:szCs w:val="24"/>
          <w:vertAlign w:val="superscript"/>
        </w:rPr>
        <w:fldChar w:fldCharType="begin"/>
      </w:r>
      <w:r w:rsidR="006E4584" w:rsidRPr="0029259A">
        <w:rPr>
          <w:rFonts w:asciiTheme="majorBidi" w:hAnsiTheme="majorBidi" w:cstheme="majorBidi"/>
          <w:color w:val="auto"/>
          <w:sz w:val="24"/>
          <w:szCs w:val="24"/>
          <w:vertAlign w:val="superscript"/>
        </w:rPr>
        <w:instrText xml:space="preserve"> ADDIN ZOTERO_ITEM CSL_CITATION {"citationID":"9uZc14pv","properties":{"formattedCitation":"(10)","plainCitation":"(10)","noteIndex":0},"citationItems":[{"id":77,"uris":["http://zotero.org/users/local/IUvTSyB4/items/MQAQKQIG"],"itemData":{"id":77,"type":"article-journal","abstract":"AIMS: Peripheral neuropathy is a common microvascular complication in diabetes and a risk factor for the development of diabetic foot ulcers and amputations. Vibrasense (Ayati Devices) is a handheld, battery-operated, rapid screening device for diabetic peripheral neuropathy (DPN) that works by quantifying vibration perception threshold (VPT). In this study, we compared Vibrasense against a biothesiometer and nerve conduction study for screening DPN.\nMETHODS: A total of 562 subjects with type 2 diabetes mellitus underwent neuropathy assessments including clinical examination, 10-g monofilament test, VPT evaluation with Vibrasense and a standard biothesiometer. Those with an average VPT ≥ 15 V with Vibrasense were noted to have DPN. A subset of these patients (N = 61) underwent nerve conduction study (NCS). Diagnostic accuracy of Vibrasense was compared against a standard biothesiometer and abnormal NCS.\nRESULTS: Average VPTs measured with Vibrasense had a strong positive correlation with standard biothesiometer values (Spearman's correlation 0.891, P &lt; 0.001). Vibrasense showed sensitivity and specificity of 87.89% and 86.81% compared to biothesiometer, and 82.14% and 78.79% compared to NCS, respectively.\nCONCLUSIONS: Vibrasense demonstrated good diagnostic accuracy for detecting peripheral neuropathy in type 2 diabetes and can be an effective screening device in routine clinical settings.\nTRIAL REGISTRATION: Clinical trials registry of India (CTRI/2022/11/047002). Registered 3 November 2022.  https://ctri.nic.in/Clinicaltrials/pmaindet2.php?trialid=76167 .","container-title":"Journal of Foot and Ankle Research","DOI":"10.1186/s13047-023-00667-3","ISSN":"1757-1146","issue":"1","journalAbbreviation":"J Foot Ankle Res","language":"eng","note":"PMID: 37770911\nPMCID: PMC10537102","page":"65","source":"PubMed","title":"Assessment of the diagnostic accuracy of Vibrasense compared to a biothesiometer and nerve conduction study for screening diabetic peripheral neuropathy","volume":"16","author":[{"family":"Sharma K N","given":"Srihari"},{"family":"Kumar H","given":"Anil"}],"issued":{"date-parts":[["2023",9,28]]}}}],"schema":"https://github.com/citation-style-language/schema/raw/master/csl-citation.json"} </w:instrText>
      </w:r>
      <w:r w:rsidR="00565B6D" w:rsidRPr="0029259A">
        <w:rPr>
          <w:rFonts w:asciiTheme="majorBidi" w:hAnsiTheme="majorBidi" w:cstheme="majorBidi"/>
          <w:color w:val="auto"/>
          <w:sz w:val="24"/>
          <w:szCs w:val="24"/>
          <w:vertAlign w:val="superscript"/>
        </w:rPr>
        <w:fldChar w:fldCharType="separate"/>
      </w:r>
      <w:r w:rsidR="0029259A" w:rsidRPr="0029259A">
        <w:rPr>
          <w:rFonts w:asciiTheme="majorBidi" w:hAnsiTheme="majorBidi" w:cstheme="majorBidi"/>
          <w:color w:val="auto"/>
          <w:sz w:val="24"/>
          <w:szCs w:val="24"/>
          <w:vertAlign w:val="superscript"/>
        </w:rPr>
        <w:t>[</w:t>
      </w:r>
      <w:r w:rsidR="006E4584" w:rsidRPr="0029259A">
        <w:rPr>
          <w:rFonts w:asciiTheme="majorBidi" w:hAnsiTheme="majorBidi" w:cstheme="majorBidi"/>
          <w:color w:val="auto"/>
          <w:sz w:val="24"/>
          <w:szCs w:val="24"/>
          <w:vertAlign w:val="superscript"/>
        </w:rPr>
        <w:t>10</w:t>
      </w:r>
      <w:r w:rsidR="00565B6D" w:rsidRPr="0029259A">
        <w:rPr>
          <w:rFonts w:asciiTheme="majorBidi" w:hAnsiTheme="majorBidi" w:cstheme="majorBidi"/>
          <w:color w:val="auto"/>
          <w:sz w:val="24"/>
          <w:szCs w:val="24"/>
          <w:vertAlign w:val="superscript"/>
        </w:rPr>
        <w:fldChar w:fldCharType="end"/>
      </w:r>
      <w:r w:rsidR="0029259A" w:rsidRPr="0029259A">
        <w:rPr>
          <w:rFonts w:asciiTheme="majorBidi" w:hAnsiTheme="majorBidi" w:cstheme="majorBidi"/>
          <w:color w:val="auto"/>
          <w:sz w:val="24"/>
          <w:szCs w:val="24"/>
          <w:vertAlign w:val="superscript"/>
        </w:rPr>
        <w:t>]</w:t>
      </w:r>
      <w:r w:rsidRPr="00E05D0F">
        <w:rPr>
          <w:rFonts w:asciiTheme="majorBidi" w:hAnsiTheme="majorBidi" w:cstheme="majorBidi"/>
          <w:color w:val="auto"/>
          <w:sz w:val="24"/>
          <w:szCs w:val="24"/>
        </w:rPr>
        <w:t xml:space="preserve"> All three patient</w:t>
      </w:r>
      <w:r w:rsidR="00564E1D" w:rsidRPr="00E05D0F">
        <w:rPr>
          <w:rFonts w:asciiTheme="majorBidi" w:hAnsiTheme="majorBidi" w:cstheme="majorBidi"/>
          <w:color w:val="auto"/>
          <w:sz w:val="24"/>
          <w:szCs w:val="24"/>
        </w:rPr>
        <w:t>s were</w:t>
      </w:r>
      <w:r w:rsidRPr="00E05D0F">
        <w:rPr>
          <w:rFonts w:asciiTheme="majorBidi" w:hAnsiTheme="majorBidi" w:cstheme="majorBidi"/>
          <w:color w:val="auto"/>
          <w:sz w:val="24"/>
          <w:szCs w:val="24"/>
        </w:rPr>
        <w:t xml:space="preserve"> diagnosed </w:t>
      </w:r>
      <w:r w:rsidR="00564E1D" w:rsidRPr="00E05D0F">
        <w:rPr>
          <w:rFonts w:asciiTheme="majorBidi" w:hAnsiTheme="majorBidi" w:cstheme="majorBidi"/>
          <w:color w:val="auto"/>
          <w:sz w:val="24"/>
          <w:szCs w:val="24"/>
        </w:rPr>
        <w:t xml:space="preserve">with </w:t>
      </w:r>
      <w:r w:rsidRPr="00E05D0F">
        <w:rPr>
          <w:rFonts w:asciiTheme="majorBidi" w:hAnsiTheme="majorBidi" w:cstheme="majorBidi"/>
          <w:color w:val="auto"/>
          <w:sz w:val="24"/>
          <w:szCs w:val="24"/>
        </w:rPr>
        <w:t xml:space="preserve">DPN according to the </w:t>
      </w:r>
      <w:r w:rsidR="00484FD2" w:rsidRPr="00E05D0F">
        <w:rPr>
          <w:rFonts w:asciiTheme="majorBidi" w:hAnsiTheme="majorBidi" w:cstheme="majorBidi"/>
          <w:color w:val="auto"/>
          <w:sz w:val="24"/>
          <w:szCs w:val="24"/>
        </w:rPr>
        <w:t>VPT</w:t>
      </w:r>
      <w:r w:rsidR="00564E1D" w:rsidRPr="00E05D0F">
        <w:rPr>
          <w:rFonts w:asciiTheme="majorBidi" w:hAnsiTheme="majorBidi" w:cstheme="majorBidi"/>
          <w:color w:val="auto"/>
          <w:sz w:val="24"/>
          <w:szCs w:val="24"/>
        </w:rPr>
        <w:t xml:space="preserve"> result</w:t>
      </w:r>
      <w:r w:rsidR="00484FD2" w:rsidRPr="00E05D0F">
        <w:rPr>
          <w:rFonts w:asciiTheme="majorBidi" w:hAnsiTheme="majorBidi" w:cstheme="majorBidi"/>
          <w:color w:val="auto"/>
          <w:sz w:val="24"/>
          <w:szCs w:val="24"/>
        </w:rPr>
        <w:t>.</w:t>
      </w:r>
    </w:p>
    <w:p w:rsidR="00125A57" w:rsidRPr="00E05D0F" w:rsidRDefault="00003C7A" w:rsidP="00FA7433">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b/>
          <w:bCs/>
          <w:color w:val="auto"/>
          <w:sz w:val="24"/>
          <w:szCs w:val="24"/>
        </w:rPr>
        <w:t>Table 1:</w:t>
      </w:r>
      <w:r w:rsidRPr="00E05D0F">
        <w:rPr>
          <w:rFonts w:asciiTheme="majorBidi" w:hAnsiTheme="majorBidi" w:cstheme="majorBidi"/>
          <w:color w:val="auto"/>
          <w:sz w:val="24"/>
          <w:szCs w:val="24"/>
        </w:rPr>
        <w:t xml:space="preserve"> </w:t>
      </w:r>
      <w:r w:rsidRPr="00E05D0F">
        <w:rPr>
          <w:rFonts w:asciiTheme="majorBidi" w:hAnsiTheme="majorBidi" w:cstheme="majorBidi"/>
          <w:b/>
          <w:bCs/>
          <w:color w:val="auto"/>
          <w:sz w:val="24"/>
          <w:szCs w:val="24"/>
        </w:rPr>
        <w:t>Ingredients of</w:t>
      </w:r>
      <w:r w:rsidRPr="00E05D0F">
        <w:rPr>
          <w:rFonts w:asciiTheme="majorBidi" w:hAnsiTheme="majorBidi" w:cstheme="majorBidi"/>
          <w:b/>
          <w:bCs/>
          <w:i/>
          <w:iCs/>
          <w:color w:val="auto"/>
          <w:sz w:val="24"/>
          <w:szCs w:val="24"/>
        </w:rPr>
        <w:t xml:space="preserve"> Qurse Ziabetus Khas</w:t>
      </w:r>
      <w:r w:rsidRPr="00E05D0F">
        <w:rPr>
          <w:rFonts w:asciiTheme="majorBidi" w:hAnsiTheme="majorBidi" w:cstheme="majorBidi"/>
          <w:color w:val="auto"/>
          <w:sz w:val="24"/>
          <w:szCs w:val="24"/>
        </w:rPr>
        <w:t xml:space="preserve"> </w:t>
      </w:r>
      <w:r w:rsidR="00565B6D" w:rsidRPr="00FA7433">
        <w:rPr>
          <w:rFonts w:asciiTheme="majorBidi" w:hAnsiTheme="majorBidi" w:cstheme="majorBidi"/>
          <w:color w:val="auto"/>
          <w:sz w:val="24"/>
          <w:szCs w:val="24"/>
          <w:vertAlign w:val="superscript"/>
        </w:rPr>
        <w:fldChar w:fldCharType="begin"/>
      </w:r>
      <w:r w:rsidR="006E4584" w:rsidRPr="00FA7433">
        <w:rPr>
          <w:rFonts w:asciiTheme="majorBidi" w:hAnsiTheme="majorBidi" w:cstheme="majorBidi"/>
          <w:color w:val="auto"/>
          <w:sz w:val="24"/>
          <w:szCs w:val="24"/>
          <w:vertAlign w:val="superscript"/>
        </w:rPr>
        <w:instrText xml:space="preserve"> ADDIN ZOTERO_ITEM CSL_CITATION {"citationID":"hnahYJCH","properties":{"formattedCitation":"(8)","plainCitation":"(8)","noteIndex":0},"citationItems":[{"id":74,"uris":["http://zotero.org/users/local/IUvTSyB4/items/AM89JLQN"],"itemData":{"id":74,"type":"document","title":"Ansari AP, Nasir A. Therapeutic effect of ‘Qurs-i-Ziabetus Khas’ in Diabetes Mellitus- A Case Report. J Ayu Herb Med 2020;6(1):4."}}],"schema":"https://github.com/citation-style-language/schema/raw/master/csl-citation.json"} </w:instrText>
      </w:r>
      <w:r w:rsidR="00565B6D" w:rsidRPr="00FA7433">
        <w:rPr>
          <w:rFonts w:asciiTheme="majorBidi" w:hAnsiTheme="majorBidi" w:cstheme="majorBidi"/>
          <w:color w:val="auto"/>
          <w:sz w:val="24"/>
          <w:szCs w:val="24"/>
          <w:vertAlign w:val="superscript"/>
        </w:rPr>
        <w:fldChar w:fldCharType="separate"/>
      </w:r>
      <w:r w:rsidR="00FA7433" w:rsidRPr="00FA7433">
        <w:rPr>
          <w:rFonts w:asciiTheme="majorBidi" w:hAnsiTheme="majorBidi" w:cstheme="majorBidi"/>
          <w:color w:val="auto"/>
          <w:sz w:val="24"/>
          <w:szCs w:val="24"/>
          <w:vertAlign w:val="superscript"/>
        </w:rPr>
        <w:t>[</w:t>
      </w:r>
      <w:r w:rsidR="006E4584" w:rsidRPr="00FA7433">
        <w:rPr>
          <w:rFonts w:asciiTheme="majorBidi" w:hAnsiTheme="majorBidi" w:cstheme="majorBidi"/>
          <w:color w:val="auto"/>
          <w:sz w:val="24"/>
          <w:szCs w:val="24"/>
          <w:vertAlign w:val="superscript"/>
        </w:rPr>
        <w:t>8</w:t>
      </w:r>
      <w:r w:rsidR="00565B6D" w:rsidRPr="00FA7433">
        <w:rPr>
          <w:rFonts w:asciiTheme="majorBidi" w:hAnsiTheme="majorBidi" w:cstheme="majorBidi"/>
          <w:color w:val="auto"/>
          <w:sz w:val="24"/>
          <w:szCs w:val="24"/>
          <w:vertAlign w:val="superscript"/>
        </w:rPr>
        <w:fldChar w:fldCharType="end"/>
      </w:r>
      <w:r w:rsidR="00FA7433" w:rsidRPr="00FA7433">
        <w:rPr>
          <w:rFonts w:asciiTheme="majorBidi" w:hAnsiTheme="majorBidi" w:cstheme="majorBidi"/>
          <w:color w:val="auto"/>
          <w:sz w:val="24"/>
          <w:szCs w:val="24"/>
          <w:vertAlign w:val="superscript"/>
        </w:rPr>
        <w:t>]</w:t>
      </w:r>
    </w:p>
    <w:tbl>
      <w:tblPr>
        <w:tblStyle w:val="TableGrid"/>
        <w:tblW w:w="0" w:type="auto"/>
        <w:tblLook w:val="04A0" w:firstRow="1" w:lastRow="0" w:firstColumn="1" w:lastColumn="0" w:noHBand="0" w:noVBand="1"/>
      </w:tblPr>
      <w:tblGrid>
        <w:gridCol w:w="752"/>
        <w:gridCol w:w="1869"/>
        <w:gridCol w:w="2390"/>
        <w:gridCol w:w="1802"/>
        <w:gridCol w:w="827"/>
        <w:gridCol w:w="1936"/>
      </w:tblGrid>
      <w:tr w:rsidR="00D52105" w:rsidRPr="00E05D0F" w:rsidTr="00D52105">
        <w:tc>
          <w:tcPr>
            <w:tcW w:w="817" w:type="dxa"/>
          </w:tcPr>
          <w:p w:rsidR="00D52105" w:rsidRPr="00E05D0F" w:rsidRDefault="00D52105" w:rsidP="007E4D2B">
            <w:pPr>
              <w:spacing w:line="360" w:lineRule="auto"/>
              <w:rPr>
                <w:rFonts w:asciiTheme="majorBidi" w:eastAsia="Times New Roman" w:hAnsiTheme="majorBidi" w:cstheme="majorBidi"/>
                <w:b/>
                <w:bCs/>
                <w:kern w:val="0"/>
              </w:rPr>
            </w:pPr>
            <w:r w:rsidRPr="00E05D0F">
              <w:rPr>
                <w:rFonts w:asciiTheme="majorBidi" w:eastAsia="Times New Roman" w:hAnsiTheme="majorBidi" w:cstheme="majorBidi"/>
                <w:b/>
                <w:bCs/>
                <w:kern w:val="0"/>
              </w:rPr>
              <w:t>S.No</w:t>
            </w:r>
          </w:p>
        </w:tc>
        <w:tc>
          <w:tcPr>
            <w:tcW w:w="2552" w:type="dxa"/>
          </w:tcPr>
          <w:p w:rsidR="00D52105" w:rsidRPr="00E05D0F" w:rsidRDefault="00D52105" w:rsidP="007E4D2B">
            <w:pPr>
              <w:spacing w:line="360" w:lineRule="auto"/>
              <w:rPr>
                <w:rFonts w:asciiTheme="majorBidi" w:eastAsia="Times New Roman" w:hAnsiTheme="majorBidi" w:cstheme="majorBidi"/>
                <w:b/>
                <w:bCs/>
                <w:kern w:val="0"/>
              </w:rPr>
            </w:pPr>
            <w:r w:rsidRPr="00E05D0F">
              <w:rPr>
                <w:rFonts w:asciiTheme="majorBidi" w:eastAsia="Times New Roman" w:hAnsiTheme="majorBidi" w:cstheme="majorBidi"/>
                <w:b/>
                <w:bCs/>
                <w:kern w:val="0"/>
              </w:rPr>
              <w:t xml:space="preserve">USM name of </w:t>
            </w:r>
            <w:r w:rsidR="00B10D4A" w:rsidRPr="00E05D0F">
              <w:rPr>
                <w:rFonts w:asciiTheme="majorBidi" w:eastAsia="Times New Roman" w:hAnsiTheme="majorBidi" w:cstheme="majorBidi"/>
                <w:b/>
                <w:bCs/>
              </w:rPr>
              <w:t>ingredients</w:t>
            </w:r>
          </w:p>
        </w:tc>
        <w:tc>
          <w:tcPr>
            <w:tcW w:w="2551" w:type="dxa"/>
          </w:tcPr>
          <w:p w:rsidR="00D52105" w:rsidRPr="00E05D0F" w:rsidRDefault="00D52105" w:rsidP="007E4D2B">
            <w:pPr>
              <w:spacing w:line="360" w:lineRule="auto"/>
              <w:rPr>
                <w:rFonts w:asciiTheme="majorBidi" w:eastAsia="Times New Roman" w:hAnsiTheme="majorBidi" w:cstheme="majorBidi"/>
                <w:b/>
                <w:bCs/>
                <w:kern w:val="0"/>
              </w:rPr>
            </w:pPr>
            <w:r w:rsidRPr="00E05D0F">
              <w:rPr>
                <w:rFonts w:asciiTheme="majorBidi" w:eastAsia="Times New Roman" w:hAnsiTheme="majorBidi" w:cstheme="majorBidi"/>
                <w:b/>
                <w:bCs/>
                <w:kern w:val="0"/>
              </w:rPr>
              <w:t>Botanical/zoological  name</w:t>
            </w:r>
          </w:p>
        </w:tc>
        <w:tc>
          <w:tcPr>
            <w:tcW w:w="2410" w:type="dxa"/>
          </w:tcPr>
          <w:p w:rsidR="00D52105" w:rsidRPr="00E05D0F" w:rsidRDefault="00D52105" w:rsidP="007E4D2B">
            <w:pPr>
              <w:spacing w:line="360" w:lineRule="auto"/>
              <w:rPr>
                <w:rFonts w:asciiTheme="majorBidi" w:eastAsia="Times New Roman" w:hAnsiTheme="majorBidi" w:cstheme="majorBidi"/>
                <w:b/>
                <w:bCs/>
                <w:kern w:val="0"/>
              </w:rPr>
            </w:pPr>
            <w:r w:rsidRPr="00E05D0F">
              <w:rPr>
                <w:rFonts w:asciiTheme="majorBidi" w:eastAsia="Times New Roman" w:hAnsiTheme="majorBidi" w:cstheme="majorBidi"/>
                <w:b/>
                <w:bCs/>
                <w:kern w:val="0"/>
              </w:rPr>
              <w:t>Parts Used</w:t>
            </w:r>
          </w:p>
        </w:tc>
        <w:tc>
          <w:tcPr>
            <w:tcW w:w="895" w:type="dxa"/>
          </w:tcPr>
          <w:p w:rsidR="00D52105" w:rsidRPr="00E05D0F" w:rsidRDefault="00D52105" w:rsidP="007E4D2B">
            <w:pPr>
              <w:spacing w:line="360" w:lineRule="auto"/>
              <w:rPr>
                <w:rFonts w:asciiTheme="majorBidi" w:eastAsia="Times New Roman" w:hAnsiTheme="majorBidi" w:cstheme="majorBidi"/>
                <w:b/>
                <w:bCs/>
                <w:kern w:val="0"/>
              </w:rPr>
            </w:pPr>
            <w:r w:rsidRPr="00E05D0F">
              <w:rPr>
                <w:rFonts w:asciiTheme="majorBidi" w:eastAsia="Times New Roman" w:hAnsiTheme="majorBidi" w:cstheme="majorBidi"/>
                <w:b/>
                <w:bCs/>
                <w:kern w:val="0"/>
              </w:rPr>
              <w:t xml:space="preserve">Ratio </w:t>
            </w:r>
          </w:p>
        </w:tc>
        <w:tc>
          <w:tcPr>
            <w:tcW w:w="351" w:type="dxa"/>
          </w:tcPr>
          <w:p w:rsidR="00D52105" w:rsidRPr="00E05D0F" w:rsidRDefault="00D52105" w:rsidP="007E4D2B">
            <w:pPr>
              <w:spacing w:line="360" w:lineRule="auto"/>
              <w:rPr>
                <w:rFonts w:asciiTheme="majorBidi" w:eastAsia="Times New Roman" w:hAnsiTheme="majorBidi" w:cstheme="majorBidi"/>
                <w:b/>
                <w:bCs/>
                <w:kern w:val="0"/>
              </w:rPr>
            </w:pPr>
            <w:r w:rsidRPr="00E05D0F">
              <w:rPr>
                <w:rFonts w:asciiTheme="majorBidi" w:eastAsia="Times New Roman" w:hAnsiTheme="majorBidi" w:cstheme="majorBidi"/>
                <w:b/>
                <w:bCs/>
                <w:kern w:val="0"/>
              </w:rPr>
              <w:t>Pharmacological actions</w:t>
            </w:r>
          </w:p>
        </w:tc>
      </w:tr>
      <w:tr w:rsidR="00D52105" w:rsidRPr="00E05D0F" w:rsidTr="00D52105">
        <w:tc>
          <w:tcPr>
            <w:tcW w:w="817"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1</w:t>
            </w:r>
          </w:p>
        </w:tc>
        <w:tc>
          <w:tcPr>
            <w:tcW w:w="2552"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 xml:space="preserve">Tabasheer </w:t>
            </w:r>
          </w:p>
        </w:tc>
        <w:tc>
          <w:tcPr>
            <w:tcW w:w="2551"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i/>
                <w:iCs/>
              </w:rPr>
              <w:t>Bambusa arundinacea</w:t>
            </w:r>
          </w:p>
        </w:tc>
        <w:tc>
          <w:tcPr>
            <w:tcW w:w="2410"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 xml:space="preserve">Siliceous secretion  from the </w:t>
            </w:r>
            <w:r w:rsidRPr="00E05D0F">
              <w:rPr>
                <w:rStyle w:val="Strong"/>
                <w:rFonts w:asciiTheme="majorBidi" w:hAnsiTheme="majorBidi" w:cstheme="majorBidi"/>
                <w:b w:val="0"/>
                <w:bCs w:val="0"/>
              </w:rPr>
              <w:t>internodes</w:t>
            </w:r>
          </w:p>
        </w:tc>
        <w:tc>
          <w:tcPr>
            <w:tcW w:w="895"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25 g</w:t>
            </w:r>
          </w:p>
        </w:tc>
        <w:tc>
          <w:tcPr>
            <w:tcW w:w="351" w:type="dxa"/>
          </w:tcPr>
          <w:p w:rsidR="00D52105" w:rsidRPr="00E05D0F" w:rsidRDefault="00336FB5" w:rsidP="00FA7433">
            <w:pPr>
              <w:spacing w:line="360" w:lineRule="auto"/>
              <w:rPr>
                <w:rFonts w:asciiTheme="majorBidi" w:hAnsiTheme="majorBidi" w:cstheme="majorBidi"/>
                <w:sz w:val="20"/>
                <w:szCs w:val="20"/>
              </w:rPr>
            </w:pPr>
            <w:r>
              <w:rPr>
                <w:rFonts w:asciiTheme="majorBidi" w:hAnsiTheme="majorBidi" w:cstheme="majorBidi"/>
                <w:sz w:val="20"/>
                <w:szCs w:val="20"/>
                <w:shd w:val="clear" w:color="auto" w:fill="FFFFFF"/>
              </w:rPr>
              <w:t>a</w:t>
            </w:r>
            <w:r w:rsidR="000E2AC3" w:rsidRPr="00E05D0F">
              <w:rPr>
                <w:rFonts w:asciiTheme="majorBidi" w:hAnsiTheme="majorBidi" w:cstheme="majorBidi"/>
                <w:sz w:val="20"/>
                <w:szCs w:val="20"/>
                <w:shd w:val="clear" w:color="auto" w:fill="FFFFFF"/>
              </w:rPr>
              <w:t>nti</w:t>
            </w:r>
            <w:r w:rsidR="004910FE">
              <w:rPr>
                <w:rFonts w:asciiTheme="majorBidi" w:hAnsiTheme="majorBidi" w:cstheme="majorBidi"/>
                <w:sz w:val="20"/>
                <w:szCs w:val="20"/>
                <w:shd w:val="clear" w:color="auto" w:fill="FFFFFF"/>
              </w:rPr>
              <w:t>-</w:t>
            </w:r>
            <w:r w:rsidR="000E2AC3" w:rsidRPr="00E05D0F">
              <w:rPr>
                <w:rFonts w:asciiTheme="majorBidi" w:hAnsiTheme="majorBidi" w:cstheme="majorBidi"/>
                <w:sz w:val="20"/>
                <w:szCs w:val="20"/>
                <w:shd w:val="clear" w:color="auto" w:fill="FFFFFF"/>
              </w:rPr>
              <w:t>inflammatoy, anti</w:t>
            </w:r>
            <w:r w:rsidR="0005200A">
              <w:rPr>
                <w:rFonts w:asciiTheme="majorBidi" w:hAnsiTheme="majorBidi" w:cstheme="majorBidi"/>
                <w:sz w:val="20"/>
                <w:szCs w:val="20"/>
                <w:shd w:val="clear" w:color="auto" w:fill="FFFFFF"/>
              </w:rPr>
              <w:t>-</w:t>
            </w:r>
            <w:r w:rsidR="000E2AC3" w:rsidRPr="00E05D0F">
              <w:rPr>
                <w:rFonts w:asciiTheme="majorBidi" w:hAnsiTheme="majorBidi" w:cstheme="majorBidi"/>
                <w:sz w:val="20"/>
                <w:szCs w:val="20"/>
                <w:shd w:val="clear" w:color="auto" w:fill="FFFFFF"/>
              </w:rPr>
              <w:t>diabetic, antioxidant.</w:t>
            </w:r>
            <w:r w:rsidR="00830B8B" w:rsidRPr="00E05D0F">
              <w:rPr>
                <w:rFonts w:asciiTheme="majorBidi" w:hAnsiTheme="majorBidi" w:cstheme="majorBidi"/>
                <w:sz w:val="20"/>
                <w:szCs w:val="20"/>
                <w:shd w:val="clear" w:color="auto" w:fill="FFFFFF"/>
              </w:rPr>
              <w:t xml:space="preserve"> </w:t>
            </w:r>
            <w:r w:rsidR="00565B6D" w:rsidRPr="00FA7433">
              <w:rPr>
                <w:rFonts w:asciiTheme="majorBidi" w:hAnsiTheme="majorBidi" w:cstheme="majorBidi"/>
                <w:sz w:val="20"/>
                <w:szCs w:val="20"/>
                <w:shd w:val="clear" w:color="auto" w:fill="FFFFFF"/>
                <w:vertAlign w:val="superscript"/>
              </w:rPr>
              <w:fldChar w:fldCharType="begin"/>
            </w:r>
            <w:r w:rsidR="00830B8B" w:rsidRPr="00FA7433">
              <w:rPr>
                <w:rFonts w:asciiTheme="majorBidi" w:hAnsiTheme="majorBidi" w:cstheme="majorBidi"/>
                <w:sz w:val="20"/>
                <w:szCs w:val="20"/>
                <w:shd w:val="clear" w:color="auto" w:fill="FFFFFF"/>
                <w:vertAlign w:val="superscript"/>
              </w:rPr>
              <w:instrText xml:space="preserve"> ADDIN ZOTERO_ITEM CSL_CITATION {"citationID":"tacwrJoW","properties":{"formattedCitation":"(11)","plainCitation":"(11)","noteIndex":0},"citationItems":[{"id":86,"uris":["http://zotero.org/users/local/IUvTSyB4/items/4JYUX5JQ"],"itemData":{"id":86,"type":"article-journal","abstract":"Oriental Journal of Chemistry is a peer reviewed quarterly research journal of pure and applied chemistry. It publishes standard research papers in almost all thrust areas of current chemistry of academic and commercial importance. It provides a platform for rapid publication of quality research papers, reviews and chemistry letters. Oriental Journal of Chemistry is abstracted and indexed in almost all reputed National and International agencies.","container-title":"Oriental Journal of Chemistry","issue":"2","language":"en-US","page":"247-258","source":"www.orientjchem.org","title":"Ethnomedicinal Uses, Pharmacological and Phytochemical Studies of Bambusa Arundinaceae Retz (A Review).","volume":"38","author":[{"family":"Nazreen","given":"Syed"}],"issued":{"date-parts":[["2022",4,29]]}}}],"schema":"https://github.com/citation-style-language/schema/raw/master/csl-citation.json"} </w:instrText>
            </w:r>
            <w:r w:rsidR="00565B6D" w:rsidRPr="00FA7433">
              <w:rPr>
                <w:rFonts w:asciiTheme="majorBidi" w:hAnsiTheme="majorBidi" w:cstheme="majorBidi"/>
                <w:sz w:val="20"/>
                <w:szCs w:val="20"/>
                <w:shd w:val="clear" w:color="auto" w:fill="FFFFFF"/>
                <w:vertAlign w:val="superscript"/>
              </w:rPr>
              <w:fldChar w:fldCharType="separate"/>
            </w:r>
            <w:r w:rsidR="00FA7433" w:rsidRPr="00FA7433">
              <w:rPr>
                <w:rFonts w:asciiTheme="majorBidi" w:hAnsiTheme="majorBidi" w:cstheme="majorBidi"/>
                <w:sz w:val="20"/>
                <w:szCs w:val="20"/>
                <w:vertAlign w:val="superscript"/>
              </w:rPr>
              <w:t>[</w:t>
            </w:r>
            <w:r w:rsidR="00830B8B" w:rsidRPr="00FA7433">
              <w:rPr>
                <w:rFonts w:asciiTheme="majorBidi" w:hAnsiTheme="majorBidi" w:cstheme="majorBidi"/>
                <w:sz w:val="20"/>
                <w:szCs w:val="20"/>
                <w:vertAlign w:val="superscript"/>
              </w:rPr>
              <w:t>11</w:t>
            </w:r>
            <w:r w:rsidR="00565B6D" w:rsidRPr="00FA7433">
              <w:rPr>
                <w:rFonts w:asciiTheme="majorBidi" w:hAnsiTheme="majorBidi" w:cstheme="majorBidi"/>
                <w:sz w:val="20"/>
                <w:szCs w:val="20"/>
                <w:shd w:val="clear" w:color="auto" w:fill="FFFFFF"/>
                <w:vertAlign w:val="superscript"/>
              </w:rPr>
              <w:fldChar w:fldCharType="end"/>
            </w:r>
            <w:r w:rsidR="00FA7433" w:rsidRPr="00FA7433">
              <w:rPr>
                <w:rFonts w:asciiTheme="majorBidi" w:hAnsiTheme="majorBidi" w:cstheme="majorBidi"/>
                <w:sz w:val="20"/>
                <w:szCs w:val="20"/>
                <w:shd w:val="clear" w:color="auto" w:fill="FFFFFF"/>
                <w:vertAlign w:val="superscript"/>
              </w:rPr>
              <w:t>]</w:t>
            </w:r>
          </w:p>
        </w:tc>
      </w:tr>
      <w:tr w:rsidR="00D52105" w:rsidRPr="00E05D0F" w:rsidTr="00D52105">
        <w:tc>
          <w:tcPr>
            <w:tcW w:w="817"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lastRenderedPageBreak/>
              <w:t>2</w:t>
            </w:r>
          </w:p>
        </w:tc>
        <w:tc>
          <w:tcPr>
            <w:tcW w:w="2552"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 xml:space="preserve">Satt-e-Gilo </w:t>
            </w:r>
          </w:p>
        </w:tc>
        <w:tc>
          <w:tcPr>
            <w:tcW w:w="2551"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i/>
                <w:iCs/>
              </w:rPr>
              <w:t>Tinospora cordifolia</w:t>
            </w:r>
          </w:p>
        </w:tc>
        <w:tc>
          <w:tcPr>
            <w:tcW w:w="2410"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 xml:space="preserve">Extract </w:t>
            </w:r>
          </w:p>
        </w:tc>
        <w:tc>
          <w:tcPr>
            <w:tcW w:w="895"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25 g</w:t>
            </w:r>
          </w:p>
        </w:tc>
        <w:tc>
          <w:tcPr>
            <w:tcW w:w="351" w:type="dxa"/>
          </w:tcPr>
          <w:p w:rsidR="00D52105" w:rsidRPr="00E05D0F" w:rsidRDefault="0005200A" w:rsidP="00FA7433">
            <w:pPr>
              <w:spacing w:line="360" w:lineRule="auto"/>
              <w:rPr>
                <w:rFonts w:asciiTheme="majorBidi" w:hAnsiTheme="majorBidi" w:cstheme="majorBidi"/>
                <w:sz w:val="20"/>
                <w:szCs w:val="20"/>
              </w:rPr>
            </w:pPr>
            <w:r w:rsidRPr="00E05D0F">
              <w:rPr>
                <w:rFonts w:asciiTheme="majorBidi" w:hAnsiTheme="majorBidi" w:cstheme="majorBidi"/>
                <w:sz w:val="20"/>
                <w:szCs w:val="20"/>
                <w:shd w:val="clear" w:color="auto" w:fill="FFFFFF"/>
              </w:rPr>
              <w:t>A</w:t>
            </w:r>
            <w:r w:rsidR="00C261F8" w:rsidRPr="00E05D0F">
              <w:rPr>
                <w:rFonts w:asciiTheme="majorBidi" w:hAnsiTheme="majorBidi" w:cstheme="majorBidi"/>
                <w:sz w:val="20"/>
                <w:szCs w:val="20"/>
                <w:shd w:val="clear" w:color="auto" w:fill="FFFFFF"/>
              </w:rPr>
              <w:t>nti</w:t>
            </w:r>
            <w:r>
              <w:rPr>
                <w:rFonts w:asciiTheme="majorBidi" w:hAnsiTheme="majorBidi" w:cstheme="majorBidi"/>
                <w:sz w:val="20"/>
                <w:szCs w:val="20"/>
                <w:shd w:val="clear" w:color="auto" w:fill="FFFFFF"/>
              </w:rPr>
              <w:t>-</w:t>
            </w:r>
            <w:r w:rsidR="00C261F8" w:rsidRPr="00E05D0F">
              <w:rPr>
                <w:rFonts w:asciiTheme="majorBidi" w:hAnsiTheme="majorBidi" w:cstheme="majorBidi"/>
                <w:sz w:val="20"/>
                <w:szCs w:val="20"/>
                <w:shd w:val="clear" w:color="auto" w:fill="FFFFFF"/>
              </w:rPr>
              <w:t xml:space="preserve">diabetic </w:t>
            </w:r>
            <w:r w:rsidR="00565B6D" w:rsidRPr="00FA7433">
              <w:rPr>
                <w:rFonts w:asciiTheme="majorBidi" w:hAnsiTheme="majorBidi" w:cstheme="majorBidi"/>
                <w:sz w:val="20"/>
                <w:szCs w:val="20"/>
                <w:shd w:val="clear" w:color="auto" w:fill="FFFFFF"/>
                <w:vertAlign w:val="superscript"/>
              </w:rPr>
              <w:fldChar w:fldCharType="begin"/>
            </w:r>
            <w:r w:rsidR="00830B8B" w:rsidRPr="00FA7433">
              <w:rPr>
                <w:rFonts w:asciiTheme="majorBidi" w:hAnsiTheme="majorBidi" w:cstheme="majorBidi"/>
                <w:sz w:val="20"/>
                <w:szCs w:val="20"/>
                <w:shd w:val="clear" w:color="auto" w:fill="FFFFFF"/>
                <w:vertAlign w:val="superscript"/>
              </w:rPr>
              <w:instrText xml:space="preserve"> ADDIN ZOTERO_ITEM CSL_CITATION {"citationID":"y3JrWqfv","properties":{"formattedCitation":"(12)","plainCitation":"(12)","noteIndex":0},"citationItems":[{"id":87,"uris":["http://zotero.org/users/local/IUvTSyB4/items/9C65MHWV"],"itemData":{"id":87,"type":"article-journal","abstract":"Tinospora cordifolia is a well reported plant possessing numerous medicinal values including anti-diabetic property. Aim of the present study is to study the mechanism of action of Tinospora cordifolia and its active compound in differentiated myocytes, L6 cells. Key marker of diabetes in cells is the insulin dependent glucose transporter-4 (Glut-4) which also responds to exogenous chemicals, and is over expressed up to 5- and 4-fold, by Tinospora cordifolia and palmatine, respectively. Next to Glut-4, the predominant protein influencing glucose metabolism is PPARα and γ whose expressions were also positively modulated. Further, the inhibitors of insulin pathway prevented glucose uptake mediated by Tinospora cordifolia and palmatine which shows that the activity is majorly mediated through insulin pathway.","container-title":"Phytomedicine: International Journal of Phytotherapy and Phytopharmacology","DOI":"10.1016/j.phymed.2012.11.006","ISSN":"1618-095X","issue":"3-4","journalAbbreviation":"Phytomedicine","language":"eng","note":"PMID: 23290487","page":"246-248","source":"PubMed","title":"Anti-diabetic property of Tinospora cordifolia and its active compound is mediated through the expression of Glut-4 in L6 myotubes","volume":"20","author":[{"family":"Sangeetha","given":"M. K."},{"family":"Priya","given":"C. D. Mohana"},{"family":"Vasanthi","given":"Hannah R."}],"issued":{"date-parts":[["2013",2,15]]}}}],"schema":"https://github.com/citation-style-language/schema/raw/master/csl-citation.json"} </w:instrText>
            </w:r>
            <w:r w:rsidR="00565B6D" w:rsidRPr="00FA7433">
              <w:rPr>
                <w:rFonts w:asciiTheme="majorBidi" w:hAnsiTheme="majorBidi" w:cstheme="majorBidi"/>
                <w:sz w:val="20"/>
                <w:szCs w:val="20"/>
                <w:shd w:val="clear" w:color="auto" w:fill="FFFFFF"/>
                <w:vertAlign w:val="superscript"/>
              </w:rPr>
              <w:fldChar w:fldCharType="separate"/>
            </w:r>
            <w:r w:rsidR="00FA7433" w:rsidRPr="00FA7433">
              <w:rPr>
                <w:rFonts w:asciiTheme="majorBidi" w:hAnsiTheme="majorBidi" w:cstheme="majorBidi"/>
                <w:sz w:val="20"/>
                <w:szCs w:val="20"/>
                <w:vertAlign w:val="superscript"/>
              </w:rPr>
              <w:t>[</w:t>
            </w:r>
            <w:r w:rsidR="00830B8B" w:rsidRPr="00FA7433">
              <w:rPr>
                <w:rFonts w:asciiTheme="majorBidi" w:hAnsiTheme="majorBidi" w:cstheme="majorBidi"/>
                <w:sz w:val="20"/>
                <w:szCs w:val="20"/>
                <w:vertAlign w:val="superscript"/>
              </w:rPr>
              <w:t>12</w:t>
            </w:r>
            <w:r w:rsidR="00565B6D" w:rsidRPr="00FA7433">
              <w:rPr>
                <w:rFonts w:asciiTheme="majorBidi" w:hAnsiTheme="majorBidi" w:cstheme="majorBidi"/>
                <w:sz w:val="20"/>
                <w:szCs w:val="20"/>
                <w:shd w:val="clear" w:color="auto" w:fill="FFFFFF"/>
                <w:vertAlign w:val="superscript"/>
              </w:rPr>
              <w:fldChar w:fldCharType="end"/>
            </w:r>
            <w:r w:rsidR="00FA7433" w:rsidRPr="00FA7433">
              <w:rPr>
                <w:rFonts w:asciiTheme="majorBidi" w:hAnsiTheme="majorBidi" w:cstheme="majorBidi"/>
                <w:sz w:val="20"/>
                <w:szCs w:val="20"/>
                <w:shd w:val="clear" w:color="auto" w:fill="FFFFFF"/>
                <w:vertAlign w:val="superscript"/>
              </w:rPr>
              <w:t>]</w:t>
            </w:r>
            <w:r w:rsidR="000E2AC3" w:rsidRPr="00E05D0F">
              <w:rPr>
                <w:rFonts w:asciiTheme="majorBidi" w:hAnsiTheme="majorBidi" w:cstheme="majorBidi"/>
                <w:sz w:val="20"/>
                <w:szCs w:val="20"/>
                <w:shd w:val="clear" w:color="auto" w:fill="FFFFFF"/>
              </w:rPr>
              <w:t xml:space="preserve"> </w:t>
            </w:r>
          </w:p>
        </w:tc>
      </w:tr>
      <w:tr w:rsidR="00D52105" w:rsidRPr="00E05D0F" w:rsidTr="00D52105">
        <w:tc>
          <w:tcPr>
            <w:tcW w:w="817"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3</w:t>
            </w:r>
          </w:p>
        </w:tc>
        <w:tc>
          <w:tcPr>
            <w:tcW w:w="2552"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 xml:space="preserve">Maghz-e-Khasta Jamun </w:t>
            </w:r>
          </w:p>
        </w:tc>
        <w:tc>
          <w:tcPr>
            <w:tcW w:w="2551"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i/>
                <w:iCs/>
              </w:rPr>
              <w:t>Eugenia jambolana</w:t>
            </w:r>
          </w:p>
        </w:tc>
        <w:tc>
          <w:tcPr>
            <w:tcW w:w="2410"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Kernel (seed inner part)</w:t>
            </w:r>
          </w:p>
        </w:tc>
        <w:tc>
          <w:tcPr>
            <w:tcW w:w="895"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50 g</w:t>
            </w:r>
          </w:p>
        </w:tc>
        <w:tc>
          <w:tcPr>
            <w:tcW w:w="351" w:type="dxa"/>
          </w:tcPr>
          <w:p w:rsidR="00D52105" w:rsidRPr="00E05D0F" w:rsidRDefault="0005200A" w:rsidP="00FA7433">
            <w:pPr>
              <w:spacing w:line="360" w:lineRule="auto"/>
              <w:rPr>
                <w:rFonts w:asciiTheme="majorBidi" w:hAnsiTheme="majorBidi" w:cstheme="majorBidi"/>
                <w:sz w:val="20"/>
                <w:szCs w:val="20"/>
              </w:rPr>
            </w:pPr>
            <w:r w:rsidRPr="00E05D0F">
              <w:rPr>
                <w:rFonts w:asciiTheme="majorBidi" w:hAnsiTheme="majorBidi" w:cstheme="majorBidi"/>
                <w:sz w:val="20"/>
                <w:szCs w:val="20"/>
              </w:rPr>
              <w:t>A</w:t>
            </w:r>
            <w:r w:rsidR="00C261F8" w:rsidRPr="00E05D0F">
              <w:rPr>
                <w:rFonts w:asciiTheme="majorBidi" w:hAnsiTheme="majorBidi" w:cstheme="majorBidi"/>
                <w:sz w:val="20"/>
                <w:szCs w:val="20"/>
              </w:rPr>
              <w:t>nti</w:t>
            </w:r>
            <w:r>
              <w:rPr>
                <w:rFonts w:asciiTheme="majorBidi" w:hAnsiTheme="majorBidi" w:cstheme="majorBidi"/>
                <w:sz w:val="20"/>
                <w:szCs w:val="20"/>
              </w:rPr>
              <w:t>-</w:t>
            </w:r>
            <w:r w:rsidR="00C261F8" w:rsidRPr="00E05D0F">
              <w:rPr>
                <w:rFonts w:asciiTheme="majorBidi" w:hAnsiTheme="majorBidi" w:cstheme="majorBidi"/>
                <w:sz w:val="20"/>
                <w:szCs w:val="20"/>
              </w:rPr>
              <w:t>diabetic</w:t>
            </w:r>
            <w:r w:rsidR="000E2AC3" w:rsidRPr="00E05D0F">
              <w:rPr>
                <w:rFonts w:asciiTheme="majorBidi" w:hAnsiTheme="majorBidi" w:cstheme="majorBidi"/>
                <w:sz w:val="20"/>
                <w:szCs w:val="20"/>
              </w:rPr>
              <w:t xml:space="preserve"> </w:t>
            </w:r>
            <w:r w:rsidR="00565B6D" w:rsidRPr="00FA7433">
              <w:rPr>
                <w:rFonts w:asciiTheme="majorBidi" w:hAnsiTheme="majorBidi" w:cstheme="majorBidi"/>
                <w:sz w:val="20"/>
                <w:szCs w:val="20"/>
                <w:vertAlign w:val="superscript"/>
              </w:rPr>
              <w:fldChar w:fldCharType="begin"/>
            </w:r>
            <w:r w:rsidR="00830B8B" w:rsidRPr="00FA7433">
              <w:rPr>
                <w:rFonts w:asciiTheme="majorBidi" w:hAnsiTheme="majorBidi" w:cstheme="majorBidi"/>
                <w:sz w:val="20"/>
                <w:szCs w:val="20"/>
                <w:vertAlign w:val="superscript"/>
              </w:rPr>
              <w:instrText xml:space="preserve"> ADDIN ZOTERO_ITEM CSL_CITATION {"citationID":"NVsUd0XT","properties":{"formattedCitation":"(13)","plainCitation":"(13)","noteIndex":0},"citationItems":[{"id":89,"uris":["http://zotero.org/users/local/IUvTSyB4/items/JG2FPMVX"],"itemData":{"id":89,"type":"article-journal","abstract":"The present study evaluated the hypoglycemic activity of different parts of Eugenia jambolana seeds such as whole seed, kernel, and seed coat on streptozotocin-induced diabetic rats. Administration of the ethanolic extract of kernel at a concentration of 100 mg/kg of body weight significantly decreased the levels of blood glucose, blood urea, and cholesterol, increased glucose tolerance and levels of total proteins and liver glycogen, and decreased the activities of glutamate oxaloacetate transaminase and glutamate pyruvate transaminase in experimental diabetic rats. Whole seed showed a moderate hypoglycemic effect, and seed coat did not show any hypoglycemic effect. The hypoglycemic efficacy was compared with that of glibenclamide, a standard hypoglycemic drug.","container-title":"Journal of Medicinal Food","DOI":"10.1089/1096620041224067","ISSN":"1096-620X","issue":"2","journalAbbreviation":"J Med Food","language":"eng","note":"PMID: 15298766","page":"187-191","source":"PubMed","title":"Anti-diabetic activity of Eugenia jambolana seed kernels on streptozotocin-induced diabetic rats","volume":"7","author":[{"family":"Ravi","given":"K."},{"family":"Sivagnanam","given":"K."},{"family":"Subramanian","given":"S."}],"issued":{"date-parts":[["2004"]]}}}],"schema":"https://github.com/citation-style-language/schema/raw/master/csl-citation.json"} </w:instrText>
            </w:r>
            <w:r w:rsidR="00565B6D" w:rsidRPr="00FA7433">
              <w:rPr>
                <w:rFonts w:asciiTheme="majorBidi" w:hAnsiTheme="majorBidi" w:cstheme="majorBidi"/>
                <w:sz w:val="20"/>
                <w:szCs w:val="20"/>
                <w:vertAlign w:val="superscript"/>
              </w:rPr>
              <w:fldChar w:fldCharType="separate"/>
            </w:r>
            <w:r w:rsidR="00FA7433" w:rsidRPr="00FA7433">
              <w:rPr>
                <w:rFonts w:asciiTheme="majorBidi" w:hAnsiTheme="majorBidi" w:cstheme="majorBidi"/>
                <w:sz w:val="20"/>
                <w:szCs w:val="20"/>
                <w:vertAlign w:val="superscript"/>
              </w:rPr>
              <w:t>[</w:t>
            </w:r>
            <w:r w:rsidR="00830B8B" w:rsidRPr="00FA7433">
              <w:rPr>
                <w:rFonts w:asciiTheme="majorBidi" w:hAnsiTheme="majorBidi" w:cstheme="majorBidi"/>
                <w:sz w:val="20"/>
                <w:szCs w:val="20"/>
                <w:vertAlign w:val="superscript"/>
              </w:rPr>
              <w:t>13</w:t>
            </w:r>
            <w:r w:rsidR="00565B6D" w:rsidRPr="00FA7433">
              <w:rPr>
                <w:rFonts w:asciiTheme="majorBidi" w:hAnsiTheme="majorBidi" w:cstheme="majorBidi"/>
                <w:sz w:val="20"/>
                <w:szCs w:val="20"/>
                <w:vertAlign w:val="superscript"/>
              </w:rPr>
              <w:fldChar w:fldCharType="end"/>
            </w:r>
            <w:r w:rsidR="00FA7433" w:rsidRPr="00FA7433">
              <w:rPr>
                <w:rFonts w:asciiTheme="majorBidi" w:hAnsiTheme="majorBidi" w:cstheme="majorBidi"/>
                <w:sz w:val="20"/>
                <w:szCs w:val="20"/>
                <w:vertAlign w:val="superscript"/>
              </w:rPr>
              <w:t>]</w:t>
            </w:r>
          </w:p>
        </w:tc>
      </w:tr>
      <w:tr w:rsidR="00D52105" w:rsidRPr="00E05D0F" w:rsidTr="00D52105">
        <w:tc>
          <w:tcPr>
            <w:tcW w:w="817"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4</w:t>
            </w:r>
          </w:p>
        </w:tc>
        <w:tc>
          <w:tcPr>
            <w:tcW w:w="2552"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 xml:space="preserve">Gurmar Buti </w:t>
            </w:r>
          </w:p>
        </w:tc>
        <w:tc>
          <w:tcPr>
            <w:tcW w:w="2551"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i/>
                <w:iCs/>
              </w:rPr>
              <w:t>Gymnema sylvestre</w:t>
            </w:r>
          </w:p>
        </w:tc>
        <w:tc>
          <w:tcPr>
            <w:tcW w:w="2410"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 xml:space="preserve">Leaves </w:t>
            </w:r>
          </w:p>
        </w:tc>
        <w:tc>
          <w:tcPr>
            <w:tcW w:w="895"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50 g</w:t>
            </w:r>
          </w:p>
        </w:tc>
        <w:tc>
          <w:tcPr>
            <w:tcW w:w="351" w:type="dxa"/>
          </w:tcPr>
          <w:p w:rsidR="00D52105" w:rsidRPr="00E05D0F" w:rsidRDefault="0005200A" w:rsidP="00FA7433">
            <w:pPr>
              <w:spacing w:line="360" w:lineRule="auto"/>
              <w:rPr>
                <w:rFonts w:asciiTheme="majorBidi" w:hAnsiTheme="majorBidi" w:cstheme="majorBidi"/>
                <w:sz w:val="20"/>
                <w:szCs w:val="20"/>
              </w:rPr>
            </w:pPr>
            <w:r w:rsidRPr="00E05D0F">
              <w:rPr>
                <w:rFonts w:asciiTheme="majorBidi" w:hAnsiTheme="majorBidi" w:cstheme="majorBidi"/>
                <w:sz w:val="20"/>
                <w:szCs w:val="20"/>
              </w:rPr>
              <w:t>A</w:t>
            </w:r>
            <w:r w:rsidR="00C261F8" w:rsidRPr="00E05D0F">
              <w:rPr>
                <w:rFonts w:asciiTheme="majorBidi" w:hAnsiTheme="majorBidi" w:cstheme="majorBidi"/>
                <w:sz w:val="20"/>
                <w:szCs w:val="20"/>
              </w:rPr>
              <w:t>nti</w:t>
            </w:r>
            <w:r>
              <w:rPr>
                <w:rFonts w:asciiTheme="majorBidi" w:hAnsiTheme="majorBidi" w:cstheme="majorBidi"/>
                <w:sz w:val="20"/>
                <w:szCs w:val="20"/>
              </w:rPr>
              <w:t>-</w:t>
            </w:r>
            <w:r w:rsidR="00C261F8" w:rsidRPr="00E05D0F">
              <w:rPr>
                <w:rFonts w:asciiTheme="majorBidi" w:hAnsiTheme="majorBidi" w:cstheme="majorBidi"/>
                <w:sz w:val="20"/>
                <w:szCs w:val="20"/>
              </w:rPr>
              <w:t>diabetic</w:t>
            </w:r>
            <w:r w:rsidR="005325EC" w:rsidRPr="00E05D0F">
              <w:rPr>
                <w:rFonts w:asciiTheme="majorBidi" w:hAnsiTheme="majorBidi" w:cstheme="majorBidi"/>
                <w:sz w:val="20"/>
                <w:szCs w:val="20"/>
                <w:shd w:val="clear" w:color="auto" w:fill="FFFFFF"/>
              </w:rPr>
              <w:t xml:space="preserve"> </w:t>
            </w:r>
            <w:r w:rsidR="00565B6D" w:rsidRPr="00FA7433">
              <w:rPr>
                <w:rFonts w:asciiTheme="majorBidi" w:hAnsiTheme="majorBidi" w:cstheme="majorBidi"/>
                <w:sz w:val="20"/>
                <w:szCs w:val="20"/>
                <w:shd w:val="clear" w:color="auto" w:fill="FFFFFF"/>
                <w:vertAlign w:val="superscript"/>
              </w:rPr>
              <w:fldChar w:fldCharType="begin"/>
            </w:r>
            <w:r w:rsidR="00830B8B" w:rsidRPr="00FA7433">
              <w:rPr>
                <w:rFonts w:asciiTheme="majorBidi" w:hAnsiTheme="majorBidi" w:cstheme="majorBidi"/>
                <w:sz w:val="20"/>
                <w:szCs w:val="20"/>
                <w:shd w:val="clear" w:color="auto" w:fill="FFFFFF"/>
                <w:vertAlign w:val="superscript"/>
              </w:rPr>
              <w:instrText xml:space="preserve"> ADDIN ZOTERO_ITEM CSL_CITATION {"citationID":"h7Tw1YAv","properties":{"formattedCitation":"(14)","plainCitation":"(14)","noteIndex":0},"citationItems":[{"id":91,"uris":["http://zotero.org/users/local/IUvTSyB4/items/L7M6U4DZ"],"itemData":{"id":91,"type":"article-journal","abstract":"The effectiveness of GS4, an extract from the leaves of Gymnema sylvestre, in controlling hyperglycaemia was investigated in 22 Type 2 diabetic patients on conventional oral anti-hyperglycaemic agents. GS4 (400 mg/day) was administered for 18-20 months as a supplement to the conventional oral drugs. During GS4 supplementation, the patients showed a significant reduction in blood glucose, glycosylated haemoglobin and glycosylated plasma proteins, and conventional drug dosage could be decreased. Five of the 22 diabetic patients were able to discontinue their conventional drug and maintain their blood glucose homeostasis with GS4 alone. These data suggest that the beta cells may be regenerated/repaired in Type 2 diabetic patients on GS4 supplementation. This is supported by the appearance of raised insulin levels in the serum of patients after GS4 supplementation.","container-title":"Journal of Ethnopharmacology","DOI":"10.1016/0378-8741(90)90108-6","ISSN":"0378-8741","issue":"3","journalAbbreviation":"J Ethnopharmacol","language":"eng","note":"PMID: 2259217","page":"295-300","source":"PubMed","title":"Antidiabetic effect of a leaf extract from Gymnema sylvestre in non-insulin-dependent diabetes mellitus patients","volume":"30","author":[{"family":"Baskaran","given":"K."},{"family":"Kizar Ahamath","given":"B."},{"family":"Radha Shanmugasundaram","given":"K."},{"family":"Shanmugasundaram","given":"E. R."}],"issued":{"date-parts":[["1990",10]]}}}],"schema":"https://github.com/citation-style-language/schema/raw/master/csl-citation.json"} </w:instrText>
            </w:r>
            <w:r w:rsidR="00565B6D" w:rsidRPr="00FA7433">
              <w:rPr>
                <w:rFonts w:asciiTheme="majorBidi" w:hAnsiTheme="majorBidi" w:cstheme="majorBidi"/>
                <w:sz w:val="20"/>
                <w:szCs w:val="20"/>
                <w:shd w:val="clear" w:color="auto" w:fill="FFFFFF"/>
                <w:vertAlign w:val="superscript"/>
              </w:rPr>
              <w:fldChar w:fldCharType="separate"/>
            </w:r>
            <w:r w:rsidR="00FA7433" w:rsidRPr="00FA7433">
              <w:rPr>
                <w:rFonts w:asciiTheme="majorBidi" w:hAnsiTheme="majorBidi" w:cstheme="majorBidi"/>
                <w:sz w:val="20"/>
                <w:szCs w:val="20"/>
                <w:vertAlign w:val="superscript"/>
              </w:rPr>
              <w:t>[</w:t>
            </w:r>
            <w:r w:rsidR="00830B8B" w:rsidRPr="00FA7433">
              <w:rPr>
                <w:rFonts w:asciiTheme="majorBidi" w:hAnsiTheme="majorBidi" w:cstheme="majorBidi"/>
                <w:sz w:val="20"/>
                <w:szCs w:val="20"/>
                <w:vertAlign w:val="superscript"/>
              </w:rPr>
              <w:t>14</w:t>
            </w:r>
            <w:r w:rsidR="00565B6D" w:rsidRPr="00FA7433">
              <w:rPr>
                <w:rFonts w:asciiTheme="majorBidi" w:hAnsiTheme="majorBidi" w:cstheme="majorBidi"/>
                <w:sz w:val="20"/>
                <w:szCs w:val="20"/>
                <w:shd w:val="clear" w:color="auto" w:fill="FFFFFF"/>
                <w:vertAlign w:val="superscript"/>
              </w:rPr>
              <w:fldChar w:fldCharType="end"/>
            </w:r>
            <w:r w:rsidR="00FA7433" w:rsidRPr="00FA7433">
              <w:rPr>
                <w:rFonts w:asciiTheme="majorBidi" w:hAnsiTheme="majorBidi" w:cstheme="majorBidi"/>
                <w:sz w:val="20"/>
                <w:szCs w:val="20"/>
                <w:shd w:val="clear" w:color="auto" w:fill="FFFFFF"/>
                <w:vertAlign w:val="superscript"/>
              </w:rPr>
              <w:t>]</w:t>
            </w:r>
          </w:p>
        </w:tc>
      </w:tr>
      <w:tr w:rsidR="00D52105" w:rsidRPr="00E05D0F" w:rsidTr="00D52105">
        <w:tc>
          <w:tcPr>
            <w:tcW w:w="817"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5</w:t>
            </w:r>
          </w:p>
        </w:tc>
        <w:tc>
          <w:tcPr>
            <w:tcW w:w="2552"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Loab-i-Asapghol</w:t>
            </w:r>
          </w:p>
          <w:p w:rsidR="00D52105" w:rsidRPr="00E05D0F" w:rsidRDefault="00D52105" w:rsidP="007E4D2B">
            <w:pPr>
              <w:spacing w:line="360" w:lineRule="auto"/>
              <w:rPr>
                <w:rFonts w:asciiTheme="majorBidi" w:hAnsiTheme="majorBidi" w:cstheme="majorBidi"/>
              </w:rPr>
            </w:pPr>
          </w:p>
        </w:tc>
        <w:tc>
          <w:tcPr>
            <w:tcW w:w="2551"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i/>
                <w:iCs/>
              </w:rPr>
              <w:t>Plantago ovat</w:t>
            </w:r>
            <w:r w:rsidR="005325EC" w:rsidRPr="00E05D0F">
              <w:rPr>
                <w:rFonts w:asciiTheme="majorBidi" w:hAnsiTheme="majorBidi" w:cstheme="majorBidi"/>
                <w:i/>
                <w:iCs/>
              </w:rPr>
              <w:t>a</w:t>
            </w:r>
          </w:p>
        </w:tc>
        <w:tc>
          <w:tcPr>
            <w:tcW w:w="2410"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Mucilage of seed husk</w:t>
            </w:r>
          </w:p>
        </w:tc>
        <w:tc>
          <w:tcPr>
            <w:tcW w:w="895"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Q.S.</w:t>
            </w:r>
          </w:p>
        </w:tc>
        <w:tc>
          <w:tcPr>
            <w:tcW w:w="351" w:type="dxa"/>
          </w:tcPr>
          <w:p w:rsidR="00D52105" w:rsidRPr="00E05D0F" w:rsidRDefault="0005200A" w:rsidP="0005200A">
            <w:pPr>
              <w:spacing w:line="360" w:lineRule="auto"/>
              <w:rPr>
                <w:rFonts w:asciiTheme="majorBidi" w:hAnsiTheme="majorBidi" w:cstheme="majorBidi"/>
                <w:sz w:val="20"/>
                <w:szCs w:val="20"/>
              </w:rPr>
            </w:pPr>
            <w:r w:rsidRPr="00E05D0F">
              <w:rPr>
                <w:rFonts w:asciiTheme="majorBidi" w:hAnsiTheme="majorBidi" w:cstheme="majorBidi"/>
                <w:sz w:val="20"/>
                <w:szCs w:val="20"/>
              </w:rPr>
              <w:t>A</w:t>
            </w:r>
            <w:r w:rsidR="00C261F8" w:rsidRPr="00E05D0F">
              <w:rPr>
                <w:rFonts w:asciiTheme="majorBidi" w:hAnsiTheme="majorBidi" w:cstheme="majorBidi"/>
                <w:sz w:val="20"/>
                <w:szCs w:val="20"/>
              </w:rPr>
              <w:t>nti</w:t>
            </w:r>
            <w:r>
              <w:rPr>
                <w:rFonts w:asciiTheme="majorBidi" w:hAnsiTheme="majorBidi" w:cstheme="majorBidi"/>
                <w:sz w:val="20"/>
                <w:szCs w:val="20"/>
              </w:rPr>
              <w:t>-</w:t>
            </w:r>
            <w:r w:rsidR="00C261F8" w:rsidRPr="00E05D0F">
              <w:rPr>
                <w:rFonts w:asciiTheme="majorBidi" w:hAnsiTheme="majorBidi" w:cstheme="majorBidi"/>
                <w:sz w:val="20"/>
                <w:szCs w:val="20"/>
              </w:rPr>
              <w:t>diabetic</w:t>
            </w:r>
            <w:r w:rsidR="005325EC" w:rsidRPr="00E05D0F">
              <w:rPr>
                <w:rFonts w:asciiTheme="majorBidi" w:hAnsiTheme="majorBidi" w:cstheme="majorBidi"/>
                <w:sz w:val="20"/>
                <w:szCs w:val="20"/>
              </w:rPr>
              <w:t>, anti-inflammatory</w:t>
            </w:r>
            <w:r w:rsidR="00DF09D7">
              <w:rPr>
                <w:rFonts w:asciiTheme="majorBidi" w:hAnsiTheme="majorBidi" w:cstheme="majorBidi"/>
                <w:sz w:val="20"/>
                <w:szCs w:val="20"/>
              </w:rPr>
              <w:t xml:space="preserve"> </w:t>
            </w:r>
            <w:r w:rsidR="00565B6D" w:rsidRPr="0005200A">
              <w:rPr>
                <w:rFonts w:asciiTheme="majorBidi" w:hAnsiTheme="majorBidi" w:cstheme="majorBidi"/>
                <w:sz w:val="20"/>
                <w:szCs w:val="20"/>
                <w:vertAlign w:val="superscript"/>
              </w:rPr>
              <w:fldChar w:fldCharType="begin"/>
            </w:r>
            <w:r w:rsidR="00830B8B" w:rsidRPr="0005200A">
              <w:rPr>
                <w:rFonts w:asciiTheme="majorBidi" w:hAnsiTheme="majorBidi" w:cstheme="majorBidi"/>
                <w:sz w:val="20"/>
                <w:szCs w:val="20"/>
                <w:vertAlign w:val="superscript"/>
              </w:rPr>
              <w:instrText xml:space="preserve"> ADDIN ZOTERO_ITEM CSL_CITATION {"citationID":"YiZKcXQf","properties":{"formattedCitation":"(15)","plainCitation":"(15)","noteIndex":0},"citationItems":[{"id":93,"uris":["http://zotero.org/users/local/IUvTSyB4/items/7GV6PJVL"],"itemData":{"id":93,"type":"article-journal","abstract":"Polycystic ovary syndrome (PCOS), a common and multifactorial endocrine disorder in reproductive-aged women, is strongly associated with insulin resistance (IR) and type 2 diabetes mellitus (T2DM), and also affects up to one in four women with type 1 diabetes mellitus (T1DM). The current study explored the potential of Plantago ovata (P. ovata) seed ethanol extract (POEE) to modulate oxidative stress (OS), inflammatory responses, metabolic profiles, and hormonal levels in rat Streptozotocin (STZ)-induced DM and Letrozole (LET)-induced PCOS. Phytochemical analysis measured total phenolic content (TPC) and total flavonoid content (TFC) using HPLC-DAD-ESI MS for compound identification. POEE's antioxidant activity was evaluated in vitro through DPPH, H2O2, FRAP, and NO scavenging assays. Rats received POEE, metformin, or Trolox (TX) for 10 days. PCOS confirmation was achieved via ultrasound and histopathology. Serum levels of OS markers (TOS, TAC, OSI, MDA, AOPP, 8-OHdG, NO, 3-NT, AGEs, and SH), inflammatory markers (NF-κB, IL-1β, IL-18, Gasdermin D, and IL-10), metabolic parameters (fasting blood glucose, lipid profile, and liver enzymes), and hormone levels (LH, FSH, estrogen, testosterone, and insulin) were assessed. Additionally, the Triglyceride-Glucose index (TyG) and HOMA-IR were calculated. POEE had a medium content of polyphenols and a good in vitro antioxidant effect. In vivo, POEE administration in diabetic rats led to a reduction in OS markers and an increase in antioxidant levels, alongside decreases in inflammatory cytokines, blood glucose levels, and transaminase activity and improvements in lipid profile. In the PCOS model, POEE treatment effectively reduced total OS and lowered levels of LH, FSH, and testosterone, while elevating estrogen concentrations and reducing insulin resistance. These therapeutic effects were dose-dependent, with higher doses producing more pronounced outcomes, comparable to those observed with metformin and TX treatment.","container-title":"International Journal of Molecular Sciences","DOI":"10.3390/ijms26104712","ISSN":"1422-0067","issue":"10","journalAbbreviation":"Int J Mol Sci","language":"eng","note":"PMID: 40429855\nPMCID: PMC12111918","page":"4712","source":"PubMed","title":"Multitargeted Effects of Plantago ovata Ethanol Extract in Experimental Rat Streptozotocin-Induced Diabetes Mellitus and Letrozole-Induced Polycystic Ovary Syndrome","volume":"26","author":[{"family":"Usatiuc","given":"Lia-Oxana"},{"family":"Pop","given":"Raluca Maria"},{"family":"Adrian","given":"Surd"},{"family":"Pârvu","given":"Marcel"},{"family":"Țicolea","given":"Mădălina"},{"family":"Uifălean","given":"Ana"},{"family":"Vălean","given":"Dan"},{"family":"Gavrilaș","given":"Laura-Ioana"},{"family":"Csilla-Enikő","given":"Szabo"},{"family":"Leopold","given":"Loredana Florina"},{"family":"Ranga","given":"Floricuța"},{"family":"Cătoi","given":"Florinela Adriana"},{"family":"Pârvu","given":"Alina Elena"}],"issued":{"date-parts":[["2025",5,14]]}}}],"schema":"https://github.com/citation-style-language/schema/raw/master/csl-citation.json"} </w:instrText>
            </w:r>
            <w:r w:rsidR="00565B6D" w:rsidRPr="0005200A">
              <w:rPr>
                <w:rFonts w:asciiTheme="majorBidi" w:hAnsiTheme="majorBidi" w:cstheme="majorBidi"/>
                <w:sz w:val="20"/>
                <w:szCs w:val="20"/>
                <w:vertAlign w:val="superscript"/>
              </w:rPr>
              <w:fldChar w:fldCharType="separate"/>
            </w:r>
            <w:r w:rsidRPr="0005200A">
              <w:rPr>
                <w:rFonts w:asciiTheme="majorBidi" w:hAnsiTheme="majorBidi" w:cstheme="majorBidi"/>
                <w:sz w:val="20"/>
                <w:szCs w:val="20"/>
                <w:vertAlign w:val="superscript"/>
              </w:rPr>
              <w:t>[</w:t>
            </w:r>
            <w:r w:rsidR="00830B8B" w:rsidRPr="0005200A">
              <w:rPr>
                <w:rFonts w:asciiTheme="majorBidi" w:hAnsiTheme="majorBidi" w:cstheme="majorBidi"/>
                <w:sz w:val="20"/>
                <w:szCs w:val="20"/>
                <w:vertAlign w:val="superscript"/>
              </w:rPr>
              <w:t>15</w:t>
            </w:r>
            <w:r w:rsidR="00565B6D" w:rsidRPr="0005200A">
              <w:rPr>
                <w:rFonts w:asciiTheme="majorBidi" w:hAnsiTheme="majorBidi" w:cstheme="majorBidi"/>
                <w:sz w:val="20"/>
                <w:szCs w:val="20"/>
                <w:vertAlign w:val="superscript"/>
              </w:rPr>
              <w:fldChar w:fldCharType="end"/>
            </w:r>
            <w:r w:rsidRPr="0005200A">
              <w:rPr>
                <w:rFonts w:asciiTheme="majorBidi" w:hAnsiTheme="majorBidi" w:cstheme="majorBidi"/>
                <w:sz w:val="20"/>
                <w:szCs w:val="20"/>
                <w:vertAlign w:val="superscript"/>
              </w:rPr>
              <w:t>]</w:t>
            </w:r>
            <w:r w:rsidR="00830B8B" w:rsidRPr="00E05D0F">
              <w:rPr>
                <w:rFonts w:asciiTheme="majorBidi" w:hAnsiTheme="majorBidi" w:cstheme="majorBidi"/>
                <w:sz w:val="20"/>
                <w:szCs w:val="20"/>
              </w:rPr>
              <w:t xml:space="preserve"> </w:t>
            </w:r>
          </w:p>
        </w:tc>
      </w:tr>
      <w:tr w:rsidR="00D52105" w:rsidRPr="00E05D0F" w:rsidTr="00D52105">
        <w:tc>
          <w:tcPr>
            <w:tcW w:w="817"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6</w:t>
            </w:r>
          </w:p>
        </w:tc>
        <w:tc>
          <w:tcPr>
            <w:tcW w:w="2552"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 xml:space="preserve">Kushta Zamarrud </w:t>
            </w:r>
          </w:p>
        </w:tc>
        <w:tc>
          <w:tcPr>
            <w:tcW w:w="2551"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 xml:space="preserve">Mineral </w:t>
            </w:r>
          </w:p>
        </w:tc>
        <w:tc>
          <w:tcPr>
            <w:tcW w:w="2410"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Calx of Emerald</w:t>
            </w:r>
            <w:r w:rsidR="00F90EA2" w:rsidRPr="00E05D0F">
              <w:rPr>
                <w:rFonts w:asciiTheme="majorBidi" w:hAnsiTheme="majorBidi" w:cstheme="majorBidi"/>
              </w:rPr>
              <w:t xml:space="preserve"> (calcinated)</w:t>
            </w:r>
          </w:p>
        </w:tc>
        <w:tc>
          <w:tcPr>
            <w:tcW w:w="895"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10 g</w:t>
            </w:r>
          </w:p>
        </w:tc>
        <w:tc>
          <w:tcPr>
            <w:tcW w:w="351" w:type="dxa"/>
          </w:tcPr>
          <w:p w:rsidR="00D52105" w:rsidRPr="00E05D0F" w:rsidRDefault="005325EC" w:rsidP="007E4D2B">
            <w:pPr>
              <w:spacing w:line="360" w:lineRule="auto"/>
              <w:rPr>
                <w:rFonts w:asciiTheme="majorBidi" w:hAnsiTheme="majorBidi" w:cstheme="majorBidi"/>
                <w:sz w:val="20"/>
                <w:szCs w:val="20"/>
              </w:rPr>
            </w:pPr>
            <w:r w:rsidRPr="00E05D0F">
              <w:rPr>
                <w:rFonts w:asciiTheme="majorBidi" w:hAnsiTheme="majorBidi" w:cstheme="majorBidi"/>
                <w:sz w:val="20"/>
                <w:szCs w:val="20"/>
              </w:rPr>
              <w:t>No direct evidence</w:t>
            </w:r>
          </w:p>
        </w:tc>
      </w:tr>
      <w:tr w:rsidR="00D52105" w:rsidRPr="00E05D0F" w:rsidTr="00D52105">
        <w:tc>
          <w:tcPr>
            <w:tcW w:w="817"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7</w:t>
            </w:r>
          </w:p>
        </w:tc>
        <w:tc>
          <w:tcPr>
            <w:tcW w:w="2552"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Kushta Baiza-e-Murgh</w:t>
            </w:r>
          </w:p>
        </w:tc>
        <w:tc>
          <w:tcPr>
            <w:tcW w:w="2551" w:type="dxa"/>
          </w:tcPr>
          <w:p w:rsidR="00D52105" w:rsidRPr="00E05D0F" w:rsidRDefault="00D52105" w:rsidP="007E4D2B">
            <w:pPr>
              <w:spacing w:line="360" w:lineRule="auto"/>
              <w:rPr>
                <w:rFonts w:asciiTheme="majorBidi" w:hAnsiTheme="majorBidi" w:cstheme="majorBidi"/>
                <w:i/>
                <w:iCs/>
              </w:rPr>
            </w:pPr>
            <w:r w:rsidRPr="00E05D0F">
              <w:rPr>
                <w:rFonts w:asciiTheme="majorBidi" w:hAnsiTheme="majorBidi" w:cstheme="majorBidi"/>
                <w:i/>
                <w:iCs/>
              </w:rPr>
              <w:t>Gallus gallus domesticus</w:t>
            </w:r>
          </w:p>
        </w:tc>
        <w:tc>
          <w:tcPr>
            <w:tcW w:w="2410"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Calx of egg shell</w:t>
            </w:r>
            <w:r w:rsidR="00F90EA2" w:rsidRPr="00E05D0F">
              <w:rPr>
                <w:rFonts w:asciiTheme="majorBidi" w:hAnsiTheme="majorBidi" w:cstheme="majorBidi"/>
              </w:rPr>
              <w:t xml:space="preserve"> (calcinated)</w:t>
            </w:r>
          </w:p>
        </w:tc>
        <w:tc>
          <w:tcPr>
            <w:tcW w:w="895" w:type="dxa"/>
          </w:tcPr>
          <w:p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10 g</w:t>
            </w:r>
          </w:p>
        </w:tc>
        <w:tc>
          <w:tcPr>
            <w:tcW w:w="351" w:type="dxa"/>
          </w:tcPr>
          <w:p w:rsidR="00D52105" w:rsidRPr="00E05D0F" w:rsidRDefault="005325EC" w:rsidP="007E4D2B">
            <w:pPr>
              <w:spacing w:line="360" w:lineRule="auto"/>
              <w:rPr>
                <w:rFonts w:asciiTheme="majorBidi" w:hAnsiTheme="majorBidi" w:cstheme="majorBidi"/>
                <w:sz w:val="20"/>
                <w:szCs w:val="20"/>
              </w:rPr>
            </w:pPr>
            <w:r w:rsidRPr="00E05D0F">
              <w:rPr>
                <w:rFonts w:asciiTheme="majorBidi" w:hAnsiTheme="majorBidi" w:cstheme="majorBidi"/>
                <w:sz w:val="20"/>
                <w:szCs w:val="20"/>
              </w:rPr>
              <w:t>No direct evidence</w:t>
            </w:r>
          </w:p>
        </w:tc>
      </w:tr>
    </w:tbl>
    <w:p w:rsidR="00125A57" w:rsidRPr="00E05D0F" w:rsidRDefault="00125A57" w:rsidP="007E4D2B">
      <w:pPr>
        <w:pStyle w:val="p1"/>
        <w:spacing w:line="360" w:lineRule="auto"/>
        <w:jc w:val="both"/>
        <w:rPr>
          <w:rFonts w:asciiTheme="majorBidi" w:hAnsiTheme="majorBidi" w:cstheme="majorBidi"/>
          <w:color w:val="auto"/>
          <w:sz w:val="24"/>
          <w:szCs w:val="24"/>
        </w:rPr>
      </w:pPr>
    </w:p>
    <w:p w:rsidR="00F533F2" w:rsidRPr="00E05D0F" w:rsidRDefault="00F533F2" w:rsidP="00C545B4">
      <w:pPr>
        <w:spacing w:line="360" w:lineRule="auto"/>
        <w:rPr>
          <w:rFonts w:asciiTheme="majorBidi" w:eastAsia="Times New Roman" w:hAnsiTheme="majorBidi" w:cstheme="majorBidi"/>
          <w:b/>
          <w:bCs/>
          <w:kern w:val="0"/>
        </w:rPr>
      </w:pPr>
      <w:r w:rsidRPr="00E05D0F">
        <w:rPr>
          <w:rFonts w:asciiTheme="majorBidi" w:eastAsia="Times New Roman" w:hAnsiTheme="majorBidi" w:cstheme="majorBidi"/>
          <w:b/>
          <w:bCs/>
          <w:kern w:val="0"/>
        </w:rPr>
        <w:t>Table 2: Ingredients of Habb-e-Asab</w:t>
      </w:r>
      <w:r w:rsidR="00C545B4">
        <w:rPr>
          <w:rFonts w:asciiTheme="majorBidi" w:eastAsia="Times New Roman" w:hAnsiTheme="majorBidi" w:cstheme="majorBidi"/>
          <w:b/>
          <w:bCs/>
          <w:kern w:val="0"/>
        </w:rPr>
        <w:t xml:space="preserve"> </w:t>
      </w:r>
      <w:r w:rsidR="00565B6D">
        <w:rPr>
          <w:rFonts w:asciiTheme="majorBidi" w:eastAsia="Times New Roman" w:hAnsiTheme="majorBidi" w:cstheme="majorBidi"/>
          <w:b/>
          <w:bCs/>
          <w:kern w:val="0"/>
        </w:rPr>
        <w:fldChar w:fldCharType="begin"/>
      </w:r>
      <w:r w:rsidR="00C545B4">
        <w:rPr>
          <w:rFonts w:asciiTheme="majorBidi" w:eastAsia="Times New Roman" w:hAnsiTheme="majorBidi" w:cstheme="majorBidi"/>
          <w:b/>
          <w:bCs/>
          <w:kern w:val="0"/>
        </w:rPr>
        <w:instrText xml:space="preserve"> ADDIN ZOTERO_ITEM CSL_CITATION {"citationID":"sp0LmKZO","properties":{"formattedCitation":"(9)","plainCitation":"(9)","noteIndex":0},"citationItems":[{"id":75,"uris":["http://zotero.org/users/local/IUvTSyB4/items/BTU23UMD"],"itemData":{"id":75,"type":"article-journal","abstract":"OBJECTIVES: Diabetic peripheral neuropathy (DPN) is a common diabetes complication. The prevalence of neuropathy is 55% for type 1 and 66% for type 2 diabetes. In Unani medicine neuropathy is known as Khidr (numbness). It is treated with drugs possessing hypoglycemic and analgesic properties, etc. Habb-e-Asab, a polyherbal Unani formulation used for the treatment of Waja-ul-Asab (neuralgia) is routinely used for its indications in neurological pain in Unani medicine. The aim of this study to investigate the efficacy of Habb-e-Asab in diabetic peripheral neuropathy.\nMETHODS: Thirty patients with DPN were randomly assigned to test (n=20) and control (n=10) groups in a randomized single-blind placebo control study. For 45 days, the test group was given 250 mg Habb-e-Asab twice a day and the control group 250 mg placebo twice a day. The subjective parameters Pain in feet, burning in feet, and tingling in feet was assessed by the arbitrary scale and VAS fortnightly and objective parameters MNSI, and VPT was assessed in pre-post-treatment.\nRESULTS: The research drug revealed highly statistically significant with p&lt;0.001 on VAS score and MNSI whereas VPT is significant with p&lt;0.01 on few points. But control group exhibits no significant effect in any of the parameters. No adverse effects had been reported in either group.\nCONCLUSIONS: Our finding indicated that the Habb-e-Asab for 45 days improved and reduced the severity of DPN in a patient with diabetes (CTRI/2018/02/011725).","container-title":"Journal of Basic and Clinical Physiology and Pharmacology","DOI":"10.1515/jbcpp-2021-0330","ISSN":"2191-0286","issue":"6","journalAbbreviation":"J Basic Clin Physiol Pharmacol","language":"eng","note":"PMID: 35026880","page":"735-744","source":"PubMed","title":"Efficacy of Habb-e-Asab in diabetic peripheral neuropathy: a randomized placebo control study","title-short":"Efficacy of Habb-e-Asab in diabetic peripheral neuropathy","volume":"34","author":[{"family":"Nizamdeen","given":"Fathima Nafha"},{"family":"Quamri","given":"Mohd Aleemuddin"},{"family":"Anzar Alam","given":"Md"}],"issued":{"date-parts":[["2023",11,1]]}}}],"schema":"https://github.com/citation-style-language/schema/raw/master/csl-citation.json"} </w:instrText>
      </w:r>
      <w:r w:rsidR="00565B6D">
        <w:rPr>
          <w:rFonts w:asciiTheme="majorBidi" w:eastAsia="Times New Roman" w:hAnsiTheme="majorBidi" w:cstheme="majorBidi"/>
          <w:b/>
          <w:bCs/>
          <w:kern w:val="0"/>
        </w:rPr>
        <w:fldChar w:fldCharType="separate"/>
      </w:r>
      <w:r w:rsidR="00C545B4" w:rsidRPr="00C545B4">
        <w:rPr>
          <w:rFonts w:ascii="Times New Roman" w:hAnsi="Times New Roman" w:cs="Times New Roman"/>
        </w:rPr>
        <w:t>(9)</w:t>
      </w:r>
      <w:r w:rsidR="00565B6D">
        <w:rPr>
          <w:rFonts w:asciiTheme="majorBidi" w:eastAsia="Times New Roman" w:hAnsiTheme="majorBidi" w:cstheme="majorBidi"/>
          <w:b/>
          <w:bCs/>
          <w:kern w:val="0"/>
        </w:rPr>
        <w:fldChar w:fldCharType="end"/>
      </w:r>
    </w:p>
    <w:tbl>
      <w:tblPr>
        <w:tblStyle w:val="TableGrid"/>
        <w:tblW w:w="0" w:type="auto"/>
        <w:tblLook w:val="04A0" w:firstRow="1" w:lastRow="0" w:firstColumn="1" w:lastColumn="0" w:noHBand="0" w:noVBand="1"/>
      </w:tblPr>
      <w:tblGrid>
        <w:gridCol w:w="704"/>
        <w:gridCol w:w="1887"/>
        <w:gridCol w:w="2494"/>
        <w:gridCol w:w="1402"/>
        <w:gridCol w:w="992"/>
        <w:gridCol w:w="2097"/>
      </w:tblGrid>
      <w:tr w:rsidR="006F3EB4" w:rsidRPr="00E05D0F" w:rsidTr="00D5229E">
        <w:tc>
          <w:tcPr>
            <w:tcW w:w="704" w:type="dxa"/>
          </w:tcPr>
          <w:p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S.No</w:t>
            </w:r>
          </w:p>
        </w:tc>
        <w:tc>
          <w:tcPr>
            <w:tcW w:w="1887" w:type="dxa"/>
          </w:tcPr>
          <w:p w:rsidR="006F3EB4" w:rsidRPr="00E05D0F" w:rsidRDefault="00B10D4A"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USM name of ingredients</w:t>
            </w:r>
          </w:p>
        </w:tc>
        <w:tc>
          <w:tcPr>
            <w:tcW w:w="2494" w:type="dxa"/>
          </w:tcPr>
          <w:p w:rsidR="006F3EB4" w:rsidRPr="00E05D0F" w:rsidRDefault="00F464AA"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kern w:val="0"/>
              </w:rPr>
              <w:t>Botanical name</w:t>
            </w:r>
          </w:p>
        </w:tc>
        <w:tc>
          <w:tcPr>
            <w:tcW w:w="1402" w:type="dxa"/>
          </w:tcPr>
          <w:p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Parts Used</w:t>
            </w:r>
          </w:p>
        </w:tc>
        <w:tc>
          <w:tcPr>
            <w:tcW w:w="992" w:type="dxa"/>
          </w:tcPr>
          <w:p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Ratio</w:t>
            </w:r>
          </w:p>
        </w:tc>
        <w:tc>
          <w:tcPr>
            <w:tcW w:w="2097" w:type="dxa"/>
          </w:tcPr>
          <w:p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kern w:val="0"/>
              </w:rPr>
              <w:t>Pharmacological actions</w:t>
            </w:r>
          </w:p>
        </w:tc>
      </w:tr>
      <w:tr w:rsidR="006F3EB4" w:rsidRPr="00E05D0F" w:rsidTr="00D5229E">
        <w:tc>
          <w:tcPr>
            <w:tcW w:w="704" w:type="dxa"/>
          </w:tcPr>
          <w:p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1</w:t>
            </w:r>
          </w:p>
        </w:tc>
        <w:tc>
          <w:tcPr>
            <w:tcW w:w="1887"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rPr>
              <w:t>Azaraqi</w:t>
            </w:r>
          </w:p>
        </w:tc>
        <w:tc>
          <w:tcPr>
            <w:tcW w:w="2494"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i/>
                <w:iCs/>
              </w:rPr>
              <w:t xml:space="preserve">Strychnos nux-vomica </w:t>
            </w:r>
          </w:p>
        </w:tc>
        <w:tc>
          <w:tcPr>
            <w:tcW w:w="1402"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Detoxified seed</w:t>
            </w:r>
          </w:p>
        </w:tc>
        <w:tc>
          <w:tcPr>
            <w:tcW w:w="992"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24 g</w:t>
            </w:r>
          </w:p>
        </w:tc>
        <w:tc>
          <w:tcPr>
            <w:tcW w:w="2097" w:type="dxa"/>
          </w:tcPr>
          <w:p w:rsidR="00B10D4A" w:rsidRPr="00E05D0F" w:rsidRDefault="00B10D4A" w:rsidP="002A4E03">
            <w:pPr>
              <w:spacing w:line="360" w:lineRule="auto"/>
              <w:rPr>
                <w:rFonts w:asciiTheme="majorBidi" w:hAnsiTheme="majorBidi" w:cstheme="majorBidi"/>
              </w:rPr>
            </w:pPr>
            <w:r w:rsidRPr="00E05D0F">
              <w:rPr>
                <w:rFonts w:asciiTheme="majorBidi" w:hAnsiTheme="majorBidi" w:cstheme="majorBidi"/>
                <w:sz w:val="20"/>
                <w:szCs w:val="20"/>
              </w:rPr>
              <w:t xml:space="preserve">Neuroprotective, </w:t>
            </w:r>
            <w:r w:rsidR="00DA26F2" w:rsidRPr="00E05D0F">
              <w:rPr>
                <w:rFonts w:asciiTheme="majorBidi" w:hAnsiTheme="majorBidi" w:cstheme="majorBidi"/>
                <w:sz w:val="20"/>
                <w:szCs w:val="20"/>
              </w:rPr>
              <w:t>antioxidant</w:t>
            </w:r>
            <w:r w:rsidR="00830B8B" w:rsidRPr="00E05D0F">
              <w:rPr>
                <w:rFonts w:asciiTheme="majorBidi" w:hAnsiTheme="majorBidi" w:cstheme="majorBidi"/>
                <w:sz w:val="20"/>
                <w:szCs w:val="20"/>
              </w:rPr>
              <w:t xml:space="preserve">, </w:t>
            </w:r>
            <w:r w:rsidR="00DA26F2" w:rsidRPr="00E05D0F">
              <w:rPr>
                <w:rFonts w:asciiTheme="majorBidi" w:hAnsiTheme="majorBidi" w:cstheme="majorBidi"/>
                <w:sz w:val="20"/>
                <w:szCs w:val="20"/>
              </w:rPr>
              <w:t>analgesic</w:t>
            </w:r>
            <w:r w:rsidR="00830B8B" w:rsidRPr="00E05D0F">
              <w:rPr>
                <w:rFonts w:asciiTheme="majorBidi" w:hAnsiTheme="majorBidi" w:cstheme="majorBidi"/>
                <w:sz w:val="20"/>
                <w:szCs w:val="20"/>
              </w:rPr>
              <w:t xml:space="preserve">, </w:t>
            </w:r>
            <w:r w:rsidR="00DA26F2" w:rsidRPr="00E05D0F">
              <w:rPr>
                <w:rFonts w:asciiTheme="majorBidi" w:hAnsiTheme="majorBidi" w:cstheme="majorBidi"/>
                <w:sz w:val="20"/>
                <w:szCs w:val="20"/>
              </w:rPr>
              <w:t>anti</w:t>
            </w:r>
            <w:r w:rsidR="00830B8B" w:rsidRPr="00E05D0F">
              <w:rPr>
                <w:rFonts w:asciiTheme="majorBidi" w:hAnsiTheme="majorBidi" w:cstheme="majorBidi"/>
                <w:sz w:val="20"/>
                <w:szCs w:val="20"/>
              </w:rPr>
              <w:t>-inflammatory.</w:t>
            </w:r>
            <w:r w:rsidR="002A4E03">
              <w:rPr>
                <w:rFonts w:asciiTheme="majorBidi" w:hAnsiTheme="majorBidi" w:cstheme="majorBidi"/>
              </w:rPr>
              <w:t xml:space="preserve"> </w:t>
            </w:r>
            <w:r w:rsidR="00565B6D" w:rsidRPr="002A4E03">
              <w:rPr>
                <w:rFonts w:asciiTheme="majorBidi" w:hAnsiTheme="majorBidi" w:cstheme="majorBidi"/>
                <w:vertAlign w:val="superscript"/>
              </w:rPr>
              <w:fldChar w:fldCharType="begin"/>
            </w:r>
            <w:r w:rsidR="00830B8B" w:rsidRPr="002A4E03">
              <w:rPr>
                <w:rFonts w:asciiTheme="majorBidi" w:hAnsiTheme="majorBidi" w:cstheme="majorBidi"/>
                <w:vertAlign w:val="superscript"/>
              </w:rPr>
              <w:instrText xml:space="preserve"> ADDIN ZOTERO_ITEM CSL_CITATION {"citationID":"6VXf26ZH","properties":{"formattedCitation":"(16)","plainCitation":"(16)","noteIndex":0},"citationItems":[{"id":95,"uris":["http://zotero.org/users/local/IUvTSyB4/items/RXPTEKD7"],"itemData":{"id":95,"type":"article-journal","abstract":"BACKGROUND: Peripheral nerve injury is a debilitating condition that may lead to partial or complete motor, sensory and autonomic function loss and lacks effective therapy until date. Therefore, it is quite imperative to explore impending remedies for rapid and accurate functional retrieval following such conditions. Natural product-based intervention can prove effective to facilitate the process of functions regain.\nMETHODS: Here, we investigated the effect of processed Strychnos nux-vomica seeds at a dose of 250 mg/kg body weight in a mouse model of induced Sciatic nerve lesion in promoting the recovery of the functions. A compression injury was induced in the Sciatic nerve of the right leg in the mice. Sensory function recovery was evaluated by hot-plate and formalin tests, whereas the motor function retrieval was assessed by measuring muscle grip strength, sciatic functional index, and muscle mass restoration. Oxidative stress and blood cell count were measured by biochemistry and haematological analyses.\nRESULTS: This study indicates that Strychnos nux-vomica seeds enhance the rate of recovery of both sensory and motor functions. It helps restore the muscle mass, attenuates total oxidant status and enhances the total anti-oxidant capacity of the biological system. Moreover, the treated animals manifested an enhanced glucose tolerance aptitude and augmented granulocyte and platelet counts. Improved oxidant control, enhanced glucose sensitivity and amended granulocyte and platelet counts are likely to contribute to the advantageous effects of Strychnos nux-vomica, and warrant further in-depth studies for deciphering possible mechanisms and identification of active constituent(s) responsible for these effects.\nCONCLUSION: Strychnos nux-vomica seed offers functional recovery promoting effects following a mechanical injury to the Sciatic nerve and the possible reasons behind this effect can be reduced oxidative stress and improved glycaemic control. Further and detailed investigations can unravel this mystery.","container-title":"BMC complementary medicine and therapies","DOI":"10.1186/s12906-020-02950-3","ISSN":"2662-7671","issue":"1","journalAbbreviation":"BMC Complement Med Ther","language":"eng","note":"PMID: 32527244\nPMCID: PMC7291632","page":"181","source":"PubMed","title":"Strychnos nux-vomica L. seed preparation promotes functional recovery and attenuates oxidative stress in a mouse model of sciatic nerve crush injury","volume":"20","author":[{"family":"Razzaq","given":"Aroona"},{"family":"Hussain","given":"Ghulam"},{"family":"Rasul","given":"Azhar"},{"family":"Xu","given":"Jiaqi"},{"family":"Zhang","given":"Qiqi"},{"family":"Malik","given":"Shoaib Ahmad"},{"family":"Anwar","given":"Haseeb"},{"family":"Aziz","given":"Nimra"},{"family":"Braidy","given":"Nady"},{"family":"Aguilar","given":"Jose-Luis Gonzalez","non-dropping-particle":"de"},{"family":"Wei","given":"Wei"},{"family":"Li","given":"Jiang"},{"family":"Li","given":"Xiaomeng"}],"issued":{"date-parts":[["2020",6,11]]}}}],"schema":"https://github.com/citation-style-language/schema/raw/master/csl-citation.json"} </w:instrText>
            </w:r>
            <w:r w:rsidR="00565B6D" w:rsidRPr="002A4E03">
              <w:rPr>
                <w:rFonts w:asciiTheme="majorBidi" w:hAnsiTheme="majorBidi" w:cstheme="majorBidi"/>
                <w:vertAlign w:val="superscript"/>
              </w:rPr>
              <w:fldChar w:fldCharType="separate"/>
            </w:r>
            <w:r w:rsidR="002A4E03" w:rsidRPr="002A4E03">
              <w:rPr>
                <w:rFonts w:asciiTheme="majorBidi" w:hAnsiTheme="majorBidi" w:cstheme="majorBidi"/>
                <w:vertAlign w:val="superscript"/>
              </w:rPr>
              <w:t>[</w:t>
            </w:r>
            <w:r w:rsidR="00830B8B" w:rsidRPr="002A4E03">
              <w:rPr>
                <w:rFonts w:asciiTheme="majorBidi" w:hAnsiTheme="majorBidi" w:cstheme="majorBidi"/>
                <w:vertAlign w:val="superscript"/>
              </w:rPr>
              <w:t>16</w:t>
            </w:r>
            <w:r w:rsidR="00565B6D" w:rsidRPr="002A4E03">
              <w:rPr>
                <w:rFonts w:asciiTheme="majorBidi" w:hAnsiTheme="majorBidi" w:cstheme="majorBidi"/>
                <w:vertAlign w:val="superscript"/>
              </w:rPr>
              <w:fldChar w:fldCharType="end"/>
            </w:r>
            <w:r w:rsidR="002A4E03" w:rsidRPr="002A4E03">
              <w:rPr>
                <w:rFonts w:asciiTheme="majorBidi" w:hAnsiTheme="majorBidi" w:cstheme="majorBidi"/>
                <w:vertAlign w:val="superscript"/>
              </w:rPr>
              <w:t>]</w:t>
            </w:r>
          </w:p>
        </w:tc>
      </w:tr>
      <w:tr w:rsidR="006F3EB4" w:rsidRPr="00E05D0F" w:rsidTr="00D5229E">
        <w:tc>
          <w:tcPr>
            <w:tcW w:w="704" w:type="dxa"/>
          </w:tcPr>
          <w:p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2</w:t>
            </w:r>
          </w:p>
        </w:tc>
        <w:tc>
          <w:tcPr>
            <w:tcW w:w="1887"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rPr>
              <w:t xml:space="preserve">Ood Saleeb </w:t>
            </w:r>
          </w:p>
        </w:tc>
        <w:tc>
          <w:tcPr>
            <w:tcW w:w="2494"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i/>
                <w:iCs/>
              </w:rPr>
              <w:t>Paeonia emodi</w:t>
            </w:r>
            <w:r w:rsidRPr="00E05D0F">
              <w:rPr>
                <w:rFonts w:asciiTheme="majorBidi" w:hAnsiTheme="majorBidi" w:cstheme="majorBidi"/>
              </w:rPr>
              <w:t xml:space="preserve"> </w:t>
            </w:r>
          </w:p>
        </w:tc>
        <w:tc>
          <w:tcPr>
            <w:tcW w:w="1402"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 xml:space="preserve">Root </w:t>
            </w:r>
          </w:p>
        </w:tc>
        <w:tc>
          <w:tcPr>
            <w:tcW w:w="992"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12 g</w:t>
            </w:r>
          </w:p>
        </w:tc>
        <w:tc>
          <w:tcPr>
            <w:tcW w:w="2097" w:type="dxa"/>
          </w:tcPr>
          <w:p w:rsidR="00B10D4A" w:rsidRPr="00E05D0F" w:rsidRDefault="007218DA" w:rsidP="002A4E03">
            <w:pPr>
              <w:spacing w:line="360" w:lineRule="auto"/>
              <w:rPr>
                <w:rFonts w:asciiTheme="majorBidi" w:eastAsia="Times New Roman" w:hAnsiTheme="majorBidi" w:cstheme="majorBidi"/>
              </w:rPr>
            </w:pPr>
            <w:r w:rsidRPr="00E05D0F">
              <w:rPr>
                <w:rFonts w:asciiTheme="majorBidi" w:hAnsiTheme="majorBidi" w:cstheme="majorBidi"/>
                <w:sz w:val="20"/>
                <w:szCs w:val="20"/>
              </w:rPr>
              <w:t xml:space="preserve">Antioxidant, </w:t>
            </w:r>
            <w:r w:rsidR="007E4D2B" w:rsidRPr="00E05D0F">
              <w:rPr>
                <w:rFonts w:asciiTheme="majorBidi" w:hAnsiTheme="majorBidi" w:cstheme="majorBidi"/>
                <w:sz w:val="20"/>
                <w:szCs w:val="20"/>
              </w:rPr>
              <w:t xml:space="preserve">GABAergic </w:t>
            </w:r>
            <w:r w:rsidR="00DA26F2" w:rsidRPr="00E05D0F">
              <w:rPr>
                <w:rFonts w:asciiTheme="majorBidi" w:hAnsiTheme="majorBidi" w:cstheme="majorBidi"/>
                <w:sz w:val="20"/>
                <w:szCs w:val="20"/>
              </w:rPr>
              <w:t>modulation</w:t>
            </w:r>
            <w:r w:rsidR="007E4D2B" w:rsidRPr="00E05D0F">
              <w:rPr>
                <w:rFonts w:asciiTheme="majorBidi" w:hAnsiTheme="majorBidi" w:cstheme="majorBidi"/>
                <w:sz w:val="20"/>
                <w:szCs w:val="20"/>
              </w:rPr>
              <w:t xml:space="preserve">, </w:t>
            </w:r>
            <w:r w:rsidR="00DA26F2" w:rsidRPr="00E05D0F">
              <w:rPr>
                <w:rFonts w:asciiTheme="majorBidi" w:hAnsiTheme="majorBidi" w:cstheme="majorBidi"/>
                <w:sz w:val="20"/>
                <w:szCs w:val="20"/>
              </w:rPr>
              <w:t>neuroprotective</w:t>
            </w:r>
            <w:r w:rsidR="00B10D4A" w:rsidRPr="00E05D0F">
              <w:rPr>
                <w:rFonts w:asciiTheme="majorBidi" w:hAnsiTheme="majorBidi" w:cstheme="majorBidi"/>
                <w:sz w:val="20"/>
                <w:szCs w:val="20"/>
              </w:rPr>
              <w:t xml:space="preserve">, </w:t>
            </w:r>
            <w:r w:rsidR="00DA26F2" w:rsidRPr="00E05D0F">
              <w:rPr>
                <w:rFonts w:asciiTheme="majorBidi" w:hAnsiTheme="majorBidi" w:cstheme="majorBidi"/>
                <w:sz w:val="20"/>
                <w:szCs w:val="20"/>
              </w:rPr>
              <w:t>anti</w:t>
            </w:r>
            <w:r w:rsidR="00B10D4A" w:rsidRPr="00E05D0F">
              <w:rPr>
                <w:rFonts w:asciiTheme="majorBidi" w:hAnsiTheme="majorBidi" w:cstheme="majorBidi"/>
                <w:sz w:val="20"/>
                <w:szCs w:val="20"/>
              </w:rPr>
              <w:t xml:space="preserve">-inflammatory and </w:t>
            </w:r>
            <w:r w:rsidR="00DA26F2" w:rsidRPr="00E05D0F">
              <w:rPr>
                <w:rFonts w:asciiTheme="majorBidi" w:hAnsiTheme="majorBidi" w:cstheme="majorBidi"/>
                <w:sz w:val="20"/>
                <w:szCs w:val="20"/>
              </w:rPr>
              <w:t>radical scavenging</w:t>
            </w:r>
            <w:r w:rsidR="00565B6D" w:rsidRPr="002A4E03">
              <w:rPr>
                <w:rFonts w:asciiTheme="majorBidi" w:hAnsiTheme="majorBidi" w:cstheme="majorBidi"/>
                <w:vertAlign w:val="superscript"/>
              </w:rPr>
              <w:fldChar w:fldCharType="begin"/>
            </w:r>
            <w:r w:rsidRPr="002A4E03">
              <w:rPr>
                <w:rFonts w:asciiTheme="majorBidi" w:hAnsiTheme="majorBidi" w:cstheme="majorBidi"/>
                <w:vertAlign w:val="superscript"/>
              </w:rPr>
              <w:instrText xml:space="preserve"> ADDIN ZOTERO_ITEM CSL_CITATION {"citationID":"8l5j01Ig","properties":{"formattedCitation":"(17)","plainCitation":"(17)","noteIndex":0},"citationItems":[{"id":98,"uris":["http://zotero.org/users/local/IUvTSyB4/items/FWRTDEJP"],"itemData":{"id":98,"type":"article-journal","abstract":"Paeonia emodi (Peony) is a well known Himalayan medicinal plant used in the treatment of hypertension, palpitations, asthma, uterine diseases, colic, bilious obstructions and has also been used as an anticoagulant. Many of these ethnomedicinal properties have been experimentally proven in different animal models. The present work reviews the ethnopharmacology, therapeutic potential and phytochemistry of P. emodi. Different classes of natural products like triterpenoids, monoterpenoids, phenolics and tannins have been isolated from the species. These compounds possess wide therapeutic profile like cardiovascular and airway relaxant, lipoxygenase and β-Glucuronidase inhibitory and free radical scavenging properties.","container-title":"Phytochemistry Letters","DOI":"10.1016/j.phytol.2013.03.003","ISSN":"1874-3900","issue":"2","journalAbbreviation":"Phytochemistry Letters","page":"261-266","source":"ScienceDirect","title":"&lt;i&gt;Paeonia emodi&lt;/i&gt; Royle: Ethnomedicinal uses, phytochemistry and pharmacology","title-short":"&lt;i&gt;Paeonia emodi&lt;/i&gt; Royle","volume":"6","author":[{"family":"Zargar","given":"Bilal A."},{"family":"Masoodi","given":"Mubashir H."},{"family":"Khan","given":"Bahar Ahmed"},{"family":"Akbar","given":"Seema"}],"issued":{"date-parts":[["2013",5,1]]}}}],"schema":"https://github.com/citation-style-language/schema/raw/master/csl-citation.json"} </w:instrText>
            </w:r>
            <w:r w:rsidR="00565B6D" w:rsidRPr="002A4E03">
              <w:rPr>
                <w:rFonts w:asciiTheme="majorBidi" w:hAnsiTheme="majorBidi" w:cstheme="majorBidi"/>
                <w:vertAlign w:val="superscript"/>
              </w:rPr>
              <w:fldChar w:fldCharType="separate"/>
            </w:r>
            <w:r w:rsidR="002A4E03" w:rsidRPr="002A4E03">
              <w:rPr>
                <w:rFonts w:asciiTheme="majorBidi" w:hAnsiTheme="majorBidi" w:cstheme="majorBidi"/>
                <w:vertAlign w:val="superscript"/>
              </w:rPr>
              <w:t>[</w:t>
            </w:r>
            <w:r w:rsidRPr="002A4E03">
              <w:rPr>
                <w:rFonts w:asciiTheme="majorBidi" w:hAnsiTheme="majorBidi" w:cstheme="majorBidi"/>
                <w:vertAlign w:val="superscript"/>
              </w:rPr>
              <w:t>17</w:t>
            </w:r>
            <w:r w:rsidR="00565B6D" w:rsidRPr="002A4E03">
              <w:rPr>
                <w:rFonts w:asciiTheme="majorBidi" w:hAnsiTheme="majorBidi" w:cstheme="majorBidi"/>
                <w:vertAlign w:val="superscript"/>
              </w:rPr>
              <w:fldChar w:fldCharType="end"/>
            </w:r>
            <w:r w:rsidR="002A4E03" w:rsidRPr="002A4E03">
              <w:rPr>
                <w:rFonts w:asciiTheme="majorBidi" w:hAnsiTheme="majorBidi" w:cstheme="majorBidi"/>
                <w:vertAlign w:val="superscript"/>
              </w:rPr>
              <w:t>]</w:t>
            </w:r>
            <w:r w:rsidR="00B10D4A" w:rsidRPr="00E05D0F">
              <w:rPr>
                <w:rFonts w:asciiTheme="majorBidi" w:hAnsiTheme="majorBidi" w:cstheme="majorBidi"/>
              </w:rPr>
              <w:t xml:space="preserve"> </w:t>
            </w:r>
          </w:p>
        </w:tc>
      </w:tr>
      <w:tr w:rsidR="006F3EB4" w:rsidRPr="00E05D0F" w:rsidTr="00D5229E">
        <w:tc>
          <w:tcPr>
            <w:tcW w:w="704" w:type="dxa"/>
          </w:tcPr>
          <w:p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3</w:t>
            </w:r>
          </w:p>
        </w:tc>
        <w:tc>
          <w:tcPr>
            <w:tcW w:w="1887"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rPr>
              <w:t>Darchini</w:t>
            </w:r>
          </w:p>
        </w:tc>
        <w:tc>
          <w:tcPr>
            <w:tcW w:w="2494"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i/>
                <w:iCs/>
              </w:rPr>
              <w:t>Cinnamomum zeylanicum</w:t>
            </w:r>
          </w:p>
        </w:tc>
        <w:tc>
          <w:tcPr>
            <w:tcW w:w="1402"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Bark</w:t>
            </w:r>
          </w:p>
        </w:tc>
        <w:tc>
          <w:tcPr>
            <w:tcW w:w="992"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12 g</w:t>
            </w:r>
          </w:p>
        </w:tc>
        <w:tc>
          <w:tcPr>
            <w:tcW w:w="2097" w:type="dxa"/>
          </w:tcPr>
          <w:p w:rsidR="006F3EB4" w:rsidRPr="00E05D0F" w:rsidRDefault="00B10D4A" w:rsidP="00801AAF">
            <w:pPr>
              <w:spacing w:line="360" w:lineRule="auto"/>
              <w:rPr>
                <w:rFonts w:asciiTheme="majorBidi" w:hAnsiTheme="majorBidi" w:cstheme="majorBidi"/>
              </w:rPr>
            </w:pPr>
            <w:r w:rsidRPr="00E05D0F">
              <w:rPr>
                <w:rFonts w:asciiTheme="majorBidi" w:hAnsiTheme="majorBidi" w:cstheme="majorBidi"/>
                <w:sz w:val="20"/>
                <w:szCs w:val="20"/>
              </w:rPr>
              <w:t xml:space="preserve">Anti-hyperglycemic effect, </w:t>
            </w:r>
            <w:r w:rsidR="00801AAF" w:rsidRPr="00E05D0F">
              <w:rPr>
                <w:rFonts w:asciiTheme="majorBidi" w:hAnsiTheme="majorBidi" w:cstheme="majorBidi"/>
                <w:sz w:val="20"/>
                <w:szCs w:val="20"/>
              </w:rPr>
              <w:t>lipid</w:t>
            </w:r>
            <w:r w:rsidRPr="00E05D0F">
              <w:rPr>
                <w:rFonts w:asciiTheme="majorBidi" w:hAnsiTheme="majorBidi" w:cstheme="majorBidi"/>
                <w:sz w:val="20"/>
                <w:szCs w:val="20"/>
              </w:rPr>
              <w:t>-lowering effect.</w:t>
            </w:r>
            <w:r w:rsidRPr="00E05D0F">
              <w:rPr>
                <w:rFonts w:asciiTheme="majorBidi" w:hAnsiTheme="majorBidi" w:cstheme="majorBidi"/>
              </w:rPr>
              <w:t xml:space="preserve"> </w:t>
            </w:r>
            <w:r w:rsidR="00565B6D" w:rsidRPr="00801AAF">
              <w:rPr>
                <w:rFonts w:asciiTheme="majorBidi" w:hAnsiTheme="majorBidi" w:cstheme="majorBidi"/>
                <w:vertAlign w:val="superscript"/>
              </w:rPr>
              <w:fldChar w:fldCharType="begin"/>
            </w:r>
            <w:r w:rsidR="007218DA" w:rsidRPr="00801AAF">
              <w:rPr>
                <w:rFonts w:asciiTheme="majorBidi" w:hAnsiTheme="majorBidi" w:cstheme="majorBidi"/>
                <w:vertAlign w:val="superscript"/>
              </w:rPr>
              <w:instrText xml:space="preserve"> ADDIN ZOTERO_ITEM CSL_CITATION {"citationID":"DaZmzCAU","properties":{"formattedCitation":"(18)","plainCitation":"(18)","noteIndex":0},"citationItems":[{"id":100,"uris":["http://zotero.org/users/local/IUvTSyB4/items/AB2V9V3S"],"itemData":{"id":100,"type":"article-journal","abstract":"BACKGROUND: Previous studies have explored the anti-diabetic effects of Cinnamomum cassia extract in vivo and in vitro. However, there are no studies at present exploring the effects of the indigenous species of Sri Lankan cinnamon (Cinnamomum zeylanicum) in patients with diabetes mellitus. The present study aims to evaluate the potential effects of Cinnamomum zeylanicum extract as a pharmaceutical agent in patients with type-2 diabetes mellitus.\nMETHODS/DESIGN: The study will be conducted as a randomized, double-blind, placebo-controlled clinical trial for a period of 4 months at the Medical Clinic, University Medical Unit, National Hospital of Sri Lanka. A total of 210 subjects with diabetes, in three equal groups, will be recruited for the study. The patients will be randomized in a 1:1:1 ratio according to the method of block randomization and the subjects will be randomly and equally assigned into two test groups (n = 70 each) and one placebo group (n = 70). The population will be stratified at randomization based on age, gender and disease severity. The treatment drug is a capsule containing Cinnamomum zeylanicum extract as the active ingredient and the placebo capsule will contain lactose monohydrate. Two doses of Cinnamomum zeylanicum extracts (250 mg and 500 mg of the cinnamon extract) will be used. The study drugs will be double blinded to both investigators and participants. The visits and the evaluations will be done as follows: screening (visit 0), 1 month (visit 1), 2 months (visit 2), 3 months (visit 3) and 4 months (visit 4). The following primary outcome measures will be evaluated: glycosylated hemoglobin (HbA1c), fasting plasma glucose (FPG) and serum insulin. Secondary outcome measures include: Body Mass Index (BMI) and other anthropometric parameters, blood pressure, total cholesterol, low-density lipoprotein cholesterol (LDL), high-density lipoprotein cholesterol (HDL) and triglycerides (TAG). Data will be analyzed using SPSS version 14.\nDISCUSSION: We describe the protocol for a clinical trial design evaluating the effects of Cinnamomum zeylanicum (Ceylon cinnamon) in patients with type-2 diabetes mellitus. The result of the present study, positive or negative, should provide a step change in the evidence guiding current and future policies regarding the use of cinnamon dietary supplementation in patients with diabetes.\nTRIAL REGISTRATION: Sri Lanka Clinical Trials Registry (SLCTR), identifier: SLCTR/2017/010 ( http://slctr.lk/trials/714 ). Registered on 5 April 2017; study protocol version 3.1 21 March 2017.","container-title":"Trials","DOI":"10.1186/s13063-017-2192-0","ISSN":"1745-6215","issue":"1","journalAbbreviation":"Trials","language":"eng","note":"PMID: 28962661\nPMCID: PMC5622575","page":"446","source":"PubMed","title":"Cinnamomum zeylanicum (Ceylon cinnamon) as a potential pharmaceutical agent for type-2 diabetes mellitus: study protocol for a randomized controlled trial","title-short":"Cinnamomum zeylanicum (Ceylon cinnamon) as a potential pharmaceutical agent for type-2 diabetes mellitus","volume":"18","author":[{"family":"Ranasinghe","given":"Priyanga"},{"family":"Galappaththy","given":"Priyadarshani"},{"family":"Constantine","given":"Godwin Roger"},{"family":"Jayawardena","given":"Ranil"},{"family":"Weeratunga","given":"Hasitha Dhananjaya"},{"family":"Premakumara","given":"Sirimal"},{"family":"Katulanda","given":"Prasad"}],"issued":{"date-parts":[["2017",9,29]]}}}],"schema":"https://github.com/citation-style-language/schema/raw/master/csl-citation.json"} </w:instrText>
            </w:r>
            <w:r w:rsidR="00565B6D" w:rsidRPr="00801AAF">
              <w:rPr>
                <w:rFonts w:asciiTheme="majorBidi" w:hAnsiTheme="majorBidi" w:cstheme="majorBidi"/>
                <w:vertAlign w:val="superscript"/>
              </w:rPr>
              <w:fldChar w:fldCharType="separate"/>
            </w:r>
            <w:r w:rsidR="00801AAF" w:rsidRPr="00801AAF">
              <w:rPr>
                <w:rFonts w:asciiTheme="majorBidi" w:hAnsiTheme="majorBidi" w:cstheme="majorBidi"/>
                <w:vertAlign w:val="superscript"/>
              </w:rPr>
              <w:t>[</w:t>
            </w:r>
            <w:r w:rsidR="007218DA" w:rsidRPr="00801AAF">
              <w:rPr>
                <w:rFonts w:asciiTheme="majorBidi" w:hAnsiTheme="majorBidi" w:cstheme="majorBidi"/>
                <w:vertAlign w:val="superscript"/>
              </w:rPr>
              <w:t>18</w:t>
            </w:r>
            <w:r w:rsidR="00565B6D" w:rsidRPr="00801AAF">
              <w:rPr>
                <w:rFonts w:asciiTheme="majorBidi" w:hAnsiTheme="majorBidi" w:cstheme="majorBidi"/>
                <w:vertAlign w:val="superscript"/>
              </w:rPr>
              <w:fldChar w:fldCharType="end"/>
            </w:r>
            <w:r w:rsidR="00801AAF" w:rsidRPr="00801AAF">
              <w:rPr>
                <w:rFonts w:asciiTheme="majorBidi" w:hAnsiTheme="majorBidi" w:cstheme="majorBidi"/>
                <w:vertAlign w:val="superscript"/>
              </w:rPr>
              <w:t>]</w:t>
            </w:r>
          </w:p>
          <w:p w:rsidR="00B10D4A" w:rsidRPr="00E05D0F" w:rsidRDefault="00B10D4A" w:rsidP="007E4D2B">
            <w:pPr>
              <w:spacing w:line="360" w:lineRule="auto"/>
              <w:rPr>
                <w:rFonts w:asciiTheme="majorBidi" w:eastAsia="Times New Roman" w:hAnsiTheme="majorBidi" w:cstheme="majorBidi"/>
              </w:rPr>
            </w:pPr>
          </w:p>
        </w:tc>
      </w:tr>
      <w:tr w:rsidR="006F3EB4" w:rsidRPr="00E05D0F" w:rsidTr="00D5229E">
        <w:tc>
          <w:tcPr>
            <w:tcW w:w="704" w:type="dxa"/>
          </w:tcPr>
          <w:p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4</w:t>
            </w:r>
          </w:p>
        </w:tc>
        <w:tc>
          <w:tcPr>
            <w:tcW w:w="1887"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rPr>
              <w:t>Jauzbua</w:t>
            </w:r>
          </w:p>
        </w:tc>
        <w:tc>
          <w:tcPr>
            <w:tcW w:w="2494"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i/>
                <w:iCs/>
              </w:rPr>
              <w:t>Myristica fragrans</w:t>
            </w:r>
          </w:p>
        </w:tc>
        <w:tc>
          <w:tcPr>
            <w:tcW w:w="1402"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 xml:space="preserve">Fruit </w:t>
            </w:r>
          </w:p>
        </w:tc>
        <w:tc>
          <w:tcPr>
            <w:tcW w:w="992"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12 g</w:t>
            </w:r>
          </w:p>
        </w:tc>
        <w:tc>
          <w:tcPr>
            <w:tcW w:w="2097" w:type="dxa"/>
          </w:tcPr>
          <w:p w:rsidR="00F464AA" w:rsidRPr="00E05D0F" w:rsidRDefault="00F464AA" w:rsidP="00801AAF">
            <w:pPr>
              <w:spacing w:line="360" w:lineRule="auto"/>
              <w:rPr>
                <w:rFonts w:asciiTheme="majorBidi" w:eastAsia="Times New Roman" w:hAnsiTheme="majorBidi" w:cstheme="majorBidi"/>
              </w:rPr>
            </w:pPr>
            <w:r w:rsidRPr="00E05D0F">
              <w:rPr>
                <w:rFonts w:asciiTheme="majorBidi" w:hAnsiTheme="majorBidi" w:cstheme="majorBidi"/>
                <w:sz w:val="20"/>
                <w:szCs w:val="20"/>
              </w:rPr>
              <w:t>Anti-inflammatory</w:t>
            </w:r>
            <w:r w:rsidR="00C44674" w:rsidRPr="00E05D0F">
              <w:rPr>
                <w:rFonts w:asciiTheme="majorBidi" w:hAnsiTheme="majorBidi" w:cstheme="majorBidi"/>
              </w:rPr>
              <w:t xml:space="preserve"> </w:t>
            </w:r>
            <w:r w:rsidR="00801AAF" w:rsidRPr="00801AAF">
              <w:rPr>
                <w:rFonts w:asciiTheme="majorBidi" w:hAnsiTheme="majorBidi" w:cstheme="majorBidi"/>
                <w:vertAlign w:val="superscript"/>
              </w:rPr>
              <w:t>[</w:t>
            </w:r>
            <w:r w:rsidR="00565B6D" w:rsidRPr="00801AAF">
              <w:rPr>
                <w:rFonts w:asciiTheme="majorBidi" w:hAnsiTheme="majorBidi" w:cstheme="majorBidi"/>
                <w:vertAlign w:val="superscript"/>
              </w:rPr>
              <w:fldChar w:fldCharType="begin"/>
            </w:r>
            <w:r w:rsidR="00C44674" w:rsidRPr="00801AAF">
              <w:rPr>
                <w:rFonts w:asciiTheme="majorBidi" w:hAnsiTheme="majorBidi" w:cstheme="majorBidi"/>
                <w:vertAlign w:val="superscript"/>
              </w:rPr>
              <w:instrText xml:space="preserve"> ADDIN ZOTERO_ITEM CSL_CITATION {"citationID":"fD73jZXK","properties":{"formattedCitation":"(19)","plainCitation":"(19)","noteIndex":0},"citationItems":[{"id":103,"uris":["http://zotero.org/users/local/IUvTSyB4/items/GQ5D7ZIJ"],"itemData":{"id":103,"type":"article-journal","container-title":"International Journal of Research in Medical Sciences","DOI":"10.18203/2320-6012.ijrms20150621","journalAbbreviation":"International Journal of Research in Medical Sciences","page":"2303-2310","source":"ResearchGate","title":"In vitro study of Myristica fragrans seed (Nutmeg) ethanolic extract and quercetin compound as anti-inflammatory agent","author":[{"family":"Dewi","given":"Kartika"},{"family":"Widyarto","given":"Budi"},{"family":"putu","given":"Erawijantari","non-dropping-particle":"pande"},{"family":"Widowati","given":"Wahyu"}],"issued":{"date-parts":[["2015",1,1]]}}}],"schema":"https://github.com/citation-style-language/schema/raw/master/csl-citation.json"} </w:instrText>
            </w:r>
            <w:r w:rsidR="00565B6D" w:rsidRPr="00801AAF">
              <w:rPr>
                <w:rFonts w:asciiTheme="majorBidi" w:hAnsiTheme="majorBidi" w:cstheme="majorBidi"/>
                <w:vertAlign w:val="superscript"/>
              </w:rPr>
              <w:fldChar w:fldCharType="separate"/>
            </w:r>
            <w:r w:rsidR="00C44674" w:rsidRPr="00801AAF">
              <w:rPr>
                <w:rFonts w:asciiTheme="majorBidi" w:hAnsiTheme="majorBidi" w:cstheme="majorBidi"/>
                <w:vertAlign w:val="superscript"/>
              </w:rPr>
              <w:t>19</w:t>
            </w:r>
            <w:r w:rsidR="00565B6D" w:rsidRPr="00801AAF">
              <w:rPr>
                <w:rFonts w:asciiTheme="majorBidi" w:hAnsiTheme="majorBidi" w:cstheme="majorBidi"/>
                <w:vertAlign w:val="superscript"/>
              </w:rPr>
              <w:fldChar w:fldCharType="end"/>
            </w:r>
            <w:r w:rsidR="00801AAF" w:rsidRPr="00801AAF">
              <w:rPr>
                <w:rFonts w:asciiTheme="majorBidi" w:hAnsiTheme="majorBidi" w:cstheme="majorBidi"/>
                <w:vertAlign w:val="superscript"/>
              </w:rPr>
              <w:t>]</w:t>
            </w:r>
          </w:p>
        </w:tc>
      </w:tr>
      <w:tr w:rsidR="006F3EB4" w:rsidRPr="00E05D0F" w:rsidTr="00D5229E">
        <w:tc>
          <w:tcPr>
            <w:tcW w:w="704" w:type="dxa"/>
          </w:tcPr>
          <w:p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5</w:t>
            </w:r>
          </w:p>
        </w:tc>
        <w:tc>
          <w:tcPr>
            <w:tcW w:w="1887"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rPr>
              <w:t>Bisbasa</w:t>
            </w:r>
          </w:p>
        </w:tc>
        <w:tc>
          <w:tcPr>
            <w:tcW w:w="2494"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i/>
                <w:iCs/>
              </w:rPr>
              <w:t>Myristica fragrans</w:t>
            </w:r>
            <w:r w:rsidRPr="00E05D0F">
              <w:rPr>
                <w:rFonts w:asciiTheme="majorBidi" w:hAnsiTheme="majorBidi" w:cstheme="majorBidi"/>
              </w:rPr>
              <w:t xml:space="preserve"> </w:t>
            </w:r>
          </w:p>
        </w:tc>
        <w:tc>
          <w:tcPr>
            <w:tcW w:w="1402"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 xml:space="preserve">Aril </w:t>
            </w:r>
          </w:p>
        </w:tc>
        <w:tc>
          <w:tcPr>
            <w:tcW w:w="992"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12 g</w:t>
            </w:r>
          </w:p>
        </w:tc>
        <w:tc>
          <w:tcPr>
            <w:tcW w:w="2097" w:type="dxa"/>
          </w:tcPr>
          <w:p w:rsidR="006F3EB4" w:rsidRPr="00E05D0F" w:rsidRDefault="00C44674" w:rsidP="000740FB">
            <w:pPr>
              <w:spacing w:line="360" w:lineRule="auto"/>
              <w:rPr>
                <w:rFonts w:asciiTheme="majorBidi" w:eastAsia="Times New Roman" w:hAnsiTheme="majorBidi" w:cstheme="majorBidi"/>
              </w:rPr>
            </w:pPr>
            <w:r w:rsidRPr="00E05D0F">
              <w:rPr>
                <w:rFonts w:asciiTheme="majorBidi" w:hAnsiTheme="majorBidi" w:cstheme="majorBidi"/>
                <w:sz w:val="20"/>
                <w:szCs w:val="20"/>
              </w:rPr>
              <w:t>Anti-inflammatory</w:t>
            </w:r>
            <w:r w:rsidR="000740FB">
              <w:rPr>
                <w:rFonts w:asciiTheme="majorBidi" w:hAnsiTheme="majorBidi" w:cstheme="majorBidi"/>
                <w:sz w:val="20"/>
                <w:szCs w:val="20"/>
              </w:rPr>
              <w:t xml:space="preserve"> </w:t>
            </w:r>
            <w:r w:rsidR="00565B6D" w:rsidRPr="000740FB">
              <w:rPr>
                <w:rFonts w:asciiTheme="majorBidi" w:hAnsiTheme="majorBidi" w:cstheme="majorBidi"/>
                <w:vertAlign w:val="superscript"/>
              </w:rPr>
              <w:fldChar w:fldCharType="begin"/>
            </w:r>
            <w:r w:rsidRPr="000740FB">
              <w:rPr>
                <w:rFonts w:asciiTheme="majorBidi" w:hAnsiTheme="majorBidi" w:cstheme="majorBidi"/>
                <w:vertAlign w:val="superscript"/>
              </w:rPr>
              <w:instrText xml:space="preserve"> ADDIN ZOTERO_ITEM CSL_CITATION {"citationID":"DHTSLAiH","properties":{"formattedCitation":"(19)","plainCitation":"(19)","noteIndex":0},"citationItems":[{"id":103,"uris":["http://zotero.org/users/local/IUvTSyB4/items/GQ5D7ZIJ"],"itemData":{"id":103,"type":"article-journal","container-title":"International Journal of Research in Medical Sciences","DOI":"10.18203/2320-6012.ijrms20150621","journalAbbreviation":"International Journal of Research in Medical Sciences","page":"2303-2310","source":"ResearchGate","title":"In vitro study of Myristica fragrans seed (Nutmeg) ethanolic extract and quercetin compound as anti-inflammatory agent","author":[{"family":"Dewi","given":"Kartika"},{"family":"Widyarto","given":"Budi"},{"family":"putu","given":"Erawijantari","non-dropping-particle":"pande"},{"family":"Widowati","given":"Wahyu"}],"issued":{"date-parts":[["2015",1,1]]}}}],"schema":"https://github.com/citation-style-language/schema/raw/master/csl-citation.json"} </w:instrText>
            </w:r>
            <w:r w:rsidR="00565B6D" w:rsidRPr="000740FB">
              <w:rPr>
                <w:rFonts w:asciiTheme="majorBidi" w:hAnsiTheme="majorBidi" w:cstheme="majorBidi"/>
                <w:vertAlign w:val="superscript"/>
              </w:rPr>
              <w:fldChar w:fldCharType="separate"/>
            </w:r>
            <w:r w:rsidR="000740FB" w:rsidRPr="000740FB">
              <w:rPr>
                <w:rFonts w:asciiTheme="majorBidi" w:hAnsiTheme="majorBidi" w:cstheme="majorBidi"/>
                <w:vertAlign w:val="superscript"/>
              </w:rPr>
              <w:t>[</w:t>
            </w:r>
            <w:r w:rsidRPr="000740FB">
              <w:rPr>
                <w:rFonts w:asciiTheme="majorBidi" w:hAnsiTheme="majorBidi" w:cstheme="majorBidi"/>
                <w:vertAlign w:val="superscript"/>
              </w:rPr>
              <w:t>19</w:t>
            </w:r>
            <w:r w:rsidR="00565B6D" w:rsidRPr="000740FB">
              <w:rPr>
                <w:rFonts w:asciiTheme="majorBidi" w:hAnsiTheme="majorBidi" w:cstheme="majorBidi"/>
                <w:vertAlign w:val="superscript"/>
              </w:rPr>
              <w:fldChar w:fldCharType="end"/>
            </w:r>
            <w:r w:rsidR="000740FB" w:rsidRPr="000740FB">
              <w:rPr>
                <w:rFonts w:asciiTheme="majorBidi" w:hAnsiTheme="majorBidi" w:cstheme="majorBidi"/>
                <w:vertAlign w:val="superscript"/>
              </w:rPr>
              <w:t>]</w:t>
            </w:r>
          </w:p>
        </w:tc>
      </w:tr>
      <w:tr w:rsidR="006F3EB4" w:rsidRPr="00E05D0F" w:rsidTr="00D5229E">
        <w:tc>
          <w:tcPr>
            <w:tcW w:w="704" w:type="dxa"/>
          </w:tcPr>
          <w:p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6</w:t>
            </w:r>
          </w:p>
        </w:tc>
        <w:tc>
          <w:tcPr>
            <w:tcW w:w="1887"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rPr>
              <w:t xml:space="preserve">Qaranfal </w:t>
            </w:r>
          </w:p>
        </w:tc>
        <w:tc>
          <w:tcPr>
            <w:tcW w:w="2494"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rPr>
              <w:t xml:space="preserve"> </w:t>
            </w:r>
            <w:r w:rsidRPr="00E05D0F">
              <w:rPr>
                <w:rFonts w:asciiTheme="majorBidi" w:hAnsiTheme="majorBidi" w:cstheme="majorBidi"/>
                <w:i/>
                <w:iCs/>
              </w:rPr>
              <w:t>Syzygium aromaticum</w:t>
            </w:r>
          </w:p>
        </w:tc>
        <w:tc>
          <w:tcPr>
            <w:tcW w:w="1402"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rPr>
              <w:t xml:space="preserve">Dried </w:t>
            </w:r>
            <w:r w:rsidRPr="00E05D0F">
              <w:rPr>
                <w:rFonts w:asciiTheme="majorBidi" w:hAnsiTheme="majorBidi" w:cstheme="majorBidi"/>
              </w:rPr>
              <w:lastRenderedPageBreak/>
              <w:t>flower bud</w:t>
            </w:r>
          </w:p>
        </w:tc>
        <w:tc>
          <w:tcPr>
            <w:tcW w:w="992" w:type="dxa"/>
          </w:tcPr>
          <w:p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lastRenderedPageBreak/>
              <w:t>12 g</w:t>
            </w:r>
          </w:p>
        </w:tc>
        <w:tc>
          <w:tcPr>
            <w:tcW w:w="2097" w:type="dxa"/>
          </w:tcPr>
          <w:p w:rsidR="00F464AA" w:rsidRPr="00E05D0F" w:rsidRDefault="00F464AA" w:rsidP="000740FB">
            <w:pPr>
              <w:spacing w:line="360" w:lineRule="auto"/>
              <w:rPr>
                <w:rFonts w:asciiTheme="majorBidi" w:hAnsiTheme="majorBidi" w:cstheme="majorBidi"/>
              </w:rPr>
            </w:pPr>
            <w:r w:rsidRPr="00E05D0F">
              <w:rPr>
                <w:rFonts w:asciiTheme="majorBidi" w:hAnsiTheme="majorBidi" w:cstheme="majorBidi"/>
                <w:sz w:val="20"/>
                <w:szCs w:val="20"/>
              </w:rPr>
              <w:t>Antioxidant</w:t>
            </w:r>
            <w:r w:rsidR="00C44674" w:rsidRPr="00E05D0F">
              <w:rPr>
                <w:rFonts w:asciiTheme="majorBidi" w:hAnsiTheme="majorBidi" w:cstheme="majorBidi"/>
                <w:sz w:val="20"/>
                <w:szCs w:val="20"/>
              </w:rPr>
              <w:t xml:space="preserve">, </w:t>
            </w:r>
            <w:r w:rsidR="000740FB" w:rsidRPr="00E05D0F">
              <w:rPr>
                <w:rFonts w:asciiTheme="majorBidi" w:hAnsiTheme="majorBidi" w:cstheme="majorBidi"/>
                <w:sz w:val="20"/>
                <w:szCs w:val="20"/>
              </w:rPr>
              <w:t>anti</w:t>
            </w:r>
            <w:r w:rsidRPr="00E05D0F">
              <w:rPr>
                <w:rFonts w:asciiTheme="majorBidi" w:hAnsiTheme="majorBidi" w:cstheme="majorBidi"/>
                <w:sz w:val="20"/>
                <w:szCs w:val="20"/>
              </w:rPr>
              <w:t>-</w:t>
            </w:r>
            <w:r w:rsidRPr="00E05D0F">
              <w:rPr>
                <w:rFonts w:asciiTheme="majorBidi" w:hAnsiTheme="majorBidi" w:cstheme="majorBidi"/>
                <w:sz w:val="20"/>
                <w:szCs w:val="20"/>
              </w:rPr>
              <w:lastRenderedPageBreak/>
              <w:t>inflammatory</w:t>
            </w:r>
            <w:r w:rsidRPr="00E05D0F">
              <w:rPr>
                <w:rFonts w:asciiTheme="majorBidi" w:hAnsiTheme="majorBidi" w:cstheme="majorBidi"/>
              </w:rPr>
              <w:t xml:space="preserve"> </w:t>
            </w:r>
            <w:r w:rsidR="00565B6D" w:rsidRPr="000740FB">
              <w:rPr>
                <w:rFonts w:asciiTheme="majorBidi" w:hAnsiTheme="majorBidi" w:cstheme="majorBidi"/>
                <w:vertAlign w:val="superscript"/>
              </w:rPr>
              <w:fldChar w:fldCharType="begin"/>
            </w:r>
            <w:r w:rsidR="00C44674" w:rsidRPr="000740FB">
              <w:rPr>
                <w:rFonts w:asciiTheme="majorBidi" w:hAnsiTheme="majorBidi" w:cstheme="majorBidi"/>
                <w:vertAlign w:val="superscript"/>
              </w:rPr>
              <w:instrText xml:space="preserve"> ADDIN ZOTERO_ITEM CSL_CITATION {"citationID":"AAOE28S3","properties":{"formattedCitation":"(20)","plainCitation":"(20)","noteIndex":0},"citationItems":[{"id":105,"uris":["http://zotero.org/users/local/IUvTSyB4/items/S66ES34T"],"itemData":{"id":105,"type":"article-journal","abstract":"Herbal medicinal products have been documented as a significant source for discovering new pharmaceutical molecules that have been used to treat serious diseases. Many plant species have been reported to have pharmacological activities attributable to their phytoconstituents such are glycosides, saponins, flavonoids, steroids, tannins, alkaloids, terpenes, etc. Syzygium aromaticum (clove) is a traditional spice that has been used for food preservation and possesses various pharmacological activities. S. aromaticum is rich in many phytochemicals as follows: sesquiterpenes, monoterpenes, hydrocarbon, and phenolic compounds. Eugenyl acetate, eugenol, and β-caryophyllene are the most significant phytochemicals in clove oil. Pharmacologically, S. aromaticum has been examined toward various pathogenic parasites and microorganisms, including pathogenic bacteria, Plasmodium, Babesia, Theileria parasites, Herpes simplex, and hepatitis C viruses. Several reports documented the analgesic, antioxidant, anticancer, antiseptic, anti-depressant, antispasmodic, anti-inflammatory, antiviral, antifungal, and antibacterial activity of eugenol against several pathogenic bacteria including methicillin-resistant Staphylococcus epidermidis and S. aureus. Moreover, eugenol was found to protect against CCl4−induced hepatotoxicity and showed a potential lethal efficacy against the multiplication of various parasites including Giardia lamblia, Fasciola gigantica, Haemonchus contortus, and Schistosoma mansoni. This review examines the phytochemical composition and biological activities of clove extracts along with clove essential oil and the main active compound, eugenol, and implicates new findings from gas chromatography-mass spectroscopy (GC-MS) analysis.","container-title":"Biomolecules","DOI":"10.3390/biom10020202","ISSN":"2218-273X","issue":"2","language":"en","license":"http://creativecommons.org/licenses/by/3.0/","note":"number: 2\npublisher: Multidisciplinary Digital Publishing Institute","page":"202","source":"www.mdpi.com","title":"Syzygium aromaticum L. (Myrtaceae): Traditional Uses, Bioactive Chemical Constituents, Pharmacological and Toxicological Activities","title-short":"Syzygium aromaticum L. (Myrtaceae)","volume":"10","author":[{"family":"El-Saber Batiha","given":"Gaber"},{"family":"Alkazmi","given":"Luay M."},{"family":"Wasef","given":"Lamiaa G."},{"family":"Beshbishy","given":"Amany Magdy"},{"family":"Nadwa","given":"Eman H."},{"family":"Rashwan","given":"Eman K."}],"issued":{"date-parts":[["2020",2]]}}}],"schema":"https://github.com/citation-style-language/schema/raw/master/csl-citation.json"} </w:instrText>
            </w:r>
            <w:r w:rsidR="00565B6D" w:rsidRPr="000740FB">
              <w:rPr>
                <w:rFonts w:asciiTheme="majorBidi" w:hAnsiTheme="majorBidi" w:cstheme="majorBidi"/>
                <w:vertAlign w:val="superscript"/>
              </w:rPr>
              <w:fldChar w:fldCharType="separate"/>
            </w:r>
            <w:r w:rsidR="000740FB" w:rsidRPr="000740FB">
              <w:rPr>
                <w:rFonts w:asciiTheme="majorBidi" w:hAnsiTheme="majorBidi" w:cstheme="majorBidi"/>
                <w:vertAlign w:val="superscript"/>
              </w:rPr>
              <w:t>[</w:t>
            </w:r>
            <w:r w:rsidR="00C44674" w:rsidRPr="000740FB">
              <w:rPr>
                <w:rFonts w:asciiTheme="majorBidi" w:hAnsiTheme="majorBidi" w:cstheme="majorBidi"/>
                <w:vertAlign w:val="superscript"/>
              </w:rPr>
              <w:t>20</w:t>
            </w:r>
            <w:r w:rsidR="00565B6D" w:rsidRPr="000740FB">
              <w:rPr>
                <w:rFonts w:asciiTheme="majorBidi" w:hAnsiTheme="majorBidi" w:cstheme="majorBidi"/>
                <w:vertAlign w:val="superscript"/>
              </w:rPr>
              <w:fldChar w:fldCharType="end"/>
            </w:r>
            <w:r w:rsidR="000740FB" w:rsidRPr="000740FB">
              <w:rPr>
                <w:rFonts w:asciiTheme="majorBidi" w:hAnsiTheme="majorBidi" w:cstheme="majorBidi"/>
                <w:vertAlign w:val="superscript"/>
              </w:rPr>
              <w:t>]</w:t>
            </w:r>
          </w:p>
        </w:tc>
      </w:tr>
    </w:tbl>
    <w:p w:rsidR="00AD67A8" w:rsidRPr="00E05D0F" w:rsidRDefault="00AD67A8" w:rsidP="007E4D2B">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lastRenderedPageBreak/>
        <w:t xml:space="preserve">Interpretation </w:t>
      </w:r>
    </w:p>
    <w:p w:rsidR="00BF0522" w:rsidRPr="00E05D0F" w:rsidRDefault="00956EC8"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The combined assessment of VPT values and HbA1c levels strengthened the diagnosis of DPN.</w:t>
      </w:r>
    </w:p>
    <w:p w:rsidR="00AD67A8" w:rsidRPr="00E05D0F" w:rsidRDefault="00956EC8" w:rsidP="007E4D2B">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Therapeutic Regimen</w:t>
      </w:r>
    </w:p>
    <w:p w:rsidR="00956EC8" w:rsidRPr="00E05D0F" w:rsidRDefault="008D6BF8" w:rsidP="007C0EC7">
      <w:pPr>
        <w:spacing w:line="360" w:lineRule="auto"/>
        <w:jc w:val="both"/>
        <w:rPr>
          <w:rFonts w:asciiTheme="majorBidi" w:eastAsia="Times New Roman" w:hAnsiTheme="majorBidi" w:cstheme="majorBidi"/>
          <w:b/>
          <w:bCs/>
          <w:kern w:val="0"/>
        </w:rPr>
      </w:pPr>
      <w:r w:rsidRPr="00E05D0F">
        <w:rPr>
          <w:rFonts w:asciiTheme="majorBidi" w:hAnsiTheme="majorBidi" w:cstheme="majorBidi"/>
        </w:rPr>
        <w:t xml:space="preserve">All three patients were administered QZK at </w:t>
      </w:r>
      <w:r w:rsidR="004F3859" w:rsidRPr="00E05D0F">
        <w:rPr>
          <w:rFonts w:asciiTheme="majorBidi" w:hAnsiTheme="majorBidi" w:cstheme="majorBidi"/>
        </w:rPr>
        <w:t>a dosage of two tablets (2 g</w:t>
      </w:r>
      <w:r w:rsidRPr="00E05D0F">
        <w:rPr>
          <w:rFonts w:asciiTheme="majorBidi" w:hAnsiTheme="majorBidi" w:cstheme="majorBidi"/>
        </w:rPr>
        <w:t xml:space="preserve"> each) twice daily</w:t>
      </w:r>
      <w:r w:rsidR="00D7654B" w:rsidRPr="00E05D0F">
        <w:rPr>
          <w:rFonts w:asciiTheme="majorBidi" w:hAnsiTheme="majorBidi" w:cstheme="majorBidi"/>
        </w:rPr>
        <w:t xml:space="preserve"> for 56</w:t>
      </w:r>
      <w:r w:rsidR="0063363D" w:rsidRPr="00E05D0F">
        <w:rPr>
          <w:rFonts w:asciiTheme="majorBidi" w:hAnsiTheme="majorBidi" w:cstheme="majorBidi"/>
        </w:rPr>
        <w:t xml:space="preserve"> days</w:t>
      </w:r>
      <w:r w:rsidRPr="00E05D0F">
        <w:rPr>
          <w:rFonts w:asciiTheme="majorBidi" w:hAnsiTheme="majorBidi" w:cstheme="majorBidi"/>
        </w:rPr>
        <w:t xml:space="preserve">. Similarly, HA was </w:t>
      </w:r>
      <w:r w:rsidR="004F3859" w:rsidRPr="00E05D0F">
        <w:rPr>
          <w:rFonts w:asciiTheme="majorBidi" w:hAnsiTheme="majorBidi" w:cstheme="majorBidi"/>
        </w:rPr>
        <w:t xml:space="preserve">administered as </w:t>
      </w:r>
      <w:r w:rsidRPr="00E05D0F">
        <w:rPr>
          <w:rFonts w:asciiTheme="majorBidi" w:hAnsiTheme="majorBidi" w:cstheme="majorBidi"/>
        </w:rPr>
        <w:t>two tablets (250 mg each) twice daily</w:t>
      </w:r>
      <w:r w:rsidR="0063363D" w:rsidRPr="00E05D0F">
        <w:rPr>
          <w:rFonts w:asciiTheme="majorBidi" w:hAnsiTheme="majorBidi" w:cstheme="majorBidi"/>
        </w:rPr>
        <w:t xml:space="preserve"> for </w:t>
      </w:r>
      <w:r w:rsidR="00D7654B" w:rsidRPr="00E05D0F">
        <w:rPr>
          <w:rFonts w:asciiTheme="majorBidi" w:hAnsiTheme="majorBidi" w:cstheme="majorBidi"/>
        </w:rPr>
        <w:t>56</w:t>
      </w:r>
      <w:r w:rsidR="0063363D" w:rsidRPr="00E05D0F">
        <w:rPr>
          <w:rFonts w:asciiTheme="majorBidi" w:hAnsiTheme="majorBidi" w:cstheme="majorBidi"/>
        </w:rPr>
        <w:t xml:space="preserve"> days</w:t>
      </w:r>
      <w:r w:rsidRPr="00E05D0F">
        <w:rPr>
          <w:rFonts w:asciiTheme="majorBidi" w:hAnsiTheme="majorBidi" w:cstheme="majorBidi"/>
        </w:rPr>
        <w:t>. The detailed compositions of bot</w:t>
      </w:r>
      <w:r w:rsidR="00F22A89" w:rsidRPr="00E05D0F">
        <w:rPr>
          <w:rFonts w:asciiTheme="majorBidi" w:hAnsiTheme="majorBidi" w:cstheme="majorBidi"/>
        </w:rPr>
        <w:t xml:space="preserve">h formulations are provided in </w:t>
      </w:r>
      <w:r w:rsidR="0063363D" w:rsidRPr="00E05D0F">
        <w:rPr>
          <w:rFonts w:asciiTheme="majorBidi" w:hAnsiTheme="majorBidi" w:cstheme="majorBidi"/>
        </w:rPr>
        <w:t>Table</w:t>
      </w:r>
      <w:r w:rsidR="004F3859" w:rsidRPr="00E05D0F">
        <w:rPr>
          <w:rFonts w:asciiTheme="majorBidi" w:hAnsiTheme="majorBidi" w:cstheme="majorBidi"/>
        </w:rPr>
        <w:t>s</w:t>
      </w:r>
      <w:r w:rsidR="0063363D" w:rsidRPr="00E05D0F">
        <w:rPr>
          <w:rFonts w:asciiTheme="majorBidi" w:hAnsiTheme="majorBidi" w:cstheme="majorBidi"/>
        </w:rPr>
        <w:t xml:space="preserve"> </w:t>
      </w:r>
      <w:r w:rsidRPr="00E05D0F">
        <w:rPr>
          <w:rFonts w:asciiTheme="majorBidi" w:hAnsiTheme="majorBidi" w:cstheme="majorBidi"/>
        </w:rPr>
        <w:t>1 and 2.</w:t>
      </w:r>
      <w:r w:rsidR="00F22A89" w:rsidRPr="00E05D0F">
        <w:rPr>
          <w:rFonts w:asciiTheme="majorBidi" w:hAnsiTheme="majorBidi" w:cstheme="majorBidi"/>
        </w:rPr>
        <w:t xml:space="preserve"> Both tablets were prepared according to </w:t>
      </w:r>
      <w:r w:rsidR="004F3859" w:rsidRPr="00E05D0F">
        <w:rPr>
          <w:rFonts w:asciiTheme="majorBidi" w:hAnsiTheme="majorBidi" w:cstheme="majorBidi"/>
        </w:rPr>
        <w:t xml:space="preserve">the </w:t>
      </w:r>
      <w:r w:rsidR="00F22A89" w:rsidRPr="00E05D0F">
        <w:rPr>
          <w:rFonts w:asciiTheme="majorBidi" w:hAnsiTheme="majorBidi" w:cstheme="majorBidi"/>
        </w:rPr>
        <w:t xml:space="preserve">SOP’s mentioned in </w:t>
      </w:r>
      <w:r w:rsidR="004F3859" w:rsidRPr="00E05D0F">
        <w:rPr>
          <w:rFonts w:asciiTheme="majorBidi" w:hAnsiTheme="majorBidi" w:cstheme="majorBidi"/>
        </w:rPr>
        <w:t xml:space="preserve">the National Formulary of Unani Medicine </w:t>
      </w:r>
      <w:r w:rsidR="00F22A89" w:rsidRPr="00E05D0F">
        <w:rPr>
          <w:rFonts w:asciiTheme="majorBidi" w:hAnsiTheme="majorBidi" w:cstheme="majorBidi"/>
        </w:rPr>
        <w:t>with GMP guidelines.</w:t>
      </w:r>
      <w:r w:rsidR="005C6ACC" w:rsidRPr="00E05D0F">
        <w:rPr>
          <w:rFonts w:asciiTheme="majorBidi" w:hAnsiTheme="majorBidi" w:cstheme="majorBidi"/>
        </w:rPr>
        <w:t xml:space="preserve"> All three participants adhered to the prescribed treatment protocol, and their progress was consistently evaluated during the intervention period to determine its effectiveness in alleviating symptoms and enhancing functional outcomes.</w:t>
      </w:r>
    </w:p>
    <w:p w:rsidR="00156F5D" w:rsidRDefault="00156F5D" w:rsidP="007E4D2B">
      <w:pPr>
        <w:spacing w:line="360" w:lineRule="auto"/>
        <w:jc w:val="both"/>
        <w:rPr>
          <w:rFonts w:asciiTheme="majorBidi" w:eastAsia="Times New Roman" w:hAnsiTheme="majorBidi" w:cstheme="majorBidi"/>
          <w:b/>
          <w:bCs/>
          <w:kern w:val="0"/>
        </w:rPr>
      </w:pPr>
      <w:r>
        <w:rPr>
          <w:rFonts w:asciiTheme="majorBidi" w:eastAsia="Times New Roman" w:hAnsiTheme="majorBidi" w:cstheme="majorBidi"/>
          <w:b/>
          <w:bCs/>
          <w:kern w:val="0"/>
        </w:rPr>
        <w:t>Result</w:t>
      </w:r>
    </w:p>
    <w:p w:rsidR="00FB1ACB" w:rsidRPr="00E05D0F" w:rsidRDefault="00FB1ACB" w:rsidP="007E4D2B">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Pre &amp; Post treatment assessments to ev</w:t>
      </w:r>
      <w:r w:rsidR="00E0550D" w:rsidRPr="00E05D0F">
        <w:rPr>
          <w:rFonts w:asciiTheme="majorBidi" w:eastAsia="Times New Roman" w:hAnsiTheme="majorBidi" w:cstheme="majorBidi"/>
          <w:b/>
          <w:bCs/>
          <w:kern w:val="0"/>
        </w:rPr>
        <w:t>aluate the therapeutic efficacy</w:t>
      </w:r>
    </w:p>
    <w:p w:rsidR="007D56B1" w:rsidRPr="00E05D0F" w:rsidRDefault="007D56B1" w:rsidP="00C64AED">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 xml:space="preserve">Improvement in </w:t>
      </w:r>
      <w:r w:rsidR="00552ADA">
        <w:rPr>
          <w:rFonts w:asciiTheme="majorBidi" w:hAnsiTheme="majorBidi" w:cstheme="majorBidi"/>
          <w:b/>
          <w:bCs/>
          <w:color w:val="auto"/>
          <w:sz w:val="24"/>
          <w:szCs w:val="24"/>
        </w:rPr>
        <w:t xml:space="preserve">the </w:t>
      </w:r>
      <w:r w:rsidRPr="00E05D0F">
        <w:rPr>
          <w:rFonts w:asciiTheme="majorBidi" w:hAnsiTheme="majorBidi" w:cstheme="majorBidi"/>
          <w:b/>
          <w:bCs/>
          <w:color w:val="auto"/>
          <w:sz w:val="24"/>
          <w:szCs w:val="24"/>
        </w:rPr>
        <w:t xml:space="preserve">Vibration Perception Threshold test </w:t>
      </w:r>
    </w:p>
    <w:p w:rsidR="00C64AED" w:rsidRPr="00E05D0F" w:rsidRDefault="00C64AED" w:rsidP="008F323A">
      <w:pPr>
        <w:pStyle w:val="NormalWeb"/>
        <w:spacing w:before="0" w:beforeAutospacing="0" w:line="360" w:lineRule="auto"/>
        <w:jc w:val="both"/>
      </w:pPr>
      <w:r w:rsidRPr="00E05D0F">
        <w:t xml:space="preserve">There was a significant improvement in two </w:t>
      </w:r>
      <w:r w:rsidR="00806977" w:rsidRPr="00E05D0F">
        <w:t xml:space="preserve">out of three </w:t>
      </w:r>
      <w:r w:rsidRPr="00E05D0F">
        <w:t>cases. After treatment (AT), there was a notable decrease in VPT</w:t>
      </w:r>
      <w:r w:rsidR="006B4012" w:rsidRPr="00E05D0F">
        <w:t xml:space="preserve"> at almost all six points</w:t>
      </w:r>
      <w:r w:rsidR="00C56EF2" w:rsidRPr="00E05D0F">
        <w:t xml:space="preserve"> in </w:t>
      </w:r>
      <w:r w:rsidR="008F323A" w:rsidRPr="00E05D0F">
        <w:t xml:space="preserve">the </w:t>
      </w:r>
      <w:r w:rsidR="00454DC2" w:rsidRPr="00E05D0F">
        <w:t>feet</w:t>
      </w:r>
      <w:r w:rsidR="008F323A" w:rsidRPr="00E05D0F">
        <w:t xml:space="preserve"> (T</w:t>
      </w:r>
      <w:r w:rsidR="00454DC2" w:rsidRPr="00E05D0F">
        <w:t>able 3 and Fig 1)</w:t>
      </w:r>
      <w:r w:rsidRPr="00E05D0F">
        <w:t>.</w:t>
      </w:r>
    </w:p>
    <w:p w:rsidR="00A21E76" w:rsidRPr="00E05D0F" w:rsidRDefault="00A21E76" w:rsidP="00A21E76">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 xml:space="preserve">Reduction in Pain, Burning </w:t>
      </w:r>
      <w:r w:rsidR="00CF614A">
        <w:rPr>
          <w:rFonts w:asciiTheme="majorBidi" w:hAnsiTheme="majorBidi" w:cstheme="majorBidi"/>
          <w:b/>
          <w:bCs/>
          <w:color w:val="auto"/>
          <w:sz w:val="24"/>
          <w:szCs w:val="24"/>
        </w:rPr>
        <w:t>S</w:t>
      </w:r>
      <w:r w:rsidRPr="00E05D0F">
        <w:rPr>
          <w:rFonts w:asciiTheme="majorBidi" w:hAnsiTheme="majorBidi" w:cstheme="majorBidi"/>
          <w:b/>
          <w:bCs/>
          <w:color w:val="auto"/>
          <w:sz w:val="24"/>
          <w:szCs w:val="24"/>
        </w:rPr>
        <w:t xml:space="preserve">ensation and Numbness Intensity </w:t>
      </w:r>
    </w:p>
    <w:p w:rsidR="00A21E76" w:rsidRPr="00E05D0F" w:rsidRDefault="00A21E76" w:rsidP="00A21E76">
      <w:pPr>
        <w:spacing w:after="100" w:afterAutospacing="1" w:line="360" w:lineRule="auto"/>
        <w:jc w:val="both"/>
        <w:rPr>
          <w:rFonts w:ascii="Times New Roman" w:eastAsia="Times New Roman" w:hAnsi="Times New Roman" w:cs="Times New Roman"/>
          <w:kern w:val="0"/>
          <w:lang w:val="en-IN" w:eastAsia="en-IN"/>
        </w:rPr>
      </w:pPr>
      <w:r w:rsidRPr="00E05D0F">
        <w:rPr>
          <w:rFonts w:ascii="Times New Roman" w:eastAsia="Times New Roman" w:hAnsi="Times New Roman" w:cs="Times New Roman"/>
          <w:kern w:val="0"/>
          <w:lang w:val="en-IN" w:eastAsia="en-IN"/>
        </w:rPr>
        <w:t>The VAS score, which quantifies pain intensity on a scale of 0-10, demonstrated a remarkable reduction in pain sensation post-treatment. Cases 2 and 3 showed a significant decline from 8/10 and 8/10 at baseline to 4/10 and 3/10 post-treatment, respectively, whereas Case 1 showed a reduction from 9/10 to 6/10. This indicated the effectiveness of the intervention in alleviating pain (Table 4).</w:t>
      </w:r>
    </w:p>
    <w:p w:rsidR="00A21E76" w:rsidRPr="00E05D0F" w:rsidRDefault="00A21E76" w:rsidP="00A21E76">
      <w:pPr>
        <w:spacing w:before="100" w:beforeAutospacing="1" w:line="360" w:lineRule="auto"/>
        <w:jc w:val="both"/>
        <w:rPr>
          <w:rFonts w:ascii="Times New Roman" w:eastAsia="Times New Roman" w:hAnsi="Times New Roman" w:cs="Times New Roman"/>
          <w:kern w:val="0"/>
          <w:lang w:val="en-IN" w:eastAsia="en-IN"/>
        </w:rPr>
      </w:pPr>
      <w:r w:rsidRPr="00E05D0F">
        <w:rPr>
          <w:rFonts w:ascii="Times New Roman" w:eastAsia="Times New Roman" w:hAnsi="Times New Roman" w:cs="Times New Roman"/>
          <w:b/>
          <w:bCs/>
          <w:kern w:val="0"/>
          <w:lang w:val="en-IN" w:eastAsia="en-IN"/>
        </w:rPr>
        <w:t>Improvement in Quality of Life (QOL) by WHOQOL-BREF</w:t>
      </w:r>
    </w:p>
    <w:p w:rsidR="00A21E76" w:rsidRPr="00E05D0F" w:rsidRDefault="00A21E76" w:rsidP="00A21E76">
      <w:pPr>
        <w:pStyle w:val="NormalWeb"/>
        <w:spacing w:before="0" w:beforeAutospacing="0" w:line="360" w:lineRule="auto"/>
        <w:jc w:val="both"/>
      </w:pPr>
      <w:r w:rsidRPr="00E05D0F">
        <w:t>The World Health Organization Quality of Life (WHOQOL) is a widely used, standardized scale developed by the WHO to assess QOL (21). Patients who initially reported low scores before treatment showed a marked increase in post-treatment scores. Case 1 improved from 47 to 68, case 2 improved from 45 to 69, and case 3 improved from 40 to 55 (Table 4), reflecting enhanced functional independence.</w:t>
      </w:r>
    </w:p>
    <w:p w:rsidR="00A21E76" w:rsidRDefault="00A21E76" w:rsidP="006A3AFF">
      <w:pPr>
        <w:pStyle w:val="p1"/>
        <w:spacing w:line="360" w:lineRule="auto"/>
        <w:jc w:val="both"/>
        <w:rPr>
          <w:rFonts w:asciiTheme="majorBidi" w:hAnsiTheme="majorBidi" w:cstheme="majorBidi"/>
          <w:color w:val="auto"/>
          <w:sz w:val="24"/>
          <w:szCs w:val="24"/>
        </w:rPr>
        <w:sectPr w:rsidR="00A21E76" w:rsidSect="008E5602">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pPr>
    </w:p>
    <w:p w:rsidR="002D6ADA" w:rsidRPr="0070060B" w:rsidRDefault="002D6ADA" w:rsidP="002D6ADA">
      <w:pPr>
        <w:pStyle w:val="p1"/>
        <w:spacing w:line="360" w:lineRule="auto"/>
        <w:jc w:val="both"/>
        <w:rPr>
          <w:rFonts w:asciiTheme="majorBidi" w:hAnsiTheme="majorBidi" w:cstheme="majorBidi"/>
          <w:b/>
          <w:bCs/>
          <w:color w:val="auto"/>
          <w:sz w:val="24"/>
          <w:szCs w:val="24"/>
        </w:rPr>
      </w:pPr>
      <w:r w:rsidRPr="0070060B">
        <w:rPr>
          <w:rFonts w:asciiTheme="majorBidi" w:hAnsiTheme="majorBidi" w:cstheme="majorBidi"/>
          <w:b/>
          <w:bCs/>
          <w:color w:val="auto"/>
          <w:sz w:val="24"/>
          <w:szCs w:val="24"/>
        </w:rPr>
        <w:lastRenderedPageBreak/>
        <w:t>Table 3 Improvement of VPT (Pre-Post treatment)</w:t>
      </w:r>
    </w:p>
    <w:tbl>
      <w:tblPr>
        <w:tblStyle w:val="TableGrid"/>
        <w:tblW w:w="0" w:type="auto"/>
        <w:tblInd w:w="-176" w:type="dxa"/>
        <w:tblLook w:val="04A0" w:firstRow="1" w:lastRow="0" w:firstColumn="1" w:lastColumn="0" w:noHBand="0" w:noVBand="1"/>
      </w:tblPr>
      <w:tblGrid>
        <w:gridCol w:w="847"/>
        <w:gridCol w:w="516"/>
        <w:gridCol w:w="527"/>
        <w:gridCol w:w="515"/>
        <w:gridCol w:w="527"/>
        <w:gridCol w:w="515"/>
        <w:gridCol w:w="527"/>
        <w:gridCol w:w="515"/>
        <w:gridCol w:w="527"/>
        <w:gridCol w:w="515"/>
        <w:gridCol w:w="527"/>
        <w:gridCol w:w="515"/>
        <w:gridCol w:w="527"/>
        <w:gridCol w:w="515"/>
        <w:gridCol w:w="527"/>
        <w:gridCol w:w="515"/>
        <w:gridCol w:w="527"/>
        <w:gridCol w:w="515"/>
        <w:gridCol w:w="527"/>
        <w:gridCol w:w="515"/>
        <w:gridCol w:w="527"/>
        <w:gridCol w:w="515"/>
        <w:gridCol w:w="527"/>
        <w:gridCol w:w="515"/>
        <w:gridCol w:w="527"/>
      </w:tblGrid>
      <w:tr w:rsidR="002D6ADA" w:rsidRPr="002D6ADA" w:rsidTr="002D6ADA">
        <w:tc>
          <w:tcPr>
            <w:tcW w:w="847" w:type="dxa"/>
            <w:vMerge w:val="restart"/>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S. No</w:t>
            </w:r>
          </w:p>
        </w:tc>
        <w:tc>
          <w:tcPr>
            <w:tcW w:w="2085" w:type="dxa"/>
            <w:gridSpan w:val="4"/>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Great Toe (GT)</w:t>
            </w:r>
          </w:p>
        </w:tc>
        <w:tc>
          <w:tcPr>
            <w:tcW w:w="2084" w:type="dxa"/>
            <w:gridSpan w:val="4"/>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w:t>
            </w:r>
            <w:r w:rsidRPr="002D6ADA">
              <w:rPr>
                <w:rFonts w:asciiTheme="majorBidi" w:hAnsiTheme="majorBidi" w:cstheme="majorBidi"/>
                <w:color w:val="auto"/>
                <w:sz w:val="22"/>
                <w:szCs w:val="22"/>
                <w:vertAlign w:val="superscript"/>
              </w:rPr>
              <w:t>st</w:t>
            </w:r>
            <w:r w:rsidRPr="002D6ADA">
              <w:rPr>
                <w:rFonts w:asciiTheme="majorBidi" w:hAnsiTheme="majorBidi" w:cstheme="majorBidi"/>
                <w:color w:val="auto"/>
                <w:sz w:val="22"/>
                <w:szCs w:val="22"/>
              </w:rPr>
              <w:t xml:space="preserve"> Metatarsal (M1)</w:t>
            </w:r>
          </w:p>
        </w:tc>
        <w:tc>
          <w:tcPr>
            <w:tcW w:w="2084" w:type="dxa"/>
            <w:gridSpan w:val="4"/>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w:t>
            </w:r>
            <w:r w:rsidRPr="002D6ADA">
              <w:rPr>
                <w:rFonts w:asciiTheme="majorBidi" w:hAnsiTheme="majorBidi" w:cstheme="majorBidi"/>
                <w:color w:val="auto"/>
                <w:sz w:val="22"/>
                <w:szCs w:val="22"/>
                <w:vertAlign w:val="superscript"/>
              </w:rPr>
              <w:t>rd</w:t>
            </w:r>
            <w:r w:rsidRPr="002D6ADA">
              <w:rPr>
                <w:rFonts w:asciiTheme="majorBidi" w:hAnsiTheme="majorBidi" w:cstheme="majorBidi"/>
                <w:color w:val="auto"/>
                <w:sz w:val="22"/>
                <w:szCs w:val="22"/>
              </w:rPr>
              <w:t xml:space="preserve"> Metatarsal (M3)</w:t>
            </w:r>
          </w:p>
        </w:tc>
        <w:tc>
          <w:tcPr>
            <w:tcW w:w="2084" w:type="dxa"/>
            <w:gridSpan w:val="4"/>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5</w:t>
            </w:r>
            <w:r w:rsidRPr="002D6ADA">
              <w:rPr>
                <w:rFonts w:asciiTheme="majorBidi" w:hAnsiTheme="majorBidi" w:cstheme="majorBidi"/>
                <w:color w:val="auto"/>
                <w:sz w:val="22"/>
                <w:szCs w:val="22"/>
                <w:vertAlign w:val="superscript"/>
              </w:rPr>
              <w:t>th</w:t>
            </w:r>
            <w:r w:rsidRPr="002D6ADA">
              <w:rPr>
                <w:rFonts w:asciiTheme="majorBidi" w:hAnsiTheme="majorBidi" w:cstheme="majorBidi"/>
                <w:color w:val="auto"/>
                <w:sz w:val="22"/>
                <w:szCs w:val="22"/>
              </w:rPr>
              <w:t xml:space="preserve"> Metatarsal (M5)</w:t>
            </w:r>
          </w:p>
        </w:tc>
        <w:tc>
          <w:tcPr>
            <w:tcW w:w="2084" w:type="dxa"/>
            <w:gridSpan w:val="4"/>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Mid Foot (MF)</w:t>
            </w:r>
          </w:p>
        </w:tc>
        <w:tc>
          <w:tcPr>
            <w:tcW w:w="2084" w:type="dxa"/>
            <w:gridSpan w:val="4"/>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Heel (H)</w:t>
            </w:r>
          </w:p>
        </w:tc>
      </w:tr>
      <w:tr w:rsidR="002D6ADA" w:rsidRPr="002D6ADA" w:rsidTr="002D6ADA">
        <w:tc>
          <w:tcPr>
            <w:tcW w:w="847" w:type="dxa"/>
            <w:vMerge/>
          </w:tcPr>
          <w:p w:rsidR="002D6ADA" w:rsidRPr="002D6ADA" w:rsidRDefault="002D6ADA" w:rsidP="00FA7433">
            <w:pPr>
              <w:pStyle w:val="p1"/>
              <w:spacing w:line="360" w:lineRule="auto"/>
              <w:jc w:val="both"/>
              <w:rPr>
                <w:rFonts w:asciiTheme="majorBidi" w:hAnsiTheme="majorBidi" w:cstheme="majorBidi"/>
                <w:color w:val="auto"/>
                <w:sz w:val="22"/>
                <w:szCs w:val="22"/>
              </w:rPr>
            </w:pPr>
          </w:p>
        </w:tc>
        <w:tc>
          <w:tcPr>
            <w:tcW w:w="1043" w:type="dxa"/>
            <w:gridSpan w:val="2"/>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RF</w:t>
            </w:r>
          </w:p>
        </w:tc>
        <w:tc>
          <w:tcPr>
            <w:tcW w:w="1042" w:type="dxa"/>
            <w:gridSpan w:val="2"/>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LF</w:t>
            </w:r>
          </w:p>
        </w:tc>
        <w:tc>
          <w:tcPr>
            <w:tcW w:w="1042" w:type="dxa"/>
            <w:gridSpan w:val="2"/>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RF</w:t>
            </w:r>
          </w:p>
        </w:tc>
        <w:tc>
          <w:tcPr>
            <w:tcW w:w="1042" w:type="dxa"/>
            <w:gridSpan w:val="2"/>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LF</w:t>
            </w:r>
          </w:p>
        </w:tc>
        <w:tc>
          <w:tcPr>
            <w:tcW w:w="1042" w:type="dxa"/>
            <w:gridSpan w:val="2"/>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RF</w:t>
            </w:r>
          </w:p>
        </w:tc>
        <w:tc>
          <w:tcPr>
            <w:tcW w:w="1042" w:type="dxa"/>
            <w:gridSpan w:val="2"/>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LF</w:t>
            </w:r>
          </w:p>
        </w:tc>
        <w:tc>
          <w:tcPr>
            <w:tcW w:w="1042" w:type="dxa"/>
            <w:gridSpan w:val="2"/>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RF</w:t>
            </w:r>
          </w:p>
        </w:tc>
        <w:tc>
          <w:tcPr>
            <w:tcW w:w="1042" w:type="dxa"/>
            <w:gridSpan w:val="2"/>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LF</w:t>
            </w:r>
          </w:p>
        </w:tc>
        <w:tc>
          <w:tcPr>
            <w:tcW w:w="1042" w:type="dxa"/>
            <w:gridSpan w:val="2"/>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RF</w:t>
            </w:r>
          </w:p>
        </w:tc>
        <w:tc>
          <w:tcPr>
            <w:tcW w:w="1042" w:type="dxa"/>
            <w:gridSpan w:val="2"/>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LF</w:t>
            </w:r>
          </w:p>
        </w:tc>
        <w:tc>
          <w:tcPr>
            <w:tcW w:w="1042" w:type="dxa"/>
            <w:gridSpan w:val="2"/>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RF</w:t>
            </w:r>
          </w:p>
        </w:tc>
        <w:tc>
          <w:tcPr>
            <w:tcW w:w="1042" w:type="dxa"/>
            <w:gridSpan w:val="2"/>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LF</w:t>
            </w:r>
          </w:p>
        </w:tc>
      </w:tr>
      <w:tr w:rsidR="002D6ADA" w:rsidRPr="002D6ADA" w:rsidTr="002D6ADA">
        <w:tc>
          <w:tcPr>
            <w:tcW w:w="847" w:type="dxa"/>
            <w:vMerge/>
          </w:tcPr>
          <w:p w:rsidR="002D6ADA" w:rsidRPr="002D6ADA" w:rsidRDefault="002D6ADA" w:rsidP="00FA7433">
            <w:pPr>
              <w:pStyle w:val="p1"/>
              <w:spacing w:line="360" w:lineRule="auto"/>
              <w:jc w:val="both"/>
              <w:rPr>
                <w:rFonts w:asciiTheme="majorBidi" w:hAnsiTheme="majorBidi" w:cstheme="majorBidi"/>
                <w:color w:val="auto"/>
                <w:sz w:val="22"/>
                <w:szCs w:val="22"/>
              </w:rPr>
            </w:pPr>
          </w:p>
        </w:tc>
        <w:tc>
          <w:tcPr>
            <w:tcW w:w="516"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r>
      <w:tr w:rsidR="002D6ADA" w:rsidRPr="002D6ADA" w:rsidTr="002D6ADA">
        <w:tc>
          <w:tcPr>
            <w:tcW w:w="84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Case 1</w:t>
            </w:r>
          </w:p>
        </w:tc>
        <w:tc>
          <w:tcPr>
            <w:tcW w:w="516"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31</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27</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34</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28</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39</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33</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39</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32</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39</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35</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39</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37</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31</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27</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34</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32</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22</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20</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19</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19</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40</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37</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39</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35</w:t>
            </w:r>
          </w:p>
        </w:tc>
      </w:tr>
      <w:tr w:rsidR="002D6ADA" w:rsidRPr="002D6ADA" w:rsidTr="002D6ADA">
        <w:tc>
          <w:tcPr>
            <w:tcW w:w="84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Case 2</w:t>
            </w:r>
          </w:p>
        </w:tc>
        <w:tc>
          <w:tcPr>
            <w:tcW w:w="516"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21</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17</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24</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20</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24</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23</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25</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22</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30</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25</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28</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28</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30</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22</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29</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23</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14</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12</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17</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13</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34</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32</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36</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33</w:t>
            </w:r>
          </w:p>
        </w:tc>
      </w:tr>
      <w:tr w:rsidR="002D6ADA" w:rsidRPr="002D6ADA" w:rsidTr="002D6ADA">
        <w:tc>
          <w:tcPr>
            <w:tcW w:w="84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Case 3</w:t>
            </w:r>
          </w:p>
        </w:tc>
        <w:tc>
          <w:tcPr>
            <w:tcW w:w="516"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50</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50</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48</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50</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45</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45</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48</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47</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46</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47</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44</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46</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39</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38</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41</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40</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30</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28</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32</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30</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50</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47</w:t>
            </w:r>
          </w:p>
        </w:tc>
        <w:tc>
          <w:tcPr>
            <w:tcW w:w="515"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50</w:t>
            </w:r>
          </w:p>
        </w:tc>
        <w:tc>
          <w:tcPr>
            <w:tcW w:w="527" w:type="dxa"/>
          </w:tcPr>
          <w:p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48</w:t>
            </w:r>
          </w:p>
        </w:tc>
      </w:tr>
    </w:tbl>
    <w:p w:rsidR="002D6ADA" w:rsidRPr="006F1344" w:rsidRDefault="002D6ADA" w:rsidP="00FA7433">
      <w:pPr>
        <w:pStyle w:val="p1"/>
        <w:spacing w:line="360" w:lineRule="auto"/>
        <w:jc w:val="both"/>
        <w:rPr>
          <w:rFonts w:asciiTheme="majorBidi" w:hAnsiTheme="majorBidi" w:cstheme="majorBidi"/>
          <w:color w:val="auto"/>
          <w:sz w:val="24"/>
          <w:szCs w:val="24"/>
        </w:rPr>
      </w:pPr>
    </w:p>
    <w:p w:rsidR="002D6ADA" w:rsidRDefault="002D6ADA"/>
    <w:p w:rsidR="002D6ADA" w:rsidRDefault="002D6ADA" w:rsidP="006A3AFF">
      <w:pPr>
        <w:pStyle w:val="p1"/>
        <w:spacing w:line="360" w:lineRule="auto"/>
        <w:jc w:val="both"/>
        <w:rPr>
          <w:rFonts w:asciiTheme="majorBidi" w:hAnsiTheme="majorBidi" w:cstheme="majorBidi"/>
          <w:color w:val="auto"/>
          <w:sz w:val="24"/>
          <w:szCs w:val="24"/>
        </w:rPr>
        <w:sectPr w:rsidR="002D6ADA" w:rsidSect="002D6ADA">
          <w:pgSz w:w="15840" w:h="12240" w:orient="landscape"/>
          <w:pgMar w:top="1440" w:right="1440" w:bottom="1440" w:left="1440" w:header="720" w:footer="720" w:gutter="0"/>
          <w:cols w:space="720"/>
          <w:docGrid w:linePitch="360"/>
        </w:sectPr>
      </w:pPr>
    </w:p>
    <w:p w:rsidR="0086491D" w:rsidRPr="00E05D0F" w:rsidRDefault="0086491D" w:rsidP="0086491D">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b/>
          <w:bCs/>
          <w:color w:val="auto"/>
          <w:sz w:val="24"/>
          <w:szCs w:val="24"/>
        </w:rPr>
        <w:lastRenderedPageBreak/>
        <w:t>Timeline</w:t>
      </w:r>
      <w:r w:rsidRPr="00E05D0F">
        <w:rPr>
          <w:rFonts w:asciiTheme="majorBidi" w:hAnsiTheme="majorBidi" w:cstheme="majorBidi"/>
          <w:color w:val="auto"/>
          <w:sz w:val="24"/>
          <w:szCs w:val="24"/>
        </w:rPr>
        <w:t xml:space="preserve"> </w:t>
      </w:r>
    </w:p>
    <w:p w:rsidR="0086491D" w:rsidRPr="00E05D0F" w:rsidRDefault="0086491D" w:rsidP="0086491D">
      <w:pPr>
        <w:spacing w:after="100" w:afterAutospacing="1" w:line="360" w:lineRule="auto"/>
        <w:jc w:val="both"/>
        <w:rPr>
          <w:rFonts w:ascii="Times New Roman" w:eastAsia="Times New Roman" w:hAnsi="Times New Roman" w:cs="Times New Roman"/>
          <w:kern w:val="0"/>
          <w:lang w:val="en-IN" w:eastAsia="en-IN"/>
        </w:rPr>
      </w:pPr>
      <w:r w:rsidRPr="00E05D0F">
        <w:rPr>
          <w:rFonts w:ascii="Times New Roman" w:eastAsia="Times New Roman" w:hAnsi="Times New Roman" w:cs="Times New Roman"/>
          <w:kern w:val="0"/>
          <w:lang w:val="en-IN" w:eastAsia="en-IN"/>
        </w:rPr>
        <w:t xml:space="preserve">Each patient followed a structured treatment plan that included QZK and HA, along with standard medication, for </w:t>
      </w:r>
      <w:r>
        <w:rPr>
          <w:rFonts w:ascii="Times New Roman" w:eastAsia="Times New Roman" w:hAnsi="Times New Roman" w:cs="Times New Roman"/>
          <w:kern w:val="0"/>
          <w:lang w:val="en-IN" w:eastAsia="en-IN"/>
        </w:rPr>
        <w:t>56</w:t>
      </w:r>
      <w:r w:rsidRPr="00E05D0F">
        <w:rPr>
          <w:rFonts w:ascii="Times New Roman" w:eastAsia="Times New Roman" w:hAnsi="Times New Roman" w:cs="Times New Roman"/>
          <w:kern w:val="0"/>
          <w:lang w:val="en-IN" w:eastAsia="en-IN"/>
        </w:rPr>
        <w:t xml:space="preserve"> days with </w:t>
      </w:r>
      <w:r>
        <w:rPr>
          <w:rFonts w:ascii="Times New Roman" w:eastAsia="Times New Roman" w:hAnsi="Times New Roman" w:cs="Times New Roman"/>
          <w:kern w:val="0"/>
          <w:lang w:val="en-IN" w:eastAsia="en-IN"/>
        </w:rPr>
        <w:t xml:space="preserve">three </w:t>
      </w:r>
      <w:r w:rsidRPr="00E05D0F">
        <w:rPr>
          <w:rFonts w:ascii="Times New Roman" w:eastAsia="Times New Roman" w:hAnsi="Times New Roman" w:cs="Times New Roman"/>
          <w:kern w:val="0"/>
          <w:lang w:val="en-IN" w:eastAsia="en-IN"/>
        </w:rPr>
        <w:t>follow-ups. The therapy was tailored to each individual, ensuring compliance with the regimen and tracking clinical progress (Table 4 and Fig 2).</w:t>
      </w:r>
    </w:p>
    <w:p w:rsidR="00FB37AF" w:rsidRPr="00E05D0F" w:rsidRDefault="00943B77" w:rsidP="00271848">
      <w:pPr>
        <w:spacing w:line="360" w:lineRule="auto"/>
        <w:jc w:val="both"/>
        <w:rPr>
          <w:rFonts w:asciiTheme="majorBidi" w:hAnsiTheme="majorBidi" w:cstheme="majorBidi"/>
          <w:b/>
          <w:bCs/>
        </w:rPr>
      </w:pPr>
      <w:r w:rsidRPr="00E05D0F">
        <w:rPr>
          <w:rFonts w:asciiTheme="majorBidi" w:eastAsia="Times New Roman" w:hAnsiTheme="majorBidi" w:cstheme="majorBidi"/>
          <w:b/>
          <w:bCs/>
          <w:kern w:val="0"/>
        </w:rPr>
        <w:t>Table 4</w:t>
      </w:r>
      <w:r w:rsidRPr="00E05D0F">
        <w:rPr>
          <w:rFonts w:asciiTheme="majorBidi" w:eastAsia="Times New Roman" w:hAnsiTheme="majorBidi" w:cstheme="majorBidi"/>
          <w:kern w:val="0"/>
        </w:rPr>
        <w:t xml:space="preserve"> </w:t>
      </w:r>
      <w:r w:rsidR="00BC7BBE" w:rsidRPr="00E05D0F">
        <w:rPr>
          <w:rFonts w:asciiTheme="majorBidi" w:eastAsia="Times New Roman" w:hAnsiTheme="majorBidi" w:cstheme="majorBidi"/>
          <w:b/>
          <w:bCs/>
          <w:kern w:val="0"/>
        </w:rPr>
        <w:t>Timeline</w:t>
      </w:r>
      <w:r w:rsidR="00BC7BBE" w:rsidRPr="00E05D0F">
        <w:rPr>
          <w:rFonts w:asciiTheme="majorBidi" w:eastAsia="Times New Roman" w:hAnsiTheme="majorBidi" w:cstheme="majorBidi"/>
          <w:kern w:val="0"/>
        </w:rPr>
        <w:t xml:space="preserve"> </w:t>
      </w:r>
    </w:p>
    <w:tbl>
      <w:tblPr>
        <w:tblStyle w:val="TableGrid"/>
        <w:tblW w:w="0" w:type="auto"/>
        <w:tblLook w:val="04A0" w:firstRow="1" w:lastRow="0" w:firstColumn="1" w:lastColumn="0" w:noHBand="0" w:noVBand="1"/>
      </w:tblPr>
      <w:tblGrid>
        <w:gridCol w:w="675"/>
        <w:gridCol w:w="1560"/>
        <w:gridCol w:w="7229"/>
      </w:tblGrid>
      <w:tr w:rsidR="00CF2DCF" w:rsidRPr="00E05D0F" w:rsidTr="00CF2DCF">
        <w:tc>
          <w:tcPr>
            <w:tcW w:w="675"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Sr.</w:t>
            </w:r>
          </w:p>
        </w:tc>
        <w:tc>
          <w:tcPr>
            <w:tcW w:w="1560"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 xml:space="preserve">Date </w:t>
            </w:r>
          </w:p>
        </w:tc>
        <w:tc>
          <w:tcPr>
            <w:tcW w:w="7229"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Clinical Findings</w:t>
            </w:r>
          </w:p>
        </w:tc>
      </w:tr>
      <w:tr w:rsidR="00CF2DCF" w:rsidRPr="00E05D0F" w:rsidTr="00B43D36">
        <w:tc>
          <w:tcPr>
            <w:tcW w:w="9464" w:type="dxa"/>
            <w:gridSpan w:val="3"/>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b/>
                <w:bCs/>
                <w:kern w:val="0"/>
              </w:rPr>
              <w:t>Case 1</w:t>
            </w:r>
          </w:p>
        </w:tc>
      </w:tr>
      <w:tr w:rsidR="00CF2DCF" w:rsidRPr="00E05D0F" w:rsidTr="00CF2DCF">
        <w:tc>
          <w:tcPr>
            <w:tcW w:w="675"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1</w:t>
            </w:r>
          </w:p>
        </w:tc>
        <w:tc>
          <w:tcPr>
            <w:tcW w:w="1560"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27.01.2025</w:t>
            </w:r>
          </w:p>
        </w:tc>
        <w:tc>
          <w:tcPr>
            <w:tcW w:w="7229" w:type="dxa"/>
          </w:tcPr>
          <w:p w:rsidR="00CF2DCF" w:rsidRPr="00E05D0F" w:rsidRDefault="00CF2DCF" w:rsidP="006205D7">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8/10, burning sensation: 8/10, numbness: 7/10</w:t>
            </w:r>
            <w:r w:rsidR="00C93CCE" w:rsidRPr="00E05D0F">
              <w:rPr>
                <w:rFonts w:asciiTheme="majorBidi" w:eastAsia="Times New Roman" w:hAnsiTheme="majorBidi" w:cstheme="majorBidi"/>
                <w:kern w:val="0"/>
              </w:rPr>
              <w:t>),</w:t>
            </w:r>
          </w:p>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hAnsiTheme="majorBidi" w:cstheme="majorBidi"/>
              </w:rPr>
              <w:t>WHOQOL: 47/100</w:t>
            </w:r>
            <w:r w:rsidR="00C93CCE" w:rsidRPr="00E05D0F">
              <w:rPr>
                <w:rFonts w:asciiTheme="majorBidi" w:hAnsiTheme="majorBidi" w:cstheme="majorBidi"/>
              </w:rPr>
              <w:t>, HbA1c: 9.2%</w:t>
            </w:r>
          </w:p>
        </w:tc>
      </w:tr>
      <w:tr w:rsidR="00CF2DCF" w:rsidRPr="00E05D0F" w:rsidTr="00CF2DCF">
        <w:tc>
          <w:tcPr>
            <w:tcW w:w="675"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2</w:t>
            </w:r>
          </w:p>
        </w:tc>
        <w:tc>
          <w:tcPr>
            <w:tcW w:w="1560"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10.02.2025</w:t>
            </w:r>
          </w:p>
        </w:tc>
        <w:tc>
          <w:tcPr>
            <w:tcW w:w="7229" w:type="dxa"/>
          </w:tcPr>
          <w:p w:rsidR="00CF2DCF" w:rsidRPr="00E05D0F" w:rsidRDefault="00CF2DCF" w:rsidP="006205D7">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7/10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6/10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7/10).</w:t>
            </w:r>
          </w:p>
          <w:p w:rsidR="00CF2DCF" w:rsidRPr="00E05D0F" w:rsidRDefault="00CF2DCF" w:rsidP="00C93CCE">
            <w:pPr>
              <w:spacing w:line="360" w:lineRule="auto"/>
              <w:jc w:val="both"/>
              <w:rPr>
                <w:rFonts w:asciiTheme="majorBidi" w:eastAsia="Times New Roman" w:hAnsiTheme="majorBidi" w:cstheme="majorBidi"/>
                <w:kern w:val="0"/>
              </w:rPr>
            </w:pPr>
            <w:r w:rsidRPr="00E05D0F">
              <w:rPr>
                <w:rFonts w:asciiTheme="majorBidi" w:hAnsiTheme="majorBidi" w:cstheme="majorBidi"/>
              </w:rPr>
              <w:t>WHOQOL: 53/100</w:t>
            </w:r>
            <w:r w:rsidR="00C93CCE" w:rsidRPr="00E05D0F">
              <w:rPr>
                <w:rFonts w:asciiTheme="majorBidi" w:hAnsiTheme="majorBidi" w:cstheme="majorBidi"/>
              </w:rPr>
              <w:t>.</w:t>
            </w:r>
          </w:p>
        </w:tc>
      </w:tr>
      <w:tr w:rsidR="00CF2DCF" w:rsidRPr="00E05D0F" w:rsidTr="00CF2DCF">
        <w:tc>
          <w:tcPr>
            <w:tcW w:w="675"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3</w:t>
            </w:r>
          </w:p>
        </w:tc>
        <w:tc>
          <w:tcPr>
            <w:tcW w:w="1560"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24.02.2025</w:t>
            </w:r>
          </w:p>
        </w:tc>
        <w:tc>
          <w:tcPr>
            <w:tcW w:w="7229" w:type="dxa"/>
          </w:tcPr>
          <w:p w:rsidR="00CF2DCF" w:rsidRPr="00E05D0F" w:rsidRDefault="00CF2DCF" w:rsidP="006205D7">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6/10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5/10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5/10)</w:t>
            </w:r>
          </w:p>
          <w:p w:rsidR="00CF2DCF" w:rsidRPr="00E05D0F" w:rsidRDefault="00CF2DCF" w:rsidP="006205D7">
            <w:pPr>
              <w:spacing w:line="360" w:lineRule="auto"/>
              <w:jc w:val="both"/>
              <w:rPr>
                <w:rFonts w:asciiTheme="majorBidi" w:eastAsia="Times New Roman" w:hAnsiTheme="majorBidi" w:cstheme="majorBidi"/>
                <w:kern w:val="0"/>
              </w:rPr>
            </w:pPr>
            <w:r w:rsidRPr="00E05D0F">
              <w:rPr>
                <w:rFonts w:asciiTheme="majorBidi" w:hAnsiTheme="majorBidi" w:cstheme="majorBidi"/>
              </w:rPr>
              <w:t>WHOQOL: 58/100</w:t>
            </w:r>
          </w:p>
        </w:tc>
      </w:tr>
      <w:tr w:rsidR="00CF2DCF" w:rsidRPr="00E05D0F" w:rsidTr="00CF2DCF">
        <w:tc>
          <w:tcPr>
            <w:tcW w:w="675"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4</w:t>
            </w:r>
          </w:p>
        </w:tc>
        <w:tc>
          <w:tcPr>
            <w:tcW w:w="1560"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09.03.2025</w:t>
            </w:r>
          </w:p>
        </w:tc>
        <w:tc>
          <w:tcPr>
            <w:tcW w:w="7229" w:type="dxa"/>
          </w:tcPr>
          <w:p w:rsidR="00CF2DCF" w:rsidRPr="00E05D0F" w:rsidRDefault="00CF2DCF" w:rsidP="00406354">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4/10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4/10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5/10)</w:t>
            </w:r>
          </w:p>
          <w:p w:rsidR="00CF2DCF" w:rsidRPr="00E05D0F" w:rsidRDefault="00CF2DCF" w:rsidP="00406354">
            <w:pPr>
              <w:spacing w:line="360" w:lineRule="auto"/>
              <w:jc w:val="both"/>
              <w:rPr>
                <w:rFonts w:asciiTheme="majorBidi" w:eastAsia="Times New Roman" w:hAnsiTheme="majorBidi" w:cstheme="majorBidi"/>
                <w:kern w:val="0"/>
              </w:rPr>
            </w:pPr>
            <w:r w:rsidRPr="00E05D0F">
              <w:rPr>
                <w:rFonts w:asciiTheme="majorBidi" w:hAnsiTheme="majorBidi" w:cstheme="majorBidi"/>
              </w:rPr>
              <w:t>WHOQOL: 68/100</w:t>
            </w:r>
            <w:r w:rsidR="00C93CCE" w:rsidRPr="00E05D0F">
              <w:rPr>
                <w:rFonts w:asciiTheme="majorBidi" w:hAnsiTheme="majorBidi" w:cstheme="majorBidi"/>
              </w:rPr>
              <w:t>, HbA1c: 7.8%</w:t>
            </w:r>
          </w:p>
        </w:tc>
      </w:tr>
      <w:tr w:rsidR="00CF2DCF" w:rsidRPr="00E05D0F" w:rsidTr="00B43D36">
        <w:tc>
          <w:tcPr>
            <w:tcW w:w="9464" w:type="dxa"/>
            <w:gridSpan w:val="3"/>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b/>
                <w:bCs/>
                <w:kern w:val="0"/>
              </w:rPr>
              <w:t>Case 2</w:t>
            </w:r>
          </w:p>
        </w:tc>
      </w:tr>
      <w:tr w:rsidR="00CF2DCF" w:rsidRPr="00E05D0F" w:rsidTr="00CF2DCF">
        <w:tc>
          <w:tcPr>
            <w:tcW w:w="675"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1</w:t>
            </w:r>
          </w:p>
        </w:tc>
        <w:tc>
          <w:tcPr>
            <w:tcW w:w="1560"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16.02.2025</w:t>
            </w:r>
          </w:p>
        </w:tc>
        <w:tc>
          <w:tcPr>
            <w:tcW w:w="7229" w:type="dxa"/>
          </w:tcPr>
          <w:p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8/10, burning sensation: 7/10, numbness: 7/10).</w:t>
            </w:r>
          </w:p>
          <w:p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hAnsiTheme="majorBidi" w:cstheme="majorBidi"/>
              </w:rPr>
              <w:t>WHOQOL: 45/100</w:t>
            </w:r>
            <w:r w:rsidR="00C93CCE" w:rsidRPr="00E05D0F">
              <w:rPr>
                <w:rFonts w:asciiTheme="majorBidi" w:hAnsiTheme="majorBidi" w:cstheme="majorBidi"/>
              </w:rPr>
              <w:t>, HbA1c: 7.6%</w:t>
            </w:r>
          </w:p>
        </w:tc>
      </w:tr>
      <w:tr w:rsidR="00CF2DCF" w:rsidRPr="00E05D0F" w:rsidTr="00CF2DCF">
        <w:tc>
          <w:tcPr>
            <w:tcW w:w="675"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2</w:t>
            </w:r>
          </w:p>
        </w:tc>
        <w:tc>
          <w:tcPr>
            <w:tcW w:w="1560"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02.03.2025</w:t>
            </w:r>
          </w:p>
        </w:tc>
        <w:tc>
          <w:tcPr>
            <w:tcW w:w="7229" w:type="dxa"/>
          </w:tcPr>
          <w:p w:rsidR="00CF2DCF" w:rsidRPr="00E05D0F" w:rsidRDefault="00CF2DCF" w:rsidP="00B43D36">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7/10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5/10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6/10).</w:t>
            </w:r>
          </w:p>
          <w:p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hAnsiTheme="majorBidi" w:cstheme="majorBidi"/>
              </w:rPr>
              <w:t>WHOQOL: 53/100.</w:t>
            </w:r>
          </w:p>
        </w:tc>
      </w:tr>
      <w:tr w:rsidR="00CF2DCF" w:rsidRPr="00E05D0F" w:rsidTr="00CF2DCF">
        <w:tc>
          <w:tcPr>
            <w:tcW w:w="675"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3</w:t>
            </w:r>
          </w:p>
        </w:tc>
        <w:tc>
          <w:tcPr>
            <w:tcW w:w="1560"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16.03.2025</w:t>
            </w:r>
          </w:p>
        </w:tc>
        <w:tc>
          <w:tcPr>
            <w:tcW w:w="7229" w:type="dxa"/>
          </w:tcPr>
          <w:p w:rsidR="00CF2DCF" w:rsidRPr="00E05D0F" w:rsidRDefault="00CF2DCF" w:rsidP="00B43D36">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5/10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4/10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5/10)</w:t>
            </w:r>
          </w:p>
          <w:p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hAnsiTheme="majorBidi" w:cstheme="majorBidi"/>
              </w:rPr>
              <w:t>WHOQOL: 58/100</w:t>
            </w:r>
            <w:r w:rsidR="00C93CCE" w:rsidRPr="00E05D0F">
              <w:rPr>
                <w:rFonts w:asciiTheme="majorBidi" w:hAnsiTheme="majorBidi" w:cstheme="majorBidi"/>
              </w:rPr>
              <w:t>.</w:t>
            </w:r>
          </w:p>
        </w:tc>
      </w:tr>
      <w:tr w:rsidR="00CF2DCF" w:rsidRPr="00E05D0F" w:rsidTr="00CF2DCF">
        <w:tc>
          <w:tcPr>
            <w:tcW w:w="675"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4</w:t>
            </w:r>
          </w:p>
        </w:tc>
        <w:tc>
          <w:tcPr>
            <w:tcW w:w="1560"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30.03.2025</w:t>
            </w:r>
          </w:p>
        </w:tc>
        <w:tc>
          <w:tcPr>
            <w:tcW w:w="7229" w:type="dxa"/>
          </w:tcPr>
          <w:p w:rsidR="00CF2DCF" w:rsidRPr="00E05D0F" w:rsidRDefault="00CF2DCF" w:rsidP="00B43D36">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3/10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3/10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5/10)</w:t>
            </w:r>
          </w:p>
          <w:p w:rsidR="00CF2DCF" w:rsidRPr="00E05D0F" w:rsidRDefault="00CF2DCF" w:rsidP="00C93CCE">
            <w:pPr>
              <w:spacing w:line="360" w:lineRule="auto"/>
              <w:jc w:val="both"/>
              <w:rPr>
                <w:rFonts w:asciiTheme="majorBidi" w:eastAsia="Times New Roman" w:hAnsiTheme="majorBidi" w:cstheme="majorBidi"/>
                <w:kern w:val="0"/>
              </w:rPr>
            </w:pPr>
            <w:r w:rsidRPr="00E05D0F">
              <w:rPr>
                <w:rFonts w:asciiTheme="majorBidi" w:hAnsiTheme="majorBidi" w:cstheme="majorBidi"/>
              </w:rPr>
              <w:t>WHOQOL: 71/100</w:t>
            </w:r>
            <w:r w:rsidR="00C93CCE" w:rsidRPr="00E05D0F">
              <w:rPr>
                <w:rFonts w:asciiTheme="majorBidi" w:hAnsiTheme="majorBidi" w:cstheme="majorBidi"/>
              </w:rPr>
              <w:t>, HbA1c: 6.8%</w:t>
            </w:r>
          </w:p>
        </w:tc>
      </w:tr>
      <w:tr w:rsidR="00CF2DCF" w:rsidRPr="00E05D0F" w:rsidTr="00B43D36">
        <w:tc>
          <w:tcPr>
            <w:tcW w:w="9464" w:type="dxa"/>
            <w:gridSpan w:val="3"/>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b/>
                <w:bCs/>
                <w:kern w:val="0"/>
              </w:rPr>
              <w:t>Case 3</w:t>
            </w:r>
          </w:p>
        </w:tc>
      </w:tr>
      <w:tr w:rsidR="00CF2DCF" w:rsidRPr="00E05D0F" w:rsidTr="00CF2DCF">
        <w:tc>
          <w:tcPr>
            <w:tcW w:w="675"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1</w:t>
            </w:r>
          </w:p>
        </w:tc>
        <w:tc>
          <w:tcPr>
            <w:tcW w:w="1560"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20.02.2025</w:t>
            </w:r>
          </w:p>
        </w:tc>
        <w:tc>
          <w:tcPr>
            <w:tcW w:w="7229" w:type="dxa"/>
          </w:tcPr>
          <w:p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9/10, burning sensation: 8/10, numbness: 8/10).</w:t>
            </w:r>
          </w:p>
          <w:p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hAnsiTheme="majorBidi" w:cstheme="majorBidi"/>
              </w:rPr>
              <w:t>WHOQOL: 40/100</w:t>
            </w:r>
            <w:r w:rsidR="00C93CCE" w:rsidRPr="00E05D0F">
              <w:rPr>
                <w:rFonts w:asciiTheme="majorBidi" w:hAnsiTheme="majorBidi" w:cstheme="majorBidi"/>
              </w:rPr>
              <w:t>, HbA1c:</w:t>
            </w:r>
            <w:r w:rsidR="00D0235C" w:rsidRPr="00E05D0F">
              <w:rPr>
                <w:rFonts w:asciiTheme="majorBidi" w:hAnsiTheme="majorBidi" w:cstheme="majorBidi"/>
              </w:rPr>
              <w:t xml:space="preserve"> 10</w:t>
            </w:r>
            <w:r w:rsidR="00C93CCE" w:rsidRPr="00E05D0F">
              <w:rPr>
                <w:rFonts w:asciiTheme="majorBidi" w:hAnsiTheme="majorBidi" w:cstheme="majorBidi"/>
              </w:rPr>
              <w:t>.1%</w:t>
            </w:r>
          </w:p>
        </w:tc>
      </w:tr>
      <w:tr w:rsidR="00CF2DCF" w:rsidRPr="00E05D0F" w:rsidTr="00CF2DCF">
        <w:tc>
          <w:tcPr>
            <w:tcW w:w="675"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2</w:t>
            </w:r>
          </w:p>
        </w:tc>
        <w:tc>
          <w:tcPr>
            <w:tcW w:w="1560"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06.03.2025</w:t>
            </w:r>
          </w:p>
        </w:tc>
        <w:tc>
          <w:tcPr>
            <w:tcW w:w="7229" w:type="dxa"/>
          </w:tcPr>
          <w:p w:rsidR="00CF2DCF" w:rsidRPr="00E05D0F" w:rsidRDefault="00CF2DCF" w:rsidP="00B43D36">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8/10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7/10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8/10).</w:t>
            </w:r>
          </w:p>
          <w:p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hAnsiTheme="majorBidi" w:cstheme="majorBidi"/>
              </w:rPr>
              <w:lastRenderedPageBreak/>
              <w:t>WHOQOL: 49/100.</w:t>
            </w:r>
          </w:p>
        </w:tc>
      </w:tr>
      <w:tr w:rsidR="00CF2DCF" w:rsidRPr="00E05D0F" w:rsidTr="00CF2DCF">
        <w:tc>
          <w:tcPr>
            <w:tcW w:w="675"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lastRenderedPageBreak/>
              <w:t>3</w:t>
            </w:r>
          </w:p>
        </w:tc>
        <w:tc>
          <w:tcPr>
            <w:tcW w:w="1560"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20.03.2025</w:t>
            </w:r>
          </w:p>
        </w:tc>
        <w:tc>
          <w:tcPr>
            <w:tcW w:w="7229" w:type="dxa"/>
          </w:tcPr>
          <w:p w:rsidR="00CF2DCF" w:rsidRPr="00E05D0F" w:rsidRDefault="00CF2DCF" w:rsidP="00B43D36">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8/10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7/10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7/10)</w:t>
            </w:r>
          </w:p>
          <w:p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hAnsiTheme="majorBidi" w:cstheme="majorBidi"/>
              </w:rPr>
              <w:t>WHOQOL: 52/100</w:t>
            </w:r>
          </w:p>
        </w:tc>
      </w:tr>
      <w:tr w:rsidR="00CF2DCF" w:rsidRPr="00E05D0F" w:rsidTr="00CF2DCF">
        <w:tc>
          <w:tcPr>
            <w:tcW w:w="675"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4</w:t>
            </w:r>
          </w:p>
        </w:tc>
        <w:tc>
          <w:tcPr>
            <w:tcW w:w="1560" w:type="dxa"/>
          </w:tcPr>
          <w:p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03.04.2025</w:t>
            </w:r>
          </w:p>
        </w:tc>
        <w:tc>
          <w:tcPr>
            <w:tcW w:w="7229" w:type="dxa"/>
          </w:tcPr>
          <w:p w:rsidR="00CF2DCF" w:rsidRPr="00E05D0F" w:rsidRDefault="00CF2DCF" w:rsidP="00B43D36">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6/10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5/10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7/10)</w:t>
            </w:r>
          </w:p>
          <w:p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hAnsiTheme="majorBidi" w:cstheme="majorBidi"/>
              </w:rPr>
              <w:t>WHOQOL: 55/100</w:t>
            </w:r>
            <w:r w:rsidR="00C93CCE" w:rsidRPr="00E05D0F">
              <w:rPr>
                <w:rFonts w:asciiTheme="majorBidi" w:hAnsiTheme="majorBidi" w:cstheme="majorBidi"/>
              </w:rPr>
              <w:t xml:space="preserve">, HbA1c: </w:t>
            </w:r>
            <w:r w:rsidR="00D0235C" w:rsidRPr="00E05D0F">
              <w:rPr>
                <w:rFonts w:asciiTheme="majorBidi" w:hAnsiTheme="majorBidi" w:cstheme="majorBidi"/>
              </w:rPr>
              <w:t>8</w:t>
            </w:r>
            <w:r w:rsidR="00C93CCE" w:rsidRPr="00E05D0F">
              <w:rPr>
                <w:rFonts w:asciiTheme="majorBidi" w:hAnsiTheme="majorBidi" w:cstheme="majorBidi"/>
              </w:rPr>
              <w:t>.2%</w:t>
            </w:r>
          </w:p>
        </w:tc>
      </w:tr>
    </w:tbl>
    <w:p w:rsidR="0086491D" w:rsidRDefault="0086491D" w:rsidP="007E4D2B">
      <w:pPr>
        <w:spacing w:line="360" w:lineRule="auto"/>
        <w:jc w:val="both"/>
        <w:rPr>
          <w:rFonts w:asciiTheme="majorBidi" w:eastAsia="Times New Roman" w:hAnsiTheme="majorBidi" w:cstheme="majorBidi"/>
          <w:kern w:val="0"/>
        </w:rPr>
      </w:pPr>
    </w:p>
    <w:p w:rsidR="00D5229E" w:rsidRPr="00E05D0F" w:rsidRDefault="00D5229E" w:rsidP="00C64AED">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 xml:space="preserve">Discussion </w:t>
      </w:r>
    </w:p>
    <w:p w:rsidR="00E81394" w:rsidRPr="00E05D0F" w:rsidRDefault="00E81394" w:rsidP="00EE6E73">
      <w:pPr>
        <w:pStyle w:val="NormalWeb"/>
        <w:spacing w:before="0" w:beforeAutospacing="0" w:after="0" w:afterAutospacing="0" w:line="360" w:lineRule="auto"/>
        <w:jc w:val="both"/>
      </w:pPr>
      <w:r w:rsidRPr="00E05D0F">
        <w:t>The present case series evaluated the therapeutic efficacy of two Unani formulations, QZK and HA</w:t>
      </w:r>
      <w:r w:rsidR="00144B7C" w:rsidRPr="00E05D0F">
        <w:t>,</w:t>
      </w:r>
      <w:r w:rsidRPr="00E05D0F">
        <w:t xml:space="preserve"> in DPN, a condition that </w:t>
      </w:r>
      <w:r w:rsidR="00144B7C" w:rsidRPr="00E05D0F">
        <w:t xml:space="preserve">is </w:t>
      </w:r>
      <w:r w:rsidRPr="00E05D0F">
        <w:t>often treated symptomatically</w:t>
      </w:r>
      <w:r w:rsidR="00144B7C" w:rsidRPr="00E05D0F">
        <w:t xml:space="preserve"> in allopathic medicine but has</w:t>
      </w:r>
      <w:r w:rsidRPr="00E05D0F">
        <w:t xml:space="preserve"> side effects and poor tolerability leading to discontinuation.</w:t>
      </w:r>
      <w:r w:rsidR="008F170E" w:rsidRPr="00E05D0F">
        <w:t xml:space="preserve"> </w:t>
      </w:r>
      <w:r w:rsidR="00565B6D" w:rsidRPr="00A21E76">
        <w:rPr>
          <w:vertAlign w:val="superscript"/>
        </w:rPr>
        <w:fldChar w:fldCharType="begin"/>
      </w:r>
      <w:r w:rsidR="008F170E" w:rsidRPr="00A21E76">
        <w:rPr>
          <w:vertAlign w:val="superscript"/>
        </w:rPr>
        <w:instrText xml:space="preserve"> ADDIN ZOTERO_ITEM CSL_CITATION {"citationID":"9sqSek8I","properties":{"formattedCitation":"(1,21)","plainCitation":"(1,21)","noteIndex":0},"citationItems":[{"id":56,"uris":["http://zotero.org/users/local/IUvTSyB4/items/GQAI56RL"],"itemData":{"id":56,"type":"book","abstract":"Diabetic neuropathies are the most common chronic complications of diabetes, with an estimated lifetime prevalence exceeding 50% in people with diabetes. Among various forms of neuropathy, diabetic peripheral neuropathy (DPN) is the most common and has the strongest evidence base regarding therapeutic approaches. This American Diabetes Association clinical compendium summarizes the latest information about screening for, diagnosing, and treating painful DPN in routine clinical practice. It opens with an overview of the epidemiology of DPN, followed by a description of the pathophysiology of the disease and its often severely painful symptoms. The authors recommend a stepwise approach to effectively diagnose DPN and offer a novel perspective on the impact of social determinants of health on the development and management of DPN. They summarizes the latest guidance on effective therapies, including pharmacological oral and topical agents, nutraceutical products, and nonpharmacological therapies, including physical activity and dietary interventions, passive modalities, and energy or nerve stimulation techniques. Throughout the publication, the authors identify knowledge gaps that need to be addressed and advocate a personalized care approach to reduce the burden of painful DPN and optimize quality of life for individuals affected by it.","call-number":"NBK580224","collection-title":"ADA Clinical Compendia Series","event-place":"Arlington (VA)","language":"eng","license":"© 2022 by American Diabetes Association. All rights reserved. None of the contents may be reproduced without the written permission of the American Diabetes Association.","note":"PMID: 35544662","publisher":"American Diabetes Association","publisher-place":"Arlington (VA)","source":"PubMed","title":"Diagnosis and Treatment of Painful Diabetic Peripheral Neuropathy","URL":"http://www.ncbi.nlm.nih.gov/books/NBK580224/","author":[{"family":"Pop-Busui","given":"Rodica"},{"family":"Ang","given":"Lynn"},{"family":"Boulton","given":"Andrew J. M."},{"family":"Feldman","given":"Eva L."},{"family":"Marcus","given":"Robin L."},{"family":"Mizokami-Stout","given":"Kara"},{"family":"Singleton","given":"J. Robinson"},{"family":"Ziegler","given":"Dan"}],"accessed":{"date-parts":[["2025",7,8]]},"issued":{"date-parts":[["2022"]]}}},{"id":109,"uris":["http://zotero.org/users/local/IUvTSyB4/items/USQXZHMS"],"itemData":{"id":109,"type":"webpage","title":"Diabetic Peripheral Neuropathy: Epidemiology, Diagnosis, and Pharmacotherapy - PubMed","URL":"https://pubmed.ncbi.nlm.nih.gov/29709457/","accessed":{"date-parts":[["2025",7,30]]}}}],"schema":"https://github.com/citation-style-language/schema/raw/master/csl-citation.json"} </w:instrText>
      </w:r>
      <w:r w:rsidR="00565B6D" w:rsidRPr="00A21E76">
        <w:rPr>
          <w:vertAlign w:val="superscript"/>
        </w:rPr>
        <w:fldChar w:fldCharType="separate"/>
      </w:r>
      <w:r w:rsidR="00A21E76" w:rsidRPr="00A21E76">
        <w:rPr>
          <w:vertAlign w:val="superscript"/>
        </w:rPr>
        <w:t>[</w:t>
      </w:r>
      <w:r w:rsidR="008F170E" w:rsidRPr="00A21E76">
        <w:rPr>
          <w:vertAlign w:val="superscript"/>
        </w:rPr>
        <w:t>1,21</w:t>
      </w:r>
      <w:r w:rsidR="00565B6D" w:rsidRPr="00A21E76">
        <w:rPr>
          <w:vertAlign w:val="superscript"/>
        </w:rPr>
        <w:fldChar w:fldCharType="end"/>
      </w:r>
      <w:r w:rsidR="00A21E76" w:rsidRPr="00A21E76">
        <w:rPr>
          <w:vertAlign w:val="superscript"/>
        </w:rPr>
        <w:t>]</w:t>
      </w:r>
      <w:r w:rsidRPr="00E05D0F">
        <w:t xml:space="preserve"> The polyherbal formulation QZK includes ingredients such as </w:t>
      </w:r>
      <w:r w:rsidRPr="00E05D0F">
        <w:rPr>
          <w:i/>
          <w:iCs/>
        </w:rPr>
        <w:t>Tinospora cordifolia</w:t>
      </w:r>
      <w:r w:rsidRPr="00E05D0F">
        <w:t xml:space="preserve">, </w:t>
      </w:r>
      <w:r w:rsidRPr="00E05D0F">
        <w:rPr>
          <w:i/>
          <w:iCs/>
        </w:rPr>
        <w:t>Eugenia jambolana</w:t>
      </w:r>
      <w:r w:rsidRPr="00E05D0F">
        <w:t xml:space="preserve">, and </w:t>
      </w:r>
      <w:r w:rsidRPr="00E05D0F">
        <w:rPr>
          <w:i/>
          <w:iCs/>
        </w:rPr>
        <w:t>Gymnema sylvestre</w:t>
      </w:r>
      <w:r w:rsidRPr="00E05D0F">
        <w:t>, which have documented anti</w:t>
      </w:r>
      <w:r w:rsidR="00144B7C" w:rsidRPr="00E05D0F">
        <w:t>-</w:t>
      </w:r>
      <w:r w:rsidRPr="00E05D0F">
        <w:t>diabetic, anti-inflammatory, and antioxidant properties</w:t>
      </w:r>
      <w:r w:rsidR="008F170E" w:rsidRPr="00E05D0F">
        <w:t xml:space="preserve">. </w:t>
      </w:r>
      <w:r w:rsidR="00565B6D" w:rsidRPr="008858E4">
        <w:rPr>
          <w:vertAlign w:val="superscript"/>
        </w:rPr>
        <w:fldChar w:fldCharType="begin"/>
      </w:r>
      <w:r w:rsidR="008F170E" w:rsidRPr="008858E4">
        <w:rPr>
          <w:vertAlign w:val="superscript"/>
        </w:rPr>
        <w:instrText xml:space="preserve"> ADDIN ZOTERO_ITEM CSL_CITATION {"citationID":"3A2FN2Q6","properties":{"formattedCitation":"(12\\uc0\\u8211{}14)","plainCitation":"(12–14)","noteIndex":0},"citationItems":[{"id":87,"uris":["http://zotero.org/users/local/IUvTSyB4/items/9C65MHWV"],"itemData":{"id":87,"type":"article-journal","abstract":"Tinospora cordifolia is a well reported plant possessing numerous medicinal values including anti-diabetic property. Aim of the present study is to study the mechanism of action of Tinospora cordifolia and its active compound in differentiated myocytes, L6 cells. Key marker of diabetes in cells is the insulin dependent glucose transporter-4 (Glut-4) which also responds to exogenous chemicals, and is over expressed up to 5- and 4-fold, by Tinospora cordifolia and palmatine, respectively. Next to Glut-4, the predominant protein influencing glucose metabolism is PPARα and γ whose expressions were also positively modulated. Further, the inhibitors of insulin pathway prevented glucose uptake mediated by Tinospora cordifolia and palmatine which shows that the activity is majorly mediated through insulin pathway.","container-title":"Phytomedicine: International Journal of Phytotherapy and Phytopharmacology","DOI":"10.1016/j.phymed.2012.11.006","ISSN":"1618-095X","issue":"3-4","journalAbbreviation":"Phytomedicine","language":"eng","note":"PMID: 23290487","page":"246-248","source":"PubMed","title":"Anti-diabetic property of Tinospora cordifolia and its active compound is mediated through the expression of Glut-4 in L6 myotubes","volume":"20","author":[{"family":"Sangeetha","given":"M. K."},{"family":"Priya","given":"C. D. Mohana"},{"family":"Vasanthi","given":"Hannah R."}],"issued":{"date-parts":[["2013",2,15]]}}},{"id":89,"uris":["http://zotero.org/users/local/IUvTSyB4/items/JG2FPMVX"],"itemData":{"id":89,"type":"article-journal","abstract":"The present study evaluated the hypoglycemic activity of different parts of Eugenia jambolana seeds such as whole seed, kernel, and seed coat on streptozotocin-induced diabetic rats. Administration of the ethanolic extract of kernel at a concentration of 100 mg/kg of body weight significantly decreased the levels of blood glucose, blood urea, and cholesterol, increased glucose tolerance and levels of total proteins and liver glycogen, and decreased the activities of glutamate oxaloacetate transaminase and glutamate pyruvate transaminase in experimental diabetic rats. Whole seed showed a moderate hypoglycemic effect, and seed coat did not show any hypoglycemic effect. The hypoglycemic efficacy was compared with that of glibenclamide, a standard hypoglycemic drug.","container-title":"Journal of Medicinal Food","DOI":"10.1089/1096620041224067","ISSN":"1096-620X","issue":"2","journalAbbreviation":"J Med Food","language":"eng","note":"PMID: 15298766","page":"187-191","source":"PubMed","title":"Anti-diabetic activity of Eugenia jambolana seed kernels on streptozotocin-induced diabetic rats","volume":"7","author":[{"family":"Ravi","given":"K."},{"family":"Sivagnanam","given":"K."},{"family":"Subramanian","given":"S."}],"issued":{"date-parts":[["2004"]]}}},{"id":91,"uris":["http://zotero.org/users/local/IUvTSyB4/items/L7M6U4DZ"],"itemData":{"id":91,"type":"article-journal","abstract":"The effectiveness of GS4, an extract from the leaves of Gymnema sylvestre, in controlling hyperglycaemia was investigated in 22 Type 2 diabetic patients on conventional oral anti-hyperglycaemic agents. GS4 (400 mg/day) was administered for 18-20 months as a supplement to the conventional oral drugs. During GS4 supplementation, the patients showed a significant reduction in blood glucose, glycosylated haemoglobin and glycosylated plasma proteins, and conventional drug dosage could be decreased. Five of the 22 diabetic patients were able to discontinue their conventional drug and maintain their blood glucose homeostasis with GS4 alone. These data suggest that the beta cells may be regenerated/repaired in Type 2 diabetic patients on GS4 supplementation. This is supported by the appearance of raised insulin levels in the serum of patients after GS4 supplementation.","container-title":"Journal of Ethnopharmacology","DOI":"10.1016/0378-8741(90)90108-6","ISSN":"0378-8741","issue":"3","journalAbbreviation":"J Ethnopharmacol","language":"eng","note":"PMID: 2259217","page":"295-300","source":"PubMed","title":"Antidiabetic effect of a leaf extract from Gymnema sylvestre in non-insulin-dependent diabetes mellitus patients","volume":"30","author":[{"family":"Baskaran","given":"K."},{"family":"Kizar Ahamath","given":"B."},{"family":"Radha Shanmugasundaram","given":"K."},{"family":"Shanmugasundaram","given":"E. R."}],"issued":{"date-parts":[["1990",10]]}}}],"schema":"https://github.com/citation-style-language/schema/raw/master/csl-citation.json"} </w:instrText>
      </w:r>
      <w:r w:rsidR="00565B6D" w:rsidRPr="008858E4">
        <w:rPr>
          <w:vertAlign w:val="superscript"/>
        </w:rPr>
        <w:fldChar w:fldCharType="separate"/>
      </w:r>
      <w:r w:rsidR="008858E4" w:rsidRPr="008858E4">
        <w:rPr>
          <w:vertAlign w:val="superscript"/>
        </w:rPr>
        <w:t>[</w:t>
      </w:r>
      <w:r w:rsidR="008F170E" w:rsidRPr="008858E4">
        <w:rPr>
          <w:vertAlign w:val="superscript"/>
        </w:rPr>
        <w:t>12–14</w:t>
      </w:r>
      <w:r w:rsidR="00565B6D" w:rsidRPr="008858E4">
        <w:rPr>
          <w:vertAlign w:val="superscript"/>
        </w:rPr>
        <w:fldChar w:fldCharType="end"/>
      </w:r>
      <w:r w:rsidR="008858E4" w:rsidRPr="008858E4">
        <w:rPr>
          <w:vertAlign w:val="superscript"/>
        </w:rPr>
        <w:t>]</w:t>
      </w:r>
      <w:r w:rsidRPr="00E05D0F">
        <w:t xml:space="preserve"> The significant reduction in HbA1c levels in </w:t>
      </w:r>
      <w:r w:rsidR="00646BC8" w:rsidRPr="00E05D0F">
        <w:t xml:space="preserve">all three cases </w:t>
      </w:r>
      <w:r w:rsidRPr="00E05D0F">
        <w:t xml:space="preserve">could be attributed to the synergistic glucose-lowering potential of these components. Improved glycemic control is </w:t>
      </w:r>
      <w:r w:rsidR="00144B7C" w:rsidRPr="00E05D0F">
        <w:t xml:space="preserve">the </w:t>
      </w:r>
      <w:r w:rsidRPr="00E05D0F">
        <w:t>cornerstone of halting the progression of DPN by reducing hypergly</w:t>
      </w:r>
      <w:r w:rsidR="008858E4">
        <w:t xml:space="preserve">cemia-induced oxidative stress </w:t>
      </w:r>
      <w:r w:rsidR="008858E4" w:rsidRPr="008858E4">
        <w:rPr>
          <w:vertAlign w:val="superscript"/>
        </w:rPr>
        <w:t>[</w:t>
      </w:r>
      <w:r w:rsidRPr="008858E4">
        <w:rPr>
          <w:vertAlign w:val="superscript"/>
        </w:rPr>
        <w:t>4</w:t>
      </w:r>
      <w:r w:rsidR="008858E4" w:rsidRPr="008858E4">
        <w:rPr>
          <w:vertAlign w:val="superscript"/>
        </w:rPr>
        <w:t>]</w:t>
      </w:r>
      <w:r w:rsidRPr="00E05D0F">
        <w:t>. These outcomes mirror the findings of Nasir et al.</w:t>
      </w:r>
      <w:r w:rsidR="00336FB5">
        <w:t xml:space="preserve"> 2024</w:t>
      </w:r>
      <w:r w:rsidRPr="00E05D0F">
        <w:t xml:space="preserve"> case report, in which Unani medications resulted in significant glycemic control and symptomatic relief in T2DM patients </w:t>
      </w:r>
      <w:r w:rsidR="00144B7C" w:rsidRPr="00E05D0F">
        <w:t xml:space="preserve">who were </w:t>
      </w:r>
      <w:r w:rsidRPr="00E05D0F">
        <w:t>resistant to modern anti</w:t>
      </w:r>
      <w:r w:rsidR="00144B7C" w:rsidRPr="00E05D0F">
        <w:t>-</w:t>
      </w:r>
      <w:r w:rsidRPr="00E05D0F">
        <w:t>diabetic therapy</w:t>
      </w:r>
      <w:r w:rsidR="001630EC" w:rsidRPr="00E05D0F">
        <w:t>.</w:t>
      </w:r>
      <w:r w:rsidRPr="00E05D0F">
        <w:t xml:space="preserve"> </w:t>
      </w:r>
      <w:r w:rsidR="00565B6D" w:rsidRPr="00EE6E73">
        <w:rPr>
          <w:vertAlign w:val="superscript"/>
        </w:rPr>
        <w:fldChar w:fldCharType="begin"/>
      </w:r>
      <w:r w:rsidR="008F170E" w:rsidRPr="00EE6E73">
        <w:rPr>
          <w:vertAlign w:val="superscript"/>
        </w:rPr>
        <w:instrText xml:space="preserve"> ADDIN ZOTERO_ITEM CSL_CITATION {"citationID":"yvh6302g","properties":{"formattedCitation":"(22)","plainCitation":"(22)","noteIndex":0},"citationItems":[{"id":111,"uris":["http://zotero.org/users/local/IUvTSyB4/items/Z9SG497V"],"itemData":{"id":111,"type":"article-journal","abstract":"This case report highlights the potential effectiveness of Unani medications in managing T2DM, suggesting its viability as a treatment option within a comprehensive diabetes management strategy. The patient's positive response underscores Unani medicine's potential not only as a complementary treatm …","container-title":"Advances in mind-body medicine","ISSN":"1470-3556","issue":"4","language":"en","note":"publisher: Adv Mind Body Med\nPMID: 39447126","source":"pubmed.ncbi.nlm.nih.gov","title":"Effective Management of Type-2 Diabetes Mellitus with Unani Medications: A Case Report","title-short":"Effective Management of Type-2 Diabetes Mellitus with Unani Medications","URL":"https://pubmed.ncbi.nlm.nih.gov/39447126/","volume":"38","author":[{"family":"F","given":"Nasir"},{"family":"M","given":"Itrat"},{"family":"F","given":"Shahabuddin"},{"family":"S","given":"Nikhat"}],"accessed":{"date-parts":[["2025",7,30]]},"issued":{"date-parts":[["2024"]]}}}],"schema":"https://github.com/citation-style-language/schema/raw/master/csl-citation.json"} </w:instrText>
      </w:r>
      <w:r w:rsidR="00565B6D" w:rsidRPr="00EE6E73">
        <w:rPr>
          <w:vertAlign w:val="superscript"/>
        </w:rPr>
        <w:fldChar w:fldCharType="separate"/>
      </w:r>
      <w:r w:rsidR="00EE6E73" w:rsidRPr="00EE6E73">
        <w:rPr>
          <w:vertAlign w:val="superscript"/>
        </w:rPr>
        <w:t>[</w:t>
      </w:r>
      <w:r w:rsidR="008F170E" w:rsidRPr="00EE6E73">
        <w:rPr>
          <w:vertAlign w:val="superscript"/>
        </w:rPr>
        <w:t>22</w:t>
      </w:r>
      <w:r w:rsidR="00565B6D" w:rsidRPr="00EE6E73">
        <w:rPr>
          <w:vertAlign w:val="superscript"/>
        </w:rPr>
        <w:fldChar w:fldCharType="end"/>
      </w:r>
      <w:r w:rsidR="00EE6E73" w:rsidRPr="00EE6E73">
        <w:rPr>
          <w:vertAlign w:val="superscript"/>
        </w:rPr>
        <w:t>]</w:t>
      </w:r>
      <w:r w:rsidRPr="00E05D0F">
        <w:t xml:space="preserve"> In addition, a preclinical study in streptozotocin-induced diabetic rats showed significant glucose-lowering and pancreatic tissue restoration by QZK, indicating its potential in attenuating </w:t>
      </w:r>
      <w:r w:rsidR="00144B7C" w:rsidRPr="00E05D0F">
        <w:t xml:space="preserve">the </w:t>
      </w:r>
      <w:r w:rsidRPr="00E05D0F">
        <w:t>metabolic stress implicated in DPN by regulating glycemic levels and reducing oxidative burden.</w:t>
      </w:r>
      <w:r w:rsidR="008F170E" w:rsidRPr="00E05D0F">
        <w:t xml:space="preserve"> </w:t>
      </w:r>
      <w:r w:rsidR="00565B6D" w:rsidRPr="00EE6E73">
        <w:rPr>
          <w:vertAlign w:val="superscript"/>
        </w:rPr>
        <w:fldChar w:fldCharType="begin"/>
      </w:r>
      <w:r w:rsidR="008F170E" w:rsidRPr="00EE6E73">
        <w:rPr>
          <w:vertAlign w:val="superscript"/>
        </w:rPr>
        <w:instrText xml:space="preserve"> ADDIN ZOTERO_ITEM CSL_CITATION {"citationID":"qcYNgQAp","properties":{"formattedCitation":"(23)","plainCitation":"(23)","noteIndex":0},"citationItems":[{"id":114,"uris":["http://zotero.org/users/local/IUvTSyB4/items/P5CAQ5T9"],"itemData":{"id":114,"type":"article-journal","abstract":"A polyherbal Unani formulation, Qurs-e-Ziabetus (QZ), is mentioned in Unani literature for managing diabetes-like conditions. This study aimed to evaluate the antidiabetic activity of QZ, which is mentioned in classical Unani literature, in nicotinamide-streptozotocin-induced diabetes in Sprague...","DOI":"10.53365/nrfhh/199578","language":"en","source":"www.nrfhh.com","title":"Blood Glucose-Lowering Activity of Compound Herbo-Mineral Unani Formulation Qurs-e-Ziabetus in Nicotinamide-Streptozotocin-induced Diabetic Rats","URL":"https://www.nrfhh.com/Blood-Glucose-Lowering-Activity-of-Compound-Herbo-Mineral-Unani-Formulation-Qurs,199578,0,2.html","author":[{"family":"Ahmed","given":"Tabrez"},{"family":"Vinay","given":"Enumula"},{"family":"Naikodi","given":"Mohammed Abdul Rasheed"},{"family":"Siddiqui","given":"Javed Inam"},{"family":"Dwivedi","given":"Durgesh Kumar"},{"family":"Munshi","given":"Younis Iftikhar"},{"family":"Viquar","given":"Uzma"},{"family":"Husain","given":"Gulam Mohammed"}],"accessed":{"date-parts":[["2025",7,30]]}}}],"schema":"https://github.com/citation-style-language/schema/raw/master/csl-citation.json"} </w:instrText>
      </w:r>
      <w:r w:rsidR="00565B6D" w:rsidRPr="00EE6E73">
        <w:rPr>
          <w:vertAlign w:val="superscript"/>
        </w:rPr>
        <w:fldChar w:fldCharType="separate"/>
      </w:r>
      <w:r w:rsidR="00EE6E73" w:rsidRPr="00EE6E73">
        <w:rPr>
          <w:vertAlign w:val="superscript"/>
        </w:rPr>
        <w:t>[</w:t>
      </w:r>
      <w:r w:rsidR="008F170E" w:rsidRPr="00EE6E73">
        <w:rPr>
          <w:vertAlign w:val="superscript"/>
        </w:rPr>
        <w:t>23</w:t>
      </w:r>
      <w:r w:rsidR="00565B6D" w:rsidRPr="00EE6E73">
        <w:rPr>
          <w:vertAlign w:val="superscript"/>
        </w:rPr>
        <w:fldChar w:fldCharType="end"/>
      </w:r>
      <w:r w:rsidR="00EE6E73" w:rsidRPr="00EE6E73">
        <w:rPr>
          <w:vertAlign w:val="superscript"/>
        </w:rPr>
        <w:t>]</w:t>
      </w:r>
      <w:r w:rsidRPr="00E05D0F">
        <w:t xml:space="preserve"> HA, on the other hand, is a neurocentric formulation that includes </w:t>
      </w:r>
      <w:r w:rsidRPr="00E05D0F">
        <w:rPr>
          <w:i/>
          <w:iCs/>
        </w:rPr>
        <w:t>Strychnos nux-vomica</w:t>
      </w:r>
      <w:r w:rsidRPr="00E05D0F">
        <w:t xml:space="preserve"> (detoxified), </w:t>
      </w:r>
      <w:r w:rsidRPr="00E05D0F">
        <w:rPr>
          <w:i/>
          <w:iCs/>
        </w:rPr>
        <w:t>Paeonia emodi</w:t>
      </w:r>
      <w:r w:rsidRPr="00E05D0F">
        <w:t xml:space="preserve">, and </w:t>
      </w:r>
      <w:r w:rsidRPr="00E05D0F">
        <w:rPr>
          <w:i/>
          <w:iCs/>
        </w:rPr>
        <w:t>Cinnamomum zeylanicum</w:t>
      </w:r>
      <w:r w:rsidRPr="00E05D0F">
        <w:t>, which exhibit neuroprotective, anti-inflamm</w:t>
      </w:r>
      <w:r w:rsidR="008F170E" w:rsidRPr="00E05D0F">
        <w:t xml:space="preserve">atory, and analgesic activities. </w:t>
      </w:r>
      <w:r w:rsidR="00565B6D" w:rsidRPr="00EE6E73">
        <w:rPr>
          <w:vertAlign w:val="superscript"/>
        </w:rPr>
        <w:fldChar w:fldCharType="begin"/>
      </w:r>
      <w:r w:rsidR="008F170E" w:rsidRPr="00EE6E73">
        <w:rPr>
          <w:vertAlign w:val="superscript"/>
        </w:rPr>
        <w:instrText xml:space="preserve"> ADDIN ZOTERO_ITEM CSL_CITATION {"citationID":"HcpPORLE","properties":{"formattedCitation":"(16\\uc0\\u8211{}18)","plainCitation":"(16–18)","noteIndex":0},"citationItems":[{"id":95,"uris":["http://zotero.org/users/local/IUvTSyB4/items/RXPTEKD7"],"itemData":{"id":95,"type":"article-journal","abstract":"BACKGROUND: Peripheral nerve injury is a debilitating condition that may lead to partial or complete motor, sensory and autonomic function loss and lacks effective therapy until date. Therefore, it is quite imperative to explore impending remedies for rapid and accurate functional retrieval following such conditions. Natural product-based intervention can prove effective to facilitate the process of functions regain.\nMETHODS: Here, we investigated the effect of processed Strychnos nux-vomica seeds at a dose of 250 mg/kg body weight in a mouse model of induced Sciatic nerve lesion in promoting the recovery of the functions. A compression injury was induced in the Sciatic nerve of the right leg in the mice. Sensory function recovery was evaluated by hot-plate and formalin tests, whereas the motor function retrieval was assessed by measuring muscle grip strength, sciatic functional index, and muscle mass restoration. Oxidative stress and blood cell count were measured by biochemistry and haematological analyses.\nRESULTS: This study indicates that Strychnos nux-vomica seeds enhance the rate of recovery of both sensory and motor functions. It helps restore the muscle mass, attenuates total oxidant status and enhances the total anti-oxidant capacity of the biological system. Moreover, the treated animals manifested an enhanced glucose tolerance aptitude and augmented granulocyte and platelet counts. Improved oxidant control, enhanced glucose sensitivity and amended granulocyte and platelet counts are likely to contribute to the advantageous effects of Strychnos nux-vomica, and warrant further in-depth studies for deciphering possible mechanisms and identification of active constituent(s) responsible for these effects.\nCONCLUSION: Strychnos nux-vomica seed offers functional recovery promoting effects following a mechanical injury to the Sciatic nerve and the possible reasons behind this effect can be reduced oxidative stress and improved glycaemic control. Further and detailed investigations can unravel this mystery.","container-title":"BMC complementary medicine and therapies","DOI":"10.1186/s12906-020-02950-3","ISSN":"2662-7671","issue":"1","journalAbbreviation":"BMC Complement Med Ther","language":"eng","note":"PMID: 32527244\nPMCID: PMC7291632","page":"181","source":"PubMed","title":"Strychnos nux-vomica L. seed preparation promotes functional recovery and attenuates oxidative stress in a mouse model of sciatic nerve crush injury","volume":"20","author":[{"family":"Razzaq","given":"Aroona"},{"family":"Hussain","given":"Ghulam"},{"family":"Rasul","given":"Azhar"},{"family":"Xu","given":"Jiaqi"},{"family":"Zhang","given":"Qiqi"},{"family":"Malik","given":"Shoaib Ahmad"},{"family":"Anwar","given":"Haseeb"},{"family":"Aziz","given":"Nimra"},{"family":"Braidy","given":"Nady"},{"family":"Aguilar","given":"Jose-Luis Gonzalez","non-dropping-particle":"de"},{"family":"Wei","given":"Wei"},{"family":"Li","given":"Jiang"},{"family":"Li","given":"Xiaomeng"}],"issued":{"date-parts":[["2020",6,11]]}}},{"id":98,"uris":["http://zotero.org/users/local/IUvTSyB4/items/FWRTDEJP"],"itemData":{"id":98,"type":"article-journal","abstract":"Paeonia emodi (Peony) is a well known Himalayan medicinal plant used in the treatment of hypertension, palpitations, asthma, uterine diseases, colic, bilious obstructions and has also been used as an anticoagulant. Many of these ethnomedicinal properties have been experimentally proven in different animal models. The present work reviews the ethnopharmacology, therapeutic potential and phytochemistry of P. emodi. Different classes of natural products like triterpenoids, monoterpenoids, phenolics and tannins have been isolated from the species. These compounds possess wide therapeutic profile like cardiovascular and airway relaxant, lipoxygenase and β-Glucuronidase inhibitory and free radical scavenging properties.","container-title":"Phytochemistry Letters","DOI":"10.1016/j.phytol.2013.03.003","ISSN":"1874-3900","issue":"2","journalAbbreviation":"Phytochemistry Letters","page":"261-266","source":"ScienceDirect","title":"&lt;i&gt;Paeonia emodi&lt;/i&gt; Royle: Ethnomedicinal uses, phytochemistry and pharmacology","title-short":"&lt;i&gt;Paeonia emodi&lt;/i&gt; Royle","volume":"6","author":[{"family":"Zargar","given":"Bilal A."},{"family":"Masoodi","given":"Mubashir H."},{"family":"Khan","given":"Bahar Ahmed"},{"family":"Akbar","given":"Seema"}],"issued":{"date-parts":[["2013",5,1]]}}},{"id":100,"uris":["http://zotero.org/users/local/IUvTSyB4/items/AB2V9V3S"],"itemData":{"id":100,"type":"article-journal","abstract":"BACKGROUND: Previous studies have explored the anti-diabetic effects of Cinnamomum cassia extract in vivo and in vitro. However, there are no studies at present exploring the effects of the indigenous species of Sri Lankan cinnamon (Cinnamomum zeylanicum) in patients with diabetes mellitus. The present study aims to evaluate the potential effects of Cinnamomum zeylanicum extract as a pharmaceutical agent in patients with type-2 diabetes mellitus.\nMETHODS/DESIGN: The study will be conducted as a randomized, double-blind, placebo-controlled clinical trial for a period of 4 months at the Medical Clinic, University Medical Unit, National Hospital of Sri Lanka. A total of 210 subjects with diabetes, in three equal groups, will be recruited for the study. The patients will be randomized in a 1:1:1 ratio according to the method of block randomization and the subjects will be randomly and equally assigned into two test groups (n = 70 each) and one placebo group (n = 70). The population will be stratified at randomization based on age, gender and disease severity. The treatment drug is a capsule containing Cinnamomum zeylanicum extract as the active ingredient and the placebo capsule will contain lactose monohydrate. Two doses of Cinnamomum zeylanicum extracts (250 mg and 500 mg of the cinnamon extract) will be used. The study drugs will be double blinded to both investigators and participants. The visits and the evaluations will be done as follows: screening (visit 0), 1 month (visit 1), 2 months (visit 2), 3 months (visit 3) and 4 months (visit 4). The following primary outcome measures will be evaluated: glycosylated hemoglobin (HbA1c), fasting plasma glucose (FPG) and serum insulin. Secondary outcome measures include: Body Mass Index (BMI) and other anthropometric parameters, blood pressure, total cholesterol, low-density lipoprotein cholesterol (LDL), high-density lipoprotein cholesterol (HDL) and triglycerides (TAG). Data will be analyzed using SPSS version 14.\nDISCUSSION: We describe the protocol for a clinical trial design evaluating the effects of Cinnamomum zeylanicum (Ceylon cinnamon) in patients with type-2 diabetes mellitus. The result of the present study, positive or negative, should provide a step change in the evidence guiding current and future policies regarding the use of cinnamon dietary supplementation in patients with diabetes.\nTRIAL REGISTRATION: Sri Lanka Clinical Trials Registry (SLCTR), identifier: SLCTR/2017/010 ( http://slctr.lk/trials/714 ). Registered on 5 April 2017; study protocol version 3.1 21 March 2017.","container-title":"Trials","DOI":"10.1186/s13063-017-2192-0","ISSN":"1745-6215","issue":"1","journalAbbreviation":"Trials","language":"eng","note":"PMID: 28962661\nPMCID: PMC5622575","page":"446","source":"PubMed","title":"Cinnamomum zeylanicum (Ceylon cinnamon) as a potential pharmaceutical agent for type-2 diabetes mellitus: study protocol for a randomized controlled trial","title-short":"Cinnamomum zeylanicum (Ceylon cinnamon) as a potential pharmaceutical agent for type-2 diabetes mellitus","volume":"18","author":[{"family":"Ranasinghe","given":"Priyanga"},{"family":"Galappaththy","given":"Priyadarshani"},{"family":"Constantine","given":"Godwin Roger"},{"family":"Jayawardena","given":"Ranil"},{"family":"Weeratunga","given":"Hasitha Dhananjaya"},{"family":"Premakumara","given":"Sirimal"},{"family":"Katulanda","given":"Prasad"}],"issued":{"date-parts":[["2017",9,29]]}}}],"schema":"https://github.com/citation-style-language/schema/raw/master/csl-citation.json"} </w:instrText>
      </w:r>
      <w:r w:rsidR="00565B6D" w:rsidRPr="00EE6E73">
        <w:rPr>
          <w:vertAlign w:val="superscript"/>
        </w:rPr>
        <w:fldChar w:fldCharType="separate"/>
      </w:r>
      <w:r w:rsidR="00EE6E73" w:rsidRPr="00EE6E73">
        <w:rPr>
          <w:vertAlign w:val="superscript"/>
        </w:rPr>
        <w:t>[</w:t>
      </w:r>
      <w:r w:rsidR="008F170E" w:rsidRPr="00EE6E73">
        <w:rPr>
          <w:vertAlign w:val="superscript"/>
        </w:rPr>
        <w:t>16–18</w:t>
      </w:r>
      <w:r w:rsidR="00565B6D" w:rsidRPr="00EE6E73">
        <w:rPr>
          <w:vertAlign w:val="superscript"/>
        </w:rPr>
        <w:fldChar w:fldCharType="end"/>
      </w:r>
      <w:r w:rsidR="00EE6E73" w:rsidRPr="00EE6E73">
        <w:rPr>
          <w:vertAlign w:val="superscript"/>
        </w:rPr>
        <w:t>]</w:t>
      </w:r>
      <w:r w:rsidRPr="00E05D0F">
        <w:t xml:space="preserve"> The decline in VAS scores and improvement in WHOQOL-BREF scores across all three cases suggest that HA plays a central role in symptom alleviation, possibly through modulation of GABAergic pathways, reduction of oxidative stress, and anti-inflammatory mechanisms, which are key factors in DPN pathogenesis.</w:t>
      </w:r>
      <w:r w:rsidR="001630EC" w:rsidRPr="00E05D0F">
        <w:t xml:space="preserve"> </w:t>
      </w:r>
      <w:r w:rsidR="00565B6D" w:rsidRPr="00EE6E73">
        <w:rPr>
          <w:vertAlign w:val="superscript"/>
        </w:rPr>
        <w:fldChar w:fldCharType="begin"/>
      </w:r>
      <w:r w:rsidR="001630EC" w:rsidRPr="00EE6E73">
        <w:rPr>
          <w:vertAlign w:val="superscript"/>
        </w:rPr>
        <w:instrText xml:space="preserve"> ADDIN ZOTERO_ITEM CSL_CITATION {"citationID":"3esv4Wll","properties":{"formattedCitation":"(4,16,18)","plainCitation":"(4,16,18)","noteIndex":0},"citationItems":[{"id":63,"uris":["http://zotero.org/users/local/IUvTSyB4/items/KAK5EX5G"],"itemData":{"id":63,"type":"article-journal","abstract":"The pathogenesis of diabetic neuropathy is complex, and various pathogenic pathways have been proposed. A better understanding of the pathophysiology is warranted for developing novel therapeutic strategies. Here, we summarize recent evidence from experiments using animal models of type 1 and type 2 diabetes showing that low-grade intraneural inflammation is a facet of diabetic neuropathy. Our experimental data suggest that these mild inflammatory processes are a likely common terminal pathway in diabetic neuropathy associated with the degeneration of intraepidermal nerve fibers. In contrast to earlier reports claiming toxic effects of high-iron content, we found the opposite, i.e., nutritional iron deficiency caused low-grade inflammation and fiber degeneration while in normal or high non-heme iron nutrition no or only extremely mild inflammatory signs were identified in nerve tissue. Obesity and dyslipidemia also appear to trigger mild inflammation of peripheral nerves, associated with neuropathy even in the absence of overt diabetes mellitus. Our finding may be the experimental analog of recent observations identifying systemic proinflammatory activity in human sensorimotor diabetic neuropathy. In a rat model of type 1 diabetes, a mild neuropathy with inflammatory components could be induced by insulin treatment causing an abrupt reduction in HbA1c. This is in line with observations in patients with severe diabetes developing a small fiber neuropathy upon treatment-induced rapid HbA1c reduction. If the inflammatory pathogenesis could be further substantiated by data from human tissues and intervention studies, anti-inflammatory compounds with different modes of action may become candidates for the treatment or prevention of diabetic neuropathy.","container-title":"International Journal of Molecular Sciences","DOI":"10.3390/ijms221910835","ISSN":"1422-0067","issue":"19","journalAbbreviation":"Int J Mol Sci","language":"eng","note":"PMID: 34639176\nPMCID: PMC8509236","page":"10835","source":"PubMed","title":"Inflammatory Mechanisms in the Pathophysiology of Diabetic Peripheral Neuropathy (DN)-New Aspects","volume":"22","author":[{"family":"Baum","given":"Petra"},{"family":"Toyka","given":"Klaus V."},{"family":"Blüher","given":"Matthias"},{"family":"Kosacka","given":"Joanna"},{"family":"Nowicki","given":"Marcin"}],"issued":{"date-parts":[["2021",10,7]]}}},{"id":95,"uris":["http://zotero.org/users/local/IUvTSyB4/items/RXPTEKD7"],"itemData":{"id":95,"type":"article-journal","abstract":"BACKGROUND: Peripheral nerve injury is a debilitating condition that may lead to partial or complete motor, sensory and autonomic function loss and lacks effective therapy until date. Therefore, it is quite imperative to explore impending remedies for rapid and accurate functional retrieval following such conditions. Natural product-based intervention can prove effective to facilitate the process of functions regain.\nMETHODS: Here, we investigated the effect of processed Strychnos nux-vomica seeds at a dose of 250 mg/kg body weight in a mouse model of induced Sciatic nerve lesion in promoting the recovery of the functions. A compression injury was induced in the Sciatic nerve of the right leg in the mice. Sensory function recovery was evaluated by hot-plate and formalin tests, whereas the motor function retrieval was assessed by measuring muscle grip strength, sciatic functional index, and muscle mass restoration. Oxidative stress and blood cell count were measured by biochemistry and haematological analyses.\nRESULTS: This study indicates that Strychnos nux-vomica seeds enhance the rate of recovery of both sensory and motor functions. It helps restore the muscle mass, attenuates total oxidant status and enhances the total anti-oxidant capacity of the biological system. Moreover, the treated animals manifested an enhanced glucose tolerance aptitude and augmented granulocyte and platelet counts. Improved oxidant control, enhanced glucose sensitivity and amended granulocyte and platelet counts are likely to contribute to the advantageous effects of Strychnos nux-vomica, and warrant further in-depth studies for deciphering possible mechanisms and identification of active constituent(s) responsible for these effects.\nCONCLUSION: Strychnos nux-vomica seed offers functional recovery promoting effects following a mechanical injury to the Sciatic nerve and the possible reasons behind this effect can be reduced oxidative stress and improved glycaemic control. Further and detailed investigations can unravel this mystery.","container-title":"BMC complementary medicine and therapies","DOI":"10.1186/s12906-020-02950-3","ISSN":"2662-7671","issue":"1","journalAbbreviation":"BMC Complement Med Ther","language":"eng","note":"PMID: 32527244\nPMCID: PMC7291632","page":"181","source":"PubMed","title":"Strychnos nux-vomica L. seed preparation promotes functional recovery and attenuates oxidative stress in a mouse model of sciatic nerve crush injury","volume":"20","author":[{"family":"Razzaq","given":"Aroona"},{"family":"Hussain","given":"Ghulam"},{"family":"Rasul","given":"Azhar"},{"family":"Xu","given":"Jiaqi"},{"family":"Zhang","given":"Qiqi"},{"family":"Malik","given":"Shoaib Ahmad"},{"family":"Anwar","given":"Haseeb"},{"family":"Aziz","given":"Nimra"},{"family":"Braidy","given":"Nady"},{"family":"Aguilar","given":"Jose-Luis Gonzalez","non-dropping-particle":"de"},{"family":"Wei","given":"Wei"},{"family":"Li","given":"Jiang"},{"family":"Li","given":"Xiaomeng"}],"issued":{"date-parts":[["2020",6,11]]}}},{"id":100,"uris":["http://zotero.org/users/local/IUvTSyB4/items/AB2V9V3S"],"itemData":{"id":100,"type":"article-journal","abstract":"BACKGROUND: Previous studies have explored the anti-diabetic effects of Cinnamomum cassia extract in vivo and in vitro. However, there are no studies at present exploring the effects of the indigenous species of Sri Lankan cinnamon (Cinnamomum zeylanicum) in patients with diabetes mellitus. The present study aims to evaluate the potential effects of Cinnamomum zeylanicum extract as a pharmaceutical agent in patients with type-2 diabetes mellitus.\nMETHODS/DESIGN: The study will be conducted as a randomized, double-blind, placebo-controlled clinical trial for a period of 4 months at the Medical Clinic, University Medical Unit, National Hospital of Sri Lanka. A total of 210 subjects with diabetes, in three equal groups, will be recruited for the study. The patients will be randomized in a 1:1:1 ratio according to the method of block randomization and the subjects will be randomly and equally assigned into two test groups (n = 70 each) and one placebo group (n = 70). The population will be stratified at randomization based on age, gender and disease severity. The treatment drug is a capsule containing Cinnamomum zeylanicum extract as the active ingredient and the placebo capsule will contain lactose monohydrate. Two doses of Cinnamomum zeylanicum extracts (250 mg and 500 mg of the cinnamon extract) will be used. The study drugs will be double blinded to both investigators and participants. The visits and the evaluations will be done as follows: screening (visit 0), 1 month (visit 1), 2 months (visit 2), 3 months (visit 3) and 4 months (visit 4). The following primary outcome measures will be evaluated: glycosylated hemoglobin (HbA1c), fasting plasma glucose (FPG) and serum insulin. Secondary outcome measures include: Body Mass Index (BMI) and other anthropometric parameters, blood pressure, total cholesterol, low-density lipoprotein cholesterol (LDL), high-density lipoprotein cholesterol (HDL) and triglycerides (TAG). Data will be analyzed using SPSS version 14.\nDISCUSSION: We describe the protocol for a clinical trial design evaluating the effects of Cinnamomum zeylanicum (Ceylon cinnamon) in patients with type-2 diabetes mellitus. The result of the present study, positive or negative, should provide a step change in the evidence guiding current and future policies regarding the use of cinnamon dietary supplementation in patients with diabetes.\nTRIAL REGISTRATION: Sri Lanka Clinical Trials Registry (SLCTR), identifier: SLCTR/2017/010 ( http://slctr.lk/trials/714 ). Registered on 5 April 2017; study protocol version 3.1 21 March 2017.","container-title":"Trials","DOI":"10.1186/s13063-017-2192-0","ISSN":"1745-6215","issue":"1","journalAbbreviation":"Trials","language":"eng","note":"PMID: 28962661\nPMCID: PMC5622575","page":"446","source":"PubMed","title":"Cinnamomum zeylanicum (Ceylon cinnamon) as a potential pharmaceutical agent for type-2 diabetes mellitus: study protocol for a randomized controlled trial","title-short":"Cinnamomum zeylanicum (Ceylon cinnamon) as a potential pharmaceutical agent for type-2 diabetes mellitus","volume":"18","author":[{"family":"Ranasinghe","given":"Priyanga"},{"family":"Galappaththy","given":"Priyadarshani"},{"family":"Constantine","given":"Godwin Roger"},{"family":"Jayawardena","given":"Ranil"},{"family":"Weeratunga","given":"Hasitha Dhananjaya"},{"family":"Premakumara","given":"Sirimal"},{"family":"Katulanda","given":"Prasad"}],"issued":{"date-parts":[["2017",9,29]]}}}],"schema":"https://github.com/citation-style-language/schema/raw/master/csl-citation.json"} </w:instrText>
      </w:r>
      <w:r w:rsidR="00565B6D" w:rsidRPr="00EE6E73">
        <w:rPr>
          <w:vertAlign w:val="superscript"/>
        </w:rPr>
        <w:fldChar w:fldCharType="separate"/>
      </w:r>
      <w:r w:rsidR="00EE6E73" w:rsidRPr="00EE6E73">
        <w:rPr>
          <w:vertAlign w:val="superscript"/>
        </w:rPr>
        <w:t>[</w:t>
      </w:r>
      <w:r w:rsidR="001630EC" w:rsidRPr="00EE6E73">
        <w:rPr>
          <w:vertAlign w:val="superscript"/>
        </w:rPr>
        <w:t>4,16,18</w:t>
      </w:r>
      <w:r w:rsidR="00565B6D" w:rsidRPr="00EE6E73">
        <w:rPr>
          <w:vertAlign w:val="superscript"/>
        </w:rPr>
        <w:fldChar w:fldCharType="end"/>
      </w:r>
      <w:r w:rsidR="00EE6E73" w:rsidRPr="00EE6E73">
        <w:rPr>
          <w:vertAlign w:val="superscript"/>
        </w:rPr>
        <w:t>]</w:t>
      </w:r>
      <w:r w:rsidRPr="00E05D0F">
        <w:t xml:space="preserve"> These findings are consistent with a clinical study by Fathima et al., which demonstrated statistically significant improvements in subjective pain scores and obje</w:t>
      </w:r>
      <w:r w:rsidR="00646BC8" w:rsidRPr="00E05D0F">
        <w:t>ctive neuropathy indices over 45</w:t>
      </w:r>
      <w:r w:rsidRPr="00E05D0F">
        <w:t xml:space="preserve"> days, wi</w:t>
      </w:r>
      <w:r w:rsidR="00EE6E73">
        <w:t>th no reported adverse effects</w:t>
      </w:r>
      <w:r w:rsidR="0011235D">
        <w:t>.</w:t>
      </w:r>
      <w:r w:rsidR="00EE6E73">
        <w:t xml:space="preserve"> </w:t>
      </w:r>
      <w:r w:rsidR="00EE6E73" w:rsidRPr="00EE6E73">
        <w:rPr>
          <w:vertAlign w:val="superscript"/>
        </w:rPr>
        <w:t>[</w:t>
      </w:r>
      <w:r w:rsidRPr="00EE6E73">
        <w:rPr>
          <w:vertAlign w:val="superscript"/>
        </w:rPr>
        <w:t>9</w:t>
      </w:r>
      <w:r w:rsidR="00EE6E73" w:rsidRPr="00EE6E73">
        <w:rPr>
          <w:vertAlign w:val="superscript"/>
        </w:rPr>
        <w:t>]</w:t>
      </w:r>
    </w:p>
    <w:p w:rsidR="00E81394" w:rsidRPr="00E05D0F" w:rsidRDefault="00E81394" w:rsidP="00040586">
      <w:pPr>
        <w:pStyle w:val="ql-indent-1"/>
        <w:shd w:val="clear" w:color="auto" w:fill="FFFFFF"/>
        <w:spacing w:before="0" w:beforeAutospacing="0" w:after="0" w:afterAutospacing="0" w:line="360" w:lineRule="auto"/>
        <w:jc w:val="both"/>
      </w:pPr>
      <w:r w:rsidRPr="00E05D0F">
        <w:t xml:space="preserve">The clinical improvements in VPT and VAS scores observed in two of the three cases correlate well with the literature that associates decreased oxidative stress and inflammation with nerve </w:t>
      </w:r>
      <w:r w:rsidRPr="00E05D0F">
        <w:lastRenderedPageBreak/>
        <w:t>function restoration</w:t>
      </w:r>
      <w:r w:rsidR="00040586">
        <w:t>.</w:t>
      </w:r>
      <w:r w:rsidRPr="00E05D0F">
        <w:t xml:space="preserve"> </w:t>
      </w:r>
      <w:r w:rsidR="00565B6D" w:rsidRPr="00040586">
        <w:rPr>
          <w:vertAlign w:val="superscript"/>
        </w:rPr>
        <w:fldChar w:fldCharType="begin"/>
      </w:r>
      <w:r w:rsidR="001630EC" w:rsidRPr="00040586">
        <w:rPr>
          <w:vertAlign w:val="superscript"/>
        </w:rPr>
        <w:instrText xml:space="preserve"> ADDIN ZOTERO_ITEM CSL_CITATION {"citationID":"P37ysz48","properties":{"formattedCitation":"(24)","plainCitation":"(24)","noteIndex":0},"citationItems":[{"id":116,"uris":["http://zotero.org/users/local/IUvTSyB4/items/4QK2SB5S"],"itemData":{"id":116,"type":"article-journal","abstract":"Currently there is no recognized curative treatment for diabetic polyneuropathy (DPN). Strict glucose control and symptomatic pain relief are the first line management routes. DPN is a common complication of diabetes and has a major detrimental influence on the quality of life (QOL) for many patients. Due to the scope of the problem, it is imperative that treatment options which impede DPN's progression and restore sensorineural function should be researched comprehensively and made available to the masses at an economical cost. We reviewed a multitude of atypical treatment options for DPN including capsaicin, lidocaine, acupuncture, electrical nerve stimulation, alpha lipoic acid, benfotiamine, and acetyl-l-carnitine and explored the evidence to date regarding their safety and efficacy. Most of these options have been around for a long time and have promising pilot studies or small-scale trials focused on DPN treatment.","container-title":"Cureus","DOI":"10.7759/cureus.14600","ISSN":"2168-8184","issue":"4","journalAbbreviation":"Cureus","note":"PMID: 34040901\nPMCID: PMC8139599","page":"e14600","source":"PubMed Central","title":"A Review of Alternative Treatment Options in Diabetic Polyneuropathy","volume":"13","author":[{"family":"Zaheer","given":"Arsalan"},{"family":"Zaheer","given":"Faizan"},{"family":"Saeed","given":"Hadia"},{"family":"Tahir","given":"Zoya"},{"family":"Tahir","given":"Muhammad Waqas"}]}}],"schema":"https://github.com/citation-style-language/schema/raw/master/csl-citation.json"} </w:instrText>
      </w:r>
      <w:r w:rsidR="00565B6D" w:rsidRPr="00040586">
        <w:rPr>
          <w:vertAlign w:val="superscript"/>
        </w:rPr>
        <w:fldChar w:fldCharType="separate"/>
      </w:r>
      <w:r w:rsidR="00040586" w:rsidRPr="00040586">
        <w:rPr>
          <w:vertAlign w:val="superscript"/>
        </w:rPr>
        <w:t>[</w:t>
      </w:r>
      <w:r w:rsidR="001630EC" w:rsidRPr="00040586">
        <w:rPr>
          <w:vertAlign w:val="superscript"/>
        </w:rPr>
        <w:t>24</w:t>
      </w:r>
      <w:r w:rsidR="00565B6D" w:rsidRPr="00040586">
        <w:rPr>
          <w:vertAlign w:val="superscript"/>
        </w:rPr>
        <w:fldChar w:fldCharType="end"/>
      </w:r>
      <w:r w:rsidR="00040586" w:rsidRPr="00040586">
        <w:rPr>
          <w:vertAlign w:val="superscript"/>
        </w:rPr>
        <w:t>]</w:t>
      </w:r>
      <w:r w:rsidRPr="00E05D0F">
        <w:t xml:space="preserve"> While Case 3 showed limited improvement in VPT, the reduced pain intensity and improved WHOQOL-BREF scores suggest that even in advanced DPN, herbal interventions may help manage symptoms and enhance </w:t>
      </w:r>
      <w:r w:rsidR="00144B7C" w:rsidRPr="00E05D0F">
        <w:t>QOL</w:t>
      </w:r>
      <w:r w:rsidRPr="00E05D0F">
        <w:t>. These findings are consistent with earlier reports emphasizing the limited reversibility of established neuropathic damage but highlight symptomatic control as a realistic therapeutic goal</w:t>
      </w:r>
      <w:r w:rsidR="001630EC" w:rsidRPr="00E05D0F">
        <w:t>.</w:t>
      </w:r>
      <w:r w:rsidRPr="00E05D0F">
        <w:t xml:space="preserve"> </w:t>
      </w:r>
      <w:r w:rsidR="00565B6D" w:rsidRPr="00040586">
        <w:rPr>
          <w:vertAlign w:val="superscript"/>
        </w:rPr>
        <w:fldChar w:fldCharType="begin"/>
      </w:r>
      <w:r w:rsidR="001630EC" w:rsidRPr="00040586">
        <w:rPr>
          <w:vertAlign w:val="superscript"/>
        </w:rPr>
        <w:instrText xml:space="preserve"> ADDIN ZOTERO_ITEM CSL_CITATION {"citationID":"j8VaI4kD","properties":{"formattedCitation":"(1,7)","plainCitation":"(1,7)","noteIndex":0},"citationItems":[{"id":56,"uris":["http://zotero.org/users/local/IUvTSyB4/items/GQAI56RL"],"itemData":{"id":56,"type":"book","abstract":"Diabetic neuropathies are the most common chronic complications of diabetes, with an estimated lifetime prevalence exceeding 50% in people with diabetes. Among various forms of neuropathy, diabetic peripheral neuropathy (DPN) is the most common and has the strongest evidence base regarding therapeutic approaches. This American Diabetes Association clinical compendium summarizes the latest information about screening for, diagnosing, and treating painful DPN in routine clinical practice. It opens with an overview of the epidemiology of DPN, followed by a description of the pathophysiology of the disease and its often severely painful symptoms. The authors recommend a stepwise approach to effectively diagnose DPN and offer a novel perspective on the impact of social determinants of health on the development and management of DPN. They summarizes the latest guidance on effective therapies, including pharmacological oral and topical agents, nutraceutical products, and nonpharmacological therapies, including physical activity and dietary interventions, passive modalities, and energy or nerve stimulation techniques. Throughout the publication, the authors identify knowledge gaps that need to be addressed and advocate a personalized care approach to reduce the burden of painful DPN and optimize quality of life for individuals affected by it.","call-number":"NBK580224","collection-title":"ADA Clinical Compendia Series","event-place":"Arlington (VA)","language":"eng","license":"© 2022 by American Diabetes Association. All rights reserved. None of the contents may be reproduced without the written permission of the American Diabetes Association.","note":"PMID: 35544662","publisher":"American Diabetes Association","publisher-place":"Arlington (VA)","source":"PubMed","title":"Diagnosis and Treatment of Painful Diabetic Peripheral Neuropathy","URL":"http://www.ncbi.nlm.nih.gov/books/NBK580224/","author":[{"family":"Pop-Busui","given":"Rodica"},{"family":"Ang","given":"Lynn"},{"family":"Boulton","given":"Andrew J. M."},{"family":"Feldman","given":"Eva L."},{"family":"Marcus","given":"Robin L."},{"family":"Mizokami-Stout","given":"Kara"},{"family":"Singleton","given":"J. Robinson"},{"family":"Ziegler","given":"Dan"}],"accessed":{"date-parts":[["2025",7,8]]},"issued":{"date-parts":[["2022"]]}}},{"id":69,"uris":["http://zotero.org/users/local/IUvTSyB4/items/IZLQFTI8"],"itemData":{"id":69,"type":"article-journal","abstract":"Intensive glycemic control with insulin in patients with type 1 diabetes may be associated with lower odds of distal symmetric polyneuropathy compared to patients who receive conventional insulin therapy. First-line pharmacologic therapy for PDN includes gabapentinoids (pregabalin and gabapentin) an …","container-title":"Current pain and headache reports","DOI":"10.1007/s11916-022-01061-7","ISSN":"1534-3081","issue":"8","language":"en","note":"publisher: Curr Pain Headache Rep\nPMID: 35716275","source":"pubmed.ncbi.nlm.nih.gov","title":"Evidence-Based Treatment of Painful Diabetic Neuropathy: a Systematic Review","title-short":"Evidence-Based Treatment of Painful Diabetic Neuropathy","URL":"https://pubmed.ncbi.nlm.nih.gov/35716275/","volume":"26","author":[{"family":"Rs","given":"D'Souza"},{"family":"R","given":"Barman"},{"family":"A","given":"Joseph"},{"family":"A","given":"Abd-Elsayed"}],"accessed":{"date-parts":[["2025",7,8]]},"issued":{"date-parts":[["2022",8]]}}}],"schema":"https://github.com/citation-style-language/schema/raw/master/csl-citation.json"} </w:instrText>
      </w:r>
      <w:r w:rsidR="00565B6D" w:rsidRPr="00040586">
        <w:rPr>
          <w:vertAlign w:val="superscript"/>
        </w:rPr>
        <w:fldChar w:fldCharType="separate"/>
      </w:r>
      <w:r w:rsidR="00040586" w:rsidRPr="00040586">
        <w:rPr>
          <w:vertAlign w:val="superscript"/>
        </w:rPr>
        <w:t>[</w:t>
      </w:r>
      <w:r w:rsidR="001630EC" w:rsidRPr="00040586">
        <w:rPr>
          <w:vertAlign w:val="superscript"/>
        </w:rPr>
        <w:t>1,7</w:t>
      </w:r>
      <w:r w:rsidR="00565B6D" w:rsidRPr="00040586">
        <w:rPr>
          <w:vertAlign w:val="superscript"/>
        </w:rPr>
        <w:fldChar w:fldCharType="end"/>
      </w:r>
      <w:r w:rsidR="00040586" w:rsidRPr="00040586">
        <w:rPr>
          <w:vertAlign w:val="superscript"/>
        </w:rPr>
        <w:t>]</w:t>
      </w:r>
      <w:r w:rsidRPr="00E05D0F">
        <w:t xml:space="preserve"> QZK and HA showed improvements in both VPT and subjective outcomes (pain via VAS and quality of life via </w:t>
      </w:r>
      <w:r w:rsidR="00144B7C" w:rsidRPr="00E05D0F">
        <w:t xml:space="preserve">the </w:t>
      </w:r>
      <w:r w:rsidRPr="00E05D0F">
        <w:t>WHOQOL-BREF). The observed reduction in pain scores and improvement in functional status align with previous studies supporting herbal and polyherbal therapies as adjunct or alternative treatments for DPN</w:t>
      </w:r>
      <w:r w:rsidR="005A141F" w:rsidRPr="00E05D0F">
        <w:t xml:space="preserve">. </w:t>
      </w:r>
      <w:r w:rsidR="00565B6D" w:rsidRPr="00040586">
        <w:rPr>
          <w:vertAlign w:val="superscript"/>
        </w:rPr>
        <w:fldChar w:fldCharType="begin"/>
      </w:r>
      <w:r w:rsidR="005A141F" w:rsidRPr="00040586">
        <w:rPr>
          <w:vertAlign w:val="superscript"/>
        </w:rPr>
        <w:instrText xml:space="preserve"> ADDIN ZOTERO_ITEM CSL_CITATION {"citationID":"bodE2cks","properties":{"formattedCitation":"(9,22,23)","plainCitation":"(9,22,23)","noteIndex":0},"citationItems":[{"id":75,"uris":["http://zotero.org/users/local/IUvTSyB4/items/BTU23UMD"],"itemData":{"id":75,"type":"article-journal","abstract":"OBJECTIVES: Diabetic peripheral neuropathy (DPN) is a common diabetes complication. The prevalence of neuropathy is 55% for type 1 and 66% for type 2 diabetes. In Unani medicine neuropathy is known as Khidr (numbness). It is treated with drugs possessing hypoglycemic and analgesic properties, etc. Habb-e-Asab, a polyherbal Unani formulation used for the treatment of Waja-ul-Asab (neuralgia) is routinely used for its indications in neurological pain in Unani medicine. The aim of this study to investigate the efficacy of Habb-e-Asab in diabetic peripheral neuropathy.\nMETHODS: Thirty patients with DPN were randomly assigned to test (n=20) and control (n=10) groups in a randomized single-blind placebo control study. For 45 days, the test group was given 250 mg Habb-e-Asab twice a day and the control group 250 mg placebo twice a day. The subjective parameters Pain in feet, burning in feet, and tingling in feet was assessed by the arbitrary scale and VAS fortnightly and objective parameters MNSI, and VPT was assessed in pre-post-treatment.\nRESULTS: The research drug revealed highly statistically significant with p&lt;0.001 on VAS score and MNSI whereas VPT is significant with p&lt;0.01 on few points. But control group exhibits no significant effect in any of the parameters. No adverse effects had been reported in either group.\nCONCLUSIONS: Our finding indicated that the Habb-e-Asab for 45 days improved and reduced the severity of DPN in a patient with diabetes (CTRI/2018/02/011725).","container-title":"Journal of Basic and Clinical Physiology and Pharmacology","DOI":"10.1515/jbcpp-2021-0330","ISSN":"2191-0286","issue":"6","journalAbbreviation":"J Basic Clin Physiol Pharmacol","language":"eng","note":"PMID: 35026880","page":"735-744","source":"PubMed","title":"Efficacy of Habb-e-Asab in diabetic peripheral neuropathy: a randomized placebo control study","title-short":"Efficacy of Habb-e-Asab in diabetic peripheral neuropathy","volume":"34","author":[{"family":"Nizamdeen","given":"Fathima Nafha"},{"family":"Quamri","given":"Mohd Aleemuddin"},{"family":"Anzar Alam","given":"Md"}],"issued":{"date-parts":[["2023",11,1]]}}},{"id":111,"uris":["http://zotero.org/users/local/IUvTSyB4/items/Z9SG497V"],"itemData":{"id":111,"type":"article-journal","abstract":"This case report highlights the potential effectiveness of Unani medications in managing T2DM, suggesting its viability as a treatment option within a comprehensive diabetes management strategy. The patient's positive response underscores Unani medicine's potential not only as a complementary treatm …","container-title":"Advances in mind-body medicine","ISSN":"1470-3556","issue":"4","language":"en","note":"publisher: Adv Mind Body Med\nPMID: 39447126","source":"pubmed.ncbi.nlm.nih.gov","title":"Effective Management of Type-2 Diabetes Mellitus with Unani Medications: A Case Report","title-short":"Effective Management of Type-2 Diabetes Mellitus with Unani Medications","URL":"https://pubmed.ncbi.nlm.nih.gov/39447126/","volume":"38","author":[{"family":"F","given":"Nasir"},{"family":"M","given":"Itrat"},{"family":"F","given":"Shahabuddin"},{"family":"S","given":"Nikhat"}],"accessed":{"date-parts":[["2025",7,30]]},"issued":{"date-parts":[["2024"]]}}},{"id":114,"uris":["http://zotero.org/users/local/IUvTSyB4/items/P5CAQ5T9"],"itemData":{"id":114,"type":"article-journal","abstract":"A polyherbal Unani formulation, Qurs-e-Ziabetus (QZ), is mentioned in Unani literature for managing diabetes-like conditions. This study aimed to evaluate the antidiabetic activity of QZ, which is mentioned in classical Unani literature, in nicotinamide-streptozotocin-induced diabetes in Sprague...","DOI":"10.53365/nrfhh/199578","language":"en","source":"www.nrfhh.com","title":"Blood Glucose-Lowering Activity of Compound Herbo-Mineral Unani Formulation Qurs-e-Ziabetus in Nicotinamide-Streptozotocin-induced Diabetic Rats","URL":"https://www.nrfhh.com/Blood-Glucose-Lowering-Activity-of-Compound-Herbo-Mineral-Unani-Formulation-Qurs,199578,0,2.html","author":[{"family":"Ahmed","given":"Tabrez"},{"family":"Vinay","given":"Enumula"},{"family":"Naikodi","given":"Mohammed Abdul Rasheed"},{"family":"Siddiqui","given":"Javed Inam"},{"family":"Dwivedi","given":"Durgesh Kumar"},{"family":"Munshi","given":"Younis Iftikhar"},{"family":"Viquar","given":"Uzma"},{"family":"Husain","given":"Gulam Mohammed"}],"accessed":{"date-parts":[["2025",7,30]]}}}],"schema":"https://github.com/citation-style-language/schema/raw/master/csl-citation.json"} </w:instrText>
      </w:r>
      <w:r w:rsidR="00565B6D" w:rsidRPr="00040586">
        <w:rPr>
          <w:vertAlign w:val="superscript"/>
        </w:rPr>
        <w:fldChar w:fldCharType="separate"/>
      </w:r>
      <w:r w:rsidR="00040586" w:rsidRPr="00040586">
        <w:rPr>
          <w:vertAlign w:val="superscript"/>
        </w:rPr>
        <w:t>[</w:t>
      </w:r>
      <w:r w:rsidR="005A141F" w:rsidRPr="00040586">
        <w:rPr>
          <w:vertAlign w:val="superscript"/>
        </w:rPr>
        <w:t>9,22,23</w:t>
      </w:r>
      <w:r w:rsidR="00565B6D" w:rsidRPr="00040586">
        <w:rPr>
          <w:vertAlign w:val="superscript"/>
        </w:rPr>
        <w:fldChar w:fldCharType="end"/>
      </w:r>
      <w:r w:rsidR="00040586" w:rsidRPr="00040586">
        <w:rPr>
          <w:vertAlign w:val="superscript"/>
        </w:rPr>
        <w:t>]</w:t>
      </w:r>
      <w:r w:rsidRPr="00E05D0F">
        <w:t xml:space="preserve"> The therapeutic principles of USM, </w:t>
      </w:r>
      <w:r w:rsidRPr="00E05D0F">
        <w:rPr>
          <w:i/>
          <w:iCs/>
        </w:rPr>
        <w:t>tanqiyae mawad-e-fasida</w:t>
      </w:r>
      <w:r w:rsidRPr="00E05D0F">
        <w:t xml:space="preserve"> (~elimination of morbid humors), </w:t>
      </w:r>
      <w:r w:rsidRPr="00E05D0F">
        <w:rPr>
          <w:i/>
          <w:iCs/>
        </w:rPr>
        <w:t>Tahleel-e-warm</w:t>
      </w:r>
      <w:r w:rsidRPr="00E05D0F">
        <w:t xml:space="preserve"> (~resolution of inflammation), and </w:t>
      </w:r>
      <w:r w:rsidRPr="00E05D0F">
        <w:rPr>
          <w:i/>
          <w:iCs/>
        </w:rPr>
        <w:t>taskeen-e-dard</w:t>
      </w:r>
      <w:r w:rsidRPr="00E05D0F">
        <w:t xml:space="preserve"> (~analgesic), align conceptually with contemporary targets of oxidative stress reduction, anti-inflammatory therapy, and symptomatic pain management</w:t>
      </w:r>
      <w:r w:rsidR="00040586">
        <w:t>.</w:t>
      </w:r>
      <w:r w:rsidRPr="00E05D0F">
        <w:t xml:space="preserve"> </w:t>
      </w:r>
      <w:r w:rsidR="00565B6D" w:rsidRPr="00040586">
        <w:rPr>
          <w:vertAlign w:val="superscript"/>
        </w:rPr>
        <w:fldChar w:fldCharType="begin"/>
      </w:r>
      <w:r w:rsidR="005A141F" w:rsidRPr="00040586">
        <w:rPr>
          <w:vertAlign w:val="superscript"/>
        </w:rPr>
        <w:instrText xml:space="preserve"> ADDIN ZOTERO_ITEM CSL_CITATION {"citationID":"KVGAUYDS","properties":{"formattedCitation":"(6)","plainCitation":"(6)","noteIndex":0},"citationItems":[{"id":66,"uris":["http://zotero.org/users/local/IUvTSyB4/items/I2W9NMEF"],"itemData":{"id":66,"type":"article-journal","abstract":"Background: Diabetes  is  a  major  global  health  concern  in  the  twenty-first  century.  The  International Diabetes Federation (IDF) estimates that by the end of 2021, complications from  diabetes would have killed 747,000 peoples in India. Diabetic peripheral neuropathy (DPN)  is a disorder that develops in patients with diabetes (type 1 and type 2) and is not attributable  to any other peripheral neuropathy causes. Clinically, it may manifest as burning, tingling,  numbness, or neuropathic pain in the foot that tends to get worse at night. DPN frequently  results in ulceration, infection, deterioration of the skin, and ultimately amputation. Methods: This study will be conducted as randomized standard-controlled, single-blind  trial on 150 DPN subjects with type 2 diabetes by randomly assigned them to two groups  (test or standard), where test group will receive two capsules twice (containing 500 mg  powder of test drug in each capsule) with water and control group will receive one capsule of  pregabalin 75 mg twice. Both groups will be treated for 60 days with 30 days post treatment  follow-up addition to their regular anti-diabetic treatment. The subjective parameters of  burning, tingling, and pain in the feet will be evaluated every two weeks using the visual  analog scale (VAS) and arbitrary scale. Objective parameters, Toronto Clinical Scoring  System (TCSS) will be assessed fortnightly along with vibratory perception threshold (VPT),  assessed pre and post-treatment. Data will be assessed statistically with appropriate tests.","container-title":"International Research Journal of Ayurveda and Yoga","DOI":"10.48165/IRJAY.2024.71103","ISSN":"2581-785X","issue":"11","language":"en","license":"Copyright (c) 2024 Mohd   Shahid, Mohd Aleemuddin Quamri (Author)","note":"number: 11","page":"16-23","source":"journals.acspublisher.com","title":"A Study Protocol on the Evaluation of Comparative Efficacy of Waj (Acorus calamus Linn.) versus Pregabalin in Diabetic Peripheral Neuropathy","volume":"7","author":[{"family":"Shahid","given":"Mohd"},{"family":"Quamri","given":"Mohd Aleemuddin"}],"issued":{"date-parts":[["2024",11,30]]}}}],"schema":"https://github.com/citation-style-language/schema/raw/master/csl-citation.json"} </w:instrText>
      </w:r>
      <w:r w:rsidR="00565B6D" w:rsidRPr="00040586">
        <w:rPr>
          <w:vertAlign w:val="superscript"/>
        </w:rPr>
        <w:fldChar w:fldCharType="separate"/>
      </w:r>
      <w:r w:rsidR="00040586" w:rsidRPr="00040586">
        <w:rPr>
          <w:vertAlign w:val="superscript"/>
        </w:rPr>
        <w:t>[</w:t>
      </w:r>
      <w:r w:rsidR="005A141F" w:rsidRPr="00040586">
        <w:rPr>
          <w:vertAlign w:val="superscript"/>
        </w:rPr>
        <w:t>6</w:t>
      </w:r>
      <w:r w:rsidR="00565B6D" w:rsidRPr="00040586">
        <w:rPr>
          <w:vertAlign w:val="superscript"/>
        </w:rPr>
        <w:fldChar w:fldCharType="end"/>
      </w:r>
      <w:r w:rsidR="00040586" w:rsidRPr="00040586">
        <w:rPr>
          <w:vertAlign w:val="superscript"/>
        </w:rPr>
        <w:t>]</w:t>
      </w:r>
      <w:r w:rsidRPr="00E05D0F">
        <w:t xml:space="preserve"> Importantly, no adverse events were reported during treatment, reinforcing the safety profile of the formulations.</w:t>
      </w:r>
    </w:p>
    <w:p w:rsidR="00E81394" w:rsidRPr="00E05D0F" w:rsidRDefault="00E81394" w:rsidP="00B73286">
      <w:pPr>
        <w:pStyle w:val="NormalWeb"/>
        <w:spacing w:before="0" w:beforeAutospacing="0" w:after="0" w:afterAutospacing="0" w:line="360" w:lineRule="auto"/>
        <w:jc w:val="both"/>
      </w:pPr>
      <w:r w:rsidRPr="00E05D0F">
        <w:t>The</w:t>
      </w:r>
      <w:r w:rsidR="00144B7C" w:rsidRPr="00E05D0F">
        <w:t>se</w:t>
      </w:r>
      <w:r w:rsidRPr="00E05D0F">
        <w:t xml:space="preserve"> results demonstrate the potential of integrative medicine in managing chronic diabetes complications. This approach aligns with the growing interest in alternative treatments that offer cost-effective and </w:t>
      </w:r>
      <w:r w:rsidR="00144B7C" w:rsidRPr="00E05D0F">
        <w:t xml:space="preserve">free of side </w:t>
      </w:r>
      <w:r w:rsidR="001C61E8">
        <w:t>treatments</w:t>
      </w:r>
      <w:r w:rsidRPr="00E05D0F">
        <w:t xml:space="preserve"> for patients.</w:t>
      </w:r>
      <w:r w:rsidR="005A141F" w:rsidRPr="00E05D0F">
        <w:t xml:space="preserve"> </w:t>
      </w:r>
      <w:r w:rsidR="00565B6D" w:rsidRPr="00040586">
        <w:rPr>
          <w:vertAlign w:val="superscript"/>
        </w:rPr>
        <w:fldChar w:fldCharType="begin"/>
      </w:r>
      <w:r w:rsidR="005A141F" w:rsidRPr="00040586">
        <w:rPr>
          <w:vertAlign w:val="superscript"/>
        </w:rPr>
        <w:instrText xml:space="preserve"> ADDIN ZOTERO_ITEM CSL_CITATION {"citationID":"07Nf1c8N","properties":{"formattedCitation":"(24)","plainCitation":"(24)","noteIndex":0},"citationItems":[{"id":116,"uris":["http://zotero.org/users/local/IUvTSyB4/items/4QK2SB5S"],"itemData":{"id":116,"type":"article-journal","abstract":"Currently there is no recognized curative treatment for diabetic polyneuropathy (DPN). Strict glucose control and symptomatic pain relief are the first line management routes. DPN is a common complication of diabetes and has a major detrimental influence on the quality of life (QOL) for many patients. Due to the scope of the problem, it is imperative that treatment options which impede DPN's progression and restore sensorineural function should be researched comprehensively and made available to the masses at an economical cost. We reviewed a multitude of atypical treatment options for DPN including capsaicin, lidocaine, acupuncture, electrical nerve stimulation, alpha lipoic acid, benfotiamine, and acetyl-l-carnitine and explored the evidence to date regarding their safety and efficacy. Most of these options have been around for a long time and have promising pilot studies or small-scale trials focused on DPN treatment.","container-title":"Cureus","DOI":"10.7759/cureus.14600","ISSN":"2168-8184","issue":"4","journalAbbreviation":"Cureus","note":"PMID: 34040901\nPMCID: PMC8139599","page":"e14600","source":"PubMed Central","title":"A Review of Alternative Treatment Options in Diabetic Polyneuropathy","volume":"13","author":[{"family":"Zaheer","given":"Arsalan"},{"family":"Zaheer","given":"Faizan"},{"family":"Saeed","given":"Hadia"},{"family":"Tahir","given":"Zoya"},{"family":"Tahir","given":"Muhammad Waqas"}]}}],"schema":"https://github.com/citation-style-language/schema/raw/master/csl-citation.json"} </w:instrText>
      </w:r>
      <w:r w:rsidR="00565B6D" w:rsidRPr="00040586">
        <w:rPr>
          <w:vertAlign w:val="superscript"/>
        </w:rPr>
        <w:fldChar w:fldCharType="separate"/>
      </w:r>
      <w:r w:rsidR="00040586" w:rsidRPr="00040586">
        <w:rPr>
          <w:vertAlign w:val="superscript"/>
        </w:rPr>
        <w:t>[</w:t>
      </w:r>
      <w:r w:rsidR="005A141F" w:rsidRPr="00040586">
        <w:rPr>
          <w:vertAlign w:val="superscript"/>
        </w:rPr>
        <w:t>24</w:t>
      </w:r>
      <w:r w:rsidR="00565B6D" w:rsidRPr="00040586">
        <w:rPr>
          <w:vertAlign w:val="superscript"/>
        </w:rPr>
        <w:fldChar w:fldCharType="end"/>
      </w:r>
      <w:r w:rsidR="00040586" w:rsidRPr="00040586">
        <w:rPr>
          <w:vertAlign w:val="superscript"/>
        </w:rPr>
        <w:t>]</w:t>
      </w:r>
    </w:p>
    <w:p w:rsidR="00E81394" w:rsidRPr="00E05D0F" w:rsidRDefault="00E81394" w:rsidP="00B73286">
      <w:pPr>
        <w:spacing w:after="240"/>
        <w:jc w:val="both"/>
        <w:outlineLvl w:val="2"/>
        <w:rPr>
          <w:rFonts w:ascii="Times New Roman" w:eastAsia="Times New Roman" w:hAnsi="Times New Roman" w:cs="Times New Roman"/>
          <w:b/>
          <w:bCs/>
          <w:kern w:val="0"/>
          <w:lang w:eastAsia="en-IN"/>
        </w:rPr>
      </w:pPr>
      <w:r w:rsidRPr="00E05D0F">
        <w:rPr>
          <w:rFonts w:ascii="Times New Roman" w:eastAsia="Times New Roman" w:hAnsi="Times New Roman" w:cs="Times New Roman"/>
          <w:b/>
          <w:bCs/>
          <w:kern w:val="0"/>
          <w:lang w:eastAsia="en-IN"/>
        </w:rPr>
        <w:t>Conclusion</w:t>
      </w:r>
    </w:p>
    <w:p w:rsidR="004D1781" w:rsidRDefault="004D1781" w:rsidP="00B73286">
      <w:pPr>
        <w:pStyle w:val="NormalWeb"/>
        <w:spacing w:before="0" w:beforeAutospacing="0" w:after="0" w:afterAutospacing="0" w:line="360" w:lineRule="auto"/>
        <w:jc w:val="both"/>
        <w:rPr>
          <w:rStyle w:val="ai-insert"/>
        </w:rPr>
      </w:pPr>
      <w:r w:rsidRPr="00E05D0F">
        <w:rPr>
          <w:rStyle w:val="ai-insert"/>
        </w:rPr>
        <w:t xml:space="preserve">This case series provides evidence for the therapeutic role of QZK and HA in managing DPN through Unani and modern biomedical frameworks. Integrating traditional knowledge with scientific validation may offer effective treatment for DPN. While promising, the study’s limitations include </w:t>
      </w:r>
      <w:r w:rsidR="001C61E8">
        <w:rPr>
          <w:rStyle w:val="ai-insert"/>
        </w:rPr>
        <w:t xml:space="preserve">a </w:t>
      </w:r>
      <w:r w:rsidRPr="00E05D0F">
        <w:rPr>
          <w:rStyle w:val="ai-insert"/>
        </w:rPr>
        <w:t xml:space="preserve">small sample size, </w:t>
      </w:r>
      <w:r w:rsidR="001C61E8">
        <w:rPr>
          <w:rStyle w:val="ai-insert"/>
        </w:rPr>
        <w:t xml:space="preserve">a </w:t>
      </w:r>
      <w:r w:rsidRPr="00E05D0F">
        <w:rPr>
          <w:rStyle w:val="ai-insert"/>
        </w:rPr>
        <w:t>lack of controls, and potential confounding factors like concurrent anti-diabetic therapy. Larger randomized controlled trials are needed to confirm these findings and to establish evidence-based protocols.</w:t>
      </w:r>
    </w:p>
    <w:p w:rsidR="005F7920" w:rsidRDefault="005F7920" w:rsidP="00B73286">
      <w:pPr>
        <w:pStyle w:val="NormalWeb"/>
        <w:spacing w:before="0" w:beforeAutospacing="0" w:after="0" w:afterAutospacing="0" w:line="360" w:lineRule="auto"/>
        <w:jc w:val="both"/>
        <w:rPr>
          <w:rStyle w:val="ai-insert"/>
        </w:rPr>
      </w:pPr>
    </w:p>
    <w:p w:rsidR="005F7920" w:rsidRPr="005F7920" w:rsidRDefault="005F7920" w:rsidP="005F7920">
      <w:pPr>
        <w:pStyle w:val="NormalWeb"/>
        <w:spacing w:line="360" w:lineRule="auto"/>
        <w:jc w:val="both"/>
        <w:rPr>
          <w:rStyle w:val="ai-insert"/>
        </w:rPr>
      </w:pPr>
      <w:r w:rsidRPr="005F7920">
        <w:rPr>
          <w:rStyle w:val="ai-insert"/>
        </w:rPr>
        <w:t>Ethical Approval:</w:t>
      </w:r>
    </w:p>
    <w:p w:rsidR="005F7920" w:rsidRDefault="005F7920" w:rsidP="005F7920">
      <w:pPr>
        <w:pStyle w:val="NormalWeb"/>
        <w:spacing w:before="0" w:beforeAutospacing="0" w:after="0" w:afterAutospacing="0" w:line="360" w:lineRule="auto"/>
        <w:jc w:val="both"/>
        <w:rPr>
          <w:rStyle w:val="ai-insert"/>
        </w:rPr>
      </w:pPr>
      <w:r w:rsidRPr="005F7920">
        <w:rPr>
          <w:rStyle w:val="ai-insert"/>
        </w:rPr>
        <w:t>As per international standards or university standards written ethical approval has been collected and preserved by the author(s).</w:t>
      </w:r>
      <w:bookmarkStart w:id="0" w:name="_GoBack"/>
      <w:bookmarkEnd w:id="0"/>
    </w:p>
    <w:p w:rsidR="005636E4" w:rsidRPr="00E05D0F" w:rsidRDefault="005636E4" w:rsidP="00B73286">
      <w:pPr>
        <w:pStyle w:val="NormalWeb"/>
        <w:spacing w:before="0" w:beforeAutospacing="0" w:after="0" w:afterAutospacing="0" w:line="360" w:lineRule="auto"/>
        <w:jc w:val="both"/>
      </w:pPr>
    </w:p>
    <w:p w:rsidR="00265970" w:rsidRPr="00F21136" w:rsidRDefault="00265970" w:rsidP="00265970">
      <w:pPr>
        <w:spacing w:line="360" w:lineRule="auto"/>
        <w:ind w:left="-90" w:right="-334"/>
        <w:jc w:val="both"/>
        <w:rPr>
          <w:rFonts w:asciiTheme="majorBidi" w:hAnsiTheme="majorBidi" w:cstheme="majorBidi"/>
          <w:b/>
          <w:bCs/>
        </w:rPr>
      </w:pPr>
      <w:r w:rsidRPr="00F21136">
        <w:rPr>
          <w:rFonts w:asciiTheme="majorBidi" w:hAnsiTheme="majorBidi" w:cstheme="majorBidi"/>
          <w:b/>
          <w:bCs/>
        </w:rPr>
        <w:t>Consent</w:t>
      </w:r>
    </w:p>
    <w:p w:rsidR="00FE54F4" w:rsidRDefault="00265970" w:rsidP="00FE54F4">
      <w:pPr>
        <w:spacing w:line="360" w:lineRule="auto"/>
        <w:ind w:left="-90" w:right="-334"/>
        <w:jc w:val="both"/>
        <w:rPr>
          <w:rFonts w:asciiTheme="majorBidi" w:hAnsiTheme="majorBidi" w:cstheme="majorBidi"/>
        </w:rPr>
      </w:pPr>
      <w:r w:rsidRPr="00F21136">
        <w:rPr>
          <w:rFonts w:asciiTheme="majorBidi" w:hAnsiTheme="majorBidi" w:cstheme="majorBidi"/>
        </w:rPr>
        <w:lastRenderedPageBreak/>
        <w:t>Written informed consent was taken from all three patients to report with clinical findings and other investigation reports without disclosing his identity. The consent was obtained by first author of this manuscript, who w</w:t>
      </w:r>
      <w:bookmarkStart w:id="1" w:name="_Hlk201835975"/>
      <w:bookmarkStart w:id="2" w:name="_Hlk193540946"/>
      <w:bookmarkStart w:id="3" w:name="_Hlk180402183"/>
      <w:bookmarkStart w:id="4" w:name="_Hlk183680988"/>
      <w:bookmarkStart w:id="5" w:name="_Hlk197173371"/>
      <w:r w:rsidR="00FE54F4">
        <w:rPr>
          <w:rFonts w:asciiTheme="majorBidi" w:hAnsiTheme="majorBidi" w:cstheme="majorBidi"/>
        </w:rPr>
        <w:t>as also the treating clinician.</w:t>
      </w:r>
    </w:p>
    <w:p w:rsidR="00FE54F4" w:rsidRDefault="00FE54F4" w:rsidP="00FE54F4">
      <w:pPr>
        <w:spacing w:line="360" w:lineRule="auto"/>
        <w:ind w:left="-90" w:right="-334"/>
        <w:jc w:val="both"/>
        <w:rPr>
          <w:rFonts w:asciiTheme="majorBidi" w:eastAsia="Calibri" w:hAnsiTheme="majorBidi" w:cstheme="majorBidi"/>
        </w:rPr>
      </w:pPr>
    </w:p>
    <w:p w:rsidR="00840D50" w:rsidRPr="00FE54F4" w:rsidRDefault="00840D50" w:rsidP="00FE54F4">
      <w:pPr>
        <w:spacing w:line="360" w:lineRule="auto"/>
        <w:ind w:left="-90" w:right="-334"/>
        <w:jc w:val="both"/>
        <w:rPr>
          <w:rFonts w:asciiTheme="majorBidi" w:hAnsiTheme="majorBidi" w:cstheme="majorBidi"/>
          <w:b/>
          <w:bCs/>
        </w:rPr>
      </w:pPr>
      <w:r w:rsidRPr="00DB6B11">
        <w:rPr>
          <w:rFonts w:asciiTheme="majorBidi" w:eastAsia="Calibri" w:hAnsiTheme="majorBidi" w:cstheme="majorBidi"/>
        </w:rPr>
        <w:t>Disclaimer (Artificial intelligence)</w:t>
      </w:r>
    </w:p>
    <w:p w:rsidR="00840D50" w:rsidRPr="00DB6B11" w:rsidRDefault="00840D50" w:rsidP="00FE54F4">
      <w:pPr>
        <w:spacing w:line="360" w:lineRule="auto"/>
        <w:rPr>
          <w:rFonts w:asciiTheme="majorBidi" w:eastAsia="Calibri" w:hAnsiTheme="majorBidi" w:cstheme="majorBidi"/>
        </w:rPr>
      </w:pPr>
      <w:r w:rsidRPr="00DB6B11">
        <w:rPr>
          <w:rFonts w:asciiTheme="majorBidi" w:eastAsia="Calibri" w:hAnsiTheme="majorBidi" w:cstheme="majorBidi"/>
        </w:rPr>
        <w:t xml:space="preserve">Author(s) hereby declare that NO generative AI technologies such as Large Language Models (ChatGPT, manuscript. </w:t>
      </w:r>
      <w:bookmarkEnd w:id="1"/>
      <w:bookmarkEnd w:id="2"/>
      <w:bookmarkEnd w:id="3"/>
      <w:bookmarkEnd w:id="4"/>
      <w:bookmarkEnd w:id="5"/>
    </w:p>
    <w:p w:rsidR="00FC2CAC" w:rsidRPr="00E05D0F" w:rsidRDefault="0051541C"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 xml:space="preserve">Reference </w:t>
      </w:r>
    </w:p>
    <w:p w:rsidR="00C545B4" w:rsidRPr="00C545B4" w:rsidRDefault="00565B6D" w:rsidP="00E65189">
      <w:pPr>
        <w:pStyle w:val="Bibliography"/>
        <w:jc w:val="both"/>
        <w:rPr>
          <w:rFonts w:ascii="Times New Roman" w:hAnsi="Times New Roman" w:cs="Times New Roman"/>
        </w:rPr>
      </w:pPr>
      <w:r w:rsidRPr="00E05D0F">
        <w:rPr>
          <w:rFonts w:asciiTheme="majorBidi" w:eastAsia="Times New Roman" w:hAnsiTheme="majorBidi" w:cstheme="majorBidi"/>
          <w:kern w:val="0"/>
        </w:rPr>
        <w:fldChar w:fldCharType="begin"/>
      </w:r>
      <w:r w:rsidR="0051541C" w:rsidRPr="00E05D0F">
        <w:rPr>
          <w:rFonts w:asciiTheme="majorBidi" w:eastAsia="Times New Roman" w:hAnsiTheme="majorBidi" w:cstheme="majorBidi"/>
          <w:kern w:val="0"/>
        </w:rPr>
        <w:instrText xml:space="preserve"> ADDIN ZOTERO_BIBL {"uncited":[],"omitted":[],"custom":[]} CSL_BIBLIOGRAPHY </w:instrText>
      </w:r>
      <w:r w:rsidRPr="00E05D0F">
        <w:rPr>
          <w:rFonts w:asciiTheme="majorBidi" w:eastAsia="Times New Roman" w:hAnsiTheme="majorBidi" w:cstheme="majorBidi"/>
          <w:kern w:val="0"/>
        </w:rPr>
        <w:fldChar w:fldCharType="separate"/>
      </w:r>
      <w:r w:rsidR="00C545B4" w:rsidRPr="00C545B4">
        <w:rPr>
          <w:rFonts w:ascii="Times New Roman" w:hAnsi="Times New Roman" w:cs="Times New Roman"/>
        </w:rPr>
        <w:t>1.</w:t>
      </w:r>
      <w:r w:rsidR="00C545B4" w:rsidRPr="00C545B4">
        <w:rPr>
          <w:rFonts w:ascii="Times New Roman" w:hAnsi="Times New Roman" w:cs="Times New Roman"/>
        </w:rPr>
        <w:tab/>
        <w:t>Pop-Busui R, Ang L, Boulton AJM, Feldman EL, Marcus RL, Mizokami-Stout K, et al. Diagnosis and Treatment of Painful Diabetic Peripheral Neuropathy [Internet]. Arlington (VA): American Diabetes Association; 2022 [cited 2025 July 8]. (ADA Clinical Compendia Series). Available from: http://www.ncbi.nlm.nih.gov/books/NBK580224/</w:t>
      </w:r>
    </w:p>
    <w:p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2.</w:t>
      </w:r>
      <w:r w:rsidRPr="00C545B4">
        <w:rPr>
          <w:rFonts w:ascii="Times New Roman" w:hAnsi="Times New Roman" w:cs="Times New Roman"/>
        </w:rPr>
        <w:tab/>
        <w:t>Bodman MA, Dreyer MA, Varacallo MA. Diabetic Peripheral Neuropathy. In: StatPearls [Internet]. Treasure Island (FL): StatPearls Publishing; 2025 [cited 2025 July 8]. Available from: http://www.ncbi.nlm.nih.gov/books/NBK442009/</w:t>
      </w:r>
    </w:p>
    <w:p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3.</w:t>
      </w:r>
      <w:r w:rsidRPr="00C545B4">
        <w:rPr>
          <w:rFonts w:ascii="Times New Roman" w:hAnsi="Times New Roman" w:cs="Times New Roman"/>
        </w:rPr>
        <w:tab/>
        <w:t xml:space="preserve">Pfannkuche A, Alhajjar A, Ming A, Walter I, Piehler C, Mertens PR. Prevalence and risk factors of diabetic peripheral neuropathy in a diabetics cohort: Register initiative “diabetes and nerves.” Endocr Metab Sci. 2020 July 1;1(1):100053. </w:t>
      </w:r>
    </w:p>
    <w:p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4.</w:t>
      </w:r>
      <w:r w:rsidRPr="00C545B4">
        <w:rPr>
          <w:rFonts w:ascii="Times New Roman" w:hAnsi="Times New Roman" w:cs="Times New Roman"/>
        </w:rPr>
        <w:tab/>
        <w:t xml:space="preserve">Baum P, Toyka KV, Blüher M, Kosacka J, Nowicki M. Inflammatory Mechanisms in the Pathophysiology of Diabetic Peripheral Neuropathy (DN)-New Aspects. Int J Mol Sci. 2021 Oct 7;22(19):10835. </w:t>
      </w:r>
    </w:p>
    <w:p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5.</w:t>
      </w:r>
      <w:r w:rsidRPr="00C545B4">
        <w:rPr>
          <w:rFonts w:ascii="Times New Roman" w:hAnsi="Times New Roman" w:cs="Times New Roman"/>
        </w:rPr>
        <w:tab/>
        <w:t>Sina I. Al-Qanoon Fit-Tib (urdu translation). New Delhi: Idrar Kitabus Shifa:</w:t>
      </w:r>
      <w:r w:rsidR="000810A5">
        <w:rPr>
          <w:rFonts w:ascii="Times New Roman" w:hAnsi="Times New Roman" w:cs="Times New Roman"/>
        </w:rPr>
        <w:t xml:space="preserve"> 2010</w:t>
      </w:r>
      <w:r w:rsidRPr="00C545B4">
        <w:rPr>
          <w:rFonts w:ascii="Times New Roman" w:hAnsi="Times New Roman" w:cs="Times New Roman"/>
        </w:rPr>
        <w:t xml:space="preserve"> p 126-129. </w:t>
      </w:r>
    </w:p>
    <w:p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6.</w:t>
      </w:r>
      <w:r w:rsidRPr="00C545B4">
        <w:rPr>
          <w:rFonts w:ascii="Times New Roman" w:hAnsi="Times New Roman" w:cs="Times New Roman"/>
        </w:rPr>
        <w:tab/>
        <w:t>Shahid M, Quamri MA. A Study Protocol on the Evaluation of Comparative Efficacy of Waj (</w:t>
      </w:r>
      <w:r w:rsidRPr="00336FB5">
        <w:rPr>
          <w:rFonts w:ascii="Times New Roman" w:hAnsi="Times New Roman" w:cs="Times New Roman"/>
          <w:i/>
          <w:iCs/>
        </w:rPr>
        <w:t>Acorus calamus</w:t>
      </w:r>
      <w:r w:rsidRPr="00C545B4">
        <w:rPr>
          <w:rFonts w:ascii="Times New Roman" w:hAnsi="Times New Roman" w:cs="Times New Roman"/>
        </w:rPr>
        <w:t xml:space="preserve"> Linn.) versus Pregabalin in Diabetic Peripheral Neuropathy. Int Res J Ayurveda Yoga. 2024 Nov 30;7(11):16–23. </w:t>
      </w:r>
    </w:p>
    <w:p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7.</w:t>
      </w:r>
      <w:r w:rsidRPr="00C545B4">
        <w:rPr>
          <w:rFonts w:ascii="Times New Roman" w:hAnsi="Times New Roman" w:cs="Times New Roman"/>
        </w:rPr>
        <w:tab/>
        <w:t>Rs D, R B, A J, A AE. Evidence-Based Treatment of Painful Diabetic Neuropathy: a Systematic Review. Curr Pain Headache Rep [Internet]. 2022 Aug [cited 2025 July 8];26(8). Available from: https://pubmed.ncbi.nlm.nih.gov/35716275/</w:t>
      </w:r>
    </w:p>
    <w:p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8.</w:t>
      </w:r>
      <w:r w:rsidRPr="00C545B4">
        <w:rPr>
          <w:rFonts w:ascii="Times New Roman" w:hAnsi="Times New Roman" w:cs="Times New Roman"/>
        </w:rPr>
        <w:tab/>
        <w:t xml:space="preserve">Ansari AP, Nasir A. Therapeutic effect of ‘Qurs-i-Ziabetus Khas’ in Diabetes Mellitus- A Case Report. J Ayu Herb Med 2020;6(1):4. </w:t>
      </w:r>
    </w:p>
    <w:p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9.</w:t>
      </w:r>
      <w:r w:rsidRPr="00C545B4">
        <w:rPr>
          <w:rFonts w:ascii="Times New Roman" w:hAnsi="Times New Roman" w:cs="Times New Roman"/>
        </w:rPr>
        <w:tab/>
        <w:t xml:space="preserve">Nizamdeen FN, Quamri MA, Anzar Alam M. Efficacy of Habb-e-Asab in diabetic peripheral neuropathy: a randomized placebo control study. J Basic Clin Physiol Pharmacol. 2023 Nov 1;34(6):735–44. </w:t>
      </w:r>
    </w:p>
    <w:p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lastRenderedPageBreak/>
        <w:t>10.</w:t>
      </w:r>
      <w:r w:rsidRPr="00C545B4">
        <w:rPr>
          <w:rFonts w:ascii="Times New Roman" w:hAnsi="Times New Roman" w:cs="Times New Roman"/>
        </w:rPr>
        <w:tab/>
        <w:t xml:space="preserve">Sharma K N S, Kumar H A. Assessment of the diagnostic accuracy of Vibrasense compared to a biothesiometer and nerve conduction study for screening diabetic peripheral neuropathy. J Foot Ankle Res. 2023 Sept 28;16(1):65. </w:t>
      </w:r>
    </w:p>
    <w:p w:rsidR="00C545B4" w:rsidRPr="00C545B4" w:rsidRDefault="00C545B4" w:rsidP="00336FB5">
      <w:pPr>
        <w:pStyle w:val="Bibliography"/>
        <w:jc w:val="both"/>
        <w:rPr>
          <w:rFonts w:ascii="Times New Roman" w:hAnsi="Times New Roman" w:cs="Times New Roman"/>
        </w:rPr>
      </w:pPr>
      <w:r w:rsidRPr="00C545B4">
        <w:rPr>
          <w:rFonts w:ascii="Times New Roman" w:hAnsi="Times New Roman" w:cs="Times New Roman"/>
        </w:rPr>
        <w:t>11.</w:t>
      </w:r>
      <w:r w:rsidRPr="00C545B4">
        <w:rPr>
          <w:rFonts w:ascii="Times New Roman" w:hAnsi="Times New Roman" w:cs="Times New Roman"/>
        </w:rPr>
        <w:tab/>
        <w:t xml:space="preserve">Nazreen S. Ethnomedicinal Uses, Pharmacological and Phytochemical Studies of </w:t>
      </w:r>
      <w:r w:rsidRPr="00336FB5">
        <w:rPr>
          <w:rFonts w:ascii="Times New Roman" w:hAnsi="Times New Roman" w:cs="Times New Roman"/>
          <w:i/>
          <w:iCs/>
        </w:rPr>
        <w:t>Bambusa Arundinaceae</w:t>
      </w:r>
      <w:r w:rsidRPr="00C545B4">
        <w:rPr>
          <w:rFonts w:ascii="Times New Roman" w:hAnsi="Times New Roman" w:cs="Times New Roman"/>
        </w:rPr>
        <w:t xml:space="preserve"> Retz (A Review). Orient J Chem. 2022 Apr 29;38(2):247–58. </w:t>
      </w:r>
    </w:p>
    <w:p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12.</w:t>
      </w:r>
      <w:r w:rsidRPr="00C545B4">
        <w:rPr>
          <w:rFonts w:ascii="Times New Roman" w:hAnsi="Times New Roman" w:cs="Times New Roman"/>
        </w:rPr>
        <w:tab/>
        <w:t xml:space="preserve">Sangeetha MK, Priya CDM, Vasanthi HR. Anti-diabetic property of </w:t>
      </w:r>
      <w:r w:rsidRPr="00336FB5">
        <w:rPr>
          <w:rFonts w:ascii="Times New Roman" w:hAnsi="Times New Roman" w:cs="Times New Roman"/>
          <w:i/>
          <w:iCs/>
        </w:rPr>
        <w:t>Tinospora cordifolia</w:t>
      </w:r>
      <w:r w:rsidRPr="00C545B4">
        <w:rPr>
          <w:rFonts w:ascii="Times New Roman" w:hAnsi="Times New Roman" w:cs="Times New Roman"/>
        </w:rPr>
        <w:t xml:space="preserve"> and its active compound is mediated through the expression of Glut-4 in L6 myotubes. Phytomedicine Int J Phytother Phytopharm. 2013 Feb 15;20(3–4):246–8. </w:t>
      </w:r>
    </w:p>
    <w:p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13.</w:t>
      </w:r>
      <w:r w:rsidRPr="00C545B4">
        <w:rPr>
          <w:rFonts w:ascii="Times New Roman" w:hAnsi="Times New Roman" w:cs="Times New Roman"/>
        </w:rPr>
        <w:tab/>
        <w:t xml:space="preserve">Ravi K, Sivagnanam K, Subramanian S. Anti-diabetic activity of </w:t>
      </w:r>
      <w:r w:rsidRPr="00336FB5">
        <w:rPr>
          <w:rFonts w:ascii="Times New Roman" w:hAnsi="Times New Roman" w:cs="Times New Roman"/>
          <w:i/>
          <w:iCs/>
        </w:rPr>
        <w:t>Eugenia jambolana</w:t>
      </w:r>
      <w:r w:rsidRPr="00C545B4">
        <w:rPr>
          <w:rFonts w:ascii="Times New Roman" w:hAnsi="Times New Roman" w:cs="Times New Roman"/>
        </w:rPr>
        <w:t xml:space="preserve"> seed kernels on streptozotocin-induced diabetic rats. J Med Food. 2004;7(2):187–91. </w:t>
      </w:r>
    </w:p>
    <w:p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14.</w:t>
      </w:r>
      <w:r w:rsidRPr="00C545B4">
        <w:rPr>
          <w:rFonts w:ascii="Times New Roman" w:hAnsi="Times New Roman" w:cs="Times New Roman"/>
        </w:rPr>
        <w:tab/>
        <w:t xml:space="preserve">Baskaran K, Kizar Ahamath B, Radha Shanmugasundaram K, Shanmugasundaram ER. Antidiabetic effect of a leaf extract from </w:t>
      </w:r>
      <w:r w:rsidRPr="00336FB5">
        <w:rPr>
          <w:rFonts w:ascii="Times New Roman" w:hAnsi="Times New Roman" w:cs="Times New Roman"/>
          <w:i/>
          <w:iCs/>
        </w:rPr>
        <w:t>Gymnema sylvestre</w:t>
      </w:r>
      <w:r w:rsidRPr="00C545B4">
        <w:rPr>
          <w:rFonts w:ascii="Times New Roman" w:hAnsi="Times New Roman" w:cs="Times New Roman"/>
        </w:rPr>
        <w:t xml:space="preserve"> in non-insulin-dependent diabetes mellitus patients. J Ethnopharmacol. 1990 Oct;30(3):295–300. </w:t>
      </w:r>
    </w:p>
    <w:p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15.</w:t>
      </w:r>
      <w:r w:rsidRPr="00C545B4">
        <w:rPr>
          <w:rFonts w:ascii="Times New Roman" w:hAnsi="Times New Roman" w:cs="Times New Roman"/>
        </w:rPr>
        <w:tab/>
        <w:t xml:space="preserve">Usatiuc LO, Pop RM, Adrian S, Pârvu M, Țicolea M, Uifălean A, et al. Multitargeted Effects of </w:t>
      </w:r>
      <w:r w:rsidRPr="00336FB5">
        <w:rPr>
          <w:rFonts w:ascii="Times New Roman" w:hAnsi="Times New Roman" w:cs="Times New Roman"/>
          <w:i/>
          <w:iCs/>
        </w:rPr>
        <w:t>Plantago ovata</w:t>
      </w:r>
      <w:r w:rsidRPr="00C545B4">
        <w:rPr>
          <w:rFonts w:ascii="Times New Roman" w:hAnsi="Times New Roman" w:cs="Times New Roman"/>
        </w:rPr>
        <w:t xml:space="preserve"> Ethanol Extract in Experimental Rat Streptozotocin-Induced Diabetes Mellitus and Letrozole-Induced Polycystic Ovary Syndrome. Int J Mol Sci. 2025 May 14;26(10):4712. </w:t>
      </w:r>
    </w:p>
    <w:p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16.</w:t>
      </w:r>
      <w:r w:rsidRPr="00C545B4">
        <w:rPr>
          <w:rFonts w:ascii="Times New Roman" w:hAnsi="Times New Roman" w:cs="Times New Roman"/>
        </w:rPr>
        <w:tab/>
        <w:t xml:space="preserve">Razzaq A, Hussain G, Rasul A, Xu J, Zhang Q, Malik SA, et al. </w:t>
      </w:r>
      <w:r w:rsidRPr="00336FB5">
        <w:rPr>
          <w:rFonts w:ascii="Times New Roman" w:hAnsi="Times New Roman" w:cs="Times New Roman"/>
          <w:i/>
          <w:iCs/>
        </w:rPr>
        <w:t>Strychnos nux-vomica</w:t>
      </w:r>
      <w:r w:rsidRPr="00C545B4">
        <w:rPr>
          <w:rFonts w:ascii="Times New Roman" w:hAnsi="Times New Roman" w:cs="Times New Roman"/>
        </w:rPr>
        <w:t xml:space="preserve"> L. seed preparation promotes functional recovery and attenuates oxidative stress in a mouse model of sciatic nerve crush injury. BMC Complement Med Ther. 2020 June 11;20(1):181. </w:t>
      </w:r>
    </w:p>
    <w:p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17.</w:t>
      </w:r>
      <w:r w:rsidRPr="00C545B4">
        <w:rPr>
          <w:rFonts w:ascii="Times New Roman" w:hAnsi="Times New Roman" w:cs="Times New Roman"/>
        </w:rPr>
        <w:tab/>
        <w:t xml:space="preserve">Zargar BA, Masoodi MH, Khan BA, Akbar S. </w:t>
      </w:r>
      <w:r w:rsidRPr="00C545B4">
        <w:rPr>
          <w:rFonts w:ascii="Times New Roman" w:hAnsi="Times New Roman" w:cs="Times New Roman"/>
          <w:i/>
          <w:iCs/>
        </w:rPr>
        <w:t>Paeonia emodi</w:t>
      </w:r>
      <w:r w:rsidRPr="00C545B4">
        <w:rPr>
          <w:rFonts w:ascii="Times New Roman" w:hAnsi="Times New Roman" w:cs="Times New Roman"/>
        </w:rPr>
        <w:t xml:space="preserve"> Royle: Ethnomedicinal uses, phytochemistry and pharmacology. Phytochem Lett. 2013 May 1;6(2):261–6. </w:t>
      </w:r>
    </w:p>
    <w:p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18.</w:t>
      </w:r>
      <w:r w:rsidRPr="00C545B4">
        <w:rPr>
          <w:rFonts w:ascii="Times New Roman" w:hAnsi="Times New Roman" w:cs="Times New Roman"/>
        </w:rPr>
        <w:tab/>
        <w:t xml:space="preserve">Ranasinghe P, Galappaththy P, Constantine GR, Jayawardena R, Weeratunga HD, Premakumara S, et al. </w:t>
      </w:r>
      <w:r w:rsidRPr="00336FB5">
        <w:rPr>
          <w:rFonts w:ascii="Times New Roman" w:hAnsi="Times New Roman" w:cs="Times New Roman"/>
          <w:i/>
          <w:iCs/>
        </w:rPr>
        <w:t>Cinnamomum zeylanicum</w:t>
      </w:r>
      <w:r w:rsidRPr="00C545B4">
        <w:rPr>
          <w:rFonts w:ascii="Times New Roman" w:hAnsi="Times New Roman" w:cs="Times New Roman"/>
        </w:rPr>
        <w:t xml:space="preserve"> (Ceylon cinnamon) as a potential pharmaceutical agent for type-2 diabetes mellitus: study protocol for a randomized controlled trial. Trials. 2017 Sept 29;18(1):446. </w:t>
      </w:r>
    </w:p>
    <w:p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19.</w:t>
      </w:r>
      <w:r w:rsidRPr="00C545B4">
        <w:rPr>
          <w:rFonts w:ascii="Times New Roman" w:hAnsi="Times New Roman" w:cs="Times New Roman"/>
        </w:rPr>
        <w:tab/>
        <w:t xml:space="preserve">Dewi K, Widyarto B, pande putu E, Widowati W. In vitro study of </w:t>
      </w:r>
      <w:r w:rsidRPr="00336FB5">
        <w:rPr>
          <w:rFonts w:ascii="Times New Roman" w:hAnsi="Times New Roman" w:cs="Times New Roman"/>
          <w:i/>
          <w:iCs/>
        </w:rPr>
        <w:t>Myristica fragrans</w:t>
      </w:r>
      <w:r w:rsidRPr="00C545B4">
        <w:rPr>
          <w:rFonts w:ascii="Times New Roman" w:hAnsi="Times New Roman" w:cs="Times New Roman"/>
        </w:rPr>
        <w:t xml:space="preserve"> seed (Nutmeg) ethanolic extract and quercetin compound as anti-inflammatory agent. Int J Res Med Sci. 2015 Jan 1;2303–10. </w:t>
      </w:r>
    </w:p>
    <w:p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20.</w:t>
      </w:r>
      <w:r w:rsidRPr="00C545B4">
        <w:rPr>
          <w:rFonts w:ascii="Times New Roman" w:hAnsi="Times New Roman" w:cs="Times New Roman"/>
        </w:rPr>
        <w:tab/>
        <w:t xml:space="preserve">El-Saber Batiha G, Alkazmi LM, Wasef LG, Beshbishy AM, Nadwa EH, Rashwan EK. </w:t>
      </w:r>
      <w:r w:rsidRPr="00336FB5">
        <w:rPr>
          <w:rFonts w:ascii="Times New Roman" w:hAnsi="Times New Roman" w:cs="Times New Roman"/>
          <w:i/>
          <w:iCs/>
        </w:rPr>
        <w:t>Syzygium aromaticum</w:t>
      </w:r>
      <w:r w:rsidRPr="00C545B4">
        <w:rPr>
          <w:rFonts w:ascii="Times New Roman" w:hAnsi="Times New Roman" w:cs="Times New Roman"/>
        </w:rPr>
        <w:t xml:space="preserve"> L. (Myrtaceae): Traditional Uses, Bioactive Chemical Constituents, Pharmacological and Toxicological Activities. Biomolecules. 2020 Feb;10(2):202. </w:t>
      </w:r>
    </w:p>
    <w:p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21.</w:t>
      </w:r>
      <w:r w:rsidRPr="00C545B4">
        <w:rPr>
          <w:rFonts w:ascii="Times New Roman" w:hAnsi="Times New Roman" w:cs="Times New Roman"/>
        </w:rPr>
        <w:tab/>
        <w:t>Diabetic Peripheral Neuropathy: Epidemiology, Diagnosis, and Pharmacotherapy - PubMed [Internet]. [cited 2025 July 30]. Available from: https://pubmed.ncbi.nlm.nih.gov/29709457/</w:t>
      </w:r>
    </w:p>
    <w:p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lastRenderedPageBreak/>
        <w:t>22.</w:t>
      </w:r>
      <w:r w:rsidRPr="00C545B4">
        <w:rPr>
          <w:rFonts w:ascii="Times New Roman" w:hAnsi="Times New Roman" w:cs="Times New Roman"/>
        </w:rPr>
        <w:tab/>
        <w:t>F N, M I, F S, S N. Effective Management of Type-2 Diabetes Mellitus with Unani Medications: A Case Report. Adv Mind Body Med [Internet]. 2024 [cited 2025 July 30];38(4). Available from: https://pubmed.ncbi.nlm.nih.gov/39447126/</w:t>
      </w:r>
    </w:p>
    <w:p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23.</w:t>
      </w:r>
      <w:r w:rsidRPr="00C545B4">
        <w:rPr>
          <w:rFonts w:ascii="Times New Roman" w:hAnsi="Times New Roman" w:cs="Times New Roman"/>
        </w:rPr>
        <w:tab/>
        <w:t>Ahmed T, Vinay E, Naikodi MAR, Siddiqui JI, Dwivedi DK, Munshi YI, et al. Blood Glucose-Lowering Activity of Compound Herbo-Mineral Unani Formulation Qurs-e-Ziabetus in Nicotinamide-Streptozotocin-induced Diabetic Rats. [cited 2025 July 30]; Available from: https://www.nrfhh.com/Blood-Glucose-Lowering-Activity-of-Compound-Herbo-Mineral-Unani-Formulation-Qurs,199578,0,2.html</w:t>
      </w:r>
    </w:p>
    <w:p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24.</w:t>
      </w:r>
      <w:r w:rsidRPr="00C545B4">
        <w:rPr>
          <w:rFonts w:ascii="Times New Roman" w:hAnsi="Times New Roman" w:cs="Times New Roman"/>
        </w:rPr>
        <w:tab/>
        <w:t xml:space="preserve">Zaheer A, Zaheer F, Saeed H, Tahir Z, Tahir MW. A Review of Alternative Treatment Options in Diabetic Polyneuropathy. Cureus. 13(4):e14600. </w:t>
      </w:r>
    </w:p>
    <w:p w:rsidR="007D480C" w:rsidRDefault="00565B6D" w:rsidP="00FD53E0">
      <w:pPr>
        <w:spacing w:before="100" w:beforeAutospacing="1" w:after="100" w:afterAutospacing="1" w:line="360" w:lineRule="auto"/>
        <w:jc w:val="both"/>
      </w:pPr>
      <w:r w:rsidRPr="00E05D0F">
        <w:rPr>
          <w:rFonts w:asciiTheme="majorBidi" w:eastAsia="Times New Roman" w:hAnsiTheme="majorBidi" w:cstheme="majorBidi"/>
          <w:kern w:val="0"/>
        </w:rPr>
        <w:fldChar w:fldCharType="end"/>
      </w:r>
    </w:p>
    <w:p w:rsidR="000E35C5" w:rsidRPr="00BC293B" w:rsidRDefault="007D480C" w:rsidP="00C16018">
      <w:pPr>
        <w:spacing w:before="100" w:beforeAutospacing="1" w:after="100" w:afterAutospacing="1" w:line="360" w:lineRule="auto"/>
        <w:jc w:val="both"/>
        <w:rPr>
          <w:rFonts w:asciiTheme="majorBidi" w:hAnsiTheme="majorBidi" w:cstheme="majorBidi"/>
        </w:rPr>
      </w:pPr>
      <w:r w:rsidRPr="007D480C">
        <w:rPr>
          <w:rFonts w:asciiTheme="majorBidi" w:eastAsia="Times New Roman" w:hAnsiTheme="majorBidi" w:cstheme="majorBidi"/>
          <w:kern w:val="0"/>
        </w:rPr>
        <w:t>Fig 1: VPT assessment of three cases (pre and post treatment)</w:t>
      </w:r>
    </w:p>
    <w:p w:rsidR="00C545B4" w:rsidRDefault="00492258" w:rsidP="007E4D2B">
      <w:pPr>
        <w:spacing w:before="100" w:beforeAutospacing="1" w:after="100" w:afterAutospacing="1" w:line="360" w:lineRule="auto"/>
        <w:rPr>
          <w:rFonts w:ascii="Times New Roman" w:eastAsia="Times New Roman" w:hAnsi="Times New Roman" w:cs="Times New Roman"/>
          <w:kern w:val="0"/>
          <w:lang w:val="en-IN" w:eastAsia="en-IN"/>
        </w:rPr>
      </w:pPr>
      <w:r>
        <w:rPr>
          <w:rFonts w:asciiTheme="majorBidi" w:eastAsia="Times New Roman" w:hAnsiTheme="majorBidi" w:cstheme="majorBidi"/>
          <w:noProof/>
          <w:kern w:val="0"/>
        </w:rPr>
        <w:drawing>
          <wp:inline distT="0" distB="0" distL="0" distR="0">
            <wp:extent cx="5710157" cy="4983562"/>
            <wp:effectExtent l="19050" t="0" r="4843" b="0"/>
            <wp:docPr id="4" name="Picture 1" descr="E:\4. Shabbir DPN case series\1. submission\V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4. Shabbir DPN case series\1. submission\VPT.png"/>
                    <pic:cNvPicPr>
                      <a:picLocks noChangeAspect="1" noChangeArrowheads="1"/>
                    </pic:cNvPicPr>
                  </pic:nvPicPr>
                  <pic:blipFill>
                    <a:blip r:embed="rId12" cstate="print"/>
                    <a:srcRect/>
                    <a:stretch>
                      <a:fillRect/>
                    </a:stretch>
                  </pic:blipFill>
                  <pic:spPr bwMode="auto">
                    <a:xfrm>
                      <a:off x="0" y="0"/>
                      <a:ext cx="5716648" cy="4989227"/>
                    </a:xfrm>
                    <a:prstGeom prst="rect">
                      <a:avLst/>
                    </a:prstGeom>
                    <a:noFill/>
                    <a:ln w="9525">
                      <a:noFill/>
                      <a:miter lim="800000"/>
                      <a:headEnd/>
                      <a:tailEnd/>
                    </a:ln>
                  </pic:spPr>
                </pic:pic>
              </a:graphicData>
            </a:graphic>
          </wp:inline>
        </w:drawing>
      </w:r>
    </w:p>
    <w:p w:rsidR="007D480C" w:rsidRDefault="007D480C" w:rsidP="007E4D2B">
      <w:pPr>
        <w:spacing w:before="100" w:beforeAutospacing="1" w:after="100" w:afterAutospacing="1" w:line="360" w:lineRule="auto"/>
        <w:rPr>
          <w:rFonts w:ascii="Times New Roman" w:eastAsia="Times New Roman" w:hAnsi="Times New Roman" w:cs="Times New Roman"/>
          <w:kern w:val="0"/>
          <w:lang w:val="en-IN" w:eastAsia="en-IN"/>
        </w:rPr>
      </w:pPr>
    </w:p>
    <w:p w:rsidR="00FD53E0" w:rsidRDefault="00FD53E0" w:rsidP="007E4D2B">
      <w:pPr>
        <w:spacing w:before="100" w:beforeAutospacing="1" w:after="100" w:afterAutospacing="1" w:line="360" w:lineRule="auto"/>
        <w:rPr>
          <w:rFonts w:ascii="Times New Roman" w:eastAsia="Times New Roman" w:hAnsi="Times New Roman" w:cs="Times New Roman"/>
          <w:kern w:val="0"/>
          <w:lang w:val="en-IN" w:eastAsia="en-IN"/>
        </w:rPr>
      </w:pPr>
    </w:p>
    <w:p w:rsidR="005267EE" w:rsidRDefault="005267EE" w:rsidP="007E4D2B">
      <w:pPr>
        <w:spacing w:before="100" w:beforeAutospacing="1" w:after="100" w:afterAutospacing="1" w:line="360" w:lineRule="auto"/>
        <w:rPr>
          <w:rFonts w:ascii="Times New Roman" w:eastAsia="Times New Roman" w:hAnsi="Times New Roman" w:cs="Times New Roman"/>
          <w:kern w:val="0"/>
          <w:lang w:val="en-IN" w:eastAsia="en-IN"/>
        </w:rPr>
      </w:pPr>
    </w:p>
    <w:p w:rsidR="007D480C" w:rsidRDefault="007D480C" w:rsidP="007E4D2B">
      <w:pPr>
        <w:spacing w:before="100" w:beforeAutospacing="1" w:after="100" w:afterAutospacing="1" w:line="360" w:lineRule="auto"/>
        <w:rPr>
          <w:rFonts w:ascii="Times New Roman" w:eastAsia="Times New Roman" w:hAnsi="Times New Roman" w:cs="Times New Roman"/>
          <w:kern w:val="0"/>
          <w:lang w:val="en-IN" w:eastAsia="en-IN"/>
        </w:rPr>
      </w:pPr>
      <w:r w:rsidRPr="00E05D0F">
        <w:rPr>
          <w:rFonts w:ascii="Times New Roman" w:eastAsia="Times New Roman" w:hAnsi="Times New Roman" w:cs="Times New Roman"/>
          <w:kern w:val="0"/>
          <w:lang w:val="en-IN" w:eastAsia="en-IN"/>
        </w:rPr>
        <w:t xml:space="preserve">Fig </w:t>
      </w:r>
      <w:r>
        <w:rPr>
          <w:rFonts w:ascii="Times New Roman" w:eastAsia="Times New Roman" w:hAnsi="Times New Roman" w:cs="Times New Roman"/>
          <w:kern w:val="0"/>
          <w:lang w:val="en-IN" w:eastAsia="en-IN"/>
        </w:rPr>
        <w:t>2</w:t>
      </w:r>
      <w:r w:rsidRPr="00E05D0F">
        <w:rPr>
          <w:rFonts w:ascii="Times New Roman" w:eastAsia="Times New Roman" w:hAnsi="Times New Roman" w:cs="Times New Roman"/>
          <w:kern w:val="0"/>
          <w:lang w:val="en-IN" w:eastAsia="en-IN"/>
        </w:rPr>
        <w:t>: Follow-Up chart</w:t>
      </w:r>
      <w:r>
        <w:rPr>
          <w:rFonts w:ascii="Times New Roman" w:eastAsia="Times New Roman" w:hAnsi="Times New Roman" w:cs="Times New Roman"/>
          <w:kern w:val="0"/>
          <w:lang w:val="en-IN" w:eastAsia="en-IN"/>
        </w:rPr>
        <w:t xml:space="preserve"> of VAS and WHOQ</w:t>
      </w:r>
      <w:r w:rsidR="0085474C">
        <w:rPr>
          <w:rFonts w:ascii="Times New Roman" w:eastAsia="Times New Roman" w:hAnsi="Times New Roman" w:cs="Times New Roman"/>
          <w:kern w:val="0"/>
          <w:lang w:val="en-IN" w:eastAsia="en-IN"/>
        </w:rPr>
        <w:t>OL</w:t>
      </w:r>
    </w:p>
    <w:p w:rsidR="00492258" w:rsidRPr="00E05D0F" w:rsidRDefault="00492258" w:rsidP="00492258">
      <w:pPr>
        <w:spacing w:before="100" w:beforeAutospacing="1" w:after="100" w:afterAutospacing="1" w:line="360" w:lineRule="auto"/>
        <w:rPr>
          <w:rFonts w:asciiTheme="majorBidi" w:eastAsia="Times New Roman" w:hAnsiTheme="majorBidi" w:cstheme="majorBidi"/>
          <w:kern w:val="0"/>
        </w:rPr>
      </w:pPr>
      <w:r>
        <w:rPr>
          <w:rFonts w:asciiTheme="majorBidi" w:eastAsia="Times New Roman" w:hAnsiTheme="majorBidi" w:cstheme="majorBidi"/>
          <w:noProof/>
          <w:kern w:val="0"/>
        </w:rPr>
        <w:drawing>
          <wp:inline distT="0" distB="0" distL="0" distR="0">
            <wp:extent cx="5527093" cy="3353869"/>
            <wp:effectExtent l="19050" t="0" r="0" b="0"/>
            <wp:docPr id="2" name="Picture 2" descr="E:\4. Shabbir DPN case series\1. submission\VAS and Q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4. Shabbir DPN case series\1. submission\VAS and QOL.png"/>
                    <pic:cNvPicPr>
                      <a:picLocks noChangeAspect="1" noChangeArrowheads="1"/>
                    </pic:cNvPicPr>
                  </pic:nvPicPr>
                  <pic:blipFill>
                    <a:blip r:embed="rId13" cstate="print"/>
                    <a:srcRect/>
                    <a:stretch>
                      <a:fillRect/>
                    </a:stretch>
                  </pic:blipFill>
                  <pic:spPr bwMode="auto">
                    <a:xfrm>
                      <a:off x="0" y="0"/>
                      <a:ext cx="5525589" cy="3352956"/>
                    </a:xfrm>
                    <a:prstGeom prst="rect">
                      <a:avLst/>
                    </a:prstGeom>
                    <a:noFill/>
                    <a:ln w="9525">
                      <a:noFill/>
                      <a:miter lim="800000"/>
                      <a:headEnd/>
                      <a:tailEnd/>
                    </a:ln>
                  </pic:spPr>
                </pic:pic>
              </a:graphicData>
            </a:graphic>
          </wp:inline>
        </w:drawing>
      </w:r>
    </w:p>
    <w:sectPr w:rsidR="00492258" w:rsidRPr="00E05D0F" w:rsidSect="002D6A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000" w:rsidRDefault="00E61000" w:rsidP="00312ABB">
      <w:r>
        <w:separator/>
      </w:r>
    </w:p>
  </w:endnote>
  <w:endnote w:type="continuationSeparator" w:id="0">
    <w:p w:rsidR="00E61000" w:rsidRDefault="00E61000" w:rsidP="0031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898829"/>
      <w:docPartObj>
        <w:docPartGallery w:val="Page Numbers (Bottom of Page)"/>
        <w:docPartUnique/>
      </w:docPartObj>
    </w:sdtPr>
    <w:sdtEndPr/>
    <w:sdtContent>
      <w:p w:rsidR="0065280A" w:rsidRDefault="0065280A">
        <w:pPr>
          <w:pStyle w:val="Footer"/>
          <w:jc w:val="right"/>
        </w:pPr>
      </w:p>
      <w:p w:rsidR="0065280A" w:rsidRDefault="00F43A34">
        <w:pPr>
          <w:pStyle w:val="Footer"/>
          <w:jc w:val="right"/>
        </w:pPr>
        <w:r>
          <w:fldChar w:fldCharType="begin"/>
        </w:r>
        <w:r>
          <w:instrText xml:space="preserve"> PAGE   \* MERGEFORMAT </w:instrText>
        </w:r>
        <w:r>
          <w:fldChar w:fldCharType="separate"/>
        </w:r>
        <w:r w:rsidR="005F7920">
          <w:rPr>
            <w:noProof/>
          </w:rPr>
          <w:t>10</w:t>
        </w:r>
        <w:r>
          <w:rPr>
            <w:noProof/>
          </w:rPr>
          <w:fldChar w:fldCharType="end"/>
        </w:r>
      </w:p>
    </w:sdtContent>
  </w:sdt>
  <w:p w:rsidR="0065280A" w:rsidRDefault="00652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000" w:rsidRDefault="00E61000" w:rsidP="00312ABB">
      <w:r>
        <w:separator/>
      </w:r>
    </w:p>
  </w:footnote>
  <w:footnote w:type="continuationSeparator" w:id="0">
    <w:p w:rsidR="00E61000" w:rsidRDefault="00E61000" w:rsidP="00312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80A" w:rsidRDefault="00E61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60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80A" w:rsidRDefault="00E61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60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80A" w:rsidRDefault="00E61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60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50FA"/>
    <w:multiLevelType w:val="multilevel"/>
    <w:tmpl w:val="B11E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350E2"/>
    <w:multiLevelType w:val="hybridMultilevel"/>
    <w:tmpl w:val="59E649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887C48"/>
    <w:multiLevelType w:val="multilevel"/>
    <w:tmpl w:val="781E8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A23C4"/>
    <w:multiLevelType w:val="multilevel"/>
    <w:tmpl w:val="B076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381890"/>
    <w:multiLevelType w:val="multilevel"/>
    <w:tmpl w:val="13249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B138F"/>
    <w:multiLevelType w:val="hybridMultilevel"/>
    <w:tmpl w:val="AFD2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B5A00"/>
    <w:multiLevelType w:val="multilevel"/>
    <w:tmpl w:val="0608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95D95"/>
    <w:multiLevelType w:val="multilevel"/>
    <w:tmpl w:val="EB60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A042C"/>
    <w:multiLevelType w:val="multilevel"/>
    <w:tmpl w:val="73CE4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387E48"/>
    <w:multiLevelType w:val="multilevel"/>
    <w:tmpl w:val="AC26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12FE6"/>
    <w:multiLevelType w:val="multilevel"/>
    <w:tmpl w:val="6E10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73B84"/>
    <w:multiLevelType w:val="multilevel"/>
    <w:tmpl w:val="E086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C4E09"/>
    <w:multiLevelType w:val="multilevel"/>
    <w:tmpl w:val="05BE9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CB2F89"/>
    <w:multiLevelType w:val="multilevel"/>
    <w:tmpl w:val="BDFC1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65568C"/>
    <w:multiLevelType w:val="multilevel"/>
    <w:tmpl w:val="0CC4FC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FE6F16"/>
    <w:multiLevelType w:val="multilevel"/>
    <w:tmpl w:val="FFD4F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6676A7"/>
    <w:multiLevelType w:val="multilevel"/>
    <w:tmpl w:val="47166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91F83"/>
    <w:multiLevelType w:val="hybridMultilevel"/>
    <w:tmpl w:val="F76A66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1497BD1"/>
    <w:multiLevelType w:val="multilevel"/>
    <w:tmpl w:val="C326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1A55EB"/>
    <w:multiLevelType w:val="multilevel"/>
    <w:tmpl w:val="BA76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1F0CFE"/>
    <w:multiLevelType w:val="multilevel"/>
    <w:tmpl w:val="427CFE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273438"/>
    <w:multiLevelType w:val="multilevel"/>
    <w:tmpl w:val="FF44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0464EA"/>
    <w:multiLevelType w:val="multilevel"/>
    <w:tmpl w:val="5C2E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ED5C37"/>
    <w:multiLevelType w:val="hybridMultilevel"/>
    <w:tmpl w:val="9F786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7075E3"/>
    <w:multiLevelType w:val="hybridMultilevel"/>
    <w:tmpl w:val="D3A2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742A0"/>
    <w:multiLevelType w:val="multilevel"/>
    <w:tmpl w:val="49C46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2"/>
  </w:num>
  <w:num w:numId="3">
    <w:abstractNumId w:val="2"/>
  </w:num>
  <w:num w:numId="4">
    <w:abstractNumId w:val="15"/>
  </w:num>
  <w:num w:numId="5">
    <w:abstractNumId w:val="24"/>
  </w:num>
  <w:num w:numId="6">
    <w:abstractNumId w:val="19"/>
  </w:num>
  <w:num w:numId="7">
    <w:abstractNumId w:val="10"/>
  </w:num>
  <w:num w:numId="8">
    <w:abstractNumId w:val="8"/>
  </w:num>
  <w:num w:numId="9">
    <w:abstractNumId w:val="20"/>
  </w:num>
  <w:num w:numId="10">
    <w:abstractNumId w:val="25"/>
  </w:num>
  <w:num w:numId="11">
    <w:abstractNumId w:val="14"/>
  </w:num>
  <w:num w:numId="12">
    <w:abstractNumId w:val="5"/>
  </w:num>
  <w:num w:numId="13">
    <w:abstractNumId w:val="9"/>
  </w:num>
  <w:num w:numId="14">
    <w:abstractNumId w:val="18"/>
  </w:num>
  <w:num w:numId="15">
    <w:abstractNumId w:val="6"/>
  </w:num>
  <w:num w:numId="16">
    <w:abstractNumId w:val="0"/>
  </w:num>
  <w:num w:numId="17">
    <w:abstractNumId w:val="7"/>
  </w:num>
  <w:num w:numId="18">
    <w:abstractNumId w:val="4"/>
  </w:num>
  <w:num w:numId="19">
    <w:abstractNumId w:val="16"/>
  </w:num>
  <w:num w:numId="20">
    <w:abstractNumId w:val="21"/>
  </w:num>
  <w:num w:numId="21">
    <w:abstractNumId w:val="11"/>
  </w:num>
  <w:num w:numId="22">
    <w:abstractNumId w:val="12"/>
  </w:num>
  <w:num w:numId="23">
    <w:abstractNumId w:val="3"/>
  </w:num>
  <w:num w:numId="24">
    <w:abstractNumId w:val="13"/>
  </w:num>
  <w:num w:numId="25">
    <w:abstractNumId w:val="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MDA0tjQ1NTM2sDQ3NjVT0lEKTi0uzszPAykwrAUAZcBIoSwAAAA="/>
  </w:docVars>
  <w:rsids>
    <w:rsidRoot w:val="00D66894"/>
    <w:rsid w:val="00003C7A"/>
    <w:rsid w:val="00014B0A"/>
    <w:rsid w:val="000225D1"/>
    <w:rsid w:val="00024E00"/>
    <w:rsid w:val="00027800"/>
    <w:rsid w:val="00040586"/>
    <w:rsid w:val="0005200A"/>
    <w:rsid w:val="000740FB"/>
    <w:rsid w:val="000810A5"/>
    <w:rsid w:val="000A5AAC"/>
    <w:rsid w:val="000B160F"/>
    <w:rsid w:val="000D26C8"/>
    <w:rsid w:val="000D584A"/>
    <w:rsid w:val="000E2AC3"/>
    <w:rsid w:val="000E35C5"/>
    <w:rsid w:val="000E78FA"/>
    <w:rsid w:val="001103A9"/>
    <w:rsid w:val="0011235D"/>
    <w:rsid w:val="00125A57"/>
    <w:rsid w:val="00131DEB"/>
    <w:rsid w:val="001338F9"/>
    <w:rsid w:val="00133F6A"/>
    <w:rsid w:val="0013697E"/>
    <w:rsid w:val="00144B7C"/>
    <w:rsid w:val="00156F5D"/>
    <w:rsid w:val="001630EC"/>
    <w:rsid w:val="0016561A"/>
    <w:rsid w:val="00172BE1"/>
    <w:rsid w:val="00180FD5"/>
    <w:rsid w:val="00181761"/>
    <w:rsid w:val="00181F13"/>
    <w:rsid w:val="001A6107"/>
    <w:rsid w:val="001B0B9F"/>
    <w:rsid w:val="001B3C98"/>
    <w:rsid w:val="001B7CFF"/>
    <w:rsid w:val="001C61E8"/>
    <w:rsid w:val="001C6B79"/>
    <w:rsid w:val="001E34BF"/>
    <w:rsid w:val="001E554C"/>
    <w:rsid w:val="001F1200"/>
    <w:rsid w:val="001F1F13"/>
    <w:rsid w:val="001F3AB5"/>
    <w:rsid w:val="001F4AA7"/>
    <w:rsid w:val="001F6E45"/>
    <w:rsid w:val="00210018"/>
    <w:rsid w:val="002137F4"/>
    <w:rsid w:val="00227CE0"/>
    <w:rsid w:val="00230023"/>
    <w:rsid w:val="00232803"/>
    <w:rsid w:val="00233658"/>
    <w:rsid w:val="00250BB7"/>
    <w:rsid w:val="00261B30"/>
    <w:rsid w:val="00265970"/>
    <w:rsid w:val="00270E03"/>
    <w:rsid w:val="00271848"/>
    <w:rsid w:val="00271865"/>
    <w:rsid w:val="00282A5D"/>
    <w:rsid w:val="00283A38"/>
    <w:rsid w:val="0029259A"/>
    <w:rsid w:val="002929A2"/>
    <w:rsid w:val="00292F3B"/>
    <w:rsid w:val="00293520"/>
    <w:rsid w:val="002A4E03"/>
    <w:rsid w:val="002A73DF"/>
    <w:rsid w:val="002C306F"/>
    <w:rsid w:val="002C6E19"/>
    <w:rsid w:val="002D4500"/>
    <w:rsid w:val="002D6ADA"/>
    <w:rsid w:val="002D6B04"/>
    <w:rsid w:val="002E071A"/>
    <w:rsid w:val="002F3441"/>
    <w:rsid w:val="00312ABB"/>
    <w:rsid w:val="00316015"/>
    <w:rsid w:val="00320697"/>
    <w:rsid w:val="00336FB5"/>
    <w:rsid w:val="00346335"/>
    <w:rsid w:val="00363662"/>
    <w:rsid w:val="003663B3"/>
    <w:rsid w:val="00366A6A"/>
    <w:rsid w:val="00375949"/>
    <w:rsid w:val="003764FA"/>
    <w:rsid w:val="00380436"/>
    <w:rsid w:val="00382B75"/>
    <w:rsid w:val="003A0277"/>
    <w:rsid w:val="003C429F"/>
    <w:rsid w:val="003E32E9"/>
    <w:rsid w:val="003E3EA9"/>
    <w:rsid w:val="003E47A6"/>
    <w:rsid w:val="003F19AA"/>
    <w:rsid w:val="003F5BF0"/>
    <w:rsid w:val="00403BA1"/>
    <w:rsid w:val="00404D2A"/>
    <w:rsid w:val="00406354"/>
    <w:rsid w:val="00413F69"/>
    <w:rsid w:val="00434811"/>
    <w:rsid w:val="004365DF"/>
    <w:rsid w:val="00451511"/>
    <w:rsid w:val="004534C9"/>
    <w:rsid w:val="00454DC2"/>
    <w:rsid w:val="00463D97"/>
    <w:rsid w:val="00484FD2"/>
    <w:rsid w:val="00486661"/>
    <w:rsid w:val="004910FE"/>
    <w:rsid w:val="00492258"/>
    <w:rsid w:val="00496456"/>
    <w:rsid w:val="004A288B"/>
    <w:rsid w:val="004B5328"/>
    <w:rsid w:val="004D1781"/>
    <w:rsid w:val="004D471D"/>
    <w:rsid w:val="004D5AB3"/>
    <w:rsid w:val="004E0A15"/>
    <w:rsid w:val="004F3859"/>
    <w:rsid w:val="005006D5"/>
    <w:rsid w:val="005009EC"/>
    <w:rsid w:val="00504B9E"/>
    <w:rsid w:val="00506312"/>
    <w:rsid w:val="00514CB1"/>
    <w:rsid w:val="0051541C"/>
    <w:rsid w:val="0052622C"/>
    <w:rsid w:val="005267EE"/>
    <w:rsid w:val="005325EC"/>
    <w:rsid w:val="00552ADA"/>
    <w:rsid w:val="005628F0"/>
    <w:rsid w:val="005636E4"/>
    <w:rsid w:val="00564E1D"/>
    <w:rsid w:val="00565B6D"/>
    <w:rsid w:val="00567402"/>
    <w:rsid w:val="00570FEE"/>
    <w:rsid w:val="005720BA"/>
    <w:rsid w:val="00573514"/>
    <w:rsid w:val="00582B63"/>
    <w:rsid w:val="005935F9"/>
    <w:rsid w:val="0059430E"/>
    <w:rsid w:val="005A141F"/>
    <w:rsid w:val="005C566D"/>
    <w:rsid w:val="005C6ACC"/>
    <w:rsid w:val="005D18DC"/>
    <w:rsid w:val="005E44A6"/>
    <w:rsid w:val="005E7387"/>
    <w:rsid w:val="005F46E3"/>
    <w:rsid w:val="005F7920"/>
    <w:rsid w:val="00614149"/>
    <w:rsid w:val="006155C9"/>
    <w:rsid w:val="006205D7"/>
    <w:rsid w:val="0063363D"/>
    <w:rsid w:val="00646BC8"/>
    <w:rsid w:val="0065280A"/>
    <w:rsid w:val="00653588"/>
    <w:rsid w:val="00663014"/>
    <w:rsid w:val="006678C9"/>
    <w:rsid w:val="0068771E"/>
    <w:rsid w:val="00687B71"/>
    <w:rsid w:val="00693E4A"/>
    <w:rsid w:val="006A307B"/>
    <w:rsid w:val="006A3AFF"/>
    <w:rsid w:val="006B4012"/>
    <w:rsid w:val="006E4584"/>
    <w:rsid w:val="006F1344"/>
    <w:rsid w:val="006F3EB4"/>
    <w:rsid w:val="00703F7A"/>
    <w:rsid w:val="00711C72"/>
    <w:rsid w:val="007161B3"/>
    <w:rsid w:val="007218DA"/>
    <w:rsid w:val="00734582"/>
    <w:rsid w:val="007505E7"/>
    <w:rsid w:val="007656B6"/>
    <w:rsid w:val="00770AE7"/>
    <w:rsid w:val="00775D85"/>
    <w:rsid w:val="00777B67"/>
    <w:rsid w:val="007955F5"/>
    <w:rsid w:val="0079580D"/>
    <w:rsid w:val="007A7720"/>
    <w:rsid w:val="007A77C5"/>
    <w:rsid w:val="007B6BD1"/>
    <w:rsid w:val="007B7D4D"/>
    <w:rsid w:val="007C0775"/>
    <w:rsid w:val="007C0EC7"/>
    <w:rsid w:val="007D3F8E"/>
    <w:rsid w:val="007D480C"/>
    <w:rsid w:val="007D56B1"/>
    <w:rsid w:val="007D60C0"/>
    <w:rsid w:val="007E4D2B"/>
    <w:rsid w:val="007E61D1"/>
    <w:rsid w:val="00801AAF"/>
    <w:rsid w:val="00801B7A"/>
    <w:rsid w:val="00806977"/>
    <w:rsid w:val="00821363"/>
    <w:rsid w:val="00830B8B"/>
    <w:rsid w:val="00830E44"/>
    <w:rsid w:val="00836922"/>
    <w:rsid w:val="00840D50"/>
    <w:rsid w:val="00841FFA"/>
    <w:rsid w:val="00842503"/>
    <w:rsid w:val="00850F1F"/>
    <w:rsid w:val="00854618"/>
    <w:rsid w:val="0085474C"/>
    <w:rsid w:val="00855AEB"/>
    <w:rsid w:val="0086491D"/>
    <w:rsid w:val="008835C0"/>
    <w:rsid w:val="00883BC9"/>
    <w:rsid w:val="008858E4"/>
    <w:rsid w:val="0089117B"/>
    <w:rsid w:val="008B215D"/>
    <w:rsid w:val="008B28CA"/>
    <w:rsid w:val="008B7677"/>
    <w:rsid w:val="008D6BF8"/>
    <w:rsid w:val="008E51D4"/>
    <w:rsid w:val="008E5602"/>
    <w:rsid w:val="008F170E"/>
    <w:rsid w:val="008F323A"/>
    <w:rsid w:val="0090223E"/>
    <w:rsid w:val="0090351C"/>
    <w:rsid w:val="00906E39"/>
    <w:rsid w:val="00922309"/>
    <w:rsid w:val="00943B77"/>
    <w:rsid w:val="0095549C"/>
    <w:rsid w:val="00956EC8"/>
    <w:rsid w:val="009602B2"/>
    <w:rsid w:val="00960526"/>
    <w:rsid w:val="00961B01"/>
    <w:rsid w:val="00963DF4"/>
    <w:rsid w:val="00964AAC"/>
    <w:rsid w:val="00976EE2"/>
    <w:rsid w:val="00991F10"/>
    <w:rsid w:val="009A107B"/>
    <w:rsid w:val="009B4FA8"/>
    <w:rsid w:val="009E3E8B"/>
    <w:rsid w:val="009E7822"/>
    <w:rsid w:val="009F6C30"/>
    <w:rsid w:val="009F6F26"/>
    <w:rsid w:val="00A10024"/>
    <w:rsid w:val="00A21E76"/>
    <w:rsid w:val="00A40BDA"/>
    <w:rsid w:val="00A4316B"/>
    <w:rsid w:val="00A470DC"/>
    <w:rsid w:val="00A510A9"/>
    <w:rsid w:val="00A56587"/>
    <w:rsid w:val="00A60B3A"/>
    <w:rsid w:val="00A84CF2"/>
    <w:rsid w:val="00AA4234"/>
    <w:rsid w:val="00AA50E5"/>
    <w:rsid w:val="00AA7306"/>
    <w:rsid w:val="00AB0494"/>
    <w:rsid w:val="00AC5F80"/>
    <w:rsid w:val="00AD67A8"/>
    <w:rsid w:val="00B00524"/>
    <w:rsid w:val="00B0447E"/>
    <w:rsid w:val="00B06868"/>
    <w:rsid w:val="00B10D4A"/>
    <w:rsid w:val="00B1583E"/>
    <w:rsid w:val="00B31B4F"/>
    <w:rsid w:val="00B43D36"/>
    <w:rsid w:val="00B4414C"/>
    <w:rsid w:val="00B54D3D"/>
    <w:rsid w:val="00B638AF"/>
    <w:rsid w:val="00B65C23"/>
    <w:rsid w:val="00B7142D"/>
    <w:rsid w:val="00B73286"/>
    <w:rsid w:val="00B74BE6"/>
    <w:rsid w:val="00B77339"/>
    <w:rsid w:val="00B8490A"/>
    <w:rsid w:val="00BA2FB8"/>
    <w:rsid w:val="00BA3944"/>
    <w:rsid w:val="00BA3BB7"/>
    <w:rsid w:val="00BB0D18"/>
    <w:rsid w:val="00BB5F4C"/>
    <w:rsid w:val="00BC7BBE"/>
    <w:rsid w:val="00BD7936"/>
    <w:rsid w:val="00BE6A09"/>
    <w:rsid w:val="00BF0522"/>
    <w:rsid w:val="00BF0CFF"/>
    <w:rsid w:val="00BF1DF6"/>
    <w:rsid w:val="00C16018"/>
    <w:rsid w:val="00C17F27"/>
    <w:rsid w:val="00C261F8"/>
    <w:rsid w:val="00C44674"/>
    <w:rsid w:val="00C50836"/>
    <w:rsid w:val="00C545B4"/>
    <w:rsid w:val="00C56EF2"/>
    <w:rsid w:val="00C63112"/>
    <w:rsid w:val="00C64AED"/>
    <w:rsid w:val="00C709CA"/>
    <w:rsid w:val="00C70C60"/>
    <w:rsid w:val="00C83BB5"/>
    <w:rsid w:val="00C84AD4"/>
    <w:rsid w:val="00C87C6F"/>
    <w:rsid w:val="00C91D47"/>
    <w:rsid w:val="00C93CCE"/>
    <w:rsid w:val="00C9584E"/>
    <w:rsid w:val="00CB0CB2"/>
    <w:rsid w:val="00CB1DE0"/>
    <w:rsid w:val="00CD6B96"/>
    <w:rsid w:val="00CE4A9E"/>
    <w:rsid w:val="00CF2DCF"/>
    <w:rsid w:val="00CF614A"/>
    <w:rsid w:val="00D0235C"/>
    <w:rsid w:val="00D03464"/>
    <w:rsid w:val="00D14F6F"/>
    <w:rsid w:val="00D1603A"/>
    <w:rsid w:val="00D21B8E"/>
    <w:rsid w:val="00D23B59"/>
    <w:rsid w:val="00D40EDB"/>
    <w:rsid w:val="00D45D5E"/>
    <w:rsid w:val="00D52105"/>
    <w:rsid w:val="00D5229E"/>
    <w:rsid w:val="00D65591"/>
    <w:rsid w:val="00D66894"/>
    <w:rsid w:val="00D7654B"/>
    <w:rsid w:val="00D86881"/>
    <w:rsid w:val="00D87EE9"/>
    <w:rsid w:val="00D943F2"/>
    <w:rsid w:val="00D97808"/>
    <w:rsid w:val="00DA26F2"/>
    <w:rsid w:val="00DB6B11"/>
    <w:rsid w:val="00DB6ECD"/>
    <w:rsid w:val="00DC1C01"/>
    <w:rsid w:val="00DC2240"/>
    <w:rsid w:val="00DD6700"/>
    <w:rsid w:val="00DF09D7"/>
    <w:rsid w:val="00DF3496"/>
    <w:rsid w:val="00DF38E1"/>
    <w:rsid w:val="00DF6137"/>
    <w:rsid w:val="00DF638A"/>
    <w:rsid w:val="00E015CE"/>
    <w:rsid w:val="00E0550D"/>
    <w:rsid w:val="00E05D0F"/>
    <w:rsid w:val="00E10A3E"/>
    <w:rsid w:val="00E36B8C"/>
    <w:rsid w:val="00E41618"/>
    <w:rsid w:val="00E511E5"/>
    <w:rsid w:val="00E61000"/>
    <w:rsid w:val="00E65189"/>
    <w:rsid w:val="00E65F03"/>
    <w:rsid w:val="00E67D55"/>
    <w:rsid w:val="00E7300A"/>
    <w:rsid w:val="00E73CE6"/>
    <w:rsid w:val="00E748F8"/>
    <w:rsid w:val="00E74F18"/>
    <w:rsid w:val="00E81394"/>
    <w:rsid w:val="00E81F6B"/>
    <w:rsid w:val="00E84BCE"/>
    <w:rsid w:val="00E955B2"/>
    <w:rsid w:val="00E96904"/>
    <w:rsid w:val="00EA364C"/>
    <w:rsid w:val="00EA40AB"/>
    <w:rsid w:val="00EB18A5"/>
    <w:rsid w:val="00EB491B"/>
    <w:rsid w:val="00EC3D4A"/>
    <w:rsid w:val="00ED4891"/>
    <w:rsid w:val="00EE6E73"/>
    <w:rsid w:val="00EF0EAE"/>
    <w:rsid w:val="00F10B54"/>
    <w:rsid w:val="00F21857"/>
    <w:rsid w:val="00F22A89"/>
    <w:rsid w:val="00F253E3"/>
    <w:rsid w:val="00F25A3F"/>
    <w:rsid w:val="00F36B5D"/>
    <w:rsid w:val="00F4213C"/>
    <w:rsid w:val="00F43A34"/>
    <w:rsid w:val="00F464AA"/>
    <w:rsid w:val="00F533F2"/>
    <w:rsid w:val="00F57622"/>
    <w:rsid w:val="00F7544F"/>
    <w:rsid w:val="00F773E3"/>
    <w:rsid w:val="00F8682B"/>
    <w:rsid w:val="00F90DC5"/>
    <w:rsid w:val="00F90EA2"/>
    <w:rsid w:val="00FA0B45"/>
    <w:rsid w:val="00FA1F0A"/>
    <w:rsid w:val="00FA7433"/>
    <w:rsid w:val="00FB1ACB"/>
    <w:rsid w:val="00FB37AF"/>
    <w:rsid w:val="00FC0F6C"/>
    <w:rsid w:val="00FC2CAC"/>
    <w:rsid w:val="00FC2FA8"/>
    <w:rsid w:val="00FD53E0"/>
    <w:rsid w:val="00FD5528"/>
    <w:rsid w:val="00FE54F4"/>
    <w:rsid w:val="00FF3CB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BCA9A"/>
  <w15:docId w15:val="{A997EF69-C651-4EA0-867B-200BC3CC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526"/>
  </w:style>
  <w:style w:type="paragraph" w:styleId="Heading1">
    <w:name w:val="heading 1"/>
    <w:basedOn w:val="Normal"/>
    <w:next w:val="Normal"/>
    <w:link w:val="Heading1Char"/>
    <w:uiPriority w:val="9"/>
    <w:qFormat/>
    <w:rsid w:val="001F6E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93E4A"/>
    <w:pPr>
      <w:spacing w:before="100" w:beforeAutospacing="1" w:after="100" w:afterAutospacing="1"/>
      <w:outlineLvl w:val="1"/>
    </w:pPr>
    <w:rPr>
      <w:rFonts w:ascii="Times New Roman" w:eastAsia="Times New Roman" w:hAnsi="Times New Roman" w:cs="Times New Roman"/>
      <w:b/>
      <w:bCs/>
      <w:kern w:val="0"/>
      <w:sz w:val="36"/>
      <w:szCs w:val="36"/>
    </w:rPr>
  </w:style>
  <w:style w:type="paragraph" w:styleId="Heading3">
    <w:name w:val="heading 3"/>
    <w:basedOn w:val="Normal"/>
    <w:next w:val="Normal"/>
    <w:link w:val="Heading3Char"/>
    <w:uiPriority w:val="9"/>
    <w:semiHidden/>
    <w:unhideWhenUsed/>
    <w:qFormat/>
    <w:rsid w:val="007C077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71D"/>
    <w:pPr>
      <w:ind w:left="720"/>
      <w:contextualSpacing/>
    </w:pPr>
  </w:style>
  <w:style w:type="character" w:customStyle="1" w:styleId="bkciteavail">
    <w:name w:val="bk_cite_avail"/>
    <w:basedOn w:val="DefaultParagraphFont"/>
    <w:rsid w:val="004D471D"/>
  </w:style>
  <w:style w:type="character" w:styleId="Hyperlink">
    <w:name w:val="Hyperlink"/>
    <w:basedOn w:val="DefaultParagraphFont"/>
    <w:uiPriority w:val="99"/>
    <w:unhideWhenUsed/>
    <w:rsid w:val="004D471D"/>
    <w:rPr>
      <w:color w:val="0563C1" w:themeColor="hyperlink"/>
      <w:u w:val="single"/>
    </w:rPr>
  </w:style>
  <w:style w:type="character" w:customStyle="1" w:styleId="UnresolvedMention1">
    <w:name w:val="Unresolved Mention1"/>
    <w:basedOn w:val="DefaultParagraphFont"/>
    <w:uiPriority w:val="99"/>
    <w:semiHidden/>
    <w:unhideWhenUsed/>
    <w:rsid w:val="004D471D"/>
    <w:rPr>
      <w:color w:val="605E5C"/>
      <w:shd w:val="clear" w:color="auto" w:fill="E1DFDD"/>
    </w:rPr>
  </w:style>
  <w:style w:type="paragraph" w:customStyle="1" w:styleId="p1">
    <w:name w:val="p1"/>
    <w:basedOn w:val="Normal"/>
    <w:rsid w:val="007161B3"/>
    <w:rPr>
      <w:rFonts w:ascii="Helvetica" w:eastAsia="Times New Roman" w:hAnsi="Helvetica" w:cs="Times New Roman"/>
      <w:color w:val="000000"/>
      <w:kern w:val="0"/>
      <w:sz w:val="12"/>
      <w:szCs w:val="12"/>
    </w:rPr>
  </w:style>
  <w:style w:type="character" w:customStyle="1" w:styleId="s1">
    <w:name w:val="s1"/>
    <w:basedOn w:val="DefaultParagraphFont"/>
    <w:rsid w:val="007161B3"/>
  </w:style>
  <w:style w:type="character" w:customStyle="1" w:styleId="Heading2Char">
    <w:name w:val="Heading 2 Char"/>
    <w:basedOn w:val="DefaultParagraphFont"/>
    <w:link w:val="Heading2"/>
    <w:uiPriority w:val="9"/>
    <w:rsid w:val="00693E4A"/>
    <w:rPr>
      <w:rFonts w:ascii="Times New Roman" w:eastAsia="Times New Roman" w:hAnsi="Times New Roman" w:cs="Times New Roman"/>
      <w:b/>
      <w:bCs/>
      <w:kern w:val="0"/>
      <w:sz w:val="36"/>
      <w:szCs w:val="36"/>
    </w:rPr>
  </w:style>
  <w:style w:type="character" w:customStyle="1" w:styleId="s2">
    <w:name w:val="s2"/>
    <w:basedOn w:val="DefaultParagraphFont"/>
    <w:rsid w:val="00693E4A"/>
  </w:style>
  <w:style w:type="character" w:customStyle="1" w:styleId="apple-converted-space">
    <w:name w:val="apple-converted-space"/>
    <w:basedOn w:val="DefaultParagraphFont"/>
    <w:rsid w:val="00693E4A"/>
  </w:style>
  <w:style w:type="table" w:styleId="TableGrid">
    <w:name w:val="Table Grid"/>
    <w:basedOn w:val="TableNormal"/>
    <w:uiPriority w:val="59"/>
    <w:rsid w:val="009A1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F6E45"/>
    <w:rPr>
      <w:rFonts w:asciiTheme="majorHAnsi" w:eastAsiaTheme="majorEastAsia" w:hAnsiTheme="majorHAnsi" w:cstheme="majorBidi"/>
      <w:color w:val="2F5496" w:themeColor="accent1" w:themeShade="BF"/>
      <w:sz w:val="32"/>
      <w:szCs w:val="32"/>
    </w:rPr>
  </w:style>
  <w:style w:type="paragraph" w:customStyle="1" w:styleId="p2">
    <w:name w:val="p2"/>
    <w:basedOn w:val="Normal"/>
    <w:rsid w:val="00F21857"/>
    <w:rPr>
      <w:rFonts w:ascii="Helvetica" w:eastAsia="Times New Roman" w:hAnsi="Helvetica" w:cs="Times New Roman"/>
      <w:color w:val="000000"/>
      <w:kern w:val="0"/>
      <w:sz w:val="10"/>
      <w:szCs w:val="10"/>
    </w:rPr>
  </w:style>
  <w:style w:type="paragraph" w:customStyle="1" w:styleId="p3">
    <w:name w:val="p3"/>
    <w:basedOn w:val="Normal"/>
    <w:rsid w:val="00F21857"/>
    <w:rPr>
      <w:rFonts w:ascii="Helvetica" w:eastAsia="Times New Roman" w:hAnsi="Helvetica" w:cs="Times New Roman"/>
      <w:color w:val="1F83C6"/>
      <w:kern w:val="0"/>
      <w:sz w:val="10"/>
      <w:szCs w:val="10"/>
    </w:rPr>
  </w:style>
  <w:style w:type="paragraph" w:customStyle="1" w:styleId="p4">
    <w:name w:val="p4"/>
    <w:basedOn w:val="Normal"/>
    <w:rsid w:val="00F21857"/>
    <w:rPr>
      <w:rFonts w:ascii="Helvetica" w:eastAsia="Times New Roman" w:hAnsi="Helvetica" w:cs="Times New Roman"/>
      <w:color w:val="000000"/>
      <w:kern w:val="0"/>
      <w:sz w:val="12"/>
      <w:szCs w:val="12"/>
    </w:rPr>
  </w:style>
  <w:style w:type="character" w:customStyle="1" w:styleId="s3">
    <w:name w:val="s3"/>
    <w:basedOn w:val="DefaultParagraphFont"/>
    <w:rsid w:val="00F21857"/>
    <w:rPr>
      <w:rFonts w:ascii="Helvetica" w:hAnsi="Helvetica" w:hint="default"/>
      <w:color w:val="1F83C6"/>
      <w:sz w:val="9"/>
      <w:szCs w:val="9"/>
    </w:rPr>
  </w:style>
  <w:style w:type="character" w:customStyle="1" w:styleId="s4">
    <w:name w:val="s4"/>
    <w:basedOn w:val="DefaultParagraphFont"/>
    <w:rsid w:val="00F21857"/>
    <w:rPr>
      <w:rFonts w:ascii="Helvetica" w:hAnsi="Helvetica" w:hint="default"/>
      <w:sz w:val="7"/>
      <w:szCs w:val="7"/>
    </w:rPr>
  </w:style>
  <w:style w:type="paragraph" w:styleId="BalloonText">
    <w:name w:val="Balloon Text"/>
    <w:basedOn w:val="Normal"/>
    <w:link w:val="BalloonTextChar"/>
    <w:uiPriority w:val="99"/>
    <w:semiHidden/>
    <w:unhideWhenUsed/>
    <w:rsid w:val="0052622C"/>
    <w:rPr>
      <w:rFonts w:ascii="Tahoma" w:hAnsi="Tahoma" w:cs="Tahoma"/>
      <w:sz w:val="16"/>
      <w:szCs w:val="16"/>
    </w:rPr>
  </w:style>
  <w:style w:type="character" w:customStyle="1" w:styleId="BalloonTextChar">
    <w:name w:val="Balloon Text Char"/>
    <w:basedOn w:val="DefaultParagraphFont"/>
    <w:link w:val="BalloonText"/>
    <w:uiPriority w:val="99"/>
    <w:semiHidden/>
    <w:rsid w:val="0052622C"/>
    <w:rPr>
      <w:rFonts w:ascii="Tahoma" w:hAnsi="Tahoma" w:cs="Tahoma"/>
      <w:sz w:val="16"/>
      <w:szCs w:val="16"/>
    </w:rPr>
  </w:style>
  <w:style w:type="character" w:customStyle="1" w:styleId="UnresolvedMention2">
    <w:name w:val="Unresolved Mention2"/>
    <w:basedOn w:val="DefaultParagraphFont"/>
    <w:uiPriority w:val="99"/>
    <w:semiHidden/>
    <w:unhideWhenUsed/>
    <w:rsid w:val="007C0775"/>
    <w:rPr>
      <w:color w:val="605E5C"/>
      <w:shd w:val="clear" w:color="auto" w:fill="E1DFDD"/>
    </w:rPr>
  </w:style>
  <w:style w:type="character" w:customStyle="1" w:styleId="Heading3Char">
    <w:name w:val="Heading 3 Char"/>
    <w:basedOn w:val="DefaultParagraphFont"/>
    <w:link w:val="Heading3"/>
    <w:uiPriority w:val="9"/>
    <w:semiHidden/>
    <w:rsid w:val="007C0775"/>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BF1DF6"/>
    <w:rPr>
      <w:b/>
      <w:bCs/>
    </w:rPr>
  </w:style>
  <w:style w:type="character" w:styleId="Emphasis">
    <w:name w:val="Emphasis"/>
    <w:basedOn w:val="DefaultParagraphFont"/>
    <w:uiPriority w:val="20"/>
    <w:qFormat/>
    <w:rsid w:val="0079580D"/>
    <w:rPr>
      <w:i/>
      <w:iCs/>
    </w:rPr>
  </w:style>
  <w:style w:type="paragraph" w:styleId="NormalWeb">
    <w:name w:val="Normal (Web)"/>
    <w:basedOn w:val="Normal"/>
    <w:uiPriority w:val="99"/>
    <w:unhideWhenUsed/>
    <w:rsid w:val="00E748F8"/>
    <w:pPr>
      <w:spacing w:before="100" w:beforeAutospacing="1" w:after="100" w:afterAutospacing="1"/>
    </w:pPr>
    <w:rPr>
      <w:rFonts w:ascii="Times New Roman" w:eastAsia="Times New Roman" w:hAnsi="Times New Roman" w:cs="Times New Roman"/>
      <w:kern w:val="0"/>
      <w:lang w:val="en-IN" w:eastAsia="en-IN"/>
    </w:rPr>
  </w:style>
  <w:style w:type="character" w:styleId="FollowedHyperlink">
    <w:name w:val="FollowedHyperlink"/>
    <w:basedOn w:val="DefaultParagraphFont"/>
    <w:uiPriority w:val="99"/>
    <w:semiHidden/>
    <w:unhideWhenUsed/>
    <w:rsid w:val="00271865"/>
    <w:rPr>
      <w:color w:val="954F72" w:themeColor="followedHyperlink"/>
      <w:u w:val="single"/>
    </w:rPr>
  </w:style>
  <w:style w:type="paragraph" w:styleId="Bibliography">
    <w:name w:val="Bibliography"/>
    <w:basedOn w:val="Normal"/>
    <w:next w:val="Normal"/>
    <w:uiPriority w:val="37"/>
    <w:unhideWhenUsed/>
    <w:rsid w:val="0051541C"/>
    <w:pPr>
      <w:tabs>
        <w:tab w:val="left" w:pos="264"/>
      </w:tabs>
      <w:spacing w:after="240"/>
      <w:ind w:left="264" w:hanging="264"/>
    </w:pPr>
  </w:style>
  <w:style w:type="paragraph" w:customStyle="1" w:styleId="ql-indent-1">
    <w:name w:val="ql-indent-1"/>
    <w:basedOn w:val="Normal"/>
    <w:rsid w:val="00E81394"/>
    <w:pPr>
      <w:spacing w:before="100" w:beforeAutospacing="1" w:after="100" w:afterAutospacing="1"/>
    </w:pPr>
    <w:rPr>
      <w:rFonts w:ascii="Times New Roman" w:eastAsia="Times New Roman" w:hAnsi="Times New Roman" w:cs="Times New Roman"/>
      <w:kern w:val="0"/>
      <w:lang w:val="en-IN" w:eastAsia="en-IN"/>
    </w:rPr>
  </w:style>
  <w:style w:type="character" w:customStyle="1" w:styleId="ai-insert">
    <w:name w:val="ai-insert"/>
    <w:basedOn w:val="DefaultParagraphFont"/>
    <w:rsid w:val="00E7300A"/>
  </w:style>
  <w:style w:type="paragraph" w:styleId="Header">
    <w:name w:val="header"/>
    <w:basedOn w:val="Normal"/>
    <w:link w:val="HeaderChar"/>
    <w:uiPriority w:val="99"/>
    <w:unhideWhenUsed/>
    <w:rsid w:val="00312ABB"/>
    <w:pPr>
      <w:tabs>
        <w:tab w:val="center" w:pos="4513"/>
        <w:tab w:val="right" w:pos="9026"/>
      </w:tabs>
    </w:pPr>
  </w:style>
  <w:style w:type="character" w:customStyle="1" w:styleId="HeaderChar">
    <w:name w:val="Header Char"/>
    <w:basedOn w:val="DefaultParagraphFont"/>
    <w:link w:val="Header"/>
    <w:uiPriority w:val="99"/>
    <w:rsid w:val="00312ABB"/>
  </w:style>
  <w:style w:type="paragraph" w:styleId="Footer">
    <w:name w:val="footer"/>
    <w:basedOn w:val="Normal"/>
    <w:link w:val="FooterChar"/>
    <w:uiPriority w:val="99"/>
    <w:unhideWhenUsed/>
    <w:rsid w:val="00312ABB"/>
    <w:pPr>
      <w:tabs>
        <w:tab w:val="center" w:pos="4513"/>
        <w:tab w:val="right" w:pos="9026"/>
      </w:tabs>
    </w:pPr>
  </w:style>
  <w:style w:type="character" w:customStyle="1" w:styleId="FooterChar">
    <w:name w:val="Footer Char"/>
    <w:basedOn w:val="DefaultParagraphFont"/>
    <w:link w:val="Footer"/>
    <w:uiPriority w:val="99"/>
    <w:rsid w:val="00312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26">
      <w:bodyDiv w:val="1"/>
      <w:marLeft w:val="0"/>
      <w:marRight w:val="0"/>
      <w:marTop w:val="0"/>
      <w:marBottom w:val="0"/>
      <w:divBdr>
        <w:top w:val="none" w:sz="0" w:space="0" w:color="auto"/>
        <w:left w:val="none" w:sz="0" w:space="0" w:color="auto"/>
        <w:bottom w:val="none" w:sz="0" w:space="0" w:color="auto"/>
        <w:right w:val="none" w:sz="0" w:space="0" w:color="auto"/>
      </w:divBdr>
    </w:div>
    <w:div w:id="86852095">
      <w:bodyDiv w:val="1"/>
      <w:marLeft w:val="0"/>
      <w:marRight w:val="0"/>
      <w:marTop w:val="0"/>
      <w:marBottom w:val="0"/>
      <w:divBdr>
        <w:top w:val="none" w:sz="0" w:space="0" w:color="auto"/>
        <w:left w:val="none" w:sz="0" w:space="0" w:color="auto"/>
        <w:bottom w:val="none" w:sz="0" w:space="0" w:color="auto"/>
        <w:right w:val="none" w:sz="0" w:space="0" w:color="auto"/>
      </w:divBdr>
    </w:div>
    <w:div w:id="88933523">
      <w:bodyDiv w:val="1"/>
      <w:marLeft w:val="0"/>
      <w:marRight w:val="0"/>
      <w:marTop w:val="0"/>
      <w:marBottom w:val="0"/>
      <w:divBdr>
        <w:top w:val="none" w:sz="0" w:space="0" w:color="auto"/>
        <w:left w:val="none" w:sz="0" w:space="0" w:color="auto"/>
        <w:bottom w:val="none" w:sz="0" w:space="0" w:color="auto"/>
        <w:right w:val="none" w:sz="0" w:space="0" w:color="auto"/>
      </w:divBdr>
    </w:div>
    <w:div w:id="109707652">
      <w:bodyDiv w:val="1"/>
      <w:marLeft w:val="0"/>
      <w:marRight w:val="0"/>
      <w:marTop w:val="0"/>
      <w:marBottom w:val="0"/>
      <w:divBdr>
        <w:top w:val="none" w:sz="0" w:space="0" w:color="auto"/>
        <w:left w:val="none" w:sz="0" w:space="0" w:color="auto"/>
        <w:bottom w:val="none" w:sz="0" w:space="0" w:color="auto"/>
        <w:right w:val="none" w:sz="0" w:space="0" w:color="auto"/>
      </w:divBdr>
    </w:div>
    <w:div w:id="125240260">
      <w:bodyDiv w:val="1"/>
      <w:marLeft w:val="0"/>
      <w:marRight w:val="0"/>
      <w:marTop w:val="0"/>
      <w:marBottom w:val="0"/>
      <w:divBdr>
        <w:top w:val="none" w:sz="0" w:space="0" w:color="auto"/>
        <w:left w:val="none" w:sz="0" w:space="0" w:color="auto"/>
        <w:bottom w:val="none" w:sz="0" w:space="0" w:color="auto"/>
        <w:right w:val="none" w:sz="0" w:space="0" w:color="auto"/>
      </w:divBdr>
    </w:div>
    <w:div w:id="127936268">
      <w:bodyDiv w:val="1"/>
      <w:marLeft w:val="0"/>
      <w:marRight w:val="0"/>
      <w:marTop w:val="0"/>
      <w:marBottom w:val="0"/>
      <w:divBdr>
        <w:top w:val="none" w:sz="0" w:space="0" w:color="auto"/>
        <w:left w:val="none" w:sz="0" w:space="0" w:color="auto"/>
        <w:bottom w:val="none" w:sz="0" w:space="0" w:color="auto"/>
        <w:right w:val="none" w:sz="0" w:space="0" w:color="auto"/>
      </w:divBdr>
    </w:div>
    <w:div w:id="129983259">
      <w:bodyDiv w:val="1"/>
      <w:marLeft w:val="0"/>
      <w:marRight w:val="0"/>
      <w:marTop w:val="0"/>
      <w:marBottom w:val="0"/>
      <w:divBdr>
        <w:top w:val="none" w:sz="0" w:space="0" w:color="auto"/>
        <w:left w:val="none" w:sz="0" w:space="0" w:color="auto"/>
        <w:bottom w:val="none" w:sz="0" w:space="0" w:color="auto"/>
        <w:right w:val="none" w:sz="0" w:space="0" w:color="auto"/>
      </w:divBdr>
    </w:div>
    <w:div w:id="204830734">
      <w:bodyDiv w:val="1"/>
      <w:marLeft w:val="0"/>
      <w:marRight w:val="0"/>
      <w:marTop w:val="0"/>
      <w:marBottom w:val="0"/>
      <w:divBdr>
        <w:top w:val="none" w:sz="0" w:space="0" w:color="auto"/>
        <w:left w:val="none" w:sz="0" w:space="0" w:color="auto"/>
        <w:bottom w:val="none" w:sz="0" w:space="0" w:color="auto"/>
        <w:right w:val="none" w:sz="0" w:space="0" w:color="auto"/>
      </w:divBdr>
    </w:div>
    <w:div w:id="220286341">
      <w:bodyDiv w:val="1"/>
      <w:marLeft w:val="0"/>
      <w:marRight w:val="0"/>
      <w:marTop w:val="0"/>
      <w:marBottom w:val="0"/>
      <w:divBdr>
        <w:top w:val="none" w:sz="0" w:space="0" w:color="auto"/>
        <w:left w:val="none" w:sz="0" w:space="0" w:color="auto"/>
        <w:bottom w:val="none" w:sz="0" w:space="0" w:color="auto"/>
        <w:right w:val="none" w:sz="0" w:space="0" w:color="auto"/>
      </w:divBdr>
    </w:div>
    <w:div w:id="231700184">
      <w:bodyDiv w:val="1"/>
      <w:marLeft w:val="0"/>
      <w:marRight w:val="0"/>
      <w:marTop w:val="0"/>
      <w:marBottom w:val="0"/>
      <w:divBdr>
        <w:top w:val="none" w:sz="0" w:space="0" w:color="auto"/>
        <w:left w:val="none" w:sz="0" w:space="0" w:color="auto"/>
        <w:bottom w:val="none" w:sz="0" w:space="0" w:color="auto"/>
        <w:right w:val="none" w:sz="0" w:space="0" w:color="auto"/>
      </w:divBdr>
    </w:div>
    <w:div w:id="241719400">
      <w:bodyDiv w:val="1"/>
      <w:marLeft w:val="0"/>
      <w:marRight w:val="0"/>
      <w:marTop w:val="0"/>
      <w:marBottom w:val="0"/>
      <w:divBdr>
        <w:top w:val="none" w:sz="0" w:space="0" w:color="auto"/>
        <w:left w:val="none" w:sz="0" w:space="0" w:color="auto"/>
        <w:bottom w:val="none" w:sz="0" w:space="0" w:color="auto"/>
        <w:right w:val="none" w:sz="0" w:space="0" w:color="auto"/>
      </w:divBdr>
    </w:div>
    <w:div w:id="288902343">
      <w:bodyDiv w:val="1"/>
      <w:marLeft w:val="0"/>
      <w:marRight w:val="0"/>
      <w:marTop w:val="0"/>
      <w:marBottom w:val="0"/>
      <w:divBdr>
        <w:top w:val="none" w:sz="0" w:space="0" w:color="auto"/>
        <w:left w:val="none" w:sz="0" w:space="0" w:color="auto"/>
        <w:bottom w:val="none" w:sz="0" w:space="0" w:color="auto"/>
        <w:right w:val="none" w:sz="0" w:space="0" w:color="auto"/>
      </w:divBdr>
    </w:div>
    <w:div w:id="300118194">
      <w:bodyDiv w:val="1"/>
      <w:marLeft w:val="0"/>
      <w:marRight w:val="0"/>
      <w:marTop w:val="0"/>
      <w:marBottom w:val="0"/>
      <w:divBdr>
        <w:top w:val="none" w:sz="0" w:space="0" w:color="auto"/>
        <w:left w:val="none" w:sz="0" w:space="0" w:color="auto"/>
        <w:bottom w:val="none" w:sz="0" w:space="0" w:color="auto"/>
        <w:right w:val="none" w:sz="0" w:space="0" w:color="auto"/>
      </w:divBdr>
    </w:div>
    <w:div w:id="314650856">
      <w:bodyDiv w:val="1"/>
      <w:marLeft w:val="0"/>
      <w:marRight w:val="0"/>
      <w:marTop w:val="0"/>
      <w:marBottom w:val="0"/>
      <w:divBdr>
        <w:top w:val="none" w:sz="0" w:space="0" w:color="auto"/>
        <w:left w:val="none" w:sz="0" w:space="0" w:color="auto"/>
        <w:bottom w:val="none" w:sz="0" w:space="0" w:color="auto"/>
        <w:right w:val="none" w:sz="0" w:space="0" w:color="auto"/>
      </w:divBdr>
      <w:divsChild>
        <w:div w:id="1020445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67487551">
      <w:bodyDiv w:val="1"/>
      <w:marLeft w:val="0"/>
      <w:marRight w:val="0"/>
      <w:marTop w:val="0"/>
      <w:marBottom w:val="0"/>
      <w:divBdr>
        <w:top w:val="none" w:sz="0" w:space="0" w:color="auto"/>
        <w:left w:val="none" w:sz="0" w:space="0" w:color="auto"/>
        <w:bottom w:val="none" w:sz="0" w:space="0" w:color="auto"/>
        <w:right w:val="none" w:sz="0" w:space="0" w:color="auto"/>
      </w:divBdr>
    </w:div>
    <w:div w:id="408356414">
      <w:bodyDiv w:val="1"/>
      <w:marLeft w:val="0"/>
      <w:marRight w:val="0"/>
      <w:marTop w:val="0"/>
      <w:marBottom w:val="0"/>
      <w:divBdr>
        <w:top w:val="none" w:sz="0" w:space="0" w:color="auto"/>
        <w:left w:val="none" w:sz="0" w:space="0" w:color="auto"/>
        <w:bottom w:val="none" w:sz="0" w:space="0" w:color="auto"/>
        <w:right w:val="none" w:sz="0" w:space="0" w:color="auto"/>
      </w:divBdr>
      <w:divsChild>
        <w:div w:id="161783365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09811483">
      <w:bodyDiv w:val="1"/>
      <w:marLeft w:val="0"/>
      <w:marRight w:val="0"/>
      <w:marTop w:val="0"/>
      <w:marBottom w:val="0"/>
      <w:divBdr>
        <w:top w:val="none" w:sz="0" w:space="0" w:color="auto"/>
        <w:left w:val="none" w:sz="0" w:space="0" w:color="auto"/>
        <w:bottom w:val="none" w:sz="0" w:space="0" w:color="auto"/>
        <w:right w:val="none" w:sz="0" w:space="0" w:color="auto"/>
      </w:divBdr>
    </w:div>
    <w:div w:id="413477959">
      <w:bodyDiv w:val="1"/>
      <w:marLeft w:val="0"/>
      <w:marRight w:val="0"/>
      <w:marTop w:val="0"/>
      <w:marBottom w:val="0"/>
      <w:divBdr>
        <w:top w:val="none" w:sz="0" w:space="0" w:color="auto"/>
        <w:left w:val="none" w:sz="0" w:space="0" w:color="auto"/>
        <w:bottom w:val="none" w:sz="0" w:space="0" w:color="auto"/>
        <w:right w:val="none" w:sz="0" w:space="0" w:color="auto"/>
      </w:divBdr>
    </w:div>
    <w:div w:id="423260191">
      <w:bodyDiv w:val="1"/>
      <w:marLeft w:val="0"/>
      <w:marRight w:val="0"/>
      <w:marTop w:val="0"/>
      <w:marBottom w:val="0"/>
      <w:divBdr>
        <w:top w:val="none" w:sz="0" w:space="0" w:color="auto"/>
        <w:left w:val="none" w:sz="0" w:space="0" w:color="auto"/>
        <w:bottom w:val="none" w:sz="0" w:space="0" w:color="auto"/>
        <w:right w:val="none" w:sz="0" w:space="0" w:color="auto"/>
      </w:divBdr>
    </w:div>
    <w:div w:id="427117012">
      <w:bodyDiv w:val="1"/>
      <w:marLeft w:val="0"/>
      <w:marRight w:val="0"/>
      <w:marTop w:val="0"/>
      <w:marBottom w:val="0"/>
      <w:divBdr>
        <w:top w:val="none" w:sz="0" w:space="0" w:color="auto"/>
        <w:left w:val="none" w:sz="0" w:space="0" w:color="auto"/>
        <w:bottom w:val="none" w:sz="0" w:space="0" w:color="auto"/>
        <w:right w:val="none" w:sz="0" w:space="0" w:color="auto"/>
      </w:divBdr>
    </w:div>
    <w:div w:id="437068327">
      <w:bodyDiv w:val="1"/>
      <w:marLeft w:val="0"/>
      <w:marRight w:val="0"/>
      <w:marTop w:val="0"/>
      <w:marBottom w:val="0"/>
      <w:divBdr>
        <w:top w:val="none" w:sz="0" w:space="0" w:color="auto"/>
        <w:left w:val="none" w:sz="0" w:space="0" w:color="auto"/>
        <w:bottom w:val="none" w:sz="0" w:space="0" w:color="auto"/>
        <w:right w:val="none" w:sz="0" w:space="0" w:color="auto"/>
      </w:divBdr>
    </w:div>
    <w:div w:id="445777107">
      <w:bodyDiv w:val="1"/>
      <w:marLeft w:val="0"/>
      <w:marRight w:val="0"/>
      <w:marTop w:val="0"/>
      <w:marBottom w:val="0"/>
      <w:divBdr>
        <w:top w:val="none" w:sz="0" w:space="0" w:color="auto"/>
        <w:left w:val="none" w:sz="0" w:space="0" w:color="auto"/>
        <w:bottom w:val="none" w:sz="0" w:space="0" w:color="auto"/>
        <w:right w:val="none" w:sz="0" w:space="0" w:color="auto"/>
      </w:divBdr>
    </w:div>
    <w:div w:id="475533233">
      <w:bodyDiv w:val="1"/>
      <w:marLeft w:val="0"/>
      <w:marRight w:val="0"/>
      <w:marTop w:val="0"/>
      <w:marBottom w:val="0"/>
      <w:divBdr>
        <w:top w:val="none" w:sz="0" w:space="0" w:color="auto"/>
        <w:left w:val="none" w:sz="0" w:space="0" w:color="auto"/>
        <w:bottom w:val="none" w:sz="0" w:space="0" w:color="auto"/>
        <w:right w:val="none" w:sz="0" w:space="0" w:color="auto"/>
      </w:divBdr>
    </w:div>
    <w:div w:id="540484024">
      <w:bodyDiv w:val="1"/>
      <w:marLeft w:val="0"/>
      <w:marRight w:val="0"/>
      <w:marTop w:val="0"/>
      <w:marBottom w:val="0"/>
      <w:divBdr>
        <w:top w:val="none" w:sz="0" w:space="0" w:color="auto"/>
        <w:left w:val="none" w:sz="0" w:space="0" w:color="auto"/>
        <w:bottom w:val="none" w:sz="0" w:space="0" w:color="auto"/>
        <w:right w:val="none" w:sz="0" w:space="0" w:color="auto"/>
      </w:divBdr>
    </w:div>
    <w:div w:id="584074263">
      <w:bodyDiv w:val="1"/>
      <w:marLeft w:val="0"/>
      <w:marRight w:val="0"/>
      <w:marTop w:val="0"/>
      <w:marBottom w:val="0"/>
      <w:divBdr>
        <w:top w:val="none" w:sz="0" w:space="0" w:color="auto"/>
        <w:left w:val="none" w:sz="0" w:space="0" w:color="auto"/>
        <w:bottom w:val="none" w:sz="0" w:space="0" w:color="auto"/>
        <w:right w:val="none" w:sz="0" w:space="0" w:color="auto"/>
      </w:divBdr>
    </w:div>
    <w:div w:id="588536871">
      <w:bodyDiv w:val="1"/>
      <w:marLeft w:val="0"/>
      <w:marRight w:val="0"/>
      <w:marTop w:val="0"/>
      <w:marBottom w:val="0"/>
      <w:divBdr>
        <w:top w:val="none" w:sz="0" w:space="0" w:color="auto"/>
        <w:left w:val="none" w:sz="0" w:space="0" w:color="auto"/>
        <w:bottom w:val="none" w:sz="0" w:space="0" w:color="auto"/>
        <w:right w:val="none" w:sz="0" w:space="0" w:color="auto"/>
      </w:divBdr>
    </w:div>
    <w:div w:id="610237564">
      <w:bodyDiv w:val="1"/>
      <w:marLeft w:val="0"/>
      <w:marRight w:val="0"/>
      <w:marTop w:val="0"/>
      <w:marBottom w:val="0"/>
      <w:divBdr>
        <w:top w:val="none" w:sz="0" w:space="0" w:color="auto"/>
        <w:left w:val="none" w:sz="0" w:space="0" w:color="auto"/>
        <w:bottom w:val="none" w:sz="0" w:space="0" w:color="auto"/>
        <w:right w:val="none" w:sz="0" w:space="0" w:color="auto"/>
      </w:divBdr>
    </w:div>
    <w:div w:id="620380062">
      <w:bodyDiv w:val="1"/>
      <w:marLeft w:val="0"/>
      <w:marRight w:val="0"/>
      <w:marTop w:val="0"/>
      <w:marBottom w:val="0"/>
      <w:divBdr>
        <w:top w:val="none" w:sz="0" w:space="0" w:color="auto"/>
        <w:left w:val="none" w:sz="0" w:space="0" w:color="auto"/>
        <w:bottom w:val="none" w:sz="0" w:space="0" w:color="auto"/>
        <w:right w:val="none" w:sz="0" w:space="0" w:color="auto"/>
      </w:divBdr>
    </w:div>
    <w:div w:id="643585214">
      <w:bodyDiv w:val="1"/>
      <w:marLeft w:val="0"/>
      <w:marRight w:val="0"/>
      <w:marTop w:val="0"/>
      <w:marBottom w:val="0"/>
      <w:divBdr>
        <w:top w:val="none" w:sz="0" w:space="0" w:color="auto"/>
        <w:left w:val="none" w:sz="0" w:space="0" w:color="auto"/>
        <w:bottom w:val="none" w:sz="0" w:space="0" w:color="auto"/>
        <w:right w:val="none" w:sz="0" w:space="0" w:color="auto"/>
      </w:divBdr>
    </w:div>
    <w:div w:id="657460940">
      <w:bodyDiv w:val="1"/>
      <w:marLeft w:val="0"/>
      <w:marRight w:val="0"/>
      <w:marTop w:val="0"/>
      <w:marBottom w:val="0"/>
      <w:divBdr>
        <w:top w:val="none" w:sz="0" w:space="0" w:color="auto"/>
        <w:left w:val="none" w:sz="0" w:space="0" w:color="auto"/>
        <w:bottom w:val="none" w:sz="0" w:space="0" w:color="auto"/>
        <w:right w:val="none" w:sz="0" w:space="0" w:color="auto"/>
      </w:divBdr>
    </w:div>
    <w:div w:id="703138983">
      <w:bodyDiv w:val="1"/>
      <w:marLeft w:val="0"/>
      <w:marRight w:val="0"/>
      <w:marTop w:val="0"/>
      <w:marBottom w:val="0"/>
      <w:divBdr>
        <w:top w:val="none" w:sz="0" w:space="0" w:color="auto"/>
        <w:left w:val="none" w:sz="0" w:space="0" w:color="auto"/>
        <w:bottom w:val="none" w:sz="0" w:space="0" w:color="auto"/>
        <w:right w:val="none" w:sz="0" w:space="0" w:color="auto"/>
      </w:divBdr>
    </w:div>
    <w:div w:id="767965541">
      <w:bodyDiv w:val="1"/>
      <w:marLeft w:val="0"/>
      <w:marRight w:val="0"/>
      <w:marTop w:val="0"/>
      <w:marBottom w:val="0"/>
      <w:divBdr>
        <w:top w:val="none" w:sz="0" w:space="0" w:color="auto"/>
        <w:left w:val="none" w:sz="0" w:space="0" w:color="auto"/>
        <w:bottom w:val="none" w:sz="0" w:space="0" w:color="auto"/>
        <w:right w:val="none" w:sz="0" w:space="0" w:color="auto"/>
      </w:divBdr>
    </w:div>
    <w:div w:id="791048218">
      <w:bodyDiv w:val="1"/>
      <w:marLeft w:val="0"/>
      <w:marRight w:val="0"/>
      <w:marTop w:val="0"/>
      <w:marBottom w:val="0"/>
      <w:divBdr>
        <w:top w:val="none" w:sz="0" w:space="0" w:color="auto"/>
        <w:left w:val="none" w:sz="0" w:space="0" w:color="auto"/>
        <w:bottom w:val="none" w:sz="0" w:space="0" w:color="auto"/>
        <w:right w:val="none" w:sz="0" w:space="0" w:color="auto"/>
      </w:divBdr>
    </w:div>
    <w:div w:id="795828768">
      <w:bodyDiv w:val="1"/>
      <w:marLeft w:val="0"/>
      <w:marRight w:val="0"/>
      <w:marTop w:val="0"/>
      <w:marBottom w:val="0"/>
      <w:divBdr>
        <w:top w:val="none" w:sz="0" w:space="0" w:color="auto"/>
        <w:left w:val="none" w:sz="0" w:space="0" w:color="auto"/>
        <w:bottom w:val="none" w:sz="0" w:space="0" w:color="auto"/>
        <w:right w:val="none" w:sz="0" w:space="0" w:color="auto"/>
      </w:divBdr>
    </w:div>
    <w:div w:id="801846765">
      <w:bodyDiv w:val="1"/>
      <w:marLeft w:val="0"/>
      <w:marRight w:val="0"/>
      <w:marTop w:val="0"/>
      <w:marBottom w:val="0"/>
      <w:divBdr>
        <w:top w:val="none" w:sz="0" w:space="0" w:color="auto"/>
        <w:left w:val="none" w:sz="0" w:space="0" w:color="auto"/>
        <w:bottom w:val="none" w:sz="0" w:space="0" w:color="auto"/>
        <w:right w:val="none" w:sz="0" w:space="0" w:color="auto"/>
      </w:divBdr>
    </w:div>
    <w:div w:id="841044935">
      <w:bodyDiv w:val="1"/>
      <w:marLeft w:val="0"/>
      <w:marRight w:val="0"/>
      <w:marTop w:val="0"/>
      <w:marBottom w:val="0"/>
      <w:divBdr>
        <w:top w:val="none" w:sz="0" w:space="0" w:color="auto"/>
        <w:left w:val="none" w:sz="0" w:space="0" w:color="auto"/>
        <w:bottom w:val="none" w:sz="0" w:space="0" w:color="auto"/>
        <w:right w:val="none" w:sz="0" w:space="0" w:color="auto"/>
      </w:divBdr>
    </w:div>
    <w:div w:id="899904274">
      <w:bodyDiv w:val="1"/>
      <w:marLeft w:val="0"/>
      <w:marRight w:val="0"/>
      <w:marTop w:val="0"/>
      <w:marBottom w:val="0"/>
      <w:divBdr>
        <w:top w:val="none" w:sz="0" w:space="0" w:color="auto"/>
        <w:left w:val="none" w:sz="0" w:space="0" w:color="auto"/>
        <w:bottom w:val="none" w:sz="0" w:space="0" w:color="auto"/>
        <w:right w:val="none" w:sz="0" w:space="0" w:color="auto"/>
      </w:divBdr>
    </w:div>
    <w:div w:id="924996345">
      <w:bodyDiv w:val="1"/>
      <w:marLeft w:val="0"/>
      <w:marRight w:val="0"/>
      <w:marTop w:val="0"/>
      <w:marBottom w:val="0"/>
      <w:divBdr>
        <w:top w:val="none" w:sz="0" w:space="0" w:color="auto"/>
        <w:left w:val="none" w:sz="0" w:space="0" w:color="auto"/>
        <w:bottom w:val="none" w:sz="0" w:space="0" w:color="auto"/>
        <w:right w:val="none" w:sz="0" w:space="0" w:color="auto"/>
      </w:divBdr>
    </w:div>
    <w:div w:id="956839249">
      <w:bodyDiv w:val="1"/>
      <w:marLeft w:val="0"/>
      <w:marRight w:val="0"/>
      <w:marTop w:val="0"/>
      <w:marBottom w:val="0"/>
      <w:divBdr>
        <w:top w:val="none" w:sz="0" w:space="0" w:color="auto"/>
        <w:left w:val="none" w:sz="0" w:space="0" w:color="auto"/>
        <w:bottom w:val="none" w:sz="0" w:space="0" w:color="auto"/>
        <w:right w:val="none" w:sz="0" w:space="0" w:color="auto"/>
      </w:divBdr>
    </w:div>
    <w:div w:id="986934809">
      <w:bodyDiv w:val="1"/>
      <w:marLeft w:val="0"/>
      <w:marRight w:val="0"/>
      <w:marTop w:val="0"/>
      <w:marBottom w:val="0"/>
      <w:divBdr>
        <w:top w:val="none" w:sz="0" w:space="0" w:color="auto"/>
        <w:left w:val="none" w:sz="0" w:space="0" w:color="auto"/>
        <w:bottom w:val="none" w:sz="0" w:space="0" w:color="auto"/>
        <w:right w:val="none" w:sz="0" w:space="0" w:color="auto"/>
      </w:divBdr>
    </w:div>
    <w:div w:id="992102035">
      <w:bodyDiv w:val="1"/>
      <w:marLeft w:val="0"/>
      <w:marRight w:val="0"/>
      <w:marTop w:val="0"/>
      <w:marBottom w:val="0"/>
      <w:divBdr>
        <w:top w:val="none" w:sz="0" w:space="0" w:color="auto"/>
        <w:left w:val="none" w:sz="0" w:space="0" w:color="auto"/>
        <w:bottom w:val="none" w:sz="0" w:space="0" w:color="auto"/>
        <w:right w:val="none" w:sz="0" w:space="0" w:color="auto"/>
      </w:divBdr>
    </w:div>
    <w:div w:id="1007248430">
      <w:bodyDiv w:val="1"/>
      <w:marLeft w:val="0"/>
      <w:marRight w:val="0"/>
      <w:marTop w:val="0"/>
      <w:marBottom w:val="0"/>
      <w:divBdr>
        <w:top w:val="none" w:sz="0" w:space="0" w:color="auto"/>
        <w:left w:val="none" w:sz="0" w:space="0" w:color="auto"/>
        <w:bottom w:val="none" w:sz="0" w:space="0" w:color="auto"/>
        <w:right w:val="none" w:sz="0" w:space="0" w:color="auto"/>
      </w:divBdr>
    </w:div>
    <w:div w:id="1019241031">
      <w:bodyDiv w:val="1"/>
      <w:marLeft w:val="0"/>
      <w:marRight w:val="0"/>
      <w:marTop w:val="0"/>
      <w:marBottom w:val="0"/>
      <w:divBdr>
        <w:top w:val="none" w:sz="0" w:space="0" w:color="auto"/>
        <w:left w:val="none" w:sz="0" w:space="0" w:color="auto"/>
        <w:bottom w:val="none" w:sz="0" w:space="0" w:color="auto"/>
        <w:right w:val="none" w:sz="0" w:space="0" w:color="auto"/>
      </w:divBdr>
    </w:div>
    <w:div w:id="1024793544">
      <w:bodyDiv w:val="1"/>
      <w:marLeft w:val="0"/>
      <w:marRight w:val="0"/>
      <w:marTop w:val="0"/>
      <w:marBottom w:val="0"/>
      <w:divBdr>
        <w:top w:val="none" w:sz="0" w:space="0" w:color="auto"/>
        <w:left w:val="none" w:sz="0" w:space="0" w:color="auto"/>
        <w:bottom w:val="none" w:sz="0" w:space="0" w:color="auto"/>
        <w:right w:val="none" w:sz="0" w:space="0" w:color="auto"/>
      </w:divBdr>
    </w:div>
    <w:div w:id="1026055662">
      <w:bodyDiv w:val="1"/>
      <w:marLeft w:val="0"/>
      <w:marRight w:val="0"/>
      <w:marTop w:val="0"/>
      <w:marBottom w:val="0"/>
      <w:divBdr>
        <w:top w:val="none" w:sz="0" w:space="0" w:color="auto"/>
        <w:left w:val="none" w:sz="0" w:space="0" w:color="auto"/>
        <w:bottom w:val="none" w:sz="0" w:space="0" w:color="auto"/>
        <w:right w:val="none" w:sz="0" w:space="0" w:color="auto"/>
      </w:divBdr>
    </w:div>
    <w:div w:id="1042636395">
      <w:bodyDiv w:val="1"/>
      <w:marLeft w:val="0"/>
      <w:marRight w:val="0"/>
      <w:marTop w:val="0"/>
      <w:marBottom w:val="0"/>
      <w:divBdr>
        <w:top w:val="none" w:sz="0" w:space="0" w:color="auto"/>
        <w:left w:val="none" w:sz="0" w:space="0" w:color="auto"/>
        <w:bottom w:val="none" w:sz="0" w:space="0" w:color="auto"/>
        <w:right w:val="none" w:sz="0" w:space="0" w:color="auto"/>
      </w:divBdr>
      <w:divsChild>
        <w:div w:id="2117195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8045050">
      <w:bodyDiv w:val="1"/>
      <w:marLeft w:val="0"/>
      <w:marRight w:val="0"/>
      <w:marTop w:val="0"/>
      <w:marBottom w:val="0"/>
      <w:divBdr>
        <w:top w:val="none" w:sz="0" w:space="0" w:color="auto"/>
        <w:left w:val="none" w:sz="0" w:space="0" w:color="auto"/>
        <w:bottom w:val="none" w:sz="0" w:space="0" w:color="auto"/>
        <w:right w:val="none" w:sz="0" w:space="0" w:color="auto"/>
      </w:divBdr>
    </w:div>
    <w:div w:id="1068764591">
      <w:bodyDiv w:val="1"/>
      <w:marLeft w:val="0"/>
      <w:marRight w:val="0"/>
      <w:marTop w:val="0"/>
      <w:marBottom w:val="0"/>
      <w:divBdr>
        <w:top w:val="none" w:sz="0" w:space="0" w:color="auto"/>
        <w:left w:val="none" w:sz="0" w:space="0" w:color="auto"/>
        <w:bottom w:val="none" w:sz="0" w:space="0" w:color="auto"/>
        <w:right w:val="none" w:sz="0" w:space="0" w:color="auto"/>
      </w:divBdr>
    </w:div>
    <w:div w:id="1129401707">
      <w:bodyDiv w:val="1"/>
      <w:marLeft w:val="0"/>
      <w:marRight w:val="0"/>
      <w:marTop w:val="0"/>
      <w:marBottom w:val="0"/>
      <w:divBdr>
        <w:top w:val="none" w:sz="0" w:space="0" w:color="auto"/>
        <w:left w:val="none" w:sz="0" w:space="0" w:color="auto"/>
        <w:bottom w:val="none" w:sz="0" w:space="0" w:color="auto"/>
        <w:right w:val="none" w:sz="0" w:space="0" w:color="auto"/>
      </w:divBdr>
    </w:div>
    <w:div w:id="1142885897">
      <w:bodyDiv w:val="1"/>
      <w:marLeft w:val="0"/>
      <w:marRight w:val="0"/>
      <w:marTop w:val="0"/>
      <w:marBottom w:val="0"/>
      <w:divBdr>
        <w:top w:val="none" w:sz="0" w:space="0" w:color="auto"/>
        <w:left w:val="none" w:sz="0" w:space="0" w:color="auto"/>
        <w:bottom w:val="none" w:sz="0" w:space="0" w:color="auto"/>
        <w:right w:val="none" w:sz="0" w:space="0" w:color="auto"/>
      </w:divBdr>
    </w:div>
    <w:div w:id="1151479811">
      <w:bodyDiv w:val="1"/>
      <w:marLeft w:val="0"/>
      <w:marRight w:val="0"/>
      <w:marTop w:val="0"/>
      <w:marBottom w:val="0"/>
      <w:divBdr>
        <w:top w:val="none" w:sz="0" w:space="0" w:color="auto"/>
        <w:left w:val="none" w:sz="0" w:space="0" w:color="auto"/>
        <w:bottom w:val="none" w:sz="0" w:space="0" w:color="auto"/>
        <w:right w:val="none" w:sz="0" w:space="0" w:color="auto"/>
      </w:divBdr>
    </w:div>
    <w:div w:id="1160583043">
      <w:bodyDiv w:val="1"/>
      <w:marLeft w:val="0"/>
      <w:marRight w:val="0"/>
      <w:marTop w:val="0"/>
      <w:marBottom w:val="0"/>
      <w:divBdr>
        <w:top w:val="none" w:sz="0" w:space="0" w:color="auto"/>
        <w:left w:val="none" w:sz="0" w:space="0" w:color="auto"/>
        <w:bottom w:val="none" w:sz="0" w:space="0" w:color="auto"/>
        <w:right w:val="none" w:sz="0" w:space="0" w:color="auto"/>
      </w:divBdr>
    </w:div>
    <w:div w:id="1167089014">
      <w:bodyDiv w:val="1"/>
      <w:marLeft w:val="0"/>
      <w:marRight w:val="0"/>
      <w:marTop w:val="0"/>
      <w:marBottom w:val="0"/>
      <w:divBdr>
        <w:top w:val="none" w:sz="0" w:space="0" w:color="auto"/>
        <w:left w:val="none" w:sz="0" w:space="0" w:color="auto"/>
        <w:bottom w:val="none" w:sz="0" w:space="0" w:color="auto"/>
        <w:right w:val="none" w:sz="0" w:space="0" w:color="auto"/>
      </w:divBdr>
    </w:div>
    <w:div w:id="1204098095">
      <w:bodyDiv w:val="1"/>
      <w:marLeft w:val="0"/>
      <w:marRight w:val="0"/>
      <w:marTop w:val="0"/>
      <w:marBottom w:val="0"/>
      <w:divBdr>
        <w:top w:val="none" w:sz="0" w:space="0" w:color="auto"/>
        <w:left w:val="none" w:sz="0" w:space="0" w:color="auto"/>
        <w:bottom w:val="none" w:sz="0" w:space="0" w:color="auto"/>
        <w:right w:val="none" w:sz="0" w:space="0" w:color="auto"/>
      </w:divBdr>
    </w:div>
    <w:div w:id="1205212017">
      <w:bodyDiv w:val="1"/>
      <w:marLeft w:val="0"/>
      <w:marRight w:val="0"/>
      <w:marTop w:val="0"/>
      <w:marBottom w:val="0"/>
      <w:divBdr>
        <w:top w:val="none" w:sz="0" w:space="0" w:color="auto"/>
        <w:left w:val="none" w:sz="0" w:space="0" w:color="auto"/>
        <w:bottom w:val="none" w:sz="0" w:space="0" w:color="auto"/>
        <w:right w:val="none" w:sz="0" w:space="0" w:color="auto"/>
      </w:divBdr>
    </w:div>
    <w:div w:id="1248535698">
      <w:bodyDiv w:val="1"/>
      <w:marLeft w:val="0"/>
      <w:marRight w:val="0"/>
      <w:marTop w:val="0"/>
      <w:marBottom w:val="0"/>
      <w:divBdr>
        <w:top w:val="none" w:sz="0" w:space="0" w:color="auto"/>
        <w:left w:val="none" w:sz="0" w:space="0" w:color="auto"/>
        <w:bottom w:val="none" w:sz="0" w:space="0" w:color="auto"/>
        <w:right w:val="none" w:sz="0" w:space="0" w:color="auto"/>
      </w:divBdr>
    </w:div>
    <w:div w:id="1303081408">
      <w:bodyDiv w:val="1"/>
      <w:marLeft w:val="0"/>
      <w:marRight w:val="0"/>
      <w:marTop w:val="0"/>
      <w:marBottom w:val="0"/>
      <w:divBdr>
        <w:top w:val="none" w:sz="0" w:space="0" w:color="auto"/>
        <w:left w:val="none" w:sz="0" w:space="0" w:color="auto"/>
        <w:bottom w:val="none" w:sz="0" w:space="0" w:color="auto"/>
        <w:right w:val="none" w:sz="0" w:space="0" w:color="auto"/>
      </w:divBdr>
    </w:div>
    <w:div w:id="1327244722">
      <w:bodyDiv w:val="1"/>
      <w:marLeft w:val="0"/>
      <w:marRight w:val="0"/>
      <w:marTop w:val="0"/>
      <w:marBottom w:val="0"/>
      <w:divBdr>
        <w:top w:val="none" w:sz="0" w:space="0" w:color="auto"/>
        <w:left w:val="none" w:sz="0" w:space="0" w:color="auto"/>
        <w:bottom w:val="none" w:sz="0" w:space="0" w:color="auto"/>
        <w:right w:val="none" w:sz="0" w:space="0" w:color="auto"/>
      </w:divBdr>
    </w:div>
    <w:div w:id="1395860948">
      <w:bodyDiv w:val="1"/>
      <w:marLeft w:val="0"/>
      <w:marRight w:val="0"/>
      <w:marTop w:val="0"/>
      <w:marBottom w:val="0"/>
      <w:divBdr>
        <w:top w:val="none" w:sz="0" w:space="0" w:color="auto"/>
        <w:left w:val="none" w:sz="0" w:space="0" w:color="auto"/>
        <w:bottom w:val="none" w:sz="0" w:space="0" w:color="auto"/>
        <w:right w:val="none" w:sz="0" w:space="0" w:color="auto"/>
      </w:divBdr>
    </w:div>
    <w:div w:id="1445005431">
      <w:bodyDiv w:val="1"/>
      <w:marLeft w:val="0"/>
      <w:marRight w:val="0"/>
      <w:marTop w:val="0"/>
      <w:marBottom w:val="0"/>
      <w:divBdr>
        <w:top w:val="none" w:sz="0" w:space="0" w:color="auto"/>
        <w:left w:val="none" w:sz="0" w:space="0" w:color="auto"/>
        <w:bottom w:val="none" w:sz="0" w:space="0" w:color="auto"/>
        <w:right w:val="none" w:sz="0" w:space="0" w:color="auto"/>
      </w:divBdr>
    </w:div>
    <w:div w:id="1451627346">
      <w:bodyDiv w:val="1"/>
      <w:marLeft w:val="0"/>
      <w:marRight w:val="0"/>
      <w:marTop w:val="0"/>
      <w:marBottom w:val="0"/>
      <w:divBdr>
        <w:top w:val="none" w:sz="0" w:space="0" w:color="auto"/>
        <w:left w:val="none" w:sz="0" w:space="0" w:color="auto"/>
        <w:bottom w:val="none" w:sz="0" w:space="0" w:color="auto"/>
        <w:right w:val="none" w:sz="0" w:space="0" w:color="auto"/>
      </w:divBdr>
    </w:div>
    <w:div w:id="1463234782">
      <w:bodyDiv w:val="1"/>
      <w:marLeft w:val="0"/>
      <w:marRight w:val="0"/>
      <w:marTop w:val="0"/>
      <w:marBottom w:val="0"/>
      <w:divBdr>
        <w:top w:val="none" w:sz="0" w:space="0" w:color="auto"/>
        <w:left w:val="none" w:sz="0" w:space="0" w:color="auto"/>
        <w:bottom w:val="none" w:sz="0" w:space="0" w:color="auto"/>
        <w:right w:val="none" w:sz="0" w:space="0" w:color="auto"/>
      </w:divBdr>
    </w:div>
    <w:div w:id="1492060009">
      <w:bodyDiv w:val="1"/>
      <w:marLeft w:val="0"/>
      <w:marRight w:val="0"/>
      <w:marTop w:val="0"/>
      <w:marBottom w:val="0"/>
      <w:divBdr>
        <w:top w:val="none" w:sz="0" w:space="0" w:color="auto"/>
        <w:left w:val="none" w:sz="0" w:space="0" w:color="auto"/>
        <w:bottom w:val="none" w:sz="0" w:space="0" w:color="auto"/>
        <w:right w:val="none" w:sz="0" w:space="0" w:color="auto"/>
      </w:divBdr>
    </w:div>
    <w:div w:id="1503543960">
      <w:bodyDiv w:val="1"/>
      <w:marLeft w:val="0"/>
      <w:marRight w:val="0"/>
      <w:marTop w:val="0"/>
      <w:marBottom w:val="0"/>
      <w:divBdr>
        <w:top w:val="none" w:sz="0" w:space="0" w:color="auto"/>
        <w:left w:val="none" w:sz="0" w:space="0" w:color="auto"/>
        <w:bottom w:val="none" w:sz="0" w:space="0" w:color="auto"/>
        <w:right w:val="none" w:sz="0" w:space="0" w:color="auto"/>
      </w:divBdr>
    </w:div>
    <w:div w:id="1509514508">
      <w:bodyDiv w:val="1"/>
      <w:marLeft w:val="0"/>
      <w:marRight w:val="0"/>
      <w:marTop w:val="0"/>
      <w:marBottom w:val="0"/>
      <w:divBdr>
        <w:top w:val="none" w:sz="0" w:space="0" w:color="auto"/>
        <w:left w:val="none" w:sz="0" w:space="0" w:color="auto"/>
        <w:bottom w:val="none" w:sz="0" w:space="0" w:color="auto"/>
        <w:right w:val="none" w:sz="0" w:space="0" w:color="auto"/>
      </w:divBdr>
    </w:div>
    <w:div w:id="1520971105">
      <w:bodyDiv w:val="1"/>
      <w:marLeft w:val="0"/>
      <w:marRight w:val="0"/>
      <w:marTop w:val="0"/>
      <w:marBottom w:val="0"/>
      <w:divBdr>
        <w:top w:val="none" w:sz="0" w:space="0" w:color="auto"/>
        <w:left w:val="none" w:sz="0" w:space="0" w:color="auto"/>
        <w:bottom w:val="none" w:sz="0" w:space="0" w:color="auto"/>
        <w:right w:val="none" w:sz="0" w:space="0" w:color="auto"/>
      </w:divBdr>
    </w:div>
    <w:div w:id="1535995228">
      <w:bodyDiv w:val="1"/>
      <w:marLeft w:val="0"/>
      <w:marRight w:val="0"/>
      <w:marTop w:val="0"/>
      <w:marBottom w:val="0"/>
      <w:divBdr>
        <w:top w:val="none" w:sz="0" w:space="0" w:color="auto"/>
        <w:left w:val="none" w:sz="0" w:space="0" w:color="auto"/>
        <w:bottom w:val="none" w:sz="0" w:space="0" w:color="auto"/>
        <w:right w:val="none" w:sz="0" w:space="0" w:color="auto"/>
      </w:divBdr>
    </w:div>
    <w:div w:id="1544247645">
      <w:bodyDiv w:val="1"/>
      <w:marLeft w:val="0"/>
      <w:marRight w:val="0"/>
      <w:marTop w:val="0"/>
      <w:marBottom w:val="0"/>
      <w:divBdr>
        <w:top w:val="none" w:sz="0" w:space="0" w:color="auto"/>
        <w:left w:val="none" w:sz="0" w:space="0" w:color="auto"/>
        <w:bottom w:val="none" w:sz="0" w:space="0" w:color="auto"/>
        <w:right w:val="none" w:sz="0" w:space="0" w:color="auto"/>
      </w:divBdr>
    </w:div>
    <w:div w:id="1583904463">
      <w:bodyDiv w:val="1"/>
      <w:marLeft w:val="0"/>
      <w:marRight w:val="0"/>
      <w:marTop w:val="0"/>
      <w:marBottom w:val="0"/>
      <w:divBdr>
        <w:top w:val="none" w:sz="0" w:space="0" w:color="auto"/>
        <w:left w:val="none" w:sz="0" w:space="0" w:color="auto"/>
        <w:bottom w:val="none" w:sz="0" w:space="0" w:color="auto"/>
        <w:right w:val="none" w:sz="0" w:space="0" w:color="auto"/>
      </w:divBdr>
    </w:div>
    <w:div w:id="1585381614">
      <w:bodyDiv w:val="1"/>
      <w:marLeft w:val="0"/>
      <w:marRight w:val="0"/>
      <w:marTop w:val="0"/>
      <w:marBottom w:val="0"/>
      <w:divBdr>
        <w:top w:val="none" w:sz="0" w:space="0" w:color="auto"/>
        <w:left w:val="none" w:sz="0" w:space="0" w:color="auto"/>
        <w:bottom w:val="none" w:sz="0" w:space="0" w:color="auto"/>
        <w:right w:val="none" w:sz="0" w:space="0" w:color="auto"/>
      </w:divBdr>
    </w:div>
    <w:div w:id="1639997759">
      <w:bodyDiv w:val="1"/>
      <w:marLeft w:val="0"/>
      <w:marRight w:val="0"/>
      <w:marTop w:val="0"/>
      <w:marBottom w:val="0"/>
      <w:divBdr>
        <w:top w:val="none" w:sz="0" w:space="0" w:color="auto"/>
        <w:left w:val="none" w:sz="0" w:space="0" w:color="auto"/>
        <w:bottom w:val="none" w:sz="0" w:space="0" w:color="auto"/>
        <w:right w:val="none" w:sz="0" w:space="0" w:color="auto"/>
      </w:divBdr>
    </w:div>
    <w:div w:id="1673527423">
      <w:bodyDiv w:val="1"/>
      <w:marLeft w:val="0"/>
      <w:marRight w:val="0"/>
      <w:marTop w:val="0"/>
      <w:marBottom w:val="0"/>
      <w:divBdr>
        <w:top w:val="none" w:sz="0" w:space="0" w:color="auto"/>
        <w:left w:val="none" w:sz="0" w:space="0" w:color="auto"/>
        <w:bottom w:val="none" w:sz="0" w:space="0" w:color="auto"/>
        <w:right w:val="none" w:sz="0" w:space="0" w:color="auto"/>
      </w:divBdr>
    </w:div>
    <w:div w:id="1682856536">
      <w:bodyDiv w:val="1"/>
      <w:marLeft w:val="0"/>
      <w:marRight w:val="0"/>
      <w:marTop w:val="0"/>
      <w:marBottom w:val="0"/>
      <w:divBdr>
        <w:top w:val="none" w:sz="0" w:space="0" w:color="auto"/>
        <w:left w:val="none" w:sz="0" w:space="0" w:color="auto"/>
        <w:bottom w:val="none" w:sz="0" w:space="0" w:color="auto"/>
        <w:right w:val="none" w:sz="0" w:space="0" w:color="auto"/>
      </w:divBdr>
    </w:div>
    <w:div w:id="1694450890">
      <w:bodyDiv w:val="1"/>
      <w:marLeft w:val="0"/>
      <w:marRight w:val="0"/>
      <w:marTop w:val="0"/>
      <w:marBottom w:val="0"/>
      <w:divBdr>
        <w:top w:val="none" w:sz="0" w:space="0" w:color="auto"/>
        <w:left w:val="none" w:sz="0" w:space="0" w:color="auto"/>
        <w:bottom w:val="none" w:sz="0" w:space="0" w:color="auto"/>
        <w:right w:val="none" w:sz="0" w:space="0" w:color="auto"/>
      </w:divBdr>
    </w:div>
    <w:div w:id="1700860399">
      <w:bodyDiv w:val="1"/>
      <w:marLeft w:val="0"/>
      <w:marRight w:val="0"/>
      <w:marTop w:val="0"/>
      <w:marBottom w:val="0"/>
      <w:divBdr>
        <w:top w:val="none" w:sz="0" w:space="0" w:color="auto"/>
        <w:left w:val="none" w:sz="0" w:space="0" w:color="auto"/>
        <w:bottom w:val="none" w:sz="0" w:space="0" w:color="auto"/>
        <w:right w:val="none" w:sz="0" w:space="0" w:color="auto"/>
      </w:divBdr>
    </w:div>
    <w:div w:id="1708675877">
      <w:bodyDiv w:val="1"/>
      <w:marLeft w:val="0"/>
      <w:marRight w:val="0"/>
      <w:marTop w:val="0"/>
      <w:marBottom w:val="0"/>
      <w:divBdr>
        <w:top w:val="none" w:sz="0" w:space="0" w:color="auto"/>
        <w:left w:val="none" w:sz="0" w:space="0" w:color="auto"/>
        <w:bottom w:val="none" w:sz="0" w:space="0" w:color="auto"/>
        <w:right w:val="none" w:sz="0" w:space="0" w:color="auto"/>
      </w:divBdr>
      <w:divsChild>
        <w:div w:id="172189957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25326298">
      <w:bodyDiv w:val="1"/>
      <w:marLeft w:val="0"/>
      <w:marRight w:val="0"/>
      <w:marTop w:val="0"/>
      <w:marBottom w:val="0"/>
      <w:divBdr>
        <w:top w:val="none" w:sz="0" w:space="0" w:color="auto"/>
        <w:left w:val="none" w:sz="0" w:space="0" w:color="auto"/>
        <w:bottom w:val="none" w:sz="0" w:space="0" w:color="auto"/>
        <w:right w:val="none" w:sz="0" w:space="0" w:color="auto"/>
      </w:divBdr>
    </w:div>
    <w:div w:id="1751196070">
      <w:bodyDiv w:val="1"/>
      <w:marLeft w:val="0"/>
      <w:marRight w:val="0"/>
      <w:marTop w:val="0"/>
      <w:marBottom w:val="0"/>
      <w:divBdr>
        <w:top w:val="none" w:sz="0" w:space="0" w:color="auto"/>
        <w:left w:val="none" w:sz="0" w:space="0" w:color="auto"/>
        <w:bottom w:val="none" w:sz="0" w:space="0" w:color="auto"/>
        <w:right w:val="none" w:sz="0" w:space="0" w:color="auto"/>
      </w:divBdr>
    </w:div>
    <w:div w:id="1807963426">
      <w:bodyDiv w:val="1"/>
      <w:marLeft w:val="0"/>
      <w:marRight w:val="0"/>
      <w:marTop w:val="0"/>
      <w:marBottom w:val="0"/>
      <w:divBdr>
        <w:top w:val="none" w:sz="0" w:space="0" w:color="auto"/>
        <w:left w:val="none" w:sz="0" w:space="0" w:color="auto"/>
        <w:bottom w:val="none" w:sz="0" w:space="0" w:color="auto"/>
        <w:right w:val="none" w:sz="0" w:space="0" w:color="auto"/>
      </w:divBdr>
    </w:div>
    <w:div w:id="1811240431">
      <w:bodyDiv w:val="1"/>
      <w:marLeft w:val="0"/>
      <w:marRight w:val="0"/>
      <w:marTop w:val="0"/>
      <w:marBottom w:val="0"/>
      <w:divBdr>
        <w:top w:val="none" w:sz="0" w:space="0" w:color="auto"/>
        <w:left w:val="none" w:sz="0" w:space="0" w:color="auto"/>
        <w:bottom w:val="none" w:sz="0" w:space="0" w:color="auto"/>
        <w:right w:val="none" w:sz="0" w:space="0" w:color="auto"/>
      </w:divBdr>
    </w:div>
    <w:div w:id="1812139217">
      <w:bodyDiv w:val="1"/>
      <w:marLeft w:val="0"/>
      <w:marRight w:val="0"/>
      <w:marTop w:val="0"/>
      <w:marBottom w:val="0"/>
      <w:divBdr>
        <w:top w:val="none" w:sz="0" w:space="0" w:color="auto"/>
        <w:left w:val="none" w:sz="0" w:space="0" w:color="auto"/>
        <w:bottom w:val="none" w:sz="0" w:space="0" w:color="auto"/>
        <w:right w:val="none" w:sz="0" w:space="0" w:color="auto"/>
      </w:divBdr>
    </w:div>
    <w:div w:id="1815485413">
      <w:bodyDiv w:val="1"/>
      <w:marLeft w:val="0"/>
      <w:marRight w:val="0"/>
      <w:marTop w:val="0"/>
      <w:marBottom w:val="0"/>
      <w:divBdr>
        <w:top w:val="none" w:sz="0" w:space="0" w:color="auto"/>
        <w:left w:val="none" w:sz="0" w:space="0" w:color="auto"/>
        <w:bottom w:val="none" w:sz="0" w:space="0" w:color="auto"/>
        <w:right w:val="none" w:sz="0" w:space="0" w:color="auto"/>
      </w:divBdr>
    </w:div>
    <w:div w:id="1834032592">
      <w:bodyDiv w:val="1"/>
      <w:marLeft w:val="0"/>
      <w:marRight w:val="0"/>
      <w:marTop w:val="0"/>
      <w:marBottom w:val="0"/>
      <w:divBdr>
        <w:top w:val="none" w:sz="0" w:space="0" w:color="auto"/>
        <w:left w:val="none" w:sz="0" w:space="0" w:color="auto"/>
        <w:bottom w:val="none" w:sz="0" w:space="0" w:color="auto"/>
        <w:right w:val="none" w:sz="0" w:space="0" w:color="auto"/>
      </w:divBdr>
    </w:div>
    <w:div w:id="1907300600">
      <w:bodyDiv w:val="1"/>
      <w:marLeft w:val="0"/>
      <w:marRight w:val="0"/>
      <w:marTop w:val="0"/>
      <w:marBottom w:val="0"/>
      <w:divBdr>
        <w:top w:val="none" w:sz="0" w:space="0" w:color="auto"/>
        <w:left w:val="none" w:sz="0" w:space="0" w:color="auto"/>
        <w:bottom w:val="none" w:sz="0" w:space="0" w:color="auto"/>
        <w:right w:val="none" w:sz="0" w:space="0" w:color="auto"/>
      </w:divBdr>
    </w:div>
    <w:div w:id="1914193328">
      <w:bodyDiv w:val="1"/>
      <w:marLeft w:val="0"/>
      <w:marRight w:val="0"/>
      <w:marTop w:val="0"/>
      <w:marBottom w:val="0"/>
      <w:divBdr>
        <w:top w:val="none" w:sz="0" w:space="0" w:color="auto"/>
        <w:left w:val="none" w:sz="0" w:space="0" w:color="auto"/>
        <w:bottom w:val="none" w:sz="0" w:space="0" w:color="auto"/>
        <w:right w:val="none" w:sz="0" w:space="0" w:color="auto"/>
      </w:divBdr>
    </w:div>
    <w:div w:id="2007126165">
      <w:bodyDiv w:val="1"/>
      <w:marLeft w:val="0"/>
      <w:marRight w:val="0"/>
      <w:marTop w:val="0"/>
      <w:marBottom w:val="0"/>
      <w:divBdr>
        <w:top w:val="none" w:sz="0" w:space="0" w:color="auto"/>
        <w:left w:val="none" w:sz="0" w:space="0" w:color="auto"/>
        <w:bottom w:val="none" w:sz="0" w:space="0" w:color="auto"/>
        <w:right w:val="none" w:sz="0" w:space="0" w:color="auto"/>
      </w:divBdr>
    </w:div>
    <w:div w:id="2032535966">
      <w:bodyDiv w:val="1"/>
      <w:marLeft w:val="0"/>
      <w:marRight w:val="0"/>
      <w:marTop w:val="0"/>
      <w:marBottom w:val="0"/>
      <w:divBdr>
        <w:top w:val="none" w:sz="0" w:space="0" w:color="auto"/>
        <w:left w:val="none" w:sz="0" w:space="0" w:color="auto"/>
        <w:bottom w:val="none" w:sz="0" w:space="0" w:color="auto"/>
        <w:right w:val="none" w:sz="0" w:space="0" w:color="auto"/>
      </w:divBdr>
    </w:div>
    <w:div w:id="2035418500">
      <w:bodyDiv w:val="1"/>
      <w:marLeft w:val="0"/>
      <w:marRight w:val="0"/>
      <w:marTop w:val="0"/>
      <w:marBottom w:val="0"/>
      <w:divBdr>
        <w:top w:val="none" w:sz="0" w:space="0" w:color="auto"/>
        <w:left w:val="none" w:sz="0" w:space="0" w:color="auto"/>
        <w:bottom w:val="none" w:sz="0" w:space="0" w:color="auto"/>
        <w:right w:val="none" w:sz="0" w:space="0" w:color="auto"/>
      </w:divBdr>
    </w:div>
    <w:div w:id="2038700548">
      <w:bodyDiv w:val="1"/>
      <w:marLeft w:val="0"/>
      <w:marRight w:val="0"/>
      <w:marTop w:val="0"/>
      <w:marBottom w:val="0"/>
      <w:divBdr>
        <w:top w:val="none" w:sz="0" w:space="0" w:color="auto"/>
        <w:left w:val="none" w:sz="0" w:space="0" w:color="auto"/>
        <w:bottom w:val="none" w:sz="0" w:space="0" w:color="auto"/>
        <w:right w:val="none" w:sz="0" w:space="0" w:color="auto"/>
      </w:divBdr>
    </w:div>
    <w:div w:id="2065441525">
      <w:bodyDiv w:val="1"/>
      <w:marLeft w:val="0"/>
      <w:marRight w:val="0"/>
      <w:marTop w:val="0"/>
      <w:marBottom w:val="0"/>
      <w:divBdr>
        <w:top w:val="none" w:sz="0" w:space="0" w:color="auto"/>
        <w:left w:val="none" w:sz="0" w:space="0" w:color="auto"/>
        <w:bottom w:val="none" w:sz="0" w:space="0" w:color="auto"/>
        <w:right w:val="none" w:sz="0" w:space="0" w:color="auto"/>
      </w:divBdr>
    </w:div>
    <w:div w:id="2069843417">
      <w:bodyDiv w:val="1"/>
      <w:marLeft w:val="0"/>
      <w:marRight w:val="0"/>
      <w:marTop w:val="0"/>
      <w:marBottom w:val="0"/>
      <w:divBdr>
        <w:top w:val="none" w:sz="0" w:space="0" w:color="auto"/>
        <w:left w:val="none" w:sz="0" w:space="0" w:color="auto"/>
        <w:bottom w:val="none" w:sz="0" w:space="0" w:color="auto"/>
        <w:right w:val="none" w:sz="0" w:space="0" w:color="auto"/>
      </w:divBdr>
    </w:div>
    <w:div w:id="2088726984">
      <w:bodyDiv w:val="1"/>
      <w:marLeft w:val="0"/>
      <w:marRight w:val="0"/>
      <w:marTop w:val="0"/>
      <w:marBottom w:val="0"/>
      <w:divBdr>
        <w:top w:val="none" w:sz="0" w:space="0" w:color="auto"/>
        <w:left w:val="none" w:sz="0" w:space="0" w:color="auto"/>
        <w:bottom w:val="none" w:sz="0" w:space="0" w:color="auto"/>
        <w:right w:val="none" w:sz="0" w:space="0" w:color="auto"/>
      </w:divBdr>
    </w:div>
    <w:div w:id="2113501870">
      <w:bodyDiv w:val="1"/>
      <w:marLeft w:val="0"/>
      <w:marRight w:val="0"/>
      <w:marTop w:val="0"/>
      <w:marBottom w:val="0"/>
      <w:divBdr>
        <w:top w:val="none" w:sz="0" w:space="0" w:color="auto"/>
        <w:left w:val="none" w:sz="0" w:space="0" w:color="auto"/>
        <w:bottom w:val="none" w:sz="0" w:space="0" w:color="auto"/>
        <w:right w:val="none" w:sz="0" w:space="0" w:color="auto"/>
      </w:divBdr>
    </w:div>
    <w:div w:id="2124762206">
      <w:bodyDiv w:val="1"/>
      <w:marLeft w:val="0"/>
      <w:marRight w:val="0"/>
      <w:marTop w:val="0"/>
      <w:marBottom w:val="0"/>
      <w:divBdr>
        <w:top w:val="none" w:sz="0" w:space="0" w:color="auto"/>
        <w:left w:val="none" w:sz="0" w:space="0" w:color="auto"/>
        <w:bottom w:val="none" w:sz="0" w:space="0" w:color="auto"/>
        <w:right w:val="none" w:sz="0" w:space="0" w:color="auto"/>
      </w:divBdr>
    </w:div>
    <w:div w:id="2131704284">
      <w:bodyDiv w:val="1"/>
      <w:marLeft w:val="0"/>
      <w:marRight w:val="0"/>
      <w:marTop w:val="0"/>
      <w:marBottom w:val="0"/>
      <w:divBdr>
        <w:top w:val="none" w:sz="0" w:space="0" w:color="auto"/>
        <w:left w:val="none" w:sz="0" w:space="0" w:color="auto"/>
        <w:bottom w:val="none" w:sz="0" w:space="0" w:color="auto"/>
        <w:right w:val="none" w:sz="0" w:space="0" w:color="auto"/>
      </w:divBdr>
    </w:div>
    <w:div w:id="213983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5B1F6-5732-44E6-AE0D-CC00AF427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2732</TotalTime>
  <Pages>14</Pages>
  <Words>19360</Words>
  <Characters>110358</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Shabbir Hasan</dc:creator>
  <cp:keywords/>
  <dc:description/>
  <cp:lastModifiedBy>SDI CPU 1117</cp:lastModifiedBy>
  <cp:revision>260</cp:revision>
  <dcterms:created xsi:type="dcterms:W3CDTF">2025-05-14T10:13:00Z</dcterms:created>
  <dcterms:modified xsi:type="dcterms:W3CDTF">2025-08-22T10:03:00Z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id="RZqLh1PA"/&gt;&lt;style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