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1C3CCF">
      <w:pPr>
        <w:jc w:val="center"/>
        <w:rPr>
          <w:rFonts w:ascii="Times New Roman" w:hAnsi="Times New Roman"/>
          <w:b/>
          <w:bCs/>
          <w:sz w:val="24"/>
          <w:szCs w:val="24"/>
        </w:rPr>
      </w:pPr>
      <w:r>
        <w:rPr>
          <w:sz w:val="20"/>
          <w:szCs w:val="20"/>
        </w:rPr>
        <w:t>.</w:t>
      </w:r>
      <w:r>
        <w:rPr>
          <w:rFonts w:ascii="Times New Roman" w:hAnsi="Times New Roman"/>
          <w:b/>
          <w:bCs/>
          <w:sz w:val="24"/>
          <w:szCs w:val="24"/>
          <w:highlight w:val="yellow"/>
        </w:rPr>
        <w:t xml:space="preserve">TOXICOLOGICAL </w:t>
      </w:r>
      <w:r>
        <w:rPr>
          <w:rFonts w:hint="default" w:ascii="Times New Roman" w:hAnsi="Times New Roman"/>
          <w:b/>
          <w:bCs/>
          <w:sz w:val="24"/>
          <w:szCs w:val="24"/>
          <w:highlight w:val="yellow"/>
          <w:lang w:val="en-GB"/>
        </w:rPr>
        <w:t>EVALUATION</w:t>
      </w:r>
      <w:r>
        <w:rPr>
          <w:rFonts w:ascii="Times New Roman" w:hAnsi="Times New Roman"/>
          <w:b/>
          <w:bCs/>
          <w:sz w:val="24"/>
          <w:szCs w:val="24"/>
          <w:highlight w:val="yellow"/>
        </w:rPr>
        <w:t xml:space="preserve"> OF CHRONIC ADMINISTRATION OF</w:t>
      </w:r>
      <w:r>
        <w:rPr>
          <w:rFonts w:ascii="Times New Roman" w:hAnsi="Times New Roman"/>
          <w:b/>
          <w:bCs/>
          <w:i/>
          <w:iCs/>
          <w:sz w:val="24"/>
          <w:szCs w:val="24"/>
          <w:highlight w:val="yellow"/>
        </w:rPr>
        <w:t xml:space="preserve"> Zea mays </w:t>
      </w:r>
      <w:r>
        <w:rPr>
          <w:rFonts w:ascii="Times New Roman" w:hAnsi="Times New Roman"/>
          <w:b/>
          <w:bCs/>
          <w:sz w:val="24"/>
          <w:szCs w:val="24"/>
          <w:highlight w:val="yellow"/>
        </w:rPr>
        <w:t>HUSK EXTRACT ON FEMALE RATS</w:t>
      </w:r>
    </w:p>
    <w:p w14:paraId="35E9B666">
      <w:pPr>
        <w:jc w:val="center"/>
        <w:rPr>
          <w:rFonts w:ascii="Times New Roman" w:hAnsi="Times New Roman"/>
          <w:b/>
          <w:bCs/>
          <w:sz w:val="24"/>
          <w:szCs w:val="24"/>
        </w:rPr>
      </w:pPr>
    </w:p>
    <w:p w14:paraId="3C85C784">
      <w:pPr>
        <w:rPr>
          <w:rFonts w:ascii="Times New Roman" w:hAnsi="Times New Roman" w:eastAsia="Calibri"/>
          <w:b/>
          <w:sz w:val="24"/>
          <w:szCs w:val="24"/>
        </w:rPr>
      </w:pPr>
    </w:p>
    <w:p w14:paraId="19323A6E">
      <w:pPr>
        <w:jc w:val="both"/>
        <w:rPr>
          <w:rFonts w:ascii="Times New Roman" w:hAnsi="Times New Roman"/>
          <w:b/>
          <w:bCs/>
          <w:iCs/>
          <w:sz w:val="24"/>
          <w:szCs w:val="24"/>
        </w:rPr>
      </w:pPr>
      <w:r>
        <w:rPr>
          <w:rFonts w:ascii="Times New Roman" w:hAnsi="Times New Roman"/>
          <w:b/>
          <w:bCs/>
          <w:iCs/>
          <w:sz w:val="24"/>
          <w:szCs w:val="24"/>
        </w:rPr>
        <w:t xml:space="preserve">ABSTRACT </w:t>
      </w:r>
    </w:p>
    <w:p w14:paraId="1BC721A0">
      <w:pPr>
        <w:spacing w:before="4" w:line="480" w:lineRule="auto"/>
        <w:ind w:left="156" w:right="38"/>
        <w:jc w:val="both"/>
        <w:rPr>
          <w:rFonts w:ascii="Times New Roman" w:hAnsi="Times New Roman"/>
          <w:iCs/>
          <w:sz w:val="24"/>
          <w:szCs w:val="24"/>
          <w:highlight w:val="yellow"/>
        </w:rPr>
      </w:pPr>
      <w:r>
        <w:rPr>
          <w:rFonts w:ascii="Times New Roman" w:hAnsi="Times New Roman"/>
          <w:i/>
          <w:iCs/>
          <w:sz w:val="24"/>
          <w:szCs w:val="24"/>
          <w:highlight w:val="yellow"/>
        </w:rPr>
        <w:t xml:space="preserve">Zea mays L </w:t>
      </w:r>
      <w:r>
        <w:rPr>
          <w:rFonts w:ascii="Times New Roman" w:hAnsi="Times New Roman"/>
          <w:iCs/>
          <w:sz w:val="24"/>
          <w:szCs w:val="24"/>
          <w:highlight w:val="yellow"/>
        </w:rPr>
        <w:t xml:space="preserve">(Family-Poaceae) </w:t>
      </w:r>
      <w:r>
        <w:rPr>
          <w:rFonts w:hint="default" w:ascii="Times New Roman" w:hAnsi="Times New Roman"/>
          <w:iCs/>
          <w:sz w:val="24"/>
          <w:szCs w:val="24"/>
          <w:highlight w:val="yellow"/>
          <w:lang w:val="en-GB"/>
        </w:rPr>
        <w:t>husk</w:t>
      </w:r>
      <w:r>
        <w:rPr>
          <w:rFonts w:ascii="Times New Roman" w:hAnsi="Times New Roman"/>
          <w:sz w:val="24"/>
          <w:szCs w:val="24"/>
          <w:highlight w:val="yellow"/>
        </w:rPr>
        <w:t xml:space="preserve"> locally </w:t>
      </w:r>
      <w:r>
        <w:rPr>
          <w:rFonts w:hint="default" w:ascii="Times New Roman" w:hAnsi="Times New Roman"/>
          <w:sz w:val="24"/>
          <w:szCs w:val="24"/>
          <w:highlight w:val="yellow"/>
          <w:lang w:val="en-GB"/>
        </w:rPr>
        <w:t xml:space="preserve">use </w:t>
      </w:r>
      <w:r>
        <w:rPr>
          <w:rFonts w:ascii="Times New Roman" w:hAnsi="Times New Roman"/>
          <w:sz w:val="24"/>
          <w:szCs w:val="24"/>
          <w:highlight w:val="yellow"/>
        </w:rPr>
        <w:t>as a remedy for various diseases</w:t>
      </w:r>
      <w:r>
        <w:rPr>
          <w:rFonts w:hint="default" w:ascii="Times New Roman" w:hAnsi="Times New Roman"/>
          <w:sz w:val="24"/>
          <w:szCs w:val="24"/>
          <w:highlight w:val="yellow"/>
          <w:lang w:val="en-GB"/>
        </w:rPr>
        <w:t xml:space="preserve"> was investigated for effect </w:t>
      </w:r>
      <w:r>
        <w:rPr>
          <w:rFonts w:ascii="Times New Roman" w:hAnsi="Times New Roman"/>
          <w:sz w:val="24"/>
          <w:szCs w:val="24"/>
          <w:highlight w:val="yellow"/>
        </w:rPr>
        <w:t xml:space="preserve">on hematological indices, liver and kidney functions as well as lipid profile and organs histologies </w:t>
      </w:r>
      <w:r>
        <w:rPr>
          <w:rFonts w:hint="default" w:ascii="Times New Roman" w:hAnsi="Times New Roman"/>
          <w:sz w:val="24"/>
          <w:szCs w:val="24"/>
          <w:highlight w:val="yellow"/>
          <w:lang w:val="en-GB"/>
        </w:rPr>
        <w:t>after</w:t>
      </w:r>
      <w:r>
        <w:rPr>
          <w:rFonts w:ascii="Times New Roman" w:hAnsi="Times New Roman"/>
          <w:sz w:val="24"/>
          <w:szCs w:val="24"/>
          <w:highlight w:val="yellow"/>
        </w:rPr>
        <w:t xml:space="preserve"> chronic administration of  </w:t>
      </w:r>
      <w:r>
        <w:rPr>
          <w:rFonts w:ascii="Times New Roman" w:hAnsi="Times New Roman"/>
          <w:i/>
          <w:iCs/>
          <w:sz w:val="24"/>
          <w:szCs w:val="24"/>
          <w:highlight w:val="yellow"/>
        </w:rPr>
        <w:t xml:space="preserve">Zea mays </w:t>
      </w:r>
      <w:r>
        <w:rPr>
          <w:rFonts w:ascii="Times New Roman" w:hAnsi="Times New Roman"/>
          <w:sz w:val="24"/>
          <w:szCs w:val="24"/>
          <w:highlight w:val="yellow"/>
        </w:rPr>
        <w:t>ethanol husk extract</w:t>
      </w:r>
      <w:r>
        <w:rPr>
          <w:rFonts w:hint="default" w:ascii="Times New Roman" w:hAnsi="Times New Roman"/>
          <w:sz w:val="24"/>
          <w:szCs w:val="24"/>
          <w:highlight w:val="yellow"/>
          <w:lang w:val="en-GB"/>
        </w:rPr>
        <w:t xml:space="preserve"> to</w:t>
      </w:r>
      <w:r>
        <w:rPr>
          <w:rFonts w:ascii="Times New Roman" w:hAnsi="Times New Roman"/>
          <w:sz w:val="24"/>
          <w:szCs w:val="24"/>
          <w:highlight w:val="yellow"/>
        </w:rPr>
        <w:t xml:space="preserve"> female Wistar rats. The </w:t>
      </w:r>
      <w:r>
        <w:rPr>
          <w:rFonts w:hint="default" w:ascii="Times New Roman" w:hAnsi="Times New Roman"/>
          <w:sz w:val="24"/>
          <w:szCs w:val="24"/>
          <w:highlight w:val="yellow"/>
          <w:lang w:val="en-GB"/>
        </w:rPr>
        <w:t xml:space="preserve">female rats were orally treated with </w:t>
      </w:r>
      <w:r>
        <w:rPr>
          <w:rFonts w:ascii="Times New Roman" w:hAnsi="Times New Roman"/>
          <w:sz w:val="24"/>
          <w:szCs w:val="24"/>
          <w:highlight w:val="yellow"/>
        </w:rPr>
        <w:t>husk extract (187, 374 and 561 mg/kg body weight)  daily for 100 days and the</w:t>
      </w:r>
      <w:r>
        <w:rPr>
          <w:rFonts w:hint="default" w:ascii="Times New Roman" w:hAnsi="Times New Roman"/>
          <w:sz w:val="24"/>
          <w:szCs w:val="24"/>
          <w:highlight w:val="yellow"/>
          <w:lang w:val="en-GB"/>
        </w:rPr>
        <w:t>reafter</w:t>
      </w:r>
      <w:r>
        <w:rPr>
          <w:rFonts w:ascii="Times New Roman" w:hAnsi="Times New Roman"/>
          <w:sz w:val="24"/>
          <w:szCs w:val="24"/>
          <w:highlight w:val="yellow"/>
        </w:rPr>
        <w:t xml:space="preserve"> sacrificed under light diethyl ether anesthesia at the completion of the </w:t>
      </w:r>
      <w:r>
        <w:rPr>
          <w:rFonts w:hint="default" w:ascii="Times New Roman" w:hAnsi="Times New Roman"/>
          <w:sz w:val="24"/>
          <w:szCs w:val="24"/>
          <w:highlight w:val="yellow"/>
          <w:lang w:val="en-GB"/>
        </w:rPr>
        <w:t>treatment period</w:t>
      </w:r>
      <w:r>
        <w:rPr>
          <w:rFonts w:ascii="Times New Roman" w:hAnsi="Times New Roman"/>
          <w:sz w:val="24"/>
          <w:szCs w:val="24"/>
          <w:highlight w:val="yellow"/>
        </w:rPr>
        <w:t>. The</w:t>
      </w:r>
      <w:r>
        <w:rPr>
          <w:rFonts w:ascii="Times New Roman" w:hAnsi="Times New Roman"/>
          <w:i/>
          <w:iCs/>
          <w:sz w:val="24"/>
          <w:szCs w:val="24"/>
          <w:highlight w:val="yellow"/>
        </w:rPr>
        <w:t xml:space="preserve"> </w:t>
      </w:r>
      <w:r>
        <w:rPr>
          <w:rFonts w:ascii="Times New Roman" w:hAnsi="Times New Roman"/>
          <w:sz w:val="24"/>
          <w:szCs w:val="24"/>
          <w:highlight w:val="yellow"/>
        </w:rPr>
        <w:t xml:space="preserve">husk extract </w:t>
      </w:r>
      <w:r>
        <w:rPr>
          <w:rFonts w:hint="default" w:ascii="Times New Roman" w:hAnsi="Times New Roman"/>
          <w:sz w:val="24"/>
          <w:szCs w:val="24"/>
          <w:highlight w:val="yellow"/>
          <w:lang w:val="en-GB"/>
        </w:rPr>
        <w:t>exerted</w:t>
      </w:r>
      <w:r>
        <w:rPr>
          <w:rFonts w:ascii="Times New Roman" w:hAnsi="Times New Roman"/>
          <w:sz w:val="24"/>
          <w:szCs w:val="24"/>
          <w:highlight w:val="yellow"/>
        </w:rPr>
        <w:t xml:space="preserve"> insignificant (p&gt;0.05) alteration of body and organ weights of rats relative  to control. The blood indices of the rats were </w:t>
      </w:r>
      <w:r>
        <w:rPr>
          <w:rFonts w:hint="default" w:ascii="Times New Roman" w:hAnsi="Times New Roman"/>
          <w:sz w:val="24"/>
          <w:szCs w:val="24"/>
          <w:highlight w:val="yellow"/>
          <w:lang w:val="en-GB"/>
        </w:rPr>
        <w:t>in</w:t>
      </w:r>
      <w:r>
        <w:rPr>
          <w:rFonts w:ascii="Times New Roman" w:hAnsi="Times New Roman"/>
          <w:sz w:val="24"/>
          <w:szCs w:val="24"/>
          <w:highlight w:val="yellow"/>
        </w:rPr>
        <w:t xml:space="preserve">significantly (p&gt;0.05) </w:t>
      </w:r>
      <w:r>
        <w:rPr>
          <w:rFonts w:hint="default" w:ascii="Times New Roman" w:hAnsi="Times New Roman"/>
          <w:sz w:val="24"/>
          <w:szCs w:val="24"/>
          <w:highlight w:val="yellow"/>
          <w:lang w:val="en-GB"/>
        </w:rPr>
        <w:t>altered, but</w:t>
      </w:r>
      <w:r>
        <w:rPr>
          <w:rFonts w:ascii="Times New Roman" w:hAnsi="Times New Roman"/>
          <w:sz w:val="24"/>
          <w:szCs w:val="24"/>
          <w:highlight w:val="yellow"/>
        </w:rPr>
        <w:t xml:space="preserve"> significant (p&lt;0.001) reduction of  bleeding time of  rats treated with 374 mg/kg of the extract</w:t>
      </w:r>
      <w:r>
        <w:rPr>
          <w:rFonts w:hint="default" w:ascii="Times New Roman" w:hAnsi="Times New Roman"/>
          <w:sz w:val="24"/>
          <w:szCs w:val="24"/>
          <w:highlight w:val="yellow"/>
          <w:lang w:val="en-GB"/>
        </w:rPr>
        <w:t xml:space="preserve"> was recorded</w:t>
      </w:r>
      <w:r>
        <w:rPr>
          <w:rFonts w:ascii="Times New Roman" w:hAnsi="Times New Roman"/>
          <w:sz w:val="24"/>
          <w:szCs w:val="24"/>
          <w:highlight w:val="yellow"/>
        </w:rPr>
        <w:t xml:space="preserve">. </w:t>
      </w:r>
      <w:r>
        <w:rPr>
          <w:rFonts w:hint="default" w:ascii="Times New Roman" w:hAnsi="Times New Roman"/>
          <w:sz w:val="24"/>
          <w:szCs w:val="24"/>
          <w:highlight w:val="yellow"/>
          <w:lang w:val="en-GB"/>
        </w:rPr>
        <w:t xml:space="preserve">No </w:t>
      </w:r>
      <w:r>
        <w:rPr>
          <w:rFonts w:ascii="Times New Roman" w:hAnsi="Times New Roman"/>
          <w:sz w:val="24"/>
          <w:szCs w:val="24"/>
          <w:highlight w:val="yellow"/>
        </w:rPr>
        <w:t xml:space="preserve">significant (p&gt;0.05)  effect on liver function parameters (total protein, albumin, AST,ALT, ALP, GGT, and combined bilirubin) of </w:t>
      </w:r>
      <w:r>
        <w:rPr>
          <w:rFonts w:hint="default" w:ascii="Times New Roman" w:hAnsi="Times New Roman"/>
          <w:sz w:val="24"/>
          <w:szCs w:val="24"/>
          <w:highlight w:val="yellow"/>
          <w:lang w:val="en-GB"/>
        </w:rPr>
        <w:t xml:space="preserve">treated </w:t>
      </w:r>
      <w:r>
        <w:rPr>
          <w:rFonts w:ascii="Times New Roman" w:hAnsi="Times New Roman"/>
          <w:sz w:val="24"/>
          <w:szCs w:val="24"/>
          <w:highlight w:val="yellow"/>
        </w:rPr>
        <w:t xml:space="preserve">rats </w:t>
      </w:r>
      <w:r>
        <w:rPr>
          <w:rFonts w:hint="default" w:ascii="Times New Roman" w:hAnsi="Times New Roman"/>
          <w:sz w:val="24"/>
          <w:szCs w:val="24"/>
          <w:highlight w:val="yellow"/>
          <w:lang w:val="en-GB"/>
        </w:rPr>
        <w:t xml:space="preserve">was recorded </w:t>
      </w:r>
      <w:r>
        <w:rPr>
          <w:rFonts w:ascii="Times New Roman" w:hAnsi="Times New Roman"/>
          <w:sz w:val="24"/>
          <w:szCs w:val="24"/>
          <w:highlight w:val="yellow"/>
        </w:rPr>
        <w:t>except</w:t>
      </w:r>
      <w:r>
        <w:rPr>
          <w:rFonts w:hint="default" w:ascii="Times New Roman" w:hAnsi="Times New Roman"/>
          <w:sz w:val="24"/>
          <w:szCs w:val="24"/>
          <w:highlight w:val="yellow"/>
          <w:lang w:val="en-GB"/>
        </w:rPr>
        <w:t xml:space="preserve"> </w:t>
      </w:r>
      <w:r>
        <w:rPr>
          <w:rFonts w:ascii="Times New Roman" w:hAnsi="Times New Roman"/>
          <w:sz w:val="24"/>
          <w:szCs w:val="24"/>
          <w:highlight w:val="yellow"/>
        </w:rPr>
        <w:t xml:space="preserve">significant (p&lt;0.001) non-dose dependent increase in total bilirubin </w:t>
      </w:r>
      <w:r>
        <w:rPr>
          <w:rFonts w:hint="default" w:ascii="Times New Roman" w:hAnsi="Times New Roman"/>
          <w:sz w:val="24"/>
          <w:szCs w:val="24"/>
          <w:highlight w:val="yellow"/>
          <w:lang w:val="en-GB"/>
        </w:rPr>
        <w:t xml:space="preserve">level </w:t>
      </w:r>
      <w:r>
        <w:rPr>
          <w:rFonts w:ascii="Times New Roman" w:hAnsi="Times New Roman"/>
          <w:sz w:val="24"/>
          <w:szCs w:val="24"/>
          <w:highlight w:val="yellow"/>
        </w:rPr>
        <w:t xml:space="preserve">only at middle dose (374 mg/kg) of the extract. </w:t>
      </w:r>
      <w:r>
        <w:rPr>
          <w:rFonts w:hint="default" w:ascii="Times New Roman" w:hAnsi="Times New Roman"/>
          <w:sz w:val="24"/>
          <w:szCs w:val="24"/>
          <w:highlight w:val="yellow"/>
          <w:lang w:val="en-GB"/>
        </w:rPr>
        <w:t xml:space="preserve"> Also, in</w:t>
      </w:r>
      <w:r>
        <w:rPr>
          <w:rFonts w:ascii="Times New Roman" w:hAnsi="Times New Roman"/>
          <w:sz w:val="24"/>
          <w:szCs w:val="24"/>
          <w:highlight w:val="yellow"/>
        </w:rPr>
        <w:t xml:space="preserve">significant (p&gt;0.05) effect on urea, creatinine, bicarbonate, potassium and sodium levels  </w:t>
      </w:r>
      <w:r>
        <w:rPr>
          <w:rFonts w:hint="default" w:ascii="Times New Roman" w:hAnsi="Times New Roman"/>
          <w:sz w:val="24"/>
          <w:szCs w:val="24"/>
          <w:highlight w:val="yellow"/>
          <w:lang w:val="en-GB"/>
        </w:rPr>
        <w:t>and</w:t>
      </w:r>
      <w:r>
        <w:rPr>
          <w:rFonts w:ascii="Times New Roman" w:hAnsi="Times New Roman"/>
          <w:sz w:val="24"/>
          <w:szCs w:val="24"/>
          <w:highlight w:val="yellow"/>
        </w:rPr>
        <w:t xml:space="preserve"> a significant (p&lt;0.001) increase in chloride level of </w:t>
      </w:r>
      <w:r>
        <w:rPr>
          <w:rFonts w:hint="default" w:ascii="Times New Roman" w:hAnsi="Times New Roman"/>
          <w:sz w:val="24"/>
          <w:szCs w:val="24"/>
          <w:highlight w:val="yellow"/>
          <w:lang w:val="en-GB"/>
        </w:rPr>
        <w:t>the female</w:t>
      </w:r>
      <w:r>
        <w:rPr>
          <w:rFonts w:ascii="Times New Roman" w:hAnsi="Times New Roman"/>
          <w:sz w:val="24"/>
          <w:szCs w:val="24"/>
          <w:highlight w:val="yellow"/>
        </w:rPr>
        <w:t xml:space="preserve"> rats at the highest dose of extract (561 mg/kg)</w:t>
      </w:r>
      <w:r>
        <w:rPr>
          <w:rFonts w:hint="default" w:ascii="Times New Roman" w:hAnsi="Times New Roman"/>
          <w:sz w:val="24"/>
          <w:szCs w:val="24"/>
          <w:highlight w:val="yellow"/>
          <w:lang w:val="en-GB"/>
        </w:rPr>
        <w:t xml:space="preserve"> were observed</w:t>
      </w:r>
      <w:r>
        <w:rPr>
          <w:rFonts w:ascii="Times New Roman" w:hAnsi="Times New Roman"/>
          <w:sz w:val="24"/>
          <w:szCs w:val="24"/>
          <w:highlight w:val="yellow"/>
        </w:rPr>
        <w:t>. The extract did not alter the</w:t>
      </w:r>
      <w:r>
        <w:rPr>
          <w:rFonts w:hint="default" w:ascii="Times New Roman" w:hAnsi="Times New Roman"/>
          <w:sz w:val="24"/>
          <w:szCs w:val="24"/>
          <w:highlight w:val="yellow"/>
          <w:lang w:val="en-GB"/>
        </w:rPr>
        <w:t xml:space="preserve"> rat’s</w:t>
      </w:r>
      <w:r>
        <w:rPr>
          <w:rFonts w:ascii="Times New Roman" w:hAnsi="Times New Roman"/>
          <w:sz w:val="24"/>
          <w:szCs w:val="24"/>
          <w:highlight w:val="yellow"/>
        </w:rPr>
        <w:t xml:space="preserve"> lipid profile </w:t>
      </w:r>
      <w:r>
        <w:rPr>
          <w:rFonts w:hint="default" w:ascii="Times New Roman" w:hAnsi="Times New Roman"/>
          <w:sz w:val="24"/>
          <w:szCs w:val="24"/>
          <w:highlight w:val="yellow"/>
          <w:lang w:val="en-GB"/>
        </w:rPr>
        <w:t>parameters</w:t>
      </w:r>
      <w:r>
        <w:rPr>
          <w:rFonts w:ascii="Times New Roman" w:hAnsi="Times New Roman"/>
          <w:sz w:val="24"/>
          <w:szCs w:val="24"/>
          <w:highlight w:val="yellow"/>
        </w:rPr>
        <w:t xml:space="preserve"> except significant (p&lt;0.05 - 0.001) </w:t>
      </w:r>
      <w:r>
        <w:rPr>
          <w:rFonts w:hint="default" w:ascii="Times New Roman" w:hAnsi="Times New Roman"/>
          <w:sz w:val="24"/>
          <w:szCs w:val="24"/>
          <w:highlight w:val="yellow"/>
          <w:lang w:val="en-GB"/>
        </w:rPr>
        <w:t>lowering of</w:t>
      </w:r>
      <w:r>
        <w:rPr>
          <w:rFonts w:ascii="Times New Roman" w:hAnsi="Times New Roman"/>
          <w:sz w:val="24"/>
          <w:szCs w:val="24"/>
          <w:highlight w:val="yellow"/>
        </w:rPr>
        <w:t xml:space="preserve">  total cholesterol levels of  rats treated with extract (187 mg/kg)  as well as VLDL  levels of  rats treated with low and highest dose (187 and 561 mg/kg) </w:t>
      </w:r>
      <w:r>
        <w:rPr>
          <w:rFonts w:hint="default" w:ascii="Times New Roman" w:hAnsi="Times New Roman"/>
          <w:sz w:val="24"/>
          <w:szCs w:val="24"/>
          <w:highlight w:val="yellow"/>
          <w:lang w:val="en-GB"/>
        </w:rPr>
        <w:t>relative</w:t>
      </w:r>
      <w:r>
        <w:rPr>
          <w:rFonts w:ascii="Times New Roman" w:hAnsi="Times New Roman"/>
          <w:sz w:val="24"/>
          <w:szCs w:val="24"/>
          <w:highlight w:val="yellow"/>
        </w:rPr>
        <w:t xml:space="preserve"> to control.  The husk extract exerted mild to moderate effect on the histologies of brains, hearts, livers and kidneys of   rats </w:t>
      </w:r>
      <w:r>
        <w:rPr>
          <w:rFonts w:hint="default" w:ascii="Times New Roman" w:hAnsi="Times New Roman"/>
          <w:sz w:val="24"/>
          <w:szCs w:val="24"/>
          <w:highlight w:val="yellow"/>
          <w:lang w:val="en-GB"/>
        </w:rPr>
        <w:t>with</w:t>
      </w:r>
      <w:r>
        <w:rPr>
          <w:rFonts w:ascii="Times New Roman" w:hAnsi="Times New Roman"/>
          <w:sz w:val="24"/>
          <w:szCs w:val="24"/>
          <w:highlight w:val="yellow"/>
        </w:rPr>
        <w:t xml:space="preserve">  serious effect o</w:t>
      </w:r>
      <w:r>
        <w:rPr>
          <w:rFonts w:hint="default" w:ascii="Times New Roman" w:hAnsi="Times New Roman"/>
          <w:sz w:val="24"/>
          <w:szCs w:val="24"/>
          <w:highlight w:val="yellow"/>
          <w:lang w:val="en-GB"/>
        </w:rPr>
        <w:t xml:space="preserve">n the </w:t>
      </w:r>
      <w:r>
        <w:rPr>
          <w:rFonts w:ascii="Times New Roman" w:hAnsi="Times New Roman"/>
          <w:sz w:val="24"/>
          <w:szCs w:val="24"/>
          <w:highlight w:val="yellow"/>
        </w:rPr>
        <w:t>ovary. The extract should be taken with caution and high dose should be avoided.</w:t>
      </w:r>
    </w:p>
    <w:p w14:paraId="6226F147">
      <w:pPr>
        <w:ind w:left="1346" w:hanging="1321" w:hangingChars="550"/>
        <w:rPr>
          <w:rFonts w:ascii="Times New Roman" w:hAnsi="Times New Roman"/>
          <w:b/>
          <w:sz w:val="24"/>
          <w:szCs w:val="24"/>
        </w:rPr>
      </w:pPr>
      <w:r>
        <w:rPr>
          <w:rFonts w:ascii="Times New Roman" w:hAnsi="Times New Roman"/>
          <w:b/>
          <w:bCs/>
          <w:sz w:val="24"/>
          <w:szCs w:val="24"/>
        </w:rPr>
        <w:t xml:space="preserve">Keywords: </w:t>
      </w:r>
      <w:r>
        <w:rPr>
          <w:rFonts w:ascii="Times New Roman" w:hAnsi="Times New Roman"/>
          <w:i/>
          <w:sz w:val="24"/>
          <w:szCs w:val="24"/>
        </w:rPr>
        <w:t xml:space="preserve"> </w:t>
      </w:r>
      <w:r>
        <w:rPr>
          <w:rFonts w:ascii="Times New Roman" w:hAnsi="Times New Roman"/>
          <w:i/>
          <w:iCs/>
          <w:sz w:val="24"/>
          <w:szCs w:val="24"/>
        </w:rPr>
        <w:t>Zea mays</w:t>
      </w:r>
      <w:r>
        <w:rPr>
          <w:rFonts w:ascii="Times New Roman" w:hAnsi="Times New Roman"/>
          <w:sz w:val="24"/>
          <w:szCs w:val="24"/>
        </w:rPr>
        <w:t>, haematological parameters, kidney function, liver function</w:t>
      </w:r>
    </w:p>
    <w:p w14:paraId="081D34F2">
      <w:pPr>
        <w:numPr>
          <w:ilvl w:val="0"/>
          <w:numId w:val="1"/>
        </w:numPr>
        <w:spacing w:line="480" w:lineRule="auto"/>
        <w:jc w:val="both"/>
        <w:rPr>
          <w:rFonts w:ascii="Times New Roman" w:hAnsi="Times New Roman"/>
          <w:b/>
          <w:sz w:val="24"/>
          <w:szCs w:val="24"/>
        </w:rPr>
      </w:pPr>
      <w:r>
        <w:rPr>
          <w:rFonts w:ascii="Times New Roman" w:hAnsi="Times New Roman"/>
          <w:b/>
          <w:sz w:val="24"/>
          <w:szCs w:val="24"/>
        </w:rPr>
        <w:t>INTRODUCTION</w:t>
      </w:r>
    </w:p>
    <w:p w14:paraId="1FE516B1">
      <w:pPr>
        <w:spacing w:line="480" w:lineRule="auto"/>
        <w:jc w:val="both"/>
        <w:rPr>
          <w:rFonts w:ascii="Times New Roman" w:hAnsi="Times New Roman" w:eastAsia="SimSun"/>
          <w:color w:val="000000"/>
          <w:sz w:val="24"/>
          <w:szCs w:val="24"/>
          <w:lang w:val="en-US" w:eastAsia="zh-CN" w:bidi="ar"/>
        </w:rPr>
      </w:pPr>
      <w:r>
        <w:rPr>
          <w:rFonts w:ascii="Times New Roman" w:hAnsi="Times New Roman" w:eastAsia="SimSun"/>
          <w:color w:val="000000"/>
          <w:sz w:val="24"/>
          <w:szCs w:val="24"/>
          <w:lang w:eastAsia="zh-CN" w:bidi="ar"/>
        </w:rPr>
        <w:t xml:space="preserve">Herbal preparations are in use world over in the </w:t>
      </w:r>
      <w:r>
        <w:rPr>
          <w:rFonts w:hint="default" w:ascii="Times New Roman" w:hAnsi="Times New Roman" w:eastAsia="SimSun"/>
          <w:color w:val="000000"/>
          <w:sz w:val="24"/>
          <w:szCs w:val="24"/>
          <w:lang w:val="en-GB" w:eastAsia="zh-CN" w:bidi="ar"/>
        </w:rPr>
        <w:t>therapy</w:t>
      </w:r>
      <w:r>
        <w:rPr>
          <w:rFonts w:ascii="Times New Roman" w:hAnsi="Times New Roman" w:eastAsia="SimSun"/>
          <w:color w:val="000000"/>
          <w:sz w:val="24"/>
          <w:szCs w:val="24"/>
          <w:lang w:eastAsia="zh-CN" w:bidi="ar"/>
        </w:rPr>
        <w:t xml:space="preserve">t of various diseases and ailments. </w:t>
      </w:r>
      <w:r>
        <w:rPr>
          <w:rFonts w:ascii="Times New Roman" w:hAnsi="Times New Roman" w:eastAsia="SimSun"/>
          <w:color w:val="000000"/>
          <w:sz w:val="24"/>
          <w:szCs w:val="24"/>
          <w:lang w:val="en-US" w:eastAsia="zh-CN" w:bidi="ar"/>
        </w:rPr>
        <w:t xml:space="preserve">The </w:t>
      </w:r>
      <w:r>
        <w:rPr>
          <w:rFonts w:ascii="Times New Roman" w:hAnsi="Times New Roman" w:eastAsia="SimSun"/>
          <w:color w:val="000000"/>
          <w:sz w:val="24"/>
          <w:szCs w:val="24"/>
          <w:lang w:eastAsia="zh-CN" w:bidi="ar"/>
        </w:rPr>
        <w:t xml:space="preserve"> patronage of these</w:t>
      </w:r>
      <w:r>
        <w:rPr>
          <w:rFonts w:ascii="Times New Roman" w:hAnsi="Times New Roman" w:eastAsia="SimSun"/>
          <w:color w:val="000000"/>
          <w:sz w:val="24"/>
          <w:szCs w:val="24"/>
          <w:lang w:val="en-US" w:eastAsia="zh-CN" w:bidi="ar"/>
        </w:rPr>
        <w:t xml:space="preserve"> </w:t>
      </w:r>
      <w:r>
        <w:rPr>
          <w:rFonts w:ascii="Times New Roman" w:hAnsi="Times New Roman" w:eastAsia="SimSun"/>
          <w:color w:val="000000"/>
          <w:sz w:val="24"/>
          <w:szCs w:val="24"/>
          <w:lang w:eastAsia="zh-CN" w:bidi="ar"/>
        </w:rPr>
        <w:t>h</w:t>
      </w:r>
      <w:r>
        <w:rPr>
          <w:rFonts w:ascii="Times New Roman" w:hAnsi="Times New Roman" w:eastAsia="SimSun"/>
          <w:color w:val="000000"/>
          <w:sz w:val="24"/>
          <w:szCs w:val="24"/>
          <w:lang w:val="en-US" w:eastAsia="zh-CN" w:bidi="ar"/>
        </w:rPr>
        <w:t>erbal preparations</w:t>
      </w:r>
      <w:r>
        <w:rPr>
          <w:rFonts w:ascii="Times New Roman" w:hAnsi="Times New Roman" w:eastAsia="SimSun"/>
          <w:color w:val="000000"/>
          <w:sz w:val="24"/>
          <w:szCs w:val="24"/>
          <w:lang w:eastAsia="zh-CN" w:bidi="ar"/>
        </w:rPr>
        <w:t xml:space="preserve"> which </w:t>
      </w:r>
      <w:r>
        <w:rPr>
          <w:rFonts w:ascii="Times New Roman" w:hAnsi="Times New Roman" w:eastAsia="SimSun"/>
          <w:color w:val="000000"/>
          <w:sz w:val="24"/>
          <w:szCs w:val="24"/>
          <w:lang w:val="en-US" w:eastAsia="zh-CN" w:bidi="ar"/>
        </w:rPr>
        <w:t>are believed</w:t>
      </w:r>
      <w:r>
        <w:rPr>
          <w:rFonts w:ascii="Times New Roman" w:hAnsi="Times New Roman" w:eastAsia="SimSun"/>
          <w:color w:val="000000"/>
          <w:sz w:val="24"/>
          <w:szCs w:val="24"/>
          <w:lang w:eastAsia="zh-CN" w:bidi="ar"/>
        </w:rPr>
        <w:t xml:space="preserve"> </w:t>
      </w:r>
      <w:r>
        <w:rPr>
          <w:rFonts w:ascii="Times New Roman" w:hAnsi="Times New Roman" w:eastAsia="SimSun"/>
          <w:color w:val="000000"/>
          <w:sz w:val="24"/>
          <w:szCs w:val="24"/>
          <w:lang w:val="en-US" w:eastAsia="zh-CN" w:bidi="ar"/>
        </w:rPr>
        <w:t>and claimed to be natural and safe</w:t>
      </w:r>
      <w:r>
        <w:rPr>
          <w:rFonts w:ascii="Times New Roman" w:hAnsi="Times New Roman" w:eastAsia="SimSun"/>
          <w:color w:val="000000"/>
          <w:sz w:val="24"/>
          <w:szCs w:val="24"/>
          <w:lang w:eastAsia="zh-CN" w:bidi="ar"/>
        </w:rPr>
        <w:t xml:space="preserve"> has increased over the years</w:t>
      </w:r>
      <w:r>
        <w:rPr>
          <w:rFonts w:ascii="Times New Roman" w:hAnsi="Times New Roman" w:eastAsia="SimSun"/>
          <w:color w:val="000000"/>
          <w:sz w:val="24"/>
          <w:szCs w:val="24"/>
          <w:lang w:val="en-US" w:eastAsia="zh-CN" w:bidi="ar"/>
        </w:rPr>
        <w:t>.</w:t>
      </w:r>
      <w:r>
        <w:rPr>
          <w:rFonts w:ascii="Times New Roman" w:hAnsi="Times New Roman" w:eastAsia="SimSun"/>
          <w:color w:val="000000"/>
          <w:sz w:val="24"/>
          <w:szCs w:val="24"/>
          <w:lang w:eastAsia="zh-CN" w:bidi="ar"/>
        </w:rPr>
        <w:t xml:space="preserve"> Although the preparations are often assumed to be devoid of  </w:t>
      </w:r>
      <w:r>
        <w:rPr>
          <w:rFonts w:ascii="Times New Roman" w:hAnsi="Times New Roman" w:eastAsia="SimSun"/>
          <w:color w:val="000000"/>
          <w:sz w:val="24"/>
          <w:szCs w:val="24"/>
          <w:lang w:val="en-US" w:eastAsia="zh-CN" w:bidi="ar"/>
        </w:rPr>
        <w:t>side effects and toxicities,</w:t>
      </w:r>
      <w:r>
        <w:rPr>
          <w:rFonts w:ascii="Times New Roman" w:hAnsi="Times New Roman" w:eastAsia="SimSun"/>
          <w:color w:val="000000"/>
          <w:sz w:val="24"/>
          <w:szCs w:val="24"/>
          <w:lang w:eastAsia="zh-CN" w:bidi="ar"/>
        </w:rPr>
        <w:t xml:space="preserve"> there are indications and reports that attribute some toxicological manifestations such as organs dysfunctions and systemic toxicities</w:t>
      </w:r>
      <w:r>
        <w:rPr>
          <w:rFonts w:ascii="Times New Roman" w:hAnsi="Times New Roman" w:eastAsia="SimSun"/>
          <w:color w:val="000000"/>
          <w:sz w:val="24"/>
          <w:szCs w:val="24"/>
          <w:lang w:val="en-US" w:eastAsia="zh-CN" w:bidi="ar"/>
        </w:rPr>
        <w:t xml:space="preserve"> to toxic potentials of the</w:t>
      </w:r>
      <w:r>
        <w:rPr>
          <w:rFonts w:ascii="Times New Roman" w:hAnsi="Times New Roman" w:eastAsia="SimSun"/>
          <w:color w:val="000000"/>
          <w:sz w:val="24"/>
          <w:szCs w:val="24"/>
          <w:lang w:eastAsia="zh-CN" w:bidi="ar"/>
        </w:rPr>
        <w:t xml:space="preserve"> </w:t>
      </w:r>
      <w:r>
        <w:rPr>
          <w:rFonts w:ascii="Times New Roman" w:hAnsi="Times New Roman" w:eastAsia="SimSun"/>
          <w:color w:val="000000"/>
          <w:sz w:val="24"/>
          <w:szCs w:val="24"/>
          <w:lang w:val="en-US" w:eastAsia="zh-CN" w:bidi="ar"/>
        </w:rPr>
        <w:t>constituents</w:t>
      </w:r>
      <w:r>
        <w:rPr>
          <w:rFonts w:ascii="Times New Roman" w:hAnsi="Times New Roman" w:eastAsia="SimSun"/>
          <w:color w:val="000000"/>
          <w:sz w:val="24"/>
          <w:szCs w:val="24"/>
          <w:lang w:eastAsia="zh-CN" w:bidi="ar"/>
        </w:rPr>
        <w:t xml:space="preserve"> of these preparations (Okokon et al., 2025)</w:t>
      </w:r>
      <w:r>
        <w:rPr>
          <w:rFonts w:ascii="Times New Roman" w:hAnsi="Times New Roman" w:eastAsia="SimSun"/>
          <w:color w:val="000000"/>
          <w:sz w:val="24"/>
          <w:szCs w:val="24"/>
          <w:lang w:val="en-US" w:eastAsia="zh-CN" w:bidi="ar"/>
        </w:rPr>
        <w:t xml:space="preserve">. </w:t>
      </w:r>
      <w:r>
        <w:rPr>
          <w:rFonts w:ascii="Times New Roman" w:hAnsi="Times New Roman" w:eastAsia="SimSun"/>
          <w:color w:val="000000"/>
          <w:sz w:val="24"/>
          <w:szCs w:val="24"/>
          <w:lang w:eastAsia="zh-CN" w:bidi="ar"/>
        </w:rPr>
        <w:t xml:space="preserve">This is largely due to inadequate information </w:t>
      </w:r>
      <w:r>
        <w:rPr>
          <w:rFonts w:ascii="Times New Roman" w:hAnsi="Times New Roman" w:eastAsia="SimSun"/>
          <w:color w:val="000000"/>
          <w:sz w:val="24"/>
          <w:szCs w:val="24"/>
          <w:lang w:val="en-US" w:eastAsia="zh-CN" w:bidi="ar"/>
        </w:rPr>
        <w:t xml:space="preserve">on the toxic potentials of these </w:t>
      </w:r>
      <w:r>
        <w:rPr>
          <w:rFonts w:ascii="Times New Roman" w:hAnsi="Times New Roman" w:eastAsia="SimSun"/>
          <w:color w:val="000000"/>
          <w:sz w:val="24"/>
          <w:szCs w:val="24"/>
          <w:lang w:eastAsia="zh-CN" w:bidi="ar"/>
        </w:rPr>
        <w:t xml:space="preserve">plants and their preparations as most plants </w:t>
      </w:r>
      <w:r>
        <w:rPr>
          <w:rFonts w:ascii="Times New Roman" w:hAnsi="Times New Roman" w:eastAsia="SimSun"/>
          <w:color w:val="000000"/>
          <w:sz w:val="24"/>
          <w:szCs w:val="24"/>
          <w:lang w:val="en-US" w:eastAsia="zh-CN" w:bidi="ar"/>
        </w:rPr>
        <w:t xml:space="preserve"> employed as food or medicine </w:t>
      </w:r>
      <w:r>
        <w:rPr>
          <w:rFonts w:ascii="Times New Roman" w:hAnsi="Times New Roman" w:eastAsia="SimSun"/>
          <w:color w:val="000000"/>
          <w:sz w:val="24"/>
          <w:szCs w:val="24"/>
          <w:lang w:eastAsia="zh-CN" w:bidi="ar"/>
        </w:rPr>
        <w:t xml:space="preserve"> produce</w:t>
      </w:r>
      <w:r>
        <w:rPr>
          <w:rFonts w:ascii="Times New Roman" w:hAnsi="Times New Roman" w:eastAsia="SimSun"/>
          <w:color w:val="000000"/>
          <w:sz w:val="24"/>
          <w:szCs w:val="24"/>
          <w:lang w:val="en-US" w:eastAsia="zh-CN" w:bidi="ar"/>
        </w:rPr>
        <w:t xml:space="preserve"> toxic </w:t>
      </w:r>
      <w:r>
        <w:rPr>
          <w:rFonts w:ascii="Times New Roman" w:hAnsi="Times New Roman" w:eastAsia="SimSun"/>
          <w:color w:val="000000"/>
          <w:sz w:val="24"/>
          <w:szCs w:val="24"/>
          <w:lang w:eastAsia="zh-CN" w:bidi="ar"/>
        </w:rPr>
        <w:t>effects</w:t>
      </w:r>
      <w:r>
        <w:rPr>
          <w:rFonts w:ascii="Times New Roman" w:hAnsi="Times New Roman" w:eastAsia="SimSun"/>
          <w:color w:val="000000"/>
          <w:sz w:val="24"/>
          <w:szCs w:val="24"/>
          <w:lang w:val="en-US" w:eastAsia="zh-CN" w:bidi="ar"/>
        </w:rPr>
        <w:t xml:space="preserve"> </w:t>
      </w:r>
      <w:r>
        <w:rPr>
          <w:rFonts w:ascii="Times New Roman" w:hAnsi="Times New Roman" w:eastAsia="SimSun"/>
          <w:color w:val="000000"/>
          <w:sz w:val="24"/>
          <w:szCs w:val="24"/>
          <w:lang w:eastAsia="zh-CN" w:bidi="ar"/>
        </w:rPr>
        <w:t xml:space="preserve">in spite of </w:t>
      </w:r>
      <w:r>
        <w:rPr>
          <w:rFonts w:ascii="Times New Roman" w:hAnsi="Times New Roman" w:eastAsia="SimSun"/>
          <w:color w:val="000000"/>
          <w:sz w:val="24"/>
          <w:szCs w:val="24"/>
          <w:lang w:val="en-US" w:eastAsia="zh-CN" w:bidi="ar"/>
        </w:rPr>
        <w:t xml:space="preserve"> the</w:t>
      </w:r>
      <w:r>
        <w:rPr>
          <w:rFonts w:ascii="Times New Roman" w:hAnsi="Times New Roman" w:eastAsia="SimSun"/>
          <w:color w:val="000000"/>
          <w:sz w:val="24"/>
          <w:szCs w:val="24"/>
          <w:lang w:eastAsia="zh-CN" w:bidi="ar"/>
        </w:rPr>
        <w:t>ir</w:t>
      </w:r>
      <w:r>
        <w:rPr>
          <w:rFonts w:ascii="Times New Roman" w:hAnsi="Times New Roman" w:eastAsia="SimSun"/>
          <w:color w:val="000000"/>
          <w:sz w:val="24"/>
          <w:szCs w:val="24"/>
          <w:lang w:val="en-US" w:eastAsia="zh-CN" w:bidi="ar"/>
        </w:rPr>
        <w:t xml:space="preserve"> claimed </w:t>
      </w:r>
      <w:r>
        <w:rPr>
          <w:rFonts w:ascii="Times New Roman" w:hAnsi="Times New Roman" w:eastAsia="SimSun"/>
          <w:color w:val="000000"/>
          <w:sz w:val="24"/>
          <w:szCs w:val="24"/>
          <w:lang w:eastAsia="zh-CN" w:bidi="ar"/>
        </w:rPr>
        <w:t xml:space="preserve"> </w:t>
      </w:r>
      <w:r>
        <w:rPr>
          <w:rFonts w:ascii="Times New Roman" w:hAnsi="Times New Roman" w:eastAsia="SimSun"/>
          <w:color w:val="000000"/>
          <w:sz w:val="24"/>
          <w:szCs w:val="24"/>
          <w:lang w:val="en-US" w:eastAsia="zh-CN" w:bidi="ar"/>
        </w:rPr>
        <w:t>safety</w:t>
      </w:r>
      <w:r>
        <w:rPr>
          <w:rFonts w:ascii="Times New Roman" w:hAnsi="Times New Roman" w:eastAsia="SimSun"/>
          <w:color w:val="000000"/>
          <w:sz w:val="24"/>
          <w:szCs w:val="24"/>
          <w:lang w:eastAsia="zh-CN" w:bidi="ar"/>
        </w:rPr>
        <w:t>.</w:t>
      </w:r>
      <w:r>
        <w:rPr>
          <w:rFonts w:ascii="Times New Roman" w:hAnsi="Times New Roman" w:eastAsia="SimSun"/>
          <w:color w:val="000000"/>
          <w:sz w:val="24"/>
          <w:szCs w:val="24"/>
          <w:lang w:val="en-US" w:eastAsia="zh-CN" w:bidi="ar"/>
        </w:rPr>
        <w:t xml:space="preserve"> </w:t>
      </w:r>
    </w:p>
    <w:p w14:paraId="70E57DBB">
      <w:pPr>
        <w:jc w:val="both"/>
        <w:rPr>
          <w:rFonts w:ascii="Times New Roman" w:hAnsi="Times New Roman" w:eastAsia="SimSun"/>
          <w:color w:val="000000"/>
          <w:sz w:val="24"/>
          <w:szCs w:val="24"/>
          <w:lang w:val="en-US" w:eastAsia="zh-CN" w:bidi="ar"/>
        </w:rPr>
      </w:pPr>
    </w:p>
    <w:p w14:paraId="3712DABB">
      <w:pPr>
        <w:spacing w:line="480" w:lineRule="auto"/>
        <w:jc w:val="both"/>
        <w:rPr>
          <w:rFonts w:ascii="Times New Roman" w:hAnsi="Times New Roman"/>
          <w:sz w:val="24"/>
          <w:szCs w:val="24"/>
        </w:rPr>
      </w:pPr>
      <w:r>
        <w:rPr>
          <w:rFonts w:ascii="Times New Roman" w:hAnsi="Times New Roman"/>
          <w:i/>
          <w:sz w:val="24"/>
          <w:szCs w:val="24"/>
          <w:highlight w:val="yellow"/>
        </w:rPr>
        <w:t>Zea mays</w:t>
      </w:r>
      <w:r>
        <w:rPr>
          <w:rFonts w:ascii="Times New Roman" w:hAnsi="Times New Roman"/>
          <w:sz w:val="24"/>
          <w:szCs w:val="24"/>
          <w:highlight w:val="yellow"/>
        </w:rPr>
        <w:t xml:space="preserve"> L.(Poacae) </w:t>
      </w:r>
      <w:r>
        <w:rPr>
          <w:rFonts w:hint="default" w:ascii="Times New Roman" w:hAnsi="Times New Roman"/>
          <w:sz w:val="24"/>
          <w:szCs w:val="24"/>
          <w:highlight w:val="yellow"/>
          <w:lang w:val="en-GB"/>
        </w:rPr>
        <w:t>otherwise</w:t>
      </w:r>
      <w:r>
        <w:rPr>
          <w:rFonts w:ascii="Times New Roman" w:hAnsi="Times New Roman"/>
          <w:sz w:val="24"/>
          <w:szCs w:val="24"/>
          <w:highlight w:val="yellow"/>
        </w:rPr>
        <w:t xml:space="preserve"> called maize or corn, is a</w:t>
      </w:r>
      <w:r>
        <w:rPr>
          <w:rFonts w:hint="default" w:ascii="Times New Roman" w:hAnsi="Times New Roman"/>
          <w:sz w:val="24"/>
          <w:szCs w:val="24"/>
          <w:highlight w:val="yellow"/>
          <w:lang w:val="en-GB"/>
        </w:rPr>
        <w:t>n annual plant which serves as</w:t>
      </w:r>
      <w:r>
        <w:rPr>
          <w:rFonts w:ascii="Times New Roman" w:hAnsi="Times New Roman"/>
          <w:sz w:val="24"/>
          <w:szCs w:val="24"/>
          <w:highlight w:val="yellow"/>
        </w:rPr>
        <w:t xml:space="preserve"> food  for human</w:t>
      </w:r>
      <w:r>
        <w:rPr>
          <w:rFonts w:hint="default" w:ascii="Times New Roman" w:hAnsi="Times New Roman"/>
          <w:sz w:val="24"/>
          <w:szCs w:val="24"/>
          <w:highlight w:val="yellow"/>
          <w:lang w:val="en-GB"/>
        </w:rPr>
        <w:t>s</w:t>
      </w:r>
      <w:r>
        <w:rPr>
          <w:rFonts w:ascii="Times New Roman" w:hAnsi="Times New Roman"/>
          <w:sz w:val="24"/>
          <w:szCs w:val="24"/>
          <w:highlight w:val="yellow"/>
        </w:rPr>
        <w:t xml:space="preserve"> and animal</w:t>
      </w:r>
      <w:r>
        <w:rPr>
          <w:rFonts w:hint="default" w:ascii="Times New Roman" w:hAnsi="Times New Roman"/>
          <w:sz w:val="24"/>
          <w:szCs w:val="24"/>
          <w:highlight w:val="yellow"/>
          <w:lang w:val="en-GB"/>
        </w:rPr>
        <w:t>s</w:t>
      </w:r>
      <w:r>
        <w:rPr>
          <w:rFonts w:ascii="Times New Roman" w:hAnsi="Times New Roman"/>
          <w:sz w:val="24"/>
          <w:szCs w:val="24"/>
          <w:highlight w:val="yellow"/>
        </w:rPr>
        <w:t>. The</w:t>
      </w:r>
      <w:r>
        <w:rPr>
          <w:rFonts w:hint="default" w:ascii="Times New Roman" w:hAnsi="Times New Roman"/>
          <w:sz w:val="24"/>
          <w:szCs w:val="24"/>
          <w:highlight w:val="yellow"/>
          <w:lang w:val="en-GB"/>
        </w:rPr>
        <w:t xml:space="preserve"> </w:t>
      </w:r>
      <w:r>
        <w:rPr>
          <w:rFonts w:ascii="Times New Roman" w:hAnsi="Times New Roman"/>
          <w:sz w:val="24"/>
          <w:szCs w:val="24"/>
          <w:highlight w:val="yellow"/>
        </w:rPr>
        <w:t>plant</w:t>
      </w:r>
      <w:r>
        <w:rPr>
          <w:rFonts w:hint="default" w:ascii="Times New Roman" w:hAnsi="Times New Roman"/>
          <w:sz w:val="24"/>
          <w:szCs w:val="24"/>
          <w:highlight w:val="yellow"/>
          <w:lang w:val="en-GB"/>
        </w:rPr>
        <w:t xml:space="preserve"> grows </w:t>
      </w:r>
      <w:r>
        <w:rPr>
          <w:rFonts w:ascii="Times New Roman" w:hAnsi="Times New Roman"/>
          <w:sz w:val="24"/>
          <w:szCs w:val="24"/>
          <w:highlight w:val="yellow"/>
        </w:rPr>
        <w:t xml:space="preserve">tall and bears ears  </w:t>
      </w:r>
      <w:r>
        <w:rPr>
          <w:rFonts w:hint="default" w:ascii="Times New Roman" w:hAnsi="Times New Roman"/>
          <w:sz w:val="24"/>
          <w:szCs w:val="24"/>
          <w:highlight w:val="yellow"/>
          <w:lang w:val="en-GB"/>
        </w:rPr>
        <w:t>inside a</w:t>
      </w:r>
      <w:r>
        <w:rPr>
          <w:rFonts w:ascii="Times New Roman" w:hAnsi="Times New Roman"/>
          <w:sz w:val="24"/>
          <w:szCs w:val="24"/>
          <w:highlight w:val="yellow"/>
        </w:rPr>
        <w:t xml:space="preserve"> modified leaves </w:t>
      </w:r>
      <w:r>
        <w:rPr>
          <w:rFonts w:hint="default" w:ascii="Times New Roman" w:hAnsi="Times New Roman"/>
          <w:sz w:val="24"/>
          <w:szCs w:val="24"/>
          <w:highlight w:val="yellow"/>
          <w:lang w:val="en-GB"/>
        </w:rPr>
        <w:t>referred to as</w:t>
      </w:r>
      <w:r>
        <w:rPr>
          <w:rFonts w:ascii="Times New Roman" w:hAnsi="Times New Roman"/>
          <w:sz w:val="24"/>
          <w:szCs w:val="24"/>
          <w:highlight w:val="yellow"/>
        </w:rPr>
        <w:t xml:space="preserve"> husks (Simmonds, 1979). </w:t>
      </w:r>
      <w:r>
        <w:rPr>
          <w:rFonts w:hint="default" w:ascii="Times New Roman" w:hAnsi="Times New Roman"/>
          <w:sz w:val="24"/>
          <w:szCs w:val="24"/>
          <w:highlight w:val="yellow"/>
          <w:lang w:val="en-GB"/>
        </w:rPr>
        <w:t>Though primarily use as food</w:t>
      </w:r>
      <w:r>
        <w:rPr>
          <w:rFonts w:ascii="Times New Roman" w:hAnsi="Times New Roman"/>
          <w:sz w:val="24"/>
          <w:szCs w:val="24"/>
          <w:highlight w:val="yellow"/>
        </w:rPr>
        <w:t xml:space="preserve">, </w:t>
      </w:r>
      <w:r>
        <w:rPr>
          <w:rFonts w:hint="default" w:ascii="Times New Roman" w:hAnsi="Times New Roman"/>
          <w:sz w:val="24"/>
          <w:szCs w:val="24"/>
          <w:highlight w:val="yellow"/>
          <w:lang w:val="en-GB"/>
        </w:rPr>
        <w:t xml:space="preserve">the plant parts are also useful as herbal remedy </w:t>
      </w:r>
      <w:r>
        <w:rPr>
          <w:rFonts w:ascii="Times New Roman" w:hAnsi="Times New Roman"/>
          <w:sz w:val="24"/>
          <w:szCs w:val="24"/>
          <w:highlight w:val="yellow"/>
        </w:rPr>
        <w:t xml:space="preserve"> for the treatment of </w:t>
      </w:r>
      <w:r>
        <w:rPr>
          <w:rFonts w:hint="default" w:ascii="Times New Roman" w:hAnsi="Times New Roman"/>
          <w:sz w:val="24"/>
          <w:szCs w:val="24"/>
          <w:highlight w:val="yellow"/>
          <w:lang w:val="en-GB"/>
        </w:rPr>
        <w:t>various</w:t>
      </w:r>
      <w:r>
        <w:rPr>
          <w:rFonts w:ascii="Times New Roman" w:hAnsi="Times New Roman"/>
          <w:sz w:val="24"/>
          <w:szCs w:val="24"/>
          <w:highlight w:val="yellow"/>
        </w:rPr>
        <w:t xml:space="preserve"> </w:t>
      </w:r>
      <w:r>
        <w:rPr>
          <w:rFonts w:hint="default" w:ascii="Times New Roman" w:hAnsi="Times New Roman"/>
          <w:sz w:val="24"/>
          <w:szCs w:val="24"/>
          <w:highlight w:val="yellow"/>
          <w:lang w:val="en-GB"/>
        </w:rPr>
        <w:t>diseases</w:t>
      </w:r>
      <w:r>
        <w:rPr>
          <w:rFonts w:ascii="Times New Roman" w:hAnsi="Times New Roman"/>
          <w:sz w:val="24"/>
          <w:szCs w:val="24"/>
          <w:highlight w:val="yellow"/>
        </w:rPr>
        <w:t xml:space="preserve">  as </w:t>
      </w:r>
      <w:r>
        <w:rPr>
          <w:rFonts w:hint="default" w:ascii="Times New Roman" w:hAnsi="Times New Roman"/>
          <w:sz w:val="24"/>
          <w:szCs w:val="24"/>
          <w:highlight w:val="yellow"/>
          <w:lang w:val="en-GB"/>
        </w:rPr>
        <w:t>antidiabetic</w:t>
      </w:r>
      <w:r>
        <w:rPr>
          <w:rFonts w:ascii="Times New Roman" w:hAnsi="Times New Roman"/>
          <w:sz w:val="24"/>
          <w:szCs w:val="24"/>
          <w:highlight w:val="yellow"/>
        </w:rPr>
        <w:t xml:space="preserve"> (Foster and Duke, 1990; Gill, 1992; Abo </w:t>
      </w:r>
      <w:r>
        <w:rPr>
          <w:rFonts w:ascii="Times New Roman" w:hAnsi="Times New Roman"/>
          <w:iCs/>
          <w:sz w:val="24"/>
          <w:szCs w:val="24"/>
          <w:highlight w:val="yellow"/>
        </w:rPr>
        <w:t>et al.,</w:t>
      </w:r>
      <w:r>
        <w:rPr>
          <w:rFonts w:ascii="Times New Roman" w:hAnsi="Times New Roman"/>
          <w:sz w:val="24"/>
          <w:szCs w:val="24"/>
          <w:highlight w:val="yellow"/>
        </w:rPr>
        <w:t xml:space="preserve"> 2008; Brobbey</w:t>
      </w:r>
      <w:r>
        <w:rPr>
          <w:rFonts w:ascii="Times New Roman" w:hAnsi="Times New Roman"/>
          <w:i/>
          <w:iCs/>
          <w:sz w:val="24"/>
          <w:szCs w:val="24"/>
          <w:highlight w:val="yellow"/>
        </w:rPr>
        <w:t xml:space="preserve"> </w:t>
      </w:r>
      <w:r>
        <w:rPr>
          <w:rFonts w:ascii="Times New Roman" w:hAnsi="Times New Roman"/>
          <w:sz w:val="24"/>
          <w:szCs w:val="24"/>
          <w:highlight w:val="yellow"/>
        </w:rPr>
        <w:t>et al., 2017;Okokon</w:t>
      </w:r>
      <w:r>
        <w:rPr>
          <w:rFonts w:ascii="Times New Roman" w:hAnsi="Times New Roman"/>
          <w:i/>
          <w:iCs/>
          <w:sz w:val="24"/>
          <w:szCs w:val="24"/>
          <w:highlight w:val="yellow"/>
        </w:rPr>
        <w:t xml:space="preserve"> </w:t>
      </w:r>
      <w:r>
        <w:rPr>
          <w:rFonts w:ascii="Times New Roman" w:hAnsi="Times New Roman"/>
          <w:sz w:val="24"/>
          <w:szCs w:val="24"/>
          <w:highlight w:val="yellow"/>
        </w:rPr>
        <w:t xml:space="preserve">et al., 2017a), </w:t>
      </w:r>
      <w:r>
        <w:rPr>
          <w:rFonts w:hint="default" w:ascii="Times New Roman" w:hAnsi="Times New Roman"/>
          <w:sz w:val="24"/>
          <w:szCs w:val="24"/>
          <w:highlight w:val="yellow"/>
          <w:lang w:val="en-GB"/>
        </w:rPr>
        <w:t>antitussive</w:t>
      </w:r>
      <w:r>
        <w:rPr>
          <w:rFonts w:ascii="Times New Roman" w:hAnsi="Times New Roman"/>
          <w:sz w:val="24"/>
          <w:szCs w:val="24"/>
          <w:highlight w:val="yellow"/>
        </w:rPr>
        <w:t xml:space="preserve"> (Gill, 1992), </w:t>
      </w:r>
      <w:r>
        <w:rPr>
          <w:rFonts w:hint="default" w:ascii="Times New Roman" w:hAnsi="Times New Roman"/>
          <w:sz w:val="24"/>
          <w:szCs w:val="24"/>
          <w:highlight w:val="yellow"/>
          <w:lang w:val="en-GB"/>
        </w:rPr>
        <w:t>anti-inflammatory</w:t>
      </w:r>
      <w:r>
        <w:rPr>
          <w:rFonts w:ascii="Times New Roman" w:hAnsi="Times New Roman"/>
          <w:sz w:val="24"/>
          <w:szCs w:val="24"/>
          <w:highlight w:val="yellow"/>
        </w:rPr>
        <w:t xml:space="preserve"> (Okokon</w:t>
      </w:r>
      <w:r>
        <w:rPr>
          <w:rFonts w:ascii="Times New Roman" w:hAnsi="Times New Roman"/>
          <w:i/>
          <w:iCs/>
          <w:sz w:val="24"/>
          <w:szCs w:val="24"/>
          <w:highlight w:val="yellow"/>
        </w:rPr>
        <w:t xml:space="preserve"> </w:t>
      </w:r>
      <w:r>
        <w:rPr>
          <w:rFonts w:ascii="Times New Roman" w:hAnsi="Times New Roman"/>
          <w:sz w:val="24"/>
          <w:szCs w:val="24"/>
          <w:highlight w:val="yellow"/>
        </w:rPr>
        <w:t xml:space="preserve">et al., 2016), </w:t>
      </w:r>
      <w:r>
        <w:rPr>
          <w:rFonts w:hint="default" w:ascii="Times New Roman" w:hAnsi="Times New Roman"/>
          <w:sz w:val="24"/>
          <w:szCs w:val="24"/>
          <w:highlight w:val="yellow"/>
          <w:lang w:val="en-GB"/>
        </w:rPr>
        <w:t>antinociceptive</w:t>
      </w:r>
      <w:r>
        <w:rPr>
          <w:rFonts w:ascii="Times New Roman" w:hAnsi="Times New Roman"/>
          <w:sz w:val="24"/>
          <w:szCs w:val="24"/>
          <w:highlight w:val="yellow"/>
        </w:rPr>
        <w:t xml:space="preserve"> and </w:t>
      </w:r>
      <w:r>
        <w:rPr>
          <w:rFonts w:hint="default" w:ascii="Times New Roman" w:hAnsi="Times New Roman"/>
          <w:sz w:val="24"/>
          <w:szCs w:val="24"/>
          <w:highlight w:val="yellow"/>
          <w:lang w:val="en-GB"/>
        </w:rPr>
        <w:t>anti</w:t>
      </w:r>
      <w:r>
        <w:rPr>
          <w:rFonts w:ascii="Times New Roman" w:hAnsi="Times New Roman"/>
          <w:sz w:val="24"/>
          <w:szCs w:val="24"/>
          <w:highlight w:val="yellow"/>
        </w:rPr>
        <w:t xml:space="preserve">arthritis (Owoyele </w:t>
      </w:r>
      <w:r>
        <w:rPr>
          <w:rFonts w:ascii="Times New Roman" w:hAnsi="Times New Roman"/>
          <w:iCs/>
          <w:sz w:val="24"/>
          <w:szCs w:val="24"/>
          <w:highlight w:val="yellow"/>
        </w:rPr>
        <w:t>et al.,</w:t>
      </w:r>
      <w:r>
        <w:rPr>
          <w:rFonts w:ascii="Times New Roman" w:hAnsi="Times New Roman"/>
          <w:sz w:val="24"/>
          <w:szCs w:val="24"/>
          <w:highlight w:val="yellow"/>
        </w:rPr>
        <w:t xml:space="preserve"> 2010) and ulcer (Jadhav, 2016). </w:t>
      </w:r>
      <w:r>
        <w:rPr>
          <w:rFonts w:hint="default" w:ascii="Times New Roman" w:hAnsi="Times New Roman"/>
          <w:sz w:val="24"/>
          <w:szCs w:val="24"/>
          <w:highlight w:val="yellow"/>
          <w:lang w:val="en-GB"/>
        </w:rPr>
        <w:t>T</w:t>
      </w:r>
      <w:r>
        <w:rPr>
          <w:rFonts w:ascii="Times New Roman" w:hAnsi="Times New Roman"/>
          <w:sz w:val="24"/>
          <w:szCs w:val="24"/>
          <w:highlight w:val="yellow"/>
        </w:rPr>
        <w:t xml:space="preserve">he husk extract </w:t>
      </w:r>
      <w:r>
        <w:rPr>
          <w:rFonts w:hint="default" w:ascii="Times New Roman" w:hAnsi="Times New Roman"/>
          <w:sz w:val="24"/>
          <w:szCs w:val="24"/>
          <w:highlight w:val="yellow"/>
          <w:lang w:val="en-GB"/>
        </w:rPr>
        <w:t>has pharmacological properties such as</w:t>
      </w:r>
      <w:r>
        <w:rPr>
          <w:rFonts w:ascii="Times New Roman" w:hAnsi="Times New Roman"/>
          <w:sz w:val="24"/>
          <w:szCs w:val="24"/>
          <w:highlight w:val="yellow"/>
        </w:rPr>
        <w:t>; an</w:t>
      </w:r>
      <w:r>
        <w:rPr>
          <w:rFonts w:hint="default" w:ascii="Times New Roman" w:hAnsi="Times New Roman"/>
          <w:sz w:val="24"/>
          <w:szCs w:val="24"/>
          <w:highlight w:val="yellow"/>
          <w:lang w:val="en-GB"/>
        </w:rPr>
        <w:t>tinociceptive</w:t>
      </w:r>
      <w:r>
        <w:rPr>
          <w:rFonts w:ascii="Times New Roman" w:hAnsi="Times New Roman"/>
          <w:sz w:val="24"/>
          <w:szCs w:val="24"/>
          <w:highlight w:val="yellow"/>
        </w:rPr>
        <w:t xml:space="preserve">, anti-inflammatory (Owoyele </w:t>
      </w:r>
      <w:r>
        <w:rPr>
          <w:rFonts w:ascii="Times New Roman" w:hAnsi="Times New Roman"/>
          <w:iCs/>
          <w:sz w:val="24"/>
          <w:szCs w:val="24"/>
          <w:highlight w:val="yellow"/>
        </w:rPr>
        <w:t>et al.,</w:t>
      </w:r>
      <w:r>
        <w:rPr>
          <w:rFonts w:ascii="Times New Roman" w:hAnsi="Times New Roman"/>
          <w:sz w:val="24"/>
          <w:szCs w:val="24"/>
          <w:highlight w:val="yellow"/>
        </w:rPr>
        <w:t xml:space="preserve"> 2010), </w:t>
      </w:r>
      <w:r>
        <w:rPr>
          <w:rFonts w:hint="default" w:ascii="Times New Roman" w:hAnsi="Times New Roman"/>
          <w:sz w:val="24"/>
          <w:szCs w:val="24"/>
          <w:highlight w:val="yellow"/>
          <w:lang w:val="en-GB"/>
        </w:rPr>
        <w:t>free radical scavenging</w:t>
      </w:r>
      <w:r>
        <w:rPr>
          <w:rFonts w:ascii="Times New Roman" w:hAnsi="Times New Roman"/>
          <w:sz w:val="24"/>
          <w:szCs w:val="24"/>
          <w:highlight w:val="yellow"/>
        </w:rPr>
        <w:t xml:space="preserve"> (Dong </w:t>
      </w:r>
      <w:r>
        <w:rPr>
          <w:rFonts w:ascii="Times New Roman" w:hAnsi="Times New Roman"/>
          <w:iCs/>
          <w:sz w:val="24"/>
          <w:szCs w:val="24"/>
          <w:highlight w:val="yellow"/>
        </w:rPr>
        <w:t>et al.,</w:t>
      </w:r>
      <w:r>
        <w:rPr>
          <w:rFonts w:ascii="Times New Roman" w:hAnsi="Times New Roman"/>
          <w:sz w:val="24"/>
          <w:szCs w:val="24"/>
          <w:highlight w:val="yellow"/>
        </w:rPr>
        <w:t xml:space="preserve"> 2014), antidepressant (Okokon </w:t>
      </w:r>
      <w:r>
        <w:rPr>
          <w:rFonts w:ascii="Times New Roman" w:hAnsi="Times New Roman"/>
          <w:iCs/>
          <w:sz w:val="24"/>
          <w:szCs w:val="24"/>
          <w:highlight w:val="yellow"/>
        </w:rPr>
        <w:t>et al.,</w:t>
      </w:r>
      <w:r>
        <w:rPr>
          <w:rFonts w:ascii="Times New Roman" w:hAnsi="Times New Roman"/>
          <w:sz w:val="24"/>
          <w:szCs w:val="24"/>
          <w:highlight w:val="yellow"/>
        </w:rPr>
        <w:t xml:space="preserve"> 2016), antimalarial and antiplasmodial (Okokon </w:t>
      </w:r>
      <w:r>
        <w:rPr>
          <w:rFonts w:ascii="Times New Roman" w:hAnsi="Times New Roman"/>
          <w:iCs/>
          <w:sz w:val="24"/>
          <w:szCs w:val="24"/>
          <w:highlight w:val="yellow"/>
        </w:rPr>
        <w:t>et al.,</w:t>
      </w:r>
      <w:r>
        <w:rPr>
          <w:rFonts w:ascii="Times New Roman" w:hAnsi="Times New Roman"/>
          <w:sz w:val="24"/>
          <w:szCs w:val="24"/>
          <w:highlight w:val="yellow"/>
        </w:rPr>
        <w:t xml:space="preserve"> 2017a), </w:t>
      </w:r>
      <w:r>
        <w:rPr>
          <w:rFonts w:hint="default" w:ascii="Times New Roman" w:hAnsi="Times New Roman"/>
          <w:sz w:val="24"/>
          <w:szCs w:val="24"/>
          <w:highlight w:val="yellow"/>
          <w:lang w:val="en-GB"/>
        </w:rPr>
        <w:t>liver</w:t>
      </w:r>
      <w:r>
        <w:rPr>
          <w:rFonts w:ascii="Times New Roman" w:hAnsi="Times New Roman"/>
          <w:sz w:val="24"/>
          <w:szCs w:val="24"/>
          <w:highlight w:val="yellow"/>
        </w:rPr>
        <w:t>protective (Okokon et al.</w:t>
      </w:r>
      <w:r>
        <w:rPr>
          <w:rFonts w:ascii="Times New Roman" w:hAnsi="Times New Roman"/>
          <w:i/>
          <w:iCs/>
          <w:sz w:val="24"/>
          <w:szCs w:val="24"/>
          <w:highlight w:val="yellow"/>
        </w:rPr>
        <w:t>,</w:t>
      </w:r>
      <w:r>
        <w:rPr>
          <w:rFonts w:ascii="Times New Roman" w:hAnsi="Times New Roman"/>
          <w:sz w:val="24"/>
          <w:szCs w:val="24"/>
          <w:highlight w:val="yellow"/>
        </w:rPr>
        <w:t xml:space="preserve"> 2017b; Okokon </w:t>
      </w:r>
      <w:r>
        <w:rPr>
          <w:rFonts w:ascii="Times New Roman" w:hAnsi="Times New Roman"/>
          <w:iCs/>
          <w:sz w:val="24"/>
          <w:szCs w:val="24"/>
          <w:highlight w:val="yellow"/>
        </w:rPr>
        <w:t>et al.,</w:t>
      </w:r>
      <w:r>
        <w:rPr>
          <w:rFonts w:ascii="Times New Roman" w:hAnsi="Times New Roman"/>
          <w:sz w:val="24"/>
          <w:szCs w:val="24"/>
          <w:highlight w:val="yellow"/>
        </w:rPr>
        <w:t xml:space="preserve"> 2020; Udobang </w:t>
      </w:r>
      <w:r>
        <w:rPr>
          <w:rFonts w:ascii="Times New Roman" w:hAnsi="Times New Roman"/>
          <w:iCs/>
          <w:sz w:val="24"/>
          <w:szCs w:val="24"/>
          <w:highlight w:val="yellow"/>
        </w:rPr>
        <w:t>et al.,</w:t>
      </w:r>
      <w:r>
        <w:rPr>
          <w:rFonts w:ascii="Times New Roman" w:hAnsi="Times New Roman"/>
          <w:sz w:val="24"/>
          <w:szCs w:val="24"/>
          <w:highlight w:val="yellow"/>
        </w:rPr>
        <w:t xml:space="preserve"> 2019), anti</w:t>
      </w:r>
      <w:r>
        <w:rPr>
          <w:rFonts w:hint="default" w:ascii="Times New Roman" w:hAnsi="Times New Roman"/>
          <w:sz w:val="24"/>
          <w:szCs w:val="24"/>
          <w:highlight w:val="yellow"/>
          <w:lang w:val="en-GB"/>
        </w:rPr>
        <w:t>hyperglycemic</w:t>
      </w:r>
      <w:r>
        <w:rPr>
          <w:rFonts w:ascii="Times New Roman" w:hAnsi="Times New Roman"/>
          <w:sz w:val="24"/>
          <w:szCs w:val="24"/>
          <w:highlight w:val="yellow"/>
        </w:rPr>
        <w:t xml:space="preserve"> and </w:t>
      </w:r>
      <w:r>
        <w:rPr>
          <w:rFonts w:hint="default" w:ascii="Times New Roman" w:hAnsi="Times New Roman"/>
          <w:sz w:val="24"/>
          <w:szCs w:val="24"/>
          <w:highlight w:val="yellow"/>
          <w:lang w:val="en-GB"/>
        </w:rPr>
        <w:t>antihyperlipidemic</w:t>
      </w:r>
      <w:r>
        <w:rPr>
          <w:rFonts w:ascii="Times New Roman" w:hAnsi="Times New Roman"/>
          <w:sz w:val="24"/>
          <w:szCs w:val="24"/>
          <w:highlight w:val="yellow"/>
        </w:rPr>
        <w:t xml:space="preserve"> (Okokon and Mandu, 2018) and </w:t>
      </w:r>
      <w:r>
        <w:rPr>
          <w:rFonts w:hint="default" w:ascii="Times New Roman" w:hAnsi="Times New Roman"/>
          <w:sz w:val="24"/>
          <w:szCs w:val="24"/>
          <w:highlight w:val="yellow"/>
          <w:lang w:val="en-GB"/>
        </w:rPr>
        <w:t>reno</w:t>
      </w:r>
      <w:r>
        <w:rPr>
          <w:rFonts w:ascii="Times New Roman" w:hAnsi="Times New Roman"/>
          <w:sz w:val="24"/>
          <w:szCs w:val="24"/>
          <w:highlight w:val="yellow"/>
        </w:rPr>
        <w:t xml:space="preserve">protective (Okokon </w:t>
      </w:r>
      <w:r>
        <w:rPr>
          <w:rFonts w:ascii="Times New Roman" w:hAnsi="Times New Roman"/>
          <w:iCs/>
          <w:sz w:val="24"/>
          <w:szCs w:val="24"/>
          <w:highlight w:val="yellow"/>
        </w:rPr>
        <w:t xml:space="preserve">et al., </w:t>
      </w:r>
      <w:r>
        <w:rPr>
          <w:rFonts w:ascii="Times New Roman" w:hAnsi="Times New Roman"/>
          <w:sz w:val="24"/>
          <w:szCs w:val="24"/>
          <w:highlight w:val="yellow"/>
        </w:rPr>
        <w:t xml:space="preserve">2017c; Okokon </w:t>
      </w:r>
      <w:r>
        <w:rPr>
          <w:rFonts w:ascii="Times New Roman" w:hAnsi="Times New Roman"/>
          <w:iCs/>
          <w:sz w:val="24"/>
          <w:szCs w:val="24"/>
          <w:highlight w:val="yellow"/>
        </w:rPr>
        <w:t>et al.,</w:t>
      </w:r>
      <w:r>
        <w:rPr>
          <w:rFonts w:ascii="Times New Roman" w:hAnsi="Times New Roman"/>
          <w:sz w:val="24"/>
          <w:szCs w:val="24"/>
          <w:highlight w:val="yellow"/>
        </w:rPr>
        <w:t xml:space="preserve"> 2019), </w:t>
      </w:r>
      <w:r>
        <w:rPr>
          <w:rFonts w:hint="default" w:ascii="Times New Roman" w:hAnsi="Times New Roman"/>
          <w:sz w:val="24"/>
          <w:szCs w:val="24"/>
          <w:highlight w:val="yellow"/>
          <w:lang w:val="en-GB"/>
        </w:rPr>
        <w:t>gastroprotective</w:t>
      </w:r>
      <w:r>
        <w:rPr>
          <w:rFonts w:ascii="Times New Roman" w:hAnsi="Times New Roman"/>
          <w:sz w:val="24"/>
          <w:szCs w:val="24"/>
          <w:highlight w:val="yellow"/>
        </w:rPr>
        <w:t xml:space="preserve"> (Okokon </w:t>
      </w:r>
      <w:r>
        <w:rPr>
          <w:rFonts w:ascii="Times New Roman" w:hAnsi="Times New Roman"/>
          <w:iCs/>
          <w:sz w:val="24"/>
          <w:szCs w:val="24"/>
          <w:highlight w:val="yellow"/>
        </w:rPr>
        <w:t>et al.,</w:t>
      </w:r>
      <w:r>
        <w:rPr>
          <w:rFonts w:ascii="Times New Roman" w:hAnsi="Times New Roman"/>
          <w:sz w:val="24"/>
          <w:szCs w:val="24"/>
          <w:highlight w:val="yellow"/>
        </w:rPr>
        <w:t xml:space="preserve"> 2018)</w:t>
      </w:r>
      <w:r>
        <w:rPr>
          <w:rFonts w:ascii="Times New Roman" w:hAnsi="Times New Roman"/>
          <w:sz w:val="24"/>
          <w:szCs w:val="24"/>
          <w:highlight w:val="yellow"/>
          <w:lang w:val="en-US"/>
        </w:rPr>
        <w:t>,</w:t>
      </w:r>
      <w:r>
        <w:rPr>
          <w:rFonts w:ascii="Times New Roman" w:hAnsi="Times New Roman"/>
          <w:sz w:val="24"/>
          <w:szCs w:val="24"/>
          <w:highlight w:val="yellow"/>
        </w:rPr>
        <w:t xml:space="preserve"> antiobesity (Okokon et al., 2021</w:t>
      </w:r>
      <w:r>
        <w:rPr>
          <w:rFonts w:ascii="Times New Roman" w:hAnsi="Times New Roman"/>
          <w:sz w:val="24"/>
          <w:szCs w:val="24"/>
          <w:highlight w:val="yellow"/>
          <w:lang w:val="en-US"/>
        </w:rPr>
        <w:t>a</w:t>
      </w:r>
      <w:r>
        <w:rPr>
          <w:rFonts w:ascii="Times New Roman" w:hAnsi="Times New Roman"/>
          <w:sz w:val="24"/>
          <w:szCs w:val="24"/>
          <w:highlight w:val="yellow"/>
        </w:rPr>
        <w:t>)</w:t>
      </w:r>
      <w:r>
        <w:rPr>
          <w:rFonts w:ascii="Times New Roman" w:hAnsi="Times New Roman"/>
          <w:sz w:val="24"/>
          <w:szCs w:val="24"/>
          <w:highlight w:val="yellow"/>
          <w:lang w:val="en-US"/>
        </w:rPr>
        <w:t xml:space="preserve">, </w:t>
      </w:r>
      <w:r>
        <w:rPr>
          <w:rFonts w:ascii="Times New Roman" w:hAnsi="Times New Roman"/>
          <w:i/>
          <w:sz w:val="24"/>
          <w:szCs w:val="24"/>
          <w:highlight w:val="yellow"/>
        </w:rPr>
        <w:t xml:space="preserve">in vivo </w:t>
      </w:r>
      <w:r>
        <w:rPr>
          <w:rFonts w:ascii="Times New Roman" w:hAnsi="Times New Roman"/>
          <w:sz w:val="24"/>
          <w:szCs w:val="24"/>
          <w:highlight w:val="yellow"/>
        </w:rPr>
        <w:t>alpha amylase and alpha glucosidase inhibitory (Okokon et al., 2021b), genotoxic and cytotoxic (Akpan et al., 2024) activities.</w:t>
      </w:r>
      <w:r>
        <w:rPr>
          <w:rFonts w:ascii="Times New Roman" w:hAnsi="Times New Roman"/>
          <w:b/>
          <w:sz w:val="24"/>
          <w:szCs w:val="24"/>
          <w:highlight w:val="yellow"/>
        </w:rPr>
        <w:t xml:space="preserve"> </w:t>
      </w:r>
      <w:r>
        <w:rPr>
          <w:rFonts w:ascii="Times New Roman" w:hAnsi="Times New Roman"/>
          <w:sz w:val="24"/>
          <w:szCs w:val="24"/>
          <w:highlight w:val="yellow"/>
        </w:rPr>
        <w:t xml:space="preserve">The </w:t>
      </w:r>
      <w:r>
        <w:rPr>
          <w:rFonts w:hint="default" w:ascii="Times New Roman" w:hAnsi="Times New Roman"/>
          <w:sz w:val="24"/>
          <w:szCs w:val="24"/>
          <w:highlight w:val="yellow"/>
          <w:lang w:val="en-GB"/>
        </w:rPr>
        <w:t xml:space="preserve">husk extract has </w:t>
      </w:r>
      <w:r>
        <w:rPr>
          <w:rFonts w:ascii="Times New Roman" w:hAnsi="Times New Roman"/>
          <w:sz w:val="24"/>
          <w:szCs w:val="24"/>
          <w:highlight w:val="yellow"/>
        </w:rPr>
        <w:t>median lethal dose (LD</w:t>
      </w:r>
      <w:r>
        <w:rPr>
          <w:rFonts w:ascii="Times New Roman" w:hAnsi="Times New Roman"/>
          <w:sz w:val="24"/>
          <w:szCs w:val="24"/>
          <w:highlight w:val="yellow"/>
          <w:vertAlign w:val="subscript"/>
        </w:rPr>
        <w:t>50</w:t>
      </w:r>
      <w:r>
        <w:rPr>
          <w:rFonts w:ascii="Times New Roman" w:hAnsi="Times New Roman"/>
          <w:sz w:val="24"/>
          <w:szCs w:val="24"/>
          <w:highlight w:val="yellow"/>
        </w:rPr>
        <w:t xml:space="preserve">) of  1874.83 mg/kg (Okokon </w:t>
      </w:r>
      <w:r>
        <w:rPr>
          <w:rFonts w:ascii="Times New Roman" w:hAnsi="Times New Roman"/>
          <w:iCs/>
          <w:sz w:val="24"/>
          <w:szCs w:val="24"/>
          <w:highlight w:val="yellow"/>
        </w:rPr>
        <w:t>et al.,</w:t>
      </w:r>
      <w:r>
        <w:rPr>
          <w:rFonts w:ascii="Times New Roman" w:hAnsi="Times New Roman"/>
          <w:sz w:val="24"/>
          <w:szCs w:val="24"/>
          <w:highlight w:val="yellow"/>
        </w:rPr>
        <w:t xml:space="preserve"> 2016)</w:t>
      </w:r>
      <w:r>
        <w:rPr>
          <w:rFonts w:hint="default" w:ascii="Times New Roman" w:hAnsi="Times New Roman"/>
          <w:sz w:val="24"/>
          <w:szCs w:val="24"/>
          <w:highlight w:val="yellow"/>
          <w:lang w:val="en-GB"/>
        </w:rPr>
        <w:t xml:space="preserve"> and phytochemical</w:t>
      </w:r>
      <w:r>
        <w:rPr>
          <w:rFonts w:ascii="Times New Roman" w:hAnsi="Times New Roman"/>
          <w:sz w:val="24"/>
          <w:szCs w:val="24"/>
          <w:highlight w:val="yellow"/>
        </w:rPr>
        <w:t xml:space="preserve"> compounds </w:t>
      </w:r>
      <w:r>
        <w:rPr>
          <w:rFonts w:hint="default" w:ascii="Times New Roman" w:hAnsi="Times New Roman"/>
          <w:sz w:val="24"/>
          <w:szCs w:val="24"/>
          <w:highlight w:val="yellow"/>
          <w:lang w:val="en-GB"/>
        </w:rPr>
        <w:t xml:space="preserve">such as </w:t>
      </w:r>
      <w:r>
        <w:rPr>
          <w:rFonts w:ascii="Times New Roman" w:hAnsi="Times New Roman"/>
          <w:sz w:val="24"/>
          <w:szCs w:val="24"/>
          <w:highlight w:val="yellow"/>
        </w:rPr>
        <w:t xml:space="preserve"> arabinoxylan (Ogawa </w:t>
      </w:r>
      <w:r>
        <w:rPr>
          <w:rFonts w:ascii="Times New Roman" w:hAnsi="Times New Roman"/>
          <w:iCs/>
          <w:sz w:val="24"/>
          <w:szCs w:val="24"/>
          <w:highlight w:val="yellow"/>
        </w:rPr>
        <w:t>et al.,</w:t>
      </w:r>
      <w:r>
        <w:rPr>
          <w:rFonts w:ascii="Times New Roman" w:hAnsi="Times New Roman"/>
          <w:sz w:val="24"/>
          <w:szCs w:val="24"/>
          <w:highlight w:val="yellow"/>
        </w:rPr>
        <w:t xml:space="preserve"> 2005), </w:t>
      </w:r>
      <w:r>
        <w:rPr>
          <w:rFonts w:ascii="Times New Roman" w:hAnsi="Times New Roman"/>
          <w:color w:val="000000"/>
          <w:sz w:val="24"/>
          <w:szCs w:val="24"/>
          <w:highlight w:val="yellow"/>
        </w:rPr>
        <w:t xml:space="preserve">phenolic compounds  (Dong </w:t>
      </w:r>
      <w:r>
        <w:rPr>
          <w:rFonts w:ascii="Times New Roman" w:hAnsi="Times New Roman"/>
          <w:iCs/>
          <w:color w:val="000000"/>
          <w:sz w:val="24"/>
          <w:szCs w:val="24"/>
          <w:highlight w:val="yellow"/>
        </w:rPr>
        <w:t>et al.</w:t>
      </w:r>
      <w:r>
        <w:rPr>
          <w:rFonts w:ascii="Times New Roman" w:hAnsi="Times New Roman"/>
          <w:i/>
          <w:color w:val="000000"/>
          <w:sz w:val="24"/>
          <w:szCs w:val="24"/>
          <w:highlight w:val="yellow"/>
        </w:rPr>
        <w:t>,</w:t>
      </w:r>
      <w:r>
        <w:rPr>
          <w:rFonts w:ascii="Times New Roman" w:hAnsi="Times New Roman"/>
          <w:color w:val="000000"/>
          <w:sz w:val="24"/>
          <w:szCs w:val="24"/>
          <w:highlight w:val="yellow"/>
        </w:rPr>
        <w:t xml:space="preserve"> </w:t>
      </w:r>
      <w:r>
        <w:rPr>
          <w:rFonts w:ascii="Times New Roman" w:hAnsi="Times New Roman"/>
          <w:sz w:val="24"/>
          <w:szCs w:val="24"/>
          <w:highlight w:val="yellow"/>
        </w:rPr>
        <w:t>2014</w:t>
      </w:r>
      <w:r>
        <w:rPr>
          <w:rFonts w:ascii="Times New Roman" w:hAnsi="Times New Roman"/>
          <w:color w:val="000000"/>
          <w:sz w:val="24"/>
          <w:szCs w:val="24"/>
          <w:highlight w:val="yellow"/>
        </w:rPr>
        <w:t xml:space="preserve">), anthocyannins </w:t>
      </w:r>
      <w:r>
        <w:rPr>
          <w:rFonts w:ascii="Times New Roman" w:hAnsi="Times New Roman"/>
          <w:sz w:val="24"/>
          <w:szCs w:val="24"/>
          <w:highlight w:val="yellow"/>
        </w:rPr>
        <w:t xml:space="preserve">(Li </w:t>
      </w:r>
      <w:r>
        <w:rPr>
          <w:rFonts w:ascii="Times New Roman" w:hAnsi="Times New Roman"/>
          <w:iCs/>
          <w:sz w:val="24"/>
          <w:szCs w:val="24"/>
          <w:highlight w:val="yellow"/>
        </w:rPr>
        <w:t>et al.,</w:t>
      </w:r>
      <w:r>
        <w:rPr>
          <w:rFonts w:ascii="Times New Roman" w:hAnsi="Times New Roman"/>
          <w:sz w:val="24"/>
          <w:szCs w:val="24"/>
          <w:highlight w:val="yellow"/>
        </w:rPr>
        <w:t xml:space="preserve"> 2008) and stigmasterol, stigmasteryl stearate and stigmasteryl palmitate (Okokon</w:t>
      </w:r>
      <w:r>
        <w:rPr>
          <w:rFonts w:ascii="Times New Roman" w:hAnsi="Times New Roman"/>
          <w:i/>
          <w:iCs/>
          <w:sz w:val="24"/>
          <w:szCs w:val="24"/>
          <w:highlight w:val="yellow"/>
        </w:rPr>
        <w:t xml:space="preserve"> </w:t>
      </w:r>
      <w:r>
        <w:rPr>
          <w:rFonts w:ascii="Times New Roman" w:hAnsi="Times New Roman"/>
          <w:sz w:val="24"/>
          <w:szCs w:val="24"/>
          <w:highlight w:val="yellow"/>
        </w:rPr>
        <w:t xml:space="preserve">et al.,2021a). </w:t>
      </w:r>
      <w:r>
        <w:rPr>
          <w:rFonts w:hint="default" w:ascii="Times New Roman" w:hAnsi="Times New Roman"/>
          <w:sz w:val="24"/>
          <w:szCs w:val="24"/>
          <w:highlight w:val="yellow"/>
          <w:lang w:val="en-GB"/>
        </w:rPr>
        <w:t xml:space="preserve">The effect of </w:t>
      </w:r>
      <w:r>
        <w:rPr>
          <w:rFonts w:ascii="Times New Roman" w:hAnsi="Times New Roman"/>
          <w:sz w:val="24"/>
          <w:szCs w:val="24"/>
          <w:highlight w:val="yellow"/>
        </w:rPr>
        <w:t xml:space="preserve">chronic administration of the husk extract of </w:t>
      </w:r>
      <w:r>
        <w:rPr>
          <w:rFonts w:ascii="Times New Roman" w:hAnsi="Times New Roman"/>
          <w:i/>
          <w:sz w:val="24"/>
          <w:szCs w:val="24"/>
          <w:highlight w:val="yellow"/>
        </w:rPr>
        <w:t>Zea mays</w:t>
      </w:r>
      <w:r>
        <w:rPr>
          <w:rFonts w:ascii="Times New Roman" w:hAnsi="Times New Roman"/>
          <w:i/>
          <w:sz w:val="24"/>
          <w:szCs w:val="24"/>
          <w:highlight w:val="yellow"/>
          <w:lang w:val="en-US"/>
        </w:rPr>
        <w:t xml:space="preserve"> </w:t>
      </w:r>
      <w:r>
        <w:rPr>
          <w:rFonts w:ascii="Times New Roman" w:hAnsi="Times New Roman"/>
          <w:iCs/>
          <w:sz w:val="24"/>
          <w:szCs w:val="24"/>
          <w:highlight w:val="yellow"/>
          <w:lang w:val="en-US"/>
        </w:rPr>
        <w:t>on  female rats</w:t>
      </w:r>
      <w:r>
        <w:rPr>
          <w:rFonts w:hint="default" w:ascii="Times New Roman" w:hAnsi="Times New Roman"/>
          <w:iCs/>
          <w:sz w:val="24"/>
          <w:szCs w:val="24"/>
          <w:highlight w:val="yellow"/>
          <w:lang w:val="en-GB"/>
        </w:rPr>
        <w:t xml:space="preserve"> is reported in this study</w:t>
      </w:r>
      <w:r>
        <w:rPr>
          <w:rFonts w:ascii="Times New Roman" w:hAnsi="Times New Roman"/>
          <w:sz w:val="24"/>
          <w:szCs w:val="24"/>
        </w:rPr>
        <w:t>.</w:t>
      </w:r>
    </w:p>
    <w:p w14:paraId="4D1C32C5">
      <w:pPr>
        <w:numPr>
          <w:ilvl w:val="0"/>
          <w:numId w:val="1"/>
        </w:numPr>
        <w:spacing w:line="480" w:lineRule="auto"/>
        <w:jc w:val="both"/>
        <w:rPr>
          <w:rFonts w:ascii="Times New Roman" w:hAnsi="Times New Roman"/>
          <w:b/>
          <w:sz w:val="24"/>
          <w:szCs w:val="24"/>
        </w:rPr>
      </w:pPr>
      <w:r>
        <w:rPr>
          <w:rFonts w:ascii="Times New Roman" w:hAnsi="Times New Roman"/>
          <w:b/>
          <w:sz w:val="24"/>
          <w:szCs w:val="24"/>
        </w:rPr>
        <w:t>MATERIALS AND METHODS</w:t>
      </w:r>
    </w:p>
    <w:p w14:paraId="03F957BE">
      <w:pPr>
        <w:spacing w:line="480" w:lineRule="auto"/>
        <w:jc w:val="both"/>
        <w:rPr>
          <w:rFonts w:ascii="Times New Roman" w:hAnsi="Times New Roman"/>
          <w:b/>
          <w:sz w:val="24"/>
          <w:szCs w:val="24"/>
        </w:rPr>
      </w:pPr>
      <w:r>
        <w:rPr>
          <w:rFonts w:ascii="Times New Roman" w:hAnsi="Times New Roman"/>
          <w:b/>
          <w:sz w:val="24"/>
          <w:szCs w:val="24"/>
        </w:rPr>
        <w:t>2.1 Collection of Plant Materials</w:t>
      </w:r>
    </w:p>
    <w:p w14:paraId="54687698">
      <w:pPr>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highlight w:val="yellow"/>
        </w:rPr>
        <w:t xml:space="preserve">Fresh </w:t>
      </w:r>
      <w:r>
        <w:rPr>
          <w:rFonts w:ascii="Times New Roman" w:hAnsi="Times New Roman"/>
          <w:i/>
          <w:sz w:val="24"/>
          <w:szCs w:val="24"/>
          <w:highlight w:val="yellow"/>
        </w:rPr>
        <w:t>Zea mays</w:t>
      </w:r>
      <w:r>
        <w:rPr>
          <w:rFonts w:ascii="Times New Roman" w:hAnsi="Times New Roman"/>
          <w:sz w:val="24"/>
          <w:szCs w:val="24"/>
          <w:highlight w:val="yellow"/>
        </w:rPr>
        <w:t xml:space="preserve"> </w:t>
      </w:r>
      <w:r>
        <w:rPr>
          <w:rFonts w:hint="default" w:ascii="Times New Roman" w:hAnsi="Times New Roman"/>
          <w:sz w:val="24"/>
          <w:szCs w:val="24"/>
          <w:highlight w:val="yellow"/>
          <w:lang w:val="en-GB"/>
        </w:rPr>
        <w:t xml:space="preserve">husks </w:t>
      </w:r>
      <w:r>
        <w:rPr>
          <w:rFonts w:ascii="Times New Roman" w:hAnsi="Times New Roman"/>
          <w:sz w:val="24"/>
          <w:szCs w:val="24"/>
          <w:highlight w:val="yellow"/>
        </w:rPr>
        <w:t xml:space="preserve">were collected </w:t>
      </w:r>
      <w:r>
        <w:rPr>
          <w:rFonts w:hint="default" w:ascii="Times New Roman" w:hAnsi="Times New Roman"/>
          <w:sz w:val="24"/>
          <w:szCs w:val="24"/>
          <w:highlight w:val="yellow"/>
          <w:lang w:val="en-GB"/>
        </w:rPr>
        <w:t xml:space="preserve">from farmlands </w:t>
      </w:r>
      <w:r>
        <w:rPr>
          <w:rFonts w:ascii="Times New Roman" w:hAnsi="Times New Roman"/>
          <w:sz w:val="24"/>
          <w:szCs w:val="24"/>
          <w:highlight w:val="yellow"/>
        </w:rPr>
        <w:t xml:space="preserve"> in Uruan  LGA, Akwa Ibom State, Nigeria</w:t>
      </w:r>
      <w:r>
        <w:rPr>
          <w:rFonts w:hint="default" w:ascii="Times New Roman" w:hAnsi="Times New Roman"/>
          <w:sz w:val="24"/>
          <w:szCs w:val="24"/>
          <w:highlight w:val="yellow"/>
          <w:lang w:val="en-GB"/>
        </w:rPr>
        <w:t xml:space="preserve"> </w:t>
      </w:r>
      <w:r>
        <w:rPr>
          <w:rFonts w:ascii="Times New Roman" w:hAnsi="Times New Roman"/>
          <w:sz w:val="24"/>
          <w:szCs w:val="24"/>
          <w:highlight w:val="yellow"/>
        </w:rPr>
        <w:t xml:space="preserve">in August 2020. </w:t>
      </w:r>
      <w:r>
        <w:rPr>
          <w:rFonts w:hint="default" w:ascii="Times New Roman" w:hAnsi="Times New Roman"/>
          <w:sz w:val="24"/>
          <w:szCs w:val="24"/>
          <w:highlight w:val="yellow"/>
          <w:lang w:val="en-GB"/>
        </w:rPr>
        <w:t>I</w:t>
      </w:r>
      <w:r>
        <w:rPr>
          <w:rFonts w:ascii="Times New Roman" w:hAnsi="Times New Roman"/>
          <w:sz w:val="24"/>
          <w:szCs w:val="24"/>
          <w:highlight w:val="yellow"/>
        </w:rPr>
        <w:t>dentifi</w:t>
      </w:r>
      <w:r>
        <w:rPr>
          <w:rFonts w:hint="default" w:ascii="Times New Roman" w:hAnsi="Times New Roman"/>
          <w:sz w:val="24"/>
          <w:szCs w:val="24"/>
          <w:highlight w:val="yellow"/>
          <w:lang w:val="en-GB"/>
        </w:rPr>
        <w:t>cation</w:t>
      </w:r>
      <w:r>
        <w:rPr>
          <w:rFonts w:ascii="Times New Roman" w:hAnsi="Times New Roman"/>
          <w:sz w:val="24"/>
          <w:szCs w:val="24"/>
          <w:highlight w:val="yellow"/>
        </w:rPr>
        <w:t xml:space="preserve"> and authenticat</w:t>
      </w:r>
      <w:r>
        <w:rPr>
          <w:rFonts w:hint="default" w:ascii="Times New Roman" w:hAnsi="Times New Roman"/>
          <w:sz w:val="24"/>
          <w:szCs w:val="24"/>
          <w:highlight w:val="yellow"/>
          <w:lang w:val="en-GB"/>
        </w:rPr>
        <w:t>ion</w:t>
      </w:r>
      <w:r>
        <w:rPr>
          <w:rFonts w:ascii="Times New Roman" w:hAnsi="Times New Roman"/>
          <w:sz w:val="24"/>
          <w:szCs w:val="24"/>
          <w:highlight w:val="yellow"/>
        </w:rPr>
        <w:t xml:space="preserve"> </w:t>
      </w:r>
      <w:r>
        <w:rPr>
          <w:rFonts w:hint="default" w:ascii="Times New Roman" w:hAnsi="Times New Roman"/>
          <w:sz w:val="24"/>
          <w:szCs w:val="24"/>
          <w:highlight w:val="yellow"/>
          <w:lang w:val="en-GB"/>
        </w:rPr>
        <w:t>of</w:t>
      </w:r>
      <w:r>
        <w:rPr>
          <w:rFonts w:ascii="Times New Roman" w:hAnsi="Times New Roman"/>
          <w:sz w:val="24"/>
          <w:szCs w:val="24"/>
          <w:highlight w:val="yellow"/>
        </w:rPr>
        <w:t xml:space="preserve"> </w:t>
      </w:r>
      <w:r>
        <w:rPr>
          <w:rFonts w:ascii="Times New Roman" w:hAnsi="Times New Roman"/>
          <w:i/>
          <w:sz w:val="24"/>
          <w:szCs w:val="24"/>
          <w:highlight w:val="yellow"/>
        </w:rPr>
        <w:t>Zea mays</w:t>
      </w:r>
      <w:r>
        <w:rPr>
          <w:rFonts w:ascii="Times New Roman" w:hAnsi="Times New Roman"/>
          <w:sz w:val="24"/>
          <w:szCs w:val="24"/>
          <w:highlight w:val="yellow"/>
        </w:rPr>
        <w:t xml:space="preserve"> </w:t>
      </w:r>
      <w:r>
        <w:rPr>
          <w:rFonts w:hint="default" w:ascii="Times New Roman" w:hAnsi="Times New Roman"/>
          <w:sz w:val="24"/>
          <w:szCs w:val="24"/>
          <w:highlight w:val="yellow"/>
          <w:lang w:val="en-GB"/>
        </w:rPr>
        <w:t xml:space="preserve"> was carried out </w:t>
      </w:r>
      <w:r>
        <w:rPr>
          <w:rFonts w:ascii="Times New Roman" w:hAnsi="Times New Roman"/>
          <w:sz w:val="24"/>
          <w:szCs w:val="24"/>
          <w:highlight w:val="yellow"/>
        </w:rPr>
        <w:t xml:space="preserve">by a taxonomist in the Department of Botany and Ecological </w:t>
      </w:r>
      <w:r>
        <w:rPr>
          <w:rFonts w:hint="default" w:ascii="Times New Roman" w:hAnsi="Times New Roman"/>
          <w:sz w:val="24"/>
          <w:szCs w:val="24"/>
          <w:highlight w:val="yellow"/>
          <w:lang w:val="en-GB"/>
        </w:rPr>
        <w:t>S</w:t>
      </w:r>
      <w:r>
        <w:rPr>
          <w:rFonts w:ascii="Times New Roman" w:hAnsi="Times New Roman"/>
          <w:sz w:val="24"/>
          <w:szCs w:val="24"/>
          <w:highlight w:val="yellow"/>
        </w:rPr>
        <w:t xml:space="preserve">tudies, University of Uyo, Uyo, Nigeria. Herbarium specimen (FPH, 614) was deposited at the Faculty of Pharmacy Herbarium, University of Uyo, Uyo. </w:t>
      </w:r>
    </w:p>
    <w:p w14:paraId="1AF3F1A4">
      <w:pPr>
        <w:spacing w:line="480" w:lineRule="auto"/>
        <w:jc w:val="both"/>
        <w:rPr>
          <w:rFonts w:ascii="Times New Roman" w:hAnsi="Times New Roman"/>
          <w:sz w:val="24"/>
          <w:szCs w:val="24"/>
        </w:rPr>
      </w:pPr>
      <w:r>
        <w:rPr>
          <w:rFonts w:ascii="Times New Roman" w:hAnsi="Times New Roman"/>
          <w:b/>
          <w:sz w:val="24"/>
          <w:szCs w:val="24"/>
        </w:rPr>
        <w:t>2.2 Extraction</w:t>
      </w:r>
    </w:p>
    <w:p w14:paraId="087D8F94">
      <w:pPr>
        <w:spacing w:line="480" w:lineRule="auto"/>
        <w:jc w:val="both"/>
        <w:rPr>
          <w:rFonts w:ascii="Times New Roman" w:hAnsi="Times New Roman"/>
          <w:sz w:val="24"/>
          <w:szCs w:val="24"/>
          <w:highlight w:val="yellow"/>
        </w:rPr>
      </w:pPr>
      <w:r>
        <w:rPr>
          <w:rFonts w:hint="default" w:ascii="Times New Roman" w:hAnsi="Times New Roman"/>
          <w:sz w:val="24"/>
          <w:szCs w:val="24"/>
          <w:highlight w:val="yellow"/>
          <w:lang w:val="en-GB"/>
        </w:rPr>
        <w:t xml:space="preserve">The collected </w:t>
      </w:r>
      <w:r>
        <w:rPr>
          <w:rFonts w:ascii="Times New Roman" w:hAnsi="Times New Roman"/>
          <w:sz w:val="24"/>
          <w:szCs w:val="24"/>
          <w:highlight w:val="yellow"/>
        </w:rPr>
        <w:t xml:space="preserve"> </w:t>
      </w:r>
      <w:r>
        <w:rPr>
          <w:rFonts w:ascii="Times New Roman" w:hAnsi="Times New Roman"/>
          <w:i/>
          <w:sz w:val="24"/>
          <w:szCs w:val="24"/>
          <w:highlight w:val="yellow"/>
        </w:rPr>
        <w:t>Zea mays</w:t>
      </w:r>
      <w:r>
        <w:rPr>
          <w:rFonts w:hint="default" w:ascii="Times New Roman" w:hAnsi="Times New Roman"/>
          <w:i/>
          <w:sz w:val="24"/>
          <w:szCs w:val="24"/>
          <w:highlight w:val="yellow"/>
          <w:lang w:val="en-GB"/>
        </w:rPr>
        <w:t xml:space="preserve"> </w:t>
      </w:r>
      <w:r>
        <w:rPr>
          <w:rFonts w:hint="default" w:ascii="Times New Roman" w:hAnsi="Times New Roman"/>
          <w:i w:val="0"/>
          <w:iCs/>
          <w:sz w:val="24"/>
          <w:szCs w:val="24"/>
          <w:highlight w:val="yellow"/>
          <w:lang w:val="en-GB"/>
        </w:rPr>
        <w:t>husks</w:t>
      </w:r>
      <w:r>
        <w:rPr>
          <w:rFonts w:ascii="Times New Roman" w:hAnsi="Times New Roman"/>
          <w:sz w:val="24"/>
          <w:szCs w:val="24"/>
          <w:highlight w:val="yellow"/>
        </w:rPr>
        <w:t xml:space="preserve"> were washed, </w:t>
      </w:r>
      <w:r>
        <w:rPr>
          <w:rFonts w:hint="default" w:ascii="Times New Roman" w:hAnsi="Times New Roman"/>
          <w:sz w:val="24"/>
          <w:szCs w:val="24"/>
          <w:highlight w:val="yellow"/>
          <w:lang w:val="en-GB"/>
        </w:rPr>
        <w:t>sliced to</w:t>
      </w:r>
      <w:r>
        <w:rPr>
          <w:rFonts w:ascii="Times New Roman" w:hAnsi="Times New Roman"/>
          <w:sz w:val="24"/>
          <w:szCs w:val="24"/>
          <w:highlight w:val="yellow"/>
        </w:rPr>
        <w:t xml:space="preserve"> pieces</w:t>
      </w:r>
      <w:r>
        <w:rPr>
          <w:rFonts w:hint="default" w:ascii="Times New Roman" w:hAnsi="Times New Roman"/>
          <w:sz w:val="24"/>
          <w:szCs w:val="24"/>
          <w:highlight w:val="yellow"/>
          <w:lang w:val="en-GB"/>
        </w:rPr>
        <w:t>, shade-dried for 2 weeks</w:t>
      </w:r>
      <w:r>
        <w:rPr>
          <w:rFonts w:ascii="Times New Roman" w:hAnsi="Times New Roman"/>
          <w:sz w:val="24"/>
          <w:szCs w:val="24"/>
          <w:highlight w:val="yellow"/>
        </w:rPr>
        <w:t xml:space="preserve"> and  pulverized to powder using electric grinder. The powdered </w:t>
      </w:r>
      <w:r>
        <w:rPr>
          <w:rFonts w:hint="default" w:ascii="Times New Roman" w:hAnsi="Times New Roman"/>
          <w:sz w:val="24"/>
          <w:szCs w:val="24"/>
          <w:highlight w:val="yellow"/>
          <w:lang w:val="en-GB"/>
        </w:rPr>
        <w:t>husks</w:t>
      </w:r>
      <w:r>
        <w:rPr>
          <w:rFonts w:ascii="Times New Roman" w:hAnsi="Times New Roman"/>
          <w:sz w:val="24"/>
          <w:szCs w:val="24"/>
          <w:highlight w:val="yellow"/>
        </w:rPr>
        <w:t xml:space="preserve">  (1.5 kg) was </w:t>
      </w:r>
      <w:r>
        <w:rPr>
          <w:rFonts w:hint="default" w:ascii="Times New Roman" w:hAnsi="Times New Roman"/>
          <w:sz w:val="24"/>
          <w:szCs w:val="24"/>
          <w:highlight w:val="yellow"/>
          <w:lang w:val="en-GB"/>
        </w:rPr>
        <w:t>soaked</w:t>
      </w:r>
      <w:r>
        <w:rPr>
          <w:rFonts w:ascii="Times New Roman" w:hAnsi="Times New Roman"/>
          <w:sz w:val="24"/>
          <w:szCs w:val="24"/>
          <w:highlight w:val="yellow"/>
        </w:rPr>
        <w:t xml:space="preserve"> in 50% ethanol (7.5 L) for 72 hours </w:t>
      </w:r>
      <w:r>
        <w:rPr>
          <w:rFonts w:hint="default" w:ascii="Times New Roman" w:hAnsi="Times New Roman"/>
          <w:sz w:val="24"/>
          <w:szCs w:val="24"/>
          <w:highlight w:val="yellow"/>
          <w:lang w:val="en-GB"/>
        </w:rPr>
        <w:t>and</w:t>
      </w:r>
      <w:r>
        <w:rPr>
          <w:rFonts w:ascii="Times New Roman" w:hAnsi="Times New Roman"/>
          <w:sz w:val="24"/>
          <w:szCs w:val="24"/>
          <w:highlight w:val="yellow"/>
        </w:rPr>
        <w:t xml:space="preserve">  thereafter filtered</w:t>
      </w:r>
      <w:r>
        <w:rPr>
          <w:rFonts w:hint="default" w:ascii="Times New Roman" w:hAnsi="Times New Roman"/>
          <w:sz w:val="24"/>
          <w:szCs w:val="24"/>
          <w:highlight w:val="yellow"/>
          <w:lang w:val="en-GB"/>
        </w:rPr>
        <w:t xml:space="preserve">. Concentration of the </w:t>
      </w:r>
      <w:r>
        <w:rPr>
          <w:rFonts w:ascii="Times New Roman" w:hAnsi="Times New Roman"/>
          <w:sz w:val="24"/>
          <w:szCs w:val="24"/>
          <w:highlight w:val="yellow"/>
        </w:rPr>
        <w:t xml:space="preserve"> liquid filtrate</w:t>
      </w:r>
      <w:r>
        <w:rPr>
          <w:rFonts w:hint="default" w:ascii="Times New Roman" w:hAnsi="Times New Roman"/>
          <w:sz w:val="24"/>
          <w:szCs w:val="24"/>
          <w:highlight w:val="yellow"/>
          <w:lang w:val="en-GB"/>
        </w:rPr>
        <w:t xml:space="preserve"> to remove the hydroethanol </w:t>
      </w:r>
      <w:r>
        <w:rPr>
          <w:rFonts w:ascii="Times New Roman" w:hAnsi="Times New Roman"/>
          <w:sz w:val="24"/>
          <w:szCs w:val="24"/>
          <w:highlight w:val="yellow"/>
        </w:rPr>
        <w:t xml:space="preserve"> was </w:t>
      </w:r>
      <w:r>
        <w:rPr>
          <w:rFonts w:hint="default" w:ascii="Times New Roman" w:hAnsi="Times New Roman"/>
          <w:sz w:val="24"/>
          <w:szCs w:val="24"/>
          <w:highlight w:val="yellow"/>
          <w:lang w:val="en-GB"/>
        </w:rPr>
        <w:t>done</w:t>
      </w:r>
      <w:r>
        <w:rPr>
          <w:rFonts w:ascii="Times New Roman" w:hAnsi="Times New Roman"/>
          <w:sz w:val="24"/>
          <w:szCs w:val="24"/>
          <w:highlight w:val="yellow"/>
        </w:rPr>
        <w:t xml:space="preserve"> in </w:t>
      </w:r>
      <w:r>
        <w:rPr>
          <w:rFonts w:ascii="Times New Roman" w:hAnsi="Times New Roman"/>
          <w:i/>
          <w:sz w:val="24"/>
          <w:szCs w:val="24"/>
          <w:highlight w:val="yellow"/>
        </w:rPr>
        <w:t>vacuo</w:t>
      </w:r>
      <w:r>
        <w:rPr>
          <w:rFonts w:ascii="Times New Roman" w:hAnsi="Times New Roman"/>
          <w:sz w:val="24"/>
          <w:szCs w:val="24"/>
          <w:highlight w:val="yellow"/>
        </w:rPr>
        <w:t xml:space="preserve"> 40</w:t>
      </w:r>
      <w:r>
        <w:rPr>
          <w:rFonts w:ascii="Times New Roman" w:hAnsi="Times New Roman"/>
          <w:sz w:val="24"/>
          <w:szCs w:val="24"/>
          <w:highlight w:val="yellow"/>
          <w:vertAlign w:val="superscript"/>
        </w:rPr>
        <w:t>0</w:t>
      </w:r>
      <w:r>
        <w:rPr>
          <w:rFonts w:ascii="Times New Roman" w:hAnsi="Times New Roman"/>
          <w:sz w:val="24"/>
          <w:szCs w:val="24"/>
          <w:highlight w:val="yellow"/>
        </w:rPr>
        <w:t xml:space="preserve">C using a rotary evaporator </w:t>
      </w:r>
      <w:r>
        <w:rPr>
          <w:rFonts w:ascii="Times New Roman" w:hAnsi="Times New Roman" w:eastAsia="ArialMT"/>
          <w:sz w:val="24"/>
          <w:szCs w:val="24"/>
          <w:highlight w:val="yellow"/>
        </w:rPr>
        <w:t>(BuchiLab, Switzerland)</w:t>
      </w:r>
      <w:r>
        <w:rPr>
          <w:rFonts w:ascii="Times New Roman" w:hAnsi="Times New Roman"/>
          <w:sz w:val="24"/>
          <w:szCs w:val="24"/>
          <w:highlight w:val="yellow"/>
        </w:rPr>
        <w:t xml:space="preserve"> and </w:t>
      </w:r>
      <w:r>
        <w:rPr>
          <w:rFonts w:hint="default" w:ascii="Times New Roman" w:hAnsi="Times New Roman"/>
          <w:sz w:val="24"/>
          <w:szCs w:val="24"/>
          <w:highlight w:val="yellow"/>
          <w:lang w:val="en-GB"/>
        </w:rPr>
        <w:t xml:space="preserve">the extract </w:t>
      </w:r>
      <w:r>
        <w:rPr>
          <w:rFonts w:ascii="Times New Roman" w:hAnsi="Times New Roman"/>
          <w:sz w:val="24"/>
          <w:szCs w:val="24"/>
          <w:highlight w:val="yellow"/>
        </w:rPr>
        <w:t>stored in a refrigerator at -4°C, until used for the proposed experiments.</w:t>
      </w:r>
    </w:p>
    <w:p w14:paraId="4611829D">
      <w:pPr>
        <w:spacing w:line="480" w:lineRule="auto"/>
        <w:jc w:val="both"/>
        <w:rPr>
          <w:rFonts w:ascii="Times New Roman" w:hAnsi="Times New Roman"/>
          <w:b/>
          <w:sz w:val="24"/>
          <w:szCs w:val="24"/>
        </w:rPr>
      </w:pPr>
      <w:r>
        <w:rPr>
          <w:rFonts w:ascii="Times New Roman" w:hAnsi="Times New Roman"/>
          <w:b/>
          <w:sz w:val="24"/>
          <w:szCs w:val="24"/>
        </w:rPr>
        <w:t>2.3 Animals</w:t>
      </w:r>
    </w:p>
    <w:p w14:paraId="0C97317E">
      <w:pPr>
        <w:spacing w:line="480" w:lineRule="auto"/>
        <w:jc w:val="both"/>
        <w:rPr>
          <w:rFonts w:ascii="Times New Roman" w:hAnsi="Times New Roman"/>
          <w:sz w:val="24"/>
          <w:szCs w:val="24"/>
        </w:rPr>
      </w:pPr>
      <w:r>
        <w:rPr>
          <w:rFonts w:ascii="Times New Roman" w:hAnsi="Times New Roman"/>
          <w:sz w:val="24"/>
          <w:szCs w:val="24"/>
        </w:rPr>
        <w:t xml:space="preserve">Swiss albino female rats (125 – 148 g) </w:t>
      </w:r>
      <w:r>
        <w:rPr>
          <w:rFonts w:hint="default" w:ascii="Times New Roman" w:hAnsi="Times New Roman"/>
          <w:sz w:val="24"/>
          <w:szCs w:val="24"/>
          <w:lang w:val="en-GB"/>
        </w:rPr>
        <w:t>sourced</w:t>
      </w:r>
      <w:r>
        <w:rPr>
          <w:rFonts w:ascii="Times New Roman" w:hAnsi="Times New Roman"/>
          <w:sz w:val="24"/>
          <w:szCs w:val="24"/>
        </w:rPr>
        <w:t xml:space="preserve"> from Animal house of Department of Pharmacology and Toxicology, University of Uyo</w:t>
      </w:r>
      <w:r>
        <w:rPr>
          <w:rFonts w:hint="default" w:ascii="Times New Roman" w:hAnsi="Times New Roman"/>
          <w:sz w:val="24"/>
          <w:szCs w:val="24"/>
          <w:lang w:val="en-GB"/>
        </w:rPr>
        <w:t xml:space="preserve"> were </w:t>
      </w:r>
      <w:r>
        <w:rPr>
          <w:rFonts w:ascii="Times New Roman" w:hAnsi="Times New Roman"/>
          <w:sz w:val="24"/>
          <w:szCs w:val="24"/>
        </w:rPr>
        <w:t>used for these experiments. The</w:t>
      </w:r>
      <w:r>
        <w:rPr>
          <w:rFonts w:hint="default" w:ascii="Times New Roman" w:hAnsi="Times New Roman"/>
          <w:sz w:val="24"/>
          <w:szCs w:val="24"/>
          <w:lang w:val="en-GB"/>
        </w:rPr>
        <w:t>y</w:t>
      </w:r>
      <w:r>
        <w:rPr>
          <w:rFonts w:ascii="Times New Roman" w:hAnsi="Times New Roman"/>
          <w:sz w:val="24"/>
          <w:szCs w:val="24"/>
        </w:rPr>
        <w:t xml:space="preserve"> were housed in standard cages and  maintained on a standard pelleted feed (Guinea feed) and water </w:t>
      </w:r>
      <w:r>
        <w:rPr>
          <w:rFonts w:ascii="Times New Roman" w:hAnsi="Times New Roman"/>
          <w:i/>
          <w:sz w:val="24"/>
          <w:szCs w:val="24"/>
        </w:rPr>
        <w:t>ad libitum</w:t>
      </w:r>
      <w:r>
        <w:rPr>
          <w:rFonts w:ascii="Times New Roman" w:hAnsi="Times New Roman"/>
          <w:sz w:val="24"/>
          <w:szCs w:val="24"/>
        </w:rPr>
        <w:t xml:space="preserve">. </w:t>
      </w:r>
      <w:r>
        <w:rPr>
          <w:rFonts w:hint="default" w:ascii="Times New Roman" w:hAnsi="Times New Roman"/>
          <w:sz w:val="24"/>
          <w:szCs w:val="24"/>
          <w:lang w:val="en-GB"/>
        </w:rPr>
        <w:t>The study was approved by</w:t>
      </w:r>
      <w:r>
        <w:rPr>
          <w:rFonts w:ascii="Times New Roman" w:hAnsi="Times New Roman"/>
          <w:sz w:val="24"/>
          <w:szCs w:val="24"/>
        </w:rPr>
        <w:t xml:space="preserve"> College of Health Sciences Animal Ethics Committee, University of Uyo.</w:t>
      </w:r>
    </w:p>
    <w:p w14:paraId="72479736">
      <w:pPr>
        <w:spacing w:before="240" w:after="0" w:line="480" w:lineRule="auto"/>
        <w:jc w:val="both"/>
        <w:rPr>
          <w:rFonts w:ascii="Times New Roman" w:hAnsi="Times New Roman"/>
          <w:b/>
          <w:sz w:val="24"/>
          <w:szCs w:val="24"/>
        </w:rPr>
      </w:pPr>
      <w:r>
        <w:rPr>
          <w:rFonts w:ascii="Times New Roman" w:hAnsi="Times New Roman"/>
          <w:b/>
          <w:sz w:val="24"/>
          <w:szCs w:val="24"/>
        </w:rPr>
        <w:t xml:space="preserve"> 2.4 Chronic Toxicological Study</w:t>
      </w:r>
    </w:p>
    <w:p w14:paraId="527F320B">
      <w:pPr>
        <w:spacing w:line="480" w:lineRule="auto"/>
        <w:jc w:val="both"/>
        <w:rPr>
          <w:rFonts w:hint="default" w:ascii="Times New Roman" w:hAnsi="Times New Roman"/>
          <w:sz w:val="24"/>
          <w:szCs w:val="24"/>
          <w:highlight w:val="yellow"/>
          <w:lang w:val="en-GB"/>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highlight w:val="yellow"/>
        </w:rPr>
        <w:t xml:space="preserve">Adult wistar female rats  used in this </w:t>
      </w:r>
      <w:r>
        <w:rPr>
          <w:rFonts w:hint="default" w:ascii="Times New Roman" w:hAnsi="Times New Roman"/>
          <w:sz w:val="24"/>
          <w:szCs w:val="24"/>
          <w:highlight w:val="yellow"/>
          <w:lang w:val="en-GB"/>
        </w:rPr>
        <w:t xml:space="preserve">experiment </w:t>
      </w:r>
      <w:r>
        <w:rPr>
          <w:rFonts w:ascii="Times New Roman" w:hAnsi="Times New Roman"/>
          <w:sz w:val="24"/>
          <w:szCs w:val="24"/>
          <w:highlight w:val="yellow"/>
        </w:rPr>
        <w:t xml:space="preserve">were weighed, randomly </w:t>
      </w:r>
      <w:r>
        <w:rPr>
          <w:rFonts w:hint="default" w:ascii="Times New Roman" w:hAnsi="Times New Roman"/>
          <w:sz w:val="24"/>
          <w:szCs w:val="24"/>
          <w:highlight w:val="yellow"/>
          <w:lang w:val="en-GB"/>
        </w:rPr>
        <w:t>shared</w:t>
      </w:r>
      <w:r>
        <w:rPr>
          <w:rFonts w:ascii="Times New Roman" w:hAnsi="Times New Roman"/>
          <w:sz w:val="24"/>
          <w:szCs w:val="24"/>
          <w:highlight w:val="yellow"/>
        </w:rPr>
        <w:t xml:space="preserve"> into  groups of 5 rats each and treated as follows; groups I, II, and III were</w:t>
      </w:r>
      <w:r>
        <w:rPr>
          <w:rFonts w:hint="default" w:ascii="Times New Roman" w:hAnsi="Times New Roman"/>
          <w:sz w:val="24"/>
          <w:szCs w:val="24"/>
          <w:highlight w:val="yellow"/>
          <w:lang w:val="en-GB"/>
        </w:rPr>
        <w:t xml:space="preserve"> orally treated with </w:t>
      </w:r>
      <w:r>
        <w:rPr>
          <w:rFonts w:ascii="Times New Roman" w:hAnsi="Times New Roman"/>
          <w:sz w:val="24"/>
          <w:szCs w:val="24"/>
          <w:highlight w:val="yellow"/>
        </w:rPr>
        <w:t xml:space="preserve"> 187, 374 and 561 mg/kg of the husk extract respectively on alternate days for 100 days. </w:t>
      </w:r>
      <w:r>
        <w:rPr>
          <w:rFonts w:hint="default" w:ascii="Times New Roman" w:hAnsi="Times New Roman"/>
          <w:sz w:val="24"/>
          <w:szCs w:val="24"/>
          <w:highlight w:val="yellow"/>
          <w:lang w:val="en-GB"/>
        </w:rPr>
        <w:t>D</w:t>
      </w:r>
      <w:r>
        <w:rPr>
          <w:rFonts w:ascii="Times New Roman" w:hAnsi="Times New Roman"/>
          <w:sz w:val="24"/>
          <w:szCs w:val="24"/>
          <w:highlight w:val="yellow"/>
        </w:rPr>
        <w:t xml:space="preserve">istilled water (10 mL/kg) </w:t>
      </w:r>
      <w:r>
        <w:rPr>
          <w:rFonts w:hint="default" w:ascii="Times New Roman" w:hAnsi="Times New Roman"/>
          <w:sz w:val="24"/>
          <w:szCs w:val="24"/>
          <w:highlight w:val="yellow"/>
          <w:lang w:val="en-GB"/>
        </w:rPr>
        <w:t xml:space="preserve">was given to rats in group IV </w:t>
      </w:r>
      <w:r>
        <w:rPr>
          <w:rFonts w:ascii="Times New Roman" w:hAnsi="Times New Roman"/>
          <w:sz w:val="24"/>
          <w:szCs w:val="24"/>
          <w:highlight w:val="yellow"/>
        </w:rPr>
        <w:t xml:space="preserve">for the same period of time. The weights of the animals in all the treatment groups were weighed periodically to monitor the weight increases. At the end of the treatment period (100 days), the animals were again weighed and sacrificed under light ethyl ether vapour. Blood samples were collected by cardiac puncture into EDTA-bottles and plain bottles. </w:t>
      </w:r>
      <w:r>
        <w:rPr>
          <w:rFonts w:hint="default" w:ascii="Times New Roman" w:hAnsi="Times New Roman"/>
          <w:sz w:val="24"/>
          <w:szCs w:val="24"/>
          <w:highlight w:val="yellow"/>
          <w:lang w:val="en-GB"/>
        </w:rPr>
        <w:t>H</w:t>
      </w:r>
      <w:r>
        <w:rPr>
          <w:rFonts w:ascii="Times New Roman" w:hAnsi="Times New Roman"/>
          <w:sz w:val="24"/>
          <w:szCs w:val="24"/>
          <w:highlight w:val="yellow"/>
        </w:rPr>
        <w:t xml:space="preserve">aematological </w:t>
      </w:r>
      <w:r>
        <w:rPr>
          <w:rFonts w:hint="default" w:ascii="Times New Roman" w:hAnsi="Times New Roman"/>
          <w:sz w:val="24"/>
          <w:szCs w:val="24"/>
          <w:highlight w:val="yellow"/>
          <w:lang w:val="en-GB"/>
        </w:rPr>
        <w:t>analyses</w:t>
      </w:r>
      <w:r>
        <w:rPr>
          <w:rFonts w:ascii="Times New Roman" w:hAnsi="Times New Roman"/>
          <w:sz w:val="24"/>
          <w:szCs w:val="24"/>
          <w:highlight w:val="yellow"/>
        </w:rPr>
        <w:t xml:space="preserve"> such as bleeding time, clotting time, full blood counts etc</w:t>
      </w:r>
      <w:r>
        <w:rPr>
          <w:rFonts w:hint="default" w:ascii="Times New Roman" w:hAnsi="Times New Roman"/>
          <w:sz w:val="24"/>
          <w:szCs w:val="24"/>
          <w:highlight w:val="yellow"/>
          <w:lang w:val="en-GB"/>
        </w:rPr>
        <w:t xml:space="preserve"> were carried out on b</w:t>
      </w:r>
      <w:r>
        <w:rPr>
          <w:rFonts w:ascii="Times New Roman" w:hAnsi="Times New Roman"/>
          <w:sz w:val="24"/>
          <w:szCs w:val="24"/>
          <w:highlight w:val="yellow"/>
        </w:rPr>
        <w:t>lood samples in EDTA bottles</w:t>
      </w:r>
      <w:r>
        <w:rPr>
          <w:rFonts w:hint="default" w:ascii="Times New Roman" w:hAnsi="Times New Roman"/>
          <w:sz w:val="24"/>
          <w:szCs w:val="24"/>
          <w:highlight w:val="yellow"/>
          <w:lang w:val="en-GB"/>
        </w:rPr>
        <w:t>.</w:t>
      </w:r>
      <w:r>
        <w:rPr>
          <w:rFonts w:ascii="Times New Roman" w:hAnsi="Times New Roman"/>
          <w:sz w:val="24"/>
          <w:szCs w:val="24"/>
          <w:highlight w:val="yellow"/>
        </w:rPr>
        <w:t xml:space="preserve"> Sera separated from the blood samples in plain bottles </w:t>
      </w:r>
      <w:r>
        <w:rPr>
          <w:rFonts w:hint="default" w:ascii="Times New Roman" w:hAnsi="Times New Roman"/>
          <w:sz w:val="24"/>
          <w:szCs w:val="24"/>
          <w:highlight w:val="yellow"/>
          <w:lang w:val="en-GB"/>
        </w:rPr>
        <w:t xml:space="preserve">after centrifugation </w:t>
      </w:r>
      <w:r>
        <w:rPr>
          <w:rFonts w:ascii="Times New Roman" w:hAnsi="Times New Roman"/>
          <w:sz w:val="24"/>
          <w:szCs w:val="24"/>
          <w:highlight w:val="yellow"/>
        </w:rPr>
        <w:t>at 2500 rpm for 15 min at 10 °C</w:t>
      </w:r>
      <w:r>
        <w:rPr>
          <w:rFonts w:hint="default" w:ascii="Times New Roman" w:hAnsi="Times New Roman"/>
          <w:sz w:val="24"/>
          <w:szCs w:val="24"/>
          <w:highlight w:val="yellow"/>
          <w:lang w:val="en-GB"/>
        </w:rPr>
        <w:t xml:space="preserve"> were</w:t>
      </w:r>
      <w:r>
        <w:rPr>
          <w:rFonts w:ascii="Times New Roman" w:hAnsi="Times New Roman"/>
          <w:sz w:val="24"/>
          <w:szCs w:val="24"/>
          <w:highlight w:val="yellow"/>
        </w:rPr>
        <w:t xml:space="preserve"> stored at -20˚C for biochemical determinations such as liver function test, kidney function test, and lipid profile </w:t>
      </w:r>
      <w:r>
        <w:rPr>
          <w:rFonts w:hint="default" w:ascii="Times New Roman" w:hAnsi="Times New Roman"/>
          <w:sz w:val="24"/>
          <w:szCs w:val="24"/>
          <w:highlight w:val="yellow"/>
          <w:lang w:val="en-GB"/>
        </w:rPr>
        <w:t>parameters.</w:t>
      </w:r>
    </w:p>
    <w:p w14:paraId="3B4A693A">
      <w:pPr>
        <w:spacing w:line="480" w:lineRule="auto"/>
        <w:ind w:firstLine="720"/>
        <w:jc w:val="both"/>
        <w:rPr>
          <w:rFonts w:ascii="Times New Roman" w:hAnsi="Times New Roman"/>
          <w:sz w:val="24"/>
          <w:szCs w:val="24"/>
        </w:rPr>
      </w:pPr>
      <w:r>
        <w:rPr>
          <w:rFonts w:ascii="Times New Roman" w:hAnsi="Times New Roman"/>
          <w:sz w:val="24"/>
          <w:szCs w:val="24"/>
          <w:highlight w:val="yellow"/>
        </w:rPr>
        <w:t>The effects of the extract on some organs were studied. The organs; liver, kidney, spleen, brain, ovary and heart of rats  were  removed surgically and fixed in 10% buffered formalin. The organs were weighed, processed, sectioned and stained using hematoxylin and eosin (H&amp;E) according to standard procedures</w:t>
      </w:r>
      <w:r>
        <w:rPr>
          <w:rFonts w:ascii="Times New Roman" w:hAnsi="Times New Roman"/>
          <w:sz w:val="24"/>
          <w:szCs w:val="24"/>
        </w:rPr>
        <w:t>.</w:t>
      </w:r>
    </w:p>
    <w:p w14:paraId="58A138CE">
      <w:pPr>
        <w:spacing w:after="0" w:line="480" w:lineRule="auto"/>
        <w:jc w:val="both"/>
        <w:rPr>
          <w:rFonts w:ascii="Times New Roman" w:hAnsi="Times New Roman"/>
          <w:b/>
          <w:sz w:val="24"/>
          <w:szCs w:val="24"/>
        </w:rPr>
      </w:pPr>
      <w:r>
        <w:rPr>
          <w:rFonts w:ascii="Times New Roman" w:hAnsi="Times New Roman"/>
          <w:b/>
          <w:sz w:val="24"/>
          <w:szCs w:val="24"/>
        </w:rPr>
        <w:t>2.5 Haematological Analysis</w:t>
      </w:r>
    </w:p>
    <w:p w14:paraId="3543AE9D">
      <w:pPr>
        <w:spacing w:after="0" w:line="480" w:lineRule="auto"/>
        <w:ind w:firstLine="720"/>
        <w:jc w:val="both"/>
        <w:rPr>
          <w:rFonts w:ascii="Times New Roman" w:hAnsi="Times New Roman"/>
          <w:sz w:val="24"/>
          <w:szCs w:val="24"/>
          <w:highlight w:val="yellow"/>
        </w:rPr>
      </w:pPr>
      <w:r>
        <w:rPr>
          <w:rFonts w:ascii="Times New Roman" w:hAnsi="Times New Roman"/>
          <w:sz w:val="24"/>
          <w:szCs w:val="24"/>
          <w:highlight w:val="yellow"/>
        </w:rPr>
        <w:t>Haematology analyser  (Sysmex Haematology-Coagulation Systems®, Model KX-21N, Sysmex Incorporation, Kobe, Japan)</w:t>
      </w:r>
      <w:r>
        <w:rPr>
          <w:rFonts w:hint="default" w:ascii="Times New Roman" w:hAnsi="Times New Roman"/>
          <w:sz w:val="24"/>
          <w:szCs w:val="24"/>
          <w:highlight w:val="yellow"/>
          <w:lang w:val="en-GB"/>
        </w:rPr>
        <w:t xml:space="preserve"> was used to determine various h</w:t>
      </w:r>
      <w:r>
        <w:rPr>
          <w:rFonts w:ascii="Times New Roman" w:hAnsi="Times New Roman"/>
          <w:sz w:val="24"/>
          <w:szCs w:val="24"/>
          <w:highlight w:val="yellow"/>
        </w:rPr>
        <w:t>aematological indices (RBC, HGB, PCV, platelets, WBC and differentials – neutrophils, eosinophils, basophils, lymphocytes and monocytes)</w:t>
      </w:r>
      <w:r>
        <w:rPr>
          <w:rFonts w:hint="default" w:ascii="Times New Roman" w:hAnsi="Times New Roman"/>
          <w:sz w:val="24"/>
          <w:szCs w:val="24"/>
          <w:highlight w:val="yellow"/>
          <w:lang w:val="en-GB"/>
        </w:rPr>
        <w:t xml:space="preserve"> in blood samples stored in EDTA bottles</w:t>
      </w:r>
      <w:r>
        <w:rPr>
          <w:rFonts w:ascii="Times New Roman" w:hAnsi="Times New Roman"/>
          <w:sz w:val="24"/>
          <w:szCs w:val="24"/>
          <w:highlight w:val="yellow"/>
        </w:rPr>
        <w:t xml:space="preserve"> at the University of Uyo Teaching Hospital</w:t>
      </w:r>
      <w:r>
        <w:rPr>
          <w:rFonts w:hint="default" w:ascii="Times New Roman" w:hAnsi="Times New Roman"/>
          <w:sz w:val="24"/>
          <w:szCs w:val="24"/>
          <w:highlight w:val="yellow"/>
          <w:lang w:val="en-GB"/>
        </w:rPr>
        <w:t xml:space="preserve"> </w:t>
      </w:r>
      <w:r>
        <w:rPr>
          <w:rFonts w:ascii="Times New Roman" w:hAnsi="Times New Roman"/>
          <w:sz w:val="24"/>
          <w:szCs w:val="24"/>
          <w:highlight w:val="yellow"/>
        </w:rPr>
        <w:t>according to manufacturer’s protocols. Also, the bleeding and clotting times of each rat were also determined.</w:t>
      </w:r>
    </w:p>
    <w:p w14:paraId="699D0277">
      <w:pPr>
        <w:pStyle w:val="11"/>
        <w:spacing w:before="240" w:line="480" w:lineRule="auto"/>
        <w:ind w:left="0"/>
        <w:jc w:val="both"/>
        <w:rPr>
          <w:b/>
          <w:sz w:val="24"/>
          <w:szCs w:val="24"/>
          <w:highlight w:val="yellow"/>
        </w:rPr>
      </w:pPr>
      <w:r>
        <w:rPr>
          <w:b/>
          <w:sz w:val="24"/>
          <w:szCs w:val="24"/>
        </w:rPr>
        <w:t>2.</w:t>
      </w:r>
      <w:r>
        <w:rPr>
          <w:rFonts w:hint="default"/>
          <w:b/>
          <w:sz w:val="24"/>
          <w:szCs w:val="24"/>
          <w:lang w:val="en-GB"/>
        </w:rPr>
        <w:t>6</w:t>
      </w:r>
      <w:r>
        <w:rPr>
          <w:b/>
          <w:sz w:val="24"/>
          <w:szCs w:val="24"/>
        </w:rPr>
        <w:t xml:space="preserve"> </w:t>
      </w:r>
      <w:r>
        <w:rPr>
          <w:b/>
          <w:sz w:val="24"/>
          <w:szCs w:val="24"/>
          <w:highlight w:val="yellow"/>
        </w:rPr>
        <w:t>Liver Function Test</w:t>
      </w:r>
    </w:p>
    <w:p w14:paraId="6252C82A">
      <w:pPr>
        <w:pStyle w:val="11"/>
        <w:spacing w:line="480" w:lineRule="auto"/>
        <w:ind w:left="0" w:firstLine="602"/>
        <w:jc w:val="both"/>
        <w:rPr>
          <w:b/>
          <w:sz w:val="24"/>
          <w:szCs w:val="24"/>
          <w:highlight w:val="yellow"/>
        </w:rPr>
      </w:pPr>
      <w:r>
        <w:rPr>
          <w:rFonts w:hint="default"/>
          <w:sz w:val="24"/>
          <w:szCs w:val="24"/>
          <w:highlight w:val="yellow"/>
          <w:lang w:val="en-GB"/>
        </w:rPr>
        <w:t xml:space="preserve">Liver function </w:t>
      </w:r>
      <w:r>
        <w:rPr>
          <w:sz w:val="24"/>
          <w:szCs w:val="24"/>
          <w:highlight w:val="yellow"/>
        </w:rPr>
        <w:t>parameters</w:t>
      </w:r>
      <w:r>
        <w:rPr>
          <w:rFonts w:hint="default"/>
          <w:sz w:val="24"/>
          <w:szCs w:val="24"/>
          <w:highlight w:val="yellow"/>
          <w:lang w:val="en-GB"/>
        </w:rPr>
        <w:t xml:space="preserve"> such as a</w:t>
      </w:r>
      <w:r>
        <w:rPr>
          <w:sz w:val="24"/>
          <w:szCs w:val="24"/>
          <w:highlight w:val="yellow"/>
        </w:rPr>
        <w:t xml:space="preserve">spartate aminotransferase (AST), </w:t>
      </w:r>
      <w:r>
        <w:rPr>
          <w:rFonts w:hint="default"/>
          <w:sz w:val="24"/>
          <w:szCs w:val="24"/>
          <w:highlight w:val="yellow"/>
          <w:lang w:val="en-GB"/>
        </w:rPr>
        <w:t>a</w:t>
      </w:r>
      <w:r>
        <w:rPr>
          <w:sz w:val="24"/>
          <w:szCs w:val="24"/>
          <w:highlight w:val="yellow"/>
        </w:rPr>
        <w:t xml:space="preserve">lanine aminotransferase (ALT), </w:t>
      </w:r>
      <w:r>
        <w:rPr>
          <w:rFonts w:hint="default"/>
          <w:sz w:val="24"/>
          <w:szCs w:val="24"/>
          <w:highlight w:val="yellow"/>
          <w:lang w:val="en-GB"/>
        </w:rPr>
        <w:t>t</w:t>
      </w:r>
      <w:r>
        <w:rPr>
          <w:sz w:val="24"/>
          <w:szCs w:val="24"/>
          <w:highlight w:val="yellow"/>
        </w:rPr>
        <w:t xml:space="preserve">otal </w:t>
      </w:r>
      <w:r>
        <w:rPr>
          <w:rFonts w:hint="default"/>
          <w:sz w:val="24"/>
          <w:szCs w:val="24"/>
          <w:highlight w:val="yellow"/>
          <w:lang w:val="en-GB"/>
        </w:rPr>
        <w:t>c</w:t>
      </w:r>
      <w:r>
        <w:rPr>
          <w:sz w:val="24"/>
          <w:szCs w:val="24"/>
          <w:highlight w:val="yellow"/>
        </w:rPr>
        <w:t xml:space="preserve">holesterol, </w:t>
      </w:r>
      <w:r>
        <w:rPr>
          <w:rFonts w:hint="default"/>
          <w:sz w:val="24"/>
          <w:szCs w:val="24"/>
          <w:highlight w:val="yellow"/>
          <w:lang w:val="en-GB"/>
        </w:rPr>
        <w:t>a</w:t>
      </w:r>
      <w:r>
        <w:rPr>
          <w:sz w:val="24"/>
          <w:szCs w:val="24"/>
          <w:highlight w:val="yellow"/>
        </w:rPr>
        <w:t>lkaline phosphatase (ALP), Total plasma protein, Total and combined bilirubin</w:t>
      </w:r>
      <w:r>
        <w:rPr>
          <w:rFonts w:hint="default"/>
          <w:sz w:val="24"/>
          <w:szCs w:val="24"/>
          <w:highlight w:val="yellow"/>
          <w:lang w:val="en-GB"/>
        </w:rPr>
        <w:t xml:space="preserve"> were determined </w:t>
      </w:r>
      <w:r>
        <w:rPr>
          <w:sz w:val="24"/>
          <w:szCs w:val="24"/>
          <w:highlight w:val="yellow"/>
        </w:rPr>
        <w:t>spectrophotometrically using Randox analytical kits according to standard procedures of manufacturer’s protocols (Tietz, 1976) at the Chemical Pathology Department of University of Uyo Teaching Hospital.</w:t>
      </w:r>
    </w:p>
    <w:p w14:paraId="3BA22D1B">
      <w:pPr>
        <w:pStyle w:val="11"/>
        <w:spacing w:line="480" w:lineRule="auto"/>
        <w:ind w:left="0"/>
        <w:jc w:val="both"/>
        <w:rPr>
          <w:b/>
          <w:sz w:val="24"/>
          <w:szCs w:val="24"/>
          <w:highlight w:val="yellow"/>
        </w:rPr>
      </w:pPr>
      <w:r>
        <w:rPr>
          <w:b/>
          <w:sz w:val="24"/>
          <w:szCs w:val="24"/>
          <w:highlight w:val="yellow"/>
        </w:rPr>
        <w:t>2.</w:t>
      </w:r>
      <w:r>
        <w:rPr>
          <w:rFonts w:hint="default"/>
          <w:b/>
          <w:sz w:val="24"/>
          <w:szCs w:val="24"/>
          <w:highlight w:val="yellow"/>
          <w:lang w:val="en-GB"/>
        </w:rPr>
        <w:t>7</w:t>
      </w:r>
      <w:r>
        <w:rPr>
          <w:b/>
          <w:sz w:val="24"/>
          <w:szCs w:val="24"/>
          <w:highlight w:val="yellow"/>
        </w:rPr>
        <w:t xml:space="preserve"> Kidney Function Test</w:t>
      </w:r>
    </w:p>
    <w:p w14:paraId="0DF17D32">
      <w:pPr>
        <w:pStyle w:val="11"/>
        <w:spacing w:line="480" w:lineRule="auto"/>
        <w:ind w:left="0" w:firstLine="720"/>
        <w:jc w:val="both"/>
        <w:rPr>
          <w:sz w:val="24"/>
          <w:szCs w:val="24"/>
          <w:highlight w:val="yellow"/>
        </w:rPr>
      </w:pPr>
      <w:r>
        <w:rPr>
          <w:rFonts w:hint="default"/>
          <w:sz w:val="24"/>
          <w:szCs w:val="24"/>
          <w:highlight w:val="yellow"/>
          <w:lang w:val="en-GB"/>
        </w:rPr>
        <w:t>Kidney function</w:t>
      </w:r>
      <w:r>
        <w:rPr>
          <w:sz w:val="24"/>
          <w:szCs w:val="24"/>
          <w:highlight w:val="yellow"/>
        </w:rPr>
        <w:t xml:space="preserve"> parameters were determined as markers of kidney function using diagnostic kits at the Chemical Pathology Department of University of Uyo Teaching Hospital; Levels of electrolytes ( Na, K, Cl, and HCO</w:t>
      </w:r>
      <w:r>
        <w:rPr>
          <w:sz w:val="24"/>
          <w:szCs w:val="24"/>
          <w:highlight w:val="yellow"/>
          <w:vertAlign w:val="subscript"/>
        </w:rPr>
        <w:t xml:space="preserve">3 </w:t>
      </w:r>
      <w:r>
        <w:rPr>
          <w:sz w:val="24"/>
          <w:szCs w:val="24"/>
          <w:highlight w:val="yellow"/>
        </w:rPr>
        <w:t>), creatinine, and urea.</w:t>
      </w:r>
    </w:p>
    <w:p w14:paraId="62D86788">
      <w:pPr>
        <w:pStyle w:val="11"/>
        <w:spacing w:line="240" w:lineRule="auto"/>
        <w:ind w:hanging="720"/>
        <w:jc w:val="both"/>
        <w:rPr>
          <w:rFonts w:hint="default"/>
          <w:b/>
          <w:sz w:val="24"/>
          <w:szCs w:val="24"/>
          <w:highlight w:val="yellow"/>
          <w:lang w:val="en-GB"/>
        </w:rPr>
      </w:pPr>
      <w:r>
        <w:rPr>
          <w:b/>
          <w:sz w:val="24"/>
          <w:szCs w:val="24"/>
          <w:highlight w:val="yellow"/>
        </w:rPr>
        <w:t>2.</w:t>
      </w:r>
      <w:r>
        <w:rPr>
          <w:rFonts w:hint="default"/>
          <w:b/>
          <w:sz w:val="24"/>
          <w:szCs w:val="24"/>
          <w:highlight w:val="yellow"/>
          <w:lang w:val="en-GB"/>
        </w:rPr>
        <w:t>8</w:t>
      </w:r>
      <w:r>
        <w:rPr>
          <w:b/>
          <w:sz w:val="24"/>
          <w:szCs w:val="24"/>
          <w:highlight w:val="yellow"/>
        </w:rPr>
        <w:t xml:space="preserve"> </w:t>
      </w:r>
      <w:r>
        <w:rPr>
          <w:rFonts w:hint="default"/>
          <w:b/>
          <w:sz w:val="24"/>
          <w:szCs w:val="24"/>
          <w:highlight w:val="yellow"/>
          <w:lang w:val="en-GB"/>
        </w:rPr>
        <w:t>Effect on Lipid profile indices</w:t>
      </w:r>
    </w:p>
    <w:p w14:paraId="1331E39B">
      <w:pPr>
        <w:spacing w:before="240" w:after="240" w:line="480" w:lineRule="auto"/>
        <w:jc w:val="both"/>
        <w:rPr>
          <w:rFonts w:ascii="Times New Roman" w:hAnsi="Times New Roman"/>
          <w:sz w:val="24"/>
          <w:szCs w:val="24"/>
          <w:highlight w:val="yellow"/>
        </w:rPr>
      </w:pPr>
      <w:r>
        <w:rPr>
          <w:rFonts w:hint="default" w:ascii="Times New Roman" w:hAnsi="Times New Roman"/>
          <w:sz w:val="24"/>
          <w:szCs w:val="24"/>
          <w:highlight w:val="yellow"/>
          <w:lang w:val="en-GB"/>
        </w:rPr>
        <w:t>The various lipid profile indices such as s</w:t>
      </w:r>
      <w:r>
        <w:rPr>
          <w:rFonts w:ascii="Times New Roman" w:hAnsi="Times New Roman"/>
          <w:sz w:val="24"/>
          <w:szCs w:val="24"/>
          <w:highlight w:val="yellow"/>
        </w:rPr>
        <w:t>erum cholesterol, triglyceride and high density lipoprotein (HDL) levels of the treated rats were  enzymatic</w:t>
      </w:r>
      <w:r>
        <w:rPr>
          <w:rFonts w:hint="default" w:ascii="Times New Roman" w:hAnsi="Times New Roman"/>
          <w:sz w:val="24"/>
          <w:szCs w:val="24"/>
          <w:highlight w:val="yellow"/>
          <w:lang w:val="en-GB"/>
        </w:rPr>
        <w:t>ally measured</w:t>
      </w:r>
      <w:r>
        <w:rPr>
          <w:rFonts w:ascii="Times New Roman" w:hAnsi="Times New Roman"/>
          <w:sz w:val="24"/>
          <w:szCs w:val="24"/>
          <w:highlight w:val="yellow"/>
        </w:rPr>
        <w:t xml:space="preserve"> colorimetric</w:t>
      </w:r>
      <w:r>
        <w:rPr>
          <w:rFonts w:hint="default" w:ascii="Times New Roman" w:hAnsi="Times New Roman"/>
          <w:sz w:val="24"/>
          <w:szCs w:val="24"/>
          <w:highlight w:val="yellow"/>
          <w:lang w:val="en-GB"/>
        </w:rPr>
        <w:t>ally</w:t>
      </w:r>
      <w:r>
        <w:rPr>
          <w:rFonts w:ascii="Times New Roman" w:hAnsi="Times New Roman"/>
          <w:sz w:val="24"/>
          <w:szCs w:val="24"/>
          <w:highlight w:val="yellow"/>
        </w:rPr>
        <w:t xml:space="preserve"> using Randox diagnostic kits. </w:t>
      </w:r>
      <w:r>
        <w:rPr>
          <w:rFonts w:hint="default" w:ascii="Times New Roman" w:hAnsi="Times New Roman"/>
          <w:sz w:val="24"/>
          <w:szCs w:val="24"/>
          <w:highlight w:val="yellow"/>
          <w:lang w:val="en-GB"/>
        </w:rPr>
        <w:t xml:space="preserve">While the </w:t>
      </w:r>
      <w:r>
        <w:rPr>
          <w:rFonts w:ascii="Times New Roman" w:hAnsi="Times New Roman"/>
          <w:sz w:val="24"/>
          <w:szCs w:val="24"/>
          <w:highlight w:val="yellow"/>
        </w:rPr>
        <w:t xml:space="preserve"> low and very low-density lipoprotein (LDL and VLDL) levels were estimated from the formula of Friedwald </w:t>
      </w:r>
      <w:r>
        <w:rPr>
          <w:rFonts w:ascii="Times New Roman" w:hAnsi="Times New Roman"/>
          <w:iCs/>
          <w:sz w:val="24"/>
          <w:szCs w:val="24"/>
          <w:highlight w:val="yellow"/>
        </w:rPr>
        <w:t>et al.</w:t>
      </w:r>
      <w:r>
        <w:rPr>
          <w:rFonts w:ascii="Times New Roman" w:hAnsi="Times New Roman"/>
          <w:i/>
          <w:sz w:val="24"/>
          <w:szCs w:val="24"/>
          <w:highlight w:val="yellow"/>
        </w:rPr>
        <w:t>,</w:t>
      </w:r>
      <w:r>
        <w:rPr>
          <w:rFonts w:ascii="Times New Roman" w:hAnsi="Times New Roman"/>
          <w:sz w:val="24"/>
          <w:szCs w:val="24"/>
          <w:highlight w:val="yellow"/>
        </w:rPr>
        <w:t xml:space="preserve"> 1972) .</w:t>
      </w:r>
    </w:p>
    <w:p w14:paraId="29FB772C">
      <w:pPr>
        <w:spacing w:line="480" w:lineRule="auto"/>
        <w:jc w:val="both"/>
        <w:rPr>
          <w:rFonts w:ascii="Times New Roman" w:hAnsi="Times New Roman"/>
          <w:b/>
          <w:sz w:val="24"/>
          <w:szCs w:val="24"/>
        </w:rPr>
      </w:pPr>
      <w:r>
        <w:rPr>
          <w:rFonts w:ascii="Times New Roman" w:hAnsi="Times New Roman"/>
          <w:b/>
          <w:sz w:val="24"/>
          <w:szCs w:val="24"/>
        </w:rPr>
        <w:t>2.10 Histopathological Examination</w:t>
      </w:r>
    </w:p>
    <w:p w14:paraId="082CE27B">
      <w:pPr>
        <w:spacing w:line="480" w:lineRule="auto"/>
        <w:ind w:firstLine="660"/>
        <w:jc w:val="both"/>
        <w:rPr>
          <w:rFonts w:ascii="Times New Roman" w:hAnsi="Times New Roman"/>
          <w:sz w:val="24"/>
          <w:szCs w:val="24"/>
          <w:highlight w:val="yellow"/>
        </w:rPr>
      </w:pPr>
      <w:r>
        <w:rPr>
          <w:rFonts w:ascii="Times New Roman" w:hAnsi="Times New Roman"/>
          <w:sz w:val="24"/>
          <w:szCs w:val="24"/>
          <w:highlight w:val="yellow"/>
        </w:rPr>
        <w:t>The kidneys, livers, pancreas, hearts, brains and spleens of each</w:t>
      </w:r>
      <w:r>
        <w:rPr>
          <w:rFonts w:hint="default" w:ascii="Times New Roman" w:hAnsi="Times New Roman"/>
          <w:sz w:val="24"/>
          <w:szCs w:val="24"/>
          <w:highlight w:val="yellow"/>
          <w:lang w:val="en-GB"/>
        </w:rPr>
        <w:t xml:space="preserve"> extract treated rat</w:t>
      </w:r>
      <w:r>
        <w:rPr>
          <w:rFonts w:ascii="Times New Roman" w:hAnsi="Times New Roman"/>
          <w:sz w:val="24"/>
          <w:szCs w:val="24"/>
          <w:highlight w:val="yellow"/>
        </w:rPr>
        <w:t xml:space="preserve"> animal </w:t>
      </w:r>
      <w:r>
        <w:rPr>
          <w:rFonts w:hint="default" w:ascii="Times New Roman" w:hAnsi="Times New Roman"/>
          <w:sz w:val="24"/>
          <w:szCs w:val="24"/>
          <w:highlight w:val="yellow"/>
          <w:lang w:val="en-GB"/>
        </w:rPr>
        <w:t xml:space="preserve">were </w:t>
      </w:r>
      <w:r>
        <w:rPr>
          <w:rFonts w:ascii="Times New Roman" w:hAnsi="Times New Roman"/>
          <w:sz w:val="24"/>
          <w:szCs w:val="24"/>
          <w:highlight w:val="yellow"/>
        </w:rPr>
        <w:t xml:space="preserve">harvested and fixed in </w:t>
      </w:r>
      <w:r>
        <w:rPr>
          <w:rFonts w:hint="default" w:ascii="Times New Roman" w:hAnsi="Times New Roman"/>
          <w:sz w:val="24"/>
          <w:szCs w:val="24"/>
          <w:highlight w:val="yellow"/>
          <w:lang w:val="en-GB"/>
        </w:rPr>
        <w:t>10%</w:t>
      </w:r>
      <w:r>
        <w:rPr>
          <w:rFonts w:ascii="Times New Roman" w:hAnsi="Times New Roman"/>
          <w:sz w:val="24"/>
          <w:szCs w:val="24"/>
          <w:highlight w:val="yellow"/>
        </w:rPr>
        <w:t xml:space="preserve"> formalin. </w:t>
      </w:r>
      <w:r>
        <w:rPr>
          <w:rFonts w:hint="default" w:ascii="Times New Roman" w:hAnsi="Times New Roman"/>
          <w:sz w:val="24"/>
          <w:szCs w:val="24"/>
          <w:highlight w:val="yellow"/>
          <w:lang w:val="en-GB"/>
        </w:rPr>
        <w:t>Processing</w:t>
      </w:r>
      <w:r>
        <w:rPr>
          <w:rFonts w:ascii="Times New Roman" w:hAnsi="Times New Roman"/>
          <w:sz w:val="24"/>
          <w:szCs w:val="24"/>
          <w:highlight w:val="yellow"/>
        </w:rPr>
        <w:t xml:space="preserve"> and stain</w:t>
      </w:r>
      <w:r>
        <w:rPr>
          <w:rFonts w:hint="default" w:ascii="Times New Roman" w:hAnsi="Times New Roman"/>
          <w:sz w:val="24"/>
          <w:szCs w:val="24"/>
          <w:highlight w:val="yellow"/>
          <w:lang w:val="en-GB"/>
        </w:rPr>
        <w:t>ing of the organs</w:t>
      </w:r>
      <w:r>
        <w:rPr>
          <w:rFonts w:ascii="Times New Roman" w:hAnsi="Times New Roman"/>
          <w:sz w:val="24"/>
          <w:szCs w:val="24"/>
          <w:highlight w:val="yellow"/>
        </w:rPr>
        <w:t xml:space="preserve"> with haematotoxylin and eosin (H&amp;E)  according to standard procedures </w:t>
      </w:r>
      <w:r>
        <w:rPr>
          <w:rFonts w:hint="default" w:ascii="Times New Roman" w:hAnsi="Times New Roman"/>
          <w:sz w:val="24"/>
          <w:szCs w:val="24"/>
          <w:highlight w:val="yellow"/>
          <w:lang w:val="en-GB"/>
        </w:rPr>
        <w:t xml:space="preserve"> were carried out </w:t>
      </w:r>
      <w:r>
        <w:rPr>
          <w:rFonts w:ascii="Times New Roman" w:hAnsi="Times New Roman"/>
          <w:sz w:val="24"/>
          <w:szCs w:val="24"/>
          <w:highlight w:val="yellow"/>
        </w:rPr>
        <w:t>at Department of Chemical Pathology, University of Uyo Teaching Hospital, Uyo.</w:t>
      </w:r>
      <w:r>
        <w:rPr>
          <w:rFonts w:hint="default" w:ascii="Times New Roman" w:hAnsi="Times New Roman"/>
          <w:sz w:val="24"/>
          <w:szCs w:val="24"/>
          <w:highlight w:val="yellow"/>
          <w:lang w:val="en-GB"/>
        </w:rPr>
        <w:t xml:space="preserve"> </w:t>
      </w:r>
      <w:r>
        <w:rPr>
          <w:rFonts w:ascii="Times New Roman" w:hAnsi="Times New Roman"/>
          <w:sz w:val="24"/>
          <w:szCs w:val="24"/>
          <w:highlight w:val="yellow"/>
        </w:rPr>
        <w:t xml:space="preserve">Morphological </w:t>
      </w:r>
      <w:r>
        <w:rPr>
          <w:rFonts w:hint="default" w:ascii="Times New Roman" w:hAnsi="Times New Roman"/>
          <w:sz w:val="24"/>
          <w:szCs w:val="24"/>
          <w:highlight w:val="yellow"/>
          <w:lang w:val="en-GB"/>
        </w:rPr>
        <w:t>alteration</w:t>
      </w:r>
      <w:r>
        <w:rPr>
          <w:rFonts w:ascii="Times New Roman" w:hAnsi="Times New Roman"/>
          <w:sz w:val="24"/>
          <w:szCs w:val="24"/>
          <w:highlight w:val="yellow"/>
        </w:rPr>
        <w:t xml:space="preserve"> were observed and recorded in the excised organs of the sacrificed animals. Histologic pictures were taken as micrographs.</w:t>
      </w:r>
    </w:p>
    <w:p w14:paraId="7643F061">
      <w:pPr>
        <w:spacing w:after="0" w:line="480" w:lineRule="auto"/>
        <w:jc w:val="both"/>
        <w:rPr>
          <w:rFonts w:ascii="Times New Roman" w:hAnsi="Times New Roman"/>
          <w:b/>
          <w:sz w:val="24"/>
          <w:szCs w:val="24"/>
        </w:rPr>
      </w:pPr>
      <w:r>
        <w:rPr>
          <w:rFonts w:ascii="Times New Roman" w:hAnsi="Times New Roman"/>
          <w:b/>
          <w:sz w:val="24"/>
          <w:szCs w:val="24"/>
        </w:rPr>
        <w:t xml:space="preserve">2.11 Statistical Analysis </w:t>
      </w:r>
    </w:p>
    <w:p w14:paraId="341B5FE2">
      <w:pPr>
        <w:spacing w:after="0" w:line="480" w:lineRule="auto"/>
        <w:ind w:firstLine="720"/>
        <w:jc w:val="both"/>
        <w:rPr>
          <w:rFonts w:ascii="Times New Roman" w:hAnsi="Times New Roman"/>
          <w:sz w:val="24"/>
          <w:szCs w:val="24"/>
        </w:rPr>
      </w:pPr>
      <w:r>
        <w:rPr>
          <w:rFonts w:ascii="Times New Roman" w:hAnsi="Times New Roman"/>
          <w:sz w:val="24"/>
          <w:szCs w:val="24"/>
        </w:rPr>
        <w:t xml:space="preserve">Data </w:t>
      </w:r>
      <w:r>
        <w:rPr>
          <w:rFonts w:hint="default" w:ascii="Times New Roman" w:hAnsi="Times New Roman"/>
          <w:sz w:val="24"/>
          <w:szCs w:val="24"/>
          <w:lang w:val="en-GB"/>
        </w:rPr>
        <w:t>gotten</w:t>
      </w:r>
      <w:r>
        <w:rPr>
          <w:rFonts w:ascii="Times New Roman" w:hAnsi="Times New Roman"/>
          <w:sz w:val="24"/>
          <w:szCs w:val="24"/>
        </w:rPr>
        <w:t xml:space="preserve"> from this </w:t>
      </w:r>
      <w:r>
        <w:rPr>
          <w:rFonts w:hint="default" w:ascii="Times New Roman" w:hAnsi="Times New Roman"/>
          <w:sz w:val="24"/>
          <w:szCs w:val="24"/>
          <w:lang w:val="en-GB"/>
        </w:rPr>
        <w:t>experiment</w:t>
      </w:r>
      <w:r>
        <w:rPr>
          <w:rFonts w:ascii="Times New Roman" w:hAnsi="Times New Roman"/>
          <w:sz w:val="24"/>
          <w:szCs w:val="24"/>
        </w:rPr>
        <w:t xml:space="preserve"> were analy</w:t>
      </w:r>
      <w:r>
        <w:rPr>
          <w:rFonts w:hint="default" w:ascii="Times New Roman" w:hAnsi="Times New Roman"/>
          <w:sz w:val="24"/>
          <w:szCs w:val="24"/>
          <w:lang w:val="en-GB"/>
        </w:rPr>
        <w:t>z</w:t>
      </w:r>
      <w:r>
        <w:rPr>
          <w:rFonts w:ascii="Times New Roman" w:hAnsi="Times New Roman"/>
          <w:sz w:val="24"/>
          <w:szCs w:val="24"/>
        </w:rPr>
        <w:t xml:space="preserve">ed statistically using Instat Graphpad (California, USA). ANOVA (one –way) followed by a post test (Tukey-Kramer multiple comparison test) were employed in the analysis. Differences between means were considered significant at 5%  level of significance ie p≤ 0.05 </w:t>
      </w:r>
    </w:p>
    <w:p w14:paraId="5497D5AF">
      <w:pPr>
        <w:numPr>
          <w:ilvl w:val="0"/>
          <w:numId w:val="1"/>
        </w:numPr>
        <w:spacing w:after="0" w:line="480" w:lineRule="auto"/>
        <w:rPr>
          <w:rFonts w:ascii="Times New Roman" w:hAnsi="Times New Roman"/>
          <w:b/>
          <w:sz w:val="24"/>
          <w:szCs w:val="24"/>
        </w:rPr>
      </w:pPr>
      <w:r>
        <w:rPr>
          <w:rFonts w:ascii="Times New Roman" w:hAnsi="Times New Roman"/>
          <w:b/>
          <w:sz w:val="24"/>
          <w:szCs w:val="24"/>
        </w:rPr>
        <w:t xml:space="preserve">RESULTS </w:t>
      </w:r>
    </w:p>
    <w:p w14:paraId="6752A459">
      <w:pPr>
        <w:spacing w:after="0" w:line="480" w:lineRule="auto"/>
        <w:ind w:right="-1"/>
        <w:jc w:val="both"/>
        <w:rPr>
          <w:rFonts w:ascii="Times New Roman" w:hAnsi="Times New Roman"/>
          <w:b/>
          <w:sz w:val="24"/>
          <w:szCs w:val="24"/>
        </w:rPr>
      </w:pPr>
      <w:r>
        <w:rPr>
          <w:rFonts w:ascii="Times New Roman" w:hAnsi="Times New Roman"/>
          <w:b/>
          <w:sz w:val="24"/>
          <w:szCs w:val="24"/>
        </w:rPr>
        <w:t>3.1 Body weight</w:t>
      </w:r>
    </w:p>
    <w:p w14:paraId="0A105A05">
      <w:pPr>
        <w:spacing w:after="0" w:line="480" w:lineRule="auto"/>
        <w:ind w:right="-1" w:firstLine="720"/>
        <w:jc w:val="both"/>
        <w:rPr>
          <w:rFonts w:ascii="Times New Roman" w:hAnsi="Times New Roman"/>
          <w:sz w:val="24"/>
          <w:szCs w:val="24"/>
          <w:highlight w:val="yellow"/>
        </w:rPr>
      </w:pPr>
      <w:r>
        <w:rPr>
          <w:rFonts w:ascii="Times New Roman" w:hAnsi="Times New Roman"/>
          <w:sz w:val="24"/>
          <w:szCs w:val="24"/>
          <w:highlight w:val="yellow"/>
        </w:rPr>
        <w:t xml:space="preserve">The effect of the extract on body weights of  female rats treated chronically with  </w:t>
      </w:r>
      <w:r>
        <w:rPr>
          <w:rFonts w:ascii="Times New Roman" w:hAnsi="Times New Roman"/>
          <w:i/>
          <w:sz w:val="24"/>
          <w:szCs w:val="24"/>
          <w:highlight w:val="yellow"/>
        </w:rPr>
        <w:t>Zea mays</w:t>
      </w:r>
      <w:r>
        <w:rPr>
          <w:rFonts w:ascii="Times New Roman" w:hAnsi="Times New Roman"/>
          <w:sz w:val="24"/>
          <w:szCs w:val="24"/>
          <w:highlight w:val="yellow"/>
        </w:rPr>
        <w:t xml:space="preserve"> husk extract for 100 days is shown in Table 1 . The extract administration produced a non dose-dependent </w:t>
      </w:r>
      <w:r>
        <w:rPr>
          <w:rFonts w:hint="default" w:ascii="Times New Roman" w:hAnsi="Times New Roman"/>
          <w:sz w:val="24"/>
          <w:szCs w:val="24"/>
          <w:highlight w:val="yellow"/>
          <w:lang w:val="en-GB"/>
        </w:rPr>
        <w:t>elevations</w:t>
      </w:r>
      <w:r>
        <w:rPr>
          <w:rFonts w:ascii="Times New Roman" w:hAnsi="Times New Roman"/>
          <w:sz w:val="24"/>
          <w:szCs w:val="24"/>
          <w:highlight w:val="yellow"/>
        </w:rPr>
        <w:t xml:space="preserve"> in body weights of  female rats </w:t>
      </w:r>
      <w:r>
        <w:rPr>
          <w:rFonts w:hint="default" w:ascii="Times New Roman" w:hAnsi="Times New Roman"/>
          <w:sz w:val="24"/>
          <w:szCs w:val="24"/>
          <w:highlight w:val="yellow"/>
          <w:lang w:val="en-GB"/>
        </w:rPr>
        <w:t>and</w:t>
      </w:r>
      <w:r>
        <w:rPr>
          <w:rFonts w:ascii="Times New Roman" w:hAnsi="Times New Roman"/>
          <w:sz w:val="24"/>
          <w:szCs w:val="24"/>
          <w:highlight w:val="yellow"/>
        </w:rPr>
        <w:t xml:space="preserve"> the highest dose (561 mg/kg) produc</w:t>
      </w:r>
      <w:r>
        <w:rPr>
          <w:rFonts w:hint="default" w:ascii="Times New Roman" w:hAnsi="Times New Roman"/>
          <w:sz w:val="24"/>
          <w:szCs w:val="24"/>
          <w:highlight w:val="yellow"/>
          <w:lang w:val="en-GB"/>
        </w:rPr>
        <w:t>ed</w:t>
      </w:r>
      <w:r>
        <w:rPr>
          <w:rFonts w:ascii="Times New Roman" w:hAnsi="Times New Roman"/>
          <w:sz w:val="24"/>
          <w:szCs w:val="24"/>
          <w:highlight w:val="yellow"/>
        </w:rPr>
        <w:t xml:space="preserve"> the most significant (p&lt;0.001) weight gain </w:t>
      </w:r>
      <w:r>
        <w:rPr>
          <w:rFonts w:hint="default" w:ascii="Times New Roman" w:hAnsi="Times New Roman"/>
          <w:sz w:val="24"/>
          <w:szCs w:val="24"/>
          <w:highlight w:val="yellow"/>
          <w:lang w:val="en-GB"/>
        </w:rPr>
        <w:t>relative</w:t>
      </w:r>
      <w:r>
        <w:rPr>
          <w:rFonts w:ascii="Times New Roman" w:hAnsi="Times New Roman"/>
          <w:sz w:val="24"/>
          <w:szCs w:val="24"/>
          <w:highlight w:val="yellow"/>
        </w:rPr>
        <w:t xml:space="preserve"> to control statistically</w:t>
      </w:r>
      <w:r>
        <w:rPr>
          <w:rFonts w:ascii="Times New Roman" w:hAnsi="Times New Roman"/>
          <w:color w:val="0000FF"/>
          <w:sz w:val="24"/>
          <w:szCs w:val="24"/>
          <w:highlight w:val="yellow"/>
        </w:rPr>
        <w:t>.</w:t>
      </w:r>
      <w:r>
        <w:rPr>
          <w:rFonts w:ascii="Times New Roman" w:hAnsi="Times New Roman"/>
          <w:sz w:val="24"/>
          <w:szCs w:val="24"/>
          <w:highlight w:val="yellow"/>
        </w:rPr>
        <w:t xml:space="preserve"> </w:t>
      </w:r>
    </w:p>
    <w:p w14:paraId="6565C8D2">
      <w:pPr>
        <w:spacing w:before="240" w:after="0" w:line="240" w:lineRule="auto"/>
        <w:ind w:right="-1"/>
        <w:jc w:val="both"/>
        <w:rPr>
          <w:rFonts w:ascii="Times New Roman" w:hAnsi="Times New Roman"/>
          <w:b/>
          <w:bCs/>
          <w:sz w:val="24"/>
          <w:szCs w:val="24"/>
          <w:highlight w:val="yellow"/>
        </w:rPr>
      </w:pPr>
      <w:r>
        <w:rPr>
          <w:rFonts w:ascii="Times New Roman" w:hAnsi="Times New Roman"/>
          <w:b/>
          <w:bCs/>
          <w:sz w:val="24"/>
          <w:szCs w:val="24"/>
          <w:highlight w:val="yellow"/>
        </w:rPr>
        <w:t>3.2 Effect of extract on organs weights</w:t>
      </w:r>
    </w:p>
    <w:p w14:paraId="4184848F">
      <w:pPr>
        <w:spacing w:before="240" w:after="0" w:line="480" w:lineRule="auto"/>
        <w:ind w:firstLine="720"/>
        <w:jc w:val="both"/>
        <w:rPr>
          <w:rFonts w:ascii="Times New Roman" w:hAnsi="Times New Roman"/>
          <w:sz w:val="24"/>
          <w:szCs w:val="24"/>
          <w:highlight w:val="yellow"/>
        </w:rPr>
      </w:pPr>
      <w:r>
        <w:rPr>
          <w:rFonts w:hint="default" w:ascii="Times New Roman" w:hAnsi="Times New Roman"/>
          <w:sz w:val="24"/>
          <w:szCs w:val="24"/>
          <w:highlight w:val="yellow"/>
          <w:lang w:val="en-GB"/>
        </w:rPr>
        <w:t xml:space="preserve">Treatment of </w:t>
      </w:r>
      <w:r>
        <w:rPr>
          <w:rFonts w:ascii="Times New Roman" w:hAnsi="Times New Roman"/>
          <w:sz w:val="24"/>
          <w:szCs w:val="24"/>
          <w:highlight w:val="yellow"/>
        </w:rPr>
        <w:t>female rats for 100 days</w:t>
      </w:r>
      <w:r>
        <w:rPr>
          <w:rFonts w:hint="default" w:ascii="Times New Roman" w:hAnsi="Times New Roman"/>
          <w:sz w:val="24"/>
          <w:szCs w:val="24"/>
          <w:highlight w:val="yellow"/>
          <w:lang w:val="en-GB"/>
        </w:rPr>
        <w:t xml:space="preserve"> with</w:t>
      </w:r>
      <w:r>
        <w:rPr>
          <w:rFonts w:ascii="Times New Roman" w:hAnsi="Times New Roman"/>
          <w:sz w:val="24"/>
          <w:szCs w:val="24"/>
          <w:highlight w:val="yellow"/>
        </w:rPr>
        <w:t xml:space="preserve">  </w:t>
      </w:r>
      <w:r>
        <w:rPr>
          <w:rFonts w:ascii="Times New Roman" w:hAnsi="Times New Roman"/>
          <w:i/>
          <w:iCs/>
          <w:sz w:val="24"/>
          <w:szCs w:val="24"/>
          <w:highlight w:val="yellow"/>
        </w:rPr>
        <w:t xml:space="preserve">Zea mays </w:t>
      </w:r>
      <w:r>
        <w:rPr>
          <w:rFonts w:ascii="Times New Roman" w:hAnsi="Times New Roman"/>
          <w:sz w:val="24"/>
          <w:szCs w:val="24"/>
          <w:highlight w:val="yellow"/>
        </w:rPr>
        <w:t xml:space="preserve">husk extract (187-561 mg/kg)    did not </w:t>
      </w:r>
      <w:r>
        <w:rPr>
          <w:rFonts w:hint="default" w:ascii="Times New Roman" w:hAnsi="Times New Roman"/>
          <w:sz w:val="24"/>
          <w:szCs w:val="24"/>
          <w:highlight w:val="yellow"/>
          <w:lang w:val="en-GB"/>
        </w:rPr>
        <w:t>produce</w:t>
      </w:r>
      <w:r>
        <w:rPr>
          <w:rFonts w:ascii="Times New Roman" w:hAnsi="Times New Roman"/>
          <w:sz w:val="24"/>
          <w:szCs w:val="24"/>
          <w:highlight w:val="yellow"/>
        </w:rPr>
        <w:t xml:space="preserve"> any significant (p&gt;0.05) effect on the weights of heart, brain, liver, kidney, spleen, pancreas and ovary of the animals </w:t>
      </w:r>
      <w:r>
        <w:rPr>
          <w:rFonts w:hint="default" w:ascii="Times New Roman" w:hAnsi="Times New Roman"/>
          <w:sz w:val="24"/>
          <w:szCs w:val="24"/>
          <w:highlight w:val="yellow"/>
          <w:lang w:val="en-GB"/>
        </w:rPr>
        <w:t>relative</w:t>
      </w:r>
      <w:r>
        <w:rPr>
          <w:rFonts w:ascii="Times New Roman" w:hAnsi="Times New Roman"/>
          <w:sz w:val="24"/>
          <w:szCs w:val="24"/>
          <w:highlight w:val="yellow"/>
        </w:rPr>
        <w:t xml:space="preserve"> to control statistically (Table 2 ).</w:t>
      </w:r>
    </w:p>
    <w:p w14:paraId="2432B5B9">
      <w:pPr>
        <w:spacing w:after="0" w:line="480" w:lineRule="auto"/>
        <w:jc w:val="both"/>
        <w:rPr>
          <w:rFonts w:ascii="Times New Roman" w:hAnsi="Times New Roman"/>
          <w:b/>
          <w:color w:val="000000"/>
          <w:sz w:val="24"/>
          <w:szCs w:val="24"/>
          <w:highlight w:val="yellow"/>
        </w:rPr>
      </w:pPr>
      <w:r>
        <w:rPr>
          <w:rFonts w:ascii="Times New Roman" w:hAnsi="Times New Roman"/>
          <w:b/>
          <w:color w:val="000000"/>
          <w:sz w:val="24"/>
          <w:szCs w:val="24"/>
          <w:highlight w:val="yellow"/>
        </w:rPr>
        <w:t>3.3 Effect on haematological parameters</w:t>
      </w:r>
    </w:p>
    <w:p w14:paraId="776A2B53">
      <w:pPr>
        <w:spacing w:after="0" w:line="480" w:lineRule="auto"/>
        <w:ind w:firstLine="720"/>
        <w:jc w:val="both"/>
        <w:rPr>
          <w:rFonts w:ascii="Times New Roman" w:hAnsi="Times New Roman"/>
          <w:color w:val="000000"/>
          <w:sz w:val="24"/>
          <w:szCs w:val="24"/>
          <w:highlight w:val="yellow"/>
        </w:rPr>
      </w:pPr>
      <w:r>
        <w:rPr>
          <w:rFonts w:ascii="Times New Roman" w:hAnsi="Times New Roman"/>
          <w:color w:val="000000"/>
          <w:sz w:val="24"/>
          <w:szCs w:val="24"/>
          <w:highlight w:val="yellow"/>
        </w:rPr>
        <w:t xml:space="preserve">The results of the effect of chronic </w:t>
      </w:r>
      <w:r>
        <w:rPr>
          <w:rFonts w:hint="default" w:ascii="Times New Roman" w:hAnsi="Times New Roman"/>
          <w:color w:val="000000"/>
          <w:sz w:val="24"/>
          <w:szCs w:val="24"/>
          <w:highlight w:val="yellow"/>
          <w:lang w:val="en-GB"/>
        </w:rPr>
        <w:t>treatment</w:t>
      </w:r>
      <w:r>
        <w:rPr>
          <w:rFonts w:ascii="Times New Roman" w:hAnsi="Times New Roman"/>
          <w:color w:val="000000"/>
          <w:sz w:val="24"/>
          <w:szCs w:val="24"/>
          <w:highlight w:val="yellow"/>
        </w:rPr>
        <w:t xml:space="preserve"> </w:t>
      </w:r>
      <w:r>
        <w:rPr>
          <w:rFonts w:hint="default" w:ascii="Times New Roman" w:hAnsi="Times New Roman"/>
          <w:color w:val="000000"/>
          <w:sz w:val="24"/>
          <w:szCs w:val="24"/>
          <w:highlight w:val="yellow"/>
          <w:lang w:val="en-GB"/>
        </w:rPr>
        <w:t xml:space="preserve">with </w:t>
      </w:r>
      <w:r>
        <w:rPr>
          <w:rFonts w:ascii="Times New Roman" w:hAnsi="Times New Roman"/>
          <w:i/>
          <w:color w:val="000000"/>
          <w:sz w:val="24"/>
          <w:szCs w:val="24"/>
          <w:highlight w:val="yellow"/>
        </w:rPr>
        <w:t>Zea mays</w:t>
      </w:r>
      <w:r>
        <w:rPr>
          <w:rFonts w:ascii="Times New Roman" w:hAnsi="Times New Roman"/>
          <w:color w:val="000000"/>
          <w:sz w:val="24"/>
          <w:szCs w:val="24"/>
          <w:highlight w:val="yellow"/>
        </w:rPr>
        <w:t xml:space="preserve"> </w:t>
      </w:r>
      <w:r>
        <w:rPr>
          <w:rFonts w:hint="default" w:ascii="Times New Roman" w:hAnsi="Times New Roman"/>
          <w:color w:val="000000"/>
          <w:sz w:val="24"/>
          <w:szCs w:val="24"/>
          <w:highlight w:val="yellow"/>
          <w:lang w:val="en-GB"/>
        </w:rPr>
        <w:t xml:space="preserve">husk extract </w:t>
      </w:r>
      <w:r>
        <w:rPr>
          <w:rFonts w:ascii="Times New Roman" w:hAnsi="Times New Roman"/>
          <w:color w:val="000000"/>
          <w:sz w:val="24"/>
          <w:szCs w:val="24"/>
          <w:highlight w:val="yellow"/>
        </w:rPr>
        <w:t xml:space="preserve">on haematological parameters of  female rats are shown in Table 3. Chronic </w:t>
      </w:r>
      <w:r>
        <w:rPr>
          <w:rFonts w:hint="default" w:ascii="Times New Roman" w:hAnsi="Times New Roman"/>
          <w:color w:val="000000"/>
          <w:sz w:val="24"/>
          <w:szCs w:val="24"/>
          <w:highlight w:val="yellow"/>
          <w:lang w:val="en-GB"/>
        </w:rPr>
        <w:t>treatment</w:t>
      </w:r>
      <w:r>
        <w:rPr>
          <w:rFonts w:ascii="Times New Roman" w:hAnsi="Times New Roman"/>
          <w:color w:val="000000"/>
          <w:sz w:val="24"/>
          <w:szCs w:val="24"/>
          <w:highlight w:val="yellow"/>
        </w:rPr>
        <w:t xml:space="preserve"> of</w:t>
      </w:r>
      <w:r>
        <w:rPr>
          <w:rFonts w:hint="default" w:ascii="Times New Roman" w:hAnsi="Times New Roman"/>
          <w:color w:val="000000"/>
          <w:sz w:val="24"/>
          <w:szCs w:val="24"/>
          <w:highlight w:val="yellow"/>
          <w:lang w:val="en-GB"/>
        </w:rPr>
        <w:t xml:space="preserve"> female rats with </w:t>
      </w:r>
      <w:r>
        <w:rPr>
          <w:rFonts w:ascii="Times New Roman" w:hAnsi="Times New Roman"/>
          <w:i/>
          <w:color w:val="000000"/>
          <w:sz w:val="24"/>
          <w:szCs w:val="24"/>
          <w:highlight w:val="yellow"/>
        </w:rPr>
        <w:t>Zea mays</w:t>
      </w:r>
      <w:r>
        <w:rPr>
          <w:rFonts w:ascii="Times New Roman" w:hAnsi="Times New Roman"/>
          <w:color w:val="000000"/>
          <w:sz w:val="24"/>
          <w:szCs w:val="24"/>
          <w:highlight w:val="yellow"/>
        </w:rPr>
        <w:t xml:space="preserve"> </w:t>
      </w:r>
      <w:r>
        <w:rPr>
          <w:rFonts w:hint="default" w:ascii="Times New Roman" w:hAnsi="Times New Roman"/>
          <w:color w:val="000000"/>
          <w:sz w:val="24"/>
          <w:szCs w:val="24"/>
          <w:highlight w:val="yellow"/>
          <w:lang w:val="en-GB"/>
        </w:rPr>
        <w:t>husk extract</w:t>
      </w:r>
      <w:r>
        <w:rPr>
          <w:rFonts w:ascii="Times New Roman" w:hAnsi="Times New Roman"/>
          <w:color w:val="000000"/>
          <w:sz w:val="24"/>
          <w:szCs w:val="24"/>
          <w:highlight w:val="yellow"/>
        </w:rPr>
        <w:t xml:space="preserve"> for 100 days did not cause any significant (p&gt;0.05) effect on the hematological parameters of  female rats </w:t>
      </w:r>
      <w:r>
        <w:rPr>
          <w:rFonts w:hint="default" w:ascii="Times New Roman" w:hAnsi="Times New Roman"/>
          <w:color w:val="000000"/>
          <w:sz w:val="24"/>
          <w:szCs w:val="24"/>
          <w:highlight w:val="yellow"/>
          <w:lang w:val="en-GB"/>
        </w:rPr>
        <w:t xml:space="preserve">relative </w:t>
      </w:r>
      <w:r>
        <w:rPr>
          <w:rFonts w:ascii="Times New Roman" w:hAnsi="Times New Roman"/>
          <w:color w:val="000000"/>
          <w:sz w:val="24"/>
          <w:szCs w:val="24"/>
          <w:highlight w:val="yellow"/>
        </w:rPr>
        <w:t xml:space="preserve"> to control. However,  neutrophils and PCV percentages in the female rats were insignificantly (p&gt;0.05) decreased by the extract treatment when compared to control, while WBC count, lymphocytes and monocytes percentages were  raised in the female rats insignificantly (p&gt;0.05) </w:t>
      </w:r>
      <w:r>
        <w:rPr>
          <w:rFonts w:hint="default" w:ascii="Times New Roman" w:hAnsi="Times New Roman"/>
          <w:color w:val="000000"/>
          <w:sz w:val="24"/>
          <w:szCs w:val="24"/>
          <w:highlight w:val="yellow"/>
          <w:lang w:val="en-GB"/>
        </w:rPr>
        <w:t>relative</w:t>
      </w:r>
      <w:r>
        <w:rPr>
          <w:rFonts w:ascii="Times New Roman" w:hAnsi="Times New Roman"/>
          <w:color w:val="000000"/>
          <w:sz w:val="24"/>
          <w:szCs w:val="24"/>
          <w:highlight w:val="yellow"/>
        </w:rPr>
        <w:t xml:space="preserve"> to control.</w:t>
      </w:r>
    </w:p>
    <w:p w14:paraId="24DEF116">
      <w:pPr>
        <w:spacing w:after="0" w:line="480" w:lineRule="auto"/>
        <w:ind w:firstLine="720"/>
        <w:jc w:val="both"/>
        <w:rPr>
          <w:rFonts w:ascii="Times New Roman" w:hAnsi="Times New Roman"/>
          <w:sz w:val="24"/>
          <w:szCs w:val="24"/>
        </w:rPr>
      </w:pPr>
      <w:r>
        <w:rPr>
          <w:rFonts w:ascii="Times New Roman" w:hAnsi="Times New Roman"/>
          <w:sz w:val="24"/>
          <w:szCs w:val="24"/>
          <w:highlight w:val="yellow"/>
        </w:rPr>
        <w:t>Administration of husk extract (187-561mg/kg) to female rats for 100 days caused a slight but insignificant (p&gt;0.05) increases in the clotting time of female rats  at the</w:t>
      </w:r>
      <w:r>
        <w:rPr>
          <w:rFonts w:hint="default" w:ascii="Times New Roman" w:hAnsi="Times New Roman"/>
          <w:sz w:val="24"/>
          <w:szCs w:val="24"/>
          <w:highlight w:val="yellow"/>
          <w:lang w:val="en-GB"/>
        </w:rPr>
        <w:t xml:space="preserve"> extract’s</w:t>
      </w:r>
      <w:r>
        <w:rPr>
          <w:rFonts w:ascii="Times New Roman" w:hAnsi="Times New Roman"/>
          <w:sz w:val="24"/>
          <w:szCs w:val="24"/>
          <w:highlight w:val="yellow"/>
        </w:rPr>
        <w:t xml:space="preserve"> higher doses (374 and 561 mg/kg) </w:t>
      </w:r>
      <w:r>
        <w:rPr>
          <w:rFonts w:hint="default" w:ascii="Times New Roman" w:hAnsi="Times New Roman"/>
          <w:sz w:val="24"/>
          <w:szCs w:val="24"/>
          <w:highlight w:val="yellow"/>
          <w:lang w:val="en-GB"/>
        </w:rPr>
        <w:t>relative</w:t>
      </w:r>
      <w:r>
        <w:rPr>
          <w:rFonts w:ascii="Times New Roman" w:hAnsi="Times New Roman"/>
          <w:sz w:val="24"/>
          <w:szCs w:val="24"/>
          <w:highlight w:val="yellow"/>
        </w:rPr>
        <w:t xml:space="preserve"> to control. Also, a</w:t>
      </w:r>
      <w:r>
        <w:rPr>
          <w:rFonts w:hint="default" w:ascii="Times New Roman" w:hAnsi="Times New Roman"/>
          <w:sz w:val="24"/>
          <w:szCs w:val="24"/>
          <w:highlight w:val="yellow"/>
          <w:lang w:val="en-GB"/>
        </w:rPr>
        <w:t xml:space="preserve"> </w:t>
      </w:r>
      <w:r>
        <w:rPr>
          <w:rFonts w:ascii="Times New Roman" w:hAnsi="Times New Roman"/>
          <w:sz w:val="24"/>
          <w:szCs w:val="24"/>
          <w:highlight w:val="yellow"/>
        </w:rPr>
        <w:t xml:space="preserve">significant (p&lt;0.001) non dose-dependent reduction in bleeding time of the female rats was observed  at the middle dose (374 mg/kg) </w:t>
      </w:r>
      <w:r>
        <w:rPr>
          <w:rFonts w:hint="default" w:ascii="Times New Roman" w:hAnsi="Times New Roman"/>
          <w:sz w:val="24"/>
          <w:szCs w:val="24"/>
          <w:highlight w:val="yellow"/>
          <w:lang w:val="en-GB"/>
        </w:rPr>
        <w:t>relative</w:t>
      </w:r>
      <w:r>
        <w:rPr>
          <w:rFonts w:ascii="Times New Roman" w:hAnsi="Times New Roman"/>
          <w:sz w:val="24"/>
          <w:szCs w:val="24"/>
          <w:highlight w:val="yellow"/>
        </w:rPr>
        <w:t xml:space="preserve"> to control (Figure 1)</w:t>
      </w:r>
      <w:r>
        <w:rPr>
          <w:rFonts w:ascii="Times New Roman" w:hAnsi="Times New Roman"/>
          <w:sz w:val="24"/>
          <w:szCs w:val="24"/>
        </w:rPr>
        <w:t>.</w:t>
      </w:r>
    </w:p>
    <w:p w14:paraId="0DCCBFF3">
      <w:pPr>
        <w:spacing w:after="0" w:line="240" w:lineRule="auto"/>
        <w:ind w:left="1170" w:hanging="1170"/>
        <w:jc w:val="both"/>
        <w:rPr>
          <w:rFonts w:ascii="Times New Roman" w:hAnsi="Times New Roman"/>
          <w:b/>
          <w:bCs/>
          <w:sz w:val="24"/>
          <w:szCs w:val="24"/>
        </w:rPr>
      </w:pPr>
    </w:p>
    <w:p w14:paraId="6E6FD079">
      <w:pPr>
        <w:spacing w:after="0" w:line="240" w:lineRule="auto"/>
        <w:ind w:left="1170" w:hanging="1170"/>
        <w:jc w:val="both"/>
        <w:rPr>
          <w:rFonts w:ascii="Times New Roman" w:hAnsi="Times New Roman"/>
          <w:b/>
          <w:bCs/>
          <w:sz w:val="24"/>
          <w:szCs w:val="24"/>
        </w:rPr>
      </w:pPr>
    </w:p>
    <w:p w14:paraId="35F611C8">
      <w:pPr>
        <w:spacing w:before="240" w:after="0"/>
        <w:ind w:left="1170" w:hanging="1170"/>
        <w:jc w:val="both"/>
        <w:rPr>
          <w:rFonts w:ascii="Times New Roman" w:hAnsi="Times New Roman"/>
          <w:bCs/>
          <w:sz w:val="24"/>
          <w:szCs w:val="24"/>
        </w:rPr>
      </w:pPr>
      <w:r>
        <w:rPr>
          <w:rFonts w:ascii="Times New Roman" w:hAnsi="Times New Roman"/>
          <w:bCs/>
          <w:sz w:val="24"/>
          <w:szCs w:val="24"/>
        </w:rPr>
        <w:t xml:space="preserve">Table 1: Effect of chronic administration of </w:t>
      </w:r>
      <w:r>
        <w:rPr>
          <w:rFonts w:ascii="Times New Roman" w:hAnsi="Times New Roman"/>
          <w:bCs/>
          <w:i/>
          <w:iCs/>
          <w:sz w:val="24"/>
          <w:szCs w:val="24"/>
        </w:rPr>
        <w:t>Zea mays</w:t>
      </w:r>
      <w:r>
        <w:rPr>
          <w:rFonts w:ascii="Times New Roman" w:hAnsi="Times New Roman"/>
          <w:bCs/>
          <w:sz w:val="24"/>
          <w:szCs w:val="24"/>
        </w:rPr>
        <w:t xml:space="preserve"> husk extract on body weights of female rats</w:t>
      </w:r>
    </w:p>
    <w:tbl>
      <w:tblPr>
        <w:tblStyle w:val="3"/>
        <w:tblW w:w="0" w:type="auto"/>
        <w:tblInd w:w="235" w:type="dxa"/>
        <w:tblLayout w:type="autofit"/>
        <w:tblCellMar>
          <w:top w:w="0" w:type="dxa"/>
          <w:left w:w="108" w:type="dxa"/>
          <w:bottom w:w="0" w:type="dxa"/>
          <w:right w:w="108" w:type="dxa"/>
        </w:tblCellMar>
      </w:tblPr>
      <w:tblGrid>
        <w:gridCol w:w="1943"/>
        <w:gridCol w:w="1272"/>
        <w:gridCol w:w="1574"/>
        <w:gridCol w:w="1711"/>
        <w:gridCol w:w="1714"/>
      </w:tblGrid>
      <w:tr w14:paraId="17B4C890">
        <w:tblPrEx>
          <w:tblCellMar>
            <w:top w:w="0" w:type="dxa"/>
            <w:left w:w="108" w:type="dxa"/>
            <w:bottom w:w="0" w:type="dxa"/>
            <w:right w:w="108" w:type="dxa"/>
          </w:tblCellMar>
        </w:tblPrEx>
        <w:tc>
          <w:tcPr>
            <w:tcW w:w="1943" w:type="dxa"/>
            <w:tcBorders>
              <w:top w:val="single" w:color="auto" w:sz="4" w:space="0"/>
              <w:bottom w:val="single" w:color="auto" w:sz="4" w:space="0"/>
            </w:tcBorders>
            <w:noWrap/>
          </w:tcPr>
          <w:p w14:paraId="0478D875">
            <w:pPr>
              <w:spacing w:after="0" w:line="240" w:lineRule="auto"/>
              <w:jc w:val="both"/>
              <w:rPr>
                <w:rFonts w:ascii="Times New Roman" w:hAnsi="Times New Roman"/>
                <w:bCs/>
                <w:sz w:val="24"/>
                <w:szCs w:val="24"/>
              </w:rPr>
            </w:pPr>
            <w:r>
              <w:rPr>
                <w:rFonts w:ascii="Times New Roman" w:hAnsi="Times New Roman"/>
                <w:bCs/>
                <w:sz w:val="24"/>
                <w:szCs w:val="24"/>
              </w:rPr>
              <w:t>Treatment</w:t>
            </w:r>
          </w:p>
          <w:p w14:paraId="678C4E19">
            <w:pPr>
              <w:spacing w:after="0" w:line="240" w:lineRule="auto"/>
              <w:jc w:val="both"/>
              <w:rPr>
                <w:rFonts w:ascii="Times New Roman" w:hAnsi="Times New Roman"/>
                <w:bCs/>
                <w:sz w:val="24"/>
                <w:szCs w:val="24"/>
              </w:rPr>
            </w:pPr>
            <w:r>
              <w:rPr>
                <w:rFonts w:ascii="Times New Roman" w:hAnsi="Times New Roman"/>
                <w:bCs/>
                <w:sz w:val="24"/>
                <w:szCs w:val="24"/>
              </w:rPr>
              <w:t>R&amp;G /Extract</w:t>
            </w:r>
          </w:p>
        </w:tc>
        <w:tc>
          <w:tcPr>
            <w:tcW w:w="1272" w:type="dxa"/>
            <w:tcBorders>
              <w:top w:val="single" w:color="auto" w:sz="4" w:space="0"/>
              <w:bottom w:val="single" w:color="auto" w:sz="4" w:space="0"/>
            </w:tcBorders>
            <w:noWrap/>
          </w:tcPr>
          <w:p w14:paraId="6C629E84">
            <w:pPr>
              <w:spacing w:after="0" w:line="240" w:lineRule="auto"/>
              <w:jc w:val="both"/>
              <w:rPr>
                <w:rFonts w:ascii="Times New Roman" w:hAnsi="Times New Roman"/>
                <w:bCs/>
                <w:sz w:val="24"/>
                <w:szCs w:val="24"/>
              </w:rPr>
            </w:pPr>
            <w:r>
              <w:rPr>
                <w:rFonts w:ascii="Times New Roman" w:hAnsi="Times New Roman"/>
                <w:bCs/>
                <w:sz w:val="24"/>
                <w:szCs w:val="24"/>
              </w:rPr>
              <w:t xml:space="preserve">Dose </w:t>
            </w:r>
          </w:p>
          <w:p w14:paraId="31BCCE4F">
            <w:pPr>
              <w:spacing w:after="0" w:line="240" w:lineRule="auto"/>
              <w:jc w:val="both"/>
              <w:rPr>
                <w:rFonts w:ascii="Times New Roman" w:hAnsi="Times New Roman"/>
                <w:bCs/>
                <w:sz w:val="24"/>
                <w:szCs w:val="24"/>
              </w:rPr>
            </w:pPr>
            <w:r>
              <w:rPr>
                <w:rFonts w:ascii="Times New Roman" w:hAnsi="Times New Roman"/>
                <w:bCs/>
                <w:sz w:val="24"/>
                <w:szCs w:val="24"/>
              </w:rPr>
              <w:t>(mg/kg)</w:t>
            </w:r>
          </w:p>
        </w:tc>
        <w:tc>
          <w:tcPr>
            <w:tcW w:w="1574" w:type="dxa"/>
            <w:tcBorders>
              <w:top w:val="single" w:color="auto" w:sz="4" w:space="0"/>
              <w:bottom w:val="single" w:color="auto" w:sz="4" w:space="0"/>
            </w:tcBorders>
            <w:noWrap/>
          </w:tcPr>
          <w:p w14:paraId="0D45DC6D">
            <w:pPr>
              <w:spacing w:after="0" w:line="240" w:lineRule="auto"/>
              <w:rPr>
                <w:rFonts w:ascii="Times New Roman" w:hAnsi="Times New Roman"/>
                <w:bCs/>
                <w:sz w:val="24"/>
                <w:szCs w:val="24"/>
              </w:rPr>
            </w:pPr>
            <w:r>
              <w:rPr>
                <w:rFonts w:ascii="Times New Roman" w:hAnsi="Times New Roman"/>
                <w:bCs/>
                <w:sz w:val="24"/>
                <w:szCs w:val="24"/>
              </w:rPr>
              <w:t>Initial body weight (g)</w:t>
            </w:r>
          </w:p>
        </w:tc>
        <w:tc>
          <w:tcPr>
            <w:tcW w:w="1711" w:type="dxa"/>
            <w:tcBorders>
              <w:top w:val="single" w:color="auto" w:sz="4" w:space="0"/>
              <w:bottom w:val="single" w:color="auto" w:sz="4" w:space="0"/>
            </w:tcBorders>
            <w:noWrap/>
          </w:tcPr>
          <w:p w14:paraId="26EF6BB0">
            <w:pPr>
              <w:spacing w:after="0" w:line="240" w:lineRule="auto"/>
              <w:rPr>
                <w:rFonts w:ascii="Times New Roman" w:hAnsi="Times New Roman"/>
                <w:bCs/>
                <w:sz w:val="24"/>
                <w:szCs w:val="24"/>
              </w:rPr>
            </w:pPr>
            <w:r>
              <w:rPr>
                <w:rFonts w:ascii="Times New Roman" w:hAnsi="Times New Roman"/>
                <w:bCs/>
                <w:sz w:val="24"/>
                <w:szCs w:val="24"/>
              </w:rPr>
              <w:t>Final body weight (g)</w:t>
            </w:r>
          </w:p>
        </w:tc>
        <w:tc>
          <w:tcPr>
            <w:tcW w:w="1714" w:type="dxa"/>
            <w:tcBorders>
              <w:top w:val="single" w:color="auto" w:sz="4" w:space="0"/>
              <w:bottom w:val="single" w:color="auto" w:sz="4" w:space="0"/>
            </w:tcBorders>
            <w:noWrap/>
          </w:tcPr>
          <w:p w14:paraId="1FD65FAB">
            <w:pPr>
              <w:spacing w:after="0" w:line="240" w:lineRule="auto"/>
              <w:rPr>
                <w:rFonts w:ascii="Times New Roman" w:hAnsi="Times New Roman"/>
                <w:bCs/>
                <w:sz w:val="24"/>
                <w:szCs w:val="24"/>
              </w:rPr>
            </w:pPr>
            <w:r>
              <w:rPr>
                <w:rFonts w:ascii="Times New Roman" w:hAnsi="Times New Roman"/>
                <w:bCs/>
                <w:sz w:val="24"/>
                <w:szCs w:val="24"/>
              </w:rPr>
              <w:t>Weight gain (g)</w:t>
            </w:r>
          </w:p>
        </w:tc>
      </w:tr>
      <w:tr w14:paraId="594D78E1">
        <w:tblPrEx>
          <w:tblCellMar>
            <w:top w:w="0" w:type="dxa"/>
            <w:left w:w="108" w:type="dxa"/>
            <w:bottom w:w="0" w:type="dxa"/>
            <w:right w:w="108" w:type="dxa"/>
          </w:tblCellMar>
        </w:tblPrEx>
        <w:tc>
          <w:tcPr>
            <w:tcW w:w="1943" w:type="dxa"/>
            <w:tcBorders>
              <w:top w:val="single" w:color="auto" w:sz="4" w:space="0"/>
            </w:tcBorders>
            <w:noWrap/>
          </w:tcPr>
          <w:p w14:paraId="633E9FD4">
            <w:pPr>
              <w:spacing w:line="240" w:lineRule="auto"/>
              <w:jc w:val="both"/>
              <w:rPr>
                <w:rFonts w:ascii="Times New Roman" w:hAnsi="Times New Roman"/>
                <w:i/>
                <w:sz w:val="24"/>
                <w:szCs w:val="24"/>
              </w:rPr>
            </w:pPr>
            <w:r>
              <w:rPr>
                <w:rFonts w:ascii="Times New Roman" w:hAnsi="Times New Roman"/>
                <w:sz w:val="24"/>
                <w:szCs w:val="24"/>
              </w:rPr>
              <w:t>Control</w:t>
            </w:r>
          </w:p>
        </w:tc>
        <w:tc>
          <w:tcPr>
            <w:tcW w:w="1272" w:type="dxa"/>
            <w:tcBorders>
              <w:top w:val="single" w:color="auto" w:sz="4" w:space="0"/>
            </w:tcBorders>
            <w:noWrap/>
          </w:tcPr>
          <w:p w14:paraId="24DF0907">
            <w:pPr>
              <w:spacing w:line="240" w:lineRule="auto"/>
              <w:jc w:val="both"/>
              <w:rPr>
                <w:rFonts w:ascii="Times New Roman" w:hAnsi="Times New Roman"/>
                <w:sz w:val="24"/>
                <w:szCs w:val="24"/>
              </w:rPr>
            </w:pPr>
            <w:r>
              <w:rPr>
                <w:rFonts w:ascii="Times New Roman" w:hAnsi="Times New Roman"/>
                <w:sz w:val="24"/>
                <w:szCs w:val="24"/>
              </w:rPr>
              <w:t>10ml/kg</w:t>
            </w:r>
          </w:p>
        </w:tc>
        <w:tc>
          <w:tcPr>
            <w:tcW w:w="1574" w:type="dxa"/>
            <w:tcBorders>
              <w:top w:val="single" w:color="auto" w:sz="4" w:space="0"/>
            </w:tcBorders>
            <w:noWrap/>
          </w:tcPr>
          <w:p w14:paraId="19BC9590">
            <w:pPr>
              <w:spacing w:after="0" w:line="240" w:lineRule="auto"/>
              <w:jc w:val="both"/>
              <w:rPr>
                <w:rFonts w:ascii="Times New Roman" w:hAnsi="Times New Roman"/>
                <w:color w:val="FF0000"/>
                <w:sz w:val="24"/>
                <w:szCs w:val="24"/>
              </w:rPr>
            </w:pPr>
            <w:r>
              <w:rPr>
                <w:rFonts w:ascii="Times New Roman" w:hAnsi="Times New Roman"/>
                <w:sz w:val="24"/>
                <w:szCs w:val="24"/>
              </w:rPr>
              <w:t>112.33± 3.48</w:t>
            </w:r>
          </w:p>
        </w:tc>
        <w:tc>
          <w:tcPr>
            <w:tcW w:w="1711" w:type="dxa"/>
            <w:tcBorders>
              <w:top w:val="single" w:color="auto" w:sz="4" w:space="0"/>
            </w:tcBorders>
            <w:noWrap/>
          </w:tcPr>
          <w:p w14:paraId="35954EE2">
            <w:pPr>
              <w:spacing w:after="0" w:line="240" w:lineRule="auto"/>
              <w:jc w:val="both"/>
              <w:rPr>
                <w:rFonts w:ascii="Times New Roman" w:hAnsi="Times New Roman"/>
                <w:color w:val="FF0000"/>
                <w:sz w:val="24"/>
                <w:szCs w:val="24"/>
              </w:rPr>
            </w:pPr>
            <w:r>
              <w:rPr>
                <w:rFonts w:ascii="Times New Roman" w:hAnsi="Times New Roman"/>
                <w:color w:val="000000"/>
                <w:sz w:val="24"/>
                <w:szCs w:val="24"/>
              </w:rPr>
              <w:t>164.6± 6.66</w:t>
            </w:r>
          </w:p>
        </w:tc>
        <w:tc>
          <w:tcPr>
            <w:tcW w:w="1714" w:type="dxa"/>
            <w:tcBorders>
              <w:top w:val="single" w:color="auto" w:sz="4" w:space="0"/>
            </w:tcBorders>
            <w:noWrap/>
          </w:tcPr>
          <w:p w14:paraId="23EED8D3">
            <w:pPr>
              <w:spacing w:line="240" w:lineRule="auto"/>
              <w:jc w:val="both"/>
              <w:rPr>
                <w:rFonts w:ascii="Times New Roman" w:hAnsi="Times New Roman"/>
                <w:sz w:val="24"/>
                <w:szCs w:val="24"/>
              </w:rPr>
            </w:pPr>
            <w:r>
              <w:rPr>
                <w:rFonts w:ascii="Times New Roman" w:hAnsi="Times New Roman"/>
                <w:sz w:val="24"/>
                <w:szCs w:val="24"/>
              </w:rPr>
              <w:t>52.27</w:t>
            </w:r>
            <w:r>
              <w:rPr>
                <w:rFonts w:ascii="Times New Roman" w:hAnsi="Times New Roman"/>
                <w:sz w:val="24"/>
                <w:szCs w:val="24"/>
              </w:rPr>
              <w:sym w:font="Symbol" w:char="F0B1"/>
            </w:r>
            <w:r>
              <w:rPr>
                <w:rFonts w:ascii="Times New Roman" w:hAnsi="Times New Roman"/>
                <w:sz w:val="24"/>
                <w:szCs w:val="24"/>
              </w:rPr>
              <w:t>2.44</w:t>
            </w:r>
          </w:p>
        </w:tc>
      </w:tr>
      <w:tr w14:paraId="3846FA66">
        <w:tblPrEx>
          <w:tblCellMar>
            <w:top w:w="0" w:type="dxa"/>
            <w:left w:w="108" w:type="dxa"/>
            <w:bottom w:w="0" w:type="dxa"/>
            <w:right w:w="108" w:type="dxa"/>
          </w:tblCellMar>
        </w:tblPrEx>
        <w:tc>
          <w:tcPr>
            <w:tcW w:w="1943" w:type="dxa"/>
            <w:noWrap/>
          </w:tcPr>
          <w:p w14:paraId="33CBABCA">
            <w:pPr>
              <w:spacing w:line="240" w:lineRule="auto"/>
              <w:jc w:val="both"/>
              <w:rPr>
                <w:rFonts w:ascii="Times New Roman" w:hAnsi="Times New Roman"/>
                <w:sz w:val="24"/>
                <w:szCs w:val="24"/>
              </w:rPr>
            </w:pPr>
            <w:r>
              <w:rPr>
                <w:rFonts w:ascii="Times New Roman" w:hAnsi="Times New Roman"/>
                <w:iCs/>
                <w:sz w:val="24"/>
                <w:szCs w:val="24"/>
              </w:rPr>
              <w:t>Husk extract</w:t>
            </w:r>
          </w:p>
        </w:tc>
        <w:tc>
          <w:tcPr>
            <w:tcW w:w="1272" w:type="dxa"/>
            <w:noWrap/>
          </w:tcPr>
          <w:p w14:paraId="67ED3ED1">
            <w:pPr>
              <w:spacing w:line="240" w:lineRule="auto"/>
              <w:jc w:val="both"/>
              <w:rPr>
                <w:rFonts w:ascii="Times New Roman" w:hAnsi="Times New Roman"/>
                <w:sz w:val="24"/>
                <w:szCs w:val="24"/>
              </w:rPr>
            </w:pPr>
            <w:r>
              <w:rPr>
                <w:rFonts w:ascii="Times New Roman" w:hAnsi="Times New Roman"/>
                <w:sz w:val="24"/>
                <w:szCs w:val="24"/>
              </w:rPr>
              <w:t>187</w:t>
            </w:r>
          </w:p>
        </w:tc>
        <w:tc>
          <w:tcPr>
            <w:tcW w:w="1574" w:type="dxa"/>
            <w:noWrap/>
          </w:tcPr>
          <w:p w14:paraId="6DCD5137">
            <w:pPr>
              <w:spacing w:after="0" w:line="240" w:lineRule="auto"/>
              <w:jc w:val="both"/>
              <w:rPr>
                <w:rFonts w:ascii="Times New Roman" w:hAnsi="Times New Roman"/>
                <w:color w:val="FF0000"/>
                <w:sz w:val="24"/>
                <w:szCs w:val="24"/>
              </w:rPr>
            </w:pPr>
            <w:r>
              <w:rPr>
                <w:rFonts w:ascii="Times New Roman" w:hAnsi="Times New Roman"/>
                <w:sz w:val="24"/>
                <w:szCs w:val="24"/>
              </w:rPr>
              <w:t>108.0± 2.16</w:t>
            </w:r>
          </w:p>
        </w:tc>
        <w:tc>
          <w:tcPr>
            <w:tcW w:w="1711" w:type="dxa"/>
            <w:noWrap/>
          </w:tcPr>
          <w:p w14:paraId="48209ED0">
            <w:pPr>
              <w:spacing w:after="0" w:line="240" w:lineRule="auto"/>
              <w:jc w:val="both"/>
              <w:rPr>
                <w:rFonts w:ascii="Times New Roman" w:hAnsi="Times New Roman"/>
                <w:color w:val="FF0000"/>
                <w:sz w:val="24"/>
                <w:szCs w:val="24"/>
              </w:rPr>
            </w:pPr>
            <w:r>
              <w:rPr>
                <w:rFonts w:ascii="Times New Roman" w:hAnsi="Times New Roman"/>
                <w:color w:val="000000"/>
                <w:sz w:val="24"/>
                <w:szCs w:val="24"/>
              </w:rPr>
              <w:t>169.75±8.40</w:t>
            </w:r>
          </w:p>
        </w:tc>
        <w:tc>
          <w:tcPr>
            <w:tcW w:w="1714" w:type="dxa"/>
            <w:noWrap/>
          </w:tcPr>
          <w:p w14:paraId="021A1D9C">
            <w:pPr>
              <w:spacing w:line="240" w:lineRule="auto"/>
              <w:jc w:val="both"/>
              <w:rPr>
                <w:rFonts w:ascii="Times New Roman" w:hAnsi="Times New Roman"/>
                <w:sz w:val="24"/>
                <w:szCs w:val="24"/>
              </w:rPr>
            </w:pPr>
            <w:r>
              <w:rPr>
                <w:rFonts w:ascii="Times New Roman" w:hAnsi="Times New Roman"/>
                <w:sz w:val="24"/>
                <w:szCs w:val="24"/>
              </w:rPr>
              <w:t>61.75</w:t>
            </w:r>
            <w:r>
              <w:rPr>
                <w:rFonts w:ascii="Times New Roman" w:hAnsi="Times New Roman"/>
                <w:sz w:val="24"/>
                <w:szCs w:val="24"/>
              </w:rPr>
              <w:sym w:font="Symbol" w:char="F0B1"/>
            </w:r>
            <w:r>
              <w:rPr>
                <w:rFonts w:ascii="Times New Roman" w:hAnsi="Times New Roman"/>
                <w:sz w:val="24"/>
                <w:szCs w:val="24"/>
              </w:rPr>
              <w:t>3.41</w:t>
            </w:r>
          </w:p>
        </w:tc>
      </w:tr>
      <w:tr w14:paraId="6F2411B2">
        <w:tblPrEx>
          <w:tblCellMar>
            <w:top w:w="0" w:type="dxa"/>
            <w:left w:w="108" w:type="dxa"/>
            <w:bottom w:w="0" w:type="dxa"/>
            <w:right w:w="108" w:type="dxa"/>
          </w:tblCellMar>
        </w:tblPrEx>
        <w:trPr>
          <w:trHeight w:val="368" w:hRule="atLeast"/>
        </w:trPr>
        <w:tc>
          <w:tcPr>
            <w:tcW w:w="1943" w:type="dxa"/>
            <w:noWrap/>
          </w:tcPr>
          <w:p w14:paraId="2DE9C938">
            <w:pPr>
              <w:spacing w:line="240" w:lineRule="auto"/>
              <w:jc w:val="both"/>
              <w:rPr>
                <w:rFonts w:ascii="Times New Roman" w:hAnsi="Times New Roman"/>
                <w:sz w:val="24"/>
                <w:szCs w:val="24"/>
              </w:rPr>
            </w:pPr>
          </w:p>
        </w:tc>
        <w:tc>
          <w:tcPr>
            <w:tcW w:w="1272" w:type="dxa"/>
            <w:noWrap/>
          </w:tcPr>
          <w:p w14:paraId="78F29401">
            <w:pPr>
              <w:spacing w:line="240" w:lineRule="auto"/>
              <w:jc w:val="both"/>
              <w:rPr>
                <w:rFonts w:ascii="Times New Roman" w:hAnsi="Times New Roman"/>
                <w:sz w:val="24"/>
                <w:szCs w:val="24"/>
              </w:rPr>
            </w:pPr>
            <w:r>
              <w:rPr>
                <w:rFonts w:ascii="Times New Roman" w:hAnsi="Times New Roman"/>
                <w:sz w:val="24"/>
                <w:szCs w:val="24"/>
              </w:rPr>
              <w:t>374</w:t>
            </w:r>
          </w:p>
        </w:tc>
        <w:tc>
          <w:tcPr>
            <w:tcW w:w="1574" w:type="dxa"/>
            <w:noWrap/>
          </w:tcPr>
          <w:p w14:paraId="21BFD97A">
            <w:pPr>
              <w:spacing w:after="0" w:line="240" w:lineRule="auto"/>
              <w:jc w:val="both"/>
              <w:rPr>
                <w:rFonts w:ascii="Times New Roman" w:hAnsi="Times New Roman"/>
                <w:color w:val="FF0000"/>
                <w:sz w:val="24"/>
                <w:szCs w:val="24"/>
              </w:rPr>
            </w:pPr>
            <w:r>
              <w:rPr>
                <w:rFonts w:ascii="Times New Roman" w:hAnsi="Times New Roman"/>
                <w:sz w:val="24"/>
                <w:szCs w:val="24"/>
              </w:rPr>
              <w:t>106.75± 3.54</w:t>
            </w:r>
          </w:p>
        </w:tc>
        <w:tc>
          <w:tcPr>
            <w:tcW w:w="1711" w:type="dxa"/>
            <w:noWrap/>
          </w:tcPr>
          <w:p w14:paraId="41EBC69B">
            <w:pPr>
              <w:spacing w:after="0" w:line="240" w:lineRule="auto"/>
              <w:jc w:val="both"/>
              <w:rPr>
                <w:rFonts w:ascii="Times New Roman" w:hAnsi="Times New Roman"/>
                <w:color w:val="FF0000"/>
                <w:sz w:val="24"/>
                <w:szCs w:val="24"/>
              </w:rPr>
            </w:pPr>
            <w:r>
              <w:rPr>
                <w:rFonts w:ascii="Times New Roman" w:hAnsi="Times New Roman"/>
                <w:color w:val="000000"/>
                <w:sz w:val="24"/>
                <w:szCs w:val="24"/>
              </w:rPr>
              <w:t>159.5± 4.94</w:t>
            </w:r>
          </w:p>
        </w:tc>
        <w:tc>
          <w:tcPr>
            <w:tcW w:w="1714" w:type="dxa"/>
            <w:noWrap/>
          </w:tcPr>
          <w:p w14:paraId="464C17B3">
            <w:pPr>
              <w:spacing w:line="240" w:lineRule="auto"/>
              <w:jc w:val="both"/>
              <w:rPr>
                <w:rFonts w:ascii="Times New Roman" w:hAnsi="Times New Roman"/>
                <w:sz w:val="24"/>
                <w:szCs w:val="24"/>
              </w:rPr>
            </w:pPr>
            <w:r>
              <w:rPr>
                <w:rFonts w:ascii="Times New Roman" w:hAnsi="Times New Roman"/>
                <w:sz w:val="24"/>
                <w:szCs w:val="24"/>
              </w:rPr>
              <w:t>52.75</w:t>
            </w:r>
            <w:r>
              <w:rPr>
                <w:rFonts w:ascii="Times New Roman" w:hAnsi="Times New Roman"/>
                <w:sz w:val="24"/>
                <w:szCs w:val="24"/>
              </w:rPr>
              <w:sym w:font="Symbol" w:char="F0B1"/>
            </w:r>
            <w:r>
              <w:rPr>
                <w:rFonts w:ascii="Times New Roman" w:hAnsi="Times New Roman"/>
                <w:sz w:val="24"/>
                <w:szCs w:val="24"/>
              </w:rPr>
              <w:t>2.18</w:t>
            </w:r>
          </w:p>
        </w:tc>
      </w:tr>
      <w:tr w14:paraId="53CBD64A">
        <w:tblPrEx>
          <w:tblCellMar>
            <w:top w:w="0" w:type="dxa"/>
            <w:left w:w="108" w:type="dxa"/>
            <w:bottom w:w="0" w:type="dxa"/>
            <w:right w:w="108" w:type="dxa"/>
          </w:tblCellMar>
        </w:tblPrEx>
        <w:trPr>
          <w:trHeight w:val="87" w:hRule="atLeast"/>
        </w:trPr>
        <w:tc>
          <w:tcPr>
            <w:tcW w:w="1943" w:type="dxa"/>
            <w:tcBorders>
              <w:bottom w:val="single" w:color="auto" w:sz="4" w:space="0"/>
            </w:tcBorders>
            <w:noWrap/>
          </w:tcPr>
          <w:p w14:paraId="008447E1">
            <w:pPr>
              <w:spacing w:line="240" w:lineRule="auto"/>
              <w:jc w:val="both"/>
              <w:rPr>
                <w:rFonts w:ascii="Times New Roman" w:hAnsi="Times New Roman"/>
                <w:i/>
                <w:sz w:val="24"/>
                <w:szCs w:val="24"/>
              </w:rPr>
            </w:pPr>
          </w:p>
        </w:tc>
        <w:tc>
          <w:tcPr>
            <w:tcW w:w="1272" w:type="dxa"/>
            <w:tcBorders>
              <w:bottom w:val="single" w:color="auto" w:sz="4" w:space="0"/>
            </w:tcBorders>
            <w:noWrap/>
          </w:tcPr>
          <w:p w14:paraId="3B7ECB42">
            <w:pPr>
              <w:spacing w:line="240" w:lineRule="auto"/>
              <w:jc w:val="both"/>
              <w:rPr>
                <w:rFonts w:ascii="Times New Roman" w:hAnsi="Times New Roman"/>
                <w:sz w:val="24"/>
                <w:szCs w:val="24"/>
              </w:rPr>
            </w:pPr>
            <w:r>
              <w:rPr>
                <w:rFonts w:ascii="Times New Roman" w:hAnsi="Times New Roman"/>
                <w:sz w:val="24"/>
                <w:szCs w:val="24"/>
              </w:rPr>
              <w:t>561</w:t>
            </w:r>
          </w:p>
        </w:tc>
        <w:tc>
          <w:tcPr>
            <w:tcW w:w="1574" w:type="dxa"/>
            <w:tcBorders>
              <w:bottom w:val="single" w:color="auto" w:sz="4" w:space="0"/>
            </w:tcBorders>
            <w:noWrap/>
          </w:tcPr>
          <w:p w14:paraId="3BE1EB1A">
            <w:pPr>
              <w:spacing w:after="0" w:line="240" w:lineRule="auto"/>
              <w:jc w:val="both"/>
              <w:rPr>
                <w:rFonts w:ascii="Times New Roman" w:hAnsi="Times New Roman"/>
                <w:color w:val="FF0000"/>
                <w:sz w:val="24"/>
                <w:szCs w:val="24"/>
              </w:rPr>
            </w:pPr>
            <w:r>
              <w:rPr>
                <w:rFonts w:ascii="Times New Roman" w:hAnsi="Times New Roman"/>
                <w:sz w:val="24"/>
                <w:szCs w:val="24"/>
              </w:rPr>
              <w:t>100.75± 2.25</w:t>
            </w:r>
          </w:p>
        </w:tc>
        <w:tc>
          <w:tcPr>
            <w:tcW w:w="1711" w:type="dxa"/>
            <w:tcBorders>
              <w:bottom w:val="single" w:color="auto" w:sz="4" w:space="0"/>
            </w:tcBorders>
            <w:noWrap/>
          </w:tcPr>
          <w:p w14:paraId="3124F79B">
            <w:pPr>
              <w:spacing w:after="0" w:line="240" w:lineRule="auto"/>
              <w:jc w:val="both"/>
              <w:rPr>
                <w:rFonts w:ascii="Times New Roman" w:hAnsi="Times New Roman"/>
                <w:color w:val="FF0000"/>
                <w:sz w:val="24"/>
                <w:szCs w:val="24"/>
              </w:rPr>
            </w:pPr>
            <w:r>
              <w:rPr>
                <w:rFonts w:ascii="Times New Roman" w:hAnsi="Times New Roman"/>
                <w:color w:val="000000"/>
                <w:sz w:val="24"/>
                <w:szCs w:val="24"/>
              </w:rPr>
              <w:t>172.0± 2.67</w:t>
            </w:r>
          </w:p>
        </w:tc>
        <w:tc>
          <w:tcPr>
            <w:tcW w:w="1714" w:type="dxa"/>
            <w:tcBorders>
              <w:bottom w:val="single" w:color="auto" w:sz="4" w:space="0"/>
            </w:tcBorders>
            <w:noWrap/>
          </w:tcPr>
          <w:p w14:paraId="3095DAE5">
            <w:pPr>
              <w:spacing w:line="240" w:lineRule="auto"/>
              <w:jc w:val="both"/>
              <w:rPr>
                <w:rFonts w:ascii="Times New Roman" w:hAnsi="Times New Roman"/>
                <w:sz w:val="24"/>
                <w:szCs w:val="24"/>
              </w:rPr>
            </w:pPr>
            <w:r>
              <w:rPr>
                <w:rFonts w:ascii="Times New Roman" w:hAnsi="Times New Roman"/>
                <w:sz w:val="24"/>
                <w:szCs w:val="24"/>
              </w:rPr>
              <w:t>71.25</w:t>
            </w:r>
            <w:r>
              <w:rPr>
                <w:rFonts w:ascii="Times New Roman" w:hAnsi="Times New Roman"/>
                <w:sz w:val="24"/>
                <w:szCs w:val="24"/>
              </w:rPr>
              <w:sym w:font="Symbol" w:char="F0B1"/>
            </w:r>
            <w:r>
              <w:rPr>
                <w:rFonts w:ascii="Times New Roman" w:hAnsi="Times New Roman"/>
                <w:sz w:val="24"/>
                <w:szCs w:val="24"/>
              </w:rPr>
              <w:t>2.14</w:t>
            </w:r>
            <w:r>
              <w:rPr>
                <w:rFonts w:ascii="Times New Roman" w:hAnsi="Times New Roman"/>
                <w:sz w:val="24"/>
                <w:szCs w:val="24"/>
                <w:vertAlign w:val="superscript"/>
              </w:rPr>
              <w:t>c</w:t>
            </w:r>
          </w:p>
        </w:tc>
      </w:tr>
    </w:tbl>
    <w:p w14:paraId="7BFFF2B4">
      <w:pPr>
        <w:jc w:val="both"/>
        <w:rPr>
          <w:rFonts w:ascii="Times New Roman" w:hAnsi="Times New Roman"/>
          <w:sz w:val="24"/>
          <w:szCs w:val="24"/>
        </w:rPr>
      </w:pPr>
      <w:r>
        <w:rPr>
          <w:rFonts w:ascii="Times New Roman" w:hAnsi="Times New Roman"/>
          <w:sz w:val="24"/>
          <w:szCs w:val="24"/>
        </w:rPr>
        <w:t xml:space="preserve"> Data are expressed as mean </w:t>
      </w:r>
      <w:r>
        <w:rPr>
          <w:rFonts w:ascii="Times New Roman" w:hAnsi="Times New Roman"/>
          <w:sz w:val="24"/>
          <w:szCs w:val="24"/>
        </w:rPr>
        <w:sym w:font="Symbol" w:char="F0B1"/>
      </w:r>
      <w:r>
        <w:rPr>
          <w:rFonts w:ascii="Times New Roman" w:hAnsi="Times New Roman"/>
          <w:sz w:val="24"/>
          <w:szCs w:val="24"/>
        </w:rPr>
        <w:t xml:space="preserve"> SEM. </w:t>
      </w:r>
      <w:r>
        <w:rPr>
          <w:rFonts w:ascii="Times New Roman" w:hAnsi="Times New Roman"/>
          <w:sz w:val="24"/>
          <w:szCs w:val="24"/>
          <w:lang w:val="ha-Latn-NG"/>
        </w:rPr>
        <w:t>Not</w:t>
      </w:r>
      <w:r>
        <w:rPr>
          <w:rFonts w:ascii="Times New Roman" w:hAnsi="Times New Roman"/>
          <w:sz w:val="24"/>
          <w:szCs w:val="24"/>
        </w:rPr>
        <w:t xml:space="preserve"> significant  when compared to control p</w:t>
      </w:r>
      <w:r>
        <w:rPr>
          <w:rFonts w:ascii="Times New Roman" w:hAnsi="Times New Roman"/>
          <w:sz w:val="24"/>
          <w:szCs w:val="24"/>
          <w:lang w:val="ha-Latn-NG"/>
        </w:rPr>
        <w:t>&gt;0.05.</w:t>
      </w:r>
      <w:r>
        <w:rPr>
          <w:rFonts w:ascii="Times New Roman" w:hAnsi="Times New Roman"/>
          <w:sz w:val="24"/>
          <w:szCs w:val="24"/>
        </w:rPr>
        <w:t>n = 5.</w:t>
      </w:r>
    </w:p>
    <w:p w14:paraId="79B0A3B6">
      <w:pPr>
        <w:spacing w:line="480" w:lineRule="auto"/>
        <w:jc w:val="both"/>
        <w:rPr>
          <w:rFonts w:ascii="Times New Roman" w:hAnsi="Times New Roman"/>
          <w:sz w:val="24"/>
          <w:szCs w:val="24"/>
        </w:rPr>
        <w:sectPr>
          <w:headerReference r:id="rId7" w:type="first"/>
          <w:footerReference r:id="rId10" w:type="first"/>
          <w:headerReference r:id="rId5" w:type="default"/>
          <w:footerReference r:id="rId8" w:type="default"/>
          <w:headerReference r:id="rId6" w:type="even"/>
          <w:footerReference r:id="rId9" w:type="even"/>
          <w:pgSz w:w="11909" w:h="16834"/>
          <w:pgMar w:top="1411" w:right="850" w:bottom="850" w:left="1699" w:header="706" w:footer="706" w:gutter="0"/>
          <w:cols w:space="720" w:num="1"/>
          <w:docGrid w:linePitch="360" w:charSpace="0"/>
        </w:sectPr>
      </w:pPr>
    </w:p>
    <w:p w14:paraId="11717F11">
      <w:pPr>
        <w:jc w:val="both"/>
        <w:rPr>
          <w:rFonts w:ascii="Times New Roman" w:hAnsi="Times New Roman"/>
          <w:sz w:val="24"/>
          <w:szCs w:val="24"/>
        </w:rPr>
      </w:pPr>
    </w:p>
    <w:p w14:paraId="7C957AA4">
      <w:pPr>
        <w:ind w:firstLine="1320" w:firstLineChars="550"/>
        <w:jc w:val="both"/>
        <w:rPr>
          <w:rFonts w:ascii="Times New Roman" w:hAnsi="Times New Roman"/>
          <w:bCs/>
          <w:sz w:val="24"/>
          <w:szCs w:val="24"/>
        </w:rPr>
      </w:pPr>
      <w:r>
        <w:rPr>
          <w:rFonts w:ascii="Times New Roman" w:hAnsi="Times New Roman"/>
          <w:bCs/>
          <w:sz w:val="24"/>
          <w:szCs w:val="24"/>
        </w:rPr>
        <w:t xml:space="preserve">Table 2: Effect of chronic administration of </w:t>
      </w:r>
      <w:r>
        <w:rPr>
          <w:rFonts w:ascii="Times New Roman" w:hAnsi="Times New Roman"/>
          <w:bCs/>
          <w:i/>
          <w:sz w:val="24"/>
          <w:szCs w:val="24"/>
        </w:rPr>
        <w:t xml:space="preserve">Zea mays </w:t>
      </w:r>
      <w:r>
        <w:rPr>
          <w:rFonts w:ascii="Times New Roman" w:hAnsi="Times New Roman"/>
          <w:bCs/>
          <w:iCs/>
          <w:sz w:val="24"/>
          <w:szCs w:val="24"/>
        </w:rPr>
        <w:t xml:space="preserve">husk </w:t>
      </w:r>
      <w:r>
        <w:rPr>
          <w:rFonts w:ascii="Times New Roman" w:hAnsi="Times New Roman"/>
          <w:bCs/>
          <w:sz w:val="24"/>
          <w:szCs w:val="24"/>
        </w:rPr>
        <w:t>extract on organs weights of female  rats</w:t>
      </w:r>
    </w:p>
    <w:tbl>
      <w:tblPr>
        <w:tblStyle w:val="3"/>
        <w:tblW w:w="11657" w:type="dxa"/>
        <w:tblInd w:w="1411"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95"/>
        <w:gridCol w:w="1035"/>
        <w:gridCol w:w="1255"/>
        <w:gridCol w:w="1215"/>
        <w:gridCol w:w="1245"/>
        <w:gridCol w:w="1200"/>
        <w:gridCol w:w="1432"/>
        <w:gridCol w:w="1440"/>
        <w:gridCol w:w="1440"/>
      </w:tblGrid>
      <w:tr w14:paraId="17F35BA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395" w:type="dxa"/>
            <w:tcBorders>
              <w:top w:val="single" w:color="000000" w:sz="8" w:space="0"/>
              <w:left w:val="nil"/>
              <w:bottom w:val="single" w:color="000000" w:sz="8" w:space="0"/>
              <w:right w:val="nil"/>
            </w:tcBorders>
            <w:shd w:val="clear" w:color="auto" w:fill="FFFFFF"/>
            <w:noWrap/>
          </w:tcPr>
          <w:p w14:paraId="15873D02">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Treatment</w:t>
            </w:r>
          </w:p>
        </w:tc>
        <w:tc>
          <w:tcPr>
            <w:tcW w:w="1035" w:type="dxa"/>
            <w:tcBorders>
              <w:top w:val="single" w:color="000000" w:sz="8" w:space="0"/>
              <w:left w:val="nil"/>
              <w:bottom w:val="single" w:color="000000" w:sz="8" w:space="0"/>
              <w:right w:val="nil"/>
            </w:tcBorders>
            <w:shd w:val="clear" w:color="auto" w:fill="FFFFFF"/>
            <w:noWrap/>
          </w:tcPr>
          <w:p w14:paraId="7257F146">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DOSE(mg/ kg)</w:t>
            </w:r>
          </w:p>
        </w:tc>
        <w:tc>
          <w:tcPr>
            <w:tcW w:w="1255" w:type="dxa"/>
            <w:tcBorders>
              <w:top w:val="single" w:color="000000" w:sz="8" w:space="0"/>
              <w:left w:val="nil"/>
              <w:bottom w:val="single" w:color="000000" w:sz="8" w:space="0"/>
              <w:right w:val="nil"/>
            </w:tcBorders>
            <w:shd w:val="clear" w:color="auto" w:fill="FFFFFF"/>
            <w:noWrap/>
          </w:tcPr>
          <w:p w14:paraId="72E2788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Heart (g)</w:t>
            </w:r>
          </w:p>
        </w:tc>
        <w:tc>
          <w:tcPr>
            <w:tcW w:w="1215" w:type="dxa"/>
            <w:tcBorders>
              <w:top w:val="single" w:color="000000" w:sz="8" w:space="0"/>
              <w:left w:val="nil"/>
              <w:bottom w:val="single" w:color="000000" w:sz="8" w:space="0"/>
              <w:right w:val="nil"/>
            </w:tcBorders>
            <w:shd w:val="clear" w:color="auto" w:fill="FFFFFF"/>
            <w:noWrap/>
          </w:tcPr>
          <w:p w14:paraId="525E20B7">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Brain (g)</w:t>
            </w:r>
          </w:p>
        </w:tc>
        <w:tc>
          <w:tcPr>
            <w:tcW w:w="1245" w:type="dxa"/>
            <w:tcBorders>
              <w:top w:val="single" w:color="000000" w:sz="8" w:space="0"/>
              <w:left w:val="nil"/>
              <w:bottom w:val="single" w:color="000000" w:sz="8" w:space="0"/>
              <w:right w:val="nil"/>
            </w:tcBorders>
            <w:shd w:val="clear" w:color="auto" w:fill="FFFFFF"/>
            <w:noWrap/>
          </w:tcPr>
          <w:p w14:paraId="77C56214">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Liver  (g)</w:t>
            </w:r>
          </w:p>
        </w:tc>
        <w:tc>
          <w:tcPr>
            <w:tcW w:w="1200" w:type="dxa"/>
            <w:tcBorders>
              <w:top w:val="single" w:color="000000" w:sz="8" w:space="0"/>
              <w:left w:val="nil"/>
              <w:bottom w:val="single" w:color="000000" w:sz="8" w:space="0"/>
              <w:right w:val="nil"/>
            </w:tcBorders>
            <w:shd w:val="clear" w:color="auto" w:fill="FFFFFF"/>
            <w:noWrap/>
          </w:tcPr>
          <w:p w14:paraId="0BA317F8">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Kidney</w:t>
            </w:r>
          </w:p>
          <w:p w14:paraId="70D33AC3">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(g)</w:t>
            </w:r>
          </w:p>
        </w:tc>
        <w:tc>
          <w:tcPr>
            <w:tcW w:w="1432" w:type="dxa"/>
            <w:tcBorders>
              <w:top w:val="single" w:color="000000" w:sz="8" w:space="0"/>
              <w:left w:val="nil"/>
              <w:bottom w:val="single" w:color="000000" w:sz="8" w:space="0"/>
              <w:right w:val="nil"/>
            </w:tcBorders>
            <w:shd w:val="clear" w:color="auto" w:fill="FFFFFF"/>
            <w:noWrap/>
          </w:tcPr>
          <w:p w14:paraId="2558A9BA">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Spleen (g)</w:t>
            </w:r>
          </w:p>
        </w:tc>
        <w:tc>
          <w:tcPr>
            <w:tcW w:w="1440" w:type="dxa"/>
            <w:tcBorders>
              <w:top w:val="single" w:color="000000" w:sz="8" w:space="0"/>
              <w:left w:val="nil"/>
              <w:bottom w:val="single" w:color="000000" w:sz="8" w:space="0"/>
              <w:right w:val="nil"/>
            </w:tcBorders>
            <w:shd w:val="clear" w:color="auto" w:fill="FFFFFF"/>
            <w:noWrap/>
          </w:tcPr>
          <w:p w14:paraId="12F6AAAE">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Pancreas (g)</w:t>
            </w:r>
          </w:p>
        </w:tc>
        <w:tc>
          <w:tcPr>
            <w:tcW w:w="1440" w:type="dxa"/>
            <w:tcBorders>
              <w:top w:val="single" w:color="000000" w:sz="8" w:space="0"/>
              <w:left w:val="nil"/>
              <w:bottom w:val="single" w:color="000000" w:sz="8" w:space="0"/>
              <w:right w:val="nil"/>
            </w:tcBorders>
            <w:shd w:val="clear" w:color="auto" w:fill="FFFFFF"/>
            <w:noWrap/>
          </w:tcPr>
          <w:p w14:paraId="6DAA5F0F">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Ovary (g)</w:t>
            </w:r>
          </w:p>
        </w:tc>
      </w:tr>
      <w:tr w14:paraId="29C2AF5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395" w:type="dxa"/>
            <w:tcBorders>
              <w:left w:val="nil"/>
              <w:right w:val="nil"/>
            </w:tcBorders>
            <w:shd w:val="clear" w:color="auto" w:fill="FFFFFF"/>
            <w:noWrap/>
          </w:tcPr>
          <w:p w14:paraId="5E92D623">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Control </w:t>
            </w:r>
          </w:p>
          <w:p w14:paraId="1FFDA522">
            <w:pPr>
              <w:spacing w:after="0" w:line="240" w:lineRule="auto"/>
              <w:jc w:val="both"/>
              <w:rPr>
                <w:rFonts w:ascii="Times New Roman" w:hAnsi="Times New Roman"/>
                <w:bCs/>
                <w:color w:val="000000"/>
                <w:sz w:val="24"/>
                <w:szCs w:val="24"/>
              </w:rPr>
            </w:pPr>
          </w:p>
        </w:tc>
        <w:tc>
          <w:tcPr>
            <w:tcW w:w="1035" w:type="dxa"/>
            <w:tcBorders>
              <w:left w:val="nil"/>
              <w:bottom w:val="nil"/>
              <w:right w:val="nil"/>
            </w:tcBorders>
            <w:shd w:val="clear" w:color="auto" w:fill="FFFFFF"/>
            <w:noWrap/>
          </w:tcPr>
          <w:p w14:paraId="4363F271">
            <w:pPr>
              <w:spacing w:line="240" w:lineRule="auto"/>
              <w:rPr>
                <w:rFonts w:ascii="Times New Roman" w:hAnsi="Times New Roman"/>
                <w:color w:val="000000"/>
                <w:sz w:val="24"/>
                <w:szCs w:val="24"/>
              </w:rPr>
            </w:pPr>
            <w:r>
              <w:rPr>
                <w:rFonts w:ascii="Times New Roman" w:hAnsi="Times New Roman"/>
                <w:color w:val="000000"/>
                <w:sz w:val="24"/>
                <w:szCs w:val="24"/>
              </w:rPr>
              <w:t>10 mg/ml</w:t>
            </w:r>
          </w:p>
        </w:tc>
        <w:tc>
          <w:tcPr>
            <w:tcW w:w="1255" w:type="dxa"/>
            <w:tcBorders>
              <w:left w:val="nil"/>
              <w:right w:val="nil"/>
            </w:tcBorders>
            <w:shd w:val="clear" w:color="auto" w:fill="FFFFFF"/>
            <w:noWrap/>
          </w:tcPr>
          <w:p w14:paraId="3CE40E34">
            <w:pPr>
              <w:spacing w:after="0" w:line="240" w:lineRule="auto"/>
              <w:jc w:val="both"/>
              <w:rPr>
                <w:rFonts w:ascii="Times New Roman" w:hAnsi="Times New Roman"/>
                <w:color w:val="000000"/>
                <w:sz w:val="24"/>
                <w:szCs w:val="24"/>
              </w:rPr>
            </w:pPr>
            <w:r>
              <w:rPr>
                <w:rFonts w:ascii="Times New Roman" w:hAnsi="Times New Roman"/>
                <w:color w:val="000000"/>
                <w:sz w:val="24"/>
                <w:szCs w:val="24"/>
              </w:rPr>
              <w:t>0.58± 0.02</w:t>
            </w:r>
          </w:p>
        </w:tc>
        <w:tc>
          <w:tcPr>
            <w:tcW w:w="1215" w:type="dxa"/>
            <w:tcBorders>
              <w:left w:val="nil"/>
              <w:bottom w:val="nil"/>
              <w:right w:val="nil"/>
            </w:tcBorders>
            <w:shd w:val="clear" w:color="auto" w:fill="FFFFFF"/>
            <w:noWrap/>
          </w:tcPr>
          <w:p w14:paraId="037304E6">
            <w:pPr>
              <w:spacing w:after="0" w:line="240" w:lineRule="auto"/>
              <w:jc w:val="both"/>
              <w:rPr>
                <w:rFonts w:ascii="Times New Roman" w:hAnsi="Times New Roman"/>
                <w:color w:val="000000"/>
                <w:sz w:val="24"/>
                <w:szCs w:val="24"/>
              </w:rPr>
            </w:pPr>
            <w:r>
              <w:rPr>
                <w:rFonts w:ascii="Times New Roman" w:hAnsi="Times New Roman"/>
                <w:color w:val="000000"/>
                <w:sz w:val="24"/>
                <w:szCs w:val="24"/>
              </w:rPr>
              <w:t>1.31±0.12</w:t>
            </w:r>
          </w:p>
        </w:tc>
        <w:tc>
          <w:tcPr>
            <w:tcW w:w="1245" w:type="dxa"/>
            <w:tcBorders>
              <w:left w:val="nil"/>
              <w:right w:val="nil"/>
            </w:tcBorders>
            <w:shd w:val="clear" w:color="auto" w:fill="FFFFFF"/>
            <w:noWrap/>
          </w:tcPr>
          <w:p w14:paraId="0394D03B">
            <w:pPr>
              <w:spacing w:after="0" w:line="240" w:lineRule="auto"/>
              <w:jc w:val="both"/>
              <w:rPr>
                <w:rFonts w:ascii="Times New Roman" w:hAnsi="Times New Roman"/>
                <w:color w:val="000000"/>
                <w:sz w:val="24"/>
                <w:szCs w:val="24"/>
              </w:rPr>
            </w:pPr>
            <w:r>
              <w:rPr>
                <w:rFonts w:ascii="Times New Roman" w:hAnsi="Times New Roman"/>
                <w:color w:val="000000"/>
                <w:sz w:val="24"/>
                <w:szCs w:val="24"/>
              </w:rPr>
              <w:t>5.47±0.38</w:t>
            </w:r>
          </w:p>
        </w:tc>
        <w:tc>
          <w:tcPr>
            <w:tcW w:w="1200" w:type="dxa"/>
            <w:tcBorders>
              <w:left w:val="nil"/>
              <w:bottom w:val="nil"/>
              <w:right w:val="nil"/>
            </w:tcBorders>
            <w:shd w:val="clear" w:color="auto" w:fill="FFFFFF"/>
            <w:noWrap/>
          </w:tcPr>
          <w:p w14:paraId="1426E3AD">
            <w:pPr>
              <w:spacing w:after="0" w:line="240" w:lineRule="auto"/>
              <w:jc w:val="both"/>
              <w:rPr>
                <w:rFonts w:ascii="Times New Roman" w:hAnsi="Times New Roman"/>
                <w:color w:val="000000"/>
                <w:sz w:val="24"/>
                <w:szCs w:val="24"/>
              </w:rPr>
            </w:pPr>
            <w:r>
              <w:rPr>
                <w:rFonts w:ascii="Times New Roman" w:hAnsi="Times New Roman"/>
                <w:color w:val="000000"/>
                <w:sz w:val="24"/>
                <w:szCs w:val="24"/>
              </w:rPr>
              <w:t>1.00±0.06</w:t>
            </w:r>
          </w:p>
        </w:tc>
        <w:tc>
          <w:tcPr>
            <w:tcW w:w="1432" w:type="dxa"/>
            <w:tcBorders>
              <w:left w:val="nil"/>
              <w:right w:val="nil"/>
            </w:tcBorders>
            <w:shd w:val="clear" w:color="auto" w:fill="FFFFFF"/>
            <w:noWrap/>
          </w:tcPr>
          <w:p w14:paraId="6BE3D8EC">
            <w:pPr>
              <w:spacing w:after="0" w:line="240" w:lineRule="auto"/>
              <w:jc w:val="both"/>
              <w:rPr>
                <w:rFonts w:ascii="Times New Roman" w:hAnsi="Times New Roman"/>
                <w:color w:val="000000"/>
                <w:sz w:val="24"/>
                <w:szCs w:val="24"/>
              </w:rPr>
            </w:pPr>
            <w:r>
              <w:rPr>
                <w:rFonts w:ascii="Times New Roman" w:hAnsi="Times New Roman"/>
                <w:color w:val="000000"/>
                <w:sz w:val="24"/>
                <w:szCs w:val="24"/>
              </w:rPr>
              <w:t>0.53± 0.09</w:t>
            </w:r>
          </w:p>
        </w:tc>
        <w:tc>
          <w:tcPr>
            <w:tcW w:w="1440" w:type="dxa"/>
            <w:tcBorders>
              <w:left w:val="nil"/>
              <w:bottom w:val="nil"/>
              <w:right w:val="nil"/>
            </w:tcBorders>
            <w:shd w:val="clear" w:color="auto" w:fill="FFFFFF"/>
            <w:noWrap/>
          </w:tcPr>
          <w:p w14:paraId="79054B40">
            <w:pPr>
              <w:spacing w:after="0" w:line="240" w:lineRule="auto"/>
              <w:jc w:val="both"/>
              <w:rPr>
                <w:rFonts w:ascii="Times New Roman" w:hAnsi="Times New Roman"/>
                <w:color w:val="000000"/>
                <w:sz w:val="24"/>
                <w:szCs w:val="24"/>
              </w:rPr>
            </w:pPr>
            <w:r>
              <w:rPr>
                <w:rFonts w:ascii="Times New Roman" w:hAnsi="Times New Roman"/>
                <w:color w:val="000000"/>
                <w:sz w:val="24"/>
                <w:szCs w:val="24"/>
              </w:rPr>
              <w:t>0.93± 0.11</w:t>
            </w:r>
          </w:p>
        </w:tc>
        <w:tc>
          <w:tcPr>
            <w:tcW w:w="1440" w:type="dxa"/>
            <w:tcBorders>
              <w:left w:val="nil"/>
              <w:right w:val="nil"/>
            </w:tcBorders>
            <w:shd w:val="clear" w:color="auto" w:fill="FFFFFF"/>
            <w:noWrap/>
          </w:tcPr>
          <w:p w14:paraId="1A6D66F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0.09±0.01</w:t>
            </w:r>
          </w:p>
        </w:tc>
      </w:tr>
      <w:tr w14:paraId="43AC561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395" w:type="dxa"/>
            <w:shd w:val="clear" w:color="auto" w:fill="FFFFFF"/>
            <w:noWrap/>
          </w:tcPr>
          <w:p w14:paraId="4A548115">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Husk extract</w:t>
            </w:r>
          </w:p>
        </w:tc>
        <w:tc>
          <w:tcPr>
            <w:tcW w:w="1035" w:type="dxa"/>
            <w:tcBorders>
              <w:bottom w:val="nil"/>
            </w:tcBorders>
            <w:shd w:val="clear" w:color="auto" w:fill="FFFFFF"/>
            <w:noWrap/>
          </w:tcPr>
          <w:p w14:paraId="1E93F435">
            <w:pPr>
              <w:spacing w:line="240" w:lineRule="auto"/>
              <w:rPr>
                <w:rFonts w:ascii="Times New Roman" w:hAnsi="Times New Roman"/>
                <w:color w:val="000000"/>
                <w:sz w:val="24"/>
                <w:szCs w:val="24"/>
              </w:rPr>
            </w:pPr>
            <w:r>
              <w:rPr>
                <w:rFonts w:ascii="Times New Roman" w:hAnsi="Times New Roman"/>
                <w:color w:val="000000"/>
                <w:sz w:val="24"/>
                <w:szCs w:val="24"/>
              </w:rPr>
              <w:t>187</w:t>
            </w:r>
          </w:p>
        </w:tc>
        <w:tc>
          <w:tcPr>
            <w:tcW w:w="1255" w:type="dxa"/>
            <w:shd w:val="clear" w:color="auto" w:fill="FFFFFF"/>
            <w:noWrap/>
          </w:tcPr>
          <w:p w14:paraId="27854173">
            <w:pPr>
              <w:spacing w:after="0" w:line="240" w:lineRule="auto"/>
              <w:jc w:val="both"/>
              <w:rPr>
                <w:rFonts w:ascii="Times New Roman" w:hAnsi="Times New Roman"/>
                <w:color w:val="000000"/>
                <w:sz w:val="24"/>
                <w:szCs w:val="24"/>
              </w:rPr>
            </w:pPr>
            <w:r>
              <w:rPr>
                <w:rFonts w:ascii="Times New Roman" w:hAnsi="Times New Roman"/>
                <w:color w:val="000000"/>
                <w:sz w:val="24"/>
                <w:szCs w:val="24"/>
              </w:rPr>
              <w:t>0.60±0.01</w:t>
            </w:r>
          </w:p>
        </w:tc>
        <w:tc>
          <w:tcPr>
            <w:tcW w:w="1215" w:type="dxa"/>
            <w:tcBorders>
              <w:bottom w:val="nil"/>
            </w:tcBorders>
            <w:shd w:val="clear" w:color="auto" w:fill="FFFFFF"/>
            <w:noWrap/>
          </w:tcPr>
          <w:p w14:paraId="5B738402">
            <w:pPr>
              <w:spacing w:after="0" w:line="240" w:lineRule="auto"/>
              <w:jc w:val="both"/>
              <w:rPr>
                <w:rFonts w:ascii="Times New Roman" w:hAnsi="Times New Roman"/>
                <w:color w:val="000000"/>
                <w:sz w:val="24"/>
                <w:szCs w:val="24"/>
              </w:rPr>
            </w:pPr>
            <w:r>
              <w:rPr>
                <w:rFonts w:ascii="Times New Roman" w:hAnsi="Times New Roman"/>
                <w:color w:val="000000"/>
                <w:sz w:val="24"/>
                <w:szCs w:val="24"/>
              </w:rPr>
              <w:t>1.44±0.03</w:t>
            </w:r>
          </w:p>
        </w:tc>
        <w:tc>
          <w:tcPr>
            <w:tcW w:w="1245" w:type="dxa"/>
            <w:shd w:val="clear" w:color="auto" w:fill="FFFFFF"/>
            <w:noWrap/>
          </w:tcPr>
          <w:p w14:paraId="29139A85">
            <w:pPr>
              <w:spacing w:after="0" w:line="240" w:lineRule="auto"/>
              <w:jc w:val="both"/>
              <w:rPr>
                <w:rFonts w:ascii="Times New Roman" w:hAnsi="Times New Roman"/>
                <w:color w:val="000000"/>
                <w:sz w:val="24"/>
                <w:szCs w:val="24"/>
              </w:rPr>
            </w:pPr>
            <w:r>
              <w:rPr>
                <w:rFonts w:ascii="Times New Roman" w:hAnsi="Times New Roman"/>
                <w:color w:val="000000"/>
                <w:sz w:val="24"/>
                <w:szCs w:val="24"/>
              </w:rPr>
              <w:t>5.61±0.20</w:t>
            </w:r>
          </w:p>
        </w:tc>
        <w:tc>
          <w:tcPr>
            <w:tcW w:w="1200" w:type="dxa"/>
            <w:tcBorders>
              <w:bottom w:val="nil"/>
            </w:tcBorders>
            <w:shd w:val="clear" w:color="auto" w:fill="FFFFFF"/>
            <w:noWrap/>
          </w:tcPr>
          <w:p w14:paraId="28E335FD">
            <w:pPr>
              <w:spacing w:after="0" w:line="240" w:lineRule="auto"/>
              <w:jc w:val="both"/>
              <w:rPr>
                <w:rFonts w:ascii="Times New Roman" w:hAnsi="Times New Roman"/>
                <w:color w:val="000000"/>
                <w:sz w:val="24"/>
                <w:szCs w:val="24"/>
              </w:rPr>
            </w:pPr>
            <w:r>
              <w:rPr>
                <w:rFonts w:ascii="Times New Roman" w:hAnsi="Times New Roman"/>
                <w:color w:val="000000"/>
                <w:sz w:val="24"/>
                <w:szCs w:val="24"/>
              </w:rPr>
              <w:t>1.07±0.04</w:t>
            </w:r>
          </w:p>
        </w:tc>
        <w:tc>
          <w:tcPr>
            <w:tcW w:w="1432" w:type="dxa"/>
            <w:shd w:val="clear" w:color="auto" w:fill="FFFFFF"/>
            <w:noWrap/>
          </w:tcPr>
          <w:p w14:paraId="4368E34E">
            <w:pPr>
              <w:spacing w:after="0" w:line="240" w:lineRule="auto"/>
              <w:jc w:val="both"/>
              <w:rPr>
                <w:rFonts w:ascii="Times New Roman" w:hAnsi="Times New Roman"/>
                <w:color w:val="000000"/>
                <w:sz w:val="24"/>
                <w:szCs w:val="24"/>
              </w:rPr>
            </w:pPr>
            <w:r>
              <w:rPr>
                <w:rFonts w:ascii="Times New Roman" w:hAnsi="Times New Roman"/>
                <w:color w:val="000000"/>
                <w:sz w:val="24"/>
                <w:szCs w:val="24"/>
              </w:rPr>
              <w:t>0.69± 0.07</w:t>
            </w:r>
          </w:p>
        </w:tc>
        <w:tc>
          <w:tcPr>
            <w:tcW w:w="1440" w:type="dxa"/>
            <w:tcBorders>
              <w:bottom w:val="nil"/>
            </w:tcBorders>
            <w:shd w:val="clear" w:color="auto" w:fill="FFFFFF"/>
            <w:noWrap/>
          </w:tcPr>
          <w:p w14:paraId="1C796180">
            <w:pPr>
              <w:spacing w:after="0" w:line="240" w:lineRule="auto"/>
              <w:jc w:val="both"/>
              <w:rPr>
                <w:rFonts w:ascii="Times New Roman" w:hAnsi="Times New Roman"/>
                <w:color w:val="000000"/>
                <w:sz w:val="24"/>
                <w:szCs w:val="24"/>
              </w:rPr>
            </w:pPr>
            <w:r>
              <w:rPr>
                <w:rFonts w:ascii="Times New Roman" w:hAnsi="Times New Roman"/>
                <w:color w:val="000000"/>
                <w:sz w:val="24"/>
                <w:szCs w:val="24"/>
              </w:rPr>
              <w:t>0.85± 0.04</w:t>
            </w:r>
          </w:p>
        </w:tc>
        <w:tc>
          <w:tcPr>
            <w:tcW w:w="1440" w:type="dxa"/>
            <w:shd w:val="clear" w:color="auto" w:fill="FFFFFF"/>
            <w:noWrap/>
          </w:tcPr>
          <w:p w14:paraId="46702197">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0.10±0.01</w:t>
            </w:r>
          </w:p>
        </w:tc>
      </w:tr>
      <w:tr w14:paraId="3222A60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395" w:type="dxa"/>
            <w:tcBorders>
              <w:left w:val="nil"/>
              <w:right w:val="nil"/>
            </w:tcBorders>
            <w:shd w:val="clear" w:color="auto" w:fill="FFFFFF"/>
            <w:noWrap/>
          </w:tcPr>
          <w:p w14:paraId="41DDD25F">
            <w:pPr>
              <w:spacing w:after="0" w:line="240" w:lineRule="auto"/>
              <w:jc w:val="both"/>
              <w:rPr>
                <w:rFonts w:ascii="Times New Roman" w:hAnsi="Times New Roman"/>
                <w:bCs/>
                <w:color w:val="000000"/>
                <w:sz w:val="24"/>
                <w:szCs w:val="24"/>
              </w:rPr>
            </w:pPr>
          </w:p>
        </w:tc>
        <w:tc>
          <w:tcPr>
            <w:tcW w:w="1035" w:type="dxa"/>
            <w:tcBorders>
              <w:left w:val="nil"/>
              <w:bottom w:val="nil"/>
              <w:right w:val="nil"/>
            </w:tcBorders>
            <w:shd w:val="clear" w:color="auto" w:fill="FFFFFF"/>
            <w:noWrap/>
          </w:tcPr>
          <w:p w14:paraId="5ADDF8F6">
            <w:pPr>
              <w:spacing w:line="240" w:lineRule="auto"/>
              <w:rPr>
                <w:rFonts w:ascii="Times New Roman" w:hAnsi="Times New Roman"/>
                <w:color w:val="000000"/>
                <w:sz w:val="24"/>
                <w:szCs w:val="24"/>
              </w:rPr>
            </w:pPr>
            <w:r>
              <w:rPr>
                <w:rFonts w:ascii="Times New Roman" w:hAnsi="Times New Roman"/>
                <w:color w:val="000000"/>
                <w:sz w:val="24"/>
                <w:szCs w:val="24"/>
              </w:rPr>
              <w:t>374</w:t>
            </w:r>
          </w:p>
        </w:tc>
        <w:tc>
          <w:tcPr>
            <w:tcW w:w="1255" w:type="dxa"/>
            <w:tcBorders>
              <w:left w:val="nil"/>
              <w:right w:val="nil"/>
            </w:tcBorders>
            <w:shd w:val="clear" w:color="auto" w:fill="FFFFFF"/>
            <w:noWrap/>
          </w:tcPr>
          <w:p w14:paraId="665D2DFA">
            <w:pPr>
              <w:spacing w:after="0" w:line="240" w:lineRule="auto"/>
              <w:jc w:val="both"/>
              <w:rPr>
                <w:rFonts w:ascii="Times New Roman" w:hAnsi="Times New Roman"/>
                <w:color w:val="000000"/>
                <w:sz w:val="24"/>
                <w:szCs w:val="24"/>
              </w:rPr>
            </w:pPr>
            <w:r>
              <w:rPr>
                <w:rFonts w:ascii="Times New Roman" w:hAnsi="Times New Roman"/>
                <w:color w:val="000000"/>
                <w:sz w:val="24"/>
                <w:szCs w:val="24"/>
              </w:rPr>
              <w:t>0.52±0.02</w:t>
            </w:r>
          </w:p>
        </w:tc>
        <w:tc>
          <w:tcPr>
            <w:tcW w:w="1215" w:type="dxa"/>
            <w:tcBorders>
              <w:left w:val="nil"/>
              <w:bottom w:val="nil"/>
              <w:right w:val="nil"/>
            </w:tcBorders>
            <w:shd w:val="clear" w:color="auto" w:fill="FFFFFF"/>
            <w:noWrap/>
          </w:tcPr>
          <w:p w14:paraId="783CF226">
            <w:pPr>
              <w:spacing w:after="0" w:line="240" w:lineRule="auto"/>
              <w:jc w:val="both"/>
              <w:rPr>
                <w:rFonts w:ascii="Times New Roman" w:hAnsi="Times New Roman"/>
                <w:color w:val="000000"/>
                <w:sz w:val="24"/>
                <w:szCs w:val="24"/>
              </w:rPr>
            </w:pPr>
            <w:r>
              <w:rPr>
                <w:rFonts w:ascii="Times New Roman" w:hAnsi="Times New Roman"/>
                <w:color w:val="000000"/>
                <w:sz w:val="24"/>
                <w:szCs w:val="24"/>
              </w:rPr>
              <w:t>1.35±0.06</w:t>
            </w:r>
          </w:p>
        </w:tc>
        <w:tc>
          <w:tcPr>
            <w:tcW w:w="1245" w:type="dxa"/>
            <w:tcBorders>
              <w:left w:val="nil"/>
              <w:right w:val="nil"/>
            </w:tcBorders>
            <w:shd w:val="clear" w:color="auto" w:fill="FFFFFF"/>
            <w:noWrap/>
          </w:tcPr>
          <w:p w14:paraId="2144BD43">
            <w:pPr>
              <w:spacing w:after="0" w:line="240" w:lineRule="auto"/>
              <w:jc w:val="both"/>
              <w:rPr>
                <w:rFonts w:ascii="Times New Roman" w:hAnsi="Times New Roman"/>
                <w:color w:val="000000"/>
                <w:sz w:val="24"/>
                <w:szCs w:val="24"/>
              </w:rPr>
            </w:pPr>
            <w:r>
              <w:rPr>
                <w:rFonts w:ascii="Times New Roman" w:hAnsi="Times New Roman"/>
                <w:color w:val="000000"/>
                <w:sz w:val="24"/>
                <w:szCs w:val="24"/>
              </w:rPr>
              <w:t>6.11±0.34</w:t>
            </w:r>
          </w:p>
        </w:tc>
        <w:tc>
          <w:tcPr>
            <w:tcW w:w="1200" w:type="dxa"/>
            <w:tcBorders>
              <w:left w:val="nil"/>
              <w:bottom w:val="nil"/>
              <w:right w:val="nil"/>
            </w:tcBorders>
            <w:shd w:val="clear" w:color="auto" w:fill="FFFFFF"/>
            <w:noWrap/>
          </w:tcPr>
          <w:p w14:paraId="4B4BEE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1.00±0.06</w:t>
            </w:r>
          </w:p>
        </w:tc>
        <w:tc>
          <w:tcPr>
            <w:tcW w:w="1432" w:type="dxa"/>
            <w:tcBorders>
              <w:left w:val="nil"/>
              <w:right w:val="nil"/>
            </w:tcBorders>
            <w:shd w:val="clear" w:color="auto" w:fill="FFFFFF"/>
            <w:noWrap/>
          </w:tcPr>
          <w:p w14:paraId="60F0CD18">
            <w:pPr>
              <w:spacing w:after="0" w:line="240" w:lineRule="auto"/>
              <w:jc w:val="both"/>
              <w:rPr>
                <w:rFonts w:ascii="Times New Roman" w:hAnsi="Times New Roman"/>
                <w:color w:val="000000"/>
                <w:sz w:val="24"/>
                <w:szCs w:val="24"/>
              </w:rPr>
            </w:pPr>
            <w:r>
              <w:rPr>
                <w:rFonts w:ascii="Times New Roman" w:hAnsi="Times New Roman"/>
                <w:color w:val="000000"/>
                <w:sz w:val="24"/>
                <w:szCs w:val="24"/>
              </w:rPr>
              <w:t>0.63±0.12</w:t>
            </w:r>
          </w:p>
        </w:tc>
        <w:tc>
          <w:tcPr>
            <w:tcW w:w="1440" w:type="dxa"/>
            <w:tcBorders>
              <w:left w:val="nil"/>
              <w:bottom w:val="nil"/>
              <w:right w:val="nil"/>
            </w:tcBorders>
            <w:shd w:val="clear" w:color="auto" w:fill="FFFFFF"/>
            <w:noWrap/>
          </w:tcPr>
          <w:p w14:paraId="20BC28EE">
            <w:pPr>
              <w:spacing w:after="0" w:line="240" w:lineRule="auto"/>
              <w:jc w:val="both"/>
              <w:rPr>
                <w:rFonts w:ascii="Times New Roman" w:hAnsi="Times New Roman"/>
                <w:color w:val="000000"/>
                <w:sz w:val="24"/>
                <w:szCs w:val="24"/>
              </w:rPr>
            </w:pPr>
            <w:r>
              <w:rPr>
                <w:rFonts w:ascii="Times New Roman" w:hAnsi="Times New Roman"/>
                <w:color w:val="000000"/>
                <w:sz w:val="24"/>
                <w:szCs w:val="24"/>
              </w:rPr>
              <w:t>0.77±0.05</w:t>
            </w:r>
          </w:p>
        </w:tc>
        <w:tc>
          <w:tcPr>
            <w:tcW w:w="1440" w:type="dxa"/>
            <w:tcBorders>
              <w:left w:val="nil"/>
              <w:right w:val="nil"/>
            </w:tcBorders>
            <w:shd w:val="clear" w:color="auto" w:fill="FFFFFF"/>
            <w:noWrap/>
          </w:tcPr>
          <w:p w14:paraId="65ECCA1E">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0.10±0.02 </w:t>
            </w:r>
          </w:p>
        </w:tc>
      </w:tr>
      <w:tr w14:paraId="1F6EB29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395" w:type="dxa"/>
            <w:shd w:val="clear" w:color="auto" w:fill="FFFFFF"/>
            <w:noWrap/>
          </w:tcPr>
          <w:p w14:paraId="59206260">
            <w:pPr>
              <w:spacing w:after="0" w:line="240" w:lineRule="auto"/>
              <w:jc w:val="both"/>
              <w:rPr>
                <w:rFonts w:ascii="Times New Roman" w:hAnsi="Times New Roman"/>
                <w:bCs/>
                <w:color w:val="000000"/>
                <w:sz w:val="24"/>
                <w:szCs w:val="24"/>
              </w:rPr>
            </w:pPr>
          </w:p>
        </w:tc>
        <w:tc>
          <w:tcPr>
            <w:tcW w:w="1035" w:type="dxa"/>
            <w:shd w:val="clear" w:color="auto" w:fill="FFFFFF"/>
            <w:noWrap/>
          </w:tcPr>
          <w:p w14:paraId="66FBFB72">
            <w:pPr>
              <w:spacing w:line="240" w:lineRule="auto"/>
              <w:rPr>
                <w:rFonts w:ascii="Times New Roman" w:hAnsi="Times New Roman"/>
                <w:color w:val="000000"/>
                <w:sz w:val="24"/>
                <w:szCs w:val="24"/>
              </w:rPr>
            </w:pPr>
            <w:r>
              <w:rPr>
                <w:rFonts w:ascii="Times New Roman" w:hAnsi="Times New Roman"/>
                <w:color w:val="000000"/>
                <w:sz w:val="24"/>
                <w:szCs w:val="24"/>
              </w:rPr>
              <w:t>561</w:t>
            </w:r>
          </w:p>
        </w:tc>
        <w:tc>
          <w:tcPr>
            <w:tcW w:w="1255" w:type="dxa"/>
            <w:shd w:val="clear" w:color="auto" w:fill="FFFFFF"/>
            <w:noWrap/>
          </w:tcPr>
          <w:p w14:paraId="30689980">
            <w:pPr>
              <w:spacing w:after="0" w:line="240" w:lineRule="auto"/>
              <w:jc w:val="both"/>
              <w:rPr>
                <w:rFonts w:ascii="Times New Roman" w:hAnsi="Times New Roman"/>
                <w:color w:val="000000"/>
                <w:sz w:val="24"/>
                <w:szCs w:val="24"/>
              </w:rPr>
            </w:pPr>
            <w:r>
              <w:rPr>
                <w:rFonts w:ascii="Times New Roman" w:hAnsi="Times New Roman"/>
                <w:color w:val="000000"/>
                <w:sz w:val="24"/>
                <w:szCs w:val="24"/>
              </w:rPr>
              <w:t>0.61±0.03</w:t>
            </w:r>
          </w:p>
        </w:tc>
        <w:tc>
          <w:tcPr>
            <w:tcW w:w="1215" w:type="dxa"/>
            <w:shd w:val="clear" w:color="auto" w:fill="FFFFFF"/>
            <w:noWrap/>
          </w:tcPr>
          <w:p w14:paraId="54706CDB">
            <w:pPr>
              <w:spacing w:after="0" w:line="240" w:lineRule="auto"/>
              <w:jc w:val="both"/>
              <w:rPr>
                <w:rFonts w:ascii="Times New Roman" w:hAnsi="Times New Roman"/>
                <w:color w:val="000000"/>
                <w:sz w:val="24"/>
                <w:szCs w:val="24"/>
              </w:rPr>
            </w:pPr>
            <w:r>
              <w:rPr>
                <w:rFonts w:ascii="Times New Roman" w:hAnsi="Times New Roman"/>
                <w:color w:val="000000"/>
                <w:sz w:val="24"/>
                <w:szCs w:val="24"/>
              </w:rPr>
              <w:t>1.35±0.06</w:t>
            </w:r>
          </w:p>
        </w:tc>
        <w:tc>
          <w:tcPr>
            <w:tcW w:w="1245" w:type="dxa"/>
            <w:shd w:val="clear" w:color="auto" w:fill="FFFFFF"/>
            <w:noWrap/>
          </w:tcPr>
          <w:p w14:paraId="3F0E3818">
            <w:pPr>
              <w:spacing w:after="0" w:line="240" w:lineRule="auto"/>
              <w:jc w:val="both"/>
              <w:rPr>
                <w:rFonts w:ascii="Times New Roman" w:hAnsi="Times New Roman"/>
                <w:color w:val="000000"/>
                <w:sz w:val="24"/>
                <w:szCs w:val="24"/>
              </w:rPr>
            </w:pPr>
            <w:r>
              <w:rPr>
                <w:rFonts w:ascii="Times New Roman" w:hAnsi="Times New Roman"/>
                <w:color w:val="000000"/>
                <w:sz w:val="24"/>
                <w:szCs w:val="24"/>
              </w:rPr>
              <w:t>4.98±0.23</w:t>
            </w:r>
          </w:p>
        </w:tc>
        <w:tc>
          <w:tcPr>
            <w:tcW w:w="1200" w:type="dxa"/>
            <w:shd w:val="clear" w:color="auto" w:fill="FFFFFF"/>
            <w:noWrap/>
          </w:tcPr>
          <w:p w14:paraId="71D9C6D4">
            <w:pPr>
              <w:spacing w:after="0" w:line="240" w:lineRule="auto"/>
              <w:jc w:val="both"/>
              <w:rPr>
                <w:rFonts w:ascii="Times New Roman" w:hAnsi="Times New Roman"/>
                <w:color w:val="000000"/>
                <w:sz w:val="24"/>
                <w:szCs w:val="24"/>
              </w:rPr>
            </w:pPr>
            <w:r>
              <w:rPr>
                <w:rFonts w:ascii="Times New Roman" w:hAnsi="Times New Roman"/>
                <w:color w:val="000000"/>
                <w:sz w:val="24"/>
                <w:szCs w:val="24"/>
              </w:rPr>
              <w:t>1.02±0.03</w:t>
            </w:r>
          </w:p>
        </w:tc>
        <w:tc>
          <w:tcPr>
            <w:tcW w:w="1432" w:type="dxa"/>
            <w:shd w:val="clear" w:color="auto" w:fill="FFFFFF"/>
            <w:noWrap/>
          </w:tcPr>
          <w:p w14:paraId="28882B03">
            <w:pPr>
              <w:spacing w:after="0" w:line="240" w:lineRule="auto"/>
              <w:jc w:val="both"/>
              <w:rPr>
                <w:rFonts w:ascii="Times New Roman" w:hAnsi="Times New Roman"/>
                <w:color w:val="000000"/>
                <w:sz w:val="24"/>
                <w:szCs w:val="24"/>
              </w:rPr>
            </w:pPr>
            <w:r>
              <w:rPr>
                <w:rFonts w:ascii="Times New Roman" w:hAnsi="Times New Roman"/>
                <w:color w:val="000000"/>
                <w:sz w:val="24"/>
                <w:szCs w:val="24"/>
              </w:rPr>
              <w:t>0.51± 0.04</w:t>
            </w:r>
          </w:p>
        </w:tc>
        <w:tc>
          <w:tcPr>
            <w:tcW w:w="1440" w:type="dxa"/>
            <w:shd w:val="clear" w:color="auto" w:fill="FFFFFF"/>
            <w:noWrap/>
          </w:tcPr>
          <w:p w14:paraId="67E018A8">
            <w:pPr>
              <w:spacing w:after="0" w:line="240" w:lineRule="auto"/>
              <w:jc w:val="both"/>
              <w:rPr>
                <w:rFonts w:ascii="Times New Roman" w:hAnsi="Times New Roman"/>
                <w:color w:val="000000"/>
                <w:sz w:val="24"/>
                <w:szCs w:val="24"/>
              </w:rPr>
            </w:pPr>
            <w:r>
              <w:rPr>
                <w:rFonts w:ascii="Times New Roman" w:hAnsi="Times New Roman"/>
                <w:color w:val="000000"/>
                <w:sz w:val="24"/>
                <w:szCs w:val="24"/>
              </w:rPr>
              <w:t>0.74± 0.06</w:t>
            </w:r>
          </w:p>
        </w:tc>
        <w:tc>
          <w:tcPr>
            <w:tcW w:w="1440" w:type="dxa"/>
            <w:shd w:val="clear" w:color="auto" w:fill="FFFFFF"/>
            <w:noWrap/>
          </w:tcPr>
          <w:p w14:paraId="03CFE4B3">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0.11±0.04</w:t>
            </w:r>
          </w:p>
        </w:tc>
      </w:tr>
    </w:tbl>
    <w:p w14:paraId="7F3DE3A3">
      <w:pPr>
        <w:jc w:val="both"/>
        <w:rPr>
          <w:rFonts w:ascii="Times New Roman" w:hAnsi="Times New Roman"/>
          <w:sz w:val="24"/>
          <w:szCs w:val="24"/>
        </w:rPr>
      </w:pPr>
      <w:r>
        <w:rPr>
          <w:rFonts w:ascii="Times New Roman" w:hAnsi="Times New Roman"/>
          <w:sz w:val="24"/>
          <w:szCs w:val="24"/>
        </w:rPr>
        <w:t xml:space="preserve">                   Data are expressed as MEAN ± SEM, Significant at </w:t>
      </w:r>
      <w:r>
        <w:rPr>
          <w:rFonts w:ascii="Times New Roman" w:hAnsi="Times New Roman"/>
          <w:sz w:val="24"/>
          <w:szCs w:val="24"/>
          <w:vertAlign w:val="superscript"/>
        </w:rPr>
        <w:t>a</w:t>
      </w:r>
      <w:r>
        <w:rPr>
          <w:rFonts w:ascii="Times New Roman" w:hAnsi="Times New Roman"/>
          <w:sz w:val="24"/>
          <w:szCs w:val="24"/>
        </w:rPr>
        <w:t xml:space="preserve">p&lt;0.05, </w:t>
      </w:r>
      <w:r>
        <w:rPr>
          <w:rFonts w:ascii="Times New Roman" w:hAnsi="Times New Roman"/>
          <w:sz w:val="24"/>
          <w:szCs w:val="24"/>
          <w:vertAlign w:val="superscript"/>
        </w:rPr>
        <w:t>b</w:t>
      </w:r>
      <w:r>
        <w:rPr>
          <w:rFonts w:ascii="Times New Roman" w:hAnsi="Times New Roman"/>
          <w:sz w:val="24"/>
          <w:szCs w:val="24"/>
        </w:rPr>
        <w:t xml:space="preserve">p&lt; 0.01, </w:t>
      </w:r>
      <w:r>
        <w:rPr>
          <w:rFonts w:ascii="Times New Roman" w:hAnsi="Times New Roman"/>
          <w:sz w:val="24"/>
          <w:szCs w:val="24"/>
          <w:vertAlign w:val="superscript"/>
        </w:rPr>
        <w:t>c</w:t>
      </w:r>
      <w:r>
        <w:rPr>
          <w:rFonts w:ascii="Times New Roman" w:hAnsi="Times New Roman"/>
          <w:sz w:val="24"/>
          <w:szCs w:val="24"/>
        </w:rPr>
        <w:t xml:space="preserve">p&lt; 0.001, when compared to control. (n=5). </w:t>
      </w:r>
    </w:p>
    <w:p w14:paraId="0A99B984">
      <w:pPr>
        <w:jc w:val="both"/>
        <w:rPr>
          <w:rFonts w:ascii="Times New Roman" w:hAnsi="Times New Roman"/>
          <w:sz w:val="24"/>
          <w:szCs w:val="24"/>
        </w:rPr>
        <w:sectPr>
          <w:pgSz w:w="16834" w:h="11909" w:orient="landscape"/>
          <w:pgMar w:top="1699" w:right="1411" w:bottom="850" w:left="850" w:header="706" w:footer="706" w:gutter="0"/>
          <w:cols w:space="720" w:num="1"/>
          <w:docGrid w:linePitch="360" w:charSpace="0"/>
        </w:sectPr>
      </w:pPr>
    </w:p>
    <w:p w14:paraId="678B1B6F">
      <w:pPr>
        <w:spacing w:after="0" w:line="480" w:lineRule="auto"/>
        <w:ind w:right="-1"/>
        <w:jc w:val="both"/>
        <w:rPr>
          <w:rFonts w:ascii="Times New Roman" w:hAnsi="Times New Roman"/>
          <w:b/>
          <w:sz w:val="24"/>
          <w:szCs w:val="24"/>
        </w:rPr>
      </w:pPr>
      <w:r>
        <w:rPr>
          <w:rFonts w:ascii="Times New Roman" w:hAnsi="Times New Roman"/>
          <w:b/>
          <w:sz w:val="24"/>
          <w:szCs w:val="24"/>
        </w:rPr>
        <w:t>3.4 Effect of extract on liver function indices of rats</w:t>
      </w:r>
    </w:p>
    <w:p w14:paraId="46341AB1">
      <w:pPr>
        <w:spacing w:after="0" w:line="480" w:lineRule="auto"/>
        <w:ind w:firstLine="720"/>
        <w:jc w:val="both"/>
        <w:rPr>
          <w:rFonts w:ascii="Times New Roman" w:hAnsi="Times New Roman"/>
          <w:b/>
          <w:sz w:val="24"/>
          <w:szCs w:val="24"/>
          <w:highlight w:val="yellow"/>
        </w:rPr>
      </w:pPr>
      <w:r>
        <w:rPr>
          <w:rFonts w:ascii="Times New Roman" w:hAnsi="Times New Roman"/>
          <w:sz w:val="24"/>
          <w:szCs w:val="24"/>
          <w:highlight w:val="yellow"/>
        </w:rPr>
        <w:t xml:space="preserve"> Administration of husk extract of </w:t>
      </w:r>
      <w:r>
        <w:rPr>
          <w:rFonts w:ascii="Times New Roman" w:hAnsi="Times New Roman"/>
          <w:i/>
          <w:iCs/>
          <w:sz w:val="24"/>
          <w:szCs w:val="24"/>
          <w:highlight w:val="yellow"/>
        </w:rPr>
        <w:t>Zea mays</w:t>
      </w:r>
      <w:r>
        <w:rPr>
          <w:rFonts w:ascii="Times New Roman" w:hAnsi="Times New Roman"/>
          <w:sz w:val="24"/>
          <w:szCs w:val="24"/>
          <w:highlight w:val="yellow"/>
        </w:rPr>
        <w:t xml:space="preserve"> (187 - 561 mg/kg) to female rats for 100 days did not cause any significant (p&gt;0.05) effect on the levels of total protein and albumin, ALT, AST, ALP, GGT and combined bilirubin </w:t>
      </w:r>
      <w:r>
        <w:rPr>
          <w:rFonts w:hint="default" w:ascii="Times New Roman" w:hAnsi="Times New Roman"/>
          <w:sz w:val="24"/>
          <w:szCs w:val="24"/>
          <w:highlight w:val="yellow"/>
          <w:lang w:val="en-GB"/>
        </w:rPr>
        <w:t xml:space="preserve">relative </w:t>
      </w:r>
      <w:r>
        <w:rPr>
          <w:rFonts w:ascii="Times New Roman" w:hAnsi="Times New Roman"/>
          <w:sz w:val="24"/>
          <w:szCs w:val="24"/>
          <w:highlight w:val="yellow"/>
        </w:rPr>
        <w:t xml:space="preserve"> to control statistically (Table 4). However, the level of total bilirubin was increased non dose-dependently and was significant (p&lt;0.001) in the group treated with the middle dose (374 mg/kg) when compared to control (Table 4).   </w:t>
      </w:r>
    </w:p>
    <w:p w14:paraId="318B022D">
      <w:pPr>
        <w:spacing w:before="240" w:after="0" w:line="480" w:lineRule="auto"/>
        <w:ind w:right="-1"/>
        <w:jc w:val="both"/>
        <w:rPr>
          <w:rFonts w:ascii="Times New Roman" w:hAnsi="Times New Roman"/>
          <w:b/>
          <w:sz w:val="24"/>
          <w:szCs w:val="24"/>
          <w:highlight w:val="yellow"/>
        </w:rPr>
      </w:pPr>
      <w:r>
        <w:rPr>
          <w:rFonts w:ascii="Times New Roman" w:hAnsi="Times New Roman"/>
          <w:b/>
          <w:sz w:val="24"/>
          <w:szCs w:val="24"/>
          <w:highlight w:val="yellow"/>
        </w:rPr>
        <w:t>3.5 Effect on kidney function parameters of rats</w:t>
      </w:r>
    </w:p>
    <w:p w14:paraId="5348428F">
      <w:pPr>
        <w:spacing w:after="0" w:line="480" w:lineRule="auto"/>
        <w:ind w:firstLine="720"/>
        <w:jc w:val="both"/>
        <w:rPr>
          <w:rFonts w:ascii="Times New Roman" w:hAnsi="Times New Roman"/>
          <w:sz w:val="24"/>
          <w:szCs w:val="24"/>
          <w:highlight w:val="yellow"/>
        </w:rPr>
      </w:pPr>
      <w:r>
        <w:rPr>
          <w:rFonts w:ascii="Times New Roman" w:hAnsi="Times New Roman"/>
          <w:sz w:val="24"/>
          <w:szCs w:val="24"/>
          <w:highlight w:val="yellow"/>
        </w:rPr>
        <w:t xml:space="preserve">Treatment of  female rats for 100 days with </w:t>
      </w:r>
      <w:r>
        <w:rPr>
          <w:rFonts w:ascii="Times New Roman" w:hAnsi="Times New Roman"/>
          <w:i/>
          <w:sz w:val="24"/>
          <w:szCs w:val="24"/>
          <w:highlight w:val="yellow"/>
        </w:rPr>
        <w:t xml:space="preserve">Zea mays </w:t>
      </w:r>
      <w:r>
        <w:rPr>
          <w:rFonts w:hint="default" w:ascii="Times New Roman" w:hAnsi="Times New Roman"/>
          <w:i w:val="0"/>
          <w:iCs/>
          <w:sz w:val="24"/>
          <w:szCs w:val="24"/>
          <w:highlight w:val="yellow"/>
          <w:lang w:val="en-GB"/>
        </w:rPr>
        <w:t xml:space="preserve">husk extract </w:t>
      </w:r>
      <w:r>
        <w:rPr>
          <w:rFonts w:ascii="Times New Roman" w:hAnsi="Times New Roman"/>
          <w:iCs/>
          <w:sz w:val="24"/>
          <w:szCs w:val="24"/>
          <w:highlight w:val="yellow"/>
        </w:rPr>
        <w:t xml:space="preserve">(187-561 mg/kg) </w:t>
      </w:r>
      <w:r>
        <w:rPr>
          <w:rFonts w:ascii="Times New Roman" w:hAnsi="Times New Roman"/>
          <w:sz w:val="24"/>
          <w:szCs w:val="24"/>
          <w:highlight w:val="yellow"/>
        </w:rPr>
        <w:t xml:space="preserve"> did not affect the levels of creatinine, urea, bicarbonate, potassium and chloride of female rats significantly (p&gt;0.05) </w:t>
      </w:r>
      <w:r>
        <w:rPr>
          <w:rFonts w:hint="default" w:ascii="Times New Roman" w:hAnsi="Times New Roman"/>
          <w:sz w:val="24"/>
          <w:szCs w:val="24"/>
          <w:highlight w:val="yellow"/>
          <w:lang w:val="en-GB"/>
        </w:rPr>
        <w:t>relative</w:t>
      </w:r>
      <w:r>
        <w:rPr>
          <w:rFonts w:ascii="Times New Roman" w:hAnsi="Times New Roman"/>
          <w:sz w:val="24"/>
          <w:szCs w:val="24"/>
          <w:highlight w:val="yellow"/>
        </w:rPr>
        <w:t xml:space="preserve"> to control (Table 5), but caused  non dose-dependent </w:t>
      </w:r>
      <w:r>
        <w:rPr>
          <w:rFonts w:hint="default" w:ascii="Times New Roman" w:hAnsi="Times New Roman"/>
          <w:sz w:val="24"/>
          <w:szCs w:val="24"/>
          <w:highlight w:val="yellow"/>
          <w:lang w:val="en-GB"/>
        </w:rPr>
        <w:t>elevations</w:t>
      </w:r>
      <w:r>
        <w:rPr>
          <w:rFonts w:ascii="Times New Roman" w:hAnsi="Times New Roman"/>
          <w:sz w:val="24"/>
          <w:szCs w:val="24"/>
          <w:highlight w:val="yellow"/>
        </w:rPr>
        <w:t xml:space="preserve">  of sodium </w:t>
      </w:r>
      <w:r>
        <w:rPr>
          <w:rFonts w:hint="default" w:ascii="Times New Roman" w:hAnsi="Times New Roman"/>
          <w:sz w:val="24"/>
          <w:szCs w:val="24"/>
          <w:highlight w:val="yellow"/>
          <w:lang w:val="en-GB"/>
        </w:rPr>
        <w:t xml:space="preserve">levels </w:t>
      </w:r>
      <w:r>
        <w:rPr>
          <w:rFonts w:ascii="Times New Roman" w:hAnsi="Times New Roman"/>
          <w:sz w:val="24"/>
          <w:szCs w:val="24"/>
          <w:highlight w:val="yellow"/>
        </w:rPr>
        <w:t>at low and highest doses (187 and 561 mg/kg) of the extract which was only significant (p&lt;0.001) in the group treated with the highest dose (561 mg/kg)</w:t>
      </w:r>
      <w:r>
        <w:rPr>
          <w:rFonts w:hint="default" w:ascii="Times New Roman" w:hAnsi="Times New Roman"/>
          <w:sz w:val="24"/>
          <w:szCs w:val="24"/>
          <w:highlight w:val="yellow"/>
          <w:lang w:val="en-GB"/>
        </w:rPr>
        <w:t xml:space="preserve"> relative</w:t>
      </w:r>
      <w:r>
        <w:rPr>
          <w:rFonts w:ascii="Times New Roman" w:hAnsi="Times New Roman"/>
          <w:sz w:val="24"/>
          <w:szCs w:val="24"/>
          <w:highlight w:val="yellow"/>
        </w:rPr>
        <w:t xml:space="preserve"> to control (Table 5). </w:t>
      </w:r>
    </w:p>
    <w:p w14:paraId="3A9FFF08">
      <w:pPr>
        <w:spacing w:after="0" w:line="480" w:lineRule="auto"/>
        <w:jc w:val="both"/>
        <w:rPr>
          <w:rFonts w:ascii="Times New Roman" w:hAnsi="Times New Roman"/>
          <w:b/>
          <w:sz w:val="24"/>
          <w:szCs w:val="24"/>
          <w:highlight w:val="yellow"/>
        </w:rPr>
        <w:sectPr>
          <w:pgSz w:w="11909" w:h="16834"/>
          <w:pgMar w:top="1411" w:right="850" w:bottom="850" w:left="1699" w:header="706" w:footer="706" w:gutter="0"/>
          <w:cols w:space="720" w:num="1"/>
          <w:docGrid w:linePitch="360" w:charSpace="0"/>
        </w:sectPr>
      </w:pPr>
    </w:p>
    <w:p w14:paraId="113401FC">
      <w:pPr>
        <w:spacing w:before="240" w:after="0"/>
        <w:jc w:val="both"/>
        <w:rPr>
          <w:rFonts w:ascii="Times New Roman" w:hAnsi="Times New Roman"/>
          <w:b/>
          <w:color w:val="000000"/>
          <w:sz w:val="24"/>
          <w:szCs w:val="24"/>
        </w:rPr>
      </w:pPr>
      <w:r>
        <w:rPr>
          <w:rFonts w:ascii="Times New Roman" w:hAnsi="Times New Roman"/>
          <w:b/>
          <w:color w:val="000000"/>
          <w:sz w:val="24"/>
          <w:szCs w:val="24"/>
        </w:rPr>
        <w:t xml:space="preserve">  </w:t>
      </w:r>
    </w:p>
    <w:p w14:paraId="589258C6">
      <w:pPr>
        <w:spacing w:before="240" w:after="0"/>
        <w:jc w:val="both"/>
        <w:rPr>
          <w:rFonts w:ascii="Times New Roman" w:hAnsi="Times New Roman"/>
          <w:bCs/>
          <w:color w:val="000000"/>
          <w:sz w:val="24"/>
          <w:szCs w:val="24"/>
        </w:rPr>
      </w:pPr>
      <w:r>
        <w:rPr>
          <w:rFonts w:ascii="Times New Roman" w:hAnsi="Times New Roman"/>
          <w:b/>
          <w:color w:val="000000"/>
          <w:sz w:val="24"/>
          <w:szCs w:val="24"/>
        </w:rPr>
        <w:t xml:space="preserve"> </w:t>
      </w:r>
      <w:r>
        <w:rPr>
          <w:rFonts w:ascii="Times New Roman" w:hAnsi="Times New Roman"/>
          <w:bCs/>
          <w:color w:val="000000"/>
          <w:sz w:val="24"/>
          <w:szCs w:val="24"/>
        </w:rPr>
        <w:t xml:space="preserve">Table 3: Effect of chronic administration of </w:t>
      </w:r>
      <w:r>
        <w:rPr>
          <w:rFonts w:ascii="Times New Roman" w:hAnsi="Times New Roman"/>
          <w:bCs/>
          <w:i/>
          <w:color w:val="000000"/>
          <w:sz w:val="24"/>
          <w:szCs w:val="24"/>
        </w:rPr>
        <w:t xml:space="preserve">Zea mays </w:t>
      </w:r>
      <w:r>
        <w:rPr>
          <w:rFonts w:ascii="Times New Roman" w:hAnsi="Times New Roman"/>
          <w:bCs/>
          <w:color w:val="000000"/>
          <w:sz w:val="24"/>
          <w:szCs w:val="24"/>
        </w:rPr>
        <w:t>husk extract on heamatological parameters of female rats</w:t>
      </w:r>
    </w:p>
    <w:tbl>
      <w:tblPr>
        <w:tblStyle w:val="3"/>
        <w:tblW w:w="14923" w:type="dxa"/>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58"/>
        <w:gridCol w:w="730"/>
        <w:gridCol w:w="1267"/>
        <w:gridCol w:w="1267"/>
        <w:gridCol w:w="1283"/>
        <w:gridCol w:w="1134"/>
        <w:gridCol w:w="1216"/>
        <w:gridCol w:w="1200"/>
        <w:gridCol w:w="1217"/>
        <w:gridCol w:w="1283"/>
        <w:gridCol w:w="1217"/>
        <w:gridCol w:w="1651"/>
      </w:tblGrid>
      <w:tr w14:paraId="0F25B79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458" w:type="dxa"/>
            <w:tcBorders>
              <w:top w:val="single" w:color="000000" w:sz="8" w:space="0"/>
              <w:left w:val="nil"/>
              <w:bottom w:val="single" w:color="000000" w:sz="8" w:space="0"/>
              <w:right w:val="nil"/>
            </w:tcBorders>
            <w:noWrap/>
          </w:tcPr>
          <w:p w14:paraId="283489FA">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Treatment</w:t>
            </w:r>
          </w:p>
        </w:tc>
        <w:tc>
          <w:tcPr>
            <w:tcW w:w="730" w:type="dxa"/>
            <w:tcBorders>
              <w:top w:val="single" w:color="000000" w:sz="8" w:space="0"/>
              <w:bottom w:val="single" w:color="000000" w:sz="8" w:space="0"/>
              <w:right w:val="nil"/>
            </w:tcBorders>
            <w:noWrap/>
          </w:tcPr>
          <w:p w14:paraId="7EE2F9B8">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Dose</w:t>
            </w:r>
          </w:p>
        </w:tc>
        <w:tc>
          <w:tcPr>
            <w:tcW w:w="1267" w:type="dxa"/>
            <w:tcBorders>
              <w:top w:val="single" w:color="000000" w:sz="8" w:space="0"/>
              <w:bottom w:val="single" w:color="000000" w:sz="8" w:space="0"/>
              <w:right w:val="nil"/>
            </w:tcBorders>
            <w:noWrap/>
          </w:tcPr>
          <w:p w14:paraId="49661B1B">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WBC (x10</w:t>
            </w:r>
            <w:r>
              <w:rPr>
                <w:rFonts w:ascii="Times New Roman" w:hAnsi="Times New Roman"/>
                <w:bCs/>
                <w:color w:val="000000"/>
                <w:sz w:val="21"/>
                <w:szCs w:val="21"/>
                <w:vertAlign w:val="superscript"/>
              </w:rPr>
              <w:t>3</w:t>
            </w:r>
            <w:r>
              <w:rPr>
                <w:rFonts w:ascii="Times New Roman" w:hAnsi="Times New Roman"/>
                <w:bCs/>
                <w:color w:val="000000"/>
                <w:sz w:val="21"/>
                <w:szCs w:val="21"/>
              </w:rPr>
              <w:t>/</w:t>
            </w:r>
            <w:r>
              <w:rPr>
                <w:rFonts w:ascii="Tahoma" w:hAnsi="Tahoma" w:cs="Tahoma"/>
                <w:bCs/>
                <w:color w:val="000000"/>
                <w:sz w:val="21"/>
                <w:szCs w:val="21"/>
              </w:rPr>
              <w:t>µ</w:t>
            </w:r>
            <w:r>
              <w:rPr>
                <w:rFonts w:ascii="Times New Roman" w:hAnsi="Times New Roman"/>
                <w:bCs/>
                <w:color w:val="000000"/>
                <w:sz w:val="21"/>
                <w:szCs w:val="21"/>
              </w:rPr>
              <w:t>L)</w:t>
            </w:r>
          </w:p>
        </w:tc>
        <w:tc>
          <w:tcPr>
            <w:tcW w:w="1267" w:type="dxa"/>
            <w:tcBorders>
              <w:top w:val="single" w:color="000000" w:sz="8" w:space="0"/>
              <w:bottom w:val="single" w:color="000000" w:sz="8" w:space="0"/>
              <w:right w:val="nil"/>
            </w:tcBorders>
            <w:noWrap/>
          </w:tcPr>
          <w:p w14:paraId="676649D0">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 xml:space="preserve">NEUT. </w:t>
            </w:r>
          </w:p>
          <w:p w14:paraId="2568ACA5">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w:t>
            </w:r>
          </w:p>
        </w:tc>
        <w:tc>
          <w:tcPr>
            <w:tcW w:w="1283" w:type="dxa"/>
            <w:tcBorders>
              <w:top w:val="single" w:color="000000" w:sz="8" w:space="0"/>
              <w:bottom w:val="single" w:color="000000" w:sz="8" w:space="0"/>
              <w:right w:val="nil"/>
            </w:tcBorders>
            <w:noWrap/>
          </w:tcPr>
          <w:p w14:paraId="6EDD248B">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 xml:space="preserve">LYM </w:t>
            </w:r>
          </w:p>
          <w:p w14:paraId="49934B0C">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w:t>
            </w:r>
          </w:p>
        </w:tc>
        <w:tc>
          <w:tcPr>
            <w:tcW w:w="1134" w:type="dxa"/>
            <w:tcBorders>
              <w:top w:val="single" w:color="000000" w:sz="8" w:space="0"/>
              <w:bottom w:val="single" w:color="000000" w:sz="8" w:space="0"/>
              <w:right w:val="nil"/>
            </w:tcBorders>
            <w:noWrap/>
          </w:tcPr>
          <w:p w14:paraId="49B40A9E">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MONO (%)</w:t>
            </w:r>
          </w:p>
        </w:tc>
        <w:tc>
          <w:tcPr>
            <w:tcW w:w="1216" w:type="dxa"/>
            <w:tcBorders>
              <w:top w:val="single" w:color="000000" w:sz="8" w:space="0"/>
              <w:bottom w:val="single" w:color="000000" w:sz="8" w:space="0"/>
              <w:right w:val="nil"/>
            </w:tcBorders>
            <w:noWrap/>
          </w:tcPr>
          <w:p w14:paraId="08267C48">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 xml:space="preserve">ESINO </w:t>
            </w:r>
          </w:p>
          <w:p w14:paraId="7DE2BA0D">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w:t>
            </w:r>
          </w:p>
        </w:tc>
        <w:tc>
          <w:tcPr>
            <w:tcW w:w="1200" w:type="dxa"/>
            <w:tcBorders>
              <w:top w:val="single" w:color="000000" w:sz="8" w:space="0"/>
              <w:bottom w:val="single" w:color="000000" w:sz="8" w:space="0"/>
              <w:right w:val="nil"/>
            </w:tcBorders>
            <w:noWrap/>
          </w:tcPr>
          <w:p w14:paraId="5F08763A">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 xml:space="preserve">BASO </w:t>
            </w:r>
          </w:p>
          <w:p w14:paraId="50A806B6">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w:t>
            </w:r>
          </w:p>
        </w:tc>
        <w:tc>
          <w:tcPr>
            <w:tcW w:w="1217" w:type="dxa"/>
            <w:tcBorders>
              <w:top w:val="single" w:color="000000" w:sz="8" w:space="0"/>
              <w:bottom w:val="single" w:color="000000" w:sz="8" w:space="0"/>
              <w:right w:val="nil"/>
            </w:tcBorders>
            <w:noWrap/>
          </w:tcPr>
          <w:p w14:paraId="34AC1388">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RBC (x10</w:t>
            </w:r>
            <w:r>
              <w:rPr>
                <w:rFonts w:ascii="Times New Roman" w:hAnsi="Times New Roman"/>
                <w:bCs/>
                <w:color w:val="000000"/>
                <w:sz w:val="21"/>
                <w:szCs w:val="21"/>
                <w:vertAlign w:val="superscript"/>
              </w:rPr>
              <w:t>6</w:t>
            </w:r>
            <w:r>
              <w:rPr>
                <w:rFonts w:ascii="Times New Roman" w:hAnsi="Times New Roman"/>
                <w:bCs/>
                <w:color w:val="000000"/>
                <w:sz w:val="21"/>
                <w:szCs w:val="21"/>
              </w:rPr>
              <w:t>/</w:t>
            </w:r>
            <w:r>
              <w:rPr>
                <w:rFonts w:ascii="Tahoma" w:hAnsi="Tahoma" w:cs="Tahoma"/>
                <w:bCs/>
                <w:color w:val="000000"/>
                <w:sz w:val="21"/>
                <w:szCs w:val="21"/>
              </w:rPr>
              <w:t>µ</w:t>
            </w:r>
            <w:r>
              <w:rPr>
                <w:rFonts w:ascii="Times New Roman" w:hAnsi="Times New Roman"/>
                <w:bCs/>
                <w:color w:val="000000"/>
                <w:sz w:val="21"/>
                <w:szCs w:val="21"/>
              </w:rPr>
              <w:t>L)</w:t>
            </w:r>
          </w:p>
        </w:tc>
        <w:tc>
          <w:tcPr>
            <w:tcW w:w="1283" w:type="dxa"/>
            <w:tcBorders>
              <w:top w:val="single" w:color="000000" w:sz="8" w:space="0"/>
              <w:bottom w:val="single" w:color="000000" w:sz="8" w:space="0"/>
              <w:right w:val="nil"/>
            </w:tcBorders>
            <w:noWrap/>
          </w:tcPr>
          <w:p w14:paraId="6E12F732">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 xml:space="preserve">HGB </w:t>
            </w:r>
          </w:p>
          <w:p w14:paraId="51009332">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(g/dL)</w:t>
            </w:r>
          </w:p>
        </w:tc>
        <w:tc>
          <w:tcPr>
            <w:tcW w:w="1217" w:type="dxa"/>
            <w:tcBorders>
              <w:top w:val="single" w:color="000000" w:sz="8" w:space="0"/>
              <w:bottom w:val="single" w:color="000000" w:sz="8" w:space="0"/>
              <w:right w:val="nil"/>
            </w:tcBorders>
            <w:noWrap/>
          </w:tcPr>
          <w:p w14:paraId="4045EB64">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 xml:space="preserve">PCV </w:t>
            </w:r>
          </w:p>
          <w:p w14:paraId="5A9326F6">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w:t>
            </w:r>
          </w:p>
        </w:tc>
        <w:tc>
          <w:tcPr>
            <w:tcW w:w="1651" w:type="dxa"/>
            <w:tcBorders>
              <w:top w:val="single" w:color="000000" w:sz="8" w:space="0"/>
              <w:bottom w:val="single" w:color="000000" w:sz="8" w:space="0"/>
              <w:right w:val="nil"/>
            </w:tcBorders>
            <w:noWrap/>
          </w:tcPr>
          <w:p w14:paraId="270B0001">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PLATELETS. (x10</w:t>
            </w:r>
            <w:r>
              <w:rPr>
                <w:rFonts w:ascii="Times New Roman" w:hAnsi="Times New Roman"/>
                <w:bCs/>
                <w:color w:val="000000"/>
                <w:sz w:val="21"/>
                <w:szCs w:val="21"/>
                <w:vertAlign w:val="superscript"/>
              </w:rPr>
              <w:t>3</w:t>
            </w:r>
            <w:r>
              <w:rPr>
                <w:rFonts w:ascii="Times New Roman" w:hAnsi="Times New Roman"/>
                <w:bCs/>
                <w:color w:val="000000"/>
                <w:sz w:val="21"/>
                <w:szCs w:val="21"/>
              </w:rPr>
              <w:t>/</w:t>
            </w:r>
            <w:r>
              <w:rPr>
                <w:rFonts w:ascii="Tahoma" w:hAnsi="Tahoma" w:cs="Tahoma"/>
                <w:bCs/>
                <w:color w:val="000000"/>
                <w:sz w:val="21"/>
                <w:szCs w:val="21"/>
              </w:rPr>
              <w:t>µ</w:t>
            </w:r>
            <w:r>
              <w:rPr>
                <w:rFonts w:ascii="Times New Roman" w:hAnsi="Times New Roman"/>
                <w:bCs/>
                <w:color w:val="000000"/>
                <w:sz w:val="21"/>
                <w:szCs w:val="21"/>
              </w:rPr>
              <w:t>L)</w:t>
            </w:r>
          </w:p>
        </w:tc>
      </w:tr>
      <w:tr w14:paraId="1C4DA76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458" w:type="dxa"/>
            <w:noWrap/>
          </w:tcPr>
          <w:p w14:paraId="690007AB">
            <w:pPr>
              <w:spacing w:after="0" w:line="240" w:lineRule="auto"/>
              <w:jc w:val="both"/>
              <w:rPr>
                <w:rFonts w:ascii="Times New Roman" w:hAnsi="Times New Roman"/>
                <w:bCs/>
                <w:color w:val="000000"/>
                <w:sz w:val="21"/>
                <w:szCs w:val="21"/>
              </w:rPr>
            </w:pPr>
            <w:r>
              <w:rPr>
                <w:rFonts w:ascii="Times New Roman" w:hAnsi="Times New Roman"/>
                <w:bCs/>
                <w:color w:val="000000"/>
                <w:sz w:val="21"/>
                <w:szCs w:val="21"/>
              </w:rPr>
              <w:t xml:space="preserve"> Control</w:t>
            </w:r>
          </w:p>
          <w:p w14:paraId="776589A6">
            <w:pPr>
              <w:spacing w:after="0" w:line="240" w:lineRule="auto"/>
              <w:jc w:val="both"/>
              <w:rPr>
                <w:rFonts w:ascii="Times New Roman" w:hAnsi="Times New Roman"/>
                <w:bCs/>
                <w:color w:val="000000"/>
                <w:sz w:val="21"/>
                <w:szCs w:val="21"/>
              </w:rPr>
            </w:pPr>
            <w:r>
              <w:rPr>
                <w:rFonts w:ascii="Times New Roman" w:hAnsi="Times New Roman"/>
                <w:bCs/>
                <w:color w:val="000000"/>
                <w:sz w:val="21"/>
                <w:szCs w:val="21"/>
              </w:rPr>
              <w:t xml:space="preserve"> normal saline</w:t>
            </w:r>
          </w:p>
        </w:tc>
        <w:tc>
          <w:tcPr>
            <w:tcW w:w="730" w:type="dxa"/>
            <w:noWrap/>
          </w:tcPr>
          <w:p w14:paraId="1F7B955E">
            <w:pPr>
              <w:spacing w:after="0" w:line="240" w:lineRule="auto"/>
              <w:rPr>
                <w:rFonts w:ascii="Times New Roman" w:hAnsi="Times New Roman"/>
                <w:bCs/>
                <w:color w:val="000000"/>
                <w:sz w:val="21"/>
                <w:szCs w:val="21"/>
              </w:rPr>
            </w:pPr>
            <w:r>
              <w:rPr>
                <w:rFonts w:ascii="Times New Roman" w:hAnsi="Times New Roman"/>
                <w:bCs/>
                <w:color w:val="000000"/>
                <w:sz w:val="21"/>
                <w:szCs w:val="21"/>
              </w:rPr>
              <w:t>10 mg/ml</w:t>
            </w:r>
          </w:p>
        </w:tc>
        <w:tc>
          <w:tcPr>
            <w:tcW w:w="1267" w:type="dxa"/>
            <w:noWrap/>
          </w:tcPr>
          <w:p w14:paraId="6112E57A">
            <w:pPr>
              <w:spacing w:after="0" w:line="240" w:lineRule="auto"/>
              <w:jc w:val="both"/>
              <w:rPr>
                <w:rFonts w:ascii="Times New Roman" w:hAnsi="Times New Roman"/>
                <w:bCs/>
                <w:color w:val="000000"/>
                <w:sz w:val="21"/>
                <w:szCs w:val="21"/>
              </w:rPr>
            </w:pPr>
            <w:r>
              <w:rPr>
                <w:rFonts w:ascii="Times New Roman" w:hAnsi="Times New Roman"/>
                <w:bCs/>
                <w:color w:val="000000"/>
                <w:sz w:val="21"/>
                <w:szCs w:val="21"/>
              </w:rPr>
              <w:t>11.27±0.14</w:t>
            </w:r>
          </w:p>
        </w:tc>
        <w:tc>
          <w:tcPr>
            <w:tcW w:w="1267" w:type="dxa"/>
            <w:noWrap/>
          </w:tcPr>
          <w:p w14:paraId="64ADA159">
            <w:pPr>
              <w:spacing w:after="0" w:line="240" w:lineRule="auto"/>
              <w:jc w:val="both"/>
              <w:rPr>
                <w:rFonts w:ascii="Times New Roman" w:hAnsi="Times New Roman"/>
                <w:bCs/>
                <w:color w:val="000000"/>
                <w:sz w:val="21"/>
                <w:szCs w:val="21"/>
              </w:rPr>
            </w:pPr>
            <w:r>
              <w:rPr>
                <w:rFonts w:ascii="Times New Roman" w:hAnsi="Times New Roman"/>
                <w:bCs/>
                <w:color w:val="000000"/>
                <w:sz w:val="21"/>
                <w:szCs w:val="21"/>
              </w:rPr>
              <w:t>39.83±1.27</w:t>
            </w:r>
          </w:p>
        </w:tc>
        <w:tc>
          <w:tcPr>
            <w:tcW w:w="1283" w:type="dxa"/>
            <w:noWrap/>
          </w:tcPr>
          <w:p w14:paraId="26CD17D7">
            <w:pPr>
              <w:spacing w:after="0" w:line="240" w:lineRule="auto"/>
              <w:jc w:val="both"/>
              <w:rPr>
                <w:rFonts w:ascii="Times New Roman" w:hAnsi="Times New Roman"/>
                <w:bCs/>
                <w:color w:val="000000"/>
                <w:sz w:val="21"/>
                <w:szCs w:val="21"/>
              </w:rPr>
            </w:pPr>
            <w:r>
              <w:rPr>
                <w:rFonts w:ascii="Times New Roman" w:hAnsi="Times New Roman"/>
                <w:bCs/>
                <w:color w:val="000000"/>
                <w:sz w:val="21"/>
                <w:szCs w:val="21"/>
              </w:rPr>
              <w:t>57.66±1.42</w:t>
            </w:r>
          </w:p>
        </w:tc>
        <w:tc>
          <w:tcPr>
            <w:tcW w:w="1134" w:type="dxa"/>
            <w:noWrap/>
          </w:tcPr>
          <w:p w14:paraId="40CA90B2">
            <w:pPr>
              <w:spacing w:after="0" w:line="240" w:lineRule="auto"/>
              <w:jc w:val="both"/>
              <w:rPr>
                <w:rFonts w:ascii="Times New Roman" w:hAnsi="Times New Roman"/>
                <w:bCs/>
                <w:color w:val="000000"/>
                <w:sz w:val="21"/>
                <w:szCs w:val="21"/>
              </w:rPr>
            </w:pPr>
            <w:r>
              <w:rPr>
                <w:rFonts w:ascii="Times New Roman" w:hAnsi="Times New Roman"/>
                <w:bCs/>
                <w:color w:val="000000"/>
                <w:sz w:val="21"/>
                <w:szCs w:val="21"/>
              </w:rPr>
              <w:t>0.86±0.17</w:t>
            </w:r>
          </w:p>
        </w:tc>
        <w:tc>
          <w:tcPr>
            <w:tcW w:w="1216" w:type="dxa"/>
            <w:noWrap/>
          </w:tcPr>
          <w:p w14:paraId="4C04A5E2">
            <w:pPr>
              <w:spacing w:after="0" w:line="240" w:lineRule="auto"/>
              <w:jc w:val="both"/>
              <w:rPr>
                <w:rFonts w:ascii="Times New Roman" w:hAnsi="Times New Roman"/>
                <w:bCs/>
                <w:color w:val="000000"/>
                <w:sz w:val="21"/>
                <w:szCs w:val="21"/>
              </w:rPr>
            </w:pPr>
            <w:r>
              <w:rPr>
                <w:rFonts w:ascii="Times New Roman" w:hAnsi="Times New Roman"/>
                <w:bCs/>
                <w:color w:val="000000"/>
                <w:sz w:val="21"/>
                <w:szCs w:val="21"/>
              </w:rPr>
              <w:t>0.93± 0.14</w:t>
            </w:r>
          </w:p>
        </w:tc>
        <w:tc>
          <w:tcPr>
            <w:tcW w:w="1200" w:type="dxa"/>
            <w:noWrap/>
          </w:tcPr>
          <w:p w14:paraId="66E365CC">
            <w:pPr>
              <w:spacing w:after="0" w:line="240" w:lineRule="auto"/>
              <w:jc w:val="both"/>
              <w:rPr>
                <w:rFonts w:ascii="Times New Roman" w:hAnsi="Times New Roman"/>
                <w:bCs/>
                <w:color w:val="000000"/>
                <w:sz w:val="21"/>
                <w:szCs w:val="21"/>
              </w:rPr>
            </w:pPr>
            <w:r>
              <w:rPr>
                <w:rFonts w:ascii="Times New Roman" w:hAnsi="Times New Roman"/>
                <w:bCs/>
                <w:color w:val="000000"/>
                <w:sz w:val="21"/>
                <w:szCs w:val="21"/>
              </w:rPr>
              <w:t>0.80±0.05</w:t>
            </w:r>
          </w:p>
        </w:tc>
        <w:tc>
          <w:tcPr>
            <w:tcW w:w="1217" w:type="dxa"/>
            <w:noWrap/>
          </w:tcPr>
          <w:p w14:paraId="23EADE63">
            <w:pPr>
              <w:spacing w:after="0" w:line="240" w:lineRule="auto"/>
              <w:jc w:val="both"/>
              <w:rPr>
                <w:rFonts w:ascii="Times New Roman" w:hAnsi="Times New Roman"/>
                <w:bCs/>
                <w:color w:val="000000"/>
                <w:sz w:val="21"/>
                <w:szCs w:val="21"/>
              </w:rPr>
            </w:pPr>
            <w:r>
              <w:rPr>
                <w:rFonts w:ascii="Times New Roman" w:hAnsi="Times New Roman"/>
                <w:bCs/>
                <w:color w:val="000000"/>
                <w:sz w:val="21"/>
                <w:szCs w:val="21"/>
              </w:rPr>
              <w:t>7.83±0.14</w:t>
            </w:r>
          </w:p>
        </w:tc>
        <w:tc>
          <w:tcPr>
            <w:tcW w:w="1283" w:type="dxa"/>
            <w:noWrap/>
          </w:tcPr>
          <w:p w14:paraId="3CF6B396">
            <w:pPr>
              <w:spacing w:after="0" w:line="240" w:lineRule="auto"/>
              <w:jc w:val="both"/>
              <w:rPr>
                <w:rFonts w:ascii="Times New Roman" w:hAnsi="Times New Roman"/>
                <w:bCs/>
                <w:color w:val="000000"/>
                <w:sz w:val="21"/>
                <w:szCs w:val="21"/>
              </w:rPr>
            </w:pPr>
            <w:r>
              <w:rPr>
                <w:rFonts w:ascii="Times New Roman" w:hAnsi="Times New Roman"/>
                <w:bCs/>
                <w:color w:val="000000"/>
                <w:sz w:val="21"/>
                <w:szCs w:val="21"/>
              </w:rPr>
              <w:t>13..90±0.15</w:t>
            </w:r>
          </w:p>
        </w:tc>
        <w:tc>
          <w:tcPr>
            <w:tcW w:w="1217" w:type="dxa"/>
            <w:noWrap/>
          </w:tcPr>
          <w:p w14:paraId="71BF06A7">
            <w:pPr>
              <w:spacing w:after="0" w:line="240" w:lineRule="auto"/>
              <w:jc w:val="both"/>
              <w:rPr>
                <w:rFonts w:ascii="Times New Roman" w:hAnsi="Times New Roman"/>
                <w:bCs/>
                <w:color w:val="000000"/>
                <w:sz w:val="21"/>
                <w:szCs w:val="21"/>
              </w:rPr>
            </w:pPr>
            <w:r>
              <w:rPr>
                <w:rFonts w:ascii="Times New Roman" w:hAnsi="Times New Roman"/>
                <w:bCs/>
                <w:color w:val="000000"/>
                <w:sz w:val="21"/>
                <w:szCs w:val="21"/>
              </w:rPr>
              <w:t>47.76±1.72</w:t>
            </w:r>
          </w:p>
        </w:tc>
        <w:tc>
          <w:tcPr>
            <w:tcW w:w="1651" w:type="dxa"/>
            <w:noWrap/>
          </w:tcPr>
          <w:p w14:paraId="1D8AABD9">
            <w:pPr>
              <w:spacing w:after="0" w:line="240" w:lineRule="auto"/>
              <w:jc w:val="both"/>
              <w:rPr>
                <w:rFonts w:ascii="Times New Roman" w:hAnsi="Times New Roman"/>
                <w:bCs/>
                <w:color w:val="000000"/>
                <w:sz w:val="21"/>
                <w:szCs w:val="21"/>
              </w:rPr>
            </w:pPr>
            <w:r>
              <w:rPr>
                <w:rFonts w:ascii="Times New Roman" w:hAnsi="Times New Roman"/>
                <w:bCs/>
                <w:color w:val="000000"/>
                <w:sz w:val="21"/>
                <w:szCs w:val="21"/>
              </w:rPr>
              <w:t>737.33± 91.25</w:t>
            </w:r>
          </w:p>
        </w:tc>
      </w:tr>
      <w:tr w14:paraId="215C809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458" w:type="dxa"/>
            <w:vMerge w:val="restart"/>
            <w:noWrap/>
          </w:tcPr>
          <w:p w14:paraId="61D43CFB">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Crude extract</w:t>
            </w:r>
          </w:p>
        </w:tc>
        <w:tc>
          <w:tcPr>
            <w:tcW w:w="730" w:type="dxa"/>
            <w:noWrap/>
          </w:tcPr>
          <w:p w14:paraId="3E405172">
            <w:pPr>
              <w:spacing w:after="0" w:line="360" w:lineRule="auto"/>
              <w:rPr>
                <w:rFonts w:ascii="Times New Roman" w:hAnsi="Times New Roman"/>
                <w:bCs/>
                <w:color w:val="000000"/>
                <w:sz w:val="21"/>
                <w:szCs w:val="21"/>
              </w:rPr>
            </w:pPr>
            <w:r>
              <w:rPr>
                <w:rFonts w:ascii="Times New Roman" w:hAnsi="Times New Roman"/>
                <w:bCs/>
                <w:color w:val="000000"/>
                <w:sz w:val="21"/>
                <w:szCs w:val="21"/>
              </w:rPr>
              <w:t>187</w:t>
            </w:r>
          </w:p>
        </w:tc>
        <w:tc>
          <w:tcPr>
            <w:tcW w:w="1267" w:type="dxa"/>
            <w:noWrap/>
          </w:tcPr>
          <w:p w14:paraId="6E107568">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12.86±0.51</w:t>
            </w:r>
          </w:p>
        </w:tc>
        <w:tc>
          <w:tcPr>
            <w:tcW w:w="1267" w:type="dxa"/>
            <w:noWrap/>
          </w:tcPr>
          <w:p w14:paraId="453864AB">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34.72±3.45</w:t>
            </w:r>
          </w:p>
        </w:tc>
        <w:tc>
          <w:tcPr>
            <w:tcW w:w="1283" w:type="dxa"/>
            <w:noWrap/>
          </w:tcPr>
          <w:p w14:paraId="15BCD5E2">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62.22±3.65</w:t>
            </w:r>
          </w:p>
        </w:tc>
        <w:tc>
          <w:tcPr>
            <w:tcW w:w="1134" w:type="dxa"/>
            <w:noWrap/>
          </w:tcPr>
          <w:p w14:paraId="42646642">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0.97±0.07</w:t>
            </w:r>
          </w:p>
        </w:tc>
        <w:tc>
          <w:tcPr>
            <w:tcW w:w="1216" w:type="dxa"/>
            <w:noWrap/>
          </w:tcPr>
          <w:p w14:paraId="2BA2846E">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1.15±0.06</w:t>
            </w:r>
          </w:p>
        </w:tc>
        <w:tc>
          <w:tcPr>
            <w:tcW w:w="1200" w:type="dxa"/>
            <w:noWrap/>
          </w:tcPr>
          <w:p w14:paraId="1D9B5C0C">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0.92± 0.16</w:t>
            </w:r>
          </w:p>
        </w:tc>
        <w:tc>
          <w:tcPr>
            <w:tcW w:w="1217" w:type="dxa"/>
            <w:noWrap/>
          </w:tcPr>
          <w:p w14:paraId="1BEBCA55">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7.50 ± 0.32</w:t>
            </w:r>
          </w:p>
        </w:tc>
        <w:tc>
          <w:tcPr>
            <w:tcW w:w="1283" w:type="dxa"/>
            <w:noWrap/>
          </w:tcPr>
          <w:p w14:paraId="7BAFB756">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13.47± 0.19</w:t>
            </w:r>
          </w:p>
        </w:tc>
        <w:tc>
          <w:tcPr>
            <w:tcW w:w="1217" w:type="dxa"/>
            <w:noWrap/>
          </w:tcPr>
          <w:p w14:paraId="566A4EAA">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44.90±1.16</w:t>
            </w:r>
          </w:p>
        </w:tc>
        <w:tc>
          <w:tcPr>
            <w:tcW w:w="1651" w:type="dxa"/>
            <w:noWrap/>
          </w:tcPr>
          <w:p w14:paraId="7C273279">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909.5± 87.56</w:t>
            </w:r>
          </w:p>
        </w:tc>
      </w:tr>
      <w:tr w14:paraId="302D4CB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458" w:type="dxa"/>
            <w:vMerge w:val="continue"/>
            <w:noWrap/>
          </w:tcPr>
          <w:p w14:paraId="1938BCA4">
            <w:pPr>
              <w:spacing w:after="0" w:line="360" w:lineRule="auto"/>
              <w:rPr>
                <w:rFonts w:ascii="Times New Roman" w:hAnsi="Times New Roman"/>
                <w:bCs/>
                <w:color w:val="000000"/>
                <w:sz w:val="21"/>
                <w:szCs w:val="21"/>
              </w:rPr>
            </w:pPr>
          </w:p>
        </w:tc>
        <w:tc>
          <w:tcPr>
            <w:tcW w:w="730" w:type="dxa"/>
            <w:noWrap/>
          </w:tcPr>
          <w:p w14:paraId="2138CEAF">
            <w:pPr>
              <w:spacing w:after="0" w:line="360" w:lineRule="auto"/>
              <w:rPr>
                <w:rFonts w:ascii="Times New Roman" w:hAnsi="Times New Roman"/>
                <w:bCs/>
                <w:color w:val="000000"/>
                <w:sz w:val="21"/>
                <w:szCs w:val="21"/>
              </w:rPr>
            </w:pPr>
            <w:r>
              <w:rPr>
                <w:rFonts w:ascii="Times New Roman" w:hAnsi="Times New Roman"/>
                <w:bCs/>
                <w:color w:val="000000"/>
                <w:sz w:val="21"/>
                <w:szCs w:val="21"/>
              </w:rPr>
              <w:t>374</w:t>
            </w:r>
          </w:p>
        </w:tc>
        <w:tc>
          <w:tcPr>
            <w:tcW w:w="1267" w:type="dxa"/>
            <w:noWrap/>
          </w:tcPr>
          <w:p w14:paraId="35365089">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12.28±2.31</w:t>
            </w:r>
          </w:p>
        </w:tc>
        <w:tc>
          <w:tcPr>
            <w:tcW w:w="1267" w:type="dxa"/>
            <w:noWrap/>
          </w:tcPr>
          <w:p w14:paraId="639010CA">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33.60±3.05</w:t>
            </w:r>
          </w:p>
        </w:tc>
        <w:tc>
          <w:tcPr>
            <w:tcW w:w="1283" w:type="dxa"/>
            <w:noWrap/>
          </w:tcPr>
          <w:p w14:paraId="1F9D663E">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61.37±2.35</w:t>
            </w:r>
          </w:p>
        </w:tc>
        <w:tc>
          <w:tcPr>
            <w:tcW w:w="1134" w:type="dxa"/>
            <w:noWrap/>
          </w:tcPr>
          <w:p w14:paraId="1C495DB4">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2.22±0.67</w:t>
            </w:r>
          </w:p>
        </w:tc>
        <w:tc>
          <w:tcPr>
            <w:tcW w:w="1216" w:type="dxa"/>
            <w:noWrap/>
          </w:tcPr>
          <w:p w14:paraId="6156EFD3">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1.50± 0.19</w:t>
            </w:r>
          </w:p>
        </w:tc>
        <w:tc>
          <w:tcPr>
            <w:tcW w:w="1200" w:type="dxa"/>
            <w:noWrap/>
          </w:tcPr>
          <w:p w14:paraId="075D96A4">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0.80± 0.14</w:t>
            </w:r>
          </w:p>
        </w:tc>
        <w:tc>
          <w:tcPr>
            <w:tcW w:w="1217" w:type="dxa"/>
            <w:noWrap/>
          </w:tcPr>
          <w:p w14:paraId="6CDEDAE9">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7.30± 0.36</w:t>
            </w:r>
          </w:p>
        </w:tc>
        <w:tc>
          <w:tcPr>
            <w:tcW w:w="1283" w:type="dxa"/>
            <w:noWrap/>
          </w:tcPr>
          <w:p w14:paraId="56D398BB">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13.05± 0.42</w:t>
            </w:r>
          </w:p>
        </w:tc>
        <w:tc>
          <w:tcPr>
            <w:tcW w:w="1217" w:type="dxa"/>
            <w:noWrap/>
          </w:tcPr>
          <w:p w14:paraId="478747C4">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43.70±2.60</w:t>
            </w:r>
          </w:p>
        </w:tc>
        <w:tc>
          <w:tcPr>
            <w:tcW w:w="1651" w:type="dxa"/>
            <w:noWrap/>
          </w:tcPr>
          <w:p w14:paraId="4D97FC33">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700.25± 91.47</w:t>
            </w:r>
          </w:p>
        </w:tc>
      </w:tr>
      <w:tr w14:paraId="63A35DA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458" w:type="dxa"/>
            <w:vMerge w:val="continue"/>
            <w:noWrap/>
          </w:tcPr>
          <w:p w14:paraId="76F83BB1">
            <w:pPr>
              <w:spacing w:after="0" w:line="360" w:lineRule="auto"/>
              <w:rPr>
                <w:rFonts w:ascii="Times New Roman" w:hAnsi="Times New Roman"/>
                <w:bCs/>
                <w:color w:val="000000"/>
                <w:sz w:val="21"/>
                <w:szCs w:val="21"/>
              </w:rPr>
            </w:pPr>
          </w:p>
        </w:tc>
        <w:tc>
          <w:tcPr>
            <w:tcW w:w="730" w:type="dxa"/>
            <w:noWrap/>
          </w:tcPr>
          <w:p w14:paraId="6B8FEE61">
            <w:pPr>
              <w:spacing w:after="0" w:line="360" w:lineRule="auto"/>
              <w:rPr>
                <w:rFonts w:ascii="Times New Roman" w:hAnsi="Times New Roman"/>
                <w:bCs/>
                <w:color w:val="000000"/>
                <w:sz w:val="21"/>
                <w:szCs w:val="21"/>
              </w:rPr>
            </w:pPr>
            <w:r>
              <w:rPr>
                <w:rFonts w:ascii="Times New Roman" w:hAnsi="Times New Roman"/>
                <w:bCs/>
                <w:color w:val="000000"/>
                <w:sz w:val="21"/>
                <w:szCs w:val="21"/>
              </w:rPr>
              <w:t>561</w:t>
            </w:r>
          </w:p>
        </w:tc>
        <w:tc>
          <w:tcPr>
            <w:tcW w:w="1267" w:type="dxa"/>
            <w:noWrap/>
          </w:tcPr>
          <w:p w14:paraId="748F2086">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10.91±1.06</w:t>
            </w:r>
          </w:p>
        </w:tc>
        <w:tc>
          <w:tcPr>
            <w:tcW w:w="1267" w:type="dxa"/>
            <w:noWrap/>
          </w:tcPr>
          <w:p w14:paraId="2934A5A6">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34.95±2.17</w:t>
            </w:r>
          </w:p>
        </w:tc>
        <w:tc>
          <w:tcPr>
            <w:tcW w:w="1283" w:type="dxa"/>
            <w:noWrap/>
          </w:tcPr>
          <w:p w14:paraId="4C9BB2FB">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62.22±2.08</w:t>
            </w:r>
          </w:p>
        </w:tc>
        <w:tc>
          <w:tcPr>
            <w:tcW w:w="1134" w:type="dxa"/>
            <w:noWrap/>
          </w:tcPr>
          <w:p w14:paraId="7405BADA">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1.22±0.15</w:t>
            </w:r>
          </w:p>
        </w:tc>
        <w:tc>
          <w:tcPr>
            <w:tcW w:w="1216" w:type="dxa"/>
            <w:noWrap/>
          </w:tcPr>
          <w:p w14:paraId="0518E741">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0.82± 0.18</w:t>
            </w:r>
          </w:p>
        </w:tc>
        <w:tc>
          <w:tcPr>
            <w:tcW w:w="1200" w:type="dxa"/>
            <w:noWrap/>
          </w:tcPr>
          <w:p w14:paraId="1C76649E">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0.77± 0.14</w:t>
            </w:r>
          </w:p>
        </w:tc>
        <w:tc>
          <w:tcPr>
            <w:tcW w:w="1217" w:type="dxa"/>
            <w:noWrap/>
          </w:tcPr>
          <w:p w14:paraId="4303D3C5">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7.38± 0.18</w:t>
            </w:r>
          </w:p>
        </w:tc>
        <w:tc>
          <w:tcPr>
            <w:tcW w:w="1283" w:type="dxa"/>
            <w:noWrap/>
          </w:tcPr>
          <w:p w14:paraId="58D50558">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13.37± 0.14</w:t>
            </w:r>
          </w:p>
        </w:tc>
        <w:tc>
          <w:tcPr>
            <w:tcW w:w="1217" w:type="dxa"/>
            <w:noWrap/>
          </w:tcPr>
          <w:p w14:paraId="66979CD0">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42.80±0.58</w:t>
            </w:r>
          </w:p>
        </w:tc>
        <w:tc>
          <w:tcPr>
            <w:tcW w:w="1651" w:type="dxa"/>
            <w:noWrap/>
          </w:tcPr>
          <w:p w14:paraId="18F5502B">
            <w:pPr>
              <w:spacing w:after="0" w:line="360" w:lineRule="auto"/>
              <w:jc w:val="both"/>
              <w:rPr>
                <w:rFonts w:ascii="Times New Roman" w:hAnsi="Times New Roman"/>
                <w:bCs/>
                <w:color w:val="000000"/>
                <w:sz w:val="21"/>
                <w:szCs w:val="21"/>
              </w:rPr>
            </w:pPr>
            <w:r>
              <w:rPr>
                <w:rFonts w:ascii="Times New Roman" w:hAnsi="Times New Roman"/>
                <w:bCs/>
                <w:color w:val="000000"/>
                <w:sz w:val="21"/>
                <w:szCs w:val="21"/>
              </w:rPr>
              <w:t>811.25± 62.19</w:t>
            </w:r>
          </w:p>
        </w:tc>
      </w:tr>
    </w:tbl>
    <w:p w14:paraId="43DCB265">
      <w:pPr>
        <w:spacing w:after="0"/>
        <w:jc w:val="both"/>
        <w:rPr>
          <w:rFonts w:ascii="Times New Roman" w:hAnsi="Times New Roman"/>
          <w:bCs/>
          <w:color w:val="000000"/>
          <w:sz w:val="24"/>
          <w:szCs w:val="24"/>
        </w:rPr>
        <w:sectPr>
          <w:pgSz w:w="16834" w:h="11909" w:orient="landscape"/>
          <w:pgMar w:top="1699" w:right="1411" w:bottom="850" w:left="850" w:header="706" w:footer="706" w:gutter="0"/>
          <w:cols w:space="720" w:num="1"/>
          <w:docGrid w:linePitch="360" w:charSpace="0"/>
        </w:sectPr>
      </w:pPr>
      <w:r>
        <w:rPr>
          <w:rFonts w:ascii="Times New Roman" w:hAnsi="Times New Roman"/>
          <w:bCs/>
          <w:color w:val="000000"/>
          <w:sz w:val="24"/>
          <w:szCs w:val="24"/>
        </w:rPr>
        <w:t>Data are expressed as MEAN ± SEM, (n=5). MONO- monocytes, ESINO-esinophils, BASO-basophils, LYM- lymphocytes, NEUT- neutrophils, PCV-pack cell volume, HGB-hemoglobin, RBC-red blood cell, WBC-white blood cell</w:t>
      </w:r>
    </w:p>
    <w:p w14:paraId="47D64150">
      <w:pPr>
        <w:rPr>
          <w:rFonts w:ascii="Times New Roman" w:hAnsi="Times New Roman"/>
          <w:sz w:val="24"/>
          <w:szCs w:val="24"/>
        </w:rPr>
      </w:pPr>
      <w:r>
        <w:drawing>
          <wp:inline distT="0" distB="0" distL="0" distR="0">
            <wp:extent cx="4763770" cy="30206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a:xfrm>
                      <a:off x="0" y="0"/>
                      <a:ext cx="4763770" cy="3020695"/>
                    </a:xfrm>
                    <a:prstGeom prst="rect">
                      <a:avLst/>
                    </a:prstGeom>
                    <a:noFill/>
                    <a:ln>
                      <a:noFill/>
                    </a:ln>
                  </pic:spPr>
                </pic:pic>
              </a:graphicData>
            </a:graphic>
          </wp:inline>
        </w:drawing>
      </w:r>
    </w:p>
    <w:p w14:paraId="6D67F692">
      <w:pPr>
        <w:jc w:val="both"/>
        <w:rPr>
          <w:rFonts w:ascii="Times New Roman" w:hAnsi="Times New Roman"/>
          <w:sz w:val="24"/>
          <w:szCs w:val="24"/>
        </w:rPr>
      </w:pPr>
      <w:r>
        <w:rPr>
          <w:rFonts w:ascii="Times New Roman" w:hAnsi="Times New Roman"/>
          <w:sz w:val="24"/>
          <w:szCs w:val="24"/>
        </w:rPr>
        <w:t xml:space="preserve">Figure 1: Effect of chronic  administration of </w:t>
      </w:r>
      <w:r>
        <w:rPr>
          <w:rFonts w:ascii="Times New Roman" w:hAnsi="Times New Roman"/>
          <w:i/>
          <w:sz w:val="24"/>
          <w:szCs w:val="24"/>
        </w:rPr>
        <w:t xml:space="preserve">Zea mays </w:t>
      </w:r>
      <w:r>
        <w:rPr>
          <w:rFonts w:ascii="Times New Roman" w:hAnsi="Times New Roman"/>
          <w:iCs/>
          <w:sz w:val="24"/>
          <w:szCs w:val="24"/>
        </w:rPr>
        <w:t>husk</w:t>
      </w:r>
      <w:r>
        <w:rPr>
          <w:rFonts w:ascii="Times New Roman" w:hAnsi="Times New Roman"/>
          <w:sz w:val="24"/>
          <w:szCs w:val="24"/>
        </w:rPr>
        <w:t xml:space="preserve"> extract on clotting and bleeding times of  female rats.</w:t>
      </w:r>
    </w:p>
    <w:p w14:paraId="0E41242E">
      <w:pPr>
        <w:jc w:val="both"/>
        <w:rPr>
          <w:rFonts w:ascii="Times New Roman" w:hAnsi="Times New Roman"/>
          <w:color w:val="FF0000"/>
          <w:sz w:val="24"/>
          <w:szCs w:val="24"/>
        </w:rPr>
        <w:sectPr>
          <w:pgSz w:w="11909" w:h="16834"/>
          <w:pgMar w:top="1411" w:right="850" w:bottom="850" w:left="1699" w:header="706" w:footer="706" w:gutter="0"/>
          <w:cols w:space="720" w:num="1"/>
          <w:docGrid w:linePitch="360" w:charSpace="0"/>
        </w:sectPr>
      </w:pPr>
      <w:r>
        <w:rPr>
          <w:rFonts w:ascii="Times New Roman" w:hAnsi="Times New Roman"/>
          <w:sz w:val="24"/>
          <w:szCs w:val="24"/>
        </w:rPr>
        <w:t>Data are expressed as MEAN ± SEM, Significant at ***p&lt;0.001, when compared to control. (n=5).</w:t>
      </w:r>
    </w:p>
    <w:p w14:paraId="27CE40E7">
      <w:pPr>
        <w:jc w:val="both"/>
        <w:rPr>
          <w:rFonts w:ascii="Times New Roman" w:hAnsi="Times New Roman"/>
          <w:sz w:val="24"/>
          <w:szCs w:val="24"/>
        </w:rPr>
      </w:pPr>
    </w:p>
    <w:p w14:paraId="1FBF0339">
      <w:pPr>
        <w:jc w:val="center"/>
        <w:rPr>
          <w:rFonts w:ascii="Times New Roman" w:hAnsi="Times New Roman"/>
          <w:bCs/>
          <w:sz w:val="24"/>
          <w:szCs w:val="24"/>
        </w:rPr>
      </w:pPr>
      <w:r>
        <w:rPr>
          <w:rFonts w:ascii="Times New Roman" w:hAnsi="Times New Roman"/>
          <w:bCs/>
          <w:sz w:val="24"/>
          <w:szCs w:val="24"/>
        </w:rPr>
        <w:t xml:space="preserve">Table 4: Effect of chronic administration of </w:t>
      </w:r>
      <w:r>
        <w:rPr>
          <w:rFonts w:ascii="Times New Roman" w:hAnsi="Times New Roman"/>
          <w:bCs/>
          <w:i/>
          <w:sz w:val="24"/>
          <w:szCs w:val="24"/>
        </w:rPr>
        <w:t xml:space="preserve">Zea mays </w:t>
      </w:r>
      <w:r>
        <w:rPr>
          <w:rFonts w:ascii="Times New Roman" w:hAnsi="Times New Roman"/>
          <w:bCs/>
          <w:iCs/>
          <w:sz w:val="24"/>
          <w:szCs w:val="24"/>
        </w:rPr>
        <w:t>husk</w:t>
      </w:r>
      <w:r>
        <w:rPr>
          <w:rFonts w:ascii="Times New Roman" w:hAnsi="Times New Roman"/>
          <w:bCs/>
          <w:sz w:val="24"/>
          <w:szCs w:val="24"/>
        </w:rPr>
        <w:t xml:space="preserve"> extract on liver function parameters of female rats</w:t>
      </w:r>
    </w:p>
    <w:tbl>
      <w:tblPr>
        <w:tblStyle w:val="3"/>
        <w:tblW w:w="13450" w:type="dxa"/>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70"/>
        <w:gridCol w:w="1189"/>
        <w:gridCol w:w="1308"/>
        <w:gridCol w:w="1274"/>
        <w:gridCol w:w="1409"/>
        <w:gridCol w:w="1274"/>
        <w:gridCol w:w="1409"/>
        <w:gridCol w:w="1489"/>
        <w:gridCol w:w="1306"/>
        <w:gridCol w:w="1274"/>
      </w:tblGrid>
      <w:tr w14:paraId="5245682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70" w:type="dxa"/>
            <w:tcBorders>
              <w:top w:val="single" w:color="000000" w:sz="8" w:space="0"/>
              <w:left w:val="nil"/>
              <w:bottom w:val="single" w:color="000000" w:sz="8" w:space="0"/>
              <w:right w:val="nil"/>
            </w:tcBorders>
            <w:noWrap/>
          </w:tcPr>
          <w:p w14:paraId="0D4FEBC2">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TREATMENT</w:t>
            </w:r>
          </w:p>
        </w:tc>
        <w:tc>
          <w:tcPr>
            <w:tcW w:w="1189" w:type="dxa"/>
            <w:tcBorders>
              <w:top w:val="single" w:color="000000" w:sz="8" w:space="0"/>
              <w:bottom w:val="single" w:color="000000" w:sz="8" w:space="0"/>
              <w:right w:val="nil"/>
            </w:tcBorders>
            <w:noWrap/>
          </w:tcPr>
          <w:p w14:paraId="1C0D990F">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DOSE</w:t>
            </w:r>
          </w:p>
          <w:p w14:paraId="15DC3B83">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(mg/ kg)</w:t>
            </w:r>
          </w:p>
        </w:tc>
        <w:tc>
          <w:tcPr>
            <w:tcW w:w="1156" w:type="dxa"/>
            <w:tcBorders>
              <w:top w:val="single" w:color="000000" w:sz="8" w:space="0"/>
              <w:bottom w:val="single" w:color="000000" w:sz="8" w:space="0"/>
              <w:right w:val="nil"/>
            </w:tcBorders>
            <w:noWrap/>
          </w:tcPr>
          <w:p w14:paraId="036FE926">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Total Protein</w:t>
            </w:r>
          </w:p>
          <w:p w14:paraId="1855FDC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(mg/dL)</w:t>
            </w:r>
          </w:p>
        </w:tc>
        <w:tc>
          <w:tcPr>
            <w:tcW w:w="1274" w:type="dxa"/>
            <w:tcBorders>
              <w:top w:val="single" w:color="000000" w:sz="8" w:space="0"/>
              <w:bottom w:val="single" w:color="000000" w:sz="8" w:space="0"/>
              <w:right w:val="nil"/>
            </w:tcBorders>
            <w:noWrap/>
          </w:tcPr>
          <w:p w14:paraId="16F51B8C">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Albumin (mg/dL)</w:t>
            </w:r>
          </w:p>
        </w:tc>
        <w:tc>
          <w:tcPr>
            <w:tcW w:w="1409" w:type="dxa"/>
            <w:tcBorders>
              <w:top w:val="single" w:color="000000" w:sz="8" w:space="0"/>
              <w:bottom w:val="single" w:color="000000" w:sz="8" w:space="0"/>
              <w:right w:val="nil"/>
            </w:tcBorders>
            <w:noWrap/>
          </w:tcPr>
          <w:p w14:paraId="5D2E62C5">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ALT (IU/L)</w:t>
            </w:r>
          </w:p>
        </w:tc>
        <w:tc>
          <w:tcPr>
            <w:tcW w:w="1274" w:type="dxa"/>
            <w:tcBorders>
              <w:top w:val="single" w:color="000000" w:sz="8" w:space="0"/>
              <w:bottom w:val="single" w:color="000000" w:sz="8" w:space="0"/>
              <w:right w:val="nil"/>
            </w:tcBorders>
            <w:noWrap/>
          </w:tcPr>
          <w:p w14:paraId="099EB973">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ALP (IU/L)</w:t>
            </w:r>
          </w:p>
        </w:tc>
        <w:tc>
          <w:tcPr>
            <w:tcW w:w="1409" w:type="dxa"/>
            <w:tcBorders>
              <w:top w:val="single" w:color="000000" w:sz="8" w:space="0"/>
              <w:bottom w:val="single" w:color="000000" w:sz="8" w:space="0"/>
              <w:right w:val="nil"/>
            </w:tcBorders>
            <w:noWrap/>
          </w:tcPr>
          <w:p w14:paraId="1AF373EB">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AST (IU/L)</w:t>
            </w:r>
          </w:p>
        </w:tc>
        <w:tc>
          <w:tcPr>
            <w:tcW w:w="1489" w:type="dxa"/>
            <w:tcBorders>
              <w:top w:val="single" w:color="000000" w:sz="8" w:space="0"/>
              <w:bottom w:val="single" w:color="000000" w:sz="8" w:space="0"/>
              <w:right w:val="nil"/>
            </w:tcBorders>
            <w:noWrap/>
          </w:tcPr>
          <w:p w14:paraId="0F1D3953">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Total Bilirubin (µmol/l )</w:t>
            </w:r>
          </w:p>
        </w:tc>
        <w:tc>
          <w:tcPr>
            <w:tcW w:w="1306" w:type="dxa"/>
            <w:tcBorders>
              <w:top w:val="single" w:color="000000" w:sz="8" w:space="0"/>
              <w:bottom w:val="single" w:color="000000" w:sz="8" w:space="0"/>
              <w:right w:val="nil"/>
            </w:tcBorders>
            <w:noWrap/>
          </w:tcPr>
          <w:p w14:paraId="52699F1E">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Combined</w:t>
            </w:r>
          </w:p>
          <w:p w14:paraId="474D43E1">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Bilirubin </w:t>
            </w:r>
          </w:p>
          <w:p w14:paraId="6C867D5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(µmol/l)</w:t>
            </w:r>
          </w:p>
        </w:tc>
        <w:tc>
          <w:tcPr>
            <w:tcW w:w="1274" w:type="dxa"/>
            <w:tcBorders>
              <w:top w:val="single" w:color="000000" w:sz="8" w:space="0"/>
              <w:bottom w:val="single" w:color="000000" w:sz="8" w:space="0"/>
              <w:right w:val="nil"/>
            </w:tcBorders>
            <w:noWrap/>
          </w:tcPr>
          <w:p w14:paraId="7258583A">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GGT</w:t>
            </w:r>
          </w:p>
          <w:p w14:paraId="171EC727">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(IU/L)</w:t>
            </w:r>
          </w:p>
        </w:tc>
      </w:tr>
      <w:tr w14:paraId="494BCBF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70" w:type="dxa"/>
            <w:noWrap/>
          </w:tcPr>
          <w:p w14:paraId="1C7C1CFA">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Control </w:t>
            </w:r>
          </w:p>
          <w:p w14:paraId="721DE8A4">
            <w:pPr>
              <w:spacing w:after="0" w:line="240" w:lineRule="auto"/>
              <w:jc w:val="both"/>
              <w:rPr>
                <w:rFonts w:ascii="Times New Roman" w:hAnsi="Times New Roman"/>
                <w:bCs/>
                <w:color w:val="000000"/>
                <w:sz w:val="24"/>
                <w:szCs w:val="24"/>
              </w:rPr>
            </w:pPr>
          </w:p>
        </w:tc>
        <w:tc>
          <w:tcPr>
            <w:tcW w:w="1189" w:type="dxa"/>
            <w:noWrap/>
          </w:tcPr>
          <w:p w14:paraId="54D60A50">
            <w:pPr>
              <w:spacing w:line="240" w:lineRule="auto"/>
              <w:rPr>
                <w:rFonts w:ascii="Times New Roman" w:hAnsi="Times New Roman"/>
                <w:color w:val="000000"/>
                <w:sz w:val="24"/>
                <w:szCs w:val="24"/>
              </w:rPr>
            </w:pPr>
            <w:r>
              <w:rPr>
                <w:rFonts w:ascii="Times New Roman" w:hAnsi="Times New Roman"/>
                <w:color w:val="000000"/>
                <w:sz w:val="24"/>
                <w:szCs w:val="24"/>
              </w:rPr>
              <w:t>10 mg/ml</w:t>
            </w:r>
          </w:p>
        </w:tc>
        <w:tc>
          <w:tcPr>
            <w:tcW w:w="1156" w:type="dxa"/>
            <w:noWrap/>
          </w:tcPr>
          <w:p w14:paraId="52BDA39D">
            <w:pPr>
              <w:spacing w:after="0" w:line="240" w:lineRule="auto"/>
              <w:jc w:val="both"/>
              <w:rPr>
                <w:rFonts w:ascii="Times New Roman" w:hAnsi="Times New Roman"/>
                <w:color w:val="000000"/>
                <w:sz w:val="24"/>
                <w:szCs w:val="24"/>
              </w:rPr>
            </w:pPr>
            <w:r>
              <w:rPr>
                <w:rFonts w:ascii="Times New Roman" w:hAnsi="Times New Roman"/>
                <w:color w:val="000000"/>
                <w:sz w:val="24"/>
                <w:szCs w:val="24"/>
              </w:rPr>
              <w:t>69.33±3.28</w:t>
            </w:r>
          </w:p>
        </w:tc>
        <w:tc>
          <w:tcPr>
            <w:tcW w:w="1274" w:type="dxa"/>
            <w:noWrap/>
          </w:tcPr>
          <w:p w14:paraId="779C05C0">
            <w:pPr>
              <w:spacing w:after="0" w:line="240" w:lineRule="auto"/>
              <w:jc w:val="both"/>
              <w:rPr>
                <w:rFonts w:ascii="Times New Roman" w:hAnsi="Times New Roman"/>
                <w:color w:val="000000"/>
                <w:sz w:val="24"/>
                <w:szCs w:val="24"/>
              </w:rPr>
            </w:pPr>
            <w:r>
              <w:rPr>
                <w:rFonts w:ascii="Times New Roman" w:hAnsi="Times New Roman"/>
                <w:color w:val="000000"/>
                <w:sz w:val="24"/>
                <w:szCs w:val="24"/>
              </w:rPr>
              <w:t>44.0±2.08</w:t>
            </w:r>
          </w:p>
        </w:tc>
        <w:tc>
          <w:tcPr>
            <w:tcW w:w="1409" w:type="dxa"/>
            <w:noWrap/>
          </w:tcPr>
          <w:p w14:paraId="1E21479E">
            <w:pPr>
              <w:spacing w:after="0" w:line="240" w:lineRule="auto"/>
              <w:jc w:val="both"/>
              <w:rPr>
                <w:rFonts w:ascii="Times New Roman" w:hAnsi="Times New Roman"/>
                <w:color w:val="000000"/>
                <w:sz w:val="24"/>
                <w:szCs w:val="24"/>
              </w:rPr>
            </w:pPr>
            <w:r>
              <w:rPr>
                <w:rFonts w:ascii="Times New Roman" w:hAnsi="Times New Roman"/>
                <w:color w:val="000000"/>
                <w:sz w:val="24"/>
                <w:szCs w:val="24"/>
              </w:rPr>
              <w:t>16.66±1.20</w:t>
            </w:r>
          </w:p>
        </w:tc>
        <w:tc>
          <w:tcPr>
            <w:tcW w:w="1274" w:type="dxa"/>
            <w:noWrap/>
          </w:tcPr>
          <w:p w14:paraId="5442BA44">
            <w:pPr>
              <w:spacing w:after="0" w:line="240" w:lineRule="auto"/>
              <w:jc w:val="both"/>
              <w:rPr>
                <w:rFonts w:ascii="Times New Roman" w:hAnsi="Times New Roman"/>
                <w:color w:val="000000"/>
                <w:sz w:val="24"/>
                <w:szCs w:val="24"/>
              </w:rPr>
            </w:pPr>
            <w:r>
              <w:rPr>
                <w:rFonts w:ascii="Times New Roman" w:hAnsi="Times New Roman"/>
                <w:color w:val="000000"/>
                <w:sz w:val="24"/>
                <w:szCs w:val="24"/>
              </w:rPr>
              <w:t>33.0±1.15</w:t>
            </w:r>
          </w:p>
        </w:tc>
        <w:tc>
          <w:tcPr>
            <w:tcW w:w="1409" w:type="dxa"/>
            <w:noWrap/>
          </w:tcPr>
          <w:p w14:paraId="19CDC6D9">
            <w:pPr>
              <w:spacing w:after="0" w:line="240" w:lineRule="auto"/>
              <w:jc w:val="both"/>
              <w:rPr>
                <w:rFonts w:ascii="Times New Roman" w:hAnsi="Times New Roman"/>
                <w:color w:val="000000"/>
                <w:sz w:val="24"/>
                <w:szCs w:val="24"/>
              </w:rPr>
            </w:pPr>
            <w:r>
              <w:rPr>
                <w:rFonts w:ascii="Times New Roman" w:hAnsi="Times New Roman"/>
                <w:color w:val="000000"/>
                <w:sz w:val="24"/>
                <w:szCs w:val="24"/>
              </w:rPr>
              <w:t>56.66±2.84</w:t>
            </w:r>
          </w:p>
        </w:tc>
        <w:tc>
          <w:tcPr>
            <w:tcW w:w="1489" w:type="dxa"/>
            <w:noWrap/>
          </w:tcPr>
          <w:p w14:paraId="14D813E5">
            <w:pPr>
              <w:spacing w:after="0" w:line="240" w:lineRule="auto"/>
              <w:jc w:val="both"/>
              <w:rPr>
                <w:rFonts w:ascii="Times New Roman" w:hAnsi="Times New Roman"/>
                <w:color w:val="000000"/>
                <w:sz w:val="24"/>
                <w:szCs w:val="24"/>
              </w:rPr>
            </w:pPr>
            <w:r>
              <w:rPr>
                <w:rFonts w:ascii="Times New Roman" w:hAnsi="Times New Roman"/>
                <w:color w:val="000000"/>
                <w:sz w:val="24"/>
                <w:szCs w:val="24"/>
              </w:rPr>
              <w:t>7.80±3.02</w:t>
            </w:r>
          </w:p>
        </w:tc>
        <w:tc>
          <w:tcPr>
            <w:tcW w:w="1306" w:type="dxa"/>
            <w:noWrap/>
          </w:tcPr>
          <w:p w14:paraId="1BB47802">
            <w:pPr>
              <w:spacing w:after="0" w:line="240" w:lineRule="auto"/>
              <w:jc w:val="both"/>
              <w:rPr>
                <w:rFonts w:ascii="Times New Roman" w:hAnsi="Times New Roman"/>
                <w:color w:val="000000"/>
                <w:sz w:val="24"/>
                <w:szCs w:val="24"/>
              </w:rPr>
            </w:pPr>
            <w:r>
              <w:rPr>
                <w:rFonts w:ascii="Times New Roman" w:hAnsi="Times New Roman"/>
                <w:color w:val="000000"/>
                <w:sz w:val="24"/>
                <w:szCs w:val="24"/>
              </w:rPr>
              <w:t>6.56±0.44</w:t>
            </w:r>
          </w:p>
        </w:tc>
        <w:tc>
          <w:tcPr>
            <w:tcW w:w="1274" w:type="dxa"/>
            <w:noWrap/>
          </w:tcPr>
          <w:p w14:paraId="7B287562">
            <w:pPr>
              <w:spacing w:after="0" w:line="240" w:lineRule="auto"/>
              <w:jc w:val="both"/>
              <w:rPr>
                <w:rFonts w:ascii="Times New Roman" w:hAnsi="Times New Roman"/>
                <w:color w:val="000000"/>
                <w:sz w:val="24"/>
                <w:szCs w:val="24"/>
              </w:rPr>
            </w:pPr>
            <w:r>
              <w:rPr>
                <w:rFonts w:ascii="Times New Roman" w:hAnsi="Times New Roman"/>
                <w:color w:val="000000"/>
                <w:sz w:val="24"/>
                <w:szCs w:val="24"/>
              </w:rPr>
              <w:t>1.83±0.20</w:t>
            </w:r>
          </w:p>
        </w:tc>
      </w:tr>
      <w:tr w14:paraId="3DE0EFA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70" w:type="dxa"/>
            <w:noWrap/>
          </w:tcPr>
          <w:p w14:paraId="69E7C604">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Crude extract</w:t>
            </w:r>
          </w:p>
        </w:tc>
        <w:tc>
          <w:tcPr>
            <w:tcW w:w="1189" w:type="dxa"/>
            <w:noWrap/>
          </w:tcPr>
          <w:p w14:paraId="478FA372">
            <w:pPr>
              <w:spacing w:line="240" w:lineRule="auto"/>
              <w:rPr>
                <w:rFonts w:ascii="Times New Roman" w:hAnsi="Times New Roman"/>
                <w:color w:val="000000"/>
                <w:sz w:val="24"/>
                <w:szCs w:val="24"/>
              </w:rPr>
            </w:pPr>
            <w:r>
              <w:rPr>
                <w:rFonts w:ascii="Times New Roman" w:hAnsi="Times New Roman"/>
                <w:color w:val="000000"/>
                <w:sz w:val="24"/>
                <w:szCs w:val="24"/>
              </w:rPr>
              <w:t>187</w:t>
            </w:r>
          </w:p>
        </w:tc>
        <w:tc>
          <w:tcPr>
            <w:tcW w:w="1156" w:type="dxa"/>
            <w:noWrap/>
          </w:tcPr>
          <w:p w14:paraId="22890AE8">
            <w:pPr>
              <w:spacing w:after="0" w:line="240" w:lineRule="auto"/>
              <w:jc w:val="both"/>
              <w:rPr>
                <w:rFonts w:ascii="Times New Roman" w:hAnsi="Times New Roman"/>
                <w:color w:val="000000"/>
                <w:sz w:val="24"/>
                <w:szCs w:val="24"/>
              </w:rPr>
            </w:pPr>
            <w:r>
              <w:rPr>
                <w:rFonts w:ascii="Times New Roman" w:hAnsi="Times New Roman"/>
                <w:color w:val="000000"/>
                <w:sz w:val="24"/>
                <w:szCs w:val="24"/>
              </w:rPr>
              <w:t>73.5±1.32</w:t>
            </w:r>
          </w:p>
        </w:tc>
        <w:tc>
          <w:tcPr>
            <w:tcW w:w="1274" w:type="dxa"/>
            <w:noWrap/>
          </w:tcPr>
          <w:p w14:paraId="1E0519CB">
            <w:pPr>
              <w:spacing w:after="0" w:line="240" w:lineRule="auto"/>
              <w:jc w:val="both"/>
              <w:rPr>
                <w:rFonts w:ascii="Times New Roman" w:hAnsi="Times New Roman"/>
                <w:color w:val="000000"/>
                <w:sz w:val="24"/>
                <w:szCs w:val="24"/>
              </w:rPr>
            </w:pPr>
            <w:r>
              <w:rPr>
                <w:rFonts w:ascii="Times New Roman" w:hAnsi="Times New Roman"/>
                <w:color w:val="000000"/>
                <w:sz w:val="24"/>
                <w:szCs w:val="24"/>
              </w:rPr>
              <w:t>43.5±0.64</w:t>
            </w:r>
          </w:p>
        </w:tc>
        <w:tc>
          <w:tcPr>
            <w:tcW w:w="1409" w:type="dxa"/>
            <w:noWrap/>
          </w:tcPr>
          <w:p w14:paraId="60739109">
            <w:pPr>
              <w:spacing w:after="0" w:line="240" w:lineRule="auto"/>
              <w:jc w:val="both"/>
              <w:rPr>
                <w:rFonts w:ascii="Times New Roman" w:hAnsi="Times New Roman"/>
                <w:color w:val="000000"/>
                <w:sz w:val="24"/>
                <w:szCs w:val="24"/>
              </w:rPr>
            </w:pPr>
            <w:r>
              <w:rPr>
                <w:rFonts w:ascii="Times New Roman" w:hAnsi="Times New Roman"/>
                <w:color w:val="000000"/>
                <w:sz w:val="24"/>
                <w:szCs w:val="24"/>
              </w:rPr>
              <w:t>19.0±0.70</w:t>
            </w:r>
          </w:p>
        </w:tc>
        <w:tc>
          <w:tcPr>
            <w:tcW w:w="1274" w:type="dxa"/>
            <w:noWrap/>
          </w:tcPr>
          <w:p w14:paraId="0F2ED560">
            <w:pPr>
              <w:spacing w:after="0" w:line="240" w:lineRule="auto"/>
              <w:jc w:val="both"/>
              <w:rPr>
                <w:rFonts w:ascii="Times New Roman" w:hAnsi="Times New Roman"/>
                <w:color w:val="000000"/>
                <w:sz w:val="24"/>
                <w:szCs w:val="24"/>
              </w:rPr>
            </w:pPr>
            <w:r>
              <w:rPr>
                <w:rFonts w:ascii="Times New Roman" w:hAnsi="Times New Roman"/>
                <w:color w:val="000000"/>
                <w:sz w:val="24"/>
                <w:szCs w:val="24"/>
              </w:rPr>
              <w:t>42.0±5.16</w:t>
            </w:r>
          </w:p>
        </w:tc>
        <w:tc>
          <w:tcPr>
            <w:tcW w:w="1409" w:type="dxa"/>
            <w:noWrap/>
          </w:tcPr>
          <w:p w14:paraId="21CB3C10">
            <w:pPr>
              <w:spacing w:after="0" w:line="240" w:lineRule="auto"/>
              <w:jc w:val="both"/>
              <w:rPr>
                <w:rFonts w:ascii="Times New Roman" w:hAnsi="Times New Roman"/>
                <w:color w:val="000000"/>
                <w:sz w:val="24"/>
                <w:szCs w:val="24"/>
              </w:rPr>
            </w:pPr>
            <w:r>
              <w:rPr>
                <w:rFonts w:ascii="Times New Roman" w:hAnsi="Times New Roman"/>
                <w:color w:val="000000"/>
                <w:sz w:val="24"/>
                <w:szCs w:val="24"/>
              </w:rPr>
              <w:t>53.50±2.36</w:t>
            </w:r>
          </w:p>
        </w:tc>
        <w:tc>
          <w:tcPr>
            <w:tcW w:w="1489" w:type="dxa"/>
            <w:noWrap/>
          </w:tcPr>
          <w:p w14:paraId="4E5EEDA1">
            <w:pPr>
              <w:spacing w:after="0" w:line="240" w:lineRule="auto"/>
              <w:jc w:val="both"/>
              <w:rPr>
                <w:rFonts w:ascii="Times New Roman" w:hAnsi="Times New Roman"/>
                <w:color w:val="000000"/>
                <w:sz w:val="24"/>
                <w:szCs w:val="24"/>
              </w:rPr>
            </w:pPr>
            <w:r>
              <w:rPr>
                <w:rFonts w:ascii="Times New Roman" w:hAnsi="Times New Roman"/>
                <w:color w:val="000000"/>
                <w:sz w:val="24"/>
                <w:szCs w:val="24"/>
              </w:rPr>
              <w:t>10.50±0.29</w:t>
            </w:r>
          </w:p>
        </w:tc>
        <w:tc>
          <w:tcPr>
            <w:tcW w:w="1306" w:type="dxa"/>
            <w:noWrap/>
          </w:tcPr>
          <w:p w14:paraId="4A81B8E8">
            <w:pPr>
              <w:spacing w:after="0" w:line="240" w:lineRule="auto"/>
              <w:jc w:val="both"/>
              <w:rPr>
                <w:rFonts w:ascii="Times New Roman" w:hAnsi="Times New Roman"/>
                <w:color w:val="000000"/>
                <w:sz w:val="24"/>
                <w:szCs w:val="24"/>
              </w:rPr>
            </w:pPr>
            <w:r>
              <w:rPr>
                <w:rFonts w:ascii="Times New Roman" w:hAnsi="Times New Roman"/>
                <w:color w:val="000000"/>
                <w:sz w:val="24"/>
                <w:szCs w:val="24"/>
              </w:rPr>
              <w:t>5.70±0.63</w:t>
            </w:r>
          </w:p>
        </w:tc>
        <w:tc>
          <w:tcPr>
            <w:tcW w:w="1274" w:type="dxa"/>
            <w:noWrap/>
          </w:tcPr>
          <w:p w14:paraId="04DD35BF">
            <w:pPr>
              <w:spacing w:after="0" w:line="240" w:lineRule="auto"/>
              <w:jc w:val="both"/>
              <w:rPr>
                <w:rFonts w:ascii="Times New Roman" w:hAnsi="Times New Roman"/>
                <w:color w:val="000000"/>
                <w:sz w:val="24"/>
                <w:szCs w:val="24"/>
              </w:rPr>
            </w:pPr>
            <w:r>
              <w:rPr>
                <w:rFonts w:ascii="Times New Roman" w:hAnsi="Times New Roman"/>
                <w:color w:val="000000"/>
                <w:sz w:val="24"/>
                <w:szCs w:val="24"/>
              </w:rPr>
              <w:t>1.52±0.22</w:t>
            </w:r>
          </w:p>
        </w:tc>
      </w:tr>
      <w:tr w14:paraId="672B7FC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70" w:type="dxa"/>
            <w:noWrap/>
          </w:tcPr>
          <w:p w14:paraId="21571E0C">
            <w:pPr>
              <w:spacing w:after="0" w:line="240" w:lineRule="auto"/>
              <w:jc w:val="both"/>
              <w:rPr>
                <w:rFonts w:ascii="Times New Roman" w:hAnsi="Times New Roman"/>
                <w:bCs/>
                <w:color w:val="000000"/>
                <w:sz w:val="24"/>
                <w:szCs w:val="24"/>
              </w:rPr>
            </w:pPr>
          </w:p>
        </w:tc>
        <w:tc>
          <w:tcPr>
            <w:tcW w:w="1189" w:type="dxa"/>
            <w:noWrap/>
          </w:tcPr>
          <w:p w14:paraId="5D252822">
            <w:pPr>
              <w:spacing w:line="240" w:lineRule="auto"/>
              <w:rPr>
                <w:rFonts w:ascii="Times New Roman" w:hAnsi="Times New Roman"/>
                <w:color w:val="000000"/>
                <w:sz w:val="24"/>
                <w:szCs w:val="24"/>
              </w:rPr>
            </w:pPr>
            <w:r>
              <w:rPr>
                <w:rFonts w:ascii="Times New Roman" w:hAnsi="Times New Roman"/>
                <w:color w:val="000000"/>
                <w:sz w:val="24"/>
                <w:szCs w:val="24"/>
              </w:rPr>
              <w:t>374</w:t>
            </w:r>
          </w:p>
        </w:tc>
        <w:tc>
          <w:tcPr>
            <w:tcW w:w="1156" w:type="dxa"/>
            <w:noWrap/>
          </w:tcPr>
          <w:p w14:paraId="3F13CE31">
            <w:pPr>
              <w:spacing w:after="0" w:line="240" w:lineRule="auto"/>
              <w:jc w:val="both"/>
              <w:rPr>
                <w:rFonts w:ascii="Times New Roman" w:hAnsi="Times New Roman"/>
                <w:color w:val="000000"/>
                <w:sz w:val="24"/>
                <w:szCs w:val="24"/>
              </w:rPr>
            </w:pPr>
            <w:r>
              <w:rPr>
                <w:rFonts w:ascii="Times New Roman" w:hAnsi="Times New Roman"/>
                <w:color w:val="000000"/>
                <w:sz w:val="24"/>
                <w:szCs w:val="24"/>
              </w:rPr>
              <w:t>71.5±0.64</w:t>
            </w:r>
          </w:p>
        </w:tc>
        <w:tc>
          <w:tcPr>
            <w:tcW w:w="1274" w:type="dxa"/>
            <w:noWrap/>
          </w:tcPr>
          <w:p w14:paraId="5F2941FA">
            <w:pPr>
              <w:spacing w:after="0" w:line="240" w:lineRule="auto"/>
              <w:jc w:val="both"/>
              <w:rPr>
                <w:rFonts w:ascii="Times New Roman" w:hAnsi="Times New Roman"/>
                <w:color w:val="000000"/>
                <w:sz w:val="24"/>
                <w:szCs w:val="24"/>
              </w:rPr>
            </w:pPr>
            <w:r>
              <w:rPr>
                <w:rFonts w:ascii="Times New Roman" w:hAnsi="Times New Roman"/>
                <w:color w:val="000000"/>
                <w:sz w:val="24"/>
                <w:szCs w:val="24"/>
              </w:rPr>
              <w:t>45.0±0.81</w:t>
            </w:r>
          </w:p>
        </w:tc>
        <w:tc>
          <w:tcPr>
            <w:tcW w:w="1409" w:type="dxa"/>
            <w:noWrap/>
          </w:tcPr>
          <w:p w14:paraId="1FA0B375">
            <w:pPr>
              <w:spacing w:after="0" w:line="240" w:lineRule="auto"/>
              <w:jc w:val="both"/>
              <w:rPr>
                <w:rFonts w:ascii="Times New Roman" w:hAnsi="Times New Roman"/>
                <w:color w:val="000000"/>
                <w:sz w:val="24"/>
                <w:szCs w:val="24"/>
              </w:rPr>
            </w:pPr>
            <w:r>
              <w:rPr>
                <w:rFonts w:ascii="Times New Roman" w:hAnsi="Times New Roman"/>
                <w:color w:val="000000"/>
                <w:sz w:val="24"/>
                <w:szCs w:val="24"/>
              </w:rPr>
              <w:t>19.5±1.04</w:t>
            </w:r>
          </w:p>
        </w:tc>
        <w:tc>
          <w:tcPr>
            <w:tcW w:w="1274" w:type="dxa"/>
            <w:noWrap/>
          </w:tcPr>
          <w:p w14:paraId="53927D8C">
            <w:pPr>
              <w:spacing w:after="0" w:line="240" w:lineRule="auto"/>
              <w:jc w:val="both"/>
              <w:rPr>
                <w:rFonts w:ascii="Times New Roman" w:hAnsi="Times New Roman"/>
                <w:color w:val="000000"/>
                <w:sz w:val="24"/>
                <w:szCs w:val="24"/>
              </w:rPr>
            </w:pPr>
            <w:r>
              <w:rPr>
                <w:rFonts w:ascii="Times New Roman" w:hAnsi="Times New Roman"/>
                <w:color w:val="000000"/>
                <w:sz w:val="24"/>
                <w:szCs w:val="24"/>
              </w:rPr>
              <w:t>30.0±1.58</w:t>
            </w:r>
          </w:p>
        </w:tc>
        <w:tc>
          <w:tcPr>
            <w:tcW w:w="1409" w:type="dxa"/>
            <w:noWrap/>
          </w:tcPr>
          <w:p w14:paraId="74371D48">
            <w:pPr>
              <w:spacing w:after="0" w:line="240" w:lineRule="auto"/>
              <w:jc w:val="both"/>
              <w:rPr>
                <w:rFonts w:ascii="Times New Roman" w:hAnsi="Times New Roman"/>
                <w:color w:val="000000"/>
                <w:sz w:val="24"/>
                <w:szCs w:val="24"/>
              </w:rPr>
            </w:pPr>
            <w:r>
              <w:rPr>
                <w:rFonts w:ascii="Times New Roman" w:hAnsi="Times New Roman"/>
                <w:color w:val="000000"/>
                <w:sz w:val="24"/>
                <w:szCs w:val="24"/>
              </w:rPr>
              <w:t>55.25±4.95</w:t>
            </w:r>
          </w:p>
        </w:tc>
        <w:tc>
          <w:tcPr>
            <w:tcW w:w="1489" w:type="dxa"/>
            <w:noWrap/>
          </w:tcPr>
          <w:p w14:paraId="0134228E">
            <w:pPr>
              <w:spacing w:after="0" w:line="240" w:lineRule="auto"/>
              <w:jc w:val="both"/>
              <w:rPr>
                <w:rFonts w:ascii="Times New Roman" w:hAnsi="Times New Roman"/>
                <w:color w:val="000000"/>
                <w:sz w:val="24"/>
                <w:szCs w:val="24"/>
              </w:rPr>
            </w:pPr>
            <w:r>
              <w:rPr>
                <w:rFonts w:ascii="Times New Roman" w:hAnsi="Times New Roman"/>
                <w:color w:val="000000"/>
                <w:sz w:val="24"/>
                <w:szCs w:val="24"/>
              </w:rPr>
              <w:t>11.20±0.99</w:t>
            </w:r>
            <w:r>
              <w:rPr>
                <w:rFonts w:ascii="Times New Roman" w:hAnsi="Times New Roman"/>
                <w:color w:val="000000"/>
                <w:sz w:val="24"/>
                <w:szCs w:val="24"/>
                <w:vertAlign w:val="superscript"/>
              </w:rPr>
              <w:t>c</w:t>
            </w:r>
          </w:p>
        </w:tc>
        <w:tc>
          <w:tcPr>
            <w:tcW w:w="1306" w:type="dxa"/>
            <w:noWrap/>
          </w:tcPr>
          <w:p w14:paraId="1D032290">
            <w:pPr>
              <w:spacing w:after="0" w:line="240" w:lineRule="auto"/>
              <w:jc w:val="both"/>
              <w:rPr>
                <w:rFonts w:ascii="Times New Roman" w:hAnsi="Times New Roman"/>
                <w:color w:val="000000"/>
                <w:sz w:val="24"/>
                <w:szCs w:val="24"/>
              </w:rPr>
            </w:pPr>
            <w:r>
              <w:rPr>
                <w:rFonts w:ascii="Times New Roman" w:hAnsi="Times New Roman"/>
                <w:color w:val="000000"/>
                <w:sz w:val="24"/>
                <w:szCs w:val="24"/>
              </w:rPr>
              <w:t>7.15±1.27</w:t>
            </w:r>
          </w:p>
        </w:tc>
        <w:tc>
          <w:tcPr>
            <w:tcW w:w="1274" w:type="dxa"/>
            <w:noWrap/>
          </w:tcPr>
          <w:p w14:paraId="657485C9">
            <w:pPr>
              <w:spacing w:after="0" w:line="240" w:lineRule="auto"/>
              <w:jc w:val="both"/>
              <w:rPr>
                <w:rFonts w:ascii="Times New Roman" w:hAnsi="Times New Roman"/>
                <w:color w:val="000000"/>
                <w:sz w:val="24"/>
                <w:szCs w:val="24"/>
              </w:rPr>
            </w:pPr>
            <w:r>
              <w:rPr>
                <w:rFonts w:ascii="Times New Roman" w:hAnsi="Times New Roman"/>
                <w:color w:val="000000"/>
                <w:sz w:val="24"/>
                <w:szCs w:val="24"/>
              </w:rPr>
              <w:t>2.00±0.12</w:t>
            </w:r>
          </w:p>
        </w:tc>
      </w:tr>
      <w:tr w14:paraId="57771C0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70" w:type="dxa"/>
            <w:noWrap/>
          </w:tcPr>
          <w:p w14:paraId="34381592">
            <w:pPr>
              <w:spacing w:after="0" w:line="240" w:lineRule="auto"/>
              <w:jc w:val="both"/>
              <w:rPr>
                <w:rFonts w:ascii="Times New Roman" w:hAnsi="Times New Roman"/>
                <w:bCs/>
                <w:color w:val="000000"/>
                <w:sz w:val="24"/>
                <w:szCs w:val="24"/>
              </w:rPr>
            </w:pPr>
          </w:p>
        </w:tc>
        <w:tc>
          <w:tcPr>
            <w:tcW w:w="1189" w:type="dxa"/>
            <w:noWrap/>
          </w:tcPr>
          <w:p w14:paraId="6153CEE8">
            <w:pPr>
              <w:spacing w:line="240" w:lineRule="auto"/>
              <w:rPr>
                <w:rFonts w:ascii="Times New Roman" w:hAnsi="Times New Roman"/>
                <w:color w:val="000000"/>
                <w:sz w:val="24"/>
                <w:szCs w:val="24"/>
              </w:rPr>
            </w:pPr>
            <w:r>
              <w:rPr>
                <w:rFonts w:ascii="Times New Roman" w:hAnsi="Times New Roman"/>
                <w:color w:val="000000"/>
                <w:sz w:val="24"/>
                <w:szCs w:val="24"/>
              </w:rPr>
              <w:t>561</w:t>
            </w:r>
          </w:p>
        </w:tc>
        <w:tc>
          <w:tcPr>
            <w:tcW w:w="1156" w:type="dxa"/>
            <w:noWrap/>
          </w:tcPr>
          <w:p w14:paraId="7E20F1FC">
            <w:pPr>
              <w:spacing w:after="0" w:line="240" w:lineRule="auto"/>
              <w:jc w:val="both"/>
              <w:rPr>
                <w:rFonts w:ascii="Times New Roman" w:hAnsi="Times New Roman"/>
                <w:color w:val="000000"/>
                <w:sz w:val="24"/>
                <w:szCs w:val="24"/>
              </w:rPr>
            </w:pPr>
            <w:r>
              <w:rPr>
                <w:rFonts w:ascii="Times New Roman" w:hAnsi="Times New Roman"/>
                <w:color w:val="000000"/>
                <w:sz w:val="24"/>
                <w:szCs w:val="24"/>
              </w:rPr>
              <w:t>70.0±1.29</w:t>
            </w:r>
          </w:p>
        </w:tc>
        <w:tc>
          <w:tcPr>
            <w:tcW w:w="1274" w:type="dxa"/>
            <w:noWrap/>
          </w:tcPr>
          <w:p w14:paraId="5B46ADD4">
            <w:pPr>
              <w:spacing w:after="0" w:line="240" w:lineRule="auto"/>
              <w:jc w:val="both"/>
              <w:rPr>
                <w:rFonts w:ascii="Times New Roman" w:hAnsi="Times New Roman"/>
                <w:color w:val="000000"/>
                <w:sz w:val="24"/>
                <w:szCs w:val="24"/>
              </w:rPr>
            </w:pPr>
            <w:r>
              <w:rPr>
                <w:rFonts w:ascii="Times New Roman" w:hAnsi="Times New Roman"/>
                <w:color w:val="000000"/>
                <w:sz w:val="24"/>
                <w:szCs w:val="24"/>
              </w:rPr>
              <w:t>42.5±1.04</w:t>
            </w:r>
          </w:p>
        </w:tc>
        <w:tc>
          <w:tcPr>
            <w:tcW w:w="1409" w:type="dxa"/>
            <w:noWrap/>
          </w:tcPr>
          <w:p w14:paraId="2306688C">
            <w:pPr>
              <w:spacing w:after="0" w:line="240" w:lineRule="auto"/>
              <w:jc w:val="both"/>
              <w:rPr>
                <w:rFonts w:ascii="Times New Roman" w:hAnsi="Times New Roman"/>
                <w:color w:val="000000"/>
                <w:sz w:val="24"/>
                <w:szCs w:val="24"/>
              </w:rPr>
            </w:pPr>
            <w:r>
              <w:rPr>
                <w:rFonts w:ascii="Times New Roman" w:hAnsi="Times New Roman"/>
                <w:color w:val="000000"/>
                <w:sz w:val="24"/>
                <w:szCs w:val="24"/>
              </w:rPr>
              <w:t>17.75±1.31</w:t>
            </w:r>
          </w:p>
        </w:tc>
        <w:tc>
          <w:tcPr>
            <w:tcW w:w="1274" w:type="dxa"/>
            <w:noWrap/>
          </w:tcPr>
          <w:p w14:paraId="40FA4D59">
            <w:pPr>
              <w:spacing w:after="0" w:line="240" w:lineRule="auto"/>
              <w:jc w:val="both"/>
              <w:rPr>
                <w:rFonts w:ascii="Times New Roman" w:hAnsi="Times New Roman"/>
                <w:color w:val="000000"/>
                <w:sz w:val="24"/>
                <w:szCs w:val="24"/>
              </w:rPr>
            </w:pPr>
            <w:r>
              <w:rPr>
                <w:rFonts w:ascii="Times New Roman" w:hAnsi="Times New Roman"/>
                <w:color w:val="000000"/>
                <w:sz w:val="24"/>
                <w:szCs w:val="24"/>
              </w:rPr>
              <w:t>24.5±1.32</w:t>
            </w:r>
          </w:p>
        </w:tc>
        <w:tc>
          <w:tcPr>
            <w:tcW w:w="1409" w:type="dxa"/>
            <w:noWrap/>
          </w:tcPr>
          <w:p w14:paraId="36554F20">
            <w:pPr>
              <w:spacing w:after="0" w:line="240" w:lineRule="auto"/>
              <w:jc w:val="both"/>
              <w:rPr>
                <w:rFonts w:ascii="Times New Roman" w:hAnsi="Times New Roman"/>
                <w:color w:val="000000"/>
                <w:sz w:val="24"/>
                <w:szCs w:val="24"/>
              </w:rPr>
            </w:pPr>
            <w:r>
              <w:rPr>
                <w:rFonts w:ascii="Times New Roman" w:hAnsi="Times New Roman"/>
                <w:color w:val="000000"/>
                <w:sz w:val="24"/>
                <w:szCs w:val="24"/>
              </w:rPr>
              <w:t>51.0±4.34</w:t>
            </w:r>
          </w:p>
        </w:tc>
        <w:tc>
          <w:tcPr>
            <w:tcW w:w="1489" w:type="dxa"/>
            <w:noWrap/>
          </w:tcPr>
          <w:p w14:paraId="3BB63E5A">
            <w:pPr>
              <w:spacing w:after="0" w:line="240" w:lineRule="auto"/>
              <w:jc w:val="both"/>
              <w:rPr>
                <w:rFonts w:ascii="Times New Roman" w:hAnsi="Times New Roman"/>
                <w:color w:val="000000"/>
                <w:sz w:val="24"/>
                <w:szCs w:val="24"/>
              </w:rPr>
            </w:pPr>
            <w:r>
              <w:rPr>
                <w:rFonts w:ascii="Times New Roman" w:hAnsi="Times New Roman"/>
                <w:color w:val="000000"/>
                <w:sz w:val="24"/>
                <w:szCs w:val="24"/>
              </w:rPr>
              <w:t>10.17±0.95</w:t>
            </w:r>
          </w:p>
        </w:tc>
        <w:tc>
          <w:tcPr>
            <w:tcW w:w="1306" w:type="dxa"/>
            <w:noWrap/>
          </w:tcPr>
          <w:p w14:paraId="056051E1">
            <w:pPr>
              <w:spacing w:after="0" w:line="240" w:lineRule="auto"/>
              <w:jc w:val="both"/>
              <w:rPr>
                <w:rFonts w:ascii="Times New Roman" w:hAnsi="Times New Roman"/>
                <w:color w:val="000000"/>
                <w:sz w:val="24"/>
                <w:szCs w:val="24"/>
              </w:rPr>
            </w:pPr>
            <w:r>
              <w:rPr>
                <w:rFonts w:ascii="Times New Roman" w:hAnsi="Times New Roman"/>
                <w:color w:val="000000"/>
                <w:sz w:val="24"/>
                <w:szCs w:val="24"/>
              </w:rPr>
              <w:t>5.72±0.79</w:t>
            </w:r>
          </w:p>
        </w:tc>
        <w:tc>
          <w:tcPr>
            <w:tcW w:w="1274" w:type="dxa"/>
            <w:noWrap/>
          </w:tcPr>
          <w:p w14:paraId="500A2485">
            <w:pPr>
              <w:spacing w:after="0" w:line="240" w:lineRule="auto"/>
              <w:jc w:val="both"/>
              <w:rPr>
                <w:rFonts w:ascii="Times New Roman" w:hAnsi="Times New Roman"/>
                <w:color w:val="000000"/>
                <w:sz w:val="24"/>
                <w:szCs w:val="24"/>
              </w:rPr>
            </w:pPr>
            <w:r>
              <w:rPr>
                <w:rFonts w:ascii="Times New Roman" w:hAnsi="Times New Roman"/>
                <w:color w:val="000000"/>
                <w:sz w:val="24"/>
                <w:szCs w:val="24"/>
              </w:rPr>
              <w:t>1.62±0.25</w:t>
            </w:r>
          </w:p>
        </w:tc>
      </w:tr>
    </w:tbl>
    <w:p w14:paraId="269DBE09">
      <w:pPr>
        <w:jc w:val="both"/>
        <w:rPr>
          <w:rFonts w:ascii="Times New Roman" w:hAnsi="Times New Roman"/>
          <w:sz w:val="24"/>
          <w:szCs w:val="24"/>
        </w:rPr>
      </w:pPr>
      <w:r>
        <w:rPr>
          <w:rFonts w:ascii="Times New Roman" w:hAnsi="Times New Roman"/>
          <w:sz w:val="24"/>
          <w:szCs w:val="24"/>
        </w:rPr>
        <w:t xml:space="preserve">                   Data is expressed as MEAN ± SEM, Significant at  </w:t>
      </w:r>
      <w:r>
        <w:rPr>
          <w:rFonts w:ascii="Times New Roman" w:hAnsi="Times New Roman"/>
          <w:sz w:val="24"/>
          <w:szCs w:val="24"/>
          <w:vertAlign w:val="superscript"/>
        </w:rPr>
        <w:t>c</w:t>
      </w:r>
      <w:r>
        <w:rPr>
          <w:rFonts w:ascii="Times New Roman" w:hAnsi="Times New Roman"/>
          <w:sz w:val="24"/>
          <w:szCs w:val="24"/>
        </w:rPr>
        <w:t xml:space="preserve">p&lt; 0.001, when compared to control. (n=5). </w:t>
      </w:r>
    </w:p>
    <w:p w14:paraId="232DDB9D">
      <w:pPr>
        <w:jc w:val="both"/>
        <w:rPr>
          <w:rFonts w:ascii="Times New Roman" w:hAnsi="Times New Roman"/>
          <w:sz w:val="24"/>
          <w:szCs w:val="24"/>
        </w:rPr>
      </w:pPr>
    </w:p>
    <w:p w14:paraId="490DB52A">
      <w:pPr>
        <w:ind w:firstLine="720"/>
        <w:jc w:val="both"/>
        <w:rPr>
          <w:rFonts w:ascii="Times New Roman" w:hAnsi="Times New Roman"/>
          <w:sz w:val="24"/>
          <w:szCs w:val="24"/>
        </w:rPr>
      </w:pPr>
      <w:r>
        <w:rPr>
          <w:rFonts w:ascii="Times New Roman" w:hAnsi="Times New Roman"/>
          <w:b/>
          <w:sz w:val="24"/>
          <w:szCs w:val="24"/>
        </w:rPr>
        <w:br w:type="page"/>
      </w:r>
    </w:p>
    <w:p w14:paraId="3135EC8F">
      <w:pPr>
        <w:spacing w:before="240"/>
        <w:jc w:val="both"/>
        <w:rPr>
          <w:rFonts w:ascii="Times New Roman" w:hAnsi="Times New Roman"/>
          <w:b/>
          <w:sz w:val="24"/>
          <w:szCs w:val="24"/>
        </w:rPr>
      </w:pPr>
    </w:p>
    <w:p w14:paraId="55957D2E">
      <w:pPr>
        <w:spacing w:before="240"/>
        <w:ind w:firstLine="720"/>
        <w:jc w:val="both"/>
        <w:rPr>
          <w:rFonts w:ascii="Times New Roman" w:hAnsi="Times New Roman"/>
          <w:bCs/>
          <w:sz w:val="24"/>
          <w:szCs w:val="24"/>
        </w:rPr>
      </w:pPr>
      <w:r>
        <w:rPr>
          <w:rFonts w:ascii="Times New Roman" w:hAnsi="Times New Roman"/>
          <w:bCs/>
          <w:sz w:val="24"/>
          <w:szCs w:val="24"/>
        </w:rPr>
        <w:t xml:space="preserve">Table 5: Effect of chronic administration of </w:t>
      </w:r>
      <w:r>
        <w:rPr>
          <w:rFonts w:ascii="Times New Roman" w:hAnsi="Times New Roman"/>
          <w:bCs/>
          <w:i/>
          <w:sz w:val="24"/>
          <w:szCs w:val="24"/>
        </w:rPr>
        <w:t xml:space="preserve">Zea mays </w:t>
      </w:r>
      <w:r>
        <w:rPr>
          <w:rFonts w:ascii="Times New Roman" w:hAnsi="Times New Roman"/>
          <w:bCs/>
          <w:sz w:val="24"/>
          <w:szCs w:val="24"/>
        </w:rPr>
        <w:t>husk extract on kidney function parameters of female rats</w:t>
      </w:r>
    </w:p>
    <w:tbl>
      <w:tblPr>
        <w:tblStyle w:val="3"/>
        <w:tblW w:w="13920" w:type="dxa"/>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96"/>
        <w:gridCol w:w="1134"/>
        <w:gridCol w:w="1701"/>
        <w:gridCol w:w="1559"/>
        <w:gridCol w:w="1984"/>
        <w:gridCol w:w="1701"/>
        <w:gridCol w:w="1701"/>
        <w:gridCol w:w="2144"/>
      </w:tblGrid>
      <w:tr w14:paraId="1EEECB0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96" w:type="dxa"/>
            <w:tcBorders>
              <w:top w:val="single" w:color="000000" w:sz="8" w:space="0"/>
              <w:left w:val="nil"/>
              <w:bottom w:val="single" w:color="000000" w:sz="8" w:space="0"/>
              <w:right w:val="nil"/>
            </w:tcBorders>
            <w:noWrap/>
          </w:tcPr>
          <w:p w14:paraId="5A622B1C">
            <w:pPr>
              <w:spacing w:after="0"/>
              <w:jc w:val="both"/>
              <w:rPr>
                <w:rFonts w:ascii="Times New Roman" w:hAnsi="Times New Roman"/>
                <w:bCs/>
                <w:color w:val="000000"/>
                <w:sz w:val="24"/>
                <w:szCs w:val="24"/>
              </w:rPr>
            </w:pPr>
            <w:r>
              <w:rPr>
                <w:rFonts w:ascii="Times New Roman" w:hAnsi="Times New Roman"/>
                <w:bCs/>
                <w:color w:val="000000"/>
                <w:sz w:val="24"/>
                <w:szCs w:val="24"/>
              </w:rPr>
              <w:t>TREATMENT</w:t>
            </w:r>
          </w:p>
        </w:tc>
        <w:tc>
          <w:tcPr>
            <w:tcW w:w="1134" w:type="dxa"/>
            <w:tcBorders>
              <w:top w:val="single" w:color="000000" w:sz="8" w:space="0"/>
              <w:bottom w:val="single" w:color="000000" w:sz="8" w:space="0"/>
              <w:right w:val="nil"/>
            </w:tcBorders>
            <w:noWrap/>
          </w:tcPr>
          <w:p w14:paraId="66EFECBB">
            <w:pPr>
              <w:spacing w:after="0"/>
              <w:jc w:val="both"/>
              <w:rPr>
                <w:rFonts w:ascii="Times New Roman" w:hAnsi="Times New Roman"/>
                <w:bCs/>
                <w:color w:val="000000"/>
                <w:sz w:val="24"/>
                <w:szCs w:val="24"/>
              </w:rPr>
            </w:pPr>
            <w:r>
              <w:rPr>
                <w:rFonts w:ascii="Times New Roman" w:hAnsi="Times New Roman"/>
                <w:bCs/>
                <w:color w:val="000000"/>
                <w:sz w:val="24"/>
                <w:szCs w:val="24"/>
              </w:rPr>
              <w:t>DOSE (mg/kg)</w:t>
            </w:r>
          </w:p>
        </w:tc>
        <w:tc>
          <w:tcPr>
            <w:tcW w:w="1701" w:type="dxa"/>
            <w:tcBorders>
              <w:top w:val="single" w:color="000000" w:sz="8" w:space="0"/>
              <w:bottom w:val="single" w:color="000000" w:sz="8" w:space="0"/>
              <w:right w:val="nil"/>
            </w:tcBorders>
            <w:noWrap/>
          </w:tcPr>
          <w:p w14:paraId="7DC96B6F">
            <w:pPr>
              <w:spacing w:after="0"/>
              <w:jc w:val="both"/>
              <w:rPr>
                <w:rFonts w:ascii="Times New Roman" w:hAnsi="Times New Roman"/>
                <w:bCs/>
                <w:color w:val="000000"/>
                <w:sz w:val="24"/>
                <w:szCs w:val="24"/>
              </w:rPr>
            </w:pPr>
            <w:r>
              <w:rPr>
                <w:rFonts w:ascii="Times New Roman" w:hAnsi="Times New Roman"/>
                <w:bCs/>
                <w:color w:val="000000"/>
                <w:sz w:val="24"/>
                <w:szCs w:val="24"/>
              </w:rPr>
              <w:t>CREATININE (mg/kg)</w:t>
            </w:r>
          </w:p>
        </w:tc>
        <w:tc>
          <w:tcPr>
            <w:tcW w:w="1559" w:type="dxa"/>
            <w:tcBorders>
              <w:top w:val="single" w:color="000000" w:sz="8" w:space="0"/>
              <w:bottom w:val="single" w:color="000000" w:sz="8" w:space="0"/>
              <w:right w:val="nil"/>
            </w:tcBorders>
            <w:noWrap/>
          </w:tcPr>
          <w:p w14:paraId="25268084">
            <w:pPr>
              <w:spacing w:after="0"/>
              <w:jc w:val="both"/>
              <w:rPr>
                <w:rFonts w:ascii="Times New Roman" w:hAnsi="Times New Roman"/>
                <w:bCs/>
                <w:color w:val="000000"/>
                <w:sz w:val="24"/>
                <w:szCs w:val="24"/>
              </w:rPr>
            </w:pPr>
            <w:r>
              <w:rPr>
                <w:rFonts w:ascii="Times New Roman" w:hAnsi="Times New Roman"/>
                <w:bCs/>
                <w:color w:val="000000"/>
                <w:sz w:val="24"/>
                <w:szCs w:val="24"/>
              </w:rPr>
              <w:t xml:space="preserve">UREA </w:t>
            </w:r>
          </w:p>
          <w:p w14:paraId="66CF218F">
            <w:pPr>
              <w:spacing w:after="0"/>
              <w:jc w:val="both"/>
              <w:rPr>
                <w:rFonts w:ascii="Times New Roman" w:hAnsi="Times New Roman"/>
                <w:bCs/>
                <w:color w:val="000000"/>
                <w:sz w:val="24"/>
                <w:szCs w:val="24"/>
              </w:rPr>
            </w:pPr>
            <w:r>
              <w:rPr>
                <w:rFonts w:ascii="Times New Roman" w:hAnsi="Times New Roman"/>
                <w:bCs/>
                <w:color w:val="000000"/>
                <w:sz w:val="24"/>
                <w:szCs w:val="24"/>
              </w:rPr>
              <w:t>(mg/dl)</w:t>
            </w:r>
          </w:p>
        </w:tc>
        <w:tc>
          <w:tcPr>
            <w:tcW w:w="1984" w:type="dxa"/>
            <w:tcBorders>
              <w:top w:val="single" w:color="000000" w:sz="8" w:space="0"/>
              <w:bottom w:val="single" w:color="000000" w:sz="8" w:space="0"/>
              <w:right w:val="nil"/>
            </w:tcBorders>
            <w:noWrap/>
          </w:tcPr>
          <w:p w14:paraId="1C5C3C28">
            <w:pPr>
              <w:spacing w:after="0"/>
              <w:jc w:val="both"/>
              <w:rPr>
                <w:rFonts w:ascii="Times New Roman" w:hAnsi="Times New Roman"/>
                <w:bCs/>
                <w:color w:val="000000"/>
                <w:sz w:val="24"/>
                <w:szCs w:val="24"/>
              </w:rPr>
            </w:pPr>
            <w:r>
              <w:rPr>
                <w:rFonts w:ascii="Times New Roman" w:hAnsi="Times New Roman"/>
                <w:bCs/>
                <w:color w:val="000000"/>
                <w:sz w:val="24"/>
                <w:szCs w:val="24"/>
              </w:rPr>
              <w:t>BICARBONATE (mMol/L)</w:t>
            </w:r>
          </w:p>
        </w:tc>
        <w:tc>
          <w:tcPr>
            <w:tcW w:w="1701" w:type="dxa"/>
            <w:tcBorders>
              <w:top w:val="single" w:color="000000" w:sz="8" w:space="0"/>
              <w:bottom w:val="single" w:color="000000" w:sz="8" w:space="0"/>
              <w:right w:val="nil"/>
            </w:tcBorders>
            <w:noWrap/>
          </w:tcPr>
          <w:p w14:paraId="700EF11A">
            <w:pPr>
              <w:spacing w:after="0"/>
              <w:jc w:val="both"/>
              <w:rPr>
                <w:rFonts w:ascii="Times New Roman" w:hAnsi="Times New Roman"/>
                <w:bCs/>
                <w:color w:val="000000"/>
                <w:sz w:val="24"/>
                <w:szCs w:val="24"/>
              </w:rPr>
            </w:pPr>
            <w:r>
              <w:rPr>
                <w:rFonts w:ascii="Times New Roman" w:hAnsi="Times New Roman"/>
                <w:bCs/>
                <w:color w:val="000000"/>
                <w:sz w:val="24"/>
                <w:szCs w:val="24"/>
              </w:rPr>
              <w:t>SODIUM (mMol/L)</w:t>
            </w:r>
          </w:p>
        </w:tc>
        <w:tc>
          <w:tcPr>
            <w:tcW w:w="1701" w:type="dxa"/>
            <w:tcBorders>
              <w:top w:val="single" w:color="000000" w:sz="8" w:space="0"/>
              <w:bottom w:val="single" w:color="000000" w:sz="8" w:space="0"/>
              <w:right w:val="nil"/>
            </w:tcBorders>
            <w:noWrap/>
          </w:tcPr>
          <w:p w14:paraId="646AE4EF">
            <w:pPr>
              <w:spacing w:after="0"/>
              <w:jc w:val="both"/>
              <w:rPr>
                <w:rFonts w:ascii="Times New Roman" w:hAnsi="Times New Roman"/>
                <w:bCs/>
                <w:color w:val="000000"/>
                <w:sz w:val="24"/>
                <w:szCs w:val="24"/>
              </w:rPr>
            </w:pPr>
            <w:r>
              <w:rPr>
                <w:rFonts w:ascii="Times New Roman" w:hAnsi="Times New Roman"/>
                <w:bCs/>
                <w:color w:val="000000"/>
                <w:sz w:val="24"/>
                <w:szCs w:val="24"/>
              </w:rPr>
              <w:t>POTASSIUM (mMol/L)</w:t>
            </w:r>
          </w:p>
        </w:tc>
        <w:tc>
          <w:tcPr>
            <w:tcW w:w="2144" w:type="dxa"/>
            <w:tcBorders>
              <w:top w:val="single" w:color="000000" w:sz="8" w:space="0"/>
              <w:bottom w:val="single" w:color="000000" w:sz="8" w:space="0"/>
              <w:right w:val="nil"/>
            </w:tcBorders>
            <w:noWrap/>
          </w:tcPr>
          <w:p w14:paraId="2E62FB25">
            <w:pPr>
              <w:spacing w:after="0"/>
              <w:jc w:val="both"/>
              <w:rPr>
                <w:rFonts w:ascii="Times New Roman" w:hAnsi="Times New Roman"/>
                <w:bCs/>
                <w:color w:val="000000"/>
                <w:sz w:val="24"/>
                <w:szCs w:val="24"/>
              </w:rPr>
            </w:pPr>
            <w:r>
              <w:rPr>
                <w:rFonts w:ascii="Times New Roman" w:hAnsi="Times New Roman"/>
                <w:bCs/>
                <w:color w:val="000000"/>
                <w:sz w:val="24"/>
                <w:szCs w:val="24"/>
              </w:rPr>
              <w:t>CHLORIDE (mMol/L)</w:t>
            </w:r>
          </w:p>
        </w:tc>
      </w:tr>
      <w:tr w14:paraId="55D061B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96" w:type="dxa"/>
            <w:noWrap/>
          </w:tcPr>
          <w:p w14:paraId="4BCC1B99">
            <w:pPr>
              <w:spacing w:after="0"/>
              <w:jc w:val="both"/>
              <w:rPr>
                <w:rFonts w:ascii="Times New Roman" w:hAnsi="Times New Roman"/>
                <w:bCs/>
                <w:color w:val="000000"/>
                <w:sz w:val="24"/>
                <w:szCs w:val="24"/>
              </w:rPr>
            </w:pPr>
            <w:r>
              <w:rPr>
                <w:rFonts w:ascii="Times New Roman" w:hAnsi="Times New Roman"/>
                <w:bCs/>
                <w:color w:val="000000"/>
                <w:sz w:val="24"/>
                <w:szCs w:val="24"/>
              </w:rPr>
              <w:t>Control normal saline</w:t>
            </w:r>
          </w:p>
        </w:tc>
        <w:tc>
          <w:tcPr>
            <w:tcW w:w="1134" w:type="dxa"/>
            <w:noWrap/>
          </w:tcPr>
          <w:p w14:paraId="208F2DBB">
            <w:pPr>
              <w:rPr>
                <w:rFonts w:ascii="Times New Roman" w:hAnsi="Times New Roman"/>
                <w:color w:val="000000"/>
                <w:sz w:val="24"/>
                <w:szCs w:val="24"/>
              </w:rPr>
            </w:pPr>
            <w:r>
              <w:rPr>
                <w:rFonts w:ascii="Times New Roman" w:hAnsi="Times New Roman"/>
                <w:color w:val="000000"/>
                <w:sz w:val="24"/>
                <w:szCs w:val="24"/>
              </w:rPr>
              <w:t>10 mg/ml</w:t>
            </w:r>
          </w:p>
        </w:tc>
        <w:tc>
          <w:tcPr>
            <w:tcW w:w="1701" w:type="dxa"/>
            <w:noWrap/>
          </w:tcPr>
          <w:p w14:paraId="6D39C089">
            <w:pPr>
              <w:spacing w:after="0"/>
              <w:jc w:val="both"/>
              <w:rPr>
                <w:rFonts w:ascii="Times New Roman" w:hAnsi="Times New Roman"/>
                <w:color w:val="000000"/>
                <w:sz w:val="24"/>
                <w:szCs w:val="24"/>
              </w:rPr>
            </w:pPr>
            <w:r>
              <w:rPr>
                <w:rFonts w:ascii="Times New Roman" w:hAnsi="Times New Roman"/>
                <w:color w:val="000000"/>
                <w:sz w:val="24"/>
                <w:szCs w:val="24"/>
              </w:rPr>
              <w:t>116.0± 8.02</w:t>
            </w:r>
          </w:p>
        </w:tc>
        <w:tc>
          <w:tcPr>
            <w:tcW w:w="1559" w:type="dxa"/>
            <w:noWrap/>
          </w:tcPr>
          <w:p w14:paraId="7F9B7A26">
            <w:pPr>
              <w:spacing w:after="0"/>
              <w:jc w:val="both"/>
              <w:rPr>
                <w:rFonts w:ascii="Times New Roman" w:hAnsi="Times New Roman"/>
                <w:color w:val="000000"/>
                <w:sz w:val="24"/>
                <w:szCs w:val="24"/>
              </w:rPr>
            </w:pPr>
            <w:r>
              <w:rPr>
                <w:rFonts w:ascii="Times New Roman" w:hAnsi="Times New Roman"/>
                <w:color w:val="000000"/>
                <w:sz w:val="24"/>
                <w:szCs w:val="24"/>
              </w:rPr>
              <w:t>8.26± 0.41</w:t>
            </w:r>
          </w:p>
        </w:tc>
        <w:tc>
          <w:tcPr>
            <w:tcW w:w="1984" w:type="dxa"/>
            <w:noWrap/>
          </w:tcPr>
          <w:p w14:paraId="2FB61CC0">
            <w:pPr>
              <w:spacing w:after="0"/>
              <w:jc w:val="both"/>
              <w:rPr>
                <w:rFonts w:ascii="Times New Roman" w:hAnsi="Times New Roman"/>
                <w:color w:val="000000"/>
                <w:sz w:val="24"/>
                <w:szCs w:val="24"/>
              </w:rPr>
            </w:pPr>
            <w:r>
              <w:rPr>
                <w:rFonts w:ascii="Times New Roman" w:hAnsi="Times New Roman"/>
                <w:color w:val="000000"/>
                <w:sz w:val="24"/>
                <w:szCs w:val="24"/>
              </w:rPr>
              <w:t>26.0± 1.15</w:t>
            </w:r>
          </w:p>
        </w:tc>
        <w:tc>
          <w:tcPr>
            <w:tcW w:w="1701" w:type="dxa"/>
            <w:noWrap/>
          </w:tcPr>
          <w:p w14:paraId="712A27D6">
            <w:pPr>
              <w:spacing w:after="0"/>
              <w:jc w:val="both"/>
              <w:rPr>
                <w:rFonts w:ascii="Times New Roman" w:hAnsi="Times New Roman"/>
                <w:color w:val="000000"/>
                <w:sz w:val="24"/>
                <w:szCs w:val="24"/>
              </w:rPr>
            </w:pPr>
            <w:r>
              <w:rPr>
                <w:rFonts w:ascii="Times New Roman" w:hAnsi="Times New Roman"/>
                <w:color w:val="000000"/>
                <w:sz w:val="24"/>
                <w:szCs w:val="24"/>
              </w:rPr>
              <w:t>124.0±5.03</w:t>
            </w:r>
          </w:p>
        </w:tc>
        <w:tc>
          <w:tcPr>
            <w:tcW w:w="1701" w:type="dxa"/>
            <w:noWrap/>
          </w:tcPr>
          <w:p w14:paraId="57E855CC">
            <w:pPr>
              <w:spacing w:after="0"/>
              <w:jc w:val="both"/>
              <w:rPr>
                <w:rFonts w:ascii="Times New Roman" w:hAnsi="Times New Roman"/>
                <w:color w:val="000000"/>
                <w:sz w:val="24"/>
                <w:szCs w:val="24"/>
              </w:rPr>
            </w:pPr>
            <w:r>
              <w:rPr>
                <w:rFonts w:ascii="Times New Roman" w:hAnsi="Times New Roman"/>
                <w:color w:val="000000"/>
                <w:sz w:val="24"/>
                <w:szCs w:val="24"/>
              </w:rPr>
              <w:t>4.66± 0.12</w:t>
            </w:r>
          </w:p>
        </w:tc>
        <w:tc>
          <w:tcPr>
            <w:tcW w:w="2144" w:type="dxa"/>
            <w:noWrap/>
          </w:tcPr>
          <w:p w14:paraId="3ED393D3">
            <w:pPr>
              <w:spacing w:after="0"/>
              <w:jc w:val="both"/>
              <w:rPr>
                <w:rFonts w:ascii="Times New Roman" w:hAnsi="Times New Roman"/>
                <w:color w:val="000000"/>
                <w:sz w:val="24"/>
                <w:szCs w:val="24"/>
              </w:rPr>
            </w:pPr>
            <w:r>
              <w:rPr>
                <w:rFonts w:ascii="Times New Roman" w:hAnsi="Times New Roman"/>
                <w:color w:val="000000"/>
                <w:sz w:val="24"/>
                <w:szCs w:val="24"/>
              </w:rPr>
              <w:t>63.33± 0.33</w:t>
            </w:r>
          </w:p>
        </w:tc>
      </w:tr>
      <w:tr w14:paraId="0CCA3A3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96" w:type="dxa"/>
            <w:vMerge w:val="restart"/>
            <w:noWrap/>
          </w:tcPr>
          <w:p w14:paraId="1D9A3E96">
            <w:pPr>
              <w:spacing w:after="0"/>
              <w:jc w:val="both"/>
              <w:rPr>
                <w:rFonts w:ascii="Times New Roman" w:hAnsi="Times New Roman"/>
                <w:bCs/>
                <w:color w:val="000000"/>
                <w:sz w:val="24"/>
                <w:szCs w:val="24"/>
              </w:rPr>
            </w:pPr>
            <w:r>
              <w:rPr>
                <w:rFonts w:ascii="Times New Roman" w:hAnsi="Times New Roman"/>
                <w:bCs/>
                <w:color w:val="000000"/>
                <w:sz w:val="24"/>
                <w:szCs w:val="24"/>
              </w:rPr>
              <w:t>Crude extract</w:t>
            </w:r>
          </w:p>
        </w:tc>
        <w:tc>
          <w:tcPr>
            <w:tcW w:w="1134" w:type="dxa"/>
            <w:noWrap/>
          </w:tcPr>
          <w:p w14:paraId="7EB449EC">
            <w:pPr>
              <w:rPr>
                <w:rFonts w:ascii="Times New Roman" w:hAnsi="Times New Roman"/>
                <w:color w:val="000000"/>
                <w:sz w:val="24"/>
                <w:szCs w:val="24"/>
              </w:rPr>
            </w:pPr>
            <w:r>
              <w:rPr>
                <w:rFonts w:ascii="Times New Roman" w:hAnsi="Times New Roman"/>
                <w:color w:val="000000"/>
                <w:sz w:val="24"/>
                <w:szCs w:val="24"/>
              </w:rPr>
              <w:t>187</w:t>
            </w:r>
          </w:p>
        </w:tc>
        <w:tc>
          <w:tcPr>
            <w:tcW w:w="1701" w:type="dxa"/>
            <w:noWrap/>
          </w:tcPr>
          <w:p w14:paraId="10240D2E">
            <w:pPr>
              <w:spacing w:after="0"/>
              <w:jc w:val="both"/>
              <w:rPr>
                <w:rFonts w:ascii="Times New Roman" w:hAnsi="Times New Roman"/>
                <w:color w:val="000000"/>
                <w:sz w:val="24"/>
                <w:szCs w:val="24"/>
              </w:rPr>
            </w:pPr>
            <w:r>
              <w:rPr>
                <w:rFonts w:ascii="Times New Roman" w:hAnsi="Times New Roman"/>
                <w:color w:val="000000"/>
                <w:sz w:val="24"/>
                <w:szCs w:val="24"/>
              </w:rPr>
              <w:t>111.5± 8.19</w:t>
            </w:r>
          </w:p>
        </w:tc>
        <w:tc>
          <w:tcPr>
            <w:tcW w:w="1559" w:type="dxa"/>
            <w:noWrap/>
          </w:tcPr>
          <w:p w14:paraId="755FA050">
            <w:pPr>
              <w:spacing w:after="0"/>
              <w:jc w:val="both"/>
              <w:rPr>
                <w:rFonts w:ascii="Times New Roman" w:hAnsi="Times New Roman"/>
                <w:color w:val="000000"/>
                <w:sz w:val="24"/>
                <w:szCs w:val="24"/>
              </w:rPr>
            </w:pPr>
            <w:r>
              <w:rPr>
                <w:rFonts w:ascii="Times New Roman" w:hAnsi="Times New Roman"/>
                <w:color w:val="000000"/>
                <w:sz w:val="24"/>
                <w:szCs w:val="24"/>
              </w:rPr>
              <w:t>7.72± 0.53</w:t>
            </w:r>
          </w:p>
        </w:tc>
        <w:tc>
          <w:tcPr>
            <w:tcW w:w="1984" w:type="dxa"/>
            <w:noWrap/>
          </w:tcPr>
          <w:p w14:paraId="3AA3E812">
            <w:pPr>
              <w:spacing w:after="0"/>
              <w:jc w:val="both"/>
              <w:rPr>
                <w:rFonts w:ascii="Times New Roman" w:hAnsi="Times New Roman"/>
                <w:color w:val="000000"/>
                <w:sz w:val="24"/>
                <w:szCs w:val="24"/>
              </w:rPr>
            </w:pPr>
            <w:r>
              <w:rPr>
                <w:rFonts w:ascii="Times New Roman" w:hAnsi="Times New Roman"/>
                <w:color w:val="000000"/>
                <w:sz w:val="24"/>
                <w:szCs w:val="24"/>
              </w:rPr>
              <w:t>28.0± 0.81</w:t>
            </w:r>
          </w:p>
        </w:tc>
        <w:tc>
          <w:tcPr>
            <w:tcW w:w="1701" w:type="dxa"/>
            <w:noWrap/>
          </w:tcPr>
          <w:p w14:paraId="73358C3A">
            <w:pPr>
              <w:spacing w:after="0"/>
              <w:jc w:val="both"/>
              <w:rPr>
                <w:rFonts w:ascii="Times New Roman" w:hAnsi="Times New Roman"/>
                <w:color w:val="000000"/>
                <w:sz w:val="24"/>
                <w:szCs w:val="24"/>
              </w:rPr>
            </w:pPr>
            <w:r>
              <w:rPr>
                <w:rFonts w:ascii="Times New Roman" w:hAnsi="Times New Roman"/>
                <w:color w:val="000000"/>
                <w:sz w:val="24"/>
                <w:szCs w:val="24"/>
              </w:rPr>
              <w:t>141.0±14.40</w:t>
            </w:r>
          </w:p>
        </w:tc>
        <w:tc>
          <w:tcPr>
            <w:tcW w:w="1701" w:type="dxa"/>
            <w:noWrap/>
          </w:tcPr>
          <w:p w14:paraId="791DE591">
            <w:pPr>
              <w:spacing w:after="0"/>
              <w:jc w:val="both"/>
              <w:rPr>
                <w:rFonts w:ascii="Times New Roman" w:hAnsi="Times New Roman"/>
                <w:color w:val="000000"/>
                <w:sz w:val="24"/>
                <w:szCs w:val="24"/>
              </w:rPr>
            </w:pPr>
            <w:r>
              <w:rPr>
                <w:rFonts w:ascii="Times New Roman" w:hAnsi="Times New Roman"/>
                <w:color w:val="000000"/>
                <w:sz w:val="24"/>
                <w:szCs w:val="24"/>
              </w:rPr>
              <w:t>9.47± 4.20</w:t>
            </w:r>
          </w:p>
        </w:tc>
        <w:tc>
          <w:tcPr>
            <w:tcW w:w="2144" w:type="dxa"/>
            <w:noWrap/>
          </w:tcPr>
          <w:p w14:paraId="75DB7546">
            <w:pPr>
              <w:spacing w:after="0"/>
              <w:jc w:val="both"/>
              <w:rPr>
                <w:rFonts w:ascii="Times New Roman" w:hAnsi="Times New Roman"/>
                <w:color w:val="000000"/>
                <w:sz w:val="24"/>
                <w:szCs w:val="24"/>
              </w:rPr>
            </w:pPr>
            <w:r>
              <w:rPr>
                <w:rFonts w:ascii="Times New Roman" w:hAnsi="Times New Roman"/>
                <w:color w:val="000000"/>
                <w:sz w:val="24"/>
                <w:szCs w:val="24"/>
              </w:rPr>
              <w:t>62.25± 1.03</w:t>
            </w:r>
          </w:p>
        </w:tc>
      </w:tr>
      <w:tr w14:paraId="3A2DAE6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96" w:type="dxa"/>
            <w:vMerge w:val="continue"/>
            <w:noWrap/>
          </w:tcPr>
          <w:p w14:paraId="5B0646E4">
            <w:pPr>
              <w:spacing w:after="0" w:line="240" w:lineRule="auto"/>
              <w:rPr>
                <w:rFonts w:ascii="Times New Roman" w:hAnsi="Times New Roman"/>
                <w:bCs/>
                <w:color w:val="000000"/>
                <w:sz w:val="24"/>
                <w:szCs w:val="24"/>
              </w:rPr>
            </w:pPr>
          </w:p>
        </w:tc>
        <w:tc>
          <w:tcPr>
            <w:tcW w:w="1134" w:type="dxa"/>
            <w:noWrap/>
          </w:tcPr>
          <w:p w14:paraId="19CC399C">
            <w:pPr>
              <w:rPr>
                <w:rFonts w:ascii="Times New Roman" w:hAnsi="Times New Roman"/>
                <w:color w:val="000000"/>
                <w:sz w:val="24"/>
                <w:szCs w:val="24"/>
              </w:rPr>
            </w:pPr>
            <w:r>
              <w:rPr>
                <w:rFonts w:ascii="Times New Roman" w:hAnsi="Times New Roman"/>
                <w:color w:val="000000"/>
                <w:sz w:val="24"/>
                <w:szCs w:val="24"/>
              </w:rPr>
              <w:t>374</w:t>
            </w:r>
          </w:p>
        </w:tc>
        <w:tc>
          <w:tcPr>
            <w:tcW w:w="1701" w:type="dxa"/>
            <w:noWrap/>
          </w:tcPr>
          <w:p w14:paraId="053B7C33">
            <w:pPr>
              <w:spacing w:after="0"/>
              <w:jc w:val="both"/>
              <w:rPr>
                <w:rFonts w:ascii="Times New Roman" w:hAnsi="Times New Roman"/>
                <w:color w:val="000000"/>
                <w:sz w:val="24"/>
                <w:szCs w:val="24"/>
              </w:rPr>
            </w:pPr>
            <w:r>
              <w:rPr>
                <w:rFonts w:ascii="Times New Roman" w:hAnsi="Times New Roman"/>
                <w:color w:val="000000"/>
                <w:sz w:val="24"/>
                <w:szCs w:val="24"/>
              </w:rPr>
              <w:t>127.5± 4.59</w:t>
            </w:r>
          </w:p>
        </w:tc>
        <w:tc>
          <w:tcPr>
            <w:tcW w:w="1559" w:type="dxa"/>
            <w:noWrap/>
          </w:tcPr>
          <w:p w14:paraId="6D00E3F6">
            <w:pPr>
              <w:spacing w:after="0"/>
              <w:jc w:val="both"/>
              <w:rPr>
                <w:rFonts w:ascii="Times New Roman" w:hAnsi="Times New Roman"/>
                <w:color w:val="000000"/>
                <w:sz w:val="24"/>
                <w:szCs w:val="24"/>
              </w:rPr>
            </w:pPr>
            <w:r>
              <w:rPr>
                <w:rFonts w:ascii="Times New Roman" w:hAnsi="Times New Roman"/>
                <w:color w:val="000000"/>
                <w:sz w:val="24"/>
                <w:szCs w:val="24"/>
              </w:rPr>
              <w:t>8.87± 0.20</w:t>
            </w:r>
          </w:p>
        </w:tc>
        <w:tc>
          <w:tcPr>
            <w:tcW w:w="1984" w:type="dxa"/>
            <w:noWrap/>
          </w:tcPr>
          <w:p w14:paraId="0D071D6B">
            <w:pPr>
              <w:spacing w:after="0"/>
              <w:jc w:val="both"/>
              <w:rPr>
                <w:rFonts w:ascii="Times New Roman" w:hAnsi="Times New Roman"/>
                <w:color w:val="000000"/>
                <w:sz w:val="24"/>
                <w:szCs w:val="24"/>
              </w:rPr>
            </w:pPr>
            <w:r>
              <w:rPr>
                <w:rFonts w:ascii="Times New Roman" w:hAnsi="Times New Roman"/>
                <w:color w:val="000000"/>
                <w:sz w:val="24"/>
                <w:szCs w:val="24"/>
              </w:rPr>
              <w:t>27.0± 1.29</w:t>
            </w:r>
          </w:p>
        </w:tc>
        <w:tc>
          <w:tcPr>
            <w:tcW w:w="1701" w:type="dxa"/>
            <w:noWrap/>
          </w:tcPr>
          <w:p w14:paraId="09A58707">
            <w:pPr>
              <w:spacing w:after="0"/>
              <w:jc w:val="both"/>
              <w:rPr>
                <w:rFonts w:ascii="Times New Roman" w:hAnsi="Times New Roman"/>
                <w:color w:val="000000"/>
                <w:sz w:val="24"/>
                <w:szCs w:val="24"/>
              </w:rPr>
            </w:pPr>
            <w:r>
              <w:rPr>
                <w:rFonts w:ascii="Times New Roman" w:hAnsi="Times New Roman"/>
                <w:color w:val="000000"/>
                <w:sz w:val="24"/>
                <w:szCs w:val="24"/>
              </w:rPr>
              <w:t>119.2± 4.71</w:t>
            </w:r>
          </w:p>
        </w:tc>
        <w:tc>
          <w:tcPr>
            <w:tcW w:w="1701" w:type="dxa"/>
            <w:noWrap/>
          </w:tcPr>
          <w:p w14:paraId="79332EA5">
            <w:pPr>
              <w:spacing w:after="0"/>
              <w:jc w:val="both"/>
              <w:rPr>
                <w:rFonts w:ascii="Times New Roman" w:hAnsi="Times New Roman"/>
                <w:color w:val="000000"/>
                <w:sz w:val="24"/>
                <w:szCs w:val="24"/>
              </w:rPr>
            </w:pPr>
            <w:r>
              <w:rPr>
                <w:rFonts w:ascii="Times New Roman" w:hAnsi="Times New Roman"/>
                <w:color w:val="000000"/>
                <w:sz w:val="24"/>
                <w:szCs w:val="24"/>
              </w:rPr>
              <w:t>4.25± 0.24</w:t>
            </w:r>
          </w:p>
        </w:tc>
        <w:tc>
          <w:tcPr>
            <w:tcW w:w="2144" w:type="dxa"/>
            <w:noWrap/>
          </w:tcPr>
          <w:p w14:paraId="6655B4F8">
            <w:pPr>
              <w:spacing w:after="0"/>
              <w:jc w:val="both"/>
              <w:rPr>
                <w:rFonts w:ascii="Times New Roman" w:hAnsi="Times New Roman"/>
                <w:color w:val="000000"/>
                <w:sz w:val="24"/>
                <w:szCs w:val="24"/>
              </w:rPr>
            </w:pPr>
            <w:r>
              <w:rPr>
                <w:rFonts w:ascii="Times New Roman" w:hAnsi="Times New Roman"/>
                <w:color w:val="000000"/>
                <w:sz w:val="24"/>
                <w:szCs w:val="24"/>
              </w:rPr>
              <w:t>60.75± 1.25</w:t>
            </w:r>
          </w:p>
        </w:tc>
      </w:tr>
      <w:tr w14:paraId="0B94AEA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96" w:type="dxa"/>
            <w:vMerge w:val="continue"/>
            <w:noWrap/>
          </w:tcPr>
          <w:p w14:paraId="51DC8AF2">
            <w:pPr>
              <w:spacing w:after="0" w:line="240" w:lineRule="auto"/>
              <w:rPr>
                <w:rFonts w:ascii="Times New Roman" w:hAnsi="Times New Roman"/>
                <w:bCs/>
                <w:color w:val="000000"/>
                <w:sz w:val="24"/>
                <w:szCs w:val="24"/>
              </w:rPr>
            </w:pPr>
          </w:p>
        </w:tc>
        <w:tc>
          <w:tcPr>
            <w:tcW w:w="1134" w:type="dxa"/>
            <w:noWrap/>
          </w:tcPr>
          <w:p w14:paraId="40B375A2">
            <w:pPr>
              <w:rPr>
                <w:rFonts w:ascii="Times New Roman" w:hAnsi="Times New Roman"/>
                <w:color w:val="000000"/>
                <w:sz w:val="24"/>
                <w:szCs w:val="24"/>
              </w:rPr>
            </w:pPr>
            <w:r>
              <w:rPr>
                <w:rFonts w:ascii="Times New Roman" w:hAnsi="Times New Roman"/>
                <w:color w:val="000000"/>
                <w:sz w:val="24"/>
                <w:szCs w:val="24"/>
              </w:rPr>
              <w:t>561</w:t>
            </w:r>
          </w:p>
        </w:tc>
        <w:tc>
          <w:tcPr>
            <w:tcW w:w="1701" w:type="dxa"/>
            <w:noWrap/>
          </w:tcPr>
          <w:p w14:paraId="469862B1">
            <w:pPr>
              <w:spacing w:after="0"/>
              <w:jc w:val="both"/>
              <w:rPr>
                <w:rFonts w:ascii="Times New Roman" w:hAnsi="Times New Roman"/>
                <w:color w:val="000000"/>
                <w:sz w:val="24"/>
                <w:szCs w:val="24"/>
              </w:rPr>
            </w:pPr>
            <w:r>
              <w:rPr>
                <w:rFonts w:ascii="Times New Roman" w:hAnsi="Times New Roman"/>
                <w:color w:val="000000"/>
                <w:sz w:val="24"/>
                <w:szCs w:val="24"/>
              </w:rPr>
              <w:t>102.7± 7.88</w:t>
            </w:r>
          </w:p>
        </w:tc>
        <w:tc>
          <w:tcPr>
            <w:tcW w:w="1559" w:type="dxa"/>
            <w:noWrap/>
          </w:tcPr>
          <w:p w14:paraId="2B834220">
            <w:pPr>
              <w:spacing w:after="0"/>
              <w:jc w:val="both"/>
              <w:rPr>
                <w:rFonts w:ascii="Times New Roman" w:hAnsi="Times New Roman"/>
                <w:color w:val="000000"/>
                <w:sz w:val="24"/>
                <w:szCs w:val="24"/>
              </w:rPr>
            </w:pPr>
            <w:r>
              <w:rPr>
                <w:rFonts w:ascii="Times New Roman" w:hAnsi="Times New Roman"/>
                <w:color w:val="000000"/>
                <w:sz w:val="24"/>
                <w:szCs w:val="24"/>
              </w:rPr>
              <w:t>6.80± 0.21</w:t>
            </w:r>
          </w:p>
        </w:tc>
        <w:tc>
          <w:tcPr>
            <w:tcW w:w="1984" w:type="dxa"/>
            <w:noWrap/>
          </w:tcPr>
          <w:p w14:paraId="2518F2C7">
            <w:pPr>
              <w:spacing w:after="0"/>
              <w:jc w:val="both"/>
              <w:rPr>
                <w:rFonts w:ascii="Times New Roman" w:hAnsi="Times New Roman"/>
                <w:color w:val="000000"/>
                <w:sz w:val="24"/>
                <w:szCs w:val="24"/>
              </w:rPr>
            </w:pPr>
            <w:r>
              <w:rPr>
                <w:rFonts w:ascii="Times New Roman" w:hAnsi="Times New Roman"/>
                <w:color w:val="000000"/>
                <w:sz w:val="24"/>
                <w:szCs w:val="24"/>
              </w:rPr>
              <w:t>25.5±1.70</w:t>
            </w:r>
          </w:p>
        </w:tc>
        <w:tc>
          <w:tcPr>
            <w:tcW w:w="1701" w:type="dxa"/>
            <w:noWrap/>
          </w:tcPr>
          <w:p w14:paraId="08B2FC79">
            <w:pPr>
              <w:spacing w:after="0"/>
              <w:jc w:val="both"/>
              <w:rPr>
                <w:rFonts w:ascii="Times New Roman" w:hAnsi="Times New Roman"/>
                <w:color w:val="000000"/>
                <w:sz w:val="24"/>
                <w:szCs w:val="24"/>
              </w:rPr>
            </w:pPr>
            <w:r>
              <w:rPr>
                <w:rFonts w:ascii="Times New Roman" w:hAnsi="Times New Roman"/>
                <w:color w:val="000000"/>
                <w:sz w:val="24"/>
                <w:szCs w:val="24"/>
              </w:rPr>
              <w:t>166.2±6.86</w:t>
            </w:r>
            <w:r>
              <w:rPr>
                <w:rFonts w:ascii="Times New Roman" w:hAnsi="Times New Roman"/>
                <w:color w:val="000000"/>
                <w:sz w:val="24"/>
                <w:szCs w:val="24"/>
                <w:vertAlign w:val="superscript"/>
              </w:rPr>
              <w:t>c</w:t>
            </w:r>
          </w:p>
        </w:tc>
        <w:tc>
          <w:tcPr>
            <w:tcW w:w="1701" w:type="dxa"/>
            <w:noWrap/>
          </w:tcPr>
          <w:p w14:paraId="40052D4B">
            <w:pPr>
              <w:spacing w:after="0"/>
              <w:jc w:val="both"/>
              <w:rPr>
                <w:rFonts w:ascii="Times New Roman" w:hAnsi="Times New Roman"/>
                <w:color w:val="000000"/>
                <w:sz w:val="24"/>
                <w:szCs w:val="24"/>
              </w:rPr>
            </w:pPr>
            <w:r>
              <w:rPr>
                <w:rFonts w:ascii="Times New Roman" w:hAnsi="Times New Roman"/>
                <w:color w:val="000000"/>
                <w:sz w:val="24"/>
                <w:szCs w:val="24"/>
              </w:rPr>
              <w:t>5.97± 0.22</w:t>
            </w:r>
          </w:p>
        </w:tc>
        <w:tc>
          <w:tcPr>
            <w:tcW w:w="2144" w:type="dxa"/>
            <w:noWrap/>
          </w:tcPr>
          <w:p w14:paraId="5CF9EBCC">
            <w:pPr>
              <w:spacing w:after="0"/>
              <w:jc w:val="both"/>
              <w:rPr>
                <w:rFonts w:ascii="Times New Roman" w:hAnsi="Times New Roman"/>
                <w:color w:val="000000"/>
                <w:sz w:val="24"/>
                <w:szCs w:val="24"/>
              </w:rPr>
            </w:pPr>
            <w:r>
              <w:rPr>
                <w:rFonts w:ascii="Times New Roman" w:hAnsi="Times New Roman"/>
                <w:color w:val="000000"/>
                <w:sz w:val="24"/>
                <w:szCs w:val="24"/>
              </w:rPr>
              <w:t>59.50± 2.10</w:t>
            </w:r>
          </w:p>
        </w:tc>
      </w:tr>
    </w:tbl>
    <w:p w14:paraId="16F3A441">
      <w:pPr>
        <w:ind w:firstLine="720"/>
        <w:jc w:val="both"/>
        <w:rPr>
          <w:rFonts w:ascii="Times New Roman" w:hAnsi="Times New Roman"/>
          <w:sz w:val="24"/>
          <w:szCs w:val="24"/>
        </w:rPr>
        <w:sectPr>
          <w:pgSz w:w="16834" w:h="11909" w:orient="landscape"/>
          <w:pgMar w:top="1699" w:right="1411" w:bottom="850" w:left="850" w:header="706" w:footer="706" w:gutter="0"/>
          <w:cols w:space="720" w:num="1"/>
          <w:docGrid w:linePitch="360" w:charSpace="0"/>
        </w:sectPr>
      </w:pPr>
      <w:r>
        <w:rPr>
          <w:rFonts w:ascii="Times New Roman" w:hAnsi="Times New Roman"/>
          <w:sz w:val="24"/>
          <w:szCs w:val="24"/>
        </w:rPr>
        <w:t xml:space="preserve">Data is expressed as MEAN ± SEM, Significant at  </w:t>
      </w:r>
      <w:r>
        <w:rPr>
          <w:rFonts w:ascii="Times New Roman" w:hAnsi="Times New Roman"/>
          <w:sz w:val="24"/>
          <w:szCs w:val="24"/>
          <w:vertAlign w:val="superscript"/>
        </w:rPr>
        <w:t>c</w:t>
      </w:r>
      <w:r>
        <w:rPr>
          <w:rFonts w:ascii="Times New Roman" w:hAnsi="Times New Roman"/>
          <w:sz w:val="24"/>
          <w:szCs w:val="24"/>
        </w:rPr>
        <w:t>p&lt; 0.001, when compared to control. (n=5).</w:t>
      </w:r>
    </w:p>
    <w:p w14:paraId="36BF487A">
      <w:pPr>
        <w:spacing w:after="0" w:line="480" w:lineRule="auto"/>
        <w:jc w:val="both"/>
        <w:rPr>
          <w:rFonts w:ascii="Times New Roman" w:hAnsi="Times New Roman"/>
          <w:b/>
          <w:sz w:val="24"/>
          <w:szCs w:val="24"/>
        </w:rPr>
      </w:pPr>
      <w:r>
        <w:rPr>
          <w:rFonts w:ascii="Times New Roman" w:hAnsi="Times New Roman"/>
          <w:b/>
          <w:sz w:val="24"/>
          <w:szCs w:val="24"/>
        </w:rPr>
        <w:t>3.6 Effect of husk extract on lipid profile indices of male and female rats</w:t>
      </w:r>
    </w:p>
    <w:p w14:paraId="04839E3F">
      <w:pPr>
        <w:spacing w:after="0" w:line="480" w:lineRule="auto"/>
        <w:ind w:firstLine="720"/>
        <w:jc w:val="both"/>
        <w:rPr>
          <w:rFonts w:ascii="Times New Roman" w:hAnsi="Times New Roman"/>
          <w:sz w:val="24"/>
          <w:szCs w:val="24"/>
        </w:rPr>
      </w:pPr>
      <w:r>
        <w:rPr>
          <w:rFonts w:ascii="Times New Roman" w:hAnsi="Times New Roman"/>
          <w:sz w:val="24"/>
          <w:szCs w:val="24"/>
        </w:rPr>
        <w:t xml:space="preserve"> </w:t>
      </w:r>
      <w:r>
        <w:rPr>
          <w:rFonts w:hint="default" w:ascii="Times New Roman" w:hAnsi="Times New Roman"/>
          <w:sz w:val="24"/>
          <w:szCs w:val="24"/>
          <w:lang w:val="en-GB"/>
        </w:rPr>
        <w:t xml:space="preserve">Treatment of </w:t>
      </w:r>
      <w:r>
        <w:rPr>
          <w:rFonts w:ascii="Times New Roman" w:hAnsi="Times New Roman"/>
          <w:sz w:val="24"/>
          <w:szCs w:val="24"/>
        </w:rPr>
        <w:t xml:space="preserve"> female rats for 100 days </w:t>
      </w:r>
      <w:r>
        <w:rPr>
          <w:rFonts w:hint="default" w:ascii="Times New Roman" w:hAnsi="Times New Roman"/>
          <w:sz w:val="24"/>
          <w:szCs w:val="24"/>
          <w:lang w:val="en-GB"/>
        </w:rPr>
        <w:t xml:space="preserve">with  </w:t>
      </w:r>
      <w:r>
        <w:rPr>
          <w:rFonts w:ascii="Times New Roman" w:hAnsi="Times New Roman"/>
          <w:sz w:val="24"/>
          <w:szCs w:val="24"/>
        </w:rPr>
        <w:t>husk extract (187-561 mg/kg)</w:t>
      </w:r>
      <w:r>
        <w:rPr>
          <w:rFonts w:hint="default" w:ascii="Times New Roman" w:hAnsi="Times New Roman"/>
          <w:sz w:val="24"/>
          <w:szCs w:val="24"/>
          <w:lang w:val="en-GB"/>
        </w:rPr>
        <w:t xml:space="preserve"> </w:t>
      </w:r>
      <w:r>
        <w:rPr>
          <w:rFonts w:ascii="Times New Roman" w:hAnsi="Times New Roman"/>
          <w:sz w:val="24"/>
          <w:szCs w:val="24"/>
        </w:rPr>
        <w:t xml:space="preserve">caused non dose-dependent </w:t>
      </w:r>
      <w:r>
        <w:rPr>
          <w:rFonts w:hint="default" w:ascii="Times New Roman" w:hAnsi="Times New Roman"/>
          <w:sz w:val="24"/>
          <w:szCs w:val="24"/>
          <w:lang w:val="en-GB"/>
        </w:rPr>
        <w:t>lowering</w:t>
      </w:r>
      <w:r>
        <w:rPr>
          <w:rFonts w:ascii="Times New Roman" w:hAnsi="Times New Roman"/>
          <w:sz w:val="24"/>
          <w:szCs w:val="24"/>
        </w:rPr>
        <w:t xml:space="preserve">  of total cholesterol, triglyceride, LDL and VLDL </w:t>
      </w:r>
      <w:r>
        <w:rPr>
          <w:rFonts w:hint="default" w:ascii="Times New Roman" w:hAnsi="Times New Roman"/>
          <w:sz w:val="24"/>
          <w:szCs w:val="24"/>
          <w:lang w:val="en-GB"/>
        </w:rPr>
        <w:t>levels</w:t>
      </w:r>
      <w:r>
        <w:rPr>
          <w:rFonts w:ascii="Times New Roman" w:hAnsi="Times New Roman"/>
          <w:sz w:val="24"/>
          <w:szCs w:val="24"/>
        </w:rPr>
        <w:t xml:space="preserve"> of the treated female rats. However, these decreases were only significant (p&lt;0.05-0.001) in the total cholesterol level of the group treated with the low dose (187 mg/kg) and the VLDL levels of the groups treated with the low and highest doses (187 and 561 mg/kg) </w:t>
      </w:r>
      <w:r>
        <w:rPr>
          <w:rFonts w:hint="default" w:ascii="Times New Roman" w:hAnsi="Times New Roman"/>
          <w:sz w:val="24"/>
          <w:szCs w:val="24"/>
          <w:lang w:val="en-GB"/>
        </w:rPr>
        <w:t>relative</w:t>
      </w:r>
      <w:r>
        <w:rPr>
          <w:rFonts w:ascii="Times New Roman" w:hAnsi="Times New Roman"/>
          <w:sz w:val="24"/>
          <w:szCs w:val="24"/>
        </w:rPr>
        <w:t xml:space="preserve"> to control (Table 6).</w:t>
      </w:r>
    </w:p>
    <w:p w14:paraId="64A0571B">
      <w:pPr>
        <w:spacing w:before="240" w:after="0" w:line="480" w:lineRule="auto"/>
        <w:ind w:right="-1"/>
        <w:jc w:val="both"/>
        <w:rPr>
          <w:rFonts w:ascii="Times New Roman" w:hAnsi="Times New Roman"/>
          <w:b/>
          <w:color w:val="000000"/>
          <w:sz w:val="24"/>
          <w:szCs w:val="24"/>
        </w:rPr>
      </w:pPr>
      <w:r>
        <w:rPr>
          <w:rFonts w:ascii="Times New Roman" w:hAnsi="Times New Roman"/>
          <w:b/>
          <w:color w:val="000000"/>
          <w:sz w:val="24"/>
          <w:szCs w:val="24"/>
        </w:rPr>
        <w:t>3.7 Effect on histology of organs</w:t>
      </w:r>
    </w:p>
    <w:p w14:paraId="42BF1B18">
      <w:pPr>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Figures 2 – 7 show the effects of chronic </w:t>
      </w:r>
      <w:r>
        <w:rPr>
          <w:rFonts w:hint="default" w:ascii="Times New Roman" w:hAnsi="Times New Roman"/>
          <w:color w:val="000000"/>
          <w:sz w:val="24"/>
          <w:szCs w:val="24"/>
          <w:lang w:val="en-GB"/>
        </w:rPr>
        <w:t>treatment of female rats with</w:t>
      </w:r>
      <w:r>
        <w:rPr>
          <w:rFonts w:ascii="Times New Roman" w:hAnsi="Times New Roman"/>
          <w:color w:val="000000"/>
          <w:sz w:val="24"/>
          <w:szCs w:val="24"/>
        </w:rPr>
        <w:t xml:space="preserve"> </w:t>
      </w:r>
      <w:r>
        <w:rPr>
          <w:rFonts w:ascii="Times New Roman" w:hAnsi="Times New Roman"/>
          <w:i/>
          <w:color w:val="000000"/>
          <w:sz w:val="24"/>
          <w:szCs w:val="24"/>
        </w:rPr>
        <w:t>Zea mays</w:t>
      </w:r>
      <w:r>
        <w:rPr>
          <w:rFonts w:ascii="Times New Roman" w:hAnsi="Times New Roman"/>
          <w:color w:val="000000"/>
          <w:sz w:val="24"/>
          <w:szCs w:val="24"/>
        </w:rPr>
        <w:t xml:space="preserve"> </w:t>
      </w:r>
      <w:r>
        <w:rPr>
          <w:rFonts w:hint="default" w:ascii="Times New Roman" w:hAnsi="Times New Roman"/>
          <w:color w:val="000000"/>
          <w:sz w:val="24"/>
          <w:szCs w:val="24"/>
          <w:lang w:val="en-GB"/>
        </w:rPr>
        <w:t xml:space="preserve"> husk extract</w:t>
      </w:r>
      <w:r>
        <w:rPr>
          <w:rFonts w:ascii="Times New Roman" w:hAnsi="Times New Roman"/>
          <w:color w:val="000000"/>
          <w:sz w:val="24"/>
          <w:szCs w:val="24"/>
        </w:rPr>
        <w:t xml:space="preserve"> for 100 days on histology of some organs. The husk extract (187-561 mg/kg) caused varying defects on the histology of the organs of  female rats. Moderate effect was observed on the cerebral cortex of female rats with  abnormal presentation of the layer cells showing perinuclear vacoulatory astrocytes,  shrinkage of neural cells</w:t>
      </w:r>
      <w:r>
        <w:rPr>
          <w:rFonts w:hint="default" w:ascii="Times New Roman" w:hAnsi="Times New Roman"/>
          <w:color w:val="000000"/>
          <w:sz w:val="24"/>
          <w:szCs w:val="24"/>
          <w:lang w:val="en-GB"/>
        </w:rPr>
        <w:t xml:space="preserve"> </w:t>
      </w:r>
      <w:r>
        <w:rPr>
          <w:rFonts w:ascii="Times New Roman" w:hAnsi="Times New Roman"/>
          <w:color w:val="000000"/>
          <w:sz w:val="24"/>
          <w:szCs w:val="24"/>
        </w:rPr>
        <w:t>and micro-cerebral blood vessels (Figure 2).</w:t>
      </w:r>
      <w:r>
        <w:rPr>
          <w:rFonts w:hint="default" w:ascii="Times New Roman" w:hAnsi="Times New Roman"/>
          <w:color w:val="000000"/>
          <w:sz w:val="24"/>
          <w:szCs w:val="24"/>
          <w:lang w:val="en-GB"/>
        </w:rPr>
        <w:t xml:space="preserve"> </w:t>
      </w:r>
      <w:r>
        <w:rPr>
          <w:rFonts w:ascii="Times New Roman" w:hAnsi="Times New Roman"/>
          <w:color w:val="000000"/>
          <w:sz w:val="24"/>
          <w:szCs w:val="24"/>
        </w:rPr>
        <w:t>The histo-structure of hearts of female rats was moderately affected by the extract’s treatment  with abnormal cardiomyocytes array, well stained sarcoplasm, wide spread interstitial fibrocytes and fibroblast nuclei, vacoulatory myocyte nuclei, area of inflammatory infiltrates and degenerating myocyte nuclei within the cardiac tissue (Figure 3). Mild effects of the extract was observed on histo-structure of the renal tissue of female rats which showed slight abnormal histo-structure of the renal tissue with glomeruli, areas of occluding bowman’s space and widening bowman’s space (Figure 4). The female rats’ liver</w:t>
      </w:r>
      <w:r>
        <w:rPr>
          <w:rFonts w:hint="default" w:ascii="Times New Roman" w:hAnsi="Times New Roman"/>
          <w:color w:val="000000"/>
          <w:sz w:val="24"/>
          <w:szCs w:val="24"/>
          <w:lang w:val="en-GB"/>
        </w:rPr>
        <w:t>s</w:t>
      </w:r>
      <w:r>
        <w:rPr>
          <w:rFonts w:ascii="Times New Roman" w:hAnsi="Times New Roman"/>
          <w:color w:val="000000"/>
          <w:sz w:val="24"/>
          <w:szCs w:val="24"/>
        </w:rPr>
        <w:t xml:space="preserve"> </w:t>
      </w:r>
      <w:r>
        <w:rPr>
          <w:rFonts w:hint="default" w:ascii="Times New Roman" w:hAnsi="Times New Roman"/>
          <w:color w:val="000000"/>
          <w:sz w:val="24"/>
          <w:szCs w:val="24"/>
          <w:lang w:val="en-GB"/>
        </w:rPr>
        <w:t xml:space="preserve">were </w:t>
      </w:r>
      <w:r>
        <w:rPr>
          <w:rFonts w:ascii="Times New Roman" w:hAnsi="Times New Roman"/>
          <w:color w:val="000000"/>
          <w:sz w:val="24"/>
          <w:szCs w:val="24"/>
        </w:rPr>
        <w:t xml:space="preserve">mildly affected with the hepatic histo-structure showing areas of vacoulatory hepatocytes within the hepatic lobules (Figure 5). The ovaries were mildly affected with ovarian histo-architecture showing atrophying follicle, follicular artrophy, and vascular hemorrhage (Figure 6). The splenic histoarchitecture of the female rats was normal with no pathological signs and therefore, not affected by the extract’s treatment (Figure 7) </w:t>
      </w:r>
    </w:p>
    <w:p w14:paraId="1F736A5F">
      <w:pPr>
        <w:spacing w:line="480" w:lineRule="auto"/>
        <w:jc w:val="both"/>
        <w:rPr>
          <w:rFonts w:ascii="Times New Roman" w:hAnsi="Times New Roman"/>
          <w:color w:val="000000"/>
          <w:sz w:val="24"/>
          <w:szCs w:val="24"/>
        </w:rPr>
      </w:pPr>
    </w:p>
    <w:p w14:paraId="78D5F6DA">
      <w:pPr>
        <w:spacing w:line="480" w:lineRule="auto"/>
        <w:jc w:val="both"/>
        <w:rPr>
          <w:rFonts w:ascii="Times New Roman" w:hAnsi="Times New Roman"/>
          <w:sz w:val="24"/>
          <w:szCs w:val="24"/>
        </w:rPr>
        <w:sectPr>
          <w:pgSz w:w="11909" w:h="16834"/>
          <w:pgMar w:top="1411" w:right="850" w:bottom="850" w:left="1699" w:header="706" w:footer="706" w:gutter="0"/>
          <w:cols w:space="720" w:num="1"/>
          <w:docGrid w:linePitch="360" w:charSpace="0"/>
        </w:sectPr>
      </w:pPr>
    </w:p>
    <w:p w14:paraId="34B64372">
      <w:pPr>
        <w:spacing w:before="240"/>
        <w:rPr>
          <w:rFonts w:ascii="Times New Roman" w:hAnsi="Times New Roman"/>
          <w:bCs/>
          <w:sz w:val="24"/>
          <w:szCs w:val="24"/>
        </w:rPr>
      </w:pPr>
      <w:r>
        <w:rPr>
          <w:rFonts w:ascii="Times New Roman" w:hAnsi="Times New Roman"/>
          <w:bCs/>
          <w:sz w:val="24"/>
          <w:szCs w:val="24"/>
        </w:rPr>
        <w:t xml:space="preserve">Table 6: Effect of chronic administration of </w:t>
      </w:r>
      <w:r>
        <w:rPr>
          <w:rFonts w:ascii="Times New Roman" w:hAnsi="Times New Roman"/>
          <w:bCs/>
          <w:i/>
          <w:sz w:val="24"/>
          <w:szCs w:val="24"/>
        </w:rPr>
        <w:t xml:space="preserve">Zea mays </w:t>
      </w:r>
      <w:r>
        <w:rPr>
          <w:rFonts w:ascii="Times New Roman" w:hAnsi="Times New Roman"/>
          <w:bCs/>
          <w:sz w:val="24"/>
          <w:szCs w:val="24"/>
        </w:rPr>
        <w:t>husk extract on lipid profile of female rats</w:t>
      </w:r>
    </w:p>
    <w:tbl>
      <w:tblPr>
        <w:tblStyle w:val="3"/>
        <w:tblW w:w="11223" w:type="dxa"/>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82"/>
        <w:gridCol w:w="1072"/>
        <w:gridCol w:w="1841"/>
        <w:gridCol w:w="1877"/>
        <w:gridCol w:w="1551"/>
        <w:gridCol w:w="1650"/>
        <w:gridCol w:w="1550"/>
      </w:tblGrid>
      <w:tr w14:paraId="104E212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82" w:type="dxa"/>
            <w:tcBorders>
              <w:top w:val="single" w:color="000000" w:sz="8" w:space="0"/>
              <w:left w:val="nil"/>
              <w:bottom w:val="single" w:color="000000" w:sz="8" w:space="0"/>
              <w:right w:val="nil"/>
            </w:tcBorders>
            <w:noWrap/>
          </w:tcPr>
          <w:p w14:paraId="48846634">
            <w:pPr>
              <w:spacing w:after="0" w:line="240" w:lineRule="auto"/>
              <w:rPr>
                <w:rFonts w:ascii="Times New Roman" w:hAnsi="Times New Roman"/>
                <w:bCs/>
                <w:color w:val="000000"/>
                <w:sz w:val="24"/>
                <w:szCs w:val="24"/>
              </w:rPr>
            </w:pPr>
            <w:r>
              <w:rPr>
                <w:rFonts w:ascii="Times New Roman" w:hAnsi="Times New Roman"/>
                <w:bCs/>
                <w:color w:val="000000"/>
                <w:sz w:val="24"/>
                <w:szCs w:val="24"/>
              </w:rPr>
              <w:t>TREATMENT</w:t>
            </w:r>
          </w:p>
        </w:tc>
        <w:tc>
          <w:tcPr>
            <w:tcW w:w="1072" w:type="dxa"/>
            <w:tcBorders>
              <w:top w:val="single" w:color="000000" w:sz="8" w:space="0"/>
              <w:bottom w:val="single" w:color="000000" w:sz="8" w:space="0"/>
              <w:right w:val="nil"/>
            </w:tcBorders>
            <w:noWrap/>
          </w:tcPr>
          <w:p w14:paraId="1CE9056E">
            <w:pPr>
              <w:spacing w:after="0" w:line="240" w:lineRule="auto"/>
              <w:rPr>
                <w:rFonts w:ascii="Times New Roman" w:hAnsi="Times New Roman"/>
                <w:bCs/>
                <w:color w:val="000000"/>
                <w:sz w:val="24"/>
                <w:szCs w:val="24"/>
              </w:rPr>
            </w:pPr>
            <w:r>
              <w:rPr>
                <w:rFonts w:ascii="Times New Roman" w:hAnsi="Times New Roman"/>
                <w:bCs/>
                <w:color w:val="000000"/>
                <w:sz w:val="24"/>
                <w:szCs w:val="24"/>
              </w:rPr>
              <w:t>DOSE</w:t>
            </w:r>
          </w:p>
          <w:p w14:paraId="1D130E72">
            <w:pPr>
              <w:spacing w:after="0" w:line="240" w:lineRule="auto"/>
              <w:rPr>
                <w:rFonts w:ascii="Times New Roman" w:hAnsi="Times New Roman"/>
                <w:bCs/>
                <w:color w:val="000000"/>
                <w:sz w:val="24"/>
                <w:szCs w:val="24"/>
              </w:rPr>
            </w:pPr>
            <w:r>
              <w:rPr>
                <w:rFonts w:ascii="Times New Roman" w:hAnsi="Times New Roman"/>
                <w:bCs/>
                <w:color w:val="000000"/>
                <w:sz w:val="24"/>
                <w:szCs w:val="24"/>
              </w:rPr>
              <w:t>mg/kg</w:t>
            </w:r>
          </w:p>
        </w:tc>
        <w:tc>
          <w:tcPr>
            <w:tcW w:w="1841" w:type="dxa"/>
            <w:tcBorders>
              <w:top w:val="single" w:color="000000" w:sz="8" w:space="0"/>
              <w:bottom w:val="single" w:color="000000" w:sz="8" w:space="0"/>
              <w:right w:val="nil"/>
            </w:tcBorders>
            <w:noWrap/>
          </w:tcPr>
          <w:p w14:paraId="7AA378C7">
            <w:pPr>
              <w:spacing w:after="0" w:line="240" w:lineRule="auto"/>
              <w:rPr>
                <w:rFonts w:ascii="Times New Roman" w:hAnsi="Times New Roman"/>
                <w:bCs/>
                <w:color w:val="000000"/>
                <w:sz w:val="24"/>
                <w:szCs w:val="24"/>
              </w:rPr>
            </w:pPr>
            <w:r>
              <w:rPr>
                <w:rFonts w:ascii="Times New Roman" w:hAnsi="Times New Roman"/>
                <w:bCs/>
                <w:color w:val="000000"/>
                <w:sz w:val="24"/>
                <w:szCs w:val="24"/>
              </w:rPr>
              <w:t>TOTAL CHOLESTEROL (mMol/L)</w:t>
            </w:r>
          </w:p>
        </w:tc>
        <w:tc>
          <w:tcPr>
            <w:tcW w:w="1877" w:type="dxa"/>
            <w:tcBorders>
              <w:top w:val="single" w:color="000000" w:sz="8" w:space="0"/>
              <w:bottom w:val="single" w:color="000000" w:sz="8" w:space="0"/>
              <w:right w:val="nil"/>
            </w:tcBorders>
            <w:noWrap/>
          </w:tcPr>
          <w:p w14:paraId="14640452">
            <w:pPr>
              <w:spacing w:after="0" w:line="240" w:lineRule="auto"/>
              <w:rPr>
                <w:rFonts w:ascii="Times New Roman" w:hAnsi="Times New Roman"/>
                <w:bCs/>
                <w:color w:val="000000"/>
                <w:sz w:val="24"/>
                <w:szCs w:val="24"/>
              </w:rPr>
            </w:pPr>
            <w:r>
              <w:rPr>
                <w:rFonts w:ascii="Times New Roman" w:hAnsi="Times New Roman"/>
                <w:bCs/>
                <w:color w:val="000000"/>
                <w:sz w:val="24"/>
                <w:szCs w:val="24"/>
              </w:rPr>
              <w:t>TRIGLYCERIDE (mMol/L)</w:t>
            </w:r>
          </w:p>
        </w:tc>
        <w:tc>
          <w:tcPr>
            <w:tcW w:w="1551" w:type="dxa"/>
            <w:tcBorders>
              <w:top w:val="single" w:color="000000" w:sz="8" w:space="0"/>
              <w:bottom w:val="single" w:color="000000" w:sz="8" w:space="0"/>
              <w:right w:val="nil"/>
            </w:tcBorders>
            <w:noWrap/>
          </w:tcPr>
          <w:p w14:paraId="50A1FA5E">
            <w:pPr>
              <w:spacing w:after="0" w:line="240" w:lineRule="auto"/>
              <w:rPr>
                <w:rFonts w:ascii="Times New Roman" w:hAnsi="Times New Roman"/>
                <w:bCs/>
                <w:color w:val="000000"/>
                <w:sz w:val="24"/>
                <w:szCs w:val="24"/>
              </w:rPr>
            </w:pPr>
            <w:r>
              <w:rPr>
                <w:rFonts w:ascii="Times New Roman" w:hAnsi="Times New Roman"/>
                <w:bCs/>
                <w:color w:val="000000"/>
                <w:sz w:val="24"/>
                <w:szCs w:val="24"/>
              </w:rPr>
              <w:t>HDL-C (mMol/L)</w:t>
            </w:r>
          </w:p>
        </w:tc>
        <w:tc>
          <w:tcPr>
            <w:tcW w:w="1650" w:type="dxa"/>
            <w:tcBorders>
              <w:top w:val="single" w:color="000000" w:sz="8" w:space="0"/>
              <w:bottom w:val="single" w:color="000000" w:sz="8" w:space="0"/>
              <w:right w:val="nil"/>
            </w:tcBorders>
            <w:noWrap/>
          </w:tcPr>
          <w:p w14:paraId="4532F056">
            <w:pPr>
              <w:spacing w:after="0" w:line="240" w:lineRule="auto"/>
              <w:rPr>
                <w:rFonts w:ascii="Times New Roman" w:hAnsi="Times New Roman"/>
                <w:bCs/>
                <w:color w:val="000000"/>
                <w:sz w:val="24"/>
                <w:szCs w:val="24"/>
              </w:rPr>
            </w:pPr>
            <w:r>
              <w:rPr>
                <w:rFonts w:ascii="Times New Roman" w:hAnsi="Times New Roman"/>
                <w:bCs/>
                <w:color w:val="000000"/>
                <w:sz w:val="24"/>
                <w:szCs w:val="24"/>
              </w:rPr>
              <w:t>LDL-C (mMol/L)</w:t>
            </w:r>
          </w:p>
        </w:tc>
        <w:tc>
          <w:tcPr>
            <w:tcW w:w="1550" w:type="dxa"/>
            <w:tcBorders>
              <w:top w:val="single" w:color="000000" w:sz="8" w:space="0"/>
              <w:bottom w:val="single" w:color="000000" w:sz="8" w:space="0"/>
              <w:right w:val="nil"/>
            </w:tcBorders>
            <w:noWrap/>
          </w:tcPr>
          <w:p w14:paraId="5F0DE773">
            <w:pPr>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VLDL </w:t>
            </w:r>
          </w:p>
          <w:p w14:paraId="392D5BB0">
            <w:pPr>
              <w:spacing w:after="0" w:line="240" w:lineRule="auto"/>
              <w:rPr>
                <w:rFonts w:ascii="Times New Roman" w:hAnsi="Times New Roman"/>
                <w:bCs/>
                <w:color w:val="000000"/>
                <w:sz w:val="24"/>
                <w:szCs w:val="24"/>
              </w:rPr>
            </w:pPr>
            <w:r>
              <w:rPr>
                <w:rFonts w:ascii="Times New Roman" w:hAnsi="Times New Roman"/>
                <w:bCs/>
                <w:color w:val="000000"/>
                <w:sz w:val="24"/>
                <w:szCs w:val="24"/>
              </w:rPr>
              <w:t>(mMol/L)</w:t>
            </w:r>
          </w:p>
        </w:tc>
      </w:tr>
      <w:tr w14:paraId="57C1D87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82" w:type="dxa"/>
            <w:noWrap/>
          </w:tcPr>
          <w:p w14:paraId="6604F21B">
            <w:pPr>
              <w:spacing w:after="0"/>
              <w:rPr>
                <w:rFonts w:ascii="Times New Roman" w:hAnsi="Times New Roman"/>
                <w:bCs/>
                <w:color w:val="000000"/>
                <w:sz w:val="24"/>
                <w:szCs w:val="24"/>
              </w:rPr>
            </w:pPr>
            <w:r>
              <w:rPr>
                <w:rFonts w:ascii="Times New Roman" w:hAnsi="Times New Roman"/>
                <w:bCs/>
                <w:color w:val="000000"/>
                <w:sz w:val="24"/>
                <w:szCs w:val="24"/>
              </w:rPr>
              <w:t xml:space="preserve">Control </w:t>
            </w:r>
          </w:p>
          <w:p w14:paraId="18CFB98E">
            <w:pPr>
              <w:spacing w:after="0"/>
              <w:rPr>
                <w:rFonts w:ascii="Times New Roman" w:hAnsi="Times New Roman"/>
                <w:bCs/>
                <w:color w:val="000000"/>
                <w:sz w:val="24"/>
                <w:szCs w:val="24"/>
              </w:rPr>
            </w:pPr>
          </w:p>
        </w:tc>
        <w:tc>
          <w:tcPr>
            <w:tcW w:w="1072" w:type="dxa"/>
            <w:noWrap/>
          </w:tcPr>
          <w:p w14:paraId="6B5606C0">
            <w:pPr>
              <w:rPr>
                <w:rFonts w:ascii="Times New Roman" w:hAnsi="Times New Roman"/>
                <w:color w:val="000000"/>
                <w:sz w:val="24"/>
                <w:szCs w:val="24"/>
              </w:rPr>
            </w:pPr>
            <w:r>
              <w:rPr>
                <w:rFonts w:ascii="Times New Roman" w:hAnsi="Times New Roman"/>
                <w:color w:val="000000"/>
                <w:sz w:val="24"/>
                <w:szCs w:val="24"/>
              </w:rPr>
              <w:t>10 mL/kg</w:t>
            </w:r>
          </w:p>
        </w:tc>
        <w:tc>
          <w:tcPr>
            <w:tcW w:w="1841" w:type="dxa"/>
            <w:noWrap/>
          </w:tcPr>
          <w:p w14:paraId="633BDCBB">
            <w:pPr>
              <w:spacing w:after="0"/>
              <w:rPr>
                <w:rFonts w:ascii="Times New Roman" w:hAnsi="Times New Roman"/>
                <w:color w:val="000000"/>
                <w:sz w:val="24"/>
                <w:szCs w:val="24"/>
              </w:rPr>
            </w:pPr>
            <w:r>
              <w:rPr>
                <w:rFonts w:ascii="Times New Roman" w:hAnsi="Times New Roman"/>
                <w:color w:val="000000"/>
                <w:sz w:val="24"/>
                <w:szCs w:val="24"/>
              </w:rPr>
              <w:t>2.33± 0.08</w:t>
            </w:r>
          </w:p>
        </w:tc>
        <w:tc>
          <w:tcPr>
            <w:tcW w:w="1877" w:type="dxa"/>
            <w:noWrap/>
          </w:tcPr>
          <w:p w14:paraId="61DC284C">
            <w:pPr>
              <w:spacing w:after="0"/>
              <w:rPr>
                <w:rFonts w:ascii="Times New Roman" w:hAnsi="Times New Roman"/>
                <w:color w:val="000000"/>
                <w:sz w:val="24"/>
                <w:szCs w:val="24"/>
              </w:rPr>
            </w:pPr>
            <w:r>
              <w:rPr>
                <w:rFonts w:ascii="Times New Roman" w:hAnsi="Times New Roman"/>
                <w:color w:val="000000"/>
                <w:sz w:val="24"/>
                <w:szCs w:val="24"/>
              </w:rPr>
              <w:t>0.99± 0.07</w:t>
            </w:r>
          </w:p>
        </w:tc>
        <w:tc>
          <w:tcPr>
            <w:tcW w:w="1551" w:type="dxa"/>
            <w:noWrap/>
          </w:tcPr>
          <w:p w14:paraId="5CED21F4">
            <w:pPr>
              <w:spacing w:after="0"/>
              <w:rPr>
                <w:rFonts w:ascii="Times New Roman" w:hAnsi="Times New Roman"/>
                <w:color w:val="000000"/>
                <w:sz w:val="24"/>
                <w:szCs w:val="24"/>
              </w:rPr>
            </w:pPr>
            <w:r>
              <w:rPr>
                <w:rFonts w:ascii="Times New Roman" w:hAnsi="Times New Roman"/>
                <w:color w:val="000000"/>
                <w:sz w:val="24"/>
                <w:szCs w:val="24"/>
              </w:rPr>
              <w:t>1.16± 0.21</w:t>
            </w:r>
          </w:p>
        </w:tc>
        <w:tc>
          <w:tcPr>
            <w:tcW w:w="1650" w:type="dxa"/>
            <w:noWrap/>
          </w:tcPr>
          <w:p w14:paraId="6B652DD6">
            <w:pPr>
              <w:spacing w:after="0"/>
              <w:rPr>
                <w:rFonts w:ascii="Times New Roman" w:hAnsi="Times New Roman"/>
                <w:color w:val="000000"/>
                <w:sz w:val="24"/>
                <w:szCs w:val="24"/>
              </w:rPr>
            </w:pPr>
            <w:r>
              <w:rPr>
                <w:rFonts w:ascii="Times New Roman" w:hAnsi="Times New Roman"/>
                <w:color w:val="000000"/>
                <w:sz w:val="24"/>
                <w:szCs w:val="24"/>
              </w:rPr>
              <w:t>1.61± 0.10</w:t>
            </w:r>
          </w:p>
        </w:tc>
        <w:tc>
          <w:tcPr>
            <w:tcW w:w="1550" w:type="dxa"/>
            <w:noWrap/>
          </w:tcPr>
          <w:p w14:paraId="7C423552">
            <w:pPr>
              <w:spacing w:after="0"/>
              <w:rPr>
                <w:rFonts w:ascii="Times New Roman" w:hAnsi="Times New Roman"/>
                <w:color w:val="000000"/>
                <w:sz w:val="24"/>
                <w:szCs w:val="24"/>
              </w:rPr>
            </w:pPr>
            <w:r>
              <w:rPr>
                <w:rFonts w:ascii="Times New Roman" w:hAnsi="Times New Roman"/>
                <w:color w:val="000000"/>
                <w:sz w:val="24"/>
                <w:szCs w:val="24"/>
              </w:rPr>
              <w:t>0.19± 0.01</w:t>
            </w:r>
          </w:p>
        </w:tc>
      </w:tr>
      <w:tr w14:paraId="27C138A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1682" w:type="dxa"/>
            <w:vMerge w:val="restart"/>
            <w:noWrap/>
          </w:tcPr>
          <w:p w14:paraId="35DDC593">
            <w:pPr>
              <w:spacing w:after="0"/>
              <w:rPr>
                <w:rFonts w:ascii="Times New Roman" w:hAnsi="Times New Roman"/>
                <w:bCs/>
                <w:color w:val="000000"/>
                <w:sz w:val="24"/>
                <w:szCs w:val="24"/>
              </w:rPr>
            </w:pPr>
            <w:r>
              <w:rPr>
                <w:rFonts w:ascii="Times New Roman" w:hAnsi="Times New Roman"/>
                <w:bCs/>
                <w:color w:val="000000"/>
                <w:sz w:val="24"/>
                <w:szCs w:val="24"/>
              </w:rPr>
              <w:t>Crude extract</w:t>
            </w:r>
          </w:p>
        </w:tc>
        <w:tc>
          <w:tcPr>
            <w:tcW w:w="1072" w:type="dxa"/>
            <w:noWrap/>
          </w:tcPr>
          <w:p w14:paraId="2D429D6F">
            <w:pPr>
              <w:rPr>
                <w:rFonts w:ascii="Times New Roman" w:hAnsi="Times New Roman"/>
                <w:color w:val="000000"/>
                <w:sz w:val="24"/>
                <w:szCs w:val="24"/>
              </w:rPr>
            </w:pPr>
            <w:r>
              <w:rPr>
                <w:rFonts w:ascii="Times New Roman" w:hAnsi="Times New Roman"/>
                <w:color w:val="000000"/>
                <w:sz w:val="24"/>
                <w:szCs w:val="24"/>
              </w:rPr>
              <w:t>187</w:t>
            </w:r>
          </w:p>
        </w:tc>
        <w:tc>
          <w:tcPr>
            <w:tcW w:w="1841" w:type="dxa"/>
            <w:noWrap/>
          </w:tcPr>
          <w:p w14:paraId="65435D80">
            <w:pPr>
              <w:spacing w:after="0"/>
              <w:rPr>
                <w:rFonts w:ascii="Times New Roman" w:hAnsi="Times New Roman"/>
                <w:color w:val="000000"/>
                <w:sz w:val="24"/>
                <w:szCs w:val="24"/>
              </w:rPr>
            </w:pPr>
            <w:r>
              <w:rPr>
                <w:rFonts w:ascii="Times New Roman" w:hAnsi="Times New Roman"/>
                <w:color w:val="000000"/>
                <w:sz w:val="24"/>
                <w:szCs w:val="24"/>
              </w:rPr>
              <w:t>1.85±  0.06</w:t>
            </w:r>
            <w:r>
              <w:rPr>
                <w:rFonts w:ascii="Times New Roman" w:hAnsi="Times New Roman"/>
                <w:color w:val="000000"/>
                <w:sz w:val="24"/>
                <w:szCs w:val="24"/>
                <w:vertAlign w:val="superscript"/>
              </w:rPr>
              <w:t>b</w:t>
            </w:r>
          </w:p>
        </w:tc>
        <w:tc>
          <w:tcPr>
            <w:tcW w:w="1877" w:type="dxa"/>
            <w:noWrap/>
          </w:tcPr>
          <w:p w14:paraId="4485660F">
            <w:pPr>
              <w:spacing w:after="0"/>
              <w:rPr>
                <w:rFonts w:ascii="Times New Roman" w:hAnsi="Times New Roman"/>
                <w:color w:val="000000"/>
                <w:sz w:val="24"/>
                <w:szCs w:val="24"/>
              </w:rPr>
            </w:pPr>
            <w:r>
              <w:rPr>
                <w:rFonts w:ascii="Times New Roman" w:hAnsi="Times New Roman"/>
                <w:color w:val="000000"/>
                <w:sz w:val="24"/>
                <w:szCs w:val="24"/>
              </w:rPr>
              <w:t>0.85± 0.08</w:t>
            </w:r>
          </w:p>
        </w:tc>
        <w:tc>
          <w:tcPr>
            <w:tcW w:w="1551" w:type="dxa"/>
            <w:noWrap/>
          </w:tcPr>
          <w:p w14:paraId="72180A8C">
            <w:pPr>
              <w:spacing w:after="0"/>
              <w:rPr>
                <w:rFonts w:ascii="Times New Roman" w:hAnsi="Times New Roman"/>
                <w:color w:val="000000"/>
                <w:sz w:val="24"/>
                <w:szCs w:val="24"/>
              </w:rPr>
            </w:pPr>
            <w:r>
              <w:rPr>
                <w:rFonts w:ascii="Times New Roman" w:hAnsi="Times New Roman"/>
                <w:color w:val="000000"/>
                <w:sz w:val="24"/>
                <w:szCs w:val="24"/>
              </w:rPr>
              <w:t>1.05± 0.07</w:t>
            </w:r>
          </w:p>
        </w:tc>
        <w:tc>
          <w:tcPr>
            <w:tcW w:w="1650" w:type="dxa"/>
            <w:noWrap/>
          </w:tcPr>
          <w:p w14:paraId="0F91940A">
            <w:pPr>
              <w:spacing w:after="0"/>
              <w:rPr>
                <w:rFonts w:ascii="Times New Roman" w:hAnsi="Times New Roman"/>
                <w:color w:val="000000"/>
                <w:sz w:val="24"/>
                <w:szCs w:val="24"/>
              </w:rPr>
            </w:pPr>
            <w:r>
              <w:rPr>
                <w:rFonts w:ascii="Times New Roman" w:hAnsi="Times New Roman"/>
                <w:color w:val="000000"/>
                <w:sz w:val="24"/>
                <w:szCs w:val="24"/>
              </w:rPr>
              <w:t>1.18± 0.11</w:t>
            </w:r>
          </w:p>
        </w:tc>
        <w:tc>
          <w:tcPr>
            <w:tcW w:w="1550" w:type="dxa"/>
            <w:noWrap/>
          </w:tcPr>
          <w:p w14:paraId="3C0222A3">
            <w:pPr>
              <w:spacing w:after="0"/>
              <w:rPr>
                <w:rFonts w:ascii="Times New Roman" w:hAnsi="Times New Roman"/>
                <w:color w:val="000000"/>
                <w:sz w:val="24"/>
                <w:szCs w:val="24"/>
              </w:rPr>
            </w:pPr>
            <w:r>
              <w:rPr>
                <w:rFonts w:ascii="Times New Roman" w:hAnsi="Times New Roman"/>
                <w:color w:val="000000"/>
                <w:sz w:val="24"/>
                <w:szCs w:val="24"/>
              </w:rPr>
              <w:t>0.09± 0.01</w:t>
            </w:r>
            <w:r>
              <w:rPr>
                <w:rFonts w:ascii="Times New Roman" w:hAnsi="Times New Roman"/>
                <w:color w:val="000000"/>
                <w:sz w:val="24"/>
                <w:szCs w:val="24"/>
                <w:vertAlign w:val="superscript"/>
              </w:rPr>
              <w:t>c</w:t>
            </w:r>
          </w:p>
        </w:tc>
      </w:tr>
      <w:tr w14:paraId="027C48F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82" w:type="dxa"/>
            <w:vMerge w:val="continue"/>
            <w:noWrap/>
          </w:tcPr>
          <w:p w14:paraId="4BD5FE39">
            <w:pPr>
              <w:spacing w:after="0" w:line="240" w:lineRule="auto"/>
              <w:rPr>
                <w:rFonts w:ascii="Times New Roman" w:hAnsi="Times New Roman"/>
                <w:bCs/>
                <w:color w:val="000000"/>
                <w:sz w:val="24"/>
                <w:szCs w:val="24"/>
              </w:rPr>
            </w:pPr>
          </w:p>
        </w:tc>
        <w:tc>
          <w:tcPr>
            <w:tcW w:w="1072" w:type="dxa"/>
            <w:noWrap/>
          </w:tcPr>
          <w:p w14:paraId="0327D7E8">
            <w:pPr>
              <w:rPr>
                <w:rFonts w:ascii="Times New Roman" w:hAnsi="Times New Roman"/>
                <w:color w:val="000000"/>
                <w:sz w:val="24"/>
                <w:szCs w:val="24"/>
              </w:rPr>
            </w:pPr>
            <w:r>
              <w:rPr>
                <w:rFonts w:ascii="Times New Roman" w:hAnsi="Times New Roman"/>
                <w:color w:val="000000"/>
                <w:sz w:val="24"/>
                <w:szCs w:val="24"/>
              </w:rPr>
              <w:t>374</w:t>
            </w:r>
          </w:p>
        </w:tc>
        <w:tc>
          <w:tcPr>
            <w:tcW w:w="1841" w:type="dxa"/>
            <w:noWrap/>
          </w:tcPr>
          <w:p w14:paraId="5A29AA11">
            <w:pPr>
              <w:spacing w:after="0"/>
              <w:rPr>
                <w:rFonts w:ascii="Times New Roman" w:hAnsi="Times New Roman"/>
                <w:color w:val="000000"/>
                <w:sz w:val="24"/>
                <w:szCs w:val="24"/>
              </w:rPr>
            </w:pPr>
            <w:r>
              <w:rPr>
                <w:rFonts w:ascii="Times New Roman" w:hAnsi="Times New Roman"/>
                <w:color w:val="000000"/>
                <w:sz w:val="24"/>
                <w:szCs w:val="24"/>
              </w:rPr>
              <w:t>2.05± 0.10</w:t>
            </w:r>
          </w:p>
        </w:tc>
        <w:tc>
          <w:tcPr>
            <w:tcW w:w="1877" w:type="dxa"/>
            <w:noWrap/>
          </w:tcPr>
          <w:p w14:paraId="1CD791AC">
            <w:pPr>
              <w:spacing w:after="0"/>
              <w:rPr>
                <w:rFonts w:ascii="Times New Roman" w:hAnsi="Times New Roman"/>
                <w:color w:val="000000"/>
                <w:sz w:val="24"/>
                <w:szCs w:val="24"/>
              </w:rPr>
            </w:pPr>
            <w:r>
              <w:rPr>
                <w:rFonts w:ascii="Times New Roman" w:hAnsi="Times New Roman"/>
                <w:color w:val="000000"/>
                <w:sz w:val="24"/>
                <w:szCs w:val="24"/>
              </w:rPr>
              <w:t>0.90± 0.04</w:t>
            </w:r>
          </w:p>
        </w:tc>
        <w:tc>
          <w:tcPr>
            <w:tcW w:w="1551" w:type="dxa"/>
            <w:noWrap/>
          </w:tcPr>
          <w:p w14:paraId="42782CEC">
            <w:pPr>
              <w:spacing w:after="0"/>
              <w:rPr>
                <w:rFonts w:ascii="Times New Roman" w:hAnsi="Times New Roman"/>
                <w:color w:val="000000"/>
                <w:sz w:val="24"/>
                <w:szCs w:val="24"/>
              </w:rPr>
            </w:pPr>
            <w:r>
              <w:rPr>
                <w:rFonts w:ascii="Times New Roman" w:hAnsi="Times New Roman"/>
                <w:color w:val="000000"/>
                <w:sz w:val="24"/>
                <w:szCs w:val="24"/>
              </w:rPr>
              <w:t>1.17± 0.06</w:t>
            </w:r>
          </w:p>
        </w:tc>
        <w:tc>
          <w:tcPr>
            <w:tcW w:w="1650" w:type="dxa"/>
            <w:noWrap/>
          </w:tcPr>
          <w:p w14:paraId="5DB208D8">
            <w:pPr>
              <w:spacing w:after="0"/>
              <w:rPr>
                <w:rFonts w:ascii="Times New Roman" w:hAnsi="Times New Roman"/>
                <w:color w:val="000000"/>
                <w:sz w:val="24"/>
                <w:szCs w:val="24"/>
              </w:rPr>
            </w:pPr>
            <w:r>
              <w:rPr>
                <w:rFonts w:ascii="Times New Roman" w:hAnsi="Times New Roman"/>
                <w:color w:val="000000"/>
                <w:sz w:val="24"/>
                <w:szCs w:val="24"/>
              </w:rPr>
              <w:t>1.37± 0.14</w:t>
            </w:r>
          </w:p>
        </w:tc>
        <w:tc>
          <w:tcPr>
            <w:tcW w:w="1550" w:type="dxa"/>
            <w:noWrap/>
          </w:tcPr>
          <w:p w14:paraId="7C7C9988">
            <w:pPr>
              <w:spacing w:after="0"/>
              <w:rPr>
                <w:rFonts w:ascii="Times New Roman" w:hAnsi="Times New Roman"/>
                <w:color w:val="000000"/>
                <w:sz w:val="24"/>
                <w:szCs w:val="24"/>
              </w:rPr>
            </w:pPr>
            <w:r>
              <w:rPr>
                <w:rFonts w:ascii="Times New Roman" w:hAnsi="Times New Roman"/>
                <w:color w:val="000000"/>
                <w:sz w:val="24"/>
                <w:szCs w:val="24"/>
              </w:rPr>
              <w:t>0.15± 0.01</w:t>
            </w:r>
          </w:p>
        </w:tc>
      </w:tr>
      <w:tr w14:paraId="038C7D5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82" w:type="dxa"/>
            <w:vMerge w:val="continue"/>
            <w:noWrap/>
          </w:tcPr>
          <w:p w14:paraId="7137EC3E">
            <w:pPr>
              <w:spacing w:after="0" w:line="240" w:lineRule="auto"/>
              <w:rPr>
                <w:rFonts w:ascii="Times New Roman" w:hAnsi="Times New Roman"/>
                <w:bCs/>
                <w:color w:val="000000"/>
                <w:sz w:val="24"/>
                <w:szCs w:val="24"/>
              </w:rPr>
            </w:pPr>
          </w:p>
        </w:tc>
        <w:tc>
          <w:tcPr>
            <w:tcW w:w="1072" w:type="dxa"/>
            <w:noWrap/>
          </w:tcPr>
          <w:p w14:paraId="6A005CEC">
            <w:pPr>
              <w:rPr>
                <w:rFonts w:ascii="Times New Roman" w:hAnsi="Times New Roman"/>
                <w:color w:val="000000"/>
                <w:sz w:val="24"/>
                <w:szCs w:val="24"/>
              </w:rPr>
            </w:pPr>
            <w:r>
              <w:rPr>
                <w:rFonts w:ascii="Times New Roman" w:hAnsi="Times New Roman"/>
                <w:color w:val="000000"/>
                <w:sz w:val="24"/>
                <w:szCs w:val="24"/>
              </w:rPr>
              <w:t>561</w:t>
            </w:r>
          </w:p>
        </w:tc>
        <w:tc>
          <w:tcPr>
            <w:tcW w:w="1841" w:type="dxa"/>
            <w:noWrap/>
          </w:tcPr>
          <w:p w14:paraId="3D0F5958">
            <w:pPr>
              <w:spacing w:after="0"/>
              <w:rPr>
                <w:rFonts w:ascii="Times New Roman" w:hAnsi="Times New Roman"/>
                <w:color w:val="000000"/>
                <w:sz w:val="24"/>
                <w:szCs w:val="24"/>
              </w:rPr>
            </w:pPr>
            <w:r>
              <w:rPr>
                <w:rFonts w:ascii="Times New Roman" w:hAnsi="Times New Roman"/>
                <w:color w:val="000000"/>
                <w:sz w:val="24"/>
                <w:szCs w:val="24"/>
              </w:rPr>
              <w:t>2.12± 0.13</w:t>
            </w:r>
          </w:p>
        </w:tc>
        <w:tc>
          <w:tcPr>
            <w:tcW w:w="1877" w:type="dxa"/>
            <w:noWrap/>
          </w:tcPr>
          <w:p w14:paraId="4A9AF49A">
            <w:pPr>
              <w:spacing w:after="0"/>
              <w:rPr>
                <w:rFonts w:ascii="Times New Roman" w:hAnsi="Times New Roman"/>
                <w:color w:val="000000"/>
                <w:sz w:val="24"/>
                <w:szCs w:val="24"/>
              </w:rPr>
            </w:pPr>
            <w:r>
              <w:rPr>
                <w:rFonts w:ascii="Times New Roman" w:hAnsi="Times New Roman"/>
                <w:color w:val="000000"/>
                <w:sz w:val="24"/>
                <w:szCs w:val="24"/>
              </w:rPr>
              <w:t>0.73± 0.11</w:t>
            </w:r>
          </w:p>
        </w:tc>
        <w:tc>
          <w:tcPr>
            <w:tcW w:w="1551" w:type="dxa"/>
            <w:noWrap/>
          </w:tcPr>
          <w:p w14:paraId="2FE7B6D2">
            <w:pPr>
              <w:spacing w:after="0"/>
              <w:rPr>
                <w:rFonts w:ascii="Times New Roman" w:hAnsi="Times New Roman"/>
                <w:color w:val="000000"/>
                <w:sz w:val="24"/>
                <w:szCs w:val="24"/>
              </w:rPr>
            </w:pPr>
            <w:r>
              <w:rPr>
                <w:rFonts w:ascii="Times New Roman" w:hAnsi="Times New Roman"/>
                <w:color w:val="000000"/>
                <w:sz w:val="24"/>
                <w:szCs w:val="24"/>
              </w:rPr>
              <w:t>1.14± 0.12</w:t>
            </w:r>
          </w:p>
        </w:tc>
        <w:tc>
          <w:tcPr>
            <w:tcW w:w="1650" w:type="dxa"/>
            <w:noWrap/>
          </w:tcPr>
          <w:p w14:paraId="528EDCAA">
            <w:pPr>
              <w:spacing w:after="0"/>
              <w:rPr>
                <w:rFonts w:ascii="Times New Roman" w:hAnsi="Times New Roman"/>
                <w:color w:val="000000"/>
                <w:sz w:val="24"/>
                <w:szCs w:val="24"/>
              </w:rPr>
            </w:pPr>
            <w:r>
              <w:rPr>
                <w:rFonts w:ascii="Times New Roman" w:hAnsi="Times New Roman"/>
                <w:color w:val="000000"/>
                <w:sz w:val="24"/>
                <w:szCs w:val="24"/>
              </w:rPr>
              <w:t>1.31± 0.07</w:t>
            </w:r>
          </w:p>
        </w:tc>
        <w:tc>
          <w:tcPr>
            <w:tcW w:w="1550" w:type="dxa"/>
            <w:noWrap/>
          </w:tcPr>
          <w:p w14:paraId="5279EA08">
            <w:pPr>
              <w:spacing w:after="0"/>
              <w:rPr>
                <w:rFonts w:ascii="Times New Roman" w:hAnsi="Times New Roman"/>
                <w:color w:val="000000"/>
                <w:sz w:val="24"/>
                <w:szCs w:val="24"/>
              </w:rPr>
            </w:pPr>
            <w:r>
              <w:rPr>
                <w:rFonts w:ascii="Times New Roman" w:hAnsi="Times New Roman"/>
                <w:color w:val="000000"/>
                <w:sz w:val="24"/>
                <w:szCs w:val="24"/>
              </w:rPr>
              <w:t>0.13± 0.01</w:t>
            </w:r>
            <w:r>
              <w:rPr>
                <w:rFonts w:ascii="Times New Roman" w:hAnsi="Times New Roman"/>
                <w:color w:val="000000"/>
                <w:sz w:val="24"/>
                <w:szCs w:val="24"/>
                <w:vertAlign w:val="superscript"/>
              </w:rPr>
              <w:t>b</w:t>
            </w:r>
          </w:p>
        </w:tc>
      </w:tr>
    </w:tbl>
    <w:p w14:paraId="43F32A3C">
      <w:pPr>
        <w:rPr>
          <w:rFonts w:ascii="Times New Roman" w:hAnsi="Times New Roman"/>
          <w:sz w:val="24"/>
          <w:szCs w:val="24"/>
        </w:rPr>
      </w:pPr>
      <w:r>
        <w:rPr>
          <w:rFonts w:ascii="Times New Roman" w:hAnsi="Times New Roman"/>
          <w:sz w:val="24"/>
          <w:szCs w:val="24"/>
        </w:rPr>
        <w:t xml:space="preserve">Data are expressed as MEAN ± SEM, Significant at </w:t>
      </w:r>
      <w:r>
        <w:rPr>
          <w:rFonts w:ascii="Times New Roman" w:hAnsi="Times New Roman"/>
          <w:sz w:val="24"/>
          <w:szCs w:val="24"/>
          <w:vertAlign w:val="superscript"/>
        </w:rPr>
        <w:t>a</w:t>
      </w:r>
      <w:r>
        <w:rPr>
          <w:rFonts w:ascii="Times New Roman" w:hAnsi="Times New Roman"/>
          <w:sz w:val="24"/>
          <w:szCs w:val="24"/>
        </w:rPr>
        <w:t xml:space="preserve">p&lt;0.05, </w:t>
      </w:r>
      <w:r>
        <w:rPr>
          <w:rFonts w:ascii="Times New Roman" w:hAnsi="Times New Roman"/>
          <w:sz w:val="24"/>
          <w:szCs w:val="24"/>
          <w:vertAlign w:val="superscript"/>
        </w:rPr>
        <w:t>b</w:t>
      </w:r>
      <w:r>
        <w:rPr>
          <w:rFonts w:ascii="Times New Roman" w:hAnsi="Times New Roman"/>
          <w:sz w:val="24"/>
          <w:szCs w:val="24"/>
        </w:rPr>
        <w:t xml:space="preserve">Pp&lt; 0.01, </w:t>
      </w:r>
      <w:r>
        <w:rPr>
          <w:rFonts w:ascii="Times New Roman" w:hAnsi="Times New Roman"/>
          <w:sz w:val="24"/>
          <w:szCs w:val="24"/>
          <w:vertAlign w:val="superscript"/>
        </w:rPr>
        <w:t>c</w:t>
      </w:r>
      <w:r>
        <w:rPr>
          <w:rFonts w:ascii="Times New Roman" w:hAnsi="Times New Roman"/>
          <w:sz w:val="24"/>
          <w:szCs w:val="24"/>
        </w:rPr>
        <w:t>p&lt; 0.001, when compared to control. (n=5).</w:t>
      </w:r>
    </w:p>
    <w:p w14:paraId="79F55E61">
      <w:pPr>
        <w:rPr>
          <w:rFonts w:ascii="Times New Roman" w:hAnsi="Times New Roman"/>
          <w:sz w:val="24"/>
          <w:szCs w:val="24"/>
        </w:rPr>
      </w:pPr>
    </w:p>
    <w:p w14:paraId="034ABBB6">
      <w:pPr>
        <w:rPr>
          <w:rFonts w:ascii="Times New Roman" w:hAnsi="Times New Roman"/>
          <w:sz w:val="24"/>
          <w:szCs w:val="24"/>
        </w:rPr>
      </w:pPr>
    </w:p>
    <w:p w14:paraId="23159D53">
      <w:pPr>
        <w:rPr>
          <w:rFonts w:ascii="Times New Roman" w:hAnsi="Times New Roman"/>
          <w:sz w:val="24"/>
          <w:szCs w:val="24"/>
        </w:rPr>
      </w:pPr>
      <w:r>
        <w:rPr>
          <w:rFonts w:ascii="Times New Roman" w:hAnsi="Times New Roman"/>
          <w:b/>
          <w:sz w:val="24"/>
          <w:szCs w:val="24"/>
          <w:lang w:eastAsia="zh-CN"/>
        </w:rPr>
        <w:t xml:space="preserve">  </w:t>
      </w:r>
      <w:r>
        <w:rPr>
          <w:rFonts w:ascii="Times New Roman" w:hAnsi="Times New Roman"/>
          <w:sz w:val="24"/>
          <w:szCs w:val="24"/>
        </w:rPr>
        <w:t xml:space="preserve"> </w:t>
      </w:r>
      <w:r>
        <w:drawing>
          <wp:inline distT="0" distB="0" distL="0" distR="0">
            <wp:extent cx="5037455" cy="3020695"/>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3">
                      <a:extLst>
                        <a:ext uri="{28A0092B-C50C-407E-A947-70E740481C1C}">
                          <a14:useLocalDpi xmlns:a14="http://schemas.microsoft.com/office/drawing/2010/main" val="0"/>
                        </a:ext>
                      </a:extLst>
                    </a:blip>
                    <a:srcRect/>
                    <a:stretch>
                      <a:fillRect/>
                    </a:stretch>
                  </pic:blipFill>
                  <pic:spPr>
                    <a:xfrm>
                      <a:off x="0" y="0"/>
                      <a:ext cx="5037455" cy="3020695"/>
                    </a:xfrm>
                    <a:prstGeom prst="rect">
                      <a:avLst/>
                    </a:prstGeom>
                    <a:noFill/>
                    <a:ln>
                      <a:noFill/>
                    </a:ln>
                  </pic:spPr>
                </pic:pic>
              </a:graphicData>
            </a:graphic>
          </wp:inline>
        </w:drawing>
      </w:r>
    </w:p>
    <w:p w14:paraId="0B969A0B">
      <w:pPr>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Figure 2</w:t>
      </w:r>
      <w:r>
        <w:rPr>
          <w:rFonts w:ascii="Times New Roman" w:hAnsi="Times New Roman"/>
          <w:sz w:val="24"/>
          <w:szCs w:val="24"/>
        </w:rPr>
        <w:t>: Photomicrograph of the transverse sections of cerebral cortex of female rats treated with distilled water (</w:t>
      </w:r>
      <w:r>
        <w:rPr>
          <w:rFonts w:ascii="Times New Roman" w:hAnsi="Times New Roman"/>
          <w:b/>
          <w:bCs/>
          <w:sz w:val="24"/>
          <w:szCs w:val="24"/>
        </w:rPr>
        <w:t>G1</w:t>
      </w:r>
      <w:r>
        <w:rPr>
          <w:rFonts w:ascii="Times New Roman" w:hAnsi="Times New Roman"/>
          <w:sz w:val="24"/>
          <w:szCs w:val="24"/>
        </w:rPr>
        <w:t xml:space="preserve">), husk extract of </w:t>
      </w:r>
      <w:r>
        <w:rPr>
          <w:rFonts w:ascii="Times New Roman" w:hAnsi="Times New Roman"/>
          <w:i/>
          <w:sz w:val="24"/>
          <w:szCs w:val="24"/>
        </w:rPr>
        <w:t>Zea mays</w:t>
      </w:r>
      <w:r>
        <w:rPr>
          <w:rFonts w:ascii="Times New Roman" w:hAnsi="Times New Roman"/>
          <w:sz w:val="24"/>
          <w:szCs w:val="24"/>
        </w:rPr>
        <w:t xml:space="preserve"> at 187 mg/kg (</w:t>
      </w:r>
      <w:r>
        <w:rPr>
          <w:rFonts w:ascii="Times New Roman" w:hAnsi="Times New Roman"/>
          <w:b/>
          <w:bCs/>
          <w:sz w:val="24"/>
          <w:szCs w:val="24"/>
        </w:rPr>
        <w:t>G2</w:t>
      </w:r>
      <w:r>
        <w:rPr>
          <w:rFonts w:ascii="Times New Roman" w:hAnsi="Times New Roman"/>
          <w:sz w:val="24"/>
          <w:szCs w:val="24"/>
        </w:rPr>
        <w:t>), 374 mg/kg (</w:t>
      </w:r>
      <w:r>
        <w:rPr>
          <w:rFonts w:ascii="Times New Roman" w:hAnsi="Times New Roman"/>
          <w:b/>
          <w:bCs/>
          <w:sz w:val="24"/>
          <w:szCs w:val="24"/>
        </w:rPr>
        <w:t>G3</w:t>
      </w:r>
      <w:r>
        <w:rPr>
          <w:rFonts w:ascii="Times New Roman" w:hAnsi="Times New Roman"/>
          <w:sz w:val="24"/>
          <w:szCs w:val="24"/>
        </w:rPr>
        <w:t>) and 561 mg/kg (</w:t>
      </w:r>
      <w:r>
        <w:rPr>
          <w:rFonts w:ascii="Times New Roman" w:hAnsi="Times New Roman"/>
          <w:b/>
          <w:bCs/>
          <w:sz w:val="24"/>
          <w:szCs w:val="24"/>
        </w:rPr>
        <w:t>G4</w:t>
      </w:r>
      <w:r>
        <w:rPr>
          <w:rFonts w:ascii="Times New Roman" w:hAnsi="Times New Roman"/>
          <w:sz w:val="24"/>
          <w:szCs w:val="24"/>
        </w:rPr>
        <w:t>) liver tissue showing external pyramidal layer (EPL), external granular layer (Ep),  internal granular layer (Ig), Pyramidal cells (Pc), blood vessels (bv), pyramidal cells (Pc) and granular cells (Gc), astrocytes (As), showing moderate effect on extract treated rats tissue with  perinuclear vacoulatory astrocytes (arrow head), shrinkage of neural cells (arrow) and micro-cerebral blood vessels (bv). (x100).</w:t>
      </w:r>
    </w:p>
    <w:p w14:paraId="759875E5">
      <w:pPr>
        <w:ind w:left="660" w:leftChars="300" w:right="-214"/>
        <w:jc w:val="both"/>
        <w:rPr>
          <w:rFonts w:ascii="Times New Roman" w:hAnsi="Times New Roman"/>
          <w:sz w:val="24"/>
          <w:szCs w:val="24"/>
        </w:rPr>
      </w:pPr>
    </w:p>
    <w:p w14:paraId="6BA5F8AD">
      <w:pPr>
        <w:ind w:left="220" w:leftChars="100" w:right="-214"/>
        <w:jc w:val="both"/>
        <w:rPr>
          <w:rFonts w:ascii="Times New Roman" w:hAnsi="Times New Roman"/>
          <w:sz w:val="24"/>
          <w:szCs w:val="24"/>
        </w:rPr>
      </w:pPr>
    </w:p>
    <w:p w14:paraId="77CDB3F8">
      <w:pPr>
        <w:ind w:left="660" w:leftChars="300"/>
        <w:rPr>
          <w:rFonts w:ascii="Times New Roman" w:hAnsi="Times New Roman"/>
          <w:sz w:val="24"/>
          <w:szCs w:val="24"/>
        </w:rPr>
      </w:pPr>
      <w:r>
        <w:rPr>
          <w:rFonts w:ascii="Times New Roman" w:hAnsi="Times New Roman"/>
          <w:sz w:val="24"/>
          <w:szCs w:val="24"/>
        </w:rPr>
        <w:t xml:space="preserve">  </w:t>
      </w:r>
      <w:r>
        <w:drawing>
          <wp:inline distT="0" distB="0" distL="0" distR="0">
            <wp:extent cx="5057775" cy="2865755"/>
            <wp:effectExtent l="0" t="0" r="0" b="0"/>
            <wp:docPr id="3" name="Picture 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4">
                      <a:extLst>
                        <a:ext uri="{28A0092B-C50C-407E-A947-70E740481C1C}">
                          <a14:useLocalDpi xmlns:a14="http://schemas.microsoft.com/office/drawing/2010/main" val="0"/>
                        </a:ext>
                      </a:extLst>
                    </a:blip>
                    <a:srcRect/>
                    <a:stretch>
                      <a:fillRect/>
                    </a:stretch>
                  </pic:blipFill>
                  <pic:spPr>
                    <a:xfrm>
                      <a:off x="0" y="0"/>
                      <a:ext cx="5057775" cy="2865755"/>
                    </a:xfrm>
                    <a:prstGeom prst="rect">
                      <a:avLst/>
                    </a:prstGeom>
                    <a:noFill/>
                    <a:ln>
                      <a:noFill/>
                    </a:ln>
                  </pic:spPr>
                </pic:pic>
              </a:graphicData>
            </a:graphic>
          </wp:inline>
        </w:drawing>
      </w:r>
    </w:p>
    <w:p w14:paraId="31E9E59B">
      <w:pPr>
        <w:ind w:left="660" w:leftChars="300"/>
        <w:rPr>
          <w:rFonts w:ascii="Times New Roman" w:hAnsi="Times New Roman"/>
          <w:sz w:val="24"/>
          <w:szCs w:val="24"/>
        </w:rPr>
      </w:pPr>
      <w:r>
        <w:rPr>
          <w:rFonts w:ascii="Times New Roman" w:hAnsi="Times New Roman"/>
          <w:sz w:val="24"/>
          <w:szCs w:val="24"/>
        </w:rPr>
        <w:t xml:space="preserve">  </w:t>
      </w:r>
    </w:p>
    <w:p w14:paraId="647DF17E">
      <w:pPr>
        <w:ind w:right="-213" w:rightChars="-97"/>
        <w:jc w:val="both"/>
        <w:rPr>
          <w:rFonts w:ascii="Times New Roman" w:hAnsi="Times New Roman"/>
          <w:sz w:val="21"/>
          <w:szCs w:val="21"/>
        </w:rPr>
      </w:pPr>
      <w:r>
        <w:rPr>
          <w:rFonts w:ascii="Times New Roman" w:hAnsi="Times New Roman"/>
          <w:b/>
          <w:sz w:val="21"/>
          <w:szCs w:val="21"/>
        </w:rPr>
        <w:t>Figure 3</w:t>
      </w:r>
      <w:r>
        <w:rPr>
          <w:rFonts w:ascii="Times New Roman" w:hAnsi="Times New Roman"/>
          <w:sz w:val="21"/>
          <w:szCs w:val="21"/>
        </w:rPr>
        <w:t>: Photomicrograph of the transverse sections of hearts of female rats treated with distilled water (</w:t>
      </w:r>
      <w:r>
        <w:rPr>
          <w:rFonts w:ascii="Times New Roman" w:hAnsi="Times New Roman"/>
          <w:b/>
          <w:sz w:val="21"/>
          <w:szCs w:val="21"/>
        </w:rPr>
        <w:t>G1</w:t>
      </w:r>
      <w:r>
        <w:rPr>
          <w:rFonts w:ascii="Times New Roman" w:hAnsi="Times New Roman"/>
          <w:sz w:val="21"/>
          <w:szCs w:val="21"/>
        </w:rPr>
        <w:t xml:space="preserve">), husk extract of </w:t>
      </w:r>
      <w:r>
        <w:rPr>
          <w:rFonts w:ascii="Times New Roman" w:hAnsi="Times New Roman"/>
          <w:i/>
          <w:sz w:val="21"/>
          <w:szCs w:val="21"/>
        </w:rPr>
        <w:t>Zea mays</w:t>
      </w:r>
      <w:r>
        <w:rPr>
          <w:rFonts w:ascii="Times New Roman" w:hAnsi="Times New Roman"/>
          <w:sz w:val="21"/>
          <w:szCs w:val="21"/>
        </w:rPr>
        <w:t xml:space="preserve"> at 187 mg/kg (</w:t>
      </w:r>
      <w:r>
        <w:rPr>
          <w:rFonts w:ascii="Times New Roman" w:hAnsi="Times New Roman"/>
          <w:b/>
          <w:sz w:val="21"/>
          <w:szCs w:val="21"/>
        </w:rPr>
        <w:t>G2</w:t>
      </w:r>
      <w:r>
        <w:rPr>
          <w:rFonts w:ascii="Times New Roman" w:hAnsi="Times New Roman"/>
          <w:sz w:val="21"/>
          <w:szCs w:val="21"/>
        </w:rPr>
        <w:t>), 374 mg/kg (</w:t>
      </w:r>
      <w:r>
        <w:rPr>
          <w:rFonts w:ascii="Times New Roman" w:hAnsi="Times New Roman"/>
          <w:b/>
          <w:sz w:val="21"/>
          <w:szCs w:val="21"/>
        </w:rPr>
        <w:t>G3</w:t>
      </w:r>
      <w:r>
        <w:rPr>
          <w:rFonts w:ascii="Times New Roman" w:hAnsi="Times New Roman"/>
          <w:sz w:val="21"/>
          <w:szCs w:val="21"/>
        </w:rPr>
        <w:t>) and 561 mg/kg (</w:t>
      </w:r>
      <w:r>
        <w:rPr>
          <w:rFonts w:ascii="Times New Roman" w:hAnsi="Times New Roman"/>
          <w:b/>
          <w:sz w:val="21"/>
          <w:szCs w:val="21"/>
        </w:rPr>
        <w:t>G4</w:t>
      </w:r>
      <w:r>
        <w:rPr>
          <w:rFonts w:ascii="Times New Roman" w:hAnsi="Times New Roman"/>
          <w:sz w:val="21"/>
          <w:szCs w:val="21"/>
        </w:rPr>
        <w:t>) liver tissue showingsarcoplasm (S), wide spread interstitial fibrocytes and fibroblast nuclei (Fn), well stained myocyte central nuclei (Mn), perinuclear sarcoplasm (Ps), interstitial endomysium (E),wide spread interstitial fibrocytes and fibroblast nuclei (F), vacoulatory myocyte nuclei (arrow), area of inflammatory infiltrates (Inf) and degenerating myocyte nuclei (D) within the cardiac tissue.</w:t>
      </w:r>
    </w:p>
    <w:p w14:paraId="68DE534A">
      <w:pPr>
        <w:ind w:right="-213" w:rightChars="-97"/>
        <w:jc w:val="center"/>
        <w:rPr>
          <w:rFonts w:ascii="Times New Roman" w:hAnsi="Times New Roman"/>
          <w:b/>
          <w:sz w:val="24"/>
          <w:szCs w:val="24"/>
        </w:rPr>
      </w:pPr>
      <w:r>
        <w:drawing>
          <wp:inline distT="0" distB="0" distL="0" distR="0">
            <wp:extent cx="4800600" cy="2780030"/>
            <wp:effectExtent l="0" t="0" r="0" b="0"/>
            <wp:docPr id="4" name="Picture 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5">
                      <a:extLst>
                        <a:ext uri="{28A0092B-C50C-407E-A947-70E740481C1C}">
                          <a14:useLocalDpi xmlns:a14="http://schemas.microsoft.com/office/drawing/2010/main" val="0"/>
                        </a:ext>
                      </a:extLst>
                    </a:blip>
                    <a:srcRect/>
                    <a:stretch>
                      <a:fillRect/>
                    </a:stretch>
                  </pic:blipFill>
                  <pic:spPr>
                    <a:xfrm>
                      <a:off x="0" y="0"/>
                      <a:ext cx="4800600" cy="2780030"/>
                    </a:xfrm>
                    <a:prstGeom prst="rect">
                      <a:avLst/>
                    </a:prstGeom>
                    <a:noFill/>
                    <a:ln>
                      <a:noFill/>
                    </a:ln>
                  </pic:spPr>
                </pic:pic>
              </a:graphicData>
            </a:graphic>
          </wp:inline>
        </w:drawing>
      </w:r>
    </w:p>
    <w:p w14:paraId="50BD29F0">
      <w:pPr>
        <w:ind w:right="-213" w:rightChars="-97"/>
        <w:jc w:val="both"/>
        <w:rPr>
          <w:rFonts w:ascii="Times New Roman" w:hAnsi="Times New Roman"/>
          <w:b/>
          <w:sz w:val="24"/>
          <w:szCs w:val="24"/>
        </w:rPr>
      </w:pPr>
    </w:p>
    <w:p w14:paraId="4A51666B">
      <w:pPr>
        <w:ind w:right="-213" w:rightChars="-97"/>
        <w:jc w:val="both"/>
        <w:rPr>
          <w:rFonts w:ascii="Times New Roman" w:hAnsi="Times New Roman"/>
          <w:sz w:val="24"/>
          <w:szCs w:val="24"/>
        </w:rPr>
      </w:pPr>
      <w:r>
        <w:rPr>
          <w:rFonts w:ascii="Times New Roman" w:hAnsi="Times New Roman"/>
          <w:b/>
          <w:sz w:val="24"/>
          <w:szCs w:val="24"/>
        </w:rPr>
        <w:t>Figure 4</w:t>
      </w:r>
      <w:r>
        <w:rPr>
          <w:rFonts w:ascii="Times New Roman" w:hAnsi="Times New Roman"/>
          <w:sz w:val="24"/>
          <w:szCs w:val="24"/>
        </w:rPr>
        <w:t>: Photomicrograph of the transverse sections of kidneys of female rats treated with distilled water (</w:t>
      </w:r>
      <w:r>
        <w:rPr>
          <w:rFonts w:ascii="Times New Roman" w:hAnsi="Times New Roman"/>
          <w:b/>
          <w:sz w:val="24"/>
          <w:szCs w:val="24"/>
        </w:rPr>
        <w:t>G1</w:t>
      </w:r>
      <w:r>
        <w:rPr>
          <w:rFonts w:ascii="Times New Roman" w:hAnsi="Times New Roman"/>
          <w:sz w:val="24"/>
          <w:szCs w:val="24"/>
        </w:rPr>
        <w:t xml:space="preserve">), husk extract of </w:t>
      </w:r>
      <w:r>
        <w:rPr>
          <w:rFonts w:ascii="Times New Roman" w:hAnsi="Times New Roman"/>
          <w:i/>
          <w:sz w:val="24"/>
          <w:szCs w:val="24"/>
        </w:rPr>
        <w:t>Zea mays</w:t>
      </w:r>
      <w:r>
        <w:rPr>
          <w:rFonts w:ascii="Times New Roman" w:hAnsi="Times New Roman"/>
          <w:sz w:val="24"/>
          <w:szCs w:val="24"/>
        </w:rPr>
        <w:t xml:space="preserve"> at 187 mg/kg (</w:t>
      </w:r>
      <w:r>
        <w:rPr>
          <w:rFonts w:ascii="Times New Roman" w:hAnsi="Times New Roman"/>
          <w:b/>
          <w:sz w:val="24"/>
          <w:szCs w:val="24"/>
        </w:rPr>
        <w:t>G2</w:t>
      </w:r>
      <w:r>
        <w:rPr>
          <w:rFonts w:ascii="Times New Roman" w:hAnsi="Times New Roman"/>
          <w:sz w:val="24"/>
          <w:szCs w:val="24"/>
        </w:rPr>
        <w:t>), 374 mg/kg (</w:t>
      </w:r>
      <w:r>
        <w:rPr>
          <w:rFonts w:ascii="Times New Roman" w:hAnsi="Times New Roman"/>
          <w:b/>
          <w:sz w:val="24"/>
          <w:szCs w:val="24"/>
        </w:rPr>
        <w:t>G3</w:t>
      </w:r>
      <w:r>
        <w:rPr>
          <w:rFonts w:ascii="Times New Roman" w:hAnsi="Times New Roman"/>
          <w:sz w:val="24"/>
          <w:szCs w:val="24"/>
        </w:rPr>
        <w:t>) and 561 mg/kg (</w:t>
      </w:r>
      <w:r>
        <w:rPr>
          <w:rFonts w:ascii="Times New Roman" w:hAnsi="Times New Roman"/>
          <w:b/>
          <w:sz w:val="24"/>
          <w:szCs w:val="24"/>
        </w:rPr>
        <w:t>G4</w:t>
      </w:r>
      <w:r>
        <w:rPr>
          <w:rFonts w:ascii="Times New Roman" w:hAnsi="Times New Roman"/>
          <w:sz w:val="24"/>
          <w:szCs w:val="24"/>
        </w:rPr>
        <w:t>) liver tissue showing glomeruli (G),Bowman’s space (Bs), proximal convulated tubules (Pt), distal convulated tubules (Dt) and infilterating interstitial connective tissues (Ic), widened bowman’s space (Wb),  and widening bowman’s space (Wb), (x 100).</w:t>
      </w:r>
    </w:p>
    <w:p w14:paraId="4835477E">
      <w:pPr>
        <w:ind w:left="660" w:leftChars="300" w:right="-214"/>
        <w:jc w:val="both"/>
        <w:rPr>
          <w:rFonts w:ascii="Times New Roman" w:hAnsi="Times New Roman"/>
          <w:sz w:val="24"/>
          <w:szCs w:val="24"/>
        </w:rPr>
      </w:pPr>
    </w:p>
    <w:p w14:paraId="3A6E4E75">
      <w:pPr>
        <w:ind w:right="-213" w:rightChars="-97"/>
        <w:jc w:val="both"/>
        <w:rPr>
          <w:rFonts w:ascii="Times New Roman" w:hAnsi="Times New Roman"/>
          <w:sz w:val="24"/>
          <w:szCs w:val="24"/>
        </w:rPr>
      </w:pPr>
      <w:r>
        <w:drawing>
          <wp:inline distT="0" distB="0" distL="0" distR="0">
            <wp:extent cx="5943600" cy="3686175"/>
            <wp:effectExtent l="0" t="0" r="0" b="0"/>
            <wp:docPr id="5" name="Picture 1"/>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3600" cy="3686175"/>
                    </a:xfrm>
                    <a:prstGeom prst="rect">
                      <a:avLst/>
                    </a:prstGeom>
                    <a:noFill/>
                    <a:ln>
                      <a:noFill/>
                    </a:ln>
                  </pic:spPr>
                </pic:pic>
              </a:graphicData>
            </a:graphic>
          </wp:inline>
        </w:drawing>
      </w:r>
    </w:p>
    <w:p w14:paraId="6BF0FF92">
      <w:pPr>
        <w:ind w:right="-213" w:rightChars="-97"/>
        <w:jc w:val="both"/>
        <w:rPr>
          <w:rFonts w:ascii="Times New Roman" w:hAnsi="Times New Roman"/>
          <w:sz w:val="24"/>
          <w:szCs w:val="24"/>
        </w:rPr>
      </w:pPr>
    </w:p>
    <w:p w14:paraId="715EFB81">
      <w:pPr>
        <w:ind w:right="-213" w:rightChars="-97"/>
        <w:jc w:val="both"/>
        <w:rPr>
          <w:rFonts w:ascii="Times New Roman" w:hAnsi="Times New Roman"/>
          <w:sz w:val="21"/>
          <w:szCs w:val="21"/>
        </w:rPr>
      </w:pPr>
      <w:r>
        <w:rPr>
          <w:rFonts w:ascii="Times New Roman" w:hAnsi="Times New Roman"/>
          <w:b/>
          <w:sz w:val="21"/>
          <w:szCs w:val="21"/>
        </w:rPr>
        <w:t>Figure 5</w:t>
      </w:r>
      <w:r>
        <w:rPr>
          <w:rFonts w:ascii="Times New Roman" w:hAnsi="Times New Roman"/>
          <w:sz w:val="21"/>
          <w:szCs w:val="21"/>
        </w:rPr>
        <w:t>: Photomicrograph of the transverse sections of livers of female rats treated with distilled water (</w:t>
      </w:r>
      <w:r>
        <w:rPr>
          <w:rFonts w:ascii="Times New Roman" w:hAnsi="Times New Roman"/>
          <w:b/>
          <w:sz w:val="21"/>
          <w:szCs w:val="21"/>
        </w:rPr>
        <w:t>G1</w:t>
      </w:r>
      <w:r>
        <w:rPr>
          <w:rFonts w:ascii="Times New Roman" w:hAnsi="Times New Roman"/>
          <w:sz w:val="21"/>
          <w:szCs w:val="21"/>
        </w:rPr>
        <w:t xml:space="preserve">), husk extract of </w:t>
      </w:r>
      <w:r>
        <w:rPr>
          <w:rFonts w:ascii="Times New Roman" w:hAnsi="Times New Roman"/>
          <w:i/>
          <w:sz w:val="21"/>
          <w:szCs w:val="21"/>
        </w:rPr>
        <w:t xml:space="preserve">Zea mays </w:t>
      </w:r>
      <w:r>
        <w:rPr>
          <w:rFonts w:ascii="Times New Roman" w:hAnsi="Times New Roman"/>
          <w:sz w:val="21"/>
          <w:szCs w:val="21"/>
        </w:rPr>
        <w:t>at 187 mg/kg (</w:t>
      </w:r>
      <w:r>
        <w:rPr>
          <w:rFonts w:ascii="Times New Roman" w:hAnsi="Times New Roman"/>
          <w:b/>
          <w:sz w:val="21"/>
          <w:szCs w:val="21"/>
        </w:rPr>
        <w:t>G2</w:t>
      </w:r>
      <w:r>
        <w:rPr>
          <w:rFonts w:ascii="Times New Roman" w:hAnsi="Times New Roman"/>
          <w:sz w:val="21"/>
          <w:szCs w:val="21"/>
        </w:rPr>
        <w:t>), 374 mg/kg (</w:t>
      </w:r>
      <w:r>
        <w:rPr>
          <w:rFonts w:ascii="Times New Roman" w:hAnsi="Times New Roman"/>
          <w:b/>
          <w:sz w:val="21"/>
          <w:szCs w:val="21"/>
        </w:rPr>
        <w:t>G3</w:t>
      </w:r>
      <w:r>
        <w:rPr>
          <w:rFonts w:ascii="Times New Roman" w:hAnsi="Times New Roman"/>
          <w:sz w:val="21"/>
          <w:szCs w:val="21"/>
        </w:rPr>
        <w:t>) and 561 mg/kg (</w:t>
      </w:r>
      <w:r>
        <w:rPr>
          <w:rFonts w:ascii="Times New Roman" w:hAnsi="Times New Roman"/>
          <w:b/>
          <w:sz w:val="21"/>
          <w:szCs w:val="21"/>
        </w:rPr>
        <w:t>G4</w:t>
      </w:r>
      <w:r>
        <w:rPr>
          <w:rFonts w:ascii="Times New Roman" w:hAnsi="Times New Roman"/>
          <w:sz w:val="21"/>
          <w:szCs w:val="21"/>
        </w:rPr>
        <w:t>) liver tissue showing portal vein (Pv), bile duct (Bd) and hepatic artery (Ha) within the connective tissue (Ct) of the portal area, well populated hepatocytes (Hp), kupffer cells (Kc) and arrays of sinusoidal spaces (Sn) ,areas of vacoulatory hepatocytes (arrow), Interstitial connective tissue (Ic) (x 100).</w:t>
      </w:r>
    </w:p>
    <w:p w14:paraId="7DBD1FF9">
      <w:pPr>
        <w:ind w:left="660" w:leftChars="300" w:right="-214"/>
        <w:jc w:val="both"/>
        <w:rPr>
          <w:rFonts w:ascii="Times New Roman" w:hAnsi="Times New Roman"/>
          <w:sz w:val="24"/>
          <w:szCs w:val="24"/>
        </w:rPr>
      </w:pPr>
    </w:p>
    <w:p w14:paraId="58B52012">
      <w:pPr>
        <w:ind w:right="-213" w:rightChars="-97"/>
        <w:jc w:val="both"/>
        <w:rPr>
          <w:rFonts w:ascii="Times New Roman" w:hAnsi="Times New Roman"/>
          <w:sz w:val="24"/>
          <w:szCs w:val="24"/>
        </w:rPr>
      </w:pPr>
    </w:p>
    <w:p w14:paraId="5B32A7CF">
      <w:pPr>
        <w:ind w:right="-213" w:rightChars="-97"/>
        <w:jc w:val="both"/>
        <w:rPr>
          <w:rFonts w:ascii="Times New Roman" w:hAnsi="Times New Roman"/>
          <w:sz w:val="24"/>
          <w:szCs w:val="24"/>
        </w:rPr>
      </w:pPr>
      <w:r>
        <w:drawing>
          <wp:inline distT="0" distB="0" distL="0" distR="0">
            <wp:extent cx="5943600" cy="3718560"/>
            <wp:effectExtent l="0" t="0" r="0" b="0"/>
            <wp:docPr id="6" name="Picture 1"/>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3600" cy="3718560"/>
                    </a:xfrm>
                    <a:prstGeom prst="rect">
                      <a:avLst/>
                    </a:prstGeom>
                    <a:noFill/>
                    <a:ln>
                      <a:noFill/>
                    </a:ln>
                  </pic:spPr>
                </pic:pic>
              </a:graphicData>
            </a:graphic>
          </wp:inline>
        </w:drawing>
      </w:r>
    </w:p>
    <w:p w14:paraId="71AEA89C">
      <w:pPr>
        <w:ind w:right="-213" w:rightChars="-97"/>
        <w:jc w:val="both"/>
        <w:rPr>
          <w:rFonts w:ascii="Times New Roman" w:hAnsi="Times New Roman"/>
          <w:sz w:val="24"/>
          <w:szCs w:val="24"/>
        </w:rPr>
      </w:pPr>
    </w:p>
    <w:p w14:paraId="7D6DC9A3">
      <w:pPr>
        <w:ind w:right="-213" w:rightChars="-97"/>
        <w:jc w:val="both"/>
        <w:rPr>
          <w:rFonts w:ascii="Times New Roman" w:hAnsi="Times New Roman"/>
          <w:sz w:val="21"/>
          <w:szCs w:val="21"/>
        </w:rPr>
      </w:pPr>
      <w:r>
        <w:rPr>
          <w:rFonts w:ascii="Times New Roman" w:hAnsi="Times New Roman"/>
          <w:b/>
          <w:sz w:val="21"/>
          <w:szCs w:val="21"/>
        </w:rPr>
        <w:t>Figure 6</w:t>
      </w:r>
      <w:r>
        <w:rPr>
          <w:rFonts w:ascii="Times New Roman" w:hAnsi="Times New Roman"/>
          <w:sz w:val="21"/>
          <w:szCs w:val="21"/>
        </w:rPr>
        <w:t>: Photomicrograph of the transverse sections of ovaries of female  rats treated with distilled water (</w:t>
      </w:r>
      <w:r>
        <w:rPr>
          <w:rFonts w:ascii="Times New Roman" w:hAnsi="Times New Roman"/>
          <w:b/>
          <w:sz w:val="21"/>
          <w:szCs w:val="21"/>
        </w:rPr>
        <w:t>G1</w:t>
      </w:r>
      <w:r>
        <w:rPr>
          <w:rFonts w:ascii="Times New Roman" w:hAnsi="Times New Roman"/>
          <w:sz w:val="21"/>
          <w:szCs w:val="21"/>
        </w:rPr>
        <w:t xml:space="preserve">), husk extract of </w:t>
      </w:r>
      <w:r>
        <w:rPr>
          <w:rFonts w:ascii="Times New Roman" w:hAnsi="Times New Roman"/>
          <w:i/>
          <w:sz w:val="21"/>
          <w:szCs w:val="21"/>
        </w:rPr>
        <w:t>Z. mays</w:t>
      </w:r>
      <w:r>
        <w:rPr>
          <w:rFonts w:ascii="Times New Roman" w:hAnsi="Times New Roman"/>
          <w:sz w:val="21"/>
          <w:szCs w:val="21"/>
        </w:rPr>
        <w:t xml:space="preserve"> at 187 mg/kg (</w:t>
      </w:r>
      <w:r>
        <w:rPr>
          <w:rFonts w:ascii="Times New Roman" w:hAnsi="Times New Roman"/>
          <w:b/>
          <w:sz w:val="21"/>
          <w:szCs w:val="21"/>
        </w:rPr>
        <w:t>G2</w:t>
      </w:r>
      <w:r>
        <w:rPr>
          <w:rFonts w:ascii="Times New Roman" w:hAnsi="Times New Roman"/>
          <w:sz w:val="21"/>
          <w:szCs w:val="21"/>
        </w:rPr>
        <w:t>), 374 mg/kg (</w:t>
      </w:r>
      <w:r>
        <w:rPr>
          <w:rFonts w:ascii="Times New Roman" w:hAnsi="Times New Roman"/>
          <w:b/>
          <w:sz w:val="21"/>
          <w:szCs w:val="21"/>
        </w:rPr>
        <w:t>G3</w:t>
      </w:r>
      <w:r>
        <w:rPr>
          <w:rFonts w:ascii="Times New Roman" w:hAnsi="Times New Roman"/>
          <w:sz w:val="21"/>
          <w:szCs w:val="21"/>
        </w:rPr>
        <w:t>) and 561 mg/kg (</w:t>
      </w:r>
      <w:r>
        <w:rPr>
          <w:rFonts w:ascii="Times New Roman" w:hAnsi="Times New Roman"/>
          <w:b/>
          <w:sz w:val="21"/>
          <w:szCs w:val="21"/>
        </w:rPr>
        <w:t>G4</w:t>
      </w:r>
      <w:r>
        <w:rPr>
          <w:rFonts w:ascii="Times New Roman" w:hAnsi="Times New Roman"/>
          <w:sz w:val="21"/>
          <w:szCs w:val="21"/>
        </w:rPr>
        <w:t>) liver tissue showing different levels of developing follicles, primary follicle (Pf), secondary follicle (Sf), graffian follicle (Gf), blood vessels (Bv), and perivascular connective tissue (Pt) within the Ovarian Stroma (Os) and the ovarian epithelial lining (OE) follicular artrophy (A), and vascular hemorrhage (H),(x 100).</w:t>
      </w:r>
    </w:p>
    <w:p w14:paraId="53961A7B">
      <w:pPr>
        <w:ind w:right="-213" w:rightChars="-97"/>
        <w:jc w:val="both"/>
        <w:rPr>
          <w:rFonts w:ascii="Times New Roman" w:hAnsi="Times New Roman"/>
          <w:sz w:val="24"/>
          <w:szCs w:val="24"/>
        </w:rPr>
      </w:pPr>
      <w:r>
        <w:drawing>
          <wp:inline distT="0" distB="0" distL="0" distR="0">
            <wp:extent cx="5943600" cy="3632835"/>
            <wp:effectExtent l="0" t="0" r="0" b="0"/>
            <wp:docPr id="7" name="Picture 1"/>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3600" cy="3632835"/>
                    </a:xfrm>
                    <a:prstGeom prst="rect">
                      <a:avLst/>
                    </a:prstGeom>
                    <a:noFill/>
                    <a:ln>
                      <a:noFill/>
                    </a:ln>
                  </pic:spPr>
                </pic:pic>
              </a:graphicData>
            </a:graphic>
          </wp:inline>
        </w:drawing>
      </w:r>
    </w:p>
    <w:p w14:paraId="7B507999">
      <w:pPr>
        <w:ind w:right="-213" w:rightChars="-97"/>
        <w:jc w:val="both"/>
        <w:rPr>
          <w:rFonts w:ascii="Times New Roman" w:hAnsi="Times New Roman"/>
          <w:sz w:val="24"/>
          <w:szCs w:val="24"/>
        </w:rPr>
      </w:pPr>
    </w:p>
    <w:p w14:paraId="184A8C4C">
      <w:pPr>
        <w:ind w:right="-213" w:rightChars="-97"/>
        <w:jc w:val="both"/>
        <w:rPr>
          <w:rFonts w:ascii="Times New Roman" w:hAnsi="Times New Roman"/>
          <w:sz w:val="24"/>
          <w:szCs w:val="24"/>
        </w:rPr>
      </w:pPr>
    </w:p>
    <w:p w14:paraId="53A612B3">
      <w:pPr>
        <w:ind w:right="-213" w:rightChars="-97"/>
        <w:jc w:val="both"/>
        <w:rPr>
          <w:rFonts w:ascii="Times New Roman" w:hAnsi="Times New Roman"/>
          <w:sz w:val="24"/>
          <w:szCs w:val="24"/>
        </w:rPr>
      </w:pPr>
    </w:p>
    <w:p w14:paraId="62CE50D1">
      <w:pPr>
        <w:ind w:right="-213" w:rightChars="-97"/>
        <w:jc w:val="both"/>
        <w:rPr>
          <w:rFonts w:ascii="Times New Roman" w:hAnsi="Times New Roman"/>
          <w:sz w:val="24"/>
          <w:szCs w:val="24"/>
        </w:rPr>
      </w:pPr>
      <w:r>
        <w:rPr>
          <w:rFonts w:ascii="Times New Roman" w:hAnsi="Times New Roman"/>
          <w:b/>
          <w:sz w:val="24"/>
          <w:szCs w:val="24"/>
        </w:rPr>
        <w:t>Figure 7</w:t>
      </w:r>
      <w:r>
        <w:rPr>
          <w:rFonts w:ascii="Times New Roman" w:hAnsi="Times New Roman"/>
          <w:sz w:val="24"/>
          <w:szCs w:val="24"/>
        </w:rPr>
        <w:t>: Photomicrograph of the transverse sections of spleens of  female rats treated with distilled water (</w:t>
      </w:r>
      <w:r>
        <w:rPr>
          <w:rFonts w:ascii="Times New Roman" w:hAnsi="Times New Roman"/>
          <w:b/>
          <w:sz w:val="24"/>
          <w:szCs w:val="24"/>
        </w:rPr>
        <w:t>G1</w:t>
      </w:r>
      <w:r>
        <w:rPr>
          <w:rFonts w:ascii="Times New Roman" w:hAnsi="Times New Roman"/>
          <w:sz w:val="24"/>
          <w:szCs w:val="24"/>
        </w:rPr>
        <w:t xml:space="preserve">), husk extract of </w:t>
      </w:r>
      <w:r>
        <w:rPr>
          <w:rFonts w:ascii="Times New Roman" w:hAnsi="Times New Roman"/>
          <w:i/>
          <w:sz w:val="24"/>
          <w:szCs w:val="24"/>
        </w:rPr>
        <w:t>Zea mays</w:t>
      </w:r>
      <w:r>
        <w:rPr>
          <w:rFonts w:ascii="Times New Roman" w:hAnsi="Times New Roman"/>
          <w:sz w:val="24"/>
          <w:szCs w:val="24"/>
        </w:rPr>
        <w:t xml:space="preserve"> at 187 mg/kg (</w:t>
      </w:r>
      <w:r>
        <w:rPr>
          <w:rFonts w:ascii="Times New Roman" w:hAnsi="Times New Roman"/>
          <w:b/>
          <w:sz w:val="24"/>
          <w:szCs w:val="24"/>
        </w:rPr>
        <w:t>G2</w:t>
      </w:r>
      <w:r>
        <w:rPr>
          <w:rFonts w:ascii="Times New Roman" w:hAnsi="Times New Roman"/>
          <w:sz w:val="24"/>
          <w:szCs w:val="24"/>
        </w:rPr>
        <w:t>), 374 mg/kg (</w:t>
      </w:r>
      <w:r>
        <w:rPr>
          <w:rFonts w:ascii="Times New Roman" w:hAnsi="Times New Roman"/>
          <w:b/>
          <w:sz w:val="24"/>
          <w:szCs w:val="24"/>
        </w:rPr>
        <w:t>G3</w:t>
      </w:r>
      <w:r>
        <w:rPr>
          <w:rFonts w:ascii="Times New Roman" w:hAnsi="Times New Roman"/>
          <w:sz w:val="24"/>
          <w:szCs w:val="24"/>
        </w:rPr>
        <w:t>) and 561 mg/kg (</w:t>
      </w:r>
      <w:r>
        <w:rPr>
          <w:rFonts w:ascii="Times New Roman" w:hAnsi="Times New Roman"/>
          <w:b/>
          <w:sz w:val="24"/>
          <w:szCs w:val="24"/>
        </w:rPr>
        <w:t>G4</w:t>
      </w:r>
      <w:r>
        <w:rPr>
          <w:rFonts w:ascii="Times New Roman" w:hAnsi="Times New Roman"/>
          <w:sz w:val="24"/>
          <w:szCs w:val="24"/>
        </w:rPr>
        <w:t>) liver tissue showingwhite pulp (WP), germinal center (Gc), central artery (C), central vein (Cv),ramified trabecula (T), mantle layer (Mn),  marginal zone (Mz), the red pulp (RP), red blood cells (Rc) and tubercular tissue (Tb), degenerative immunal cells (black arrow) and the central vein (Cv).</w:t>
      </w:r>
    </w:p>
    <w:p w14:paraId="33E2554D">
      <w:pPr>
        <w:ind w:left="660" w:leftChars="300"/>
        <w:rPr>
          <w:rFonts w:ascii="Times New Roman" w:hAnsi="Times New Roman"/>
          <w:sz w:val="24"/>
          <w:szCs w:val="24"/>
        </w:rPr>
      </w:pPr>
    </w:p>
    <w:p w14:paraId="1463B130">
      <w:pPr>
        <w:numPr>
          <w:ilvl w:val="0"/>
          <w:numId w:val="1"/>
        </w:numPr>
        <w:rPr>
          <w:rFonts w:ascii="Times New Roman" w:hAnsi="Times New Roman"/>
          <w:b/>
          <w:sz w:val="24"/>
          <w:szCs w:val="24"/>
        </w:rPr>
      </w:pPr>
      <w:r>
        <w:rPr>
          <w:rFonts w:ascii="Times New Roman" w:hAnsi="Times New Roman"/>
          <w:b/>
          <w:sz w:val="24"/>
          <w:szCs w:val="24"/>
        </w:rPr>
        <w:t>DISCUSSION</w:t>
      </w:r>
    </w:p>
    <w:p w14:paraId="421CC7B7">
      <w:pPr>
        <w:autoSpaceDE w:val="0"/>
        <w:autoSpaceDN w:val="0"/>
        <w:adjustRightInd w:val="0"/>
        <w:spacing w:after="0" w:line="480" w:lineRule="auto"/>
        <w:jc w:val="both"/>
        <w:rPr>
          <w:rFonts w:ascii="Times New Roman" w:hAnsi="Times New Roman"/>
          <w:bCs/>
          <w:sz w:val="24"/>
          <w:szCs w:val="24"/>
        </w:rPr>
      </w:pPr>
    </w:p>
    <w:p w14:paraId="0E1C82F0">
      <w:pPr>
        <w:autoSpaceDE w:val="0"/>
        <w:autoSpaceDN w:val="0"/>
        <w:adjustRightInd w:val="0"/>
        <w:spacing w:after="0" w:line="480" w:lineRule="auto"/>
        <w:ind w:firstLine="720" w:firstLineChars="300"/>
        <w:jc w:val="both"/>
        <w:rPr>
          <w:rFonts w:ascii="Times New Roman" w:hAnsi="Times New Roman" w:eastAsia="Calibri"/>
          <w:sz w:val="24"/>
          <w:szCs w:val="24"/>
          <w:highlight w:val="yellow"/>
        </w:rPr>
      </w:pPr>
      <w:bookmarkStart w:id="0" w:name="_GoBack"/>
      <w:r>
        <w:rPr>
          <w:rFonts w:ascii="Times New Roman" w:hAnsi="Times New Roman"/>
          <w:sz w:val="24"/>
          <w:szCs w:val="24"/>
          <w:highlight w:val="yellow"/>
        </w:rPr>
        <w:t xml:space="preserve">In this study, chronic administration of the husk extract caused significant </w:t>
      </w:r>
      <w:r>
        <w:rPr>
          <w:rFonts w:hint="default" w:ascii="Times New Roman" w:hAnsi="Times New Roman"/>
          <w:sz w:val="24"/>
          <w:szCs w:val="24"/>
          <w:highlight w:val="yellow"/>
          <w:lang w:val="en-GB"/>
        </w:rPr>
        <w:t>improvement</w:t>
      </w:r>
      <w:r>
        <w:rPr>
          <w:rFonts w:ascii="Times New Roman" w:hAnsi="Times New Roman"/>
          <w:sz w:val="24"/>
          <w:szCs w:val="24"/>
          <w:highlight w:val="yellow"/>
        </w:rPr>
        <w:t xml:space="preserve">s in the body weights of  female rats </w:t>
      </w:r>
      <w:r>
        <w:rPr>
          <w:rFonts w:hint="default" w:ascii="Times New Roman" w:hAnsi="Times New Roman"/>
          <w:sz w:val="24"/>
          <w:szCs w:val="24"/>
          <w:highlight w:val="yellow"/>
          <w:lang w:val="en-GB"/>
        </w:rPr>
        <w:t>relative</w:t>
      </w:r>
      <w:r>
        <w:rPr>
          <w:rFonts w:ascii="Times New Roman" w:hAnsi="Times New Roman"/>
          <w:sz w:val="24"/>
          <w:szCs w:val="24"/>
          <w:highlight w:val="yellow"/>
        </w:rPr>
        <w:t xml:space="preserve"> to untreated control, as observed in the weight gain by all the treated groups. </w:t>
      </w:r>
      <w:r>
        <w:rPr>
          <w:rFonts w:hint="default" w:ascii="Times New Roman" w:hAnsi="Times New Roman" w:eastAsia="Calibri"/>
          <w:sz w:val="24"/>
          <w:szCs w:val="24"/>
          <w:highlight w:val="yellow"/>
          <w:lang w:val="en-GB"/>
        </w:rPr>
        <w:t>Alteration</w:t>
      </w:r>
      <w:r>
        <w:rPr>
          <w:rFonts w:ascii="Times New Roman" w:hAnsi="Times New Roman" w:eastAsia="Calibri"/>
          <w:sz w:val="24"/>
          <w:szCs w:val="24"/>
          <w:highlight w:val="yellow"/>
        </w:rPr>
        <w:t xml:space="preserve">s in body weights are </w:t>
      </w:r>
      <w:r>
        <w:rPr>
          <w:rFonts w:hint="default" w:ascii="Times New Roman" w:hAnsi="Times New Roman" w:eastAsia="Calibri"/>
          <w:sz w:val="24"/>
          <w:szCs w:val="24"/>
          <w:highlight w:val="yellow"/>
          <w:lang w:val="en-GB"/>
        </w:rPr>
        <w:t xml:space="preserve">considered as serious indicators of </w:t>
      </w:r>
      <w:r>
        <w:rPr>
          <w:rFonts w:ascii="Times New Roman" w:hAnsi="Times New Roman" w:eastAsia="Calibri"/>
          <w:sz w:val="24"/>
          <w:szCs w:val="24"/>
          <w:highlight w:val="yellow"/>
        </w:rPr>
        <w:t xml:space="preserve">adverse effects of drugs and </w:t>
      </w:r>
      <w:r>
        <w:rPr>
          <w:rFonts w:hint="default" w:ascii="Times New Roman" w:hAnsi="Times New Roman" w:eastAsia="Calibri"/>
          <w:sz w:val="24"/>
          <w:szCs w:val="24"/>
          <w:highlight w:val="yellow"/>
          <w:lang w:val="en-GB"/>
        </w:rPr>
        <w:t>significantly reduced</w:t>
      </w:r>
      <w:r>
        <w:rPr>
          <w:rFonts w:ascii="Times New Roman" w:hAnsi="Times New Roman" w:eastAsia="Calibri"/>
          <w:sz w:val="24"/>
          <w:szCs w:val="24"/>
          <w:highlight w:val="yellow"/>
        </w:rPr>
        <w:t xml:space="preserve"> </w:t>
      </w:r>
      <w:r>
        <w:rPr>
          <w:rFonts w:hint="default" w:ascii="Times New Roman" w:hAnsi="Times New Roman" w:eastAsia="Calibri"/>
          <w:sz w:val="24"/>
          <w:szCs w:val="24"/>
          <w:highlight w:val="yellow"/>
          <w:lang w:val="en-GB"/>
        </w:rPr>
        <w:t xml:space="preserve">body weight is regarded as severe consequences </w:t>
      </w:r>
      <w:r>
        <w:rPr>
          <w:rFonts w:ascii="Times New Roman" w:hAnsi="Times New Roman" w:eastAsia="Calibri"/>
          <w:sz w:val="24"/>
          <w:szCs w:val="24"/>
          <w:highlight w:val="yellow"/>
        </w:rPr>
        <w:t>(Tepongning et al., 2018). In th</w:t>
      </w:r>
      <w:r>
        <w:rPr>
          <w:rFonts w:hint="default" w:ascii="Times New Roman" w:hAnsi="Times New Roman" w:eastAsia="Calibri"/>
          <w:sz w:val="24"/>
          <w:szCs w:val="24"/>
          <w:highlight w:val="yellow"/>
          <w:lang w:val="en-GB"/>
        </w:rPr>
        <w:t>e present</w:t>
      </w:r>
      <w:r>
        <w:rPr>
          <w:rFonts w:ascii="Times New Roman" w:hAnsi="Times New Roman" w:eastAsia="Calibri"/>
          <w:sz w:val="24"/>
          <w:szCs w:val="24"/>
          <w:highlight w:val="yellow"/>
        </w:rPr>
        <w:t xml:space="preserve"> study</w:t>
      </w:r>
      <w:r>
        <w:rPr>
          <w:rFonts w:hint="default" w:ascii="Times New Roman" w:hAnsi="Times New Roman" w:eastAsia="Calibri"/>
          <w:sz w:val="24"/>
          <w:szCs w:val="24"/>
          <w:highlight w:val="yellow"/>
          <w:lang w:val="en-GB"/>
        </w:rPr>
        <w:t>, remarkable</w:t>
      </w:r>
      <w:r>
        <w:rPr>
          <w:rFonts w:ascii="Times New Roman" w:hAnsi="Times New Roman" w:eastAsia="Calibri"/>
          <w:sz w:val="24"/>
          <w:szCs w:val="24"/>
          <w:highlight w:val="yellow"/>
        </w:rPr>
        <w:t xml:space="preserve"> increases in body weights of  female rats in all the extract treated groups </w:t>
      </w:r>
      <w:r>
        <w:rPr>
          <w:rFonts w:hint="default" w:ascii="Times New Roman" w:hAnsi="Times New Roman" w:eastAsia="Calibri"/>
          <w:sz w:val="24"/>
          <w:szCs w:val="24"/>
          <w:highlight w:val="yellow"/>
          <w:lang w:val="en-GB"/>
        </w:rPr>
        <w:t>were observed though only</w:t>
      </w:r>
      <w:r>
        <w:rPr>
          <w:rFonts w:ascii="Times New Roman" w:hAnsi="Times New Roman" w:eastAsia="Calibri"/>
          <w:sz w:val="24"/>
          <w:szCs w:val="24"/>
          <w:highlight w:val="yellow"/>
        </w:rPr>
        <w:t xml:space="preserve">  significant (p&lt;0.05-0.01) at the  highest dose (561 mg/kg).  This finding indicates that extract treatment did not interfere with the feeding habit of the rats and probably must have increased appetite of the female rats. Furthermore, the administration of the extract did not exert  adverse effects on the body growth processes of rats. </w:t>
      </w:r>
    </w:p>
    <w:p w14:paraId="6D2B94DB">
      <w:pPr>
        <w:autoSpaceDE w:val="0"/>
        <w:autoSpaceDN w:val="0"/>
        <w:adjustRightInd w:val="0"/>
        <w:spacing w:after="0" w:line="480" w:lineRule="auto"/>
        <w:ind w:firstLine="720" w:firstLineChars="300"/>
        <w:jc w:val="both"/>
        <w:rPr>
          <w:rFonts w:ascii="Times New Roman" w:hAnsi="Times New Roman"/>
          <w:sz w:val="24"/>
          <w:szCs w:val="24"/>
          <w:highlight w:val="yellow"/>
        </w:rPr>
      </w:pPr>
      <w:r>
        <w:rPr>
          <w:rFonts w:ascii="Times New Roman" w:hAnsi="Times New Roman"/>
          <w:sz w:val="24"/>
          <w:szCs w:val="24"/>
          <w:highlight w:val="yellow"/>
        </w:rPr>
        <w:t xml:space="preserve">Treatment of rats with the husk extract (187-561 mg/kg) for 100 days did not cause any effect on the weights of heart, brain, liver, kidney, spleen, pancreas, testes and ovary when compared to control.  </w:t>
      </w:r>
      <w:r>
        <w:rPr>
          <w:rFonts w:hint="default" w:ascii="Times New Roman" w:hAnsi="Times New Roman"/>
          <w:sz w:val="24"/>
          <w:szCs w:val="24"/>
          <w:highlight w:val="yellow"/>
          <w:lang w:val="en-GB"/>
        </w:rPr>
        <w:t>I</w:t>
      </w:r>
      <w:r>
        <w:rPr>
          <w:rFonts w:ascii="Times New Roman" w:hAnsi="Times New Roman"/>
          <w:sz w:val="24"/>
          <w:szCs w:val="24"/>
          <w:highlight w:val="yellow"/>
        </w:rPr>
        <w:t xml:space="preserve">nternal organs weights are </w:t>
      </w:r>
      <w:r>
        <w:rPr>
          <w:rFonts w:hint="default" w:ascii="Times New Roman" w:hAnsi="Times New Roman"/>
          <w:sz w:val="24"/>
          <w:szCs w:val="24"/>
          <w:highlight w:val="yellow"/>
          <w:lang w:val="en-GB"/>
        </w:rPr>
        <w:t xml:space="preserve">used as </w:t>
      </w:r>
      <w:r>
        <w:rPr>
          <w:rFonts w:ascii="Times New Roman" w:hAnsi="Times New Roman"/>
          <w:sz w:val="24"/>
          <w:szCs w:val="24"/>
          <w:highlight w:val="yellow"/>
        </w:rPr>
        <w:t xml:space="preserve">as important </w:t>
      </w:r>
      <w:r>
        <w:rPr>
          <w:rFonts w:hint="default" w:ascii="Times New Roman" w:hAnsi="Times New Roman"/>
          <w:sz w:val="24"/>
          <w:szCs w:val="24"/>
          <w:highlight w:val="yellow"/>
          <w:lang w:val="en-GB"/>
        </w:rPr>
        <w:t xml:space="preserve">parameter to assess </w:t>
      </w:r>
      <w:r>
        <w:rPr>
          <w:rFonts w:ascii="Times New Roman" w:hAnsi="Times New Roman"/>
          <w:sz w:val="24"/>
          <w:szCs w:val="24"/>
          <w:highlight w:val="yellow"/>
        </w:rPr>
        <w:t xml:space="preserve">injury and toxicities (Farah </w:t>
      </w:r>
      <w:r>
        <w:rPr>
          <w:rFonts w:ascii="Times New Roman" w:hAnsi="Times New Roman"/>
          <w:iCs/>
          <w:sz w:val="24"/>
          <w:szCs w:val="24"/>
          <w:highlight w:val="yellow"/>
        </w:rPr>
        <w:t>et al.,</w:t>
      </w:r>
      <w:r>
        <w:rPr>
          <w:rFonts w:ascii="Times New Roman" w:hAnsi="Times New Roman"/>
          <w:sz w:val="24"/>
          <w:szCs w:val="24"/>
          <w:highlight w:val="yellow"/>
        </w:rPr>
        <w:t xml:space="preserve"> 2013). </w:t>
      </w:r>
      <w:r>
        <w:rPr>
          <w:rFonts w:hint="default" w:ascii="Times New Roman" w:hAnsi="Times New Roman"/>
          <w:sz w:val="24"/>
          <w:szCs w:val="24"/>
          <w:highlight w:val="yellow"/>
          <w:lang w:val="en-GB"/>
        </w:rPr>
        <w:t xml:space="preserve">Enlargement </w:t>
      </w:r>
      <w:r>
        <w:rPr>
          <w:rFonts w:ascii="Times New Roman" w:hAnsi="Times New Roman"/>
          <w:sz w:val="24"/>
          <w:szCs w:val="24"/>
          <w:highlight w:val="yellow"/>
        </w:rPr>
        <w:t xml:space="preserve">of organs </w:t>
      </w:r>
      <w:r>
        <w:rPr>
          <w:rFonts w:hint="default" w:ascii="Times New Roman" w:hAnsi="Times New Roman"/>
          <w:sz w:val="24"/>
          <w:szCs w:val="24"/>
          <w:highlight w:val="yellow"/>
          <w:lang w:val="en-GB"/>
        </w:rPr>
        <w:t>portrays</w:t>
      </w:r>
      <w:r>
        <w:rPr>
          <w:rFonts w:ascii="Times New Roman" w:hAnsi="Times New Roman"/>
          <w:sz w:val="24"/>
          <w:szCs w:val="24"/>
          <w:highlight w:val="yellow"/>
        </w:rPr>
        <w:t xml:space="preserve"> toxicity and damaged to</w:t>
      </w:r>
      <w:r>
        <w:rPr>
          <w:rFonts w:hint="default" w:ascii="Times New Roman" w:hAnsi="Times New Roman"/>
          <w:sz w:val="24"/>
          <w:szCs w:val="24"/>
          <w:highlight w:val="yellow"/>
          <w:lang w:val="en-GB"/>
        </w:rPr>
        <w:t xml:space="preserve"> the </w:t>
      </w:r>
      <w:r>
        <w:rPr>
          <w:rFonts w:ascii="Times New Roman" w:hAnsi="Times New Roman"/>
          <w:sz w:val="24"/>
          <w:szCs w:val="24"/>
          <w:highlight w:val="yellow"/>
        </w:rPr>
        <w:t xml:space="preserve"> organ (Ping </w:t>
      </w:r>
      <w:r>
        <w:rPr>
          <w:rFonts w:ascii="Times New Roman" w:hAnsi="Times New Roman"/>
          <w:iCs/>
          <w:sz w:val="24"/>
          <w:szCs w:val="24"/>
          <w:highlight w:val="yellow"/>
        </w:rPr>
        <w:t>et al.,</w:t>
      </w:r>
      <w:r>
        <w:rPr>
          <w:rFonts w:ascii="Times New Roman" w:hAnsi="Times New Roman"/>
          <w:sz w:val="24"/>
          <w:szCs w:val="24"/>
          <w:highlight w:val="yellow"/>
        </w:rPr>
        <w:t xml:space="preserve"> 2013)</w:t>
      </w:r>
      <w:r>
        <w:rPr>
          <w:rFonts w:hint="default" w:ascii="Times New Roman" w:hAnsi="Times New Roman"/>
          <w:sz w:val="24"/>
          <w:szCs w:val="24"/>
          <w:highlight w:val="yellow"/>
          <w:lang w:val="en-GB"/>
        </w:rPr>
        <w:t>, which are consequences of inflammation of these organs, resulting in weight increases, though not observed in the present study</w:t>
      </w:r>
      <w:r>
        <w:rPr>
          <w:rFonts w:ascii="Times New Roman" w:hAnsi="Times New Roman"/>
          <w:sz w:val="24"/>
          <w:szCs w:val="24"/>
          <w:highlight w:val="yellow"/>
        </w:rPr>
        <w:t>.</w:t>
      </w:r>
    </w:p>
    <w:p w14:paraId="6FE6E0AB">
      <w:pPr>
        <w:autoSpaceDE w:val="0"/>
        <w:autoSpaceDN w:val="0"/>
        <w:adjustRightInd w:val="0"/>
        <w:spacing w:after="0" w:line="480" w:lineRule="auto"/>
        <w:ind w:firstLine="720" w:firstLineChars="300"/>
        <w:jc w:val="both"/>
        <w:rPr>
          <w:rFonts w:ascii="Times New Roman" w:hAnsi="Times New Roman" w:eastAsia="Helvetica"/>
          <w:color w:val="FF0000"/>
          <w:sz w:val="24"/>
          <w:szCs w:val="24"/>
          <w:highlight w:val="yellow"/>
        </w:rPr>
      </w:pPr>
      <w:r>
        <w:rPr>
          <w:rFonts w:ascii="Times New Roman" w:hAnsi="Times New Roman" w:eastAsia="Calibri"/>
          <w:color w:val="000000"/>
          <w:sz w:val="24"/>
          <w:szCs w:val="24"/>
          <w:highlight w:val="yellow"/>
        </w:rPr>
        <w:t xml:space="preserve">Assessment of </w:t>
      </w:r>
      <w:r>
        <w:rPr>
          <w:rFonts w:hint="default" w:ascii="Times New Roman" w:hAnsi="Times New Roman" w:eastAsia="Calibri"/>
          <w:color w:val="000000"/>
          <w:sz w:val="24"/>
          <w:szCs w:val="24"/>
          <w:highlight w:val="yellow"/>
          <w:lang w:val="en-GB"/>
        </w:rPr>
        <w:t>blood indices</w:t>
      </w:r>
      <w:r>
        <w:rPr>
          <w:rFonts w:ascii="Times New Roman" w:hAnsi="Times New Roman" w:eastAsia="Calibri"/>
          <w:color w:val="000000"/>
          <w:sz w:val="24"/>
          <w:szCs w:val="24"/>
          <w:highlight w:val="yellow"/>
        </w:rPr>
        <w:t xml:space="preserve"> is commonly used to </w:t>
      </w:r>
      <w:r>
        <w:rPr>
          <w:rFonts w:hint="default" w:ascii="Times New Roman" w:hAnsi="Times New Roman" w:eastAsia="Calibri"/>
          <w:color w:val="000000"/>
          <w:sz w:val="24"/>
          <w:szCs w:val="24"/>
          <w:highlight w:val="yellow"/>
          <w:lang w:val="en-GB"/>
        </w:rPr>
        <w:t>investigate</w:t>
      </w:r>
      <w:r>
        <w:rPr>
          <w:rFonts w:ascii="Times New Roman" w:hAnsi="Times New Roman" w:eastAsia="Calibri"/>
          <w:color w:val="000000"/>
          <w:sz w:val="24"/>
          <w:szCs w:val="24"/>
          <w:highlight w:val="yellow"/>
        </w:rPr>
        <w:t xml:space="preserve"> the </w:t>
      </w:r>
      <w:r>
        <w:rPr>
          <w:rFonts w:hint="default" w:ascii="Times New Roman" w:hAnsi="Times New Roman" w:eastAsia="Calibri"/>
          <w:color w:val="000000"/>
          <w:sz w:val="24"/>
          <w:szCs w:val="24"/>
          <w:highlight w:val="yellow"/>
          <w:lang w:val="en-GB"/>
        </w:rPr>
        <w:t>severity of effect</w:t>
      </w:r>
      <w:r>
        <w:rPr>
          <w:rFonts w:ascii="Times New Roman" w:hAnsi="Times New Roman" w:eastAsia="Calibri"/>
          <w:color w:val="000000"/>
          <w:sz w:val="24"/>
          <w:szCs w:val="24"/>
          <w:highlight w:val="yellow"/>
        </w:rPr>
        <w:t xml:space="preserve"> of foreign compounds including plant extract on the blood (Lawal et al., 2015)</w:t>
      </w:r>
      <w:r>
        <w:rPr>
          <w:rFonts w:hint="default" w:ascii="Times New Roman" w:hAnsi="Times New Roman" w:eastAsia="Calibri"/>
          <w:color w:val="000000"/>
          <w:sz w:val="24"/>
          <w:szCs w:val="24"/>
          <w:highlight w:val="yellow"/>
          <w:lang w:val="en-GB"/>
        </w:rPr>
        <w:t xml:space="preserve"> as well as</w:t>
      </w:r>
      <w:r>
        <w:rPr>
          <w:rFonts w:ascii="Times New Roman" w:hAnsi="Times New Roman" w:eastAsia="Calibri"/>
          <w:color w:val="000000"/>
          <w:sz w:val="24"/>
          <w:szCs w:val="24"/>
          <w:highlight w:val="yellow"/>
        </w:rPr>
        <w:t xml:space="preserve"> to </w:t>
      </w:r>
      <w:r>
        <w:rPr>
          <w:rFonts w:hint="default" w:ascii="Times New Roman" w:hAnsi="Times New Roman" w:eastAsia="Calibri"/>
          <w:color w:val="000000"/>
          <w:sz w:val="24"/>
          <w:szCs w:val="24"/>
          <w:highlight w:val="yellow"/>
          <w:lang w:val="en-GB"/>
        </w:rPr>
        <w:t>correlate</w:t>
      </w:r>
      <w:r>
        <w:rPr>
          <w:rFonts w:ascii="Times New Roman" w:hAnsi="Times New Roman" w:eastAsia="Calibri"/>
          <w:color w:val="000000"/>
          <w:sz w:val="24"/>
          <w:szCs w:val="24"/>
          <w:highlight w:val="yellow"/>
        </w:rPr>
        <w:t xml:space="preserve"> blood-relating functions of a chemical compound</w:t>
      </w:r>
      <w:r>
        <w:rPr>
          <w:rFonts w:hint="default" w:ascii="Times New Roman" w:hAnsi="Times New Roman" w:eastAsia="Calibri"/>
          <w:color w:val="000000"/>
          <w:sz w:val="24"/>
          <w:szCs w:val="24"/>
          <w:highlight w:val="yellow"/>
          <w:lang w:val="en-GB"/>
        </w:rPr>
        <w:t>s</w:t>
      </w:r>
      <w:r>
        <w:rPr>
          <w:rFonts w:ascii="Times New Roman" w:hAnsi="Times New Roman" w:eastAsia="Calibri"/>
          <w:color w:val="000000"/>
          <w:sz w:val="24"/>
          <w:szCs w:val="24"/>
          <w:highlight w:val="yellow"/>
        </w:rPr>
        <w:t xml:space="preserve">  contained in plant extracts (Bashir et al., 2015). </w:t>
      </w:r>
      <w:r>
        <w:rPr>
          <w:rFonts w:ascii="Times New Roman" w:hAnsi="Times New Roman"/>
          <w:color w:val="000000"/>
          <w:sz w:val="24"/>
          <w:szCs w:val="24"/>
          <w:highlight w:val="yellow"/>
        </w:rPr>
        <w:t xml:space="preserve">Chronic administration of husk extract of </w:t>
      </w:r>
      <w:r>
        <w:rPr>
          <w:rFonts w:ascii="Times New Roman" w:hAnsi="Times New Roman"/>
          <w:i/>
          <w:color w:val="000000"/>
          <w:sz w:val="24"/>
          <w:szCs w:val="24"/>
          <w:highlight w:val="yellow"/>
        </w:rPr>
        <w:t>Zea mays</w:t>
      </w:r>
      <w:r>
        <w:rPr>
          <w:rFonts w:ascii="Times New Roman" w:hAnsi="Times New Roman"/>
          <w:color w:val="000000"/>
          <w:sz w:val="24"/>
          <w:szCs w:val="24"/>
          <w:highlight w:val="yellow"/>
        </w:rPr>
        <w:t xml:space="preserve"> to  female rats for 100 days did not affect RBC, WBC and platelets counts, hemoglobin concentration,PCV, neutrophils, lymphocytes, basophils, monocytes and eosinophils percentages significantly (p&gt;0.05) when compared to control. Although there were non dose-dependent increases and decreases in the blood parameters, these were not significant </w:t>
      </w:r>
      <w:r>
        <w:rPr>
          <w:rFonts w:hint="default" w:ascii="Times New Roman" w:hAnsi="Times New Roman"/>
          <w:color w:val="000000"/>
          <w:sz w:val="24"/>
          <w:szCs w:val="24"/>
          <w:highlight w:val="yellow"/>
          <w:lang w:val="en-GB"/>
        </w:rPr>
        <w:t>relative</w:t>
      </w:r>
      <w:r>
        <w:rPr>
          <w:rFonts w:ascii="Times New Roman" w:hAnsi="Times New Roman"/>
          <w:color w:val="000000"/>
          <w:sz w:val="24"/>
          <w:szCs w:val="24"/>
          <w:highlight w:val="yellow"/>
        </w:rPr>
        <w:t xml:space="preserve"> to control</w:t>
      </w:r>
      <w:r>
        <w:rPr>
          <w:rFonts w:hint="default" w:ascii="Times New Roman" w:hAnsi="Times New Roman"/>
          <w:color w:val="000000"/>
          <w:sz w:val="24"/>
          <w:szCs w:val="24"/>
          <w:highlight w:val="yellow"/>
          <w:lang w:val="en-GB"/>
        </w:rPr>
        <w:t xml:space="preserve">, suggesting a lack of toxic effect on </w:t>
      </w:r>
      <w:r>
        <w:rPr>
          <w:rFonts w:ascii="Times New Roman" w:hAnsi="Times New Roman" w:eastAsia="Calibri"/>
          <w:color w:val="000000"/>
          <w:sz w:val="24"/>
          <w:szCs w:val="24"/>
          <w:highlight w:val="yellow"/>
        </w:rPr>
        <w:t xml:space="preserve">erythropoiesis (Berinyuy et al., 2015) as well as leucocytosis. This </w:t>
      </w:r>
      <w:r>
        <w:rPr>
          <w:rFonts w:hint="default" w:ascii="Times New Roman" w:hAnsi="Times New Roman" w:eastAsia="Calibri"/>
          <w:color w:val="000000"/>
          <w:sz w:val="24"/>
          <w:szCs w:val="24"/>
          <w:highlight w:val="yellow"/>
          <w:lang w:val="en-GB"/>
        </w:rPr>
        <w:t>further</w:t>
      </w:r>
      <w:r>
        <w:rPr>
          <w:rFonts w:ascii="Times New Roman" w:hAnsi="Times New Roman" w:eastAsia="Calibri"/>
          <w:color w:val="000000"/>
          <w:sz w:val="24"/>
          <w:szCs w:val="24"/>
          <w:highlight w:val="yellow"/>
        </w:rPr>
        <w:t xml:space="preserve"> indicates </w:t>
      </w:r>
      <w:r>
        <w:rPr>
          <w:rFonts w:hint="default" w:ascii="Times New Roman" w:hAnsi="Times New Roman" w:eastAsia="Calibri"/>
          <w:color w:val="000000"/>
          <w:sz w:val="24"/>
          <w:szCs w:val="24"/>
          <w:highlight w:val="yellow"/>
          <w:lang w:val="en-GB"/>
        </w:rPr>
        <w:t xml:space="preserve">a non toxic potential on </w:t>
      </w:r>
      <w:r>
        <w:rPr>
          <w:rFonts w:ascii="Times New Roman" w:hAnsi="Times New Roman" w:eastAsia="Calibri"/>
          <w:color w:val="000000"/>
          <w:sz w:val="24"/>
          <w:szCs w:val="24"/>
          <w:highlight w:val="yellow"/>
        </w:rPr>
        <w:t xml:space="preserve">erythropoeitin  (Shittu et al., 2015). The </w:t>
      </w:r>
      <w:r>
        <w:rPr>
          <w:rFonts w:hint="default" w:ascii="Times New Roman" w:hAnsi="Times New Roman" w:eastAsia="Calibri"/>
          <w:color w:val="000000"/>
          <w:sz w:val="24"/>
          <w:szCs w:val="24"/>
          <w:highlight w:val="yellow"/>
          <w:lang w:val="en-GB"/>
        </w:rPr>
        <w:t>absent</w:t>
      </w:r>
      <w:r>
        <w:rPr>
          <w:rFonts w:ascii="Times New Roman" w:hAnsi="Times New Roman" w:eastAsia="Calibri"/>
          <w:color w:val="000000"/>
          <w:sz w:val="24"/>
          <w:szCs w:val="24"/>
          <w:highlight w:val="yellow"/>
        </w:rPr>
        <w:t xml:space="preserve"> of significant effect (p</w:t>
      </w:r>
      <w:r>
        <w:rPr>
          <w:rFonts w:ascii="Times New Roman" w:hAnsi="Times New Roman" w:eastAsia="CambriaMath"/>
          <w:color w:val="000000"/>
          <w:sz w:val="24"/>
          <w:szCs w:val="24"/>
          <w:highlight w:val="yellow"/>
        </w:rPr>
        <w:t xml:space="preserve">&gt; 0.05) </w:t>
      </w:r>
      <w:r>
        <w:rPr>
          <w:rFonts w:ascii="Times New Roman" w:hAnsi="Times New Roman" w:eastAsia="Calibri"/>
          <w:color w:val="000000"/>
          <w:sz w:val="24"/>
          <w:szCs w:val="24"/>
          <w:highlight w:val="yellow"/>
        </w:rPr>
        <w:t xml:space="preserve">on the RBC and Hb </w:t>
      </w:r>
      <w:r>
        <w:rPr>
          <w:rFonts w:hint="default" w:ascii="Times New Roman" w:hAnsi="Times New Roman" w:eastAsia="Calibri"/>
          <w:color w:val="000000"/>
          <w:sz w:val="24"/>
          <w:szCs w:val="24"/>
          <w:highlight w:val="yellow"/>
          <w:lang w:val="en-GB"/>
        </w:rPr>
        <w:t>suggest no interference with</w:t>
      </w:r>
      <w:r>
        <w:rPr>
          <w:rFonts w:ascii="Times New Roman" w:hAnsi="Times New Roman" w:eastAsia="Calibri"/>
          <w:color w:val="000000"/>
          <w:sz w:val="24"/>
          <w:szCs w:val="24"/>
          <w:highlight w:val="yellow"/>
        </w:rPr>
        <w:t xml:space="preserve"> the oxygen-carrying capacity of the blood</w:t>
      </w:r>
      <w:r>
        <w:rPr>
          <w:rFonts w:hint="default" w:ascii="Times New Roman" w:hAnsi="Times New Roman" w:eastAsia="Calibri"/>
          <w:color w:val="000000"/>
          <w:sz w:val="24"/>
          <w:szCs w:val="24"/>
          <w:highlight w:val="yellow"/>
          <w:lang w:val="en-GB"/>
        </w:rPr>
        <w:t>.</w:t>
      </w:r>
      <w:r>
        <w:rPr>
          <w:rFonts w:ascii="Times New Roman" w:hAnsi="Times New Roman" w:eastAsia="Helvetica"/>
          <w:color w:val="000000"/>
          <w:sz w:val="24"/>
          <w:szCs w:val="24"/>
          <w:highlight w:val="yellow"/>
        </w:rPr>
        <w:t xml:space="preserve"> The  extract </w:t>
      </w:r>
      <w:r>
        <w:rPr>
          <w:rFonts w:hint="default" w:ascii="Times New Roman" w:hAnsi="Times New Roman" w:eastAsia="Helvetica"/>
          <w:color w:val="000000"/>
          <w:sz w:val="24"/>
          <w:szCs w:val="24"/>
          <w:highlight w:val="yellow"/>
          <w:lang w:val="en-GB"/>
        </w:rPr>
        <w:t>did not exert any significant effect on</w:t>
      </w:r>
      <w:r>
        <w:rPr>
          <w:rFonts w:ascii="Times New Roman" w:hAnsi="Times New Roman" w:eastAsia="Helvetica"/>
          <w:color w:val="000000"/>
          <w:sz w:val="24"/>
          <w:szCs w:val="24"/>
          <w:highlight w:val="yellow"/>
        </w:rPr>
        <w:t xml:space="preserve"> platelets</w:t>
      </w:r>
      <w:r>
        <w:rPr>
          <w:rFonts w:hint="default" w:ascii="Times New Roman" w:hAnsi="Times New Roman" w:eastAsia="Helvetica"/>
          <w:color w:val="000000"/>
          <w:sz w:val="24"/>
          <w:szCs w:val="24"/>
          <w:highlight w:val="yellow"/>
          <w:lang w:val="en-GB"/>
        </w:rPr>
        <w:t xml:space="preserve"> count perhaps due to </w:t>
      </w:r>
      <w:r>
        <w:rPr>
          <w:rFonts w:ascii="Times New Roman" w:hAnsi="Times New Roman" w:eastAsia="Helvetica"/>
          <w:color w:val="000000"/>
          <w:sz w:val="24"/>
          <w:szCs w:val="24"/>
          <w:highlight w:val="yellow"/>
        </w:rPr>
        <w:t xml:space="preserve">adaptation </w:t>
      </w:r>
      <w:r>
        <w:rPr>
          <w:rFonts w:hint="default" w:ascii="Times New Roman" w:hAnsi="Times New Roman" w:eastAsia="Helvetica"/>
          <w:color w:val="000000"/>
          <w:sz w:val="24"/>
          <w:szCs w:val="24"/>
          <w:highlight w:val="yellow"/>
          <w:lang w:val="en-GB"/>
        </w:rPr>
        <w:t>of</w:t>
      </w:r>
      <w:r>
        <w:rPr>
          <w:rFonts w:ascii="Times New Roman" w:hAnsi="Times New Roman" w:eastAsia="Helvetica"/>
          <w:color w:val="000000"/>
          <w:sz w:val="24"/>
          <w:szCs w:val="24"/>
          <w:highlight w:val="yellow"/>
        </w:rPr>
        <w:t xml:space="preserve"> the animals to the effect of the extract. However, the  bleeding time of female rats were observed to be significantly reduced in this study. This may be due to the extract ability to facilitate blood clotting mechanisms in the rats.</w:t>
      </w:r>
    </w:p>
    <w:p w14:paraId="5E7B3747">
      <w:pPr>
        <w:autoSpaceDE w:val="0"/>
        <w:autoSpaceDN w:val="0"/>
        <w:adjustRightInd w:val="0"/>
        <w:spacing w:after="0" w:line="480" w:lineRule="auto"/>
        <w:ind w:firstLine="720" w:firstLineChars="300"/>
        <w:jc w:val="both"/>
        <w:rPr>
          <w:rFonts w:ascii="Times New Roman" w:hAnsi="Times New Roman"/>
          <w:color w:val="FF0000"/>
          <w:sz w:val="24"/>
          <w:szCs w:val="24"/>
          <w:highlight w:val="yellow"/>
        </w:rPr>
      </w:pPr>
      <w:r>
        <w:rPr>
          <w:rFonts w:ascii="Times New Roman" w:hAnsi="Times New Roman"/>
          <w:sz w:val="24"/>
          <w:szCs w:val="24"/>
          <w:highlight w:val="yellow"/>
        </w:rPr>
        <w:t>In this study, administration of husk extract for 100 days to female rats did not exert any significant (p&gt;0.05) effect on all the liver function parameters except in the  combined bilirubin level which was significantly (p&lt;0.001) raised. This suggests that the husk extract did not cause any harm to the liver as both the synthetic and excretory functions indicated by total protein, albumin and bilirubin levels were seriously not affected</w:t>
      </w:r>
      <w:r>
        <w:rPr>
          <w:rFonts w:hint="default" w:ascii="Times New Roman" w:hAnsi="Times New Roman"/>
          <w:sz w:val="24"/>
          <w:szCs w:val="24"/>
          <w:highlight w:val="yellow"/>
          <w:lang w:val="en-GB"/>
        </w:rPr>
        <w:t xml:space="preserve"> </w:t>
      </w:r>
      <w:r>
        <w:rPr>
          <w:rFonts w:ascii="Times New Roman" w:hAnsi="Times New Roman"/>
          <w:sz w:val="24"/>
          <w:szCs w:val="24"/>
          <w:highlight w:val="yellow"/>
        </w:rPr>
        <w:t xml:space="preserve">at all doses </w:t>
      </w:r>
      <w:r>
        <w:rPr>
          <w:rFonts w:ascii="Times New Roman" w:hAnsi="Times New Roman" w:eastAsia="Calibri"/>
          <w:sz w:val="24"/>
          <w:szCs w:val="24"/>
          <w:highlight w:val="yellow"/>
        </w:rPr>
        <w:t>(Kaplan et al.</w:t>
      </w:r>
      <w:r>
        <w:rPr>
          <w:rFonts w:ascii="Times New Roman" w:hAnsi="Times New Roman" w:eastAsia="Calibri"/>
          <w:i/>
          <w:iCs/>
          <w:sz w:val="24"/>
          <w:szCs w:val="24"/>
          <w:highlight w:val="yellow"/>
        </w:rPr>
        <w:t>,</w:t>
      </w:r>
      <w:r>
        <w:rPr>
          <w:rFonts w:ascii="Times New Roman" w:hAnsi="Times New Roman" w:eastAsia="Calibri"/>
          <w:sz w:val="24"/>
          <w:szCs w:val="24"/>
          <w:highlight w:val="yellow"/>
        </w:rPr>
        <w:t xml:space="preserve"> 1979; Yakuba et al., 2003)</w:t>
      </w:r>
      <w:r>
        <w:rPr>
          <w:rFonts w:ascii="Times New Roman" w:hAnsi="Times New Roman"/>
          <w:sz w:val="24"/>
          <w:szCs w:val="24"/>
          <w:highlight w:val="yellow"/>
        </w:rPr>
        <w:t xml:space="preserve">. Also, the fact that the levels of liver enzymes (AST, ALT and ALP) were not affected significantly further confirms the non hepatotoxic and/or hepatoprotective effect of the husk  earlier reported (Okokon et al., 2017b; Okokon </w:t>
      </w:r>
      <w:r>
        <w:rPr>
          <w:rFonts w:ascii="Times New Roman" w:hAnsi="Times New Roman"/>
          <w:iCs/>
          <w:sz w:val="24"/>
          <w:szCs w:val="24"/>
          <w:highlight w:val="yellow"/>
        </w:rPr>
        <w:t xml:space="preserve">et al., </w:t>
      </w:r>
      <w:r>
        <w:rPr>
          <w:rFonts w:ascii="Times New Roman" w:hAnsi="Times New Roman"/>
          <w:sz w:val="24"/>
          <w:szCs w:val="24"/>
          <w:highlight w:val="yellow"/>
        </w:rPr>
        <w:t xml:space="preserve">2020; Udobang </w:t>
      </w:r>
      <w:r>
        <w:rPr>
          <w:rFonts w:ascii="Times New Roman" w:hAnsi="Times New Roman"/>
          <w:iCs/>
          <w:sz w:val="24"/>
          <w:szCs w:val="24"/>
          <w:highlight w:val="yellow"/>
        </w:rPr>
        <w:t xml:space="preserve">et al., </w:t>
      </w:r>
      <w:r>
        <w:rPr>
          <w:rFonts w:ascii="Times New Roman" w:hAnsi="Times New Roman"/>
          <w:sz w:val="24"/>
          <w:szCs w:val="24"/>
          <w:highlight w:val="yellow"/>
        </w:rPr>
        <w:t xml:space="preserve">2019). </w:t>
      </w:r>
      <w:r>
        <w:rPr>
          <w:rFonts w:ascii="Times New Roman" w:hAnsi="Times New Roman" w:eastAsia="Calibri"/>
          <w:sz w:val="24"/>
          <w:szCs w:val="24"/>
          <w:highlight w:val="yellow"/>
        </w:rPr>
        <w:t>The significantly raised combined bilirubin in the female rats at middle dose signifies an effect on the excretory functions of the liver (Kaplan et al.</w:t>
      </w:r>
      <w:r>
        <w:rPr>
          <w:rFonts w:ascii="Times New Roman" w:hAnsi="Times New Roman" w:eastAsia="Calibri"/>
          <w:i/>
          <w:iCs/>
          <w:sz w:val="24"/>
          <w:szCs w:val="24"/>
          <w:highlight w:val="yellow"/>
        </w:rPr>
        <w:t xml:space="preserve">, </w:t>
      </w:r>
      <w:r>
        <w:rPr>
          <w:rFonts w:ascii="Times New Roman" w:hAnsi="Times New Roman" w:eastAsia="Calibri"/>
          <w:sz w:val="24"/>
          <w:szCs w:val="24"/>
          <w:highlight w:val="yellow"/>
        </w:rPr>
        <w:t xml:space="preserve">1979; Yakuba et al., 2003). Severe hemolysis causes elevated levels of direct and total bilirubin (Nagana,1989), resulting in the release of more bilirubin into the blood. Since only the combined bilirubin level was  elevated without any effect on the total bilirubin, this suggests inseverity of the effect.  </w:t>
      </w:r>
      <w:r>
        <w:rPr>
          <w:rFonts w:ascii="Times New Roman" w:hAnsi="Times New Roman"/>
          <w:sz w:val="24"/>
          <w:szCs w:val="24"/>
          <w:highlight w:val="yellow"/>
        </w:rPr>
        <w:t xml:space="preserve">In this study, the administration of husk extract of </w:t>
      </w:r>
      <w:r>
        <w:rPr>
          <w:rFonts w:ascii="Times New Roman" w:hAnsi="Times New Roman"/>
          <w:i/>
          <w:iCs/>
          <w:sz w:val="24"/>
          <w:szCs w:val="24"/>
          <w:highlight w:val="yellow"/>
        </w:rPr>
        <w:t xml:space="preserve">Zea mays  </w:t>
      </w:r>
      <w:r>
        <w:rPr>
          <w:rFonts w:ascii="Times New Roman" w:hAnsi="Times New Roman"/>
          <w:sz w:val="24"/>
          <w:szCs w:val="24"/>
          <w:highlight w:val="yellow"/>
        </w:rPr>
        <w:t xml:space="preserve">to   female rats for 100 days did not cause any significant effect on any of the kidney function parameters (urea, creatinine, bicarbonate, potassium and chloride) except a slight elevation of sodium level in the female rats which was only significant at the highest dose (561 mg/kg). The significant effect on one of the electrolytes concentrations in this study suggest a slight effect on the glomerular filtration rate as was seen in the mild effect on the histo-structure of the renal tissues in this study. However, this does not portray a serious harmful effect as other parameters were not affected. Blood urea nitrogen (BUN) </w:t>
      </w:r>
      <w:r>
        <w:rPr>
          <w:rFonts w:hint="default" w:ascii="Times New Roman" w:hAnsi="Times New Roman"/>
          <w:sz w:val="24"/>
          <w:szCs w:val="24"/>
          <w:highlight w:val="yellow"/>
          <w:lang w:val="en-GB"/>
        </w:rPr>
        <w:t>generated</w:t>
      </w:r>
      <w:r>
        <w:rPr>
          <w:rFonts w:ascii="Times New Roman" w:hAnsi="Times New Roman"/>
          <w:sz w:val="24"/>
          <w:szCs w:val="24"/>
          <w:highlight w:val="yellow"/>
        </w:rPr>
        <w:t xml:space="preserve"> in the liver is  excreted in the urine </w:t>
      </w:r>
      <w:r>
        <w:rPr>
          <w:rFonts w:hint="default" w:ascii="Times New Roman" w:hAnsi="Times New Roman"/>
          <w:sz w:val="24"/>
          <w:szCs w:val="24"/>
          <w:highlight w:val="yellow"/>
          <w:lang w:val="en-GB"/>
        </w:rPr>
        <w:t>through</w:t>
      </w:r>
      <w:r>
        <w:rPr>
          <w:rFonts w:ascii="Times New Roman" w:hAnsi="Times New Roman"/>
          <w:sz w:val="24"/>
          <w:szCs w:val="24"/>
          <w:highlight w:val="yellow"/>
        </w:rPr>
        <w:t xml:space="preserve"> the kidney.</w:t>
      </w:r>
      <w:r>
        <w:rPr>
          <w:rFonts w:hint="default" w:ascii="Times New Roman" w:hAnsi="Times New Roman"/>
          <w:sz w:val="24"/>
          <w:szCs w:val="24"/>
          <w:highlight w:val="yellow"/>
          <w:lang w:val="en-GB"/>
        </w:rPr>
        <w:t xml:space="preserve"> This accumulates in the serum during renal dysfunction</w:t>
      </w:r>
      <w:r>
        <w:rPr>
          <w:rFonts w:ascii="Times New Roman" w:hAnsi="Times New Roman"/>
          <w:sz w:val="24"/>
          <w:szCs w:val="24"/>
          <w:highlight w:val="yellow"/>
        </w:rPr>
        <w:t xml:space="preserve"> </w:t>
      </w:r>
      <w:r>
        <w:rPr>
          <w:rFonts w:hint="default" w:ascii="Times New Roman" w:hAnsi="Times New Roman"/>
          <w:sz w:val="24"/>
          <w:szCs w:val="24"/>
          <w:highlight w:val="yellow"/>
          <w:lang w:val="en-GB"/>
        </w:rPr>
        <w:t>as</w:t>
      </w:r>
      <w:r>
        <w:rPr>
          <w:rFonts w:ascii="Times New Roman" w:hAnsi="Times New Roman"/>
          <w:sz w:val="24"/>
          <w:szCs w:val="24"/>
          <w:highlight w:val="yellow"/>
        </w:rPr>
        <w:t xml:space="preserve"> the rate of production exceeds that of excretion (Mayne, 1994). Serum creatinine is </w:t>
      </w:r>
      <w:r>
        <w:rPr>
          <w:rFonts w:hint="default" w:ascii="Times New Roman" w:hAnsi="Times New Roman"/>
          <w:sz w:val="24"/>
          <w:szCs w:val="24"/>
          <w:highlight w:val="yellow"/>
          <w:lang w:val="en-GB"/>
        </w:rPr>
        <w:t>produced during metabolism</w:t>
      </w:r>
      <w:r>
        <w:rPr>
          <w:rFonts w:ascii="Times New Roman" w:hAnsi="Times New Roman"/>
          <w:sz w:val="24"/>
          <w:szCs w:val="24"/>
          <w:highlight w:val="yellow"/>
        </w:rPr>
        <w:t xml:space="preserve"> (Mayne, 1994)</w:t>
      </w:r>
      <w:r>
        <w:rPr>
          <w:rFonts w:hint="default" w:ascii="Times New Roman" w:hAnsi="Times New Roman"/>
          <w:sz w:val="24"/>
          <w:szCs w:val="24"/>
          <w:highlight w:val="yellow"/>
          <w:lang w:val="en-GB"/>
        </w:rPr>
        <w:t xml:space="preserve"> and elevated </w:t>
      </w:r>
      <w:r>
        <w:rPr>
          <w:rFonts w:ascii="Times New Roman" w:hAnsi="Times New Roman"/>
          <w:sz w:val="24"/>
          <w:szCs w:val="24"/>
          <w:highlight w:val="yellow"/>
        </w:rPr>
        <w:t xml:space="preserve"> urea and creatinine levels in the serum</w:t>
      </w:r>
      <w:r>
        <w:rPr>
          <w:rFonts w:hint="default" w:ascii="Times New Roman" w:hAnsi="Times New Roman"/>
          <w:sz w:val="24"/>
          <w:szCs w:val="24"/>
          <w:highlight w:val="yellow"/>
          <w:lang w:val="en-GB"/>
        </w:rPr>
        <w:t xml:space="preserve"> are </w:t>
      </w:r>
      <w:r>
        <w:rPr>
          <w:rFonts w:ascii="Times New Roman" w:hAnsi="Times New Roman"/>
          <w:sz w:val="24"/>
          <w:szCs w:val="24"/>
          <w:highlight w:val="yellow"/>
        </w:rPr>
        <w:t xml:space="preserve"> </w:t>
      </w:r>
      <w:r>
        <w:rPr>
          <w:rFonts w:hint="default" w:ascii="Times New Roman" w:hAnsi="Times New Roman"/>
          <w:sz w:val="24"/>
          <w:szCs w:val="24"/>
          <w:highlight w:val="yellow"/>
          <w:lang w:val="en-GB"/>
        </w:rPr>
        <w:t xml:space="preserve">indicators </w:t>
      </w:r>
      <w:r>
        <w:rPr>
          <w:rFonts w:ascii="Times New Roman" w:hAnsi="Times New Roman"/>
          <w:sz w:val="24"/>
          <w:szCs w:val="24"/>
          <w:highlight w:val="yellow"/>
        </w:rPr>
        <w:t>nephrotoxicity (Ali et al.</w:t>
      </w:r>
      <w:r>
        <w:rPr>
          <w:rFonts w:ascii="Times New Roman" w:hAnsi="Times New Roman"/>
          <w:i/>
          <w:iCs/>
          <w:sz w:val="24"/>
          <w:szCs w:val="24"/>
          <w:highlight w:val="yellow"/>
        </w:rPr>
        <w:t xml:space="preserve">, </w:t>
      </w:r>
      <w:r>
        <w:rPr>
          <w:rFonts w:ascii="Times New Roman" w:hAnsi="Times New Roman"/>
          <w:sz w:val="24"/>
          <w:szCs w:val="24"/>
          <w:highlight w:val="yellow"/>
        </w:rPr>
        <w:t xml:space="preserve">2001; Flaoyen et al., 2001). In this study, there was no significant effect on creatinine and urea levels of  rats exposed to </w:t>
      </w:r>
      <w:r>
        <w:rPr>
          <w:rFonts w:hint="default" w:ascii="Times New Roman" w:hAnsi="Times New Roman"/>
          <w:sz w:val="24"/>
          <w:szCs w:val="24"/>
          <w:highlight w:val="yellow"/>
          <w:lang w:val="en-GB"/>
        </w:rPr>
        <w:t>repeated</w:t>
      </w:r>
      <w:r>
        <w:rPr>
          <w:rFonts w:ascii="Times New Roman" w:hAnsi="Times New Roman"/>
          <w:sz w:val="24"/>
          <w:szCs w:val="24"/>
          <w:highlight w:val="yellow"/>
        </w:rPr>
        <w:t xml:space="preserve"> administration of the husk extract. This suggests that the extract does not exert a serious nephrotoxic effect and further support previously reported nephroprotective potentials of the husk extract (Okokon </w:t>
      </w:r>
      <w:r>
        <w:rPr>
          <w:rFonts w:ascii="Times New Roman" w:hAnsi="Times New Roman"/>
          <w:iCs/>
          <w:sz w:val="24"/>
          <w:szCs w:val="24"/>
          <w:highlight w:val="yellow"/>
        </w:rPr>
        <w:t xml:space="preserve">et al., </w:t>
      </w:r>
      <w:r>
        <w:rPr>
          <w:rFonts w:ascii="Times New Roman" w:hAnsi="Times New Roman"/>
          <w:sz w:val="24"/>
          <w:szCs w:val="24"/>
          <w:highlight w:val="yellow"/>
        </w:rPr>
        <w:t xml:space="preserve">2017c; Okokon </w:t>
      </w:r>
      <w:r>
        <w:rPr>
          <w:rFonts w:ascii="Times New Roman" w:hAnsi="Times New Roman"/>
          <w:iCs/>
          <w:sz w:val="24"/>
          <w:szCs w:val="24"/>
          <w:highlight w:val="yellow"/>
        </w:rPr>
        <w:t xml:space="preserve">et al., </w:t>
      </w:r>
      <w:r>
        <w:rPr>
          <w:rFonts w:ascii="Times New Roman" w:hAnsi="Times New Roman"/>
          <w:sz w:val="24"/>
          <w:szCs w:val="24"/>
          <w:highlight w:val="yellow"/>
        </w:rPr>
        <w:t xml:space="preserve">2019), </w:t>
      </w:r>
      <w:r>
        <w:rPr>
          <w:rFonts w:ascii="Times New Roman" w:hAnsi="Times New Roman"/>
          <w:color w:val="FF0000"/>
          <w:sz w:val="24"/>
          <w:szCs w:val="24"/>
          <w:highlight w:val="yellow"/>
        </w:rPr>
        <w:t xml:space="preserve">.  </w:t>
      </w:r>
    </w:p>
    <w:p w14:paraId="39775F48">
      <w:pPr>
        <w:autoSpaceDE w:val="0"/>
        <w:autoSpaceDN w:val="0"/>
        <w:adjustRightInd w:val="0"/>
        <w:spacing w:after="0" w:line="480" w:lineRule="auto"/>
        <w:ind w:firstLine="720" w:firstLineChars="300"/>
        <w:jc w:val="both"/>
        <w:rPr>
          <w:rFonts w:ascii="Times New Roman" w:hAnsi="Times New Roman" w:eastAsia="Calibri"/>
          <w:sz w:val="24"/>
          <w:szCs w:val="24"/>
          <w:highlight w:val="yellow"/>
        </w:rPr>
      </w:pPr>
      <w:r>
        <w:rPr>
          <w:rFonts w:ascii="Times New Roman" w:hAnsi="Times New Roman" w:eastAsia="Calibri"/>
          <w:sz w:val="24"/>
          <w:szCs w:val="24"/>
          <w:highlight w:val="yellow"/>
        </w:rPr>
        <w:t xml:space="preserve">In this study, administration of husk extract to  female rats for 100 days was found to exert hypolipidemic effect on all major lipids in the female rats. Alterations in the concentrations of major lipids like total cholesterol, high-density lipoprotein cholesterol, low density lipoprotein cholesterol and triglycerides provide useful information on the lipid metabolism and its attendant effect on heart related diseases (Yakubu et al., 2008). High blood cholesterol concentrations are an important risk factor for cardiovascular disease (Abolaji </w:t>
      </w:r>
      <w:r>
        <w:rPr>
          <w:rFonts w:ascii="Times New Roman" w:hAnsi="Times New Roman" w:eastAsia="Calibri"/>
          <w:i/>
          <w:iCs/>
          <w:sz w:val="24"/>
          <w:szCs w:val="24"/>
          <w:highlight w:val="yellow"/>
        </w:rPr>
        <w:t>et al.,</w:t>
      </w:r>
      <w:r>
        <w:rPr>
          <w:rFonts w:ascii="Times New Roman" w:hAnsi="Times New Roman" w:eastAsia="Calibri"/>
          <w:sz w:val="24"/>
          <w:szCs w:val="24"/>
          <w:highlight w:val="yellow"/>
        </w:rPr>
        <w:t xml:space="preserve"> 2007). Therefore, the reduced levels of serum cholesterol by the husk extract may be a beneficial effect to the animals  as the extract is unlikely to be associated with cardiovascular risk. Decreased serum level of triacylglycerides by the extract may be explained as an inhibitory efffect on lipolysis (Yakubu et al.</w:t>
      </w:r>
      <w:r>
        <w:rPr>
          <w:rFonts w:ascii="Times New Roman" w:hAnsi="Times New Roman" w:eastAsia="Calibri"/>
          <w:i/>
          <w:iCs/>
          <w:sz w:val="24"/>
          <w:szCs w:val="24"/>
          <w:highlight w:val="yellow"/>
        </w:rPr>
        <w:t xml:space="preserve">, </w:t>
      </w:r>
      <w:r>
        <w:rPr>
          <w:rFonts w:ascii="Times New Roman" w:hAnsi="Times New Roman" w:eastAsia="Calibri"/>
          <w:sz w:val="24"/>
          <w:szCs w:val="24"/>
          <w:highlight w:val="yellow"/>
        </w:rPr>
        <w:t xml:space="preserve">2008). The reduction in the levels of total cholesterol, tryglycerides, VLDL, LDL and HDL  in this study further support the strong hypolipidemic and antiobesity potentials of the husk extract </w:t>
      </w:r>
      <w:r>
        <w:rPr>
          <w:rFonts w:ascii="Times New Roman" w:hAnsi="Times New Roman"/>
          <w:sz w:val="24"/>
          <w:szCs w:val="24"/>
          <w:highlight w:val="yellow"/>
        </w:rPr>
        <w:t>(Okokon et al., 2021</w:t>
      </w:r>
      <w:r>
        <w:rPr>
          <w:rFonts w:ascii="Times New Roman" w:hAnsi="Times New Roman"/>
          <w:sz w:val="24"/>
          <w:szCs w:val="24"/>
          <w:highlight w:val="yellow"/>
          <w:lang w:val="en-US"/>
        </w:rPr>
        <w:t>a</w:t>
      </w:r>
      <w:r>
        <w:rPr>
          <w:rFonts w:ascii="Times New Roman" w:hAnsi="Times New Roman"/>
          <w:sz w:val="24"/>
          <w:szCs w:val="24"/>
          <w:highlight w:val="yellow"/>
        </w:rPr>
        <w:t>)</w:t>
      </w:r>
      <w:r>
        <w:rPr>
          <w:rFonts w:ascii="Times New Roman" w:hAnsi="Times New Roman"/>
          <w:sz w:val="24"/>
          <w:szCs w:val="24"/>
          <w:highlight w:val="yellow"/>
          <w:lang w:val="en-US"/>
        </w:rPr>
        <w:t xml:space="preserve">, </w:t>
      </w:r>
      <w:r>
        <w:rPr>
          <w:rFonts w:ascii="Times New Roman" w:hAnsi="Times New Roman" w:eastAsia="Calibri"/>
          <w:sz w:val="24"/>
          <w:szCs w:val="24"/>
          <w:highlight w:val="yellow"/>
        </w:rPr>
        <w:t>which perhaps is due to inhibitory activity of its phytoconstituents on lipolysis.</w:t>
      </w:r>
    </w:p>
    <w:p w14:paraId="657CBBBA">
      <w:pPr>
        <w:autoSpaceDE w:val="0"/>
        <w:autoSpaceDN w:val="0"/>
        <w:adjustRightInd w:val="0"/>
        <w:spacing w:after="0" w:line="480" w:lineRule="auto"/>
        <w:ind w:firstLine="720" w:firstLineChars="300"/>
        <w:jc w:val="both"/>
        <w:rPr>
          <w:rFonts w:ascii="Times New Roman" w:hAnsi="Times New Roman" w:eastAsia="SimSun"/>
          <w:color w:val="000000"/>
          <w:sz w:val="24"/>
          <w:szCs w:val="24"/>
        </w:rPr>
      </w:pPr>
      <w:r>
        <w:rPr>
          <w:rFonts w:ascii="Times New Roman" w:hAnsi="Times New Roman"/>
          <w:color w:val="000000"/>
          <w:sz w:val="24"/>
          <w:szCs w:val="24"/>
          <w:highlight w:val="yellow"/>
        </w:rPr>
        <w:t xml:space="preserve">On the histology, chronic administration of ethanol husk extract of </w:t>
      </w:r>
      <w:r>
        <w:rPr>
          <w:rFonts w:ascii="Times New Roman" w:hAnsi="Times New Roman"/>
          <w:i/>
          <w:color w:val="000000"/>
          <w:sz w:val="24"/>
          <w:szCs w:val="24"/>
          <w:highlight w:val="yellow"/>
        </w:rPr>
        <w:t xml:space="preserve">Zea mays </w:t>
      </w:r>
      <w:r>
        <w:rPr>
          <w:rFonts w:ascii="Times New Roman" w:hAnsi="Times New Roman"/>
          <w:iCs/>
          <w:color w:val="000000"/>
          <w:sz w:val="24"/>
          <w:szCs w:val="24"/>
          <w:highlight w:val="yellow"/>
        </w:rPr>
        <w:t xml:space="preserve">(187-561 mg/kg) </w:t>
      </w:r>
      <w:r>
        <w:rPr>
          <w:rFonts w:ascii="Times New Roman" w:hAnsi="Times New Roman"/>
          <w:color w:val="000000"/>
          <w:sz w:val="24"/>
          <w:szCs w:val="24"/>
          <w:highlight w:val="yellow"/>
        </w:rPr>
        <w:t xml:space="preserve">to  female rats for 100 days produced mild to moderate defects on the histology of the brain, heart, liver, kidney and spleen tissues but with </w:t>
      </w:r>
      <w:r>
        <w:rPr>
          <w:rFonts w:ascii="Times New Roman" w:hAnsi="Times New Roman" w:eastAsia="Calibri"/>
          <w:sz w:val="24"/>
          <w:szCs w:val="24"/>
          <w:highlight w:val="yellow"/>
        </w:rPr>
        <w:t>serious  effect to the ovary</w:t>
      </w:r>
      <w:r>
        <w:rPr>
          <w:rFonts w:ascii="Times New Roman" w:hAnsi="Times New Roman"/>
          <w:color w:val="000000"/>
          <w:sz w:val="24"/>
          <w:szCs w:val="24"/>
          <w:highlight w:val="yellow"/>
        </w:rPr>
        <w:t xml:space="preserve">, indicating that chronic administration of the extract can produce toxic effect though not serious effect on these organs except ovary. These mild to moderate effects observed in  this study corroborate the chemical pathology results observed as only the total bilirubin level and sodium concentration were observed to be increased significantly  in the female rats, which suggest a high susceptibility of the female rats to the mild  toxic effect of the extract. This is supported by the effect on the ovary, the female reproductive system. </w:t>
      </w:r>
      <w:r>
        <w:rPr>
          <w:rFonts w:ascii="Times New Roman" w:hAnsi="Times New Roman" w:eastAsia="SimSun"/>
          <w:color w:val="000000"/>
          <w:sz w:val="24"/>
          <w:szCs w:val="24"/>
          <w:highlight w:val="yellow"/>
        </w:rPr>
        <w:t xml:space="preserve"> However, no mortality was recorded throughout the period of chronic study</w:t>
      </w:r>
      <w:bookmarkEnd w:id="0"/>
      <w:r>
        <w:rPr>
          <w:rFonts w:ascii="Times New Roman" w:hAnsi="Times New Roman" w:eastAsia="SimSun"/>
          <w:color w:val="000000"/>
          <w:sz w:val="24"/>
          <w:szCs w:val="24"/>
        </w:rPr>
        <w:t>.</w:t>
      </w:r>
    </w:p>
    <w:p w14:paraId="18FF8A3E">
      <w:pPr>
        <w:numPr>
          <w:ilvl w:val="0"/>
          <w:numId w:val="1"/>
        </w:numPr>
        <w:autoSpaceDE w:val="0"/>
        <w:autoSpaceDN w:val="0"/>
        <w:adjustRightInd w:val="0"/>
        <w:spacing w:after="0" w:line="240" w:lineRule="auto"/>
        <w:jc w:val="both"/>
        <w:rPr>
          <w:rFonts w:ascii="Times New Roman" w:hAnsi="Times New Roman" w:eastAsia="Calibri"/>
          <w:b/>
          <w:bCs/>
          <w:sz w:val="24"/>
          <w:szCs w:val="24"/>
        </w:rPr>
      </w:pPr>
      <w:r>
        <w:rPr>
          <w:rFonts w:ascii="Times New Roman" w:hAnsi="Times New Roman" w:eastAsia="Calibri"/>
          <w:b/>
          <w:bCs/>
          <w:sz w:val="24"/>
          <w:szCs w:val="24"/>
        </w:rPr>
        <w:t>CONCLUSION</w:t>
      </w:r>
    </w:p>
    <w:p w14:paraId="6225AD01">
      <w:pPr>
        <w:autoSpaceDE w:val="0"/>
        <w:autoSpaceDN w:val="0"/>
        <w:adjustRightInd w:val="0"/>
        <w:spacing w:after="0" w:line="480" w:lineRule="auto"/>
        <w:jc w:val="both"/>
        <w:rPr>
          <w:rFonts w:ascii="Times New Roman" w:hAnsi="Times New Roman" w:eastAsia="Calibri"/>
          <w:sz w:val="24"/>
          <w:szCs w:val="24"/>
        </w:rPr>
      </w:pPr>
      <w:r>
        <w:rPr>
          <w:rFonts w:ascii="Times New Roman" w:hAnsi="Times New Roman" w:eastAsia="Calibri"/>
          <w:sz w:val="24"/>
          <w:szCs w:val="24"/>
        </w:rPr>
        <w:t xml:space="preserve">The results of this investigation suggests that the husk extract of </w:t>
      </w:r>
      <w:r>
        <w:rPr>
          <w:rFonts w:ascii="Times New Roman" w:hAnsi="Times New Roman" w:eastAsia="Calibri"/>
          <w:i/>
          <w:iCs/>
          <w:sz w:val="24"/>
          <w:szCs w:val="24"/>
        </w:rPr>
        <w:t>Zea may</w:t>
      </w:r>
      <w:r>
        <w:rPr>
          <w:rFonts w:ascii="Times New Roman" w:hAnsi="Times New Roman" w:eastAsia="Calibri"/>
          <w:sz w:val="24"/>
          <w:szCs w:val="24"/>
        </w:rPr>
        <w:t>s when taken for a long time could have  mild to moderate effects on the brain, heart, liver and kidney  in the female rats with serious  effect to the ovary. However, the husk extract exerted no toxic effect on the spleen and provided hypolipidemic effect. It recommended that high doses should be avoided.</w:t>
      </w:r>
    </w:p>
    <w:p w14:paraId="03036401">
      <w:pPr>
        <w:jc w:val="both"/>
        <w:rPr>
          <w:rFonts w:ascii="Times New Roman" w:hAnsi="Times New Roman"/>
          <w:sz w:val="24"/>
          <w:szCs w:val="24"/>
        </w:rPr>
      </w:pPr>
      <w:r>
        <w:rPr>
          <w:rFonts w:ascii="Times New Roman" w:hAnsi="Times New Roman" w:eastAsia="Arial-BoldMT"/>
          <w:b/>
          <w:bCs/>
          <w:color w:val="000000"/>
          <w:sz w:val="24"/>
          <w:szCs w:val="24"/>
          <w:lang w:eastAsia="zh-CN" w:bidi="ar"/>
        </w:rPr>
        <w:t>E</w:t>
      </w:r>
      <w:r>
        <w:rPr>
          <w:rFonts w:ascii="Times New Roman" w:hAnsi="Times New Roman" w:eastAsia="Arial-BoldMT"/>
          <w:b/>
          <w:bCs/>
          <w:color w:val="000000"/>
          <w:sz w:val="24"/>
          <w:szCs w:val="24"/>
          <w:lang w:val="en-US" w:eastAsia="zh-CN" w:bidi="ar"/>
        </w:rPr>
        <w:t xml:space="preserve">HTICAL APPROVAL </w:t>
      </w:r>
    </w:p>
    <w:p w14:paraId="51E1C8F7">
      <w:pPr>
        <w:jc w:val="both"/>
        <w:rPr>
          <w:rFonts w:ascii="Times New Roman" w:hAnsi="Times New Roman"/>
          <w:sz w:val="24"/>
          <w:szCs w:val="24"/>
        </w:rPr>
      </w:pPr>
      <w:r>
        <w:rPr>
          <w:rFonts w:ascii="Times New Roman" w:hAnsi="Times New Roman" w:eastAsia="SimSun"/>
          <w:color w:val="000000"/>
          <w:sz w:val="24"/>
          <w:szCs w:val="24"/>
          <w:lang w:val="en-US" w:eastAsia="zh-CN" w:bidi="ar"/>
        </w:rPr>
        <w:t xml:space="preserve">Approval for the study was given by Faculty of </w:t>
      </w:r>
      <w:r>
        <w:rPr>
          <w:rFonts w:ascii="Times New Roman" w:hAnsi="Times New Roman" w:eastAsia="SimSun"/>
          <w:color w:val="000000"/>
          <w:sz w:val="24"/>
          <w:szCs w:val="24"/>
          <w:lang w:eastAsia="zh-CN" w:bidi="ar"/>
        </w:rPr>
        <w:t xml:space="preserve"> </w:t>
      </w:r>
      <w:r>
        <w:rPr>
          <w:rFonts w:ascii="Times New Roman" w:hAnsi="Times New Roman" w:eastAsia="SimSun"/>
          <w:color w:val="000000"/>
          <w:sz w:val="24"/>
          <w:szCs w:val="24"/>
          <w:lang w:val="en-US" w:eastAsia="zh-CN" w:bidi="ar"/>
        </w:rPr>
        <w:t xml:space="preserve">Pharmacy Animal Ethics Committee, University </w:t>
      </w:r>
    </w:p>
    <w:p w14:paraId="12460CAC">
      <w:pPr>
        <w:jc w:val="both"/>
        <w:rPr>
          <w:rFonts w:ascii="Times New Roman" w:hAnsi="Times New Roman"/>
          <w:sz w:val="24"/>
          <w:szCs w:val="24"/>
        </w:rPr>
      </w:pPr>
      <w:r>
        <w:rPr>
          <w:rFonts w:ascii="Times New Roman" w:hAnsi="Times New Roman" w:eastAsia="SimSun"/>
          <w:color w:val="000000"/>
          <w:sz w:val="24"/>
          <w:szCs w:val="24"/>
          <w:lang w:val="en-US" w:eastAsia="zh-CN" w:bidi="ar"/>
        </w:rPr>
        <w:t xml:space="preserve">of Uyo. </w:t>
      </w:r>
    </w:p>
    <w:p w14:paraId="1479B179">
      <w:pPr>
        <w:jc w:val="both"/>
        <w:rPr>
          <w:rFonts w:ascii="Times New Roman" w:hAnsi="Times New Roman"/>
          <w:sz w:val="24"/>
          <w:szCs w:val="24"/>
        </w:rPr>
      </w:pPr>
      <w:r>
        <w:rPr>
          <w:rFonts w:ascii="Times New Roman" w:hAnsi="Times New Roman" w:eastAsia="Arial-BoldMT"/>
          <w:b/>
          <w:bCs/>
          <w:color w:val="000000"/>
          <w:sz w:val="24"/>
          <w:szCs w:val="24"/>
          <w:lang w:val="en-US" w:eastAsia="zh-CN" w:bidi="ar"/>
        </w:rPr>
        <w:t xml:space="preserve">DISCLAIMER (ARTIFICIAL INTELLIGENCE) </w:t>
      </w:r>
    </w:p>
    <w:p w14:paraId="07990715">
      <w:pPr>
        <w:jc w:val="both"/>
        <w:rPr>
          <w:rFonts w:ascii="Times New Roman" w:hAnsi="Times New Roman"/>
          <w:sz w:val="24"/>
          <w:szCs w:val="24"/>
        </w:rPr>
      </w:pPr>
      <w:r>
        <w:rPr>
          <w:rFonts w:ascii="Times New Roman" w:hAnsi="Times New Roman" w:eastAsia="SimSun"/>
          <w:color w:val="000000"/>
          <w:sz w:val="24"/>
          <w:szCs w:val="24"/>
          <w:lang w:val="en-US" w:eastAsia="zh-CN" w:bidi="ar"/>
        </w:rPr>
        <w:t xml:space="preserve">Author(s) hereby declare that NO generative AI </w:t>
      </w:r>
      <w:r>
        <w:rPr>
          <w:rFonts w:ascii="Times New Roman" w:hAnsi="Times New Roman" w:eastAsia="SimSun"/>
          <w:color w:val="000000"/>
          <w:sz w:val="24"/>
          <w:szCs w:val="24"/>
          <w:lang w:eastAsia="zh-CN" w:bidi="ar"/>
        </w:rPr>
        <w:t xml:space="preserve"> </w:t>
      </w:r>
      <w:r>
        <w:rPr>
          <w:rFonts w:ascii="Times New Roman" w:hAnsi="Times New Roman" w:eastAsia="SimSun"/>
          <w:color w:val="000000"/>
          <w:sz w:val="24"/>
          <w:szCs w:val="24"/>
          <w:lang w:val="en-US" w:eastAsia="zh-CN" w:bidi="ar"/>
        </w:rPr>
        <w:t xml:space="preserve">technologies such as Large Language Models </w:t>
      </w:r>
    </w:p>
    <w:p w14:paraId="6FB0591C">
      <w:pPr>
        <w:jc w:val="both"/>
        <w:rPr>
          <w:rFonts w:ascii="Times New Roman" w:hAnsi="Times New Roman"/>
          <w:sz w:val="24"/>
          <w:szCs w:val="24"/>
        </w:rPr>
      </w:pPr>
      <w:r>
        <w:rPr>
          <w:rFonts w:ascii="Times New Roman" w:hAnsi="Times New Roman" w:eastAsia="SimSun"/>
          <w:color w:val="000000"/>
          <w:sz w:val="24"/>
          <w:szCs w:val="24"/>
          <w:lang w:val="en-US" w:eastAsia="zh-CN" w:bidi="ar"/>
        </w:rPr>
        <w:t xml:space="preserve">(ChatGPT, COPILOT, etc.) and text-to-image generators have been used during the writing or </w:t>
      </w:r>
    </w:p>
    <w:p w14:paraId="7FD2562C">
      <w:pPr>
        <w:jc w:val="both"/>
        <w:rPr>
          <w:rFonts w:ascii="Times New Roman" w:hAnsi="Times New Roman"/>
          <w:sz w:val="24"/>
          <w:szCs w:val="24"/>
        </w:rPr>
      </w:pPr>
      <w:r>
        <w:rPr>
          <w:rFonts w:ascii="Times New Roman" w:hAnsi="Times New Roman" w:eastAsia="SimSun"/>
          <w:color w:val="000000"/>
          <w:sz w:val="24"/>
          <w:szCs w:val="24"/>
          <w:lang w:val="en-US" w:eastAsia="zh-CN" w:bidi="ar"/>
        </w:rPr>
        <w:t xml:space="preserve">editing of this manuscript. </w:t>
      </w:r>
    </w:p>
    <w:p w14:paraId="71BC00D2">
      <w:pPr>
        <w:pStyle w:val="4"/>
        <w:spacing w:line="480" w:lineRule="auto"/>
        <w:ind w:right="278"/>
        <w:jc w:val="both"/>
        <w:rPr>
          <w:rFonts w:ascii="Tahoma" w:hAnsi="Tahoma" w:cs="Tahoma"/>
          <w:b/>
          <w:bCs/>
          <w:iCs/>
          <w:sz w:val="24"/>
          <w:szCs w:val="24"/>
        </w:rPr>
      </w:pPr>
    </w:p>
    <w:p w14:paraId="00A582F4">
      <w:pPr>
        <w:autoSpaceDE w:val="0"/>
        <w:autoSpaceDN w:val="0"/>
        <w:adjustRightInd w:val="0"/>
        <w:spacing w:after="0" w:line="480" w:lineRule="auto"/>
        <w:jc w:val="both"/>
        <w:rPr>
          <w:rFonts w:ascii="Times New Roman" w:hAnsi="Times New Roman" w:eastAsia="Calibri"/>
          <w:sz w:val="24"/>
          <w:szCs w:val="24"/>
        </w:rPr>
      </w:pPr>
    </w:p>
    <w:p w14:paraId="46A0A3E1">
      <w:pPr>
        <w:autoSpaceDE w:val="0"/>
        <w:autoSpaceDN w:val="0"/>
        <w:adjustRightInd w:val="0"/>
        <w:spacing w:after="0" w:line="480" w:lineRule="auto"/>
        <w:jc w:val="both"/>
        <w:rPr>
          <w:rFonts w:ascii="Times New Roman" w:hAnsi="Times New Roman"/>
          <w:b/>
          <w:bCs/>
          <w:sz w:val="24"/>
          <w:szCs w:val="24"/>
        </w:rPr>
      </w:pPr>
    </w:p>
    <w:p w14:paraId="7FF90EBB">
      <w:pPr>
        <w:autoSpaceDE w:val="0"/>
        <w:autoSpaceDN w:val="0"/>
        <w:adjustRightInd w:val="0"/>
        <w:spacing w:after="0" w:line="480" w:lineRule="auto"/>
        <w:jc w:val="both"/>
        <w:rPr>
          <w:rFonts w:ascii="Times New Roman" w:hAnsi="Times New Roman"/>
          <w:b/>
          <w:bCs/>
          <w:sz w:val="24"/>
          <w:szCs w:val="24"/>
        </w:rPr>
      </w:pPr>
    </w:p>
    <w:p w14:paraId="45F4B378">
      <w:pPr>
        <w:autoSpaceDE w:val="0"/>
        <w:autoSpaceDN w:val="0"/>
        <w:adjustRightInd w:val="0"/>
        <w:spacing w:after="0" w:line="480" w:lineRule="auto"/>
        <w:jc w:val="both"/>
        <w:rPr>
          <w:rFonts w:ascii="Times New Roman" w:hAnsi="Times New Roman"/>
          <w:b/>
          <w:bCs/>
          <w:sz w:val="24"/>
          <w:szCs w:val="24"/>
        </w:rPr>
      </w:pPr>
    </w:p>
    <w:p w14:paraId="7393281E">
      <w:pPr>
        <w:autoSpaceDE w:val="0"/>
        <w:autoSpaceDN w:val="0"/>
        <w:adjustRightInd w:val="0"/>
        <w:spacing w:after="0" w:line="480" w:lineRule="auto"/>
        <w:jc w:val="both"/>
        <w:rPr>
          <w:rFonts w:ascii="Times New Roman" w:hAnsi="Times New Roman"/>
          <w:b/>
          <w:bCs/>
          <w:sz w:val="24"/>
          <w:szCs w:val="24"/>
        </w:rPr>
      </w:pPr>
    </w:p>
    <w:p w14:paraId="188A0A03">
      <w:pPr>
        <w:autoSpaceDE w:val="0"/>
        <w:autoSpaceDN w:val="0"/>
        <w:adjustRightInd w:val="0"/>
        <w:spacing w:after="0" w:line="480" w:lineRule="auto"/>
        <w:jc w:val="both"/>
        <w:rPr>
          <w:rFonts w:ascii="Times New Roman" w:hAnsi="Times New Roman"/>
          <w:b/>
          <w:bCs/>
          <w:sz w:val="24"/>
          <w:szCs w:val="24"/>
        </w:rPr>
      </w:pPr>
    </w:p>
    <w:p w14:paraId="4554721B">
      <w:pPr>
        <w:ind w:left="720" w:hanging="720"/>
        <w:rPr>
          <w:rFonts w:ascii="Times New Roman" w:hAnsi="Times New Roman"/>
          <w:sz w:val="24"/>
          <w:szCs w:val="24"/>
        </w:rPr>
      </w:pPr>
      <w:r>
        <w:rPr>
          <w:rFonts w:ascii="Times New Roman" w:hAnsi="Times New Roman"/>
          <w:sz w:val="24"/>
          <w:szCs w:val="24"/>
        </w:rPr>
        <w:t xml:space="preserve"> </w:t>
      </w:r>
    </w:p>
    <w:p w14:paraId="5311C6F9">
      <w:pPr>
        <w:autoSpaceDE w:val="0"/>
        <w:autoSpaceDN w:val="0"/>
        <w:adjustRightInd w:val="0"/>
        <w:spacing w:after="0" w:line="240" w:lineRule="auto"/>
        <w:ind w:firstLine="720"/>
        <w:jc w:val="both"/>
        <w:rPr>
          <w:rFonts w:ascii="Times New Roman" w:hAnsi="Times New Roman" w:eastAsia="Calibri"/>
          <w:sz w:val="24"/>
          <w:szCs w:val="24"/>
        </w:rPr>
        <w:sectPr>
          <w:pgSz w:w="11909" w:h="16834"/>
          <w:pgMar w:top="1411" w:right="850" w:bottom="850" w:left="1699" w:header="706" w:footer="706" w:gutter="0"/>
          <w:cols w:space="720" w:num="1"/>
          <w:docGrid w:linePitch="360" w:charSpace="0"/>
        </w:sectPr>
      </w:pPr>
    </w:p>
    <w:p w14:paraId="12C5A938">
      <w:pPr>
        <w:jc w:val="both"/>
        <w:rPr>
          <w:rFonts w:ascii="Times New Roman" w:hAnsi="Times New Roman"/>
          <w:b/>
          <w:sz w:val="24"/>
          <w:szCs w:val="24"/>
        </w:rPr>
      </w:pPr>
      <w:r>
        <w:rPr>
          <w:rFonts w:ascii="Times New Roman" w:hAnsi="Times New Roman"/>
          <w:b/>
          <w:sz w:val="24"/>
          <w:szCs w:val="24"/>
        </w:rPr>
        <w:t>REFERENCES</w:t>
      </w:r>
    </w:p>
    <w:p w14:paraId="6CE20808">
      <w:pPr>
        <w:autoSpaceDE w:val="0"/>
        <w:autoSpaceDN w:val="0"/>
        <w:adjustRightInd w:val="0"/>
        <w:spacing w:before="240" w:after="0"/>
        <w:ind w:right="-188"/>
        <w:jc w:val="both"/>
        <w:rPr>
          <w:rFonts w:ascii="Times New Roman" w:hAnsi="Times New Roman"/>
          <w:sz w:val="24"/>
          <w:szCs w:val="24"/>
        </w:rPr>
      </w:pPr>
      <w:r>
        <w:rPr>
          <w:rFonts w:ascii="Times New Roman" w:hAnsi="Times New Roman"/>
          <w:sz w:val="24"/>
          <w:szCs w:val="24"/>
        </w:rPr>
        <w:t xml:space="preserve">Abo, </w:t>
      </w:r>
      <w:r>
        <w:rPr>
          <w:rFonts w:ascii="Times New Roman" w:hAnsi="Times New Roman"/>
          <w:iCs/>
          <w:sz w:val="24"/>
          <w:szCs w:val="24"/>
        </w:rPr>
        <w:t>K. A.</w:t>
      </w:r>
      <w:r>
        <w:rPr>
          <w:rFonts w:ascii="Times New Roman" w:hAnsi="Times New Roman"/>
          <w:i/>
          <w:iCs/>
          <w:sz w:val="24"/>
          <w:szCs w:val="24"/>
        </w:rPr>
        <w:t xml:space="preserve">, </w:t>
      </w:r>
      <w:r>
        <w:rPr>
          <w:rFonts w:ascii="Times New Roman" w:hAnsi="Times New Roman"/>
          <w:sz w:val="24"/>
          <w:szCs w:val="24"/>
        </w:rPr>
        <w:t>Fred-Ja</w:t>
      </w:r>
      <w:r>
        <w:rPr>
          <w:rFonts w:ascii="Times New Roman" w:hAnsi="Times New Roman"/>
          <w:sz w:val="24"/>
          <w:szCs w:val="24"/>
        </w:rPr>
        <w:softHyphen/>
      </w:r>
      <w:r>
        <w:rPr>
          <w:rFonts w:ascii="Times New Roman" w:hAnsi="Times New Roman"/>
          <w:sz w:val="24"/>
          <w:szCs w:val="24"/>
        </w:rPr>
        <w:t xml:space="preserve">iyesimi, A. A. &amp; Jaiyesimi, A. E. A. (2008).  Ethnobotanical studies of medicinal plants used in the management of diabetes mellitus in South Western Nigeria. </w:t>
      </w:r>
      <w:r>
        <w:rPr>
          <w:rFonts w:ascii="Times New Roman" w:hAnsi="Times New Roman"/>
          <w:i/>
          <w:iCs/>
          <w:sz w:val="24"/>
          <w:szCs w:val="24"/>
        </w:rPr>
        <w:t xml:space="preserve">Journal of Ethnopharmacology </w:t>
      </w:r>
      <w:r>
        <w:rPr>
          <w:rFonts w:ascii="Times New Roman" w:hAnsi="Times New Roman"/>
          <w:sz w:val="24"/>
          <w:szCs w:val="24"/>
        </w:rPr>
        <w:t>IS: 67-71.</w:t>
      </w:r>
    </w:p>
    <w:p w14:paraId="33816BC6">
      <w:pPr>
        <w:autoSpaceDE w:val="0"/>
        <w:autoSpaceDN w:val="0"/>
        <w:adjustRightInd w:val="0"/>
        <w:spacing w:before="240" w:after="0" w:line="240" w:lineRule="auto"/>
        <w:jc w:val="both"/>
        <w:rPr>
          <w:rFonts w:ascii="Times New Roman" w:hAnsi="Times New Roman" w:eastAsia="Calibri"/>
          <w:sz w:val="24"/>
          <w:szCs w:val="24"/>
        </w:rPr>
      </w:pPr>
      <w:r>
        <w:rPr>
          <w:rFonts w:ascii="Times New Roman" w:hAnsi="Times New Roman" w:eastAsia="Calibri"/>
          <w:sz w:val="24"/>
          <w:szCs w:val="24"/>
        </w:rPr>
        <w:t xml:space="preserve">Abolaji, A. O., Adebayo, A. H. &amp; Odesanmi OS (2007). Effect of ethanolic extract of </w:t>
      </w:r>
      <w:r>
        <w:rPr>
          <w:rFonts w:ascii="Times New Roman" w:hAnsi="Times New Roman" w:eastAsia="Calibri"/>
          <w:i/>
          <w:iCs/>
          <w:sz w:val="24"/>
          <w:szCs w:val="24"/>
        </w:rPr>
        <w:t xml:space="preserve">Parinari polyandra </w:t>
      </w:r>
      <w:r>
        <w:rPr>
          <w:rFonts w:ascii="Times New Roman" w:hAnsi="Times New Roman" w:eastAsia="Calibri"/>
          <w:sz w:val="24"/>
          <w:szCs w:val="24"/>
        </w:rPr>
        <w:t xml:space="preserve">(Rosaceae) on serum lipid profile and some electrolytes in pregnant rabbits. </w:t>
      </w:r>
      <w:r>
        <w:rPr>
          <w:rFonts w:ascii="Times New Roman" w:hAnsi="Times New Roman" w:eastAsia="Calibri"/>
          <w:i/>
          <w:iCs/>
          <w:sz w:val="24"/>
          <w:szCs w:val="24"/>
        </w:rPr>
        <w:t>Research Journal of Medicinal Plants</w:t>
      </w:r>
      <w:r>
        <w:rPr>
          <w:rFonts w:ascii="Times New Roman" w:hAnsi="Times New Roman" w:eastAsia="Calibri"/>
          <w:sz w:val="24"/>
          <w:szCs w:val="24"/>
        </w:rPr>
        <w:t xml:space="preserve"> 1: 121- 127.</w:t>
      </w:r>
    </w:p>
    <w:p w14:paraId="3FFC0FF9">
      <w:pPr>
        <w:autoSpaceDE w:val="0"/>
        <w:autoSpaceDN w:val="0"/>
        <w:adjustRightInd w:val="0"/>
        <w:spacing w:before="240" w:after="0" w:line="240" w:lineRule="auto"/>
        <w:jc w:val="both"/>
        <w:rPr>
          <w:rFonts w:ascii="Times New Roman" w:hAnsi="Times New Roman"/>
          <w:sz w:val="24"/>
          <w:szCs w:val="24"/>
        </w:rPr>
      </w:pPr>
      <w:r>
        <w:rPr>
          <w:rFonts w:ascii="Times New Roman" w:hAnsi="Times New Roman"/>
          <w:sz w:val="24"/>
          <w:szCs w:val="24"/>
        </w:rPr>
        <w:t xml:space="preserve">Akpan EE, </w:t>
      </w:r>
      <w:r>
        <w:rPr>
          <w:rFonts w:ascii="Times New Roman" w:hAnsi="Times New Roman"/>
          <w:i/>
          <w:iCs/>
          <w:sz w:val="24"/>
          <w:szCs w:val="24"/>
        </w:rPr>
        <w:t xml:space="preserve"> </w:t>
      </w:r>
      <w:r>
        <w:rPr>
          <w:rFonts w:ascii="Times New Roman" w:hAnsi="Times New Roman"/>
          <w:sz w:val="24"/>
          <w:szCs w:val="24"/>
        </w:rPr>
        <w:t xml:space="preserve">Johnny II, Anagboso MO,Ebong OO,&amp; Okokon JE. (2024). Genotoxic and cytotoxic potentials of cornhusk extracts of </w:t>
      </w:r>
      <w:r>
        <w:rPr>
          <w:rFonts w:ascii="Times New Roman" w:hAnsi="Times New Roman"/>
          <w:i/>
          <w:iCs/>
          <w:sz w:val="24"/>
          <w:szCs w:val="24"/>
        </w:rPr>
        <w:t>Zea mays</w:t>
      </w:r>
      <w:r>
        <w:rPr>
          <w:rFonts w:ascii="Times New Roman" w:hAnsi="Times New Roman"/>
          <w:sz w:val="24"/>
          <w:szCs w:val="24"/>
        </w:rPr>
        <w:t xml:space="preserve"> and leaf extract of </w:t>
      </w:r>
      <w:r>
        <w:rPr>
          <w:rFonts w:ascii="Times New Roman" w:hAnsi="Times New Roman"/>
          <w:i/>
          <w:iCs/>
          <w:sz w:val="24"/>
          <w:szCs w:val="24"/>
        </w:rPr>
        <w:t>Saccharum officinarum.</w:t>
      </w:r>
      <w:r>
        <w:rPr>
          <w:rFonts w:ascii="Times New Roman" w:hAnsi="Times New Roman"/>
          <w:sz w:val="24"/>
          <w:szCs w:val="24"/>
        </w:rPr>
        <w:t xml:space="preserve"> </w:t>
      </w:r>
      <w:r>
        <w:rPr>
          <w:rFonts w:ascii="Times New Roman" w:hAnsi="Times New Roman" w:eastAsia="Tahoma"/>
          <w:i/>
          <w:iCs/>
          <w:sz w:val="24"/>
          <w:szCs w:val="24"/>
          <w:lang w:eastAsia="zh-CN" w:bidi="ar"/>
        </w:rPr>
        <w:t xml:space="preserve">Biology Medicine and Natural Product Chemistry </w:t>
      </w:r>
      <w:r>
        <w:rPr>
          <w:rFonts w:ascii="Times New Roman" w:hAnsi="Times New Roman" w:eastAsia="Tahoma"/>
          <w:sz w:val="24"/>
          <w:szCs w:val="24"/>
          <w:lang w:eastAsia="zh-CN" w:bidi="ar"/>
        </w:rPr>
        <w:t>13(2):531-540</w:t>
      </w:r>
      <w:r>
        <w:rPr>
          <w:rFonts w:ascii="Tahoma" w:hAnsi="Tahoma" w:eastAsia="Tahoma" w:cs="Tahoma"/>
          <w:bCs/>
          <w:sz w:val="24"/>
          <w:szCs w:val="24"/>
          <w:lang w:eastAsia="zh-CN" w:bidi="ar"/>
        </w:rPr>
        <w:t>.</w:t>
      </w:r>
      <w:r>
        <w:rPr>
          <w:rFonts w:ascii="Tahoma" w:hAnsi="Tahoma" w:eastAsia="Tahoma" w:cs="Tahoma"/>
          <w:b/>
          <w:sz w:val="24"/>
          <w:szCs w:val="24"/>
          <w:lang w:eastAsia="zh-CN" w:bidi="ar"/>
        </w:rPr>
        <w:t xml:space="preserve"> </w:t>
      </w:r>
    </w:p>
    <w:p w14:paraId="59B30967">
      <w:pPr>
        <w:jc w:val="both"/>
        <w:rPr>
          <w:rFonts w:ascii="Times New Roman" w:hAnsi="Times New Roman"/>
          <w:sz w:val="24"/>
          <w:szCs w:val="24"/>
        </w:rPr>
      </w:pPr>
    </w:p>
    <w:p w14:paraId="174E677C">
      <w:pPr>
        <w:jc w:val="both"/>
        <w:rPr>
          <w:rFonts w:ascii="Times New Roman" w:hAnsi="Times New Roman"/>
          <w:sz w:val="24"/>
          <w:szCs w:val="24"/>
        </w:rPr>
      </w:pPr>
      <w:r>
        <w:rPr>
          <w:rFonts w:ascii="Times New Roman" w:hAnsi="Times New Roman"/>
          <w:sz w:val="24"/>
          <w:szCs w:val="24"/>
        </w:rPr>
        <w:t xml:space="preserve">Ali, B.H., Ben, T.H. &amp; Basheer, A.A. (2001). Sex related differences in the susceptibility of rat to gentamicin nephrontoxicity: influence of gonad-ectomy and hormonal replacement therapy. </w:t>
      </w:r>
      <w:r>
        <w:rPr>
          <w:rFonts w:ascii="Times New Roman" w:hAnsi="Times New Roman"/>
          <w:i/>
          <w:iCs/>
          <w:sz w:val="24"/>
          <w:szCs w:val="24"/>
        </w:rPr>
        <w:t xml:space="preserve">Industrial Journal of Pharmacology </w:t>
      </w:r>
      <w:r>
        <w:rPr>
          <w:rFonts w:ascii="Times New Roman" w:hAnsi="Times New Roman"/>
          <w:sz w:val="24"/>
          <w:szCs w:val="24"/>
        </w:rPr>
        <w:t>33: 369-373.</w:t>
      </w:r>
    </w:p>
    <w:p w14:paraId="4B44A4E1">
      <w:pPr>
        <w:autoSpaceDE w:val="0"/>
        <w:autoSpaceDN w:val="0"/>
        <w:adjustRightInd w:val="0"/>
        <w:spacing w:before="240" w:after="0" w:line="240" w:lineRule="auto"/>
        <w:jc w:val="both"/>
        <w:rPr>
          <w:rFonts w:ascii="Times New Roman" w:hAnsi="Times New Roman" w:eastAsia="Calibri"/>
          <w:sz w:val="24"/>
          <w:szCs w:val="24"/>
        </w:rPr>
      </w:pPr>
      <w:r>
        <w:rPr>
          <w:rFonts w:ascii="Times New Roman" w:hAnsi="Times New Roman" w:eastAsia="Calibri"/>
          <w:sz w:val="24"/>
          <w:szCs w:val="24"/>
        </w:rPr>
        <w:t>Bashir, L., Shittu, O. K., Busari, M. B., Sani, S., &amp; Aisha, M. I. (2015). Safety evaluation of giant African land snails (</w:t>
      </w:r>
      <w:r>
        <w:rPr>
          <w:rFonts w:ascii="Times New Roman" w:hAnsi="Times New Roman" w:eastAsia="Calibri"/>
          <w:i/>
          <w:iCs/>
          <w:sz w:val="24"/>
          <w:szCs w:val="24"/>
        </w:rPr>
        <w:t>Archachatina maginata</w:t>
      </w:r>
      <w:r>
        <w:rPr>
          <w:rFonts w:ascii="Times New Roman" w:hAnsi="Times New Roman" w:eastAsia="Calibri"/>
          <w:sz w:val="24"/>
          <w:szCs w:val="24"/>
        </w:rPr>
        <w:t xml:space="preserve">) haemolymph on hematological and biochemical parameters of albino rats. </w:t>
      </w:r>
      <w:r>
        <w:rPr>
          <w:rFonts w:ascii="Times New Roman" w:hAnsi="Times New Roman" w:eastAsia="Calibri"/>
          <w:i/>
          <w:iCs/>
          <w:sz w:val="24"/>
          <w:szCs w:val="24"/>
        </w:rPr>
        <w:t>Journal of Advances in Medical and Pharmaceutical Sci</w:t>
      </w:r>
      <w:r>
        <w:rPr>
          <w:rFonts w:ascii="Times New Roman" w:hAnsi="Times New Roman" w:eastAsia="Calibri"/>
          <w:sz w:val="24"/>
          <w:szCs w:val="24"/>
        </w:rPr>
        <w:t xml:space="preserve">ences, </w:t>
      </w:r>
      <w:r>
        <w:rPr>
          <w:rFonts w:ascii="Times New Roman" w:hAnsi="Times New Roman" w:eastAsia="Calibri"/>
          <w:i/>
          <w:iCs/>
          <w:sz w:val="24"/>
          <w:szCs w:val="24"/>
        </w:rPr>
        <w:t>3</w:t>
      </w:r>
      <w:r>
        <w:rPr>
          <w:rFonts w:ascii="Times New Roman" w:hAnsi="Times New Roman" w:eastAsia="Calibri"/>
          <w:sz w:val="24"/>
          <w:szCs w:val="24"/>
        </w:rPr>
        <w:t>(3), 122-30.</w:t>
      </w:r>
    </w:p>
    <w:p w14:paraId="06F29A9E">
      <w:pPr>
        <w:autoSpaceDE w:val="0"/>
        <w:autoSpaceDN w:val="0"/>
        <w:adjustRightInd w:val="0"/>
        <w:spacing w:before="240" w:after="0" w:line="240" w:lineRule="auto"/>
        <w:jc w:val="both"/>
        <w:rPr>
          <w:rFonts w:ascii="Times New Roman" w:hAnsi="Times New Roman" w:eastAsia="Calibri"/>
          <w:sz w:val="24"/>
          <w:szCs w:val="24"/>
        </w:rPr>
      </w:pPr>
      <w:r>
        <w:rPr>
          <w:rFonts w:ascii="Times New Roman" w:hAnsi="Times New Roman" w:eastAsia="Calibri"/>
          <w:sz w:val="24"/>
          <w:szCs w:val="24"/>
        </w:rPr>
        <w:t xml:space="preserve">Berinyuy, E. B., Lawal, B., Olalekan, A. A., Olalekan, I. A., Yusuf, A. A., Sakpe, S., &amp;Ossai, P. C. (2015). Hematological status and organs/body-weight parameters in Wister rats during chronic administration of </w:t>
      </w:r>
      <w:r>
        <w:rPr>
          <w:rFonts w:ascii="Times New Roman" w:hAnsi="Times New Roman" w:eastAsia="Calibri"/>
          <w:i/>
          <w:iCs/>
          <w:sz w:val="24"/>
          <w:szCs w:val="24"/>
        </w:rPr>
        <w:t>Cassia occidentalis</w:t>
      </w:r>
      <w:r>
        <w:rPr>
          <w:rFonts w:ascii="Times New Roman" w:hAnsi="Times New Roman" w:eastAsia="Calibri"/>
          <w:sz w:val="24"/>
          <w:szCs w:val="24"/>
        </w:rPr>
        <w:t xml:space="preserve">. </w:t>
      </w:r>
      <w:r>
        <w:rPr>
          <w:rFonts w:ascii="Times New Roman" w:hAnsi="Times New Roman" w:eastAsia="Calibri"/>
          <w:i/>
          <w:iCs/>
          <w:sz w:val="24"/>
          <w:szCs w:val="24"/>
        </w:rPr>
        <w:t>International Blood Research and Review</w:t>
      </w:r>
      <w:r>
        <w:rPr>
          <w:rFonts w:ascii="Times New Roman" w:hAnsi="Times New Roman" w:eastAsia="Calibri"/>
          <w:sz w:val="24"/>
          <w:szCs w:val="24"/>
        </w:rPr>
        <w:t xml:space="preserve">, </w:t>
      </w:r>
      <w:r>
        <w:rPr>
          <w:rFonts w:ascii="Times New Roman" w:hAnsi="Times New Roman" w:eastAsia="Calibri"/>
          <w:i/>
          <w:iCs/>
          <w:sz w:val="24"/>
          <w:szCs w:val="24"/>
        </w:rPr>
        <w:t>4</w:t>
      </w:r>
      <w:r>
        <w:rPr>
          <w:rFonts w:ascii="Times New Roman" w:hAnsi="Times New Roman" w:eastAsia="Calibri"/>
          <w:sz w:val="24"/>
          <w:szCs w:val="24"/>
        </w:rPr>
        <w:t xml:space="preserve">(3), 1-7. </w:t>
      </w:r>
    </w:p>
    <w:p w14:paraId="06148A6B">
      <w:pPr>
        <w:autoSpaceDE w:val="0"/>
        <w:autoSpaceDN w:val="0"/>
        <w:adjustRightInd w:val="0"/>
        <w:spacing w:before="240" w:after="0" w:line="240" w:lineRule="auto"/>
        <w:jc w:val="both"/>
        <w:rPr>
          <w:rFonts w:ascii="Times New Roman" w:hAnsi="Times New Roman"/>
          <w:bCs/>
          <w:sz w:val="24"/>
          <w:szCs w:val="24"/>
        </w:rPr>
      </w:pPr>
      <w:r>
        <w:rPr>
          <w:rFonts w:ascii="Times New Roman" w:hAnsi="Times New Roman"/>
          <w:bCs/>
          <w:color w:val="000000"/>
          <w:sz w:val="24"/>
          <w:szCs w:val="24"/>
        </w:rPr>
        <w:t>Brobbey, A.A.</w:t>
      </w:r>
      <w:r>
        <w:rPr>
          <w:rFonts w:ascii="Times New Roman" w:hAnsi="Times New Roman"/>
          <w:color w:val="000000"/>
          <w:sz w:val="24"/>
          <w:szCs w:val="24"/>
        </w:rPr>
        <w:t xml:space="preserve">, Somuah-Asante, S., Asare-Nkansah, S., Boateng, F. O. &amp; Ayensu, I. (2017).  </w:t>
      </w:r>
      <w:r>
        <w:rPr>
          <w:rFonts w:ascii="Times New Roman" w:hAnsi="Times New Roman"/>
          <w:bCs/>
          <w:color w:val="000000"/>
          <w:sz w:val="24"/>
          <w:szCs w:val="24"/>
        </w:rPr>
        <w:t xml:space="preserve">Preliminary phytochemical screening and scientific validation of the anti-diabetic effect of the dried husk of </w:t>
      </w:r>
      <w:r>
        <w:rPr>
          <w:rFonts w:ascii="Times New Roman" w:hAnsi="Times New Roman"/>
          <w:bCs/>
          <w:i/>
          <w:color w:val="000000"/>
          <w:sz w:val="24"/>
          <w:szCs w:val="24"/>
        </w:rPr>
        <w:t>Zea mays</w:t>
      </w:r>
      <w:r>
        <w:rPr>
          <w:rFonts w:ascii="Times New Roman" w:hAnsi="Times New Roman"/>
          <w:bCs/>
          <w:color w:val="000000"/>
          <w:sz w:val="24"/>
          <w:szCs w:val="24"/>
        </w:rPr>
        <w:t xml:space="preserve"> L. (Corn, Poaceae) </w:t>
      </w:r>
      <w:r>
        <w:rPr>
          <w:rFonts w:ascii="Times New Roman" w:hAnsi="Times New Roman"/>
          <w:i/>
          <w:iCs/>
          <w:sz w:val="24"/>
          <w:szCs w:val="24"/>
        </w:rPr>
        <w:t>International Journal of Phytopharmacy</w:t>
      </w:r>
      <w:r>
        <w:rPr>
          <w:rFonts w:ascii="Times New Roman" w:hAnsi="Times New Roman"/>
          <w:sz w:val="24"/>
          <w:szCs w:val="24"/>
        </w:rPr>
        <w:t>. 7 (1): 01-05.</w:t>
      </w:r>
    </w:p>
    <w:p w14:paraId="4D011E8C">
      <w:pPr>
        <w:autoSpaceDE w:val="0"/>
        <w:autoSpaceDN w:val="0"/>
        <w:adjustRightInd w:val="0"/>
        <w:spacing w:before="240" w:after="0" w:line="240" w:lineRule="auto"/>
        <w:jc w:val="both"/>
        <w:rPr>
          <w:rFonts w:ascii="Times New Roman" w:hAnsi="Times New Roman"/>
          <w:sz w:val="24"/>
          <w:szCs w:val="24"/>
        </w:rPr>
      </w:pPr>
      <w:r>
        <w:rPr>
          <w:rFonts w:ascii="Times New Roman" w:hAnsi="Times New Roman"/>
          <w:sz w:val="24"/>
          <w:szCs w:val="24"/>
        </w:rPr>
        <w:t xml:space="preserve">Dong, J., Cai, L., Zhu, X., Huang, X., Yin, T., Fang, H. &amp; Ding, Z. (2014). Antioxidant activities and phenolic compounds of cornhusk, corncob and </w:t>
      </w:r>
      <w:r>
        <w:rPr>
          <w:rFonts w:ascii="Times New Roman" w:hAnsi="Times New Roman"/>
          <w:i/>
          <w:iCs/>
          <w:sz w:val="24"/>
          <w:szCs w:val="24"/>
        </w:rPr>
        <w:t xml:space="preserve">Stigma Maydis. Journal of Brazilian Chemical Society. </w:t>
      </w:r>
      <w:r>
        <w:rPr>
          <w:rFonts w:ascii="Times New Roman" w:hAnsi="Times New Roman"/>
          <w:bCs/>
          <w:sz w:val="24"/>
          <w:szCs w:val="24"/>
        </w:rPr>
        <w:t>25</w:t>
      </w:r>
      <w:r>
        <w:rPr>
          <w:rFonts w:ascii="Times New Roman" w:hAnsi="Times New Roman"/>
          <w:sz w:val="24"/>
          <w:szCs w:val="24"/>
        </w:rPr>
        <w:t>: 1956-1964.</w:t>
      </w:r>
    </w:p>
    <w:p w14:paraId="09635D52">
      <w:pPr>
        <w:spacing w:before="240"/>
        <w:jc w:val="both"/>
        <w:rPr>
          <w:rFonts w:ascii="Times New Roman" w:hAnsi="Times New Roman" w:eastAsia="Calibri"/>
          <w:bCs/>
          <w:sz w:val="24"/>
          <w:szCs w:val="24"/>
        </w:rPr>
      </w:pPr>
      <w:r>
        <w:rPr>
          <w:rFonts w:ascii="Times New Roman" w:hAnsi="Times New Roman" w:eastAsia="Calibri"/>
          <w:bCs/>
          <w:sz w:val="24"/>
          <w:szCs w:val="24"/>
        </w:rPr>
        <w:t xml:space="preserve">Farah, A. O., Nooraain H, Noriham A, Azizah AH, &amp; Nurul HR. (2013). Acute and oral subacute toxicity study of ethanolic extract of </w:t>
      </w:r>
      <w:r>
        <w:rPr>
          <w:rFonts w:ascii="Times New Roman" w:hAnsi="Times New Roman" w:eastAsia="Calibri"/>
          <w:bCs/>
          <w:i/>
          <w:sz w:val="24"/>
          <w:szCs w:val="24"/>
        </w:rPr>
        <w:t>Cosmos caudatus</w:t>
      </w:r>
      <w:r>
        <w:rPr>
          <w:rFonts w:ascii="Times New Roman" w:hAnsi="Times New Roman" w:eastAsia="Calibri"/>
          <w:bCs/>
          <w:sz w:val="24"/>
          <w:szCs w:val="24"/>
        </w:rPr>
        <w:t xml:space="preserve"> leaf in Sprague Dawley Rats. </w:t>
      </w:r>
      <w:r>
        <w:rPr>
          <w:rFonts w:ascii="Times New Roman" w:hAnsi="Times New Roman" w:eastAsia="Calibri"/>
          <w:bCs/>
          <w:i/>
          <w:iCs/>
          <w:sz w:val="24"/>
          <w:szCs w:val="24"/>
        </w:rPr>
        <w:t>International Journal of Biosciences, Biochemistry and Bioinformatics</w:t>
      </w:r>
      <w:r>
        <w:rPr>
          <w:rFonts w:ascii="Times New Roman" w:hAnsi="Times New Roman" w:eastAsia="Calibri"/>
          <w:bCs/>
          <w:sz w:val="24"/>
          <w:szCs w:val="24"/>
        </w:rPr>
        <w:t xml:space="preserve">. </w:t>
      </w:r>
      <w:r>
        <w:rPr>
          <w:rFonts w:ascii="Times New Roman" w:hAnsi="Times New Roman" w:eastAsia="Calibri"/>
          <w:sz w:val="24"/>
          <w:szCs w:val="24"/>
        </w:rPr>
        <w:t>3(4):</w:t>
      </w:r>
      <w:r>
        <w:rPr>
          <w:rFonts w:ascii="Times New Roman" w:hAnsi="Times New Roman" w:eastAsia="Calibri"/>
          <w:bCs/>
          <w:sz w:val="24"/>
          <w:szCs w:val="24"/>
        </w:rPr>
        <w:t xml:space="preserve"> 301-305.</w:t>
      </w:r>
    </w:p>
    <w:p w14:paraId="3CAA60F9">
      <w:pPr>
        <w:jc w:val="both"/>
        <w:rPr>
          <w:rFonts w:ascii="Times New Roman" w:hAnsi="Times New Roman"/>
          <w:sz w:val="24"/>
          <w:szCs w:val="24"/>
        </w:rPr>
      </w:pPr>
      <w:r>
        <w:rPr>
          <w:rFonts w:ascii="Times New Roman" w:hAnsi="Times New Roman"/>
          <w:sz w:val="24"/>
          <w:szCs w:val="24"/>
        </w:rPr>
        <w:t xml:space="preserve">Flaoyen, A., Hove, K.&amp; Wilkins, A.L. (2001). Tolerance to nephrotoxic component of </w:t>
      </w:r>
      <w:r>
        <w:rPr>
          <w:rFonts w:ascii="Times New Roman" w:hAnsi="Times New Roman"/>
          <w:i/>
          <w:iCs/>
          <w:sz w:val="24"/>
          <w:szCs w:val="24"/>
        </w:rPr>
        <w:t xml:space="preserve">Narthecium ossifragum </w:t>
      </w:r>
      <w:r>
        <w:rPr>
          <w:rFonts w:ascii="Times New Roman" w:hAnsi="Times New Roman"/>
          <w:sz w:val="24"/>
          <w:szCs w:val="24"/>
        </w:rPr>
        <w:t xml:space="preserve">in sheep: The effects of repeated oral doses of plant extracts. </w:t>
      </w:r>
      <w:r>
        <w:rPr>
          <w:rFonts w:ascii="Times New Roman" w:hAnsi="Times New Roman"/>
          <w:i/>
          <w:sz w:val="24"/>
          <w:szCs w:val="24"/>
        </w:rPr>
        <w:t>Veterinary Research Communication</w:t>
      </w:r>
      <w:r>
        <w:rPr>
          <w:rFonts w:ascii="Times New Roman" w:hAnsi="Times New Roman"/>
          <w:sz w:val="24"/>
          <w:szCs w:val="24"/>
        </w:rPr>
        <w:t>. 25: 127-136.</w:t>
      </w:r>
    </w:p>
    <w:p w14:paraId="066BA52F">
      <w:pPr>
        <w:autoSpaceDE w:val="0"/>
        <w:autoSpaceDN w:val="0"/>
        <w:adjustRightInd w:val="0"/>
        <w:spacing w:before="240" w:after="0"/>
        <w:ind w:right="-188"/>
        <w:jc w:val="both"/>
        <w:rPr>
          <w:rFonts w:ascii="Times New Roman" w:hAnsi="Times New Roman"/>
          <w:sz w:val="24"/>
          <w:szCs w:val="24"/>
        </w:rPr>
      </w:pPr>
      <w:r>
        <w:rPr>
          <w:rFonts w:ascii="Times New Roman" w:hAnsi="Times New Roman"/>
          <w:sz w:val="24"/>
          <w:szCs w:val="24"/>
        </w:rPr>
        <w:t xml:space="preserve">Foster, S. &amp; Duke, J. A. (1990). </w:t>
      </w:r>
      <w:r>
        <w:rPr>
          <w:rFonts w:ascii="Times New Roman" w:hAnsi="Times New Roman"/>
          <w:iCs/>
          <w:sz w:val="24"/>
          <w:szCs w:val="24"/>
        </w:rPr>
        <w:t xml:space="preserve">Field Guide 10 Medical Plants: Eastern and Central North America. </w:t>
      </w:r>
      <w:r>
        <w:rPr>
          <w:rFonts w:ascii="Times New Roman" w:hAnsi="Times New Roman"/>
          <w:sz w:val="24"/>
          <w:szCs w:val="24"/>
        </w:rPr>
        <w:t>Houghton MifAin, Boston.</w:t>
      </w:r>
    </w:p>
    <w:p w14:paraId="1EDB8AAB">
      <w:pPr>
        <w:autoSpaceDE w:val="0"/>
        <w:autoSpaceDN w:val="0"/>
        <w:adjustRightInd w:val="0"/>
        <w:spacing w:before="240" w:after="0" w:line="240" w:lineRule="auto"/>
        <w:jc w:val="both"/>
        <w:rPr>
          <w:rFonts w:ascii="Times New Roman" w:hAnsi="Times New Roman"/>
          <w:sz w:val="24"/>
          <w:szCs w:val="24"/>
        </w:rPr>
      </w:pPr>
      <w:r>
        <w:rPr>
          <w:rFonts w:ascii="Times New Roman" w:hAnsi="Times New Roman"/>
          <w:sz w:val="24"/>
          <w:szCs w:val="24"/>
        </w:rPr>
        <w:t xml:space="preserve">Friedewald, W. T., Levy, R. I. &amp; Fredrickson, D. S. (1972). Estimation of the concentration of low-density lipoprotein cholesterol in plasma, without use of the preparative ultracentrifuge. </w:t>
      </w:r>
      <w:r>
        <w:rPr>
          <w:rFonts w:ascii="Times New Roman" w:hAnsi="Times New Roman"/>
          <w:i/>
          <w:sz w:val="24"/>
          <w:szCs w:val="24"/>
        </w:rPr>
        <w:t>Clinical Chemistry,</w:t>
      </w:r>
      <w:r>
        <w:rPr>
          <w:rFonts w:ascii="Times New Roman" w:hAnsi="Times New Roman"/>
          <w:sz w:val="24"/>
          <w:szCs w:val="24"/>
        </w:rPr>
        <w:t xml:space="preserve"> 18(6): 499 – 502. </w:t>
      </w:r>
    </w:p>
    <w:p w14:paraId="7F7E7679">
      <w:pPr>
        <w:autoSpaceDE w:val="0"/>
        <w:autoSpaceDN w:val="0"/>
        <w:adjustRightInd w:val="0"/>
        <w:spacing w:after="0"/>
        <w:ind w:left="720" w:right="-188" w:hanging="720"/>
        <w:jc w:val="both"/>
        <w:rPr>
          <w:rFonts w:ascii="Times New Roman" w:hAnsi="Times New Roman"/>
          <w:sz w:val="24"/>
          <w:szCs w:val="24"/>
        </w:rPr>
      </w:pPr>
    </w:p>
    <w:p w14:paraId="72451953">
      <w:pPr>
        <w:autoSpaceDE w:val="0"/>
        <w:autoSpaceDN w:val="0"/>
        <w:adjustRightInd w:val="0"/>
        <w:spacing w:after="0"/>
        <w:ind w:left="720" w:right="-188" w:hanging="720"/>
        <w:jc w:val="both"/>
        <w:rPr>
          <w:rFonts w:ascii="Times New Roman" w:hAnsi="Times New Roman"/>
          <w:sz w:val="24"/>
          <w:szCs w:val="24"/>
        </w:rPr>
      </w:pPr>
      <w:r>
        <w:rPr>
          <w:rFonts w:ascii="Times New Roman" w:hAnsi="Times New Roman"/>
          <w:sz w:val="24"/>
          <w:szCs w:val="24"/>
        </w:rPr>
        <w:t xml:space="preserve">Gill, L. S. (1992). </w:t>
      </w:r>
      <w:r>
        <w:rPr>
          <w:rFonts w:ascii="Times New Roman" w:hAnsi="Times New Roman"/>
          <w:iCs/>
          <w:sz w:val="24"/>
          <w:szCs w:val="24"/>
        </w:rPr>
        <w:t>Ethnomedical Uses of Plants in Nigeria</w:t>
      </w:r>
      <w:r>
        <w:rPr>
          <w:rFonts w:ascii="Times New Roman" w:hAnsi="Times New Roman"/>
          <w:i/>
          <w:iCs/>
          <w:sz w:val="24"/>
          <w:szCs w:val="24"/>
        </w:rPr>
        <w:t xml:space="preserve">. </w:t>
      </w:r>
      <w:r>
        <w:rPr>
          <w:rFonts w:ascii="Times New Roman" w:hAnsi="Times New Roman"/>
          <w:sz w:val="24"/>
          <w:szCs w:val="24"/>
        </w:rPr>
        <w:t>Uniben Press, Benin, Nigeria, p: 249.</w:t>
      </w:r>
    </w:p>
    <w:p w14:paraId="2249F5AA">
      <w:pPr>
        <w:spacing w:before="240"/>
        <w:jc w:val="both"/>
        <w:rPr>
          <w:rStyle w:val="14"/>
          <w:rFonts w:ascii="Times New Roman" w:hAnsi="Times New Roman" w:cs="Times New Roman"/>
          <w:sz w:val="24"/>
          <w:szCs w:val="24"/>
        </w:rPr>
      </w:pPr>
      <w:r>
        <w:rPr>
          <w:rStyle w:val="14"/>
          <w:rFonts w:ascii="Times New Roman" w:hAnsi="Times New Roman" w:cs="Times New Roman"/>
          <w:sz w:val="24"/>
          <w:szCs w:val="24"/>
        </w:rPr>
        <w:t xml:space="preserve">Jadhav, S. M. (2016). Protective effect of </w:t>
      </w:r>
      <w:r>
        <w:rPr>
          <w:rStyle w:val="14"/>
          <w:rFonts w:ascii="Times New Roman" w:hAnsi="Times New Roman" w:cs="Times New Roman"/>
          <w:i/>
          <w:sz w:val="24"/>
          <w:szCs w:val="24"/>
        </w:rPr>
        <w:t>Zea mays</w:t>
      </w:r>
      <w:r>
        <w:rPr>
          <w:rStyle w:val="14"/>
          <w:rFonts w:ascii="Times New Roman" w:hAnsi="Times New Roman" w:cs="Times New Roman"/>
          <w:sz w:val="24"/>
          <w:szCs w:val="24"/>
        </w:rPr>
        <w:t xml:space="preserve"> on experimentally induced gastric ulcer in rats. </w:t>
      </w:r>
      <w:r>
        <w:rPr>
          <w:rStyle w:val="14"/>
          <w:rFonts w:ascii="Times New Roman" w:hAnsi="Times New Roman" w:cs="Times New Roman"/>
          <w:i/>
          <w:sz w:val="24"/>
          <w:szCs w:val="24"/>
        </w:rPr>
        <w:t>Imperial Journal of Interdisciplinary Research,</w:t>
      </w:r>
      <w:r>
        <w:rPr>
          <w:rStyle w:val="14"/>
          <w:rFonts w:ascii="Times New Roman" w:hAnsi="Times New Roman" w:cs="Times New Roman"/>
          <w:sz w:val="24"/>
          <w:szCs w:val="24"/>
        </w:rPr>
        <w:t xml:space="preserve"> 2: 8.</w:t>
      </w:r>
    </w:p>
    <w:p w14:paraId="1D05F458">
      <w:pPr>
        <w:autoSpaceDE w:val="0"/>
        <w:autoSpaceDN w:val="0"/>
        <w:adjustRightInd w:val="0"/>
        <w:spacing w:before="240" w:after="0" w:line="240" w:lineRule="auto"/>
        <w:jc w:val="both"/>
        <w:rPr>
          <w:rFonts w:ascii="Times New Roman" w:hAnsi="Times New Roman"/>
          <w:color w:val="000000"/>
          <w:sz w:val="24"/>
          <w:szCs w:val="24"/>
        </w:rPr>
      </w:pPr>
      <w:r>
        <w:rPr>
          <w:rFonts w:ascii="Times New Roman" w:hAnsi="Times New Roman" w:eastAsia="Calibri"/>
          <w:sz w:val="24"/>
          <w:szCs w:val="24"/>
        </w:rPr>
        <w:t xml:space="preserve">Kaplan, A., Szabo, L. V. L.&amp; Opheim, K. E. (1979). Clinical Chemistry: Interpretation and Techniques: </w:t>
      </w:r>
      <w:r>
        <w:rPr>
          <w:rFonts w:ascii="Times New Roman" w:hAnsi="Times New Roman" w:eastAsia="Calibri"/>
          <w:i/>
          <w:sz w:val="24"/>
          <w:szCs w:val="24"/>
        </w:rPr>
        <w:t>Lea &amp; Febiger Philadelphia</w:t>
      </w:r>
      <w:r>
        <w:rPr>
          <w:rFonts w:ascii="Times New Roman" w:hAnsi="Times New Roman" w:eastAsia="Calibri"/>
          <w:sz w:val="24"/>
          <w:szCs w:val="24"/>
        </w:rPr>
        <w:t>; 1979.</w:t>
      </w:r>
    </w:p>
    <w:p w14:paraId="7B97B167">
      <w:pPr>
        <w:spacing w:before="240" w:after="0" w:line="240" w:lineRule="auto"/>
        <w:jc w:val="both"/>
        <w:rPr>
          <w:rFonts w:ascii="Times New Roman" w:hAnsi="Times New Roman"/>
          <w:sz w:val="24"/>
          <w:szCs w:val="24"/>
        </w:rPr>
      </w:pPr>
      <w:r>
        <w:rPr>
          <w:rFonts w:ascii="Times New Roman" w:hAnsi="Times New Roman"/>
          <w:sz w:val="24"/>
          <w:szCs w:val="24"/>
        </w:rPr>
        <w:t xml:space="preserve">Lawal, I. O., Grierson, D. O. &amp; Afolayan, A. I. (2015). Phytochemical and Antioxidant investigations of ma Clause a Aniston Hook; A South African medicinal plant. </w:t>
      </w:r>
      <w:r>
        <w:rPr>
          <w:rFonts w:ascii="Times New Roman" w:hAnsi="Times New Roman"/>
          <w:i/>
          <w:sz w:val="24"/>
          <w:szCs w:val="24"/>
        </w:rPr>
        <w:t>African Journal of Traditional complimentary Alternative Medicine</w:t>
      </w:r>
      <w:r>
        <w:rPr>
          <w:rFonts w:ascii="Times New Roman" w:hAnsi="Times New Roman"/>
          <w:sz w:val="24"/>
          <w:szCs w:val="24"/>
        </w:rPr>
        <w:t>. 12(1): 28-37.</w:t>
      </w:r>
    </w:p>
    <w:p w14:paraId="5B1F6186">
      <w:pPr>
        <w:pStyle w:val="10"/>
        <w:rPr>
          <w:rFonts w:ascii="Times New Roman" w:hAnsi="Times New Roman"/>
          <w:sz w:val="24"/>
          <w:szCs w:val="24"/>
        </w:rPr>
      </w:pPr>
      <w:r>
        <w:fldChar w:fldCharType="begin"/>
      </w:r>
      <w:r>
        <w:instrText xml:space="preserve"> HYPERLINK "http://pubs.acs.org/author/Li%2C+Chun-Ying" </w:instrText>
      </w:r>
      <w:r>
        <w:fldChar w:fldCharType="separate"/>
      </w:r>
      <w:r>
        <w:rPr>
          <w:rFonts w:ascii="Times New Roman" w:hAnsi="Times New Roman"/>
          <w:sz w:val="24"/>
          <w:szCs w:val="24"/>
          <w:lang w:eastAsia="en-GB"/>
        </w:rPr>
        <w:t>Li</w:t>
      </w:r>
      <w:r>
        <w:rPr>
          <w:rFonts w:ascii="Times New Roman" w:hAnsi="Times New Roman"/>
          <w:sz w:val="24"/>
          <w:szCs w:val="24"/>
          <w:lang w:eastAsia="en-GB"/>
        </w:rPr>
        <w:fldChar w:fldCharType="end"/>
      </w:r>
      <w:r>
        <w:rPr>
          <w:rFonts w:ascii="Times New Roman" w:hAnsi="Times New Roman"/>
          <w:sz w:val="24"/>
          <w:szCs w:val="24"/>
          <w:lang w:eastAsia="en-GB"/>
        </w:rPr>
        <w:t>,</w:t>
      </w:r>
      <w:r>
        <w:fldChar w:fldCharType="begin"/>
      </w:r>
      <w:r>
        <w:instrText xml:space="preserve"> HYPERLINK "http://pubs.acs.org/doi/pdf/10.1021/jf802201c" \l "afn1" </w:instrText>
      </w:r>
      <w:r>
        <w:fldChar w:fldCharType="separate"/>
      </w:r>
      <w:r>
        <w:fldChar w:fldCharType="end"/>
      </w:r>
      <w:r>
        <w:rPr>
          <w:rFonts w:ascii="Times New Roman" w:hAnsi="Times New Roman"/>
          <w:sz w:val="24"/>
          <w:szCs w:val="24"/>
          <w:lang w:eastAsia="en-GB"/>
        </w:rPr>
        <w:t xml:space="preserve">  C., </w:t>
      </w:r>
      <w:r>
        <w:fldChar w:fldCharType="begin"/>
      </w:r>
      <w:r>
        <w:instrText xml:space="preserve"> HYPERLINK "http://pubs.acs.org/author/Kim%2C+Hee-Woong" </w:instrText>
      </w:r>
      <w:r>
        <w:fldChar w:fldCharType="separate"/>
      </w:r>
      <w:r>
        <w:rPr>
          <w:rFonts w:ascii="Times New Roman" w:hAnsi="Times New Roman"/>
          <w:sz w:val="24"/>
          <w:szCs w:val="24"/>
          <w:lang w:eastAsia="en-GB"/>
        </w:rPr>
        <w:t xml:space="preserve">  Kim</w:t>
      </w:r>
      <w:r>
        <w:rPr>
          <w:rFonts w:ascii="Times New Roman" w:hAnsi="Times New Roman"/>
          <w:sz w:val="24"/>
          <w:szCs w:val="24"/>
          <w:lang w:eastAsia="en-GB"/>
        </w:rPr>
        <w:fldChar w:fldCharType="end"/>
      </w:r>
      <w:r>
        <w:rPr>
          <w:rFonts w:ascii="Times New Roman" w:hAnsi="Times New Roman"/>
          <w:sz w:val="24"/>
          <w:szCs w:val="24"/>
          <w:lang w:eastAsia="en-GB"/>
        </w:rPr>
        <w:t>,</w:t>
      </w:r>
      <w:r>
        <w:fldChar w:fldCharType="begin"/>
      </w:r>
      <w:r>
        <w:instrText xml:space="preserve"> HYPERLINK "http://pubs.acs.org/doi/pdf/10.1021/jf802201c" \l "afn1" </w:instrText>
      </w:r>
      <w:r>
        <w:fldChar w:fldCharType="separate"/>
      </w:r>
      <w:r>
        <w:fldChar w:fldCharType="end"/>
      </w:r>
      <w:r>
        <w:rPr>
          <w:rFonts w:ascii="Times New Roman" w:hAnsi="Times New Roman"/>
          <w:sz w:val="24"/>
          <w:szCs w:val="24"/>
          <w:lang w:eastAsia="en-GB"/>
        </w:rPr>
        <w:t xml:space="preserve"> H., </w:t>
      </w:r>
      <w:r>
        <w:fldChar w:fldCharType="begin"/>
      </w:r>
      <w:r>
        <w:instrText xml:space="preserve"> HYPERLINK "http://pubs.acs.org/author/Won%2C+Se-Ra" </w:instrText>
      </w:r>
      <w:r>
        <w:fldChar w:fldCharType="separate"/>
      </w:r>
      <w:r>
        <w:rPr>
          <w:rFonts w:ascii="Times New Roman" w:hAnsi="Times New Roman"/>
          <w:sz w:val="24"/>
          <w:szCs w:val="24"/>
          <w:lang w:eastAsia="en-GB"/>
        </w:rPr>
        <w:t>Won</w:t>
      </w:r>
      <w:r>
        <w:rPr>
          <w:rFonts w:ascii="Times New Roman" w:hAnsi="Times New Roman"/>
          <w:sz w:val="24"/>
          <w:szCs w:val="24"/>
          <w:lang w:eastAsia="en-GB"/>
        </w:rPr>
        <w:fldChar w:fldCharType="end"/>
      </w:r>
      <w:r>
        <w:rPr>
          <w:rFonts w:ascii="Times New Roman" w:hAnsi="Times New Roman"/>
          <w:sz w:val="24"/>
          <w:szCs w:val="24"/>
          <w:lang w:eastAsia="en-GB"/>
        </w:rPr>
        <w:t>,</w:t>
      </w:r>
      <w:r>
        <w:fldChar w:fldCharType="begin"/>
      </w:r>
      <w:r>
        <w:instrText xml:space="preserve"> HYPERLINK "http://pubs.acs.org/doi/pdf/10.1021/jf802201c" \l "afn1" </w:instrText>
      </w:r>
      <w:r>
        <w:fldChar w:fldCharType="separate"/>
      </w:r>
      <w:r>
        <w:fldChar w:fldCharType="end"/>
      </w:r>
      <w:r>
        <w:rPr>
          <w:rFonts w:ascii="Times New Roman" w:hAnsi="Times New Roman"/>
          <w:sz w:val="24"/>
          <w:szCs w:val="24"/>
          <w:lang w:eastAsia="en-GB"/>
        </w:rPr>
        <w:t xml:space="preserve"> S., </w:t>
      </w:r>
      <w:r>
        <w:fldChar w:fldCharType="begin"/>
      </w:r>
      <w:r>
        <w:instrText xml:space="preserve"> HYPERLINK "http://pubs.acs.org/author/Min%2C+Hwang-Kee" </w:instrText>
      </w:r>
      <w:r>
        <w:fldChar w:fldCharType="separate"/>
      </w:r>
      <w:r>
        <w:rPr>
          <w:rFonts w:ascii="Times New Roman" w:hAnsi="Times New Roman"/>
          <w:sz w:val="24"/>
          <w:szCs w:val="24"/>
          <w:lang w:eastAsia="en-GB"/>
        </w:rPr>
        <w:t>Min</w:t>
      </w:r>
      <w:r>
        <w:rPr>
          <w:rFonts w:ascii="Times New Roman" w:hAnsi="Times New Roman"/>
          <w:sz w:val="24"/>
          <w:szCs w:val="24"/>
          <w:lang w:eastAsia="en-GB"/>
        </w:rPr>
        <w:fldChar w:fldCharType="end"/>
      </w:r>
      <w:r>
        <w:rPr>
          <w:rFonts w:ascii="Times New Roman" w:hAnsi="Times New Roman"/>
          <w:sz w:val="24"/>
          <w:szCs w:val="24"/>
          <w:lang w:eastAsia="en-GB"/>
        </w:rPr>
        <w:t>,</w:t>
      </w:r>
      <w:r>
        <w:fldChar w:fldCharType="begin"/>
      </w:r>
      <w:r>
        <w:instrText xml:space="preserve"> HYPERLINK "http://pubs.acs.org/doi/pdf/10.1021/jf802201c" \l "afn2" </w:instrText>
      </w:r>
      <w:r>
        <w:fldChar w:fldCharType="separate"/>
      </w:r>
      <w:r>
        <w:fldChar w:fldCharType="end"/>
      </w:r>
      <w:r>
        <w:rPr>
          <w:rFonts w:ascii="Times New Roman" w:hAnsi="Times New Roman"/>
          <w:sz w:val="24"/>
          <w:szCs w:val="24"/>
          <w:lang w:eastAsia="en-GB"/>
        </w:rPr>
        <w:t xml:space="preserve"> H., </w:t>
      </w:r>
      <w:r>
        <w:fldChar w:fldCharType="begin"/>
      </w:r>
      <w:r>
        <w:instrText xml:space="preserve"> HYPERLINK "http://pubs.acs.org/author/Park%2C+Ki-Jin" </w:instrText>
      </w:r>
      <w:r>
        <w:fldChar w:fldCharType="separate"/>
      </w:r>
      <w:r>
        <w:rPr>
          <w:rFonts w:ascii="Times New Roman" w:hAnsi="Times New Roman"/>
          <w:sz w:val="24"/>
          <w:szCs w:val="24"/>
          <w:lang w:eastAsia="en-GB"/>
        </w:rPr>
        <w:t>Park</w:t>
      </w:r>
      <w:r>
        <w:rPr>
          <w:rFonts w:ascii="Times New Roman" w:hAnsi="Times New Roman"/>
          <w:sz w:val="24"/>
          <w:szCs w:val="24"/>
          <w:lang w:eastAsia="en-GB"/>
        </w:rPr>
        <w:fldChar w:fldCharType="end"/>
      </w:r>
      <w:r>
        <w:rPr>
          <w:rFonts w:ascii="Times New Roman" w:hAnsi="Times New Roman"/>
          <w:sz w:val="24"/>
          <w:szCs w:val="24"/>
          <w:lang w:eastAsia="en-GB"/>
        </w:rPr>
        <w:t>,</w:t>
      </w:r>
      <w:r>
        <w:fldChar w:fldCharType="begin"/>
      </w:r>
      <w:r>
        <w:instrText xml:space="preserve"> HYPERLINK "http://pubs.acs.org/doi/pdf/10.1021/jf802201c" \l "afn2" </w:instrText>
      </w:r>
      <w:r>
        <w:fldChar w:fldCharType="separate"/>
      </w:r>
      <w:r>
        <w:fldChar w:fldCharType="end"/>
      </w:r>
      <w:r>
        <w:rPr>
          <w:rFonts w:ascii="Times New Roman" w:hAnsi="Times New Roman"/>
          <w:sz w:val="24"/>
          <w:szCs w:val="24"/>
          <w:lang w:eastAsia="en-GB"/>
        </w:rPr>
        <w:t xml:space="preserve"> K., </w:t>
      </w:r>
      <w:r>
        <w:fldChar w:fldCharType="begin"/>
      </w:r>
      <w:r>
        <w:instrText xml:space="preserve"> HYPERLINK "http://pubs.acs.org/author/Park%2C+Jong-Yeol" </w:instrText>
      </w:r>
      <w:r>
        <w:fldChar w:fldCharType="separate"/>
      </w:r>
      <w:r>
        <w:rPr>
          <w:rFonts w:ascii="Times New Roman" w:hAnsi="Times New Roman"/>
          <w:sz w:val="24"/>
          <w:szCs w:val="24"/>
          <w:lang w:eastAsia="en-GB"/>
        </w:rPr>
        <w:t xml:space="preserve"> Park</w:t>
      </w:r>
      <w:r>
        <w:rPr>
          <w:rFonts w:ascii="Times New Roman" w:hAnsi="Times New Roman"/>
          <w:sz w:val="24"/>
          <w:szCs w:val="24"/>
          <w:lang w:eastAsia="en-GB"/>
        </w:rPr>
        <w:fldChar w:fldCharType="end"/>
      </w:r>
      <w:r>
        <w:rPr>
          <w:rFonts w:ascii="Times New Roman" w:hAnsi="Times New Roman"/>
          <w:sz w:val="24"/>
          <w:szCs w:val="24"/>
          <w:lang w:eastAsia="en-GB"/>
        </w:rPr>
        <w:t>,</w:t>
      </w:r>
      <w:r>
        <w:fldChar w:fldCharType="begin"/>
      </w:r>
      <w:r>
        <w:instrText xml:space="preserve"> HYPERLINK "http://pubs.acs.org/doi/pdf/10.1021/jf802201c" \l "afn2" </w:instrText>
      </w:r>
      <w:r>
        <w:fldChar w:fldCharType="separate"/>
      </w:r>
      <w:r>
        <w:fldChar w:fldCharType="end"/>
      </w:r>
      <w:r>
        <w:rPr>
          <w:rFonts w:ascii="Times New Roman" w:hAnsi="Times New Roman"/>
          <w:sz w:val="24"/>
          <w:szCs w:val="24"/>
          <w:lang w:eastAsia="en-GB"/>
        </w:rPr>
        <w:t xml:space="preserve"> J., </w:t>
      </w:r>
      <w:r>
        <w:fldChar w:fldCharType="begin"/>
      </w:r>
      <w:r>
        <w:instrText xml:space="preserve"> HYPERLINK "http://pubs.acs.org/author/Ahn%2C+Mun-Seob" </w:instrText>
      </w:r>
      <w:r>
        <w:fldChar w:fldCharType="separate"/>
      </w:r>
      <w:r>
        <w:rPr>
          <w:rFonts w:ascii="Times New Roman" w:hAnsi="Times New Roman"/>
          <w:sz w:val="24"/>
          <w:szCs w:val="24"/>
          <w:lang w:eastAsia="en-GB"/>
        </w:rPr>
        <w:t xml:space="preserve"> Ahn</w:t>
      </w:r>
      <w:r>
        <w:rPr>
          <w:rFonts w:ascii="Times New Roman" w:hAnsi="Times New Roman"/>
          <w:sz w:val="24"/>
          <w:szCs w:val="24"/>
          <w:lang w:eastAsia="en-GB"/>
        </w:rPr>
        <w:fldChar w:fldCharType="end"/>
      </w:r>
      <w:r>
        <w:rPr>
          <w:rFonts w:ascii="Times New Roman" w:hAnsi="Times New Roman"/>
          <w:sz w:val="24"/>
          <w:szCs w:val="24"/>
          <w:lang w:eastAsia="en-GB"/>
        </w:rPr>
        <w:t>,</w:t>
      </w:r>
      <w:r>
        <w:fldChar w:fldCharType="begin"/>
      </w:r>
      <w:r>
        <w:instrText xml:space="preserve"> HYPERLINK "http://pubs.acs.org/doi/pdf/10.1021/jf802201c" \l "afn2" </w:instrText>
      </w:r>
      <w:r>
        <w:fldChar w:fldCharType="separate"/>
      </w:r>
      <w:r>
        <w:fldChar w:fldCharType="end"/>
      </w:r>
      <w:r>
        <w:rPr>
          <w:rFonts w:ascii="Times New Roman" w:hAnsi="Times New Roman"/>
          <w:sz w:val="24"/>
          <w:szCs w:val="24"/>
          <w:lang w:eastAsia="en-GB"/>
        </w:rPr>
        <w:t xml:space="preserve"> M. &amp; </w:t>
      </w:r>
      <w:r>
        <w:fldChar w:fldCharType="begin"/>
      </w:r>
      <w:r>
        <w:instrText xml:space="preserve"> HYPERLINK "http://pubs.acs.org/author/Rhee%2C+Hae-Ik" </w:instrText>
      </w:r>
      <w:r>
        <w:fldChar w:fldCharType="separate"/>
      </w:r>
      <w:r>
        <w:rPr>
          <w:rFonts w:ascii="Times New Roman" w:hAnsi="Times New Roman"/>
          <w:sz w:val="24"/>
          <w:szCs w:val="24"/>
          <w:lang w:eastAsia="en-GB"/>
        </w:rPr>
        <w:t>Rhee</w:t>
      </w:r>
      <w:r>
        <w:rPr>
          <w:rFonts w:ascii="Times New Roman" w:hAnsi="Times New Roman"/>
          <w:sz w:val="24"/>
          <w:szCs w:val="24"/>
          <w:lang w:eastAsia="en-GB"/>
        </w:rPr>
        <w:fldChar w:fldCharType="end"/>
      </w:r>
      <w:r>
        <w:rPr>
          <w:rFonts w:ascii="Times New Roman" w:hAnsi="Times New Roman"/>
          <w:sz w:val="24"/>
          <w:szCs w:val="24"/>
          <w:lang w:eastAsia="en-GB"/>
        </w:rPr>
        <w:t xml:space="preserve">, H. (2008). </w:t>
      </w:r>
      <w:r>
        <w:rPr>
          <w:rFonts w:ascii="Times New Roman" w:hAnsi="Times New Roman"/>
          <w:bCs/>
          <w:kern w:val="36"/>
          <w:sz w:val="24"/>
          <w:szCs w:val="24"/>
          <w:lang w:eastAsia="en-GB"/>
        </w:rPr>
        <w:t>Corn Husk as a Potential Source of Anthocyanins</w:t>
      </w:r>
      <w:r>
        <w:rPr>
          <w:rFonts w:ascii="Times New Roman" w:hAnsi="Times New Roman"/>
          <w:b/>
          <w:bCs/>
          <w:kern w:val="36"/>
          <w:sz w:val="24"/>
          <w:szCs w:val="24"/>
          <w:lang w:eastAsia="en-GB"/>
        </w:rPr>
        <w:t xml:space="preserve">. </w:t>
      </w:r>
      <w:r>
        <w:rPr>
          <w:rFonts w:ascii="Times New Roman" w:hAnsi="Times New Roman"/>
          <w:i/>
          <w:iCs/>
          <w:sz w:val="24"/>
          <w:szCs w:val="24"/>
          <w:lang w:eastAsia="en-GB"/>
        </w:rPr>
        <w:t>Journal of Agricultural Food and Chemistry</w:t>
      </w:r>
      <w:r>
        <w:rPr>
          <w:rFonts w:ascii="Times New Roman" w:hAnsi="Times New Roman"/>
          <w:sz w:val="24"/>
          <w:szCs w:val="24"/>
          <w:lang w:eastAsia="en-GB"/>
        </w:rPr>
        <w:t>, 56 (23): 11413–11416.</w:t>
      </w:r>
    </w:p>
    <w:p w14:paraId="1A3CE3C5">
      <w:pPr>
        <w:jc w:val="both"/>
        <w:rPr>
          <w:rFonts w:ascii="Times New Roman" w:hAnsi="Times New Roman"/>
          <w:sz w:val="24"/>
          <w:szCs w:val="24"/>
        </w:rPr>
      </w:pPr>
      <w:r>
        <w:rPr>
          <w:rFonts w:ascii="Times New Roman" w:hAnsi="Times New Roman"/>
          <w:sz w:val="24"/>
          <w:szCs w:val="24"/>
        </w:rPr>
        <w:t>Mayne, P.D. (1994). The kidneys and renal calculi. In: Clinical chemistry in diagnosis and treatment. 6th ed. London: Edward Arnold Publications, pp.2-24.</w:t>
      </w:r>
    </w:p>
    <w:p w14:paraId="26A7C902">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eastAsia="Calibri"/>
          <w:sz w:val="24"/>
          <w:szCs w:val="24"/>
        </w:rPr>
        <w:t>Naganna, B. (1989). Plasma proteins. In: Tawlar GP, Srivastava LM, Moudgil KD (Eds.).</w:t>
      </w:r>
      <w:r>
        <w:rPr>
          <w:rFonts w:ascii="Times New Roman" w:hAnsi="Times New Roman" w:eastAsia="Calibri"/>
          <w:i/>
          <w:iCs/>
          <w:sz w:val="24"/>
          <w:szCs w:val="24"/>
        </w:rPr>
        <w:t>Textbook of Biochemistry and Human Biology.</w:t>
      </w:r>
      <w:r>
        <w:rPr>
          <w:rFonts w:ascii="Times New Roman" w:hAnsi="Times New Roman" w:eastAsia="Calibri"/>
          <w:sz w:val="24"/>
          <w:szCs w:val="24"/>
        </w:rPr>
        <w:t xml:space="preserve"> 2nd edn. India: Prentice-Hall of </w:t>
      </w:r>
      <w:r>
        <w:rPr>
          <w:rFonts w:ascii="Times New Roman" w:hAnsi="Times New Roman"/>
          <w:color w:val="000000"/>
          <w:sz w:val="24"/>
          <w:szCs w:val="24"/>
        </w:rPr>
        <w:t>India Private Ltd. 1989. p. 172.</w:t>
      </w:r>
    </w:p>
    <w:p w14:paraId="72F36A64">
      <w:pPr>
        <w:autoSpaceDE w:val="0"/>
        <w:autoSpaceDN w:val="0"/>
        <w:adjustRightInd w:val="0"/>
        <w:spacing w:after="0" w:line="240" w:lineRule="auto"/>
        <w:ind w:left="720" w:hanging="720"/>
        <w:jc w:val="both"/>
        <w:rPr>
          <w:rFonts w:ascii="Times New Roman" w:hAnsi="Times New Roman"/>
          <w:sz w:val="24"/>
          <w:szCs w:val="24"/>
        </w:rPr>
      </w:pPr>
    </w:p>
    <w:p w14:paraId="746AF32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Ogawa K, Takeuchi M,&amp; Nakamura N. 2005. Immunological effects of partially hydrolysed arabinoxylan from corn husk in mice. </w:t>
      </w:r>
      <w:r>
        <w:rPr>
          <w:rFonts w:ascii="Times New Roman" w:hAnsi="Times New Roman"/>
          <w:i/>
          <w:sz w:val="24"/>
          <w:szCs w:val="24"/>
        </w:rPr>
        <w:t>Biosciences, Biotechnology and Biochemistry</w:t>
      </w:r>
      <w:r>
        <w:rPr>
          <w:rFonts w:ascii="Times New Roman" w:hAnsi="Times New Roman"/>
          <w:sz w:val="24"/>
          <w:szCs w:val="24"/>
        </w:rPr>
        <w:t xml:space="preserve"> 69:19-25.</w:t>
      </w:r>
    </w:p>
    <w:p w14:paraId="60801E78">
      <w:pPr>
        <w:autoSpaceDE w:val="0"/>
        <w:autoSpaceDN w:val="0"/>
        <w:adjustRightInd w:val="0"/>
        <w:spacing w:after="0" w:line="240" w:lineRule="auto"/>
        <w:ind w:left="720" w:hanging="720"/>
        <w:jc w:val="both"/>
        <w:rPr>
          <w:rFonts w:ascii="Times New Roman" w:hAnsi="Times New Roman"/>
          <w:color w:val="000000"/>
          <w:sz w:val="24"/>
          <w:szCs w:val="24"/>
        </w:rPr>
      </w:pPr>
    </w:p>
    <w:p w14:paraId="65710195">
      <w:pPr>
        <w:pStyle w:val="10"/>
        <w:jc w:val="both"/>
        <w:rPr>
          <w:rFonts w:ascii="Times New Roman" w:hAnsi="Times New Roman"/>
          <w:sz w:val="24"/>
          <w:szCs w:val="24"/>
        </w:rPr>
      </w:pPr>
      <w:r>
        <w:rPr>
          <w:rFonts w:ascii="Times New Roman" w:hAnsi="Times New Roman"/>
          <w:bCs/>
          <w:sz w:val="24"/>
          <w:szCs w:val="24"/>
        </w:rPr>
        <w:t>Okokon, J. E</w:t>
      </w:r>
      <w:r>
        <w:rPr>
          <w:rFonts w:ascii="Times New Roman" w:hAnsi="Times New Roman"/>
          <w:sz w:val="24"/>
          <w:szCs w:val="24"/>
        </w:rPr>
        <w:t xml:space="preserve">, Udobang, J. A., Bassey, A. L., Edem, U. A. </w:t>
      </w:r>
      <w:r>
        <w:rPr>
          <w:rFonts w:ascii="Times New Roman" w:hAnsi="Times New Roman"/>
          <w:sz w:val="24"/>
          <w:szCs w:val="24"/>
          <w:lang w:val="en-GB"/>
        </w:rPr>
        <w:t>&amp;</w:t>
      </w:r>
      <w:r>
        <w:rPr>
          <w:rFonts w:ascii="Times New Roman" w:hAnsi="Times New Roman"/>
          <w:sz w:val="24"/>
          <w:szCs w:val="24"/>
        </w:rPr>
        <w:t xml:space="preserve">Agu, C. E. (2020). Hepatoprotective and nephroprotective activities of </w:t>
      </w:r>
      <w:r>
        <w:rPr>
          <w:rFonts w:ascii="Times New Roman" w:hAnsi="Times New Roman"/>
          <w:i/>
          <w:sz w:val="24"/>
          <w:szCs w:val="24"/>
        </w:rPr>
        <w:t>Zea mays</w:t>
      </w:r>
      <w:r>
        <w:rPr>
          <w:rFonts w:ascii="Times New Roman" w:hAnsi="Times New Roman"/>
          <w:sz w:val="24"/>
          <w:szCs w:val="24"/>
        </w:rPr>
        <w:t xml:space="preserve"> husk extract against paracetamol-induced liver and kidneys injuries in rats. </w:t>
      </w:r>
      <w:r>
        <w:rPr>
          <w:rFonts w:ascii="Times New Roman" w:hAnsi="Times New Roman"/>
          <w:i/>
          <w:sz w:val="24"/>
          <w:szCs w:val="24"/>
        </w:rPr>
        <w:t xml:space="preserve">Tropical Journal of Natural Products Research. </w:t>
      </w:r>
      <w:r>
        <w:rPr>
          <w:rFonts w:ascii="Times New Roman" w:hAnsi="Times New Roman"/>
          <w:sz w:val="24"/>
          <w:szCs w:val="24"/>
        </w:rPr>
        <w:t>4(3): 69-76.</w:t>
      </w:r>
    </w:p>
    <w:p w14:paraId="73F9318B">
      <w:pPr>
        <w:spacing w:before="240" w:line="240" w:lineRule="auto"/>
        <w:jc w:val="both"/>
        <w:rPr>
          <w:rFonts w:ascii="Times New Roman" w:hAnsi="Times New Roman"/>
          <w:sz w:val="24"/>
          <w:szCs w:val="24"/>
        </w:rPr>
      </w:pPr>
      <w:r>
        <w:rPr>
          <w:rFonts w:ascii="Times New Roman" w:hAnsi="Times New Roman"/>
          <w:sz w:val="24"/>
          <w:szCs w:val="24"/>
        </w:rPr>
        <w:t xml:space="preserve">Okokon, J. E., Antia, B.S., Azare, B. A. &amp; Okokon, P. J. (2017c). Antiplasmodial activity and cytotoxicity of ethanol extract of </w:t>
      </w:r>
      <w:r>
        <w:rPr>
          <w:rFonts w:ascii="Times New Roman" w:hAnsi="Times New Roman"/>
          <w:i/>
          <w:iCs/>
          <w:sz w:val="24"/>
          <w:szCs w:val="24"/>
        </w:rPr>
        <w:t xml:space="preserve">Zea mays </w:t>
      </w:r>
      <w:r>
        <w:rPr>
          <w:rFonts w:ascii="Times New Roman" w:hAnsi="Times New Roman"/>
          <w:sz w:val="24"/>
          <w:szCs w:val="24"/>
        </w:rPr>
        <w:t xml:space="preserve">root. </w:t>
      </w:r>
      <w:r>
        <w:rPr>
          <w:rFonts w:ascii="Times New Roman" w:hAnsi="Times New Roman"/>
          <w:i/>
          <w:sz w:val="24"/>
          <w:szCs w:val="24"/>
        </w:rPr>
        <w:t>Avicenna Journal of Phytomedicine</w:t>
      </w:r>
      <w:r>
        <w:rPr>
          <w:rFonts w:ascii="Times New Roman" w:hAnsi="Times New Roman"/>
          <w:sz w:val="24"/>
          <w:szCs w:val="24"/>
        </w:rPr>
        <w:t xml:space="preserve">, </w:t>
      </w:r>
      <w:r>
        <w:rPr>
          <w:rFonts w:ascii="Times New Roman" w:hAnsi="Times New Roman"/>
          <w:bCs/>
          <w:sz w:val="24"/>
          <w:szCs w:val="24"/>
        </w:rPr>
        <w:t>7(3):275-284.</w:t>
      </w:r>
    </w:p>
    <w:p w14:paraId="0E9F1D74">
      <w:pPr>
        <w:spacing w:after="0"/>
        <w:jc w:val="both"/>
        <w:rPr>
          <w:rFonts w:ascii="Times New Roman" w:hAnsi="Times New Roman"/>
          <w:sz w:val="24"/>
          <w:szCs w:val="24"/>
        </w:rPr>
      </w:pPr>
      <w:r>
        <w:rPr>
          <w:rFonts w:ascii="Times New Roman" w:hAnsi="Times New Roman"/>
          <w:sz w:val="24"/>
          <w:szCs w:val="24"/>
        </w:rPr>
        <w:t xml:space="preserve">Okokon, J. E., Bassey, S., Dinesh, M. &amp; Dinkar, S. (2017a). Antimalarial and anti-plasmodial activity of husk extract and fractions of </w:t>
      </w:r>
      <w:r>
        <w:rPr>
          <w:rFonts w:ascii="Times New Roman" w:hAnsi="Times New Roman"/>
          <w:i/>
          <w:sz w:val="24"/>
          <w:szCs w:val="24"/>
        </w:rPr>
        <w:t>Zea mays</w:t>
      </w:r>
      <w:r>
        <w:rPr>
          <w:rFonts w:ascii="Times New Roman" w:hAnsi="Times New Roman"/>
          <w:sz w:val="24"/>
          <w:szCs w:val="24"/>
        </w:rPr>
        <w:t xml:space="preserve">. </w:t>
      </w:r>
      <w:r>
        <w:rPr>
          <w:rFonts w:ascii="Times New Roman" w:hAnsi="Times New Roman"/>
          <w:bCs/>
          <w:i/>
          <w:sz w:val="24"/>
          <w:szCs w:val="24"/>
        </w:rPr>
        <w:t xml:space="preserve">Pharmaceutical Biology, </w:t>
      </w:r>
      <w:r>
        <w:rPr>
          <w:rFonts w:ascii="Times New Roman" w:hAnsi="Times New Roman"/>
          <w:bCs/>
          <w:sz w:val="24"/>
          <w:szCs w:val="24"/>
        </w:rPr>
        <w:t>55(1): 1394 – 1400.</w:t>
      </w:r>
    </w:p>
    <w:p w14:paraId="42E782B5">
      <w:pPr>
        <w:spacing w:before="240"/>
        <w:jc w:val="both"/>
        <w:rPr>
          <w:rFonts w:ascii="Times New Roman" w:hAnsi="Times New Roman"/>
          <w:bCs/>
          <w:sz w:val="24"/>
          <w:szCs w:val="24"/>
        </w:rPr>
      </w:pPr>
      <w:r>
        <w:rPr>
          <w:rFonts w:ascii="Times New Roman" w:hAnsi="Times New Roman"/>
          <w:sz w:val="24"/>
          <w:szCs w:val="24"/>
        </w:rPr>
        <w:t xml:space="preserve">Okokon, J. E., Nelson, E. &amp; Sunday, M. (2016). Antidepressant activity of ethanol husk extract of </w:t>
      </w:r>
      <w:r>
        <w:rPr>
          <w:rFonts w:ascii="Times New Roman" w:hAnsi="Times New Roman"/>
          <w:i/>
          <w:sz w:val="24"/>
          <w:szCs w:val="24"/>
        </w:rPr>
        <w:t>Zea mays</w:t>
      </w:r>
      <w:r>
        <w:rPr>
          <w:rFonts w:ascii="Times New Roman" w:hAnsi="Times New Roman"/>
          <w:sz w:val="24"/>
          <w:szCs w:val="24"/>
        </w:rPr>
        <w:t xml:space="preserve">. </w:t>
      </w:r>
      <w:r>
        <w:rPr>
          <w:rFonts w:ascii="Times New Roman" w:hAnsi="Times New Roman"/>
          <w:i/>
          <w:sz w:val="24"/>
          <w:szCs w:val="24"/>
        </w:rPr>
        <w:t>Adv Herbal Med.</w:t>
      </w:r>
      <w:r>
        <w:rPr>
          <w:rFonts w:ascii="Times New Roman" w:hAnsi="Times New Roman"/>
          <w:sz w:val="24"/>
          <w:szCs w:val="24"/>
        </w:rPr>
        <w:t xml:space="preserve"> 2(4): 22 -28</w:t>
      </w:r>
      <w:r>
        <w:rPr>
          <w:rFonts w:ascii="Times New Roman" w:hAnsi="Times New Roman"/>
          <w:bCs/>
          <w:sz w:val="24"/>
          <w:szCs w:val="24"/>
        </w:rPr>
        <w:t>.</w:t>
      </w:r>
    </w:p>
    <w:p w14:paraId="4FA99BEA">
      <w:pPr>
        <w:jc w:val="both"/>
        <w:rPr>
          <w:rFonts w:ascii="Times New Roman" w:hAnsi="Times New Roman"/>
          <w:b/>
          <w:sz w:val="24"/>
          <w:szCs w:val="24"/>
        </w:rPr>
      </w:pPr>
      <w:r>
        <w:rPr>
          <w:rFonts w:ascii="Times New Roman" w:hAnsi="Times New Roman"/>
          <w:bCs/>
          <w:sz w:val="24"/>
          <w:szCs w:val="24"/>
        </w:rPr>
        <w:t xml:space="preserve">Okokon, J. E., Nyong, M. E., Essien, G. E. &amp;Nyong, E. (2017b). Nephroprotective activity of husk extract and fractions of </w:t>
      </w:r>
      <w:r>
        <w:rPr>
          <w:rFonts w:ascii="Times New Roman" w:hAnsi="Times New Roman"/>
          <w:bCs/>
          <w:i/>
          <w:sz w:val="24"/>
          <w:szCs w:val="24"/>
        </w:rPr>
        <w:t>Zea mays</w:t>
      </w:r>
      <w:r>
        <w:rPr>
          <w:rFonts w:ascii="Times New Roman" w:hAnsi="Times New Roman"/>
          <w:bCs/>
          <w:sz w:val="24"/>
          <w:szCs w:val="24"/>
        </w:rPr>
        <w:t xml:space="preserve"> against alloxan-induced oxidative stress in diabetic rats. </w:t>
      </w:r>
      <w:r>
        <w:rPr>
          <w:rFonts w:ascii="Times New Roman" w:hAnsi="Times New Roman"/>
          <w:bCs/>
          <w:i/>
          <w:sz w:val="24"/>
          <w:szCs w:val="24"/>
        </w:rPr>
        <w:t>Journal of Basic Pharmacology and Toxicology</w:t>
      </w:r>
      <w:r>
        <w:rPr>
          <w:rFonts w:ascii="Times New Roman" w:hAnsi="Times New Roman"/>
          <w:bCs/>
          <w:sz w:val="24"/>
          <w:szCs w:val="24"/>
        </w:rPr>
        <w:t>. 1(3):1-10.</w:t>
      </w:r>
    </w:p>
    <w:p w14:paraId="65E73315">
      <w:pPr>
        <w:pStyle w:val="10"/>
        <w:jc w:val="both"/>
        <w:rPr>
          <w:rFonts w:ascii="Times New Roman" w:hAnsi="Times New Roman"/>
          <w:sz w:val="24"/>
          <w:szCs w:val="24"/>
        </w:rPr>
      </w:pPr>
      <w:r>
        <w:rPr>
          <w:rFonts w:ascii="Times New Roman" w:hAnsi="Times New Roman"/>
          <w:bCs/>
          <w:sz w:val="24"/>
          <w:szCs w:val="24"/>
        </w:rPr>
        <w:t xml:space="preserve"> Okokon, J. E., Nyong, M. E., Essien, G. E. </w:t>
      </w:r>
      <w:r>
        <w:rPr>
          <w:rFonts w:ascii="Times New Roman" w:hAnsi="Times New Roman"/>
          <w:bCs/>
          <w:sz w:val="24"/>
          <w:szCs w:val="24"/>
          <w:lang w:val="en-GB"/>
        </w:rPr>
        <w:t>&amp;</w:t>
      </w:r>
      <w:r>
        <w:rPr>
          <w:rFonts w:ascii="Times New Roman" w:hAnsi="Times New Roman"/>
          <w:bCs/>
          <w:sz w:val="24"/>
          <w:szCs w:val="24"/>
        </w:rPr>
        <w:t xml:space="preserve"> Nyong, E. (2017c). Hepatoprotective activity of husk extract and fractions of </w:t>
      </w:r>
      <w:r>
        <w:rPr>
          <w:rFonts w:ascii="Times New Roman" w:hAnsi="Times New Roman"/>
          <w:bCs/>
          <w:i/>
          <w:sz w:val="24"/>
          <w:szCs w:val="24"/>
        </w:rPr>
        <w:t>Zea mays</w:t>
      </w:r>
      <w:r>
        <w:rPr>
          <w:rFonts w:ascii="Times New Roman" w:hAnsi="Times New Roman"/>
          <w:bCs/>
          <w:sz w:val="24"/>
          <w:szCs w:val="24"/>
        </w:rPr>
        <w:t xml:space="preserve"> against alloxan-induced oxidative stress in diabetic rats. </w:t>
      </w:r>
      <w:r>
        <w:rPr>
          <w:rFonts w:ascii="Times New Roman" w:hAnsi="Times New Roman"/>
          <w:i/>
          <w:sz w:val="24"/>
          <w:szCs w:val="24"/>
        </w:rPr>
        <w:t>International Journal of Herbal Medicine</w:t>
      </w:r>
      <w:r>
        <w:rPr>
          <w:rFonts w:ascii="Times New Roman" w:hAnsi="Times New Roman"/>
          <w:sz w:val="24"/>
          <w:szCs w:val="24"/>
        </w:rPr>
        <w:t>. 5(4):43-50.</w:t>
      </w:r>
    </w:p>
    <w:p w14:paraId="4DDAA8BF">
      <w:pPr>
        <w:pStyle w:val="10"/>
        <w:jc w:val="both"/>
        <w:rPr>
          <w:rFonts w:ascii="Times New Roman" w:hAnsi="Times New Roman"/>
          <w:sz w:val="24"/>
          <w:szCs w:val="24"/>
          <w:lang w:val="en-GB"/>
        </w:rPr>
      </w:pPr>
      <w:r>
        <w:rPr>
          <w:rFonts w:ascii="Times New Roman" w:hAnsi="Times New Roman"/>
          <w:sz w:val="24"/>
          <w:szCs w:val="24"/>
        </w:rPr>
        <w:t xml:space="preserve">Okokon JE, Nyong ME, Thomas P, Udobang JA, </w:t>
      </w:r>
      <w:r>
        <w:rPr>
          <w:rFonts w:ascii="Times New Roman" w:hAnsi="Times New Roman"/>
          <w:sz w:val="24"/>
          <w:szCs w:val="24"/>
          <w:lang w:val="en-GB"/>
        </w:rPr>
        <w:t xml:space="preserve">&amp; </w:t>
      </w:r>
      <w:r>
        <w:rPr>
          <w:rFonts w:ascii="Times New Roman" w:hAnsi="Times New Roman"/>
          <w:sz w:val="24"/>
          <w:szCs w:val="24"/>
        </w:rPr>
        <w:t xml:space="preserve">Enin G. </w:t>
      </w:r>
      <w:r>
        <w:rPr>
          <w:rFonts w:ascii="Times New Roman" w:hAnsi="Times New Roman"/>
          <w:sz w:val="24"/>
          <w:szCs w:val="24"/>
          <w:lang w:val="en-GB"/>
        </w:rPr>
        <w:t>(</w:t>
      </w:r>
      <w:r>
        <w:rPr>
          <w:rFonts w:ascii="Times New Roman" w:hAnsi="Times New Roman"/>
          <w:sz w:val="24"/>
          <w:szCs w:val="24"/>
        </w:rPr>
        <w:t>2021</w:t>
      </w:r>
      <w:r>
        <w:rPr>
          <w:rFonts w:ascii="Times New Roman" w:hAnsi="Times New Roman"/>
          <w:sz w:val="24"/>
          <w:szCs w:val="24"/>
          <w:lang w:val="en-GB"/>
        </w:rPr>
        <w:t>)</w:t>
      </w:r>
      <w:r>
        <w:rPr>
          <w:rFonts w:ascii="Times New Roman" w:hAnsi="Times New Roman"/>
          <w:sz w:val="24"/>
          <w:szCs w:val="24"/>
        </w:rPr>
        <w:t xml:space="preserve">. Antiobesity activities of extract, fractions and pure compounds from husk of </w:t>
      </w:r>
      <w:r>
        <w:rPr>
          <w:rFonts w:ascii="Times New Roman" w:hAnsi="Times New Roman"/>
          <w:i/>
          <w:sz w:val="24"/>
          <w:szCs w:val="24"/>
        </w:rPr>
        <w:t>Zea mays</w:t>
      </w:r>
      <w:r>
        <w:rPr>
          <w:rFonts w:ascii="Times New Roman" w:hAnsi="Times New Roman"/>
          <w:sz w:val="24"/>
          <w:szCs w:val="24"/>
        </w:rPr>
        <w:t xml:space="preserve">. </w:t>
      </w:r>
      <w:r>
        <w:rPr>
          <w:rFonts w:ascii="Times New Roman" w:hAnsi="Times New Roman"/>
          <w:i/>
          <w:sz w:val="24"/>
          <w:szCs w:val="24"/>
        </w:rPr>
        <w:t>Tropical Journal of Natural Products Research</w:t>
      </w:r>
      <w:r>
        <w:rPr>
          <w:rFonts w:ascii="Times New Roman" w:hAnsi="Times New Roman"/>
          <w:sz w:val="24"/>
          <w:szCs w:val="24"/>
        </w:rPr>
        <w:t xml:space="preserve"> 5(10): 1868-1875</w:t>
      </w:r>
      <w:r>
        <w:rPr>
          <w:rFonts w:ascii="Times New Roman" w:hAnsi="Times New Roman"/>
          <w:sz w:val="24"/>
          <w:szCs w:val="24"/>
          <w:lang w:val="en-GB"/>
        </w:rPr>
        <w:t>.</w:t>
      </w:r>
    </w:p>
    <w:p w14:paraId="45829C07">
      <w:pPr>
        <w:pStyle w:val="10"/>
        <w:jc w:val="both"/>
        <w:rPr>
          <w:rFonts w:ascii="Times New Roman" w:hAnsi="Times New Roman"/>
          <w:sz w:val="24"/>
          <w:szCs w:val="24"/>
        </w:rPr>
      </w:pPr>
      <w:r>
        <w:rPr>
          <w:rFonts w:ascii="Times New Roman" w:hAnsi="Times New Roman"/>
          <w:sz w:val="24"/>
          <w:szCs w:val="24"/>
        </w:rPr>
        <w:t xml:space="preserve">Okokon JE, Obot J, </w:t>
      </w:r>
      <w:r>
        <w:rPr>
          <w:rFonts w:ascii="Times New Roman" w:hAnsi="Times New Roman"/>
          <w:sz w:val="24"/>
          <w:szCs w:val="24"/>
          <w:lang w:val="en-GB"/>
        </w:rPr>
        <w:t>&amp;</w:t>
      </w:r>
      <w:r>
        <w:rPr>
          <w:rFonts w:ascii="Times New Roman" w:hAnsi="Times New Roman"/>
          <w:sz w:val="24"/>
          <w:szCs w:val="24"/>
        </w:rPr>
        <w:t xml:space="preserve">Amazu LU. </w:t>
      </w:r>
      <w:r>
        <w:rPr>
          <w:rFonts w:ascii="Times New Roman" w:hAnsi="Times New Roman"/>
          <w:sz w:val="24"/>
          <w:szCs w:val="24"/>
          <w:lang w:val="en-GB"/>
        </w:rPr>
        <w:t>(</w:t>
      </w:r>
      <w:r>
        <w:rPr>
          <w:rFonts w:ascii="Times New Roman" w:hAnsi="Times New Roman"/>
          <w:sz w:val="24"/>
          <w:szCs w:val="24"/>
        </w:rPr>
        <w:t>2018</w:t>
      </w:r>
      <w:r>
        <w:rPr>
          <w:rFonts w:ascii="Times New Roman" w:hAnsi="Times New Roman"/>
          <w:sz w:val="24"/>
          <w:szCs w:val="24"/>
          <w:lang w:val="en-GB"/>
        </w:rPr>
        <w:t>)</w:t>
      </w:r>
      <w:r>
        <w:rPr>
          <w:rFonts w:ascii="Times New Roman" w:hAnsi="Times New Roman"/>
          <w:sz w:val="24"/>
          <w:szCs w:val="24"/>
        </w:rPr>
        <w:t xml:space="preserve">.  </w:t>
      </w:r>
      <w:r>
        <w:rPr>
          <w:rFonts w:ascii="Times New Roman" w:hAnsi="Times New Roman"/>
          <w:sz w:val="24"/>
          <w:szCs w:val="24"/>
          <w:lang w:eastAsia="en-GB"/>
        </w:rPr>
        <w:t xml:space="preserve">Antiulcerogenic activity of husk extract of </w:t>
      </w:r>
      <w:r>
        <w:rPr>
          <w:rFonts w:ascii="Times New Roman" w:hAnsi="Times New Roman"/>
          <w:i/>
          <w:sz w:val="24"/>
          <w:szCs w:val="24"/>
          <w:lang w:eastAsia="en-GB"/>
        </w:rPr>
        <w:t>Zea mays. African Journal of Pharmacology and Therapeutics</w:t>
      </w:r>
      <w:r>
        <w:rPr>
          <w:rFonts w:ascii="Times New Roman" w:hAnsi="Times New Roman"/>
          <w:sz w:val="24"/>
          <w:szCs w:val="24"/>
        </w:rPr>
        <w:t xml:space="preserve"> 7(2): 41-45.</w:t>
      </w:r>
    </w:p>
    <w:p w14:paraId="67792FFA">
      <w:pPr>
        <w:pStyle w:val="10"/>
        <w:jc w:val="both"/>
        <w:rPr>
          <w:rFonts w:ascii="Times New Roman" w:hAnsi="Times New Roman"/>
          <w:sz w:val="24"/>
          <w:szCs w:val="24"/>
        </w:rPr>
      </w:pPr>
      <w:r>
        <w:rPr>
          <w:rFonts w:ascii="Times New Roman" w:hAnsi="Times New Roman"/>
          <w:sz w:val="24"/>
          <w:szCs w:val="24"/>
        </w:rPr>
        <w:t xml:space="preserve">Okokon JE, Udobang JA, Bassey AL, Edem UA, </w:t>
      </w:r>
      <w:r>
        <w:rPr>
          <w:rFonts w:ascii="Times New Roman" w:hAnsi="Times New Roman"/>
          <w:sz w:val="24"/>
          <w:szCs w:val="24"/>
          <w:lang w:val="en-GB"/>
        </w:rPr>
        <w:t>&amp;</w:t>
      </w:r>
      <w:r>
        <w:rPr>
          <w:rFonts w:ascii="Times New Roman" w:hAnsi="Times New Roman"/>
          <w:sz w:val="24"/>
          <w:szCs w:val="24"/>
        </w:rPr>
        <w:t>Agu CE</w:t>
      </w:r>
      <w:r>
        <w:rPr>
          <w:rFonts w:ascii="Times New Roman" w:hAnsi="Times New Roman"/>
          <w:sz w:val="24"/>
          <w:szCs w:val="24"/>
          <w:lang w:val="en-GB"/>
        </w:rPr>
        <w:t>. (</w:t>
      </w:r>
      <w:r>
        <w:rPr>
          <w:rFonts w:ascii="Times New Roman" w:hAnsi="Times New Roman"/>
          <w:sz w:val="24"/>
          <w:szCs w:val="24"/>
        </w:rPr>
        <w:t>2020</w:t>
      </w:r>
      <w:r>
        <w:rPr>
          <w:rFonts w:ascii="Times New Roman" w:hAnsi="Times New Roman"/>
          <w:sz w:val="24"/>
          <w:szCs w:val="24"/>
          <w:lang w:val="en-GB"/>
        </w:rPr>
        <w:t>)</w:t>
      </w:r>
      <w:r>
        <w:rPr>
          <w:rFonts w:ascii="Times New Roman" w:hAnsi="Times New Roman"/>
          <w:sz w:val="24"/>
          <w:szCs w:val="24"/>
        </w:rPr>
        <w:t xml:space="preserve">. Hepatoprotective and nephroprotective activities of </w:t>
      </w:r>
      <w:r>
        <w:rPr>
          <w:rFonts w:ascii="Times New Roman" w:hAnsi="Times New Roman"/>
          <w:i/>
          <w:sz w:val="24"/>
          <w:szCs w:val="24"/>
        </w:rPr>
        <w:t>Zea mays</w:t>
      </w:r>
      <w:r>
        <w:rPr>
          <w:rFonts w:ascii="Times New Roman" w:hAnsi="Times New Roman"/>
          <w:sz w:val="24"/>
          <w:szCs w:val="24"/>
        </w:rPr>
        <w:t xml:space="preserve"> husk extract against paracetamol-induced liver and kidneys injuries in rats.</w:t>
      </w:r>
      <w:r>
        <w:rPr>
          <w:rFonts w:ascii="Times New Roman" w:hAnsi="Times New Roman"/>
          <w:i/>
          <w:iCs/>
          <w:sz w:val="24"/>
          <w:szCs w:val="24"/>
        </w:rPr>
        <w:t xml:space="preserve"> Tropical Journal of Natural Products Research</w:t>
      </w:r>
      <w:r>
        <w:rPr>
          <w:rFonts w:ascii="Times New Roman" w:hAnsi="Times New Roman"/>
          <w:iCs/>
          <w:sz w:val="24"/>
          <w:szCs w:val="24"/>
          <w:lang w:val="en-GB"/>
        </w:rPr>
        <w:t xml:space="preserve"> </w:t>
      </w:r>
      <w:r>
        <w:rPr>
          <w:rFonts w:ascii="Times New Roman" w:hAnsi="Times New Roman"/>
          <w:i/>
          <w:sz w:val="24"/>
          <w:szCs w:val="24"/>
        </w:rPr>
        <w:t xml:space="preserve"> </w:t>
      </w:r>
      <w:r>
        <w:rPr>
          <w:rFonts w:ascii="Times New Roman" w:hAnsi="Times New Roman"/>
          <w:sz w:val="24"/>
          <w:szCs w:val="24"/>
        </w:rPr>
        <w:t>4(3): 69-76.</w:t>
      </w:r>
    </w:p>
    <w:p w14:paraId="62AC1BBC">
      <w:pPr>
        <w:pStyle w:val="10"/>
        <w:jc w:val="both"/>
        <w:rPr>
          <w:rFonts w:ascii="Times New Roman" w:hAnsi="Times New Roman"/>
          <w:sz w:val="24"/>
          <w:szCs w:val="24"/>
        </w:rPr>
      </w:pPr>
      <w:r>
        <w:rPr>
          <w:rFonts w:ascii="Times New Roman" w:hAnsi="Times New Roman"/>
          <w:sz w:val="24"/>
          <w:szCs w:val="24"/>
        </w:rPr>
        <w:t xml:space="preserve">Okokon JE, </w:t>
      </w:r>
      <w:r>
        <w:rPr>
          <w:rFonts w:ascii="Times New Roman" w:hAnsi="Times New Roman"/>
          <w:sz w:val="24"/>
          <w:szCs w:val="24"/>
          <w:lang w:val="en-GB"/>
        </w:rPr>
        <w:t>&amp;</w:t>
      </w:r>
      <w:r>
        <w:rPr>
          <w:rFonts w:ascii="Times New Roman" w:hAnsi="Times New Roman"/>
          <w:sz w:val="24"/>
          <w:szCs w:val="24"/>
        </w:rPr>
        <w:t xml:space="preserve">Nyong M. </w:t>
      </w:r>
      <w:r>
        <w:rPr>
          <w:rFonts w:ascii="Times New Roman" w:hAnsi="Times New Roman"/>
          <w:sz w:val="24"/>
          <w:szCs w:val="24"/>
          <w:lang w:val="en-GB"/>
        </w:rPr>
        <w:t>(</w:t>
      </w:r>
      <w:r>
        <w:rPr>
          <w:rFonts w:ascii="Times New Roman" w:hAnsi="Times New Roman"/>
          <w:sz w:val="24"/>
          <w:szCs w:val="24"/>
        </w:rPr>
        <w:t>2018</w:t>
      </w:r>
      <w:r>
        <w:rPr>
          <w:rFonts w:ascii="Times New Roman" w:hAnsi="Times New Roman"/>
          <w:sz w:val="24"/>
          <w:szCs w:val="24"/>
          <w:lang w:val="en-GB"/>
        </w:rPr>
        <w:t>)</w:t>
      </w:r>
      <w:r>
        <w:rPr>
          <w:rFonts w:ascii="Times New Roman" w:hAnsi="Times New Roman"/>
          <w:sz w:val="24"/>
          <w:szCs w:val="24"/>
        </w:rPr>
        <w:t xml:space="preserve">.  Antidiabetic and hypolipidemic activities of </w:t>
      </w:r>
      <w:r>
        <w:rPr>
          <w:rFonts w:ascii="Times New Roman" w:hAnsi="Times New Roman"/>
          <w:i/>
          <w:sz w:val="24"/>
          <w:szCs w:val="24"/>
        </w:rPr>
        <w:t>Zea mays</w:t>
      </w:r>
      <w:r>
        <w:rPr>
          <w:rFonts w:ascii="Times New Roman" w:hAnsi="Times New Roman"/>
          <w:sz w:val="24"/>
          <w:szCs w:val="24"/>
        </w:rPr>
        <w:t xml:space="preserve"> husk extract and fractions.</w:t>
      </w:r>
      <w:r>
        <w:rPr>
          <w:rFonts w:ascii="Times New Roman" w:hAnsi="Times New Roman"/>
          <w:i/>
          <w:iCs/>
          <w:sz w:val="24"/>
          <w:szCs w:val="24"/>
        </w:rPr>
        <w:t xml:space="preserve"> J</w:t>
      </w:r>
      <w:r>
        <w:rPr>
          <w:rFonts w:ascii="Times New Roman" w:hAnsi="Times New Roman"/>
          <w:i/>
          <w:iCs/>
          <w:sz w:val="24"/>
          <w:szCs w:val="24"/>
          <w:lang w:val="en-GB"/>
        </w:rPr>
        <w:t>ournal of</w:t>
      </w:r>
      <w:r>
        <w:rPr>
          <w:rFonts w:ascii="Times New Roman" w:hAnsi="Times New Roman"/>
          <w:i/>
          <w:iCs/>
          <w:sz w:val="24"/>
          <w:szCs w:val="24"/>
        </w:rPr>
        <w:t xml:space="preserve"> Herbs Spices </w:t>
      </w:r>
      <w:r>
        <w:rPr>
          <w:rFonts w:ascii="Times New Roman" w:hAnsi="Times New Roman"/>
          <w:i/>
          <w:iCs/>
          <w:sz w:val="24"/>
          <w:szCs w:val="24"/>
          <w:lang w:val="en-GB"/>
        </w:rPr>
        <w:t xml:space="preserve">and </w:t>
      </w:r>
      <w:r>
        <w:rPr>
          <w:rFonts w:ascii="Times New Roman" w:hAnsi="Times New Roman"/>
          <w:i/>
          <w:iCs/>
          <w:sz w:val="24"/>
          <w:szCs w:val="24"/>
        </w:rPr>
        <w:t>Med</w:t>
      </w:r>
      <w:r>
        <w:rPr>
          <w:rFonts w:ascii="Times New Roman" w:hAnsi="Times New Roman"/>
          <w:i/>
          <w:iCs/>
          <w:sz w:val="24"/>
          <w:szCs w:val="24"/>
          <w:lang w:val="en-GB"/>
        </w:rPr>
        <w:t>icinal</w:t>
      </w:r>
      <w:r>
        <w:rPr>
          <w:rFonts w:ascii="Times New Roman" w:hAnsi="Times New Roman"/>
          <w:i/>
          <w:iCs/>
          <w:sz w:val="24"/>
          <w:szCs w:val="24"/>
        </w:rPr>
        <w:t xml:space="preserve"> Plants</w:t>
      </w:r>
      <w:r>
        <w:rPr>
          <w:rFonts w:ascii="Times New Roman" w:hAnsi="Times New Roman"/>
          <w:i/>
          <w:sz w:val="24"/>
          <w:szCs w:val="24"/>
        </w:rPr>
        <w:t xml:space="preserve"> </w:t>
      </w:r>
      <w:r>
        <w:rPr>
          <w:rFonts w:ascii="Times New Roman" w:hAnsi="Times New Roman"/>
          <w:sz w:val="24"/>
          <w:szCs w:val="24"/>
        </w:rPr>
        <w:t>24(3):1-17.</w:t>
      </w:r>
    </w:p>
    <w:p w14:paraId="2C4E59AD">
      <w:pPr>
        <w:pStyle w:val="10"/>
        <w:jc w:val="both"/>
        <w:rPr>
          <w:rFonts w:ascii="Times New Roman" w:hAnsi="Times New Roman"/>
          <w:sz w:val="24"/>
          <w:szCs w:val="24"/>
        </w:rPr>
      </w:pPr>
      <w:r>
        <w:rPr>
          <w:rFonts w:ascii="Times New Roman" w:hAnsi="Times New Roman"/>
          <w:sz w:val="24"/>
          <w:szCs w:val="24"/>
        </w:rPr>
        <w:t xml:space="preserve">Okokon JE, Udobang JA, Obot D, </w:t>
      </w:r>
      <w:r>
        <w:rPr>
          <w:rFonts w:ascii="Times New Roman" w:hAnsi="Times New Roman"/>
          <w:sz w:val="24"/>
          <w:szCs w:val="24"/>
          <w:lang w:val="en-GB"/>
        </w:rPr>
        <w:t>&amp;</w:t>
      </w:r>
      <w:r>
        <w:rPr>
          <w:rFonts w:ascii="Times New Roman" w:hAnsi="Times New Roman"/>
          <w:sz w:val="24"/>
          <w:szCs w:val="24"/>
        </w:rPr>
        <w:t xml:space="preserve">Agu CE. </w:t>
      </w:r>
      <w:r>
        <w:rPr>
          <w:rFonts w:ascii="Times New Roman" w:hAnsi="Times New Roman"/>
          <w:sz w:val="24"/>
          <w:szCs w:val="24"/>
          <w:lang w:val="en-GB"/>
        </w:rPr>
        <w:t>(</w:t>
      </w:r>
      <w:r>
        <w:rPr>
          <w:rFonts w:ascii="Times New Roman" w:hAnsi="Times New Roman"/>
          <w:sz w:val="24"/>
          <w:szCs w:val="24"/>
        </w:rPr>
        <w:t>2019</w:t>
      </w:r>
      <w:r>
        <w:rPr>
          <w:rFonts w:ascii="Times New Roman" w:hAnsi="Times New Roman"/>
          <w:sz w:val="24"/>
          <w:szCs w:val="24"/>
          <w:lang w:val="en-GB"/>
        </w:rPr>
        <w:t>)</w:t>
      </w:r>
      <w:r>
        <w:rPr>
          <w:rFonts w:ascii="Times New Roman" w:hAnsi="Times New Roman"/>
          <w:sz w:val="24"/>
          <w:szCs w:val="24"/>
        </w:rPr>
        <w:t xml:space="preserve">. Nephroprotective activity of </w:t>
      </w:r>
      <w:r>
        <w:rPr>
          <w:rFonts w:ascii="Times New Roman" w:hAnsi="Times New Roman"/>
          <w:i/>
          <w:sz w:val="24"/>
          <w:szCs w:val="24"/>
        </w:rPr>
        <w:t>Zea mays</w:t>
      </w:r>
      <w:r>
        <w:rPr>
          <w:rFonts w:ascii="Times New Roman" w:hAnsi="Times New Roman"/>
          <w:sz w:val="24"/>
          <w:szCs w:val="24"/>
        </w:rPr>
        <w:t xml:space="preserve"> husk extract against gentimicin- induced kidney injury in rats.</w:t>
      </w:r>
      <w:r>
        <w:rPr>
          <w:rFonts w:ascii="Times New Roman" w:hAnsi="Times New Roman"/>
          <w:i/>
          <w:iCs/>
          <w:sz w:val="24"/>
          <w:szCs w:val="24"/>
        </w:rPr>
        <w:t xml:space="preserve"> Journal of Medicinal Plant Studies</w:t>
      </w:r>
      <w:r>
        <w:rPr>
          <w:rFonts w:ascii="Times New Roman" w:hAnsi="Times New Roman"/>
          <w:i/>
          <w:sz w:val="24"/>
          <w:szCs w:val="24"/>
          <w:lang w:val="en-GB"/>
        </w:rPr>
        <w:t xml:space="preserve"> </w:t>
      </w:r>
      <w:r>
        <w:rPr>
          <w:rFonts w:ascii="Times New Roman" w:hAnsi="Times New Roman"/>
          <w:i/>
          <w:sz w:val="24"/>
          <w:szCs w:val="24"/>
        </w:rPr>
        <w:t xml:space="preserve"> </w:t>
      </w:r>
      <w:r>
        <w:rPr>
          <w:rFonts w:ascii="Times New Roman" w:hAnsi="Times New Roman"/>
          <w:sz w:val="24"/>
          <w:szCs w:val="24"/>
        </w:rPr>
        <w:t>7(6): 156-160.</w:t>
      </w:r>
    </w:p>
    <w:p w14:paraId="6BFA60B0">
      <w:pPr>
        <w:pStyle w:val="10"/>
        <w:jc w:val="both"/>
        <w:rPr>
          <w:rFonts w:ascii="Times New Roman" w:hAnsi="Times New Roman"/>
          <w:bCs/>
          <w:sz w:val="24"/>
          <w:szCs w:val="24"/>
        </w:rPr>
      </w:pPr>
      <w:r>
        <w:rPr>
          <w:rFonts w:ascii="Times New Roman" w:hAnsi="Times New Roman"/>
          <w:bCs/>
          <w:sz w:val="24"/>
          <w:szCs w:val="24"/>
          <w:lang w:val="en-GB"/>
        </w:rPr>
        <w:t>O</w:t>
      </w:r>
      <w:r>
        <w:rPr>
          <w:rFonts w:ascii="Times New Roman" w:hAnsi="Times New Roman"/>
          <w:bCs/>
          <w:sz w:val="24"/>
          <w:szCs w:val="24"/>
        </w:rPr>
        <w:t xml:space="preserve">kokon </w:t>
      </w:r>
      <w:r>
        <w:rPr>
          <w:rFonts w:ascii="Times New Roman" w:hAnsi="Times New Roman"/>
          <w:bCs/>
          <w:sz w:val="24"/>
          <w:szCs w:val="24"/>
          <w:lang w:val="en-GB"/>
        </w:rPr>
        <w:t>JE</w:t>
      </w:r>
      <w:r>
        <w:rPr>
          <w:rFonts w:ascii="Times New Roman" w:hAnsi="Times New Roman"/>
          <w:bCs/>
          <w:sz w:val="24"/>
          <w:szCs w:val="24"/>
        </w:rPr>
        <w:t xml:space="preserve">, </w:t>
      </w:r>
      <w:r>
        <w:rPr>
          <w:rFonts w:ascii="Times New Roman" w:hAnsi="Times New Roman"/>
          <w:bCs/>
          <w:sz w:val="24"/>
          <w:szCs w:val="24"/>
          <w:lang w:val="en-GB"/>
        </w:rPr>
        <w:t>Enin GU, Nyong ME</w:t>
      </w:r>
      <w:r>
        <w:rPr>
          <w:rFonts w:ascii="Times New Roman" w:hAnsi="Times New Roman"/>
          <w:bCs/>
          <w:sz w:val="24"/>
          <w:szCs w:val="24"/>
        </w:rPr>
        <w:t xml:space="preserve">, </w:t>
      </w:r>
      <w:r>
        <w:rPr>
          <w:rFonts w:ascii="Times New Roman" w:hAnsi="Times New Roman"/>
          <w:bCs/>
          <w:sz w:val="24"/>
          <w:szCs w:val="24"/>
          <w:lang w:val="en-GB"/>
        </w:rPr>
        <w:t>A</w:t>
      </w:r>
      <w:r>
        <w:rPr>
          <w:rStyle w:val="9"/>
          <w:rFonts w:ascii="Times New Roman" w:hAnsi="Times New Roman" w:eastAsia="SimSun"/>
          <w:b w:val="0"/>
          <w:sz w:val="24"/>
          <w:szCs w:val="24"/>
        </w:rPr>
        <w:t>nyanwu</w:t>
      </w:r>
      <w:r>
        <w:rPr>
          <w:rStyle w:val="9"/>
          <w:rFonts w:ascii="Times New Roman" w:hAnsi="Times New Roman" w:eastAsia="SimSun"/>
          <w:b w:val="0"/>
          <w:sz w:val="24"/>
          <w:szCs w:val="24"/>
          <w:lang w:val="en-GB"/>
        </w:rPr>
        <w:t xml:space="preserve"> BC.</w:t>
      </w:r>
      <w:r>
        <w:rPr>
          <w:rStyle w:val="9"/>
          <w:rFonts w:ascii="Times New Roman" w:hAnsi="Times New Roman" w:eastAsia="SimSun"/>
          <w:b w:val="0"/>
          <w:sz w:val="24"/>
          <w:szCs w:val="24"/>
        </w:rPr>
        <w:t xml:space="preserve"> </w:t>
      </w:r>
      <w:r>
        <w:rPr>
          <w:rStyle w:val="9"/>
          <w:rFonts w:ascii="Times New Roman" w:hAnsi="Times New Roman" w:eastAsia="SimSun"/>
          <w:b w:val="0"/>
          <w:sz w:val="24"/>
          <w:szCs w:val="24"/>
          <w:lang w:val="en-GB"/>
        </w:rPr>
        <w:t>&amp; D</w:t>
      </w:r>
      <w:r>
        <w:rPr>
          <w:rStyle w:val="9"/>
          <w:rFonts w:ascii="Times New Roman" w:hAnsi="Times New Roman" w:eastAsia="SimSun"/>
          <w:b w:val="0"/>
          <w:sz w:val="24"/>
          <w:szCs w:val="24"/>
        </w:rPr>
        <w:t>ick</w:t>
      </w:r>
      <w:r>
        <w:rPr>
          <w:rFonts w:ascii="Times New Roman" w:hAnsi="Times New Roman"/>
          <w:bCs/>
          <w:sz w:val="24"/>
          <w:szCs w:val="24"/>
        </w:rPr>
        <w:t xml:space="preserve"> </w:t>
      </w:r>
      <w:r>
        <w:rPr>
          <w:rFonts w:ascii="Times New Roman" w:hAnsi="Times New Roman"/>
          <w:bCs/>
          <w:sz w:val="24"/>
          <w:szCs w:val="24"/>
          <w:lang w:val="en-GB"/>
        </w:rPr>
        <w:t xml:space="preserve">GF. </w:t>
      </w:r>
      <w:r>
        <w:rPr>
          <w:rFonts w:ascii="Times New Roman" w:hAnsi="Times New Roman"/>
          <w:bCs/>
          <w:sz w:val="24"/>
          <w:szCs w:val="24"/>
        </w:rPr>
        <w:t>(202</w:t>
      </w:r>
      <w:r>
        <w:rPr>
          <w:rFonts w:ascii="Times New Roman" w:hAnsi="Times New Roman"/>
          <w:bCs/>
          <w:sz w:val="24"/>
          <w:szCs w:val="24"/>
          <w:lang w:val="en-GB"/>
        </w:rPr>
        <w:t>1b</w:t>
      </w:r>
      <w:r>
        <w:rPr>
          <w:rFonts w:ascii="Times New Roman" w:hAnsi="Times New Roman"/>
          <w:bCs/>
          <w:sz w:val="24"/>
          <w:szCs w:val="24"/>
        </w:rPr>
        <w:t xml:space="preserve">). </w:t>
      </w:r>
      <w:r>
        <w:rPr>
          <w:rFonts w:ascii="Times New Roman" w:hAnsi="Times New Roman"/>
          <w:bCs/>
          <w:sz w:val="24"/>
          <w:szCs w:val="24"/>
          <w:lang w:val="en-GB"/>
        </w:rPr>
        <w:t>I</w:t>
      </w:r>
      <w:r>
        <w:rPr>
          <w:rFonts w:ascii="Times New Roman" w:hAnsi="Times New Roman"/>
          <w:bCs/>
          <w:sz w:val="24"/>
          <w:szCs w:val="24"/>
        </w:rPr>
        <w:t xml:space="preserve">nhibitory effect of </w:t>
      </w:r>
      <w:r>
        <w:rPr>
          <w:rFonts w:ascii="Times New Roman" w:hAnsi="Times New Roman"/>
          <w:bCs/>
          <w:sz w:val="24"/>
          <w:szCs w:val="24"/>
          <w:lang w:val="en-GB"/>
        </w:rPr>
        <w:t xml:space="preserve">husk extract and fractions of </w:t>
      </w:r>
      <w:r>
        <w:rPr>
          <w:rFonts w:ascii="Times New Roman" w:hAnsi="Times New Roman"/>
          <w:bCs/>
          <w:i/>
          <w:iCs/>
          <w:sz w:val="24"/>
          <w:szCs w:val="24"/>
          <w:lang w:val="en-GB"/>
        </w:rPr>
        <w:t>Zea mays</w:t>
      </w:r>
      <w:r>
        <w:rPr>
          <w:rFonts w:ascii="Times New Roman" w:hAnsi="Times New Roman"/>
          <w:bCs/>
          <w:sz w:val="24"/>
          <w:szCs w:val="24"/>
        </w:rPr>
        <w:t xml:space="preserve"> on alpha amylase and alpha glucosidase enzymes.</w:t>
      </w:r>
      <w:r>
        <w:rPr>
          <w:rFonts w:ascii="Times New Roman" w:hAnsi="Times New Roman"/>
          <w:bCs/>
          <w:sz w:val="24"/>
          <w:szCs w:val="24"/>
          <w:lang w:val="en-GB"/>
        </w:rPr>
        <w:t xml:space="preserve"> </w:t>
      </w:r>
      <w:r>
        <w:rPr>
          <w:rFonts w:ascii="Times New Roman" w:hAnsi="Times New Roman"/>
          <w:bCs/>
          <w:i/>
          <w:iCs/>
          <w:sz w:val="24"/>
          <w:szCs w:val="24"/>
          <w:lang w:val="en-GB"/>
        </w:rPr>
        <w:t>Advance Pharmaceutical Journal.</w:t>
      </w:r>
      <w:r>
        <w:rPr>
          <w:rFonts w:ascii="Times New Roman" w:hAnsi="Times New Roman"/>
          <w:bCs/>
          <w:sz w:val="24"/>
          <w:szCs w:val="24"/>
        </w:rPr>
        <w:t xml:space="preserve"> </w:t>
      </w:r>
      <w:r>
        <w:rPr>
          <w:rFonts w:ascii="Times New Roman" w:hAnsi="Times New Roman"/>
          <w:bCs/>
          <w:sz w:val="24"/>
          <w:szCs w:val="24"/>
          <w:lang w:val="en-GB"/>
        </w:rPr>
        <w:t>6(6): 150-156.</w:t>
      </w:r>
    </w:p>
    <w:p w14:paraId="3A138835">
      <w:pPr>
        <w:autoSpaceDE w:val="0"/>
        <w:autoSpaceDN w:val="0"/>
        <w:adjustRightInd w:val="0"/>
        <w:spacing w:before="240" w:after="0" w:line="240" w:lineRule="auto"/>
        <w:jc w:val="both"/>
        <w:rPr>
          <w:rFonts w:ascii="Times New Roman" w:hAnsi="Times New Roman"/>
          <w:sz w:val="24"/>
          <w:szCs w:val="24"/>
        </w:rPr>
      </w:pPr>
      <w:r>
        <w:rPr>
          <w:rFonts w:ascii="Times New Roman" w:hAnsi="Times New Roman"/>
          <w:sz w:val="24"/>
          <w:szCs w:val="24"/>
        </w:rPr>
        <w:t xml:space="preserve">Owoyele, B.V., Negedu, M. N., Olaniran, S.O., Onasanwo, S. A., Oguntoye, S. O., Sanya, J.O., Oyeleke, S. A., Ibidapo, A. J. &amp; Soladoyel, A.O. (2010). Analgesic and anti-inflammatory effects of aqueous extract of </w:t>
      </w:r>
      <w:r>
        <w:rPr>
          <w:rFonts w:ascii="Times New Roman" w:hAnsi="Times New Roman"/>
          <w:i/>
          <w:iCs/>
          <w:sz w:val="24"/>
          <w:szCs w:val="24"/>
        </w:rPr>
        <w:t xml:space="preserve">Zea mays </w:t>
      </w:r>
      <w:r>
        <w:rPr>
          <w:rFonts w:ascii="Times New Roman" w:hAnsi="Times New Roman"/>
          <w:sz w:val="24"/>
          <w:szCs w:val="24"/>
        </w:rPr>
        <w:t xml:space="preserve">husk in male wistar rats. </w:t>
      </w:r>
      <w:r>
        <w:rPr>
          <w:rFonts w:ascii="Times New Roman" w:hAnsi="Times New Roman"/>
          <w:i/>
          <w:iCs/>
          <w:sz w:val="24"/>
          <w:szCs w:val="24"/>
        </w:rPr>
        <w:t xml:space="preserve">Journal of Medicinal Foods, </w:t>
      </w:r>
      <w:r>
        <w:rPr>
          <w:rFonts w:ascii="Times New Roman" w:hAnsi="Times New Roman"/>
          <w:bCs/>
          <w:sz w:val="24"/>
          <w:szCs w:val="24"/>
        </w:rPr>
        <w:t>13</w:t>
      </w:r>
      <w:r>
        <w:rPr>
          <w:rFonts w:ascii="Times New Roman" w:hAnsi="Times New Roman"/>
          <w:sz w:val="24"/>
          <w:szCs w:val="24"/>
        </w:rPr>
        <w:t>:343-347.</w:t>
      </w:r>
    </w:p>
    <w:p w14:paraId="7E004BC4">
      <w:pPr>
        <w:autoSpaceDE w:val="0"/>
        <w:autoSpaceDN w:val="0"/>
        <w:adjustRightInd w:val="0"/>
        <w:spacing w:before="240" w:after="0" w:line="240" w:lineRule="auto"/>
        <w:jc w:val="both"/>
        <w:rPr>
          <w:rFonts w:ascii="Times New Roman" w:hAnsi="Times New Roman" w:eastAsia="Calibri"/>
          <w:bCs/>
          <w:sz w:val="24"/>
          <w:szCs w:val="24"/>
        </w:rPr>
      </w:pPr>
      <w:r>
        <w:rPr>
          <w:rFonts w:ascii="Times New Roman" w:hAnsi="Times New Roman" w:eastAsia="Calibri"/>
          <w:bCs/>
          <w:sz w:val="24"/>
          <w:szCs w:val="24"/>
        </w:rPr>
        <w:t xml:space="preserve">Ping KY, Darah I, Chen Y, Sreeramanan S &amp; Sasidharan S. (2013). Acute and subchronic toxicity study of </w:t>
      </w:r>
      <w:r>
        <w:rPr>
          <w:rFonts w:ascii="Times New Roman" w:hAnsi="Times New Roman" w:eastAsia="Calibri"/>
          <w:bCs/>
          <w:i/>
          <w:sz w:val="24"/>
          <w:szCs w:val="24"/>
        </w:rPr>
        <w:t>Euphorbia hirta</w:t>
      </w:r>
      <w:r>
        <w:rPr>
          <w:rFonts w:ascii="Times New Roman" w:hAnsi="Times New Roman" w:eastAsia="Calibri"/>
          <w:bCs/>
          <w:sz w:val="24"/>
          <w:szCs w:val="24"/>
        </w:rPr>
        <w:t xml:space="preserve"> L. methanol extract in rats. </w:t>
      </w:r>
      <w:r>
        <w:rPr>
          <w:rFonts w:ascii="Times New Roman" w:hAnsi="Times New Roman" w:eastAsia="Calibri"/>
          <w:bCs/>
          <w:i/>
          <w:sz w:val="24"/>
          <w:szCs w:val="24"/>
        </w:rPr>
        <w:t xml:space="preserve">Biomedical Research International. </w:t>
      </w:r>
      <w:r>
        <w:rPr>
          <w:rFonts w:ascii="Times New Roman" w:hAnsi="Times New Roman" w:eastAsia="Calibri"/>
          <w:iCs/>
          <w:sz w:val="24"/>
          <w:szCs w:val="24"/>
        </w:rPr>
        <w:t>2:</w:t>
      </w:r>
      <w:r>
        <w:rPr>
          <w:rFonts w:ascii="Times New Roman" w:hAnsi="Times New Roman" w:eastAsia="Calibri"/>
          <w:bCs/>
          <w:i/>
          <w:sz w:val="24"/>
          <w:szCs w:val="24"/>
        </w:rPr>
        <w:t xml:space="preserve"> </w:t>
      </w:r>
      <w:r>
        <w:rPr>
          <w:rFonts w:ascii="Times New Roman" w:hAnsi="Times New Roman" w:eastAsia="Calibri"/>
          <w:bCs/>
          <w:sz w:val="24"/>
          <w:szCs w:val="24"/>
        </w:rPr>
        <w:t>1-14.</w:t>
      </w:r>
    </w:p>
    <w:p w14:paraId="0589FE28">
      <w:pPr>
        <w:autoSpaceDE w:val="0"/>
        <w:autoSpaceDN w:val="0"/>
        <w:adjustRightInd w:val="0"/>
        <w:spacing w:before="240" w:after="0" w:line="240" w:lineRule="auto"/>
        <w:jc w:val="both"/>
        <w:rPr>
          <w:rFonts w:ascii="Times New Roman" w:hAnsi="Times New Roman" w:eastAsia="Calibri"/>
          <w:sz w:val="24"/>
          <w:szCs w:val="24"/>
        </w:rPr>
      </w:pPr>
      <w:r>
        <w:rPr>
          <w:rFonts w:ascii="Times New Roman" w:hAnsi="Times New Roman" w:eastAsia="Calibri"/>
          <w:sz w:val="24"/>
          <w:szCs w:val="24"/>
        </w:rPr>
        <w:t xml:space="preserve">Shittu, O. K., Lawal, B., Alozieuwa, B. U., Haruna, G. M., Abubakar, A. N., &amp;Berinyuy, E. B. (2015). Alteration in biochemical indices following chronic administration of methanolic extract of Nigeria bee propolis in Wistar rats. </w:t>
      </w:r>
      <w:r>
        <w:rPr>
          <w:rFonts w:ascii="Times New Roman" w:hAnsi="Times New Roman" w:eastAsia="Calibri"/>
          <w:i/>
          <w:iCs/>
          <w:sz w:val="24"/>
          <w:szCs w:val="24"/>
        </w:rPr>
        <w:t>Asian Pacific Journal of Tropical Disease</w:t>
      </w:r>
      <w:r>
        <w:rPr>
          <w:rFonts w:ascii="Times New Roman" w:hAnsi="Times New Roman" w:eastAsia="Calibri"/>
          <w:sz w:val="24"/>
          <w:szCs w:val="24"/>
        </w:rPr>
        <w:t xml:space="preserve">, </w:t>
      </w:r>
      <w:r>
        <w:rPr>
          <w:rFonts w:ascii="Times New Roman" w:hAnsi="Times New Roman" w:eastAsia="Calibri"/>
          <w:i/>
          <w:iCs/>
          <w:sz w:val="24"/>
          <w:szCs w:val="24"/>
        </w:rPr>
        <w:t>5</w:t>
      </w:r>
      <w:r>
        <w:rPr>
          <w:rFonts w:ascii="Times New Roman" w:hAnsi="Times New Roman" w:eastAsia="Calibri"/>
          <w:sz w:val="24"/>
          <w:szCs w:val="24"/>
        </w:rPr>
        <w:t>(8), 654-657.</w:t>
      </w:r>
    </w:p>
    <w:p w14:paraId="405D9898">
      <w:pPr>
        <w:autoSpaceDE w:val="0"/>
        <w:autoSpaceDN w:val="0"/>
        <w:adjustRightInd w:val="0"/>
        <w:spacing w:before="240" w:after="0" w:line="240" w:lineRule="auto"/>
        <w:ind w:left="720" w:hanging="720"/>
        <w:jc w:val="both"/>
        <w:rPr>
          <w:rStyle w:val="15"/>
          <w:sz w:val="24"/>
          <w:szCs w:val="24"/>
        </w:rPr>
      </w:pPr>
      <w:r>
        <w:rPr>
          <w:rFonts w:ascii="Times New Roman" w:hAnsi="Times New Roman"/>
          <w:sz w:val="24"/>
          <w:szCs w:val="24"/>
        </w:rPr>
        <w:t xml:space="preserve">Simmonds, N. W. (1979). </w:t>
      </w:r>
      <w:r>
        <w:rPr>
          <w:rFonts w:ascii="Times New Roman" w:hAnsi="Times New Roman"/>
          <w:i/>
          <w:sz w:val="24"/>
          <w:szCs w:val="24"/>
        </w:rPr>
        <w:t xml:space="preserve">Evolution of Crop Plants. </w:t>
      </w:r>
      <w:r>
        <w:rPr>
          <w:rFonts w:ascii="Times New Roman" w:hAnsi="Times New Roman"/>
          <w:sz w:val="24"/>
          <w:szCs w:val="24"/>
        </w:rPr>
        <w:t>Longmans, London, 339p.</w:t>
      </w:r>
      <w:r>
        <w:rPr>
          <w:rStyle w:val="7"/>
          <w:sz w:val="24"/>
          <w:szCs w:val="24"/>
        </w:rPr>
        <w:t>.</w:t>
      </w:r>
    </w:p>
    <w:p w14:paraId="105C86F2">
      <w:pPr>
        <w:spacing w:before="240"/>
        <w:jc w:val="both"/>
        <w:rPr>
          <w:rFonts w:ascii="Times New Roman" w:hAnsi="Times New Roman" w:eastAsia="Calibri"/>
          <w:sz w:val="24"/>
          <w:szCs w:val="24"/>
        </w:rPr>
      </w:pPr>
      <w:r>
        <w:rPr>
          <w:rFonts w:ascii="Times New Roman" w:hAnsi="Times New Roman" w:eastAsia="Calibri"/>
          <w:sz w:val="24"/>
          <w:szCs w:val="24"/>
        </w:rPr>
        <w:t xml:space="preserve">Tepongning, R.N., Mbah, J.N., Avoulou, F.L., Jerme, M.M., Ndanga, E-K, K. &amp; Fekam, F.B. (2018). Hydroethanolic extracts of </w:t>
      </w:r>
      <w:r>
        <w:rPr>
          <w:rFonts w:ascii="Times New Roman" w:hAnsi="Times New Roman" w:eastAsia="Calibri"/>
          <w:i/>
          <w:iCs/>
          <w:sz w:val="24"/>
          <w:szCs w:val="24"/>
        </w:rPr>
        <w:t xml:space="preserve">Erigeron floribundus </w:t>
      </w:r>
      <w:r>
        <w:rPr>
          <w:rFonts w:ascii="Times New Roman" w:hAnsi="Times New Roman" w:eastAsia="Calibri"/>
          <w:sz w:val="24"/>
          <w:szCs w:val="24"/>
        </w:rPr>
        <w:t xml:space="preserve">and </w:t>
      </w:r>
      <w:r>
        <w:rPr>
          <w:rFonts w:ascii="Times New Roman" w:hAnsi="Times New Roman" w:eastAsia="Calibri"/>
          <w:i/>
          <w:iCs/>
          <w:sz w:val="24"/>
          <w:szCs w:val="24"/>
        </w:rPr>
        <w:t>Azadirachta indica</w:t>
      </w:r>
      <w:r>
        <w:rPr>
          <w:rFonts w:ascii="Times New Roman" w:hAnsi="Times New Roman" w:eastAsia="Calibri"/>
          <w:sz w:val="24"/>
          <w:szCs w:val="24"/>
        </w:rPr>
        <w:t xml:space="preserve"> reduced </w:t>
      </w:r>
      <w:r>
        <w:rPr>
          <w:rFonts w:ascii="Times New Roman" w:hAnsi="Times New Roman" w:eastAsia="Calibri"/>
          <w:i/>
          <w:iCs/>
          <w:sz w:val="24"/>
          <w:szCs w:val="24"/>
        </w:rPr>
        <w:t xml:space="preserve">Plasmodium berghei </w:t>
      </w:r>
      <w:r>
        <w:rPr>
          <w:rFonts w:ascii="Times New Roman" w:hAnsi="Times New Roman" w:eastAsia="Calibri"/>
          <w:sz w:val="24"/>
          <w:szCs w:val="24"/>
        </w:rPr>
        <w:t xml:space="preserve">parasitaemia in Balb/c Mice. </w:t>
      </w:r>
      <w:r>
        <w:rPr>
          <w:rFonts w:ascii="Times New Roman" w:hAnsi="Times New Roman" w:eastAsia="Calibri"/>
          <w:i/>
          <w:iCs/>
          <w:sz w:val="24"/>
          <w:szCs w:val="24"/>
        </w:rPr>
        <w:t>Evidence-based Complementary and Alternative Medicine</w:t>
      </w:r>
      <w:r>
        <w:rPr>
          <w:rFonts w:ascii="Times New Roman" w:hAnsi="Times New Roman" w:eastAsia="Calibri"/>
          <w:sz w:val="24"/>
          <w:szCs w:val="24"/>
        </w:rPr>
        <w:t>. 2018: 5156710. doi: 10.1155/2018/5156710.</w:t>
      </w:r>
    </w:p>
    <w:p w14:paraId="5A3FCFE9">
      <w:pPr>
        <w:pStyle w:val="16"/>
        <w:jc w:val="both"/>
      </w:pPr>
      <w:r>
        <w:t xml:space="preserve">Tietz, NW. (1976). </w:t>
      </w:r>
      <w:r>
        <w:rPr>
          <w:i/>
        </w:rPr>
        <w:t>Fundamentals of Clinical Chemistry</w:t>
      </w:r>
      <w:r>
        <w:t>. 2nd Edition. W. B. Saunders, Philadelphia, pp335-337.</w:t>
      </w:r>
    </w:p>
    <w:p w14:paraId="60CA02B5">
      <w:pPr>
        <w:ind w:left="720" w:right="21" w:hanging="720"/>
        <w:jc w:val="both"/>
        <w:rPr>
          <w:rFonts w:ascii="Times New Roman" w:hAnsi="Times New Roman"/>
          <w:sz w:val="24"/>
          <w:szCs w:val="24"/>
        </w:rPr>
      </w:pPr>
    </w:p>
    <w:p w14:paraId="093A77AE">
      <w:pPr>
        <w:ind w:right="21"/>
        <w:jc w:val="both"/>
        <w:rPr>
          <w:rFonts w:ascii="Times New Roman" w:hAnsi="Times New Roman"/>
          <w:sz w:val="24"/>
          <w:szCs w:val="24"/>
        </w:rPr>
      </w:pPr>
      <w:r>
        <w:rPr>
          <w:rFonts w:ascii="Times New Roman" w:hAnsi="Times New Roman"/>
          <w:sz w:val="24"/>
          <w:szCs w:val="24"/>
        </w:rPr>
        <w:t xml:space="preserve">Udobang, J. A., Okokon, J. E., Obot, D. &amp; Agu, C. E. (2019). Hepatoprotective activity of </w:t>
      </w:r>
      <w:r>
        <w:rPr>
          <w:rFonts w:ascii="Times New Roman" w:hAnsi="Times New Roman"/>
          <w:i/>
          <w:sz w:val="24"/>
          <w:szCs w:val="24"/>
        </w:rPr>
        <w:t>Zea mays</w:t>
      </w:r>
      <w:r>
        <w:rPr>
          <w:rFonts w:ascii="Times New Roman" w:hAnsi="Times New Roman"/>
          <w:sz w:val="24"/>
          <w:szCs w:val="24"/>
        </w:rPr>
        <w:t xml:space="preserve"> husk extract against carbon tetrachloride induced liver injury in rats. </w:t>
      </w:r>
      <w:r>
        <w:rPr>
          <w:rFonts w:ascii="Times New Roman" w:hAnsi="Times New Roman"/>
          <w:i/>
          <w:sz w:val="24"/>
          <w:szCs w:val="24"/>
        </w:rPr>
        <w:t>Research Journal of Life Sciences, Bioinformatics, Pharmaceutical and Chemical Sciences</w:t>
      </w:r>
      <w:r>
        <w:rPr>
          <w:rFonts w:ascii="Times New Roman" w:hAnsi="Times New Roman"/>
          <w:sz w:val="24"/>
          <w:szCs w:val="24"/>
        </w:rPr>
        <w:t>. 5(5):82-94.</w:t>
      </w:r>
    </w:p>
    <w:p w14:paraId="7C562CD4">
      <w:pPr>
        <w:autoSpaceDE w:val="0"/>
        <w:autoSpaceDN w:val="0"/>
        <w:adjustRightInd w:val="0"/>
        <w:spacing w:before="240" w:after="0" w:line="240" w:lineRule="auto"/>
        <w:jc w:val="both"/>
        <w:rPr>
          <w:rFonts w:ascii="Times New Roman" w:hAnsi="Times New Roman" w:eastAsia="Calibri"/>
          <w:sz w:val="24"/>
          <w:szCs w:val="24"/>
        </w:rPr>
      </w:pPr>
      <w:r>
        <w:rPr>
          <w:rStyle w:val="15"/>
          <w:sz w:val="24"/>
          <w:szCs w:val="24"/>
        </w:rPr>
        <w:t xml:space="preserve"> </w:t>
      </w:r>
      <w:r>
        <w:rPr>
          <w:rFonts w:ascii="Times New Roman" w:hAnsi="Times New Roman" w:eastAsia="Calibri"/>
          <w:sz w:val="24"/>
          <w:szCs w:val="24"/>
        </w:rPr>
        <w:t xml:space="preserve">Yakuba MT, Bilbis, L. S., Lawal, M. &amp;Akanji, M. A. (2003). Evaluation of selected parameters of rat liver and kidney function following repeated administration of yohimbine. </w:t>
      </w:r>
      <w:r>
        <w:rPr>
          <w:rFonts w:ascii="Times New Roman" w:hAnsi="Times New Roman" w:eastAsia="Calibri"/>
          <w:i/>
          <w:iCs/>
          <w:sz w:val="24"/>
          <w:szCs w:val="24"/>
        </w:rPr>
        <w:t xml:space="preserve">Biokemistri </w:t>
      </w:r>
      <w:r>
        <w:rPr>
          <w:rFonts w:ascii="Times New Roman" w:hAnsi="Times New Roman" w:eastAsia="Calibri"/>
          <w:sz w:val="24"/>
          <w:szCs w:val="24"/>
        </w:rPr>
        <w:t>15 (2): 50-6.</w:t>
      </w:r>
    </w:p>
    <w:p w14:paraId="03992A85">
      <w:pPr>
        <w:autoSpaceDE w:val="0"/>
        <w:autoSpaceDN w:val="0"/>
        <w:adjustRightInd w:val="0"/>
        <w:spacing w:before="240" w:after="0" w:line="240" w:lineRule="auto"/>
        <w:jc w:val="both"/>
        <w:rPr>
          <w:rFonts w:ascii="Times New Roman" w:hAnsi="Times New Roman" w:eastAsia="Calibri"/>
          <w:sz w:val="24"/>
          <w:szCs w:val="24"/>
        </w:rPr>
      </w:pPr>
      <w:r>
        <w:rPr>
          <w:rFonts w:ascii="Times New Roman" w:hAnsi="Times New Roman" w:eastAsia="Calibri"/>
          <w:sz w:val="24"/>
          <w:szCs w:val="24"/>
        </w:rPr>
        <w:t xml:space="preserve">Yakubu, M. T, Akanji, M. A. &amp; Oladiji, A. T. (2008). Alterations in serum lipid profile of male rats by oral administration of aqueous extract of </w:t>
      </w:r>
      <w:r>
        <w:rPr>
          <w:rFonts w:ascii="Times New Roman" w:hAnsi="Times New Roman" w:eastAsia="Calibri"/>
          <w:i/>
          <w:iCs/>
          <w:sz w:val="24"/>
          <w:szCs w:val="24"/>
        </w:rPr>
        <w:t xml:space="preserve">Fadogia argrestis </w:t>
      </w:r>
      <w:r>
        <w:rPr>
          <w:rFonts w:ascii="Times New Roman" w:hAnsi="Times New Roman" w:eastAsia="Calibri"/>
          <w:sz w:val="24"/>
          <w:szCs w:val="24"/>
        </w:rPr>
        <w:t xml:space="preserve">stem. </w:t>
      </w:r>
      <w:r>
        <w:rPr>
          <w:rFonts w:ascii="Times New Roman" w:hAnsi="Times New Roman" w:eastAsia="Calibri"/>
          <w:i/>
          <w:iCs/>
          <w:sz w:val="24"/>
          <w:szCs w:val="24"/>
        </w:rPr>
        <w:t>Res. J. Med. Plant.</w:t>
      </w:r>
      <w:r>
        <w:rPr>
          <w:rFonts w:ascii="Times New Roman" w:hAnsi="Times New Roman" w:eastAsia="Calibri"/>
          <w:sz w:val="24"/>
          <w:szCs w:val="24"/>
        </w:rPr>
        <w:t xml:space="preserve"> 2: 66-73.</w:t>
      </w:r>
    </w:p>
    <w:p w14:paraId="652407CF">
      <w:pPr>
        <w:ind w:firstLine="3360" w:firstLineChars="1400"/>
        <w:jc w:val="both"/>
        <w:rPr>
          <w:rFonts w:ascii="Times New Roman" w:hAnsi="Times New Roman" w:eastAsia="TgpvjjAdvTT7329fd89.I"/>
          <w:sz w:val="24"/>
          <w:szCs w:val="24"/>
        </w:rPr>
      </w:pPr>
    </w:p>
    <w:p w14:paraId="33694665">
      <w:pPr>
        <w:rPr>
          <w:rFonts w:ascii="Times New Roman" w:hAnsi="Times New Roman"/>
          <w:sz w:val="24"/>
          <w:szCs w:val="24"/>
        </w:rPr>
      </w:pPr>
    </w:p>
    <w:p w14:paraId="5783AC1D">
      <w:pPr>
        <w:rPr>
          <w:sz w:val="24"/>
          <w:szCs w:val="24"/>
        </w:rPr>
      </w:pPr>
    </w:p>
    <w:sectPr>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MT">
    <w:altName w:val="Arial"/>
    <w:panose1 w:val="00000000000000000000"/>
    <w:charset w:val="00"/>
    <w:family w:val="auto"/>
    <w:pitch w:val="default"/>
    <w:sig w:usb0="00000000" w:usb1="00000000" w:usb2="00000000" w:usb3="00000000" w:csb0="00000001" w:csb1="00000000"/>
  </w:font>
  <w:font w:name="Symbol">
    <w:panose1 w:val="05050102010706020507"/>
    <w:charset w:val="02"/>
    <w:family w:val="decorative"/>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Helvetica">
    <w:altName w:val="Arial"/>
    <w:panose1 w:val="020B0504020202020204"/>
    <w:charset w:val="00"/>
    <w:family w:val="swiss"/>
    <w:pitch w:val="default"/>
    <w:sig w:usb0="00000000" w:usb1="00000000" w:usb2="00000000" w:usb3="00000000" w:csb0="00000001" w:csb1="00000000"/>
  </w:font>
  <w:font w:name="CambriaMath">
    <w:altName w:val="Malgun Gothic"/>
    <w:panose1 w:val="00000000000000000000"/>
    <w:charset w:val="81"/>
    <w:family w:val="auto"/>
    <w:pitch w:val="default"/>
    <w:sig w:usb0="00000000" w:usb1="00000000" w:usb2="00000010" w:usb3="00000000" w:csb0="00080000" w:csb1="00000000"/>
  </w:font>
  <w:font w:name="Arial-BoldMT">
    <w:altName w:val="Arial"/>
    <w:panose1 w:val="00000000000000000000"/>
    <w:charset w:val="00"/>
    <w:family w:val="swiss"/>
    <w:pitch w:val="default"/>
    <w:sig w:usb0="00000000" w:usb1="00000000" w:usb2="00000000" w:usb3="00000000" w:csb0="00000001" w:csb1="00000000"/>
  </w:font>
  <w:font w:name="TgpvjjAdvTT7329fd89.I">
    <w:altName w:val="Segoe Print"/>
    <w:panose1 w:val="00000000000000000000"/>
    <w:charset w:val="00"/>
    <w:family w:val="swiss"/>
    <w:pitch w:val="default"/>
    <w:sig w:usb0="00000000" w:usb1="00000000" w:usb2="00000000" w:usb3="00000000" w:csb0="00000001" w:csb1="00000000"/>
  </w:font>
  <w:font w:name="Calibri">
    <w:panose1 w:val="020F0502020204030204"/>
    <w:charset w:val="86"/>
    <w:family w:val="swiss"/>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A70D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5E7F9">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493B1">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75CED">
    <w:pPr>
      <w:pStyle w:val="6"/>
    </w:pPr>
    <w:r>
      <w:pict>
        <v:shape id="PowerPlusWaterMarkObject298880002" o:spid="_x0000_s4098" o:spt="136" type="#_x0000_t136" style="position:absolute;left:0pt;height:104.15pt;width:555.6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04FF5">
    <w:pPr>
      <w:pStyle w:val="6"/>
    </w:pPr>
    <w:r>
      <w:pict>
        <v:shape id="PowerPlusWaterMarkObject298880001" o:spid="_x0000_s4099" o:spt="136" type="#_x0000_t136" style="position:absolute;left:0pt;height:104.15pt;width:555.6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CB619">
    <w:pPr>
      <w:pStyle w:val="6"/>
    </w:pPr>
    <w:r>
      <w:pict>
        <v:shape id="PowerPlusWaterMarkObject298880000" o:spid="_x0000_s4097" o:spt="136" type="#_x0000_t136" style="position:absolute;left:0pt;height:104.15pt;width:555.6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E75B8"/>
    <w:multiLevelType w:val="singleLevel"/>
    <w:tmpl w:val="AD0E75B8"/>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drawingGridVerticalSpacing w:val="156"/>
  <w:noPunctuationKerning w:val="1"/>
  <w:characterSpacingControl w:val="doNotCompress"/>
  <w:hdrShapeDefaults>
    <o:shapelayout v:ext="edit">
      <o:idmap v:ext="edit" data="3,4"/>
    </o:shapelayout>
  </w:hdrShapeDefault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65B6A59"/>
    <w:rsid w:val="000E234F"/>
    <w:rsid w:val="0038377B"/>
    <w:rsid w:val="00387F26"/>
    <w:rsid w:val="004908EE"/>
    <w:rsid w:val="005B3DF2"/>
    <w:rsid w:val="005C365D"/>
    <w:rsid w:val="007501A1"/>
    <w:rsid w:val="00B2609A"/>
    <w:rsid w:val="00B37D25"/>
    <w:rsid w:val="00D95BFE"/>
    <w:rsid w:val="00DD4D91"/>
    <w:rsid w:val="01CA6670"/>
    <w:rsid w:val="04513BA5"/>
    <w:rsid w:val="058C19A4"/>
    <w:rsid w:val="06F06784"/>
    <w:rsid w:val="08074F3A"/>
    <w:rsid w:val="0C185229"/>
    <w:rsid w:val="0C9B5316"/>
    <w:rsid w:val="0D6C225D"/>
    <w:rsid w:val="104D2B0B"/>
    <w:rsid w:val="13267A75"/>
    <w:rsid w:val="14E67A56"/>
    <w:rsid w:val="1564650D"/>
    <w:rsid w:val="1A7F03B1"/>
    <w:rsid w:val="1AD268A5"/>
    <w:rsid w:val="1AF5366B"/>
    <w:rsid w:val="1B634DF8"/>
    <w:rsid w:val="1CAC20A2"/>
    <w:rsid w:val="1EF008F7"/>
    <w:rsid w:val="28133C57"/>
    <w:rsid w:val="28C27EED"/>
    <w:rsid w:val="2C8E2FC6"/>
    <w:rsid w:val="2DAF630B"/>
    <w:rsid w:val="2E1617F2"/>
    <w:rsid w:val="324B43A5"/>
    <w:rsid w:val="32F92C78"/>
    <w:rsid w:val="365B6A59"/>
    <w:rsid w:val="37ED2F0A"/>
    <w:rsid w:val="3DFA24DD"/>
    <w:rsid w:val="422D4BED"/>
    <w:rsid w:val="453F62FB"/>
    <w:rsid w:val="4565696F"/>
    <w:rsid w:val="4F326C89"/>
    <w:rsid w:val="52B129B7"/>
    <w:rsid w:val="5359794D"/>
    <w:rsid w:val="540B7C06"/>
    <w:rsid w:val="560F424A"/>
    <w:rsid w:val="578B0488"/>
    <w:rsid w:val="59FC4D37"/>
    <w:rsid w:val="5C5B78FD"/>
    <w:rsid w:val="6D5D5F20"/>
    <w:rsid w:val="712715EE"/>
    <w:rsid w:val="746A5D06"/>
    <w:rsid w:val="7E3C55C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Times New Roman" w:cs="Times New Roman"/>
      <w:sz w:val="22"/>
      <w:szCs w:val="22"/>
      <w:lang w:val="en-GB" w:eastAsia="en-GB"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Body Text"/>
    <w:basedOn w:val="1"/>
    <w:unhideWhenUsed/>
    <w:qFormat/>
    <w:uiPriority w:val="99"/>
    <w:pPr>
      <w:widowControl w:val="0"/>
      <w:autoSpaceDE w:val="0"/>
      <w:autoSpaceDN w:val="0"/>
      <w:spacing w:after="0" w:line="240" w:lineRule="auto"/>
    </w:pPr>
    <w:rPr>
      <w:sz w:val="18"/>
      <w:szCs w:val="18"/>
    </w:rPr>
  </w:style>
  <w:style w:type="paragraph" w:styleId="5">
    <w:name w:val="footer"/>
    <w:basedOn w:val="1"/>
    <w:link w:val="19"/>
    <w:qFormat/>
    <w:uiPriority w:val="0"/>
    <w:pPr>
      <w:tabs>
        <w:tab w:val="center" w:pos="4680"/>
        <w:tab w:val="right" w:pos="9360"/>
      </w:tabs>
    </w:pPr>
  </w:style>
  <w:style w:type="paragraph" w:styleId="6">
    <w:name w:val="header"/>
    <w:basedOn w:val="1"/>
    <w:link w:val="18"/>
    <w:qFormat/>
    <w:uiPriority w:val="0"/>
    <w:pPr>
      <w:tabs>
        <w:tab w:val="center" w:pos="4680"/>
        <w:tab w:val="right" w:pos="9360"/>
      </w:tabs>
    </w:pPr>
  </w:style>
  <w:style w:type="character" w:styleId="7">
    <w:name w:val="HTML Cite"/>
    <w:qFormat/>
    <w:uiPriority w:val="0"/>
    <w:rPr>
      <w:rFonts w:ascii="Times New Roman" w:hAnsi="Times New Roman" w:eastAsia="SimSun" w:cs="Times New Roman"/>
      <w:i/>
      <w:iCs/>
    </w:rPr>
  </w:style>
  <w:style w:type="character" w:styleId="8">
    <w:name w:val="Hyperlink"/>
    <w:qFormat/>
    <w:uiPriority w:val="0"/>
    <w:rPr>
      <w:color w:val="0563C1"/>
      <w:u w:val="single"/>
    </w:rPr>
  </w:style>
  <w:style w:type="character" w:styleId="9">
    <w:name w:val="Strong"/>
    <w:qFormat/>
    <w:uiPriority w:val="22"/>
    <w:rPr>
      <w:b/>
      <w:bCs/>
      <w:spacing w:val="0"/>
    </w:rPr>
  </w:style>
  <w:style w:type="paragraph" w:styleId="10">
    <w:name w:val="No Spacing"/>
    <w:basedOn w:val="1"/>
    <w:qFormat/>
    <w:uiPriority w:val="0"/>
    <w:rPr>
      <w:rFonts w:eastAsia="Calibri"/>
      <w:lang w:val="en-US" w:eastAsia="en-US"/>
    </w:rPr>
  </w:style>
  <w:style w:type="paragraph" w:styleId="11">
    <w:name w:val="List Paragraph"/>
    <w:basedOn w:val="1"/>
    <w:qFormat/>
    <w:uiPriority w:val="0"/>
    <w:pPr>
      <w:ind w:left="720"/>
      <w:contextualSpacing/>
    </w:pPr>
    <w:rPr>
      <w:rFonts w:ascii="Times New Roman" w:hAnsi="Times New Roman" w:eastAsia="SimSun"/>
    </w:rPr>
  </w:style>
  <w:style w:type="paragraph" w:customStyle="1" w:styleId="12">
    <w:name w:val="jbd-Pendahul10"/>
    <w:basedOn w:val="13"/>
    <w:qFormat/>
    <w:uiPriority w:val="0"/>
    <w:pPr>
      <w:keepNext/>
      <w:spacing w:after="240"/>
    </w:pPr>
  </w:style>
  <w:style w:type="paragraph" w:customStyle="1" w:styleId="13">
    <w:name w:val="jbd-nam"/>
    <w:basedOn w:val="1"/>
    <w:qFormat/>
    <w:uiPriority w:val="0"/>
    <w:pPr>
      <w:spacing w:before="480"/>
      <w:jc w:val="center"/>
    </w:pPr>
    <w:rPr>
      <w:b/>
      <w:bCs/>
      <w:caps/>
    </w:rPr>
  </w:style>
  <w:style w:type="character" w:customStyle="1" w:styleId="14">
    <w:name w:val="15"/>
    <w:qFormat/>
    <w:uiPriority w:val="0"/>
    <w:rPr>
      <w:rFonts w:hint="default" w:ascii="Calibri" w:hAnsi="Calibri" w:eastAsia="SimSun" w:cs="Calibri"/>
    </w:rPr>
  </w:style>
  <w:style w:type="character" w:customStyle="1" w:styleId="15">
    <w:name w:val="element-citation"/>
    <w:qFormat/>
    <w:uiPriority w:val="0"/>
    <w:rPr>
      <w:rFonts w:ascii="Times New Roman" w:hAnsi="Times New Roman" w:eastAsia="SimSun" w:cs="Times New Roman"/>
    </w:rPr>
  </w:style>
  <w:style w:type="paragraph" w:customStyle="1" w:styleId="16">
    <w:name w:val="Default"/>
    <w:qFormat/>
    <w:uiPriority w:val="0"/>
    <w:pPr>
      <w:autoSpaceDE w:val="0"/>
      <w:autoSpaceDN w:val="0"/>
      <w:adjustRightInd w:val="0"/>
    </w:pPr>
    <w:rPr>
      <w:rFonts w:ascii="Times New Roman" w:hAnsi="Times New Roman" w:eastAsia="Calibri" w:cs="Times New Roman"/>
      <w:color w:val="000000"/>
      <w:sz w:val="24"/>
      <w:szCs w:val="24"/>
      <w:lang w:val="en-GB" w:eastAsia="en-US" w:bidi="ar-SA"/>
    </w:rPr>
  </w:style>
  <w:style w:type="character" w:customStyle="1" w:styleId="17">
    <w:name w:val="Unresolved Mention"/>
    <w:semiHidden/>
    <w:unhideWhenUsed/>
    <w:qFormat/>
    <w:uiPriority w:val="99"/>
    <w:rPr>
      <w:color w:val="605E5C"/>
      <w:shd w:val="clear" w:color="auto" w:fill="E1DFDD"/>
    </w:rPr>
  </w:style>
  <w:style w:type="character" w:customStyle="1" w:styleId="18">
    <w:name w:val="Header Char"/>
    <w:link w:val="6"/>
    <w:qFormat/>
    <w:uiPriority w:val="0"/>
    <w:rPr>
      <w:rFonts w:ascii="Calibri" w:hAnsi="Calibri" w:eastAsia="Times New Roman"/>
      <w:sz w:val="22"/>
      <w:szCs w:val="22"/>
      <w:lang w:val="en-GB" w:eastAsia="en-GB"/>
    </w:rPr>
  </w:style>
  <w:style w:type="character" w:customStyle="1" w:styleId="19">
    <w:name w:val="Footer Char"/>
    <w:link w:val="5"/>
    <w:qFormat/>
    <w:uiPriority w:val="0"/>
    <w:rPr>
      <w:rFonts w:ascii="Calibri" w:hAnsi="Calibri" w:eastAsia="Times New Roman"/>
      <w:sz w:val="22"/>
      <w:szCs w:val="22"/>
      <w:lang w:val="en-GB" w:eastAsia="en-GB"/>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4098"/>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6289</Words>
  <Characters>35850</Characters>
  <Lines>298</Lines>
  <Paragraphs>84</Paragraphs>
  <TotalTime>4</TotalTime>
  <ScaleCrop>false</ScaleCrop>
  <LinksUpToDate>false</LinksUpToDate>
  <CharactersWithSpaces>42055</CharactersWithSpaces>
  <Application>WPS Office_12.2.0.21546_F1E327BC-269C-435d-A152-05C5408002CA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2025-08-04T11:06:00Z</dcterms:created>
  <dc:creator>Dr Okokon</dc:creator>
  <cp:lastModifiedBy>Dr Okokon</cp:lastModifiedBy>
  <dcterms:modified xsi:type="dcterms:W3CDTF">2025-08-04T19:49:39Z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2057-12.2.0.21546</vt:lpwstr>
  </property>
  <property fmtid="{D5CDD505-2E9C-101B-9397-08002B2CF9AE}" pid="3" name="ICV">
    <vt:lpwstr>B0D07CF39BB34B689E35FEF8D673EA6D_11</vt:lpwstr>
  </property>
</Properties>
</file>