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500D" w14:textId="77777777" w:rsidR="00C75191" w:rsidRDefault="00000000">
      <w:pPr>
        <w:spacing w:after="0" w:line="480" w:lineRule="auto"/>
        <w:jc w:val="both"/>
        <w:rPr>
          <w:rFonts w:ascii="Times New Roman" w:hAnsi="Times New Roman" w:cs="Times New Roman"/>
          <w:b/>
          <w:bCs/>
          <w:i/>
          <w:iCs/>
          <w:color w:val="0D0D0D"/>
          <w:sz w:val="24"/>
          <w:szCs w:val="24"/>
          <w:u w:val="single"/>
          <w:shd w:val="clear" w:color="auto" w:fill="FFFFFF"/>
        </w:rPr>
      </w:pPr>
      <w:bookmarkStart w:id="0" w:name="_Hlk158800273"/>
      <w:r>
        <w:rPr>
          <w:rFonts w:ascii="Times New Roman" w:hAnsi="Times New Roman" w:cs="Times New Roman"/>
          <w:b/>
          <w:bCs/>
          <w:i/>
          <w:iCs/>
          <w:color w:val="0D0D0D"/>
          <w:sz w:val="24"/>
          <w:szCs w:val="24"/>
          <w:u w:val="single"/>
          <w:shd w:val="clear" w:color="auto" w:fill="FFFFFF"/>
        </w:rPr>
        <w:t>Original Research Article</w:t>
      </w:r>
    </w:p>
    <w:p w14:paraId="44E4F7D6" w14:textId="323C324E" w:rsidR="00C75191" w:rsidRDefault="00F76050">
      <w:pPr>
        <w:spacing w:after="0" w:line="480" w:lineRule="auto"/>
        <w:jc w:val="both"/>
        <w:rPr>
          <w:rFonts w:ascii="Times New Roman" w:hAnsi="Times New Roman" w:cs="Times New Roman"/>
          <w:b/>
          <w:bCs/>
          <w:iCs/>
          <w:sz w:val="24"/>
          <w:szCs w:val="24"/>
        </w:rPr>
      </w:pPr>
      <w:proofErr w:type="spellStart"/>
      <w:r w:rsidRPr="00E128C6">
        <w:rPr>
          <w:rFonts w:ascii="Times New Roman" w:hAnsi="Times New Roman" w:cs="Times New Roman"/>
          <w:b/>
          <w:bCs/>
          <w:color w:val="0D0D0D"/>
          <w:sz w:val="24"/>
          <w:szCs w:val="24"/>
          <w:highlight w:val="yellow"/>
          <w:shd w:val="clear" w:color="auto" w:fill="FFFFFF"/>
        </w:rPr>
        <w:t>Analysing</w:t>
      </w:r>
      <w:proofErr w:type="spellEnd"/>
      <w:r>
        <w:rPr>
          <w:rFonts w:ascii="Times New Roman" w:hAnsi="Times New Roman" w:cs="Times New Roman"/>
          <w:b/>
          <w:bCs/>
          <w:color w:val="0D0D0D"/>
          <w:sz w:val="24"/>
          <w:szCs w:val="24"/>
          <w:shd w:val="clear" w:color="auto" w:fill="FFFFFF"/>
        </w:rPr>
        <w:t xml:space="preserve"> Heavy Metals and Minerals in Methanolic </w:t>
      </w:r>
      <w:r w:rsidRPr="00E128C6">
        <w:rPr>
          <w:rFonts w:ascii="Times New Roman" w:hAnsi="Times New Roman" w:cs="Times New Roman"/>
          <w:b/>
          <w:bCs/>
          <w:color w:val="0D0D0D"/>
          <w:sz w:val="24"/>
          <w:szCs w:val="24"/>
          <w:highlight w:val="yellow"/>
          <w:shd w:val="clear" w:color="auto" w:fill="FFFFFF"/>
        </w:rPr>
        <w:t>Extracts</w:t>
      </w:r>
      <w:r>
        <w:rPr>
          <w:rFonts w:ascii="Times New Roman" w:hAnsi="Times New Roman" w:cs="Times New Roman"/>
          <w:b/>
          <w:bCs/>
          <w:color w:val="0D0D0D"/>
          <w:sz w:val="24"/>
          <w:szCs w:val="24"/>
          <w:shd w:val="clear" w:color="auto" w:fill="FFFFFF"/>
        </w:rPr>
        <w:t xml:space="preserve"> of </w:t>
      </w:r>
      <w:proofErr w:type="spellStart"/>
      <w:r>
        <w:rPr>
          <w:rFonts w:ascii="Times New Roman" w:hAnsi="Times New Roman" w:cs="Times New Roman"/>
          <w:b/>
          <w:bCs/>
          <w:i/>
          <w:color w:val="0D0D0D"/>
          <w:sz w:val="24"/>
          <w:szCs w:val="24"/>
          <w:shd w:val="clear" w:color="auto" w:fill="FFFFFF"/>
        </w:rPr>
        <w:t>Bryophyllum</w:t>
      </w:r>
      <w:proofErr w:type="spellEnd"/>
      <w:r>
        <w:rPr>
          <w:rFonts w:ascii="Times New Roman" w:hAnsi="Times New Roman" w:cs="Times New Roman"/>
          <w:b/>
          <w:bCs/>
          <w:i/>
          <w:color w:val="0D0D0D"/>
          <w:sz w:val="24"/>
          <w:szCs w:val="24"/>
          <w:shd w:val="clear" w:color="auto" w:fill="FFFFFF"/>
        </w:rPr>
        <w:t xml:space="preserve"> </w:t>
      </w:r>
      <w:proofErr w:type="spellStart"/>
      <w:r>
        <w:rPr>
          <w:rFonts w:ascii="Times New Roman" w:hAnsi="Times New Roman" w:cs="Times New Roman"/>
          <w:b/>
          <w:bCs/>
          <w:i/>
          <w:color w:val="0D0D0D"/>
          <w:sz w:val="24"/>
          <w:szCs w:val="24"/>
          <w:shd w:val="clear" w:color="auto" w:fill="FFFFFF"/>
        </w:rPr>
        <w:t>pinnatum</w:t>
      </w:r>
      <w:proofErr w:type="spellEnd"/>
      <w:r>
        <w:rPr>
          <w:rFonts w:ascii="Times New Roman" w:hAnsi="Times New Roman" w:cs="Times New Roman"/>
          <w:b/>
          <w:bCs/>
          <w:i/>
          <w:color w:val="0D0D0D"/>
          <w:sz w:val="24"/>
          <w:szCs w:val="24"/>
          <w:shd w:val="clear" w:color="auto" w:fill="FFFFFF"/>
        </w:rPr>
        <w:t>,</w:t>
      </w:r>
      <w:r>
        <w:rPr>
          <w:rFonts w:ascii="Times New Roman" w:hAnsi="Times New Roman" w:cs="Times New Roman"/>
          <w:b/>
          <w:bCs/>
          <w:color w:val="0D0D0D"/>
          <w:sz w:val="24"/>
          <w:szCs w:val="24"/>
          <w:shd w:val="clear" w:color="auto" w:fill="FFFFFF"/>
        </w:rPr>
        <w:t xml:space="preserve"> </w:t>
      </w:r>
      <w:proofErr w:type="spellStart"/>
      <w:r>
        <w:rPr>
          <w:rFonts w:ascii="Times New Roman" w:hAnsi="Times New Roman" w:cs="Times New Roman"/>
          <w:b/>
          <w:bCs/>
          <w:i/>
          <w:color w:val="0D0D0D"/>
          <w:sz w:val="24"/>
          <w:szCs w:val="24"/>
          <w:shd w:val="clear" w:color="auto" w:fill="FFFFFF"/>
        </w:rPr>
        <w:t>Cochlospermum</w:t>
      </w:r>
      <w:proofErr w:type="spellEnd"/>
      <w:r>
        <w:rPr>
          <w:rFonts w:ascii="Times New Roman" w:hAnsi="Times New Roman" w:cs="Times New Roman"/>
          <w:b/>
          <w:bCs/>
          <w:i/>
          <w:color w:val="0D0D0D"/>
          <w:sz w:val="24"/>
          <w:szCs w:val="24"/>
          <w:shd w:val="clear" w:color="auto" w:fill="FFFFFF"/>
        </w:rPr>
        <w:t xml:space="preserve"> </w:t>
      </w:r>
      <w:proofErr w:type="spellStart"/>
      <w:r>
        <w:rPr>
          <w:rFonts w:ascii="Times New Roman" w:hAnsi="Times New Roman" w:cs="Times New Roman"/>
          <w:b/>
          <w:bCs/>
          <w:i/>
          <w:color w:val="0D0D0D"/>
          <w:sz w:val="24"/>
          <w:szCs w:val="24"/>
          <w:shd w:val="clear" w:color="auto" w:fill="FFFFFF"/>
        </w:rPr>
        <w:t>tintorium</w:t>
      </w:r>
      <w:proofErr w:type="spellEnd"/>
      <w:r>
        <w:rPr>
          <w:rFonts w:ascii="Times New Roman" w:hAnsi="Times New Roman" w:cs="Times New Roman"/>
          <w:b/>
          <w:bCs/>
          <w:color w:val="0D0D0D"/>
          <w:sz w:val="24"/>
          <w:szCs w:val="24"/>
          <w:shd w:val="clear" w:color="auto" w:fill="FFFFFF"/>
        </w:rPr>
        <w:t xml:space="preserve">, and </w:t>
      </w:r>
      <w:r>
        <w:rPr>
          <w:rFonts w:ascii="Times New Roman" w:hAnsi="Times New Roman" w:cs="Times New Roman"/>
          <w:b/>
          <w:bCs/>
          <w:i/>
          <w:color w:val="0D0D0D"/>
          <w:sz w:val="24"/>
          <w:szCs w:val="24"/>
          <w:shd w:val="clear" w:color="auto" w:fill="FFFFFF"/>
        </w:rPr>
        <w:t>Erythrina senegalensis</w:t>
      </w:r>
      <w:r>
        <w:rPr>
          <w:rFonts w:ascii="Times New Roman" w:hAnsi="Times New Roman" w:cs="Times New Roman"/>
          <w:b/>
          <w:bCs/>
          <w:color w:val="0D0D0D"/>
          <w:sz w:val="24"/>
          <w:szCs w:val="24"/>
          <w:shd w:val="clear" w:color="auto" w:fill="FFFFFF"/>
        </w:rPr>
        <w:t>: Exploring the Public Health Implications</w:t>
      </w:r>
      <w:bookmarkEnd w:id="0"/>
    </w:p>
    <w:p w14:paraId="1F04A2E9" w14:textId="77777777" w:rsidR="00C75191" w:rsidRDefault="00C75191">
      <w:pPr>
        <w:rPr>
          <w:rStyle w:val="fontstyle01"/>
          <w:rFonts w:ascii="Times New Roman" w:hAnsi="Times New Roman" w:cs="Times New Roman"/>
          <w:sz w:val="24"/>
          <w:szCs w:val="24"/>
        </w:rPr>
      </w:pPr>
    </w:p>
    <w:p w14:paraId="0FEA9A24" w14:textId="77777777" w:rsidR="00C75191" w:rsidRDefault="00C75191">
      <w:pPr>
        <w:rPr>
          <w:b/>
          <w:bCs/>
          <w:sz w:val="24"/>
          <w:szCs w:val="24"/>
        </w:rPr>
      </w:pPr>
    </w:p>
    <w:p w14:paraId="36281438" w14:textId="77777777" w:rsidR="00C75191" w:rsidRDefault="00C75191">
      <w:pPr>
        <w:spacing w:after="0" w:line="480" w:lineRule="auto"/>
        <w:rPr>
          <w:rFonts w:ascii="Times New Roman" w:hAnsi="Times New Roman" w:cs="Times New Roman"/>
          <w:b/>
          <w:iCs/>
          <w:sz w:val="24"/>
          <w:szCs w:val="24"/>
        </w:rPr>
      </w:pPr>
    </w:p>
    <w:p w14:paraId="3A9C8A93" w14:textId="77777777" w:rsidR="00C75191"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227D0844" w14:textId="0518A3B0" w:rsidR="00C75191" w:rsidRDefault="00340933">
      <w:pPr>
        <w:pStyle w:val="NormalWeb"/>
        <w:spacing w:line="480" w:lineRule="auto"/>
        <w:jc w:val="both"/>
      </w:pPr>
      <w:r w:rsidRPr="00E128C6">
        <w:rPr>
          <w:highlight w:val="yellow"/>
        </w:rPr>
        <w:t xml:space="preserve">Among the numerous plant species studied, </w:t>
      </w:r>
      <w:proofErr w:type="spellStart"/>
      <w:r w:rsidRPr="00E128C6">
        <w:rPr>
          <w:i/>
          <w:iCs/>
          <w:highlight w:val="yellow"/>
        </w:rPr>
        <w:t>Bryophyllum</w:t>
      </w:r>
      <w:proofErr w:type="spellEnd"/>
      <w:r w:rsidRPr="00E128C6">
        <w:rPr>
          <w:i/>
          <w:iCs/>
          <w:highlight w:val="yellow"/>
        </w:rPr>
        <w:t xml:space="preserve"> </w:t>
      </w:r>
      <w:proofErr w:type="spellStart"/>
      <w:r w:rsidRPr="00E128C6">
        <w:rPr>
          <w:i/>
          <w:iCs/>
          <w:highlight w:val="yellow"/>
        </w:rPr>
        <w:t>pinnatum</w:t>
      </w:r>
      <w:proofErr w:type="spellEnd"/>
      <w:r w:rsidR="00B74030">
        <w:rPr>
          <w:i/>
          <w:iCs/>
          <w:highlight w:val="yellow"/>
        </w:rPr>
        <w:t xml:space="preserve"> </w:t>
      </w:r>
      <w:r w:rsidRPr="00E128C6">
        <w:rPr>
          <w:i/>
          <w:iCs/>
          <w:highlight w:val="yellow"/>
        </w:rPr>
        <w:t xml:space="preserve">(life plant" or "miracle leaf), </w:t>
      </w:r>
      <w:proofErr w:type="spellStart"/>
      <w:r w:rsidRPr="00E128C6">
        <w:rPr>
          <w:i/>
          <w:iCs/>
          <w:highlight w:val="yellow"/>
        </w:rPr>
        <w:t>Cochlospermum</w:t>
      </w:r>
      <w:proofErr w:type="spellEnd"/>
      <w:r w:rsidRPr="00E128C6">
        <w:rPr>
          <w:i/>
          <w:iCs/>
          <w:highlight w:val="yellow"/>
        </w:rPr>
        <w:t xml:space="preserve"> </w:t>
      </w:r>
      <w:proofErr w:type="spellStart"/>
      <w:r w:rsidRPr="00E128C6">
        <w:rPr>
          <w:i/>
          <w:iCs/>
          <w:highlight w:val="yellow"/>
        </w:rPr>
        <w:t>tintorium</w:t>
      </w:r>
      <w:proofErr w:type="spellEnd"/>
      <w:r w:rsidRPr="00E128C6">
        <w:rPr>
          <w:highlight w:val="yellow"/>
        </w:rPr>
        <w:t xml:space="preserve">, and </w:t>
      </w:r>
      <w:r w:rsidRPr="00E128C6">
        <w:rPr>
          <w:i/>
          <w:iCs/>
          <w:highlight w:val="yellow"/>
        </w:rPr>
        <w:t>Erythrina senegalensis</w:t>
      </w:r>
      <w:r w:rsidRPr="00E128C6">
        <w:rPr>
          <w:highlight w:val="yellow"/>
        </w:rPr>
        <w:t xml:space="preserve"> have emerged as noteworthy candidates, holding promise for their pharmacological application in amenorrhea, malaria, jaundice, infections, abortion, wound, and body pain. However, the presence of heavy metals in medicinal plants has become a growing concern, as these elements can bio-accumulate in plant tissues, posing potential risks to human health</w:t>
      </w:r>
      <w:r>
        <w:t xml:space="preserve">. This study investigated the distribution of heavy metals and mineral elements in the methanolic extracts of leaves, stems, and roots of </w:t>
      </w:r>
      <w:proofErr w:type="spellStart"/>
      <w:r>
        <w:rPr>
          <w:i/>
          <w:iCs/>
        </w:rPr>
        <w:t>Bryophyllum</w:t>
      </w:r>
      <w:proofErr w:type="spellEnd"/>
      <w:r>
        <w:rPr>
          <w:i/>
          <w:iCs/>
        </w:rPr>
        <w:t xml:space="preserve"> </w:t>
      </w:r>
      <w:proofErr w:type="spellStart"/>
      <w:r>
        <w:rPr>
          <w:i/>
          <w:iCs/>
        </w:rPr>
        <w:t>pinnatum</w:t>
      </w:r>
      <w:proofErr w:type="spellEnd"/>
      <w:r>
        <w:rPr>
          <w:i/>
          <w:iCs/>
        </w:rPr>
        <w:t xml:space="preserve">, </w:t>
      </w:r>
      <w:proofErr w:type="spellStart"/>
      <w:r>
        <w:rPr>
          <w:i/>
          <w:iCs/>
        </w:rPr>
        <w:t>Cochlospermum</w:t>
      </w:r>
      <w:proofErr w:type="spellEnd"/>
      <w:r>
        <w:rPr>
          <w:i/>
          <w:iCs/>
        </w:rPr>
        <w:t xml:space="preserve"> </w:t>
      </w:r>
      <w:proofErr w:type="spellStart"/>
      <w:r>
        <w:rPr>
          <w:i/>
          <w:iCs/>
        </w:rPr>
        <w:t>tintorium</w:t>
      </w:r>
      <w:proofErr w:type="spellEnd"/>
      <w:r>
        <w:t xml:space="preserve">, and </w:t>
      </w:r>
      <w:r>
        <w:rPr>
          <w:i/>
          <w:iCs/>
        </w:rPr>
        <w:t>Erythrina senegalensis</w:t>
      </w:r>
      <w:r>
        <w:t xml:space="preserve"> in </w:t>
      </w:r>
      <w:proofErr w:type="spellStart"/>
      <w:r>
        <w:t>Takum</w:t>
      </w:r>
      <w:proofErr w:type="spellEnd"/>
      <w:r>
        <w:t xml:space="preserve">, Taraba State. </w:t>
      </w:r>
      <w:r w:rsidR="00EC756D" w:rsidRPr="00E128C6">
        <w:rPr>
          <w:highlight w:val="yellow"/>
        </w:rPr>
        <w:t xml:space="preserve">The study area </w:t>
      </w:r>
      <w:r w:rsidR="00F02528">
        <w:rPr>
          <w:highlight w:val="yellow"/>
        </w:rPr>
        <w:t>was</w:t>
      </w:r>
      <w:r w:rsidR="00EC756D" w:rsidRPr="00E128C6">
        <w:rPr>
          <w:highlight w:val="yellow"/>
        </w:rPr>
        <w:t xml:space="preserve"> Taraba </w:t>
      </w:r>
      <w:r w:rsidR="00C61275">
        <w:rPr>
          <w:highlight w:val="yellow"/>
        </w:rPr>
        <w:t>State</w:t>
      </w:r>
      <w:r w:rsidR="00EC756D" w:rsidRPr="00E128C6">
        <w:rPr>
          <w:highlight w:val="yellow"/>
        </w:rPr>
        <w:t xml:space="preserve">. The </w:t>
      </w:r>
      <w:r w:rsidR="004527B6">
        <w:rPr>
          <w:highlight w:val="yellow"/>
        </w:rPr>
        <w:t>l</w:t>
      </w:r>
      <w:r w:rsidR="00EC756D" w:rsidRPr="00E128C6">
        <w:rPr>
          <w:highlight w:val="yellow"/>
        </w:rPr>
        <w:t>eaves, stem bark and roots of</w:t>
      </w:r>
      <w:r w:rsidR="00EC756D" w:rsidRPr="00E128C6">
        <w:rPr>
          <w:i/>
          <w:highlight w:val="yellow"/>
        </w:rPr>
        <w:t xml:space="preserve"> Erythrina </w:t>
      </w:r>
      <w:r w:rsidR="00EC756D" w:rsidRPr="00EC756D">
        <w:rPr>
          <w:i/>
          <w:highlight w:val="yellow"/>
        </w:rPr>
        <w:t>senegalensis</w:t>
      </w:r>
      <w:r w:rsidR="00EC756D" w:rsidRPr="00E128C6">
        <w:rPr>
          <w:i/>
          <w:highlight w:val="yellow"/>
        </w:rPr>
        <w:t xml:space="preserve">, </w:t>
      </w:r>
      <w:proofErr w:type="spellStart"/>
      <w:r w:rsidR="00EC756D" w:rsidRPr="00E128C6">
        <w:rPr>
          <w:i/>
          <w:highlight w:val="yellow"/>
        </w:rPr>
        <w:t>Cocchlospermum</w:t>
      </w:r>
      <w:proofErr w:type="spellEnd"/>
      <w:r w:rsidR="00EC756D" w:rsidRPr="00E128C6">
        <w:rPr>
          <w:i/>
          <w:highlight w:val="yellow"/>
        </w:rPr>
        <w:t xml:space="preserve"> </w:t>
      </w:r>
      <w:proofErr w:type="spellStart"/>
      <w:r w:rsidR="00EC756D" w:rsidRPr="00E128C6">
        <w:rPr>
          <w:i/>
          <w:highlight w:val="yellow"/>
        </w:rPr>
        <w:t>tintorium</w:t>
      </w:r>
      <w:proofErr w:type="spellEnd"/>
      <w:r w:rsidR="00EC756D" w:rsidRPr="00E128C6">
        <w:rPr>
          <w:i/>
          <w:highlight w:val="yellow"/>
        </w:rPr>
        <w:t xml:space="preserve"> and </w:t>
      </w:r>
      <w:proofErr w:type="spellStart"/>
      <w:r w:rsidR="00EC756D" w:rsidRPr="00E128C6">
        <w:rPr>
          <w:i/>
          <w:highlight w:val="yellow"/>
        </w:rPr>
        <w:t>Bryophyllum</w:t>
      </w:r>
      <w:proofErr w:type="spellEnd"/>
      <w:r w:rsidR="00EC756D" w:rsidRPr="00E128C6">
        <w:rPr>
          <w:i/>
          <w:highlight w:val="yellow"/>
        </w:rPr>
        <w:t xml:space="preserve"> </w:t>
      </w:r>
      <w:proofErr w:type="spellStart"/>
      <w:r w:rsidR="00EC756D" w:rsidRPr="00E128C6">
        <w:rPr>
          <w:i/>
          <w:highlight w:val="yellow"/>
        </w:rPr>
        <w:t>pinnatum</w:t>
      </w:r>
      <w:proofErr w:type="spellEnd"/>
      <w:r w:rsidR="00EC756D" w:rsidRPr="00E128C6">
        <w:rPr>
          <w:i/>
          <w:highlight w:val="yellow"/>
        </w:rPr>
        <w:t xml:space="preserve"> </w:t>
      </w:r>
      <w:r w:rsidR="00EC756D" w:rsidRPr="00E128C6">
        <w:rPr>
          <w:highlight w:val="yellow"/>
        </w:rPr>
        <w:t xml:space="preserve">were collected randomly at different herbarium locations in </w:t>
      </w:r>
      <w:proofErr w:type="spellStart"/>
      <w:r w:rsidR="00EC756D" w:rsidRPr="00E128C6">
        <w:rPr>
          <w:highlight w:val="yellow"/>
        </w:rPr>
        <w:t>Takum</w:t>
      </w:r>
      <w:proofErr w:type="spellEnd"/>
      <w:r w:rsidR="00EC756D" w:rsidRPr="00E128C6">
        <w:rPr>
          <w:highlight w:val="yellow"/>
        </w:rPr>
        <w:t xml:space="preserve"> town of Taraba state and transported to Modibbo Adama University of Technology (MAUTECH), Yola.</w:t>
      </w:r>
      <w:r w:rsidR="00EC756D">
        <w:t xml:space="preserve"> </w:t>
      </w:r>
      <w:r>
        <w:t xml:space="preserve">The concentrations of these elements were </w:t>
      </w:r>
      <w:proofErr w:type="spellStart"/>
      <w:r w:rsidR="00F76050">
        <w:t>analysed</w:t>
      </w:r>
      <w:proofErr w:type="spellEnd"/>
      <w:r w:rsidR="00F76050">
        <w:t xml:space="preserve"> </w:t>
      </w:r>
      <w:r>
        <w:t xml:space="preserve">using atomic absorption spectroscopy, after collection, identification, shade drying, </w:t>
      </w:r>
      <w:r>
        <w:lastRenderedPageBreak/>
        <w:t xml:space="preserve">and extraction using methanol. </w:t>
      </w:r>
      <w:r w:rsidR="00EC756D" w:rsidRPr="00E128C6">
        <w:rPr>
          <w:highlight w:val="yellow"/>
        </w:rPr>
        <w:t xml:space="preserve">The numerical data obtained from the study were expressed as the Mean ± Standard error of the mean (SEM). Statistical analysis was done using the </w:t>
      </w:r>
      <w:proofErr w:type="spellStart"/>
      <w:r w:rsidR="00EC756D" w:rsidRPr="00E128C6">
        <w:rPr>
          <w:highlight w:val="yellow"/>
        </w:rPr>
        <w:t>Graphpad</w:t>
      </w:r>
      <w:proofErr w:type="spellEnd"/>
      <w:r w:rsidR="00EC756D" w:rsidRPr="00E128C6">
        <w:rPr>
          <w:highlight w:val="yellow"/>
        </w:rPr>
        <w:t xml:space="preserve"> Prism Statistical Package for Version 7.0 (Prism, Incorporation Chicago Illinois, USA). Differences between and within-group Means were </w:t>
      </w:r>
      <w:proofErr w:type="spellStart"/>
      <w:r w:rsidR="00EC756D" w:rsidRPr="00EC756D">
        <w:rPr>
          <w:highlight w:val="yellow"/>
        </w:rPr>
        <w:t>analysed</w:t>
      </w:r>
      <w:proofErr w:type="spellEnd"/>
      <w:r w:rsidR="00EC756D" w:rsidRPr="00E128C6">
        <w:rPr>
          <w:highlight w:val="yellow"/>
        </w:rPr>
        <w:t xml:space="preserve"> using analysis of variance (ANOVA)</w:t>
      </w:r>
      <w:r w:rsidR="004527B6">
        <w:rPr>
          <w:highlight w:val="yellow"/>
        </w:rPr>
        <w:t>,</w:t>
      </w:r>
      <w:r w:rsidR="00EC756D" w:rsidRPr="00E128C6">
        <w:rPr>
          <w:highlight w:val="yellow"/>
        </w:rPr>
        <w:t xml:space="preserve"> followed by </w:t>
      </w:r>
      <w:r w:rsidR="00EC756D" w:rsidRPr="00EC756D">
        <w:rPr>
          <w:highlight w:val="yellow"/>
        </w:rPr>
        <w:t>a</w:t>
      </w:r>
      <w:r w:rsidR="00EC756D" w:rsidRPr="00E128C6">
        <w:rPr>
          <w:highlight w:val="yellow"/>
        </w:rPr>
        <w:t xml:space="preserve"> Bonferroni Post-hoc test to compare replicate means by row. Statistical difference between group means was considered significant at (p &lt; 0.05).</w:t>
      </w:r>
      <w:r w:rsidR="00F507B9">
        <w:t xml:space="preserve"> </w:t>
      </w:r>
      <w:proofErr w:type="spellStart"/>
      <w:r>
        <w:rPr>
          <w:i/>
          <w:iCs/>
        </w:rPr>
        <w:t>Cochlospermum</w:t>
      </w:r>
      <w:proofErr w:type="spellEnd"/>
      <w:r>
        <w:rPr>
          <w:i/>
          <w:iCs/>
        </w:rPr>
        <w:t xml:space="preserve"> </w:t>
      </w:r>
      <w:proofErr w:type="spellStart"/>
      <w:r>
        <w:rPr>
          <w:i/>
          <w:iCs/>
        </w:rPr>
        <w:t>tintorium</w:t>
      </w:r>
      <w:proofErr w:type="spellEnd"/>
      <w:r>
        <w:t xml:space="preserve"> exhibited varying concentrations of heavy metals, with the leaf having the highest chromium content (0.15mg/kg) and the lowest lead concentration (0.07mg/kg). </w:t>
      </w:r>
      <w:proofErr w:type="spellStart"/>
      <w:r>
        <w:rPr>
          <w:i/>
          <w:iCs/>
        </w:rPr>
        <w:t>Bryophyllum</w:t>
      </w:r>
      <w:proofErr w:type="spellEnd"/>
      <w:r>
        <w:rPr>
          <w:i/>
          <w:iCs/>
        </w:rPr>
        <w:t xml:space="preserve"> </w:t>
      </w:r>
      <w:proofErr w:type="spellStart"/>
      <w:r>
        <w:rPr>
          <w:i/>
          <w:iCs/>
        </w:rPr>
        <w:t>pinnatum</w:t>
      </w:r>
      <w:proofErr w:type="spellEnd"/>
      <w:r>
        <w:t xml:space="preserve"> had elevated levels of cadmium and chromium in the leaf (0.05mg/kg) and stem bark (0.42mg/kg), respectively. </w:t>
      </w:r>
      <w:r>
        <w:rPr>
          <w:i/>
          <w:iCs/>
        </w:rPr>
        <w:t>Erythrina senegalensis</w:t>
      </w:r>
      <w:r>
        <w:t xml:space="preserve"> had high cadmium concentration in the leaf (0.19mg/kg) and elevated lead levels in the stem bark (0.11mg/kg). Mineral element distribution in </w:t>
      </w:r>
      <w:proofErr w:type="spellStart"/>
      <w:r>
        <w:rPr>
          <w:i/>
          <w:iCs/>
        </w:rPr>
        <w:t>Cochlospermum</w:t>
      </w:r>
      <w:proofErr w:type="spellEnd"/>
      <w:r>
        <w:rPr>
          <w:i/>
          <w:iCs/>
        </w:rPr>
        <w:t xml:space="preserve"> </w:t>
      </w:r>
      <w:proofErr w:type="spellStart"/>
      <w:r>
        <w:rPr>
          <w:i/>
          <w:iCs/>
        </w:rPr>
        <w:t>tintorium</w:t>
      </w:r>
      <w:proofErr w:type="spellEnd"/>
      <w:r>
        <w:t xml:space="preserve"> revealed high potassium concentrations in all plant parts, with the root having the highest (187.98mg/kg). </w:t>
      </w:r>
      <w:proofErr w:type="spellStart"/>
      <w:r>
        <w:rPr>
          <w:i/>
          <w:iCs/>
        </w:rPr>
        <w:t>Bryophyllum</w:t>
      </w:r>
      <w:proofErr w:type="spellEnd"/>
      <w:r>
        <w:rPr>
          <w:i/>
          <w:iCs/>
        </w:rPr>
        <w:t xml:space="preserve"> </w:t>
      </w:r>
      <w:proofErr w:type="spellStart"/>
      <w:r>
        <w:rPr>
          <w:i/>
          <w:iCs/>
        </w:rPr>
        <w:t>pinnatum</w:t>
      </w:r>
      <w:proofErr w:type="spellEnd"/>
      <w:r>
        <w:t xml:space="preserve"> exhibited the highest potassium concentration in the leaf (168.18mg/kg), while </w:t>
      </w:r>
      <w:r>
        <w:rPr>
          <w:i/>
          <w:iCs/>
        </w:rPr>
        <w:t>Erythrina senegalensis</w:t>
      </w:r>
      <w:r>
        <w:t xml:space="preserve"> showed the highest concentration in the leaf (182.73mg/kg). Calcium concentrations were high in the roots of </w:t>
      </w:r>
      <w:proofErr w:type="spellStart"/>
      <w:r>
        <w:rPr>
          <w:i/>
          <w:iCs/>
        </w:rPr>
        <w:t>Cochlospermum</w:t>
      </w:r>
      <w:proofErr w:type="spellEnd"/>
      <w:r>
        <w:rPr>
          <w:i/>
          <w:iCs/>
        </w:rPr>
        <w:t xml:space="preserve"> </w:t>
      </w:r>
      <w:proofErr w:type="spellStart"/>
      <w:r>
        <w:rPr>
          <w:i/>
          <w:iCs/>
        </w:rPr>
        <w:t>tintorium</w:t>
      </w:r>
      <w:proofErr w:type="spellEnd"/>
      <w:r>
        <w:t xml:space="preserve"> (83.33mg/kg). </w:t>
      </w:r>
      <w:r w:rsidR="00CC79EC" w:rsidRPr="00E128C6">
        <w:rPr>
          <w:highlight w:val="yellow"/>
        </w:rPr>
        <w:t>The</w:t>
      </w:r>
      <w:r w:rsidR="00CC79EC">
        <w:t xml:space="preserve"> </w:t>
      </w:r>
      <w:r w:rsidR="00CC79EC" w:rsidRPr="00E128C6">
        <w:rPr>
          <w:highlight w:val="yellow"/>
        </w:rPr>
        <w:t xml:space="preserve">World Health </w:t>
      </w:r>
      <w:proofErr w:type="spellStart"/>
      <w:r w:rsidR="00CC79EC">
        <w:rPr>
          <w:highlight w:val="yellow"/>
        </w:rPr>
        <w:t>Organisation</w:t>
      </w:r>
      <w:proofErr w:type="spellEnd"/>
      <w:r w:rsidR="00CC79EC" w:rsidRPr="00E128C6">
        <w:rPr>
          <w:highlight w:val="yellow"/>
        </w:rPr>
        <w:t xml:space="preserve"> sets the safety limits of Potassium levels.</w:t>
      </w:r>
      <w:r w:rsidR="00CC79EC">
        <w:rPr>
          <w:highlight w:val="yellow"/>
        </w:rPr>
        <w:t xml:space="preserve"> </w:t>
      </w:r>
      <w:r w:rsidR="00CC79EC" w:rsidRPr="00E128C6">
        <w:rPr>
          <w:highlight w:val="yellow"/>
        </w:rPr>
        <w:t>Except lead</w:t>
      </w:r>
      <w:r w:rsidR="00CC79EC">
        <w:rPr>
          <w:highlight w:val="yellow"/>
        </w:rPr>
        <w:t>,</w:t>
      </w:r>
      <w:r w:rsidR="00CC79EC" w:rsidRPr="00E128C6">
        <w:rPr>
          <w:highlight w:val="yellow"/>
        </w:rPr>
        <w:t xml:space="preserve"> which was a little above the limit in the stem bark of </w:t>
      </w:r>
      <w:proofErr w:type="spellStart"/>
      <w:r w:rsidR="00CC79EC" w:rsidRPr="00E128C6">
        <w:rPr>
          <w:highlight w:val="yellow"/>
        </w:rPr>
        <w:t>Bryophyllum</w:t>
      </w:r>
      <w:proofErr w:type="spellEnd"/>
      <w:r w:rsidR="00CC79EC" w:rsidRPr="00E128C6">
        <w:rPr>
          <w:highlight w:val="yellow"/>
        </w:rPr>
        <w:t xml:space="preserve"> </w:t>
      </w:r>
      <w:proofErr w:type="spellStart"/>
      <w:proofErr w:type="gramStart"/>
      <w:r w:rsidR="00CC79EC" w:rsidRPr="00E128C6">
        <w:rPr>
          <w:highlight w:val="yellow"/>
        </w:rPr>
        <w:t>pinnatum.A</w:t>
      </w:r>
      <w:proofErr w:type="spellEnd"/>
      <w:proofErr w:type="gramEnd"/>
      <w:r w:rsidR="00CC79EC" w:rsidRPr="00E128C6">
        <w:rPr>
          <w:highlight w:val="yellow"/>
        </w:rPr>
        <w:t xml:space="preserve"> comparative analysis showed that all samples of heavy metals were below the WHO’s permissible limits</w:t>
      </w:r>
      <w:r w:rsidR="00CC79EC" w:rsidRPr="00CC79EC">
        <w:t>.</w:t>
      </w:r>
      <w:r>
        <w:t xml:space="preserve"> Mineral elements such as calcium and potassium were well distributed in all plant parts. The study showed that the heavy metals and mineral elements were within permissible limits, thus supporting their prolonged use in traditional medicine.</w:t>
      </w:r>
    </w:p>
    <w:p w14:paraId="3310953B" w14:textId="77777777" w:rsidR="00C75191" w:rsidRDefault="00000000">
      <w:pPr>
        <w:spacing w:before="100" w:beforeAutospacing="1" w:after="100" w:afterAutospacing="1" w:line="480" w:lineRule="auto"/>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Keywords: </w:t>
      </w:r>
      <w:r>
        <w:rPr>
          <w:rFonts w:ascii="Times New Roman" w:eastAsia="Times New Roman" w:hAnsi="Times New Roman" w:cs="Times New Roman"/>
          <w:b/>
          <w:sz w:val="24"/>
          <w:szCs w:val="24"/>
        </w:rPr>
        <w:t xml:space="preserve">Atomic Absorption Spectroscopy, Comparative Analysis, Concentration, Heavy Metals, Medicinal Plants, Methanolic Extracts. </w:t>
      </w:r>
    </w:p>
    <w:p w14:paraId="1E39B966" w14:textId="77777777" w:rsidR="00C75191" w:rsidRDefault="00C75191">
      <w:pPr>
        <w:spacing w:after="0" w:line="480" w:lineRule="auto"/>
        <w:rPr>
          <w:rFonts w:ascii="Times New Roman" w:hAnsi="Times New Roman" w:cs="Times New Roman"/>
          <w:b/>
          <w:sz w:val="24"/>
          <w:szCs w:val="24"/>
        </w:rPr>
      </w:pPr>
    </w:p>
    <w:p w14:paraId="278A440A" w14:textId="77777777" w:rsidR="00C75191" w:rsidRDefault="00C75191">
      <w:pPr>
        <w:spacing w:after="0" w:line="480" w:lineRule="auto"/>
        <w:rPr>
          <w:rFonts w:ascii="Times New Roman" w:hAnsi="Times New Roman" w:cs="Times New Roman"/>
          <w:b/>
          <w:sz w:val="24"/>
          <w:szCs w:val="24"/>
        </w:rPr>
      </w:pPr>
    </w:p>
    <w:p w14:paraId="7E610022" w14:textId="77777777" w:rsidR="00C75191" w:rsidRDefault="00C75191">
      <w:pPr>
        <w:spacing w:after="0" w:line="480" w:lineRule="auto"/>
        <w:rPr>
          <w:rFonts w:ascii="Times New Roman" w:hAnsi="Times New Roman" w:cs="Times New Roman"/>
          <w:b/>
          <w:sz w:val="24"/>
          <w:szCs w:val="24"/>
        </w:rPr>
      </w:pPr>
    </w:p>
    <w:p w14:paraId="6A4F03A6" w14:textId="77777777" w:rsidR="00C75191" w:rsidRDefault="00C75191">
      <w:pPr>
        <w:spacing w:after="0" w:line="480" w:lineRule="auto"/>
        <w:rPr>
          <w:rFonts w:ascii="Times New Roman" w:hAnsi="Times New Roman" w:cs="Times New Roman"/>
          <w:b/>
          <w:sz w:val="24"/>
          <w:szCs w:val="24"/>
        </w:rPr>
      </w:pPr>
    </w:p>
    <w:p w14:paraId="744BD556" w14:textId="77777777" w:rsidR="00C75191" w:rsidRDefault="00C75191">
      <w:pPr>
        <w:spacing w:after="0" w:line="480" w:lineRule="auto"/>
        <w:rPr>
          <w:rFonts w:ascii="Times New Roman" w:hAnsi="Times New Roman" w:cs="Times New Roman"/>
          <w:b/>
          <w:sz w:val="24"/>
          <w:szCs w:val="24"/>
        </w:rPr>
      </w:pPr>
    </w:p>
    <w:p w14:paraId="1C4442E0" w14:textId="77777777" w:rsidR="00C75191" w:rsidRDefault="00C75191">
      <w:pPr>
        <w:spacing w:after="0" w:line="480" w:lineRule="auto"/>
        <w:rPr>
          <w:rFonts w:ascii="Times New Roman" w:hAnsi="Times New Roman" w:cs="Times New Roman"/>
          <w:b/>
          <w:sz w:val="24"/>
          <w:szCs w:val="24"/>
        </w:rPr>
      </w:pPr>
    </w:p>
    <w:p w14:paraId="01C63DF5" w14:textId="77777777" w:rsidR="00C75191" w:rsidRDefault="00C75191">
      <w:pPr>
        <w:rPr>
          <w:rFonts w:ascii="Times New Roman" w:hAnsi="Times New Roman" w:cs="Times New Roman"/>
          <w:b/>
          <w:sz w:val="24"/>
          <w:szCs w:val="24"/>
        </w:rPr>
      </w:pPr>
    </w:p>
    <w:p w14:paraId="2D43846C" w14:textId="77777777" w:rsidR="00C75191" w:rsidRDefault="00000000">
      <w:pPr>
        <w:rPr>
          <w:rFonts w:ascii="Times New Roman" w:hAnsi="Times New Roman" w:cs="Times New Roman"/>
          <w:b/>
          <w:sz w:val="24"/>
          <w:szCs w:val="24"/>
        </w:rPr>
      </w:pPr>
      <w:r>
        <w:rPr>
          <w:rFonts w:ascii="Times New Roman" w:hAnsi="Times New Roman" w:cs="Times New Roman"/>
          <w:b/>
          <w:sz w:val="24"/>
          <w:szCs w:val="24"/>
        </w:rPr>
        <w:t>INTRODUCTION</w:t>
      </w:r>
    </w:p>
    <w:p w14:paraId="123BE15B" w14:textId="5EF14F69" w:rsidR="00C75191" w:rsidRDefault="00512FDE" w:rsidP="00E25A57">
      <w:pPr>
        <w:pStyle w:val="NormalWeb"/>
        <w:spacing w:line="480" w:lineRule="auto"/>
        <w:jc w:val="both"/>
      </w:pPr>
      <w:r w:rsidRPr="00512FDE">
        <w:rPr>
          <w:highlight w:val="yellow"/>
        </w:rPr>
        <w:t>Plants are the most abundant source of antimicrobial agents, and extracts of numerous edible plant species, herbs, and spices have long been used to preserve food due to the presence of potentially powerful antibacterial components</w:t>
      </w:r>
      <w:r>
        <w:rPr>
          <w:highlight w:val="yellow"/>
        </w:rPr>
        <w:t xml:space="preserve"> (</w:t>
      </w:r>
      <w:r w:rsidRPr="00C93BB1">
        <w:rPr>
          <w:highlight w:val="yellow"/>
        </w:rPr>
        <w:t>Bhatti et al.,2024</w:t>
      </w:r>
      <w:r>
        <w:rPr>
          <w:highlight w:val="yellow"/>
        </w:rPr>
        <w:t xml:space="preserve">). </w:t>
      </w:r>
      <w:r w:rsidR="00BE08EC" w:rsidRPr="00C93BB1">
        <w:rPr>
          <w:highlight w:val="yellow"/>
        </w:rPr>
        <w:t xml:space="preserve">Medicinal plants </w:t>
      </w:r>
      <w:r w:rsidR="00BE08EC">
        <w:rPr>
          <w:highlight w:val="yellow"/>
        </w:rPr>
        <w:t>have</w:t>
      </w:r>
      <w:r w:rsidR="00BE08EC" w:rsidRPr="00C93BB1">
        <w:rPr>
          <w:highlight w:val="yellow"/>
        </w:rPr>
        <w:t xml:space="preserve"> been integral to traditional medicine systems for centuries, valued for their diverse therapeutic properties (Sultana et al.,2023).</w:t>
      </w:r>
      <w:r w:rsidR="00BE08EC" w:rsidRPr="00E25A57">
        <w:t xml:space="preserve"> </w:t>
      </w:r>
      <w:r>
        <w:t>In recent years, the exploration of medicinal plants for their therapeutic potential has gained significant attention due to their diverse bioactive compounds (</w:t>
      </w:r>
      <w:proofErr w:type="spellStart"/>
      <w:r>
        <w:t>Ramawat</w:t>
      </w:r>
      <w:proofErr w:type="spellEnd"/>
      <w:r>
        <w:t xml:space="preserve"> </w:t>
      </w:r>
      <w:r>
        <w:rPr>
          <w:i/>
        </w:rPr>
        <w:t>et al</w:t>
      </w:r>
      <w:r>
        <w:t xml:space="preserve">., 2009; Perumal &amp; </w:t>
      </w:r>
      <w:proofErr w:type="spellStart"/>
      <w:r>
        <w:t>Gopalakrishnakone</w:t>
      </w:r>
      <w:proofErr w:type="spellEnd"/>
      <w:r>
        <w:t xml:space="preserve">, 2010; Gu </w:t>
      </w:r>
      <w:r>
        <w:rPr>
          <w:i/>
        </w:rPr>
        <w:t>et al</w:t>
      </w:r>
      <w:r>
        <w:t>.,2014).</w:t>
      </w:r>
      <w:r w:rsidR="00CC79EC">
        <w:t xml:space="preserve"> </w:t>
      </w:r>
      <w:r>
        <w:t xml:space="preserve">Among the numerous plant species studied, </w:t>
      </w:r>
      <w:proofErr w:type="spellStart"/>
      <w:r>
        <w:rPr>
          <w:i/>
          <w:iCs/>
        </w:rPr>
        <w:t>Bryophyllum</w:t>
      </w:r>
      <w:proofErr w:type="spellEnd"/>
      <w:r>
        <w:rPr>
          <w:i/>
          <w:iCs/>
        </w:rPr>
        <w:t xml:space="preserve"> </w:t>
      </w:r>
      <w:proofErr w:type="spellStart"/>
      <w:r>
        <w:rPr>
          <w:i/>
          <w:iCs/>
        </w:rPr>
        <w:t>pinnatum</w:t>
      </w:r>
      <w:proofErr w:type="spellEnd"/>
      <w:r>
        <w:rPr>
          <w:i/>
          <w:iCs/>
        </w:rPr>
        <w:t xml:space="preserve">, </w:t>
      </w:r>
      <w:proofErr w:type="spellStart"/>
      <w:r>
        <w:rPr>
          <w:i/>
          <w:iCs/>
        </w:rPr>
        <w:t>Cochlospermum</w:t>
      </w:r>
      <w:proofErr w:type="spellEnd"/>
      <w:r>
        <w:rPr>
          <w:i/>
          <w:iCs/>
        </w:rPr>
        <w:t xml:space="preserve"> </w:t>
      </w:r>
      <w:proofErr w:type="spellStart"/>
      <w:r>
        <w:rPr>
          <w:i/>
          <w:iCs/>
        </w:rPr>
        <w:t>tintorium</w:t>
      </w:r>
      <w:proofErr w:type="spellEnd"/>
      <w:r>
        <w:t xml:space="preserve">, and </w:t>
      </w:r>
      <w:r>
        <w:rPr>
          <w:i/>
          <w:iCs/>
        </w:rPr>
        <w:t>Erythrina senegalensis</w:t>
      </w:r>
      <w:r>
        <w:t xml:space="preserve"> have emerged as noteworthy candidates, holding </w:t>
      </w:r>
      <w:r>
        <w:lastRenderedPageBreak/>
        <w:t xml:space="preserve">promise for their pharmacological application </w:t>
      </w:r>
      <w:r w:rsidR="00CC79EC">
        <w:t xml:space="preserve">in </w:t>
      </w:r>
      <w:r>
        <w:t xml:space="preserve">amenorrhea, malaria, jaundice, infections, abortion, wound, and body pain (Mustafa </w:t>
      </w:r>
      <w:r>
        <w:rPr>
          <w:i/>
        </w:rPr>
        <w:t>et al</w:t>
      </w:r>
      <w:r>
        <w:t xml:space="preserve">., 2017; Shanmugam </w:t>
      </w:r>
      <w:r>
        <w:rPr>
          <w:i/>
        </w:rPr>
        <w:t>et al</w:t>
      </w:r>
      <w:r>
        <w:t xml:space="preserve">., 2021; </w:t>
      </w:r>
      <w:proofErr w:type="spellStart"/>
      <w:r>
        <w:t>Tijwun</w:t>
      </w:r>
      <w:proofErr w:type="spellEnd"/>
      <w:r>
        <w:t xml:space="preserve"> </w:t>
      </w:r>
      <w:r>
        <w:rPr>
          <w:i/>
        </w:rPr>
        <w:t>et al</w:t>
      </w:r>
      <w:r>
        <w:t>., 2022). However, the presence of heavy metals in medicinal plants has become a growing concern, as these elements can bio-accumulate in plant tissues, posing potential risks to human health (</w:t>
      </w:r>
      <w:proofErr w:type="spellStart"/>
      <w:r>
        <w:t>Kohzadi</w:t>
      </w:r>
      <w:proofErr w:type="spellEnd"/>
      <w:r>
        <w:t xml:space="preserve"> </w:t>
      </w:r>
      <w:r>
        <w:rPr>
          <w:i/>
        </w:rPr>
        <w:t>et al</w:t>
      </w:r>
      <w:r>
        <w:t xml:space="preserve">.,2019; Moghaddam </w:t>
      </w:r>
      <w:r>
        <w:rPr>
          <w:i/>
        </w:rPr>
        <w:t>et al</w:t>
      </w:r>
      <w:r>
        <w:t>., 2020).</w:t>
      </w:r>
    </w:p>
    <w:p w14:paraId="429FB48B" w14:textId="2A738133" w:rsidR="00C75191" w:rsidRDefault="00000000" w:rsidP="001222BB">
      <w:pPr>
        <w:pStyle w:val="NormalWeb"/>
        <w:spacing w:line="480" w:lineRule="auto"/>
        <w:jc w:val="both"/>
      </w:pPr>
      <w:r>
        <w:t xml:space="preserve">The </w:t>
      </w:r>
      <w:proofErr w:type="spellStart"/>
      <w:r>
        <w:rPr>
          <w:i/>
        </w:rPr>
        <w:t>Bryophyllum</w:t>
      </w:r>
      <w:proofErr w:type="spellEnd"/>
      <w:r>
        <w:rPr>
          <w:i/>
        </w:rPr>
        <w:t xml:space="preserve"> </w:t>
      </w:r>
      <w:proofErr w:type="spellStart"/>
      <w:r>
        <w:rPr>
          <w:i/>
        </w:rPr>
        <w:t>pinnatum</w:t>
      </w:r>
      <w:proofErr w:type="spellEnd"/>
      <w:r>
        <w:t xml:space="preserve">, commonly known as the "life plant" or "miracle leaf," is renowned for its traditional use in various folk medicines (Pandurangan </w:t>
      </w:r>
      <w:r>
        <w:rPr>
          <w:i/>
        </w:rPr>
        <w:t>et al</w:t>
      </w:r>
      <w:r>
        <w:t xml:space="preserve">.,2015; Kumar, </w:t>
      </w:r>
      <w:r>
        <w:rPr>
          <w:i/>
        </w:rPr>
        <w:t>et al</w:t>
      </w:r>
      <w:r>
        <w:t>., 2020</w:t>
      </w:r>
      <w:r w:rsidR="00A472B1">
        <w:t>)</w:t>
      </w:r>
      <w:r>
        <w:t xml:space="preserve">, while </w:t>
      </w:r>
      <w:proofErr w:type="spellStart"/>
      <w:r>
        <w:rPr>
          <w:i/>
        </w:rPr>
        <w:t>Cochlospermum</w:t>
      </w:r>
      <w:proofErr w:type="spellEnd"/>
      <w:r>
        <w:rPr>
          <w:i/>
        </w:rPr>
        <w:t xml:space="preserve"> </w:t>
      </w:r>
      <w:proofErr w:type="spellStart"/>
      <w:r>
        <w:rPr>
          <w:i/>
        </w:rPr>
        <w:t>tintorium</w:t>
      </w:r>
      <w:proofErr w:type="spellEnd"/>
      <w:r>
        <w:t xml:space="preserve"> and </w:t>
      </w:r>
      <w:r>
        <w:rPr>
          <w:i/>
        </w:rPr>
        <w:t>Erythrina senegalensis</w:t>
      </w:r>
      <w:r>
        <w:t xml:space="preserve"> exhibit medicinal properties that have been harnessed in ethnomedicine across diverse cultures (Diarra </w:t>
      </w:r>
      <w:r>
        <w:rPr>
          <w:i/>
        </w:rPr>
        <w:t>et al</w:t>
      </w:r>
      <w:r>
        <w:t xml:space="preserve">., 2015; </w:t>
      </w:r>
      <w:proofErr w:type="spellStart"/>
      <w:r>
        <w:t>Haidaraa</w:t>
      </w:r>
      <w:proofErr w:type="spellEnd"/>
      <w:r>
        <w:t xml:space="preserve"> </w:t>
      </w:r>
      <w:r>
        <w:rPr>
          <w:i/>
        </w:rPr>
        <w:t>et al</w:t>
      </w:r>
      <w:r>
        <w:t xml:space="preserve">., 2016; Catarino </w:t>
      </w:r>
      <w:r>
        <w:rPr>
          <w:i/>
        </w:rPr>
        <w:t>et al</w:t>
      </w:r>
      <w:r>
        <w:t xml:space="preserve">., 2016; </w:t>
      </w:r>
      <w:proofErr w:type="spellStart"/>
      <w:r>
        <w:t>Tijwun</w:t>
      </w:r>
      <w:proofErr w:type="spellEnd"/>
      <w:r>
        <w:t xml:space="preserve">, </w:t>
      </w:r>
      <w:r>
        <w:rPr>
          <w:i/>
        </w:rPr>
        <w:t>et al</w:t>
      </w:r>
      <w:r>
        <w:t>., 2022).</w:t>
      </w:r>
      <w:r w:rsidR="00CC79EC">
        <w:t xml:space="preserve"> </w:t>
      </w:r>
      <w:proofErr w:type="spellStart"/>
      <w:r w:rsidR="00F76050" w:rsidRPr="00E128C6">
        <w:rPr>
          <w:i/>
          <w:iCs/>
          <w:highlight w:val="yellow"/>
        </w:rPr>
        <w:t>Bryophyllum</w:t>
      </w:r>
      <w:proofErr w:type="spellEnd"/>
      <w:r w:rsidR="00F76050" w:rsidRPr="00E128C6">
        <w:rPr>
          <w:i/>
          <w:iCs/>
          <w:highlight w:val="yellow"/>
        </w:rPr>
        <w:t xml:space="preserve"> </w:t>
      </w:r>
      <w:proofErr w:type="spellStart"/>
      <w:r w:rsidR="00F76050" w:rsidRPr="00E128C6">
        <w:rPr>
          <w:i/>
          <w:iCs/>
          <w:highlight w:val="yellow"/>
        </w:rPr>
        <w:t>pinnatum</w:t>
      </w:r>
      <w:proofErr w:type="spellEnd"/>
      <w:r w:rsidR="00F76050" w:rsidRPr="00E128C6">
        <w:rPr>
          <w:highlight w:val="yellow"/>
        </w:rPr>
        <w:t xml:space="preserve"> is a well-known medicinal plant that has been used in many traditional systems of </w:t>
      </w:r>
      <w:r w:rsidR="00CC79EC">
        <w:rPr>
          <w:highlight w:val="yellow"/>
        </w:rPr>
        <w:t>medicine</w:t>
      </w:r>
      <w:r w:rsidR="00F76050" w:rsidRPr="00E128C6">
        <w:rPr>
          <w:highlight w:val="yellow"/>
        </w:rPr>
        <w:t xml:space="preserve">. This includes treating fever, smallpox, otitis, cough, asthma, headache, </w:t>
      </w:r>
      <w:r w:rsidR="00FD4315">
        <w:rPr>
          <w:highlight w:val="yellow"/>
        </w:rPr>
        <w:t>convulsions</w:t>
      </w:r>
      <w:r w:rsidR="00F76050" w:rsidRPr="00E128C6">
        <w:rPr>
          <w:highlight w:val="yellow"/>
        </w:rPr>
        <w:t>, and general debility. (</w:t>
      </w:r>
      <w:proofErr w:type="spellStart"/>
      <w:r w:rsidR="00F76050" w:rsidRPr="00E128C6">
        <w:rPr>
          <w:highlight w:val="yellow"/>
        </w:rPr>
        <w:t>Elufioye</w:t>
      </w:r>
      <w:proofErr w:type="spellEnd"/>
      <w:r w:rsidR="00F76050" w:rsidRPr="00E128C6">
        <w:rPr>
          <w:highlight w:val="yellow"/>
        </w:rPr>
        <w:t xml:space="preserve"> et al.,2022</w:t>
      </w:r>
      <w:r w:rsidR="00F76050" w:rsidRPr="00F76050">
        <w:rPr>
          <w:highlight w:val="yellow"/>
        </w:rPr>
        <w:t>;</w:t>
      </w:r>
      <w:r w:rsidR="00C86B10">
        <w:rPr>
          <w:highlight w:val="yellow"/>
        </w:rPr>
        <w:t xml:space="preserve"> </w:t>
      </w:r>
      <w:r w:rsidR="00F76050" w:rsidRPr="00E128C6">
        <w:rPr>
          <w:highlight w:val="yellow"/>
        </w:rPr>
        <w:t>Sharma et al.,2024)</w:t>
      </w:r>
      <w:r w:rsidR="00F76050" w:rsidRPr="00F76050">
        <w:rPr>
          <w:highlight w:val="yellow"/>
        </w:rPr>
        <w:t>.</w:t>
      </w:r>
      <w:r w:rsidR="00C86B10">
        <w:rPr>
          <w:highlight w:val="yellow"/>
        </w:rPr>
        <w:t xml:space="preserve"> </w:t>
      </w:r>
      <w:proofErr w:type="spellStart"/>
      <w:r w:rsidR="001222BB" w:rsidRPr="00E128C6">
        <w:rPr>
          <w:i/>
          <w:iCs/>
          <w:highlight w:val="yellow"/>
        </w:rPr>
        <w:t>Cochlospermum</w:t>
      </w:r>
      <w:proofErr w:type="spellEnd"/>
      <w:r w:rsidR="001222BB" w:rsidRPr="00E128C6">
        <w:rPr>
          <w:i/>
          <w:iCs/>
          <w:highlight w:val="yellow"/>
        </w:rPr>
        <w:t xml:space="preserve"> </w:t>
      </w:r>
      <w:proofErr w:type="spellStart"/>
      <w:r w:rsidR="001222BB" w:rsidRPr="00E128C6">
        <w:rPr>
          <w:i/>
          <w:iCs/>
          <w:highlight w:val="yellow"/>
        </w:rPr>
        <w:t>tinctorium</w:t>
      </w:r>
      <w:proofErr w:type="spellEnd"/>
      <w:r w:rsidR="001222BB" w:rsidRPr="00E128C6">
        <w:rPr>
          <w:highlight w:val="yellow"/>
        </w:rPr>
        <w:t xml:space="preserve"> (</w:t>
      </w:r>
      <w:proofErr w:type="spellStart"/>
      <w:r w:rsidR="001222BB" w:rsidRPr="00E128C6">
        <w:rPr>
          <w:highlight w:val="yellow"/>
        </w:rPr>
        <w:t>Cochlospermaceae</w:t>
      </w:r>
      <w:proofErr w:type="spellEnd"/>
      <w:r w:rsidR="001222BB" w:rsidRPr="00E128C6">
        <w:rPr>
          <w:highlight w:val="yellow"/>
        </w:rPr>
        <w:t xml:space="preserve">) has recently gained attention from the scientific community due to its traditional and wide range </w:t>
      </w:r>
      <w:r w:rsidR="00CC79EC">
        <w:rPr>
          <w:highlight w:val="yellow"/>
        </w:rPr>
        <w:t xml:space="preserve">of </w:t>
      </w:r>
      <w:r w:rsidR="001222BB" w:rsidRPr="00E128C6">
        <w:rPr>
          <w:highlight w:val="yellow"/>
        </w:rPr>
        <w:t xml:space="preserve">medicinal </w:t>
      </w:r>
      <w:r w:rsidR="00CC79EC">
        <w:rPr>
          <w:highlight w:val="yellow"/>
        </w:rPr>
        <w:t>uses</w:t>
      </w:r>
      <w:r w:rsidR="001222BB" w:rsidRPr="00E128C6">
        <w:rPr>
          <w:highlight w:val="yellow"/>
        </w:rPr>
        <w:t xml:space="preserve">. </w:t>
      </w:r>
      <w:r w:rsidR="001222BB" w:rsidRPr="00E128C6">
        <w:rPr>
          <w:i/>
          <w:iCs/>
          <w:highlight w:val="yellow"/>
        </w:rPr>
        <w:t>Erythrina senegalensis</w:t>
      </w:r>
      <w:r w:rsidR="001222BB" w:rsidRPr="00E128C6">
        <w:rPr>
          <w:highlight w:val="yellow"/>
        </w:rPr>
        <w:t xml:space="preserve"> (Fabaceae) leaves, stem bark and roots have been used to treat malaria, gastrointestinal disorders, fever, dizziness, secondary sterility, diarrhea, jaundice,</w:t>
      </w:r>
      <w:r w:rsidR="00CC79EC">
        <w:rPr>
          <w:highlight w:val="yellow"/>
        </w:rPr>
        <w:t xml:space="preserve"> </w:t>
      </w:r>
      <w:r w:rsidR="001222BB" w:rsidRPr="00E128C6">
        <w:rPr>
          <w:highlight w:val="yellow"/>
        </w:rPr>
        <w:t xml:space="preserve">nose bleeding and pains, </w:t>
      </w:r>
      <w:r w:rsidR="00FD4315">
        <w:rPr>
          <w:highlight w:val="yellow"/>
        </w:rPr>
        <w:t>a</w:t>
      </w:r>
      <w:r w:rsidR="001222BB" w:rsidRPr="00E128C6">
        <w:rPr>
          <w:highlight w:val="yellow"/>
        </w:rPr>
        <w:t xml:space="preserve">ntibacterial activity, </w:t>
      </w:r>
      <w:r w:rsidR="00FD4315">
        <w:rPr>
          <w:highlight w:val="yellow"/>
        </w:rPr>
        <w:t>i</w:t>
      </w:r>
      <w:r w:rsidR="001222BB" w:rsidRPr="00E128C6">
        <w:rPr>
          <w:highlight w:val="yellow"/>
        </w:rPr>
        <w:t xml:space="preserve">nhibitory activity against HIV-protases, </w:t>
      </w:r>
      <w:r w:rsidR="001222BB" w:rsidRPr="00E128C6">
        <w:rPr>
          <w:i/>
          <w:iCs/>
          <w:highlight w:val="yellow"/>
        </w:rPr>
        <w:t>Plasmodium falciparum</w:t>
      </w:r>
      <w:r w:rsidR="001222BB" w:rsidRPr="00E128C6">
        <w:rPr>
          <w:highlight w:val="yellow"/>
        </w:rPr>
        <w:t xml:space="preserve"> and hepatoprotective properties</w:t>
      </w:r>
      <w:r w:rsidR="00FD4315">
        <w:rPr>
          <w:highlight w:val="yellow"/>
        </w:rPr>
        <w:t xml:space="preserve"> </w:t>
      </w:r>
      <w:r w:rsidR="001222BB" w:rsidRPr="00E128C6">
        <w:rPr>
          <w:highlight w:val="yellow"/>
        </w:rPr>
        <w:t>(</w:t>
      </w:r>
      <w:proofErr w:type="spellStart"/>
      <w:r w:rsidR="001222BB" w:rsidRPr="00E128C6">
        <w:rPr>
          <w:highlight w:val="yellow"/>
        </w:rPr>
        <w:t>Tijwun</w:t>
      </w:r>
      <w:proofErr w:type="spellEnd"/>
      <w:r w:rsidR="001222BB" w:rsidRPr="00E128C6">
        <w:rPr>
          <w:highlight w:val="yellow"/>
        </w:rPr>
        <w:t xml:space="preserve"> et al.,2022</w:t>
      </w:r>
      <w:r w:rsidR="001222BB" w:rsidRPr="001222BB">
        <w:rPr>
          <w:highlight w:val="yellow"/>
        </w:rPr>
        <w:t>;</w:t>
      </w:r>
      <w:r w:rsidR="00CC79EC">
        <w:rPr>
          <w:highlight w:val="yellow"/>
        </w:rPr>
        <w:t xml:space="preserve"> </w:t>
      </w:r>
      <w:r w:rsidR="001222BB" w:rsidRPr="00E128C6">
        <w:rPr>
          <w:highlight w:val="yellow"/>
        </w:rPr>
        <w:t>Valdez et al.,2024)</w:t>
      </w:r>
      <w:r>
        <w:t xml:space="preserve"> As these plants are increasingly utilized in traditional and alternative medicinal practices, a comprehensive evaluation of their heavy metal content is imperative to ensure the safety and efficacy of their therapeutic applications (Moghaddam </w:t>
      </w:r>
      <w:r>
        <w:rPr>
          <w:i/>
        </w:rPr>
        <w:t>et al</w:t>
      </w:r>
      <w:r>
        <w:t>., 2020).</w:t>
      </w:r>
    </w:p>
    <w:p w14:paraId="7A0D77ED" w14:textId="5511639F" w:rsidR="00C75191" w:rsidRDefault="00000000">
      <w:pPr>
        <w:pStyle w:val="NormalWeb"/>
        <w:spacing w:line="480" w:lineRule="auto"/>
        <w:jc w:val="both"/>
      </w:pPr>
      <w:r>
        <w:lastRenderedPageBreak/>
        <w:t xml:space="preserve">The assessment of heavy metals in plant extracts is essential due to the potential for bioaccumulation from soil or environmental sources, which may lead to elevated concentrations in plant tissues (Nawab </w:t>
      </w:r>
      <w:r>
        <w:rPr>
          <w:i/>
          <w:iCs/>
        </w:rPr>
        <w:t>et al</w:t>
      </w:r>
      <w:r>
        <w:t>., 2015; Ali</w:t>
      </w:r>
      <w:r>
        <w:rPr>
          <w:i/>
          <w:iCs/>
        </w:rPr>
        <w:t xml:space="preserve"> et al</w:t>
      </w:r>
      <w:r>
        <w:t xml:space="preserve">.,2019; Dinu </w:t>
      </w:r>
      <w:r>
        <w:rPr>
          <w:i/>
          <w:iCs/>
        </w:rPr>
        <w:t>et al</w:t>
      </w:r>
      <w:r>
        <w:t>., 2020). Heavy metals such as lead (Pb), cadmium (Cd), mercury (Hg), and arsenic (As) are of particular concern due to their persistence and toxicity, even at trace levels. Bioaccumulation of these heavy metals leads to a diversity of toxic effects on a variety of body tissues and organs. Heavy metals disrupt cellular events</w:t>
      </w:r>
      <w:r w:rsidR="00CC79EC">
        <w:t>,</w:t>
      </w:r>
      <w:r>
        <w:t xml:space="preserve"> including growth, proliferation, differentiation, damage-repairing processes, and apoptosis (</w:t>
      </w:r>
      <w:proofErr w:type="spellStart"/>
      <w:r>
        <w:t>Balali</w:t>
      </w:r>
      <w:proofErr w:type="spellEnd"/>
      <w:r>
        <w:t>-Mood</w:t>
      </w:r>
      <w:r>
        <w:rPr>
          <w:i/>
          <w:iCs/>
        </w:rPr>
        <w:t xml:space="preserve"> et al</w:t>
      </w:r>
      <w:r>
        <w:t xml:space="preserve">.,2021). The concentration of these metals above permissible limits can pose risks to human health upon consumption </w:t>
      </w:r>
      <w:r w:rsidR="001803DD">
        <w:t>(</w:t>
      </w:r>
      <w:r>
        <w:t xml:space="preserve">Rahman and Singh, 2019; Khatun </w:t>
      </w:r>
      <w:r>
        <w:rPr>
          <w:i/>
          <w:iCs/>
        </w:rPr>
        <w:t>et al</w:t>
      </w:r>
      <w:r>
        <w:t>.,2022).</w:t>
      </w:r>
    </w:p>
    <w:p w14:paraId="3ED1B24E" w14:textId="77777777" w:rsidR="00C75191" w:rsidRDefault="00000000">
      <w:pPr>
        <w:pStyle w:val="NormalWeb"/>
        <w:spacing w:line="480" w:lineRule="auto"/>
        <w:jc w:val="both"/>
      </w:pPr>
      <w:r>
        <w:t>This study aims to investigate the levels of heavy metals and elemental constituents in the methanolic extracts obtained from the leaves, roots, and stems of</w:t>
      </w:r>
      <w:r>
        <w:rPr>
          <w:i/>
          <w:iCs/>
        </w:rPr>
        <w:t xml:space="preserve"> </w:t>
      </w:r>
      <w:proofErr w:type="spellStart"/>
      <w:r>
        <w:rPr>
          <w:i/>
          <w:iCs/>
        </w:rPr>
        <w:t>Bryophyllum</w:t>
      </w:r>
      <w:proofErr w:type="spellEnd"/>
      <w:r>
        <w:rPr>
          <w:i/>
          <w:iCs/>
        </w:rPr>
        <w:t xml:space="preserve"> </w:t>
      </w:r>
      <w:proofErr w:type="spellStart"/>
      <w:r>
        <w:rPr>
          <w:i/>
          <w:iCs/>
        </w:rPr>
        <w:t>pinnatum</w:t>
      </w:r>
      <w:proofErr w:type="spellEnd"/>
      <w:r>
        <w:rPr>
          <w:i/>
          <w:iCs/>
        </w:rPr>
        <w:t xml:space="preserve">, </w:t>
      </w:r>
      <w:proofErr w:type="spellStart"/>
      <w:r>
        <w:rPr>
          <w:i/>
          <w:iCs/>
        </w:rPr>
        <w:t>Cochlospermum</w:t>
      </w:r>
      <w:proofErr w:type="spellEnd"/>
      <w:r>
        <w:rPr>
          <w:i/>
          <w:iCs/>
        </w:rPr>
        <w:t xml:space="preserve"> </w:t>
      </w:r>
      <w:proofErr w:type="spellStart"/>
      <w:r>
        <w:rPr>
          <w:i/>
          <w:iCs/>
        </w:rPr>
        <w:t>tintorium</w:t>
      </w:r>
      <w:proofErr w:type="spellEnd"/>
      <w:r>
        <w:rPr>
          <w:i/>
          <w:iCs/>
        </w:rPr>
        <w:t>,</w:t>
      </w:r>
      <w:r>
        <w:t xml:space="preserve"> and </w:t>
      </w:r>
      <w:r>
        <w:rPr>
          <w:i/>
          <w:iCs/>
        </w:rPr>
        <w:t>Erythrina senegalensis</w:t>
      </w:r>
      <w:r>
        <w:t xml:space="preserve"> from </w:t>
      </w:r>
      <w:proofErr w:type="spellStart"/>
      <w:r>
        <w:t>Takum</w:t>
      </w:r>
      <w:proofErr w:type="spellEnd"/>
      <w:r>
        <w:t>, Taraba state in Nigeria using atomic absorption spectrometry (AAS), a detailed profile of the heavy metal composition in these plant extracts will be established, and the health implications of potential heavy metal contamination in these medicinal plants will be critically evaluated, considering established toxicity thresholds and regulatory standards. Understanding the extent of heavy metal accumulation in these plant species is crucial for ensuring the safety of herbal formulations and preventing unintended health consequences associated with long-term usage.</w:t>
      </w:r>
    </w:p>
    <w:p w14:paraId="0DB22EC9" w14:textId="77777777" w:rsidR="00C75191" w:rsidRDefault="00C75191">
      <w:pPr>
        <w:spacing w:after="0" w:line="480" w:lineRule="auto"/>
        <w:rPr>
          <w:rFonts w:ascii="Times New Roman" w:hAnsi="Times New Roman" w:cs="Times New Roman"/>
          <w:b/>
          <w:sz w:val="24"/>
          <w:szCs w:val="24"/>
        </w:rPr>
      </w:pPr>
    </w:p>
    <w:p w14:paraId="07B97D56" w14:textId="77777777" w:rsidR="00C75191" w:rsidRDefault="00C75191">
      <w:pPr>
        <w:spacing w:after="0" w:line="480" w:lineRule="auto"/>
        <w:rPr>
          <w:rFonts w:ascii="Times New Roman" w:hAnsi="Times New Roman" w:cs="Times New Roman"/>
          <w:b/>
          <w:sz w:val="24"/>
          <w:szCs w:val="24"/>
        </w:rPr>
      </w:pPr>
    </w:p>
    <w:p w14:paraId="7209F513" w14:textId="77777777" w:rsidR="00C75191"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14:paraId="030BD9E2" w14:textId="77777777"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78B26FDE" w14:textId="40E95A06"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Taraba </w:t>
      </w:r>
      <w:r w:rsidR="00051E88" w:rsidRPr="00051E88">
        <w:rPr>
          <w:rFonts w:ascii="Times New Roman" w:hAnsi="Times New Roman" w:cs="Times New Roman"/>
          <w:sz w:val="24"/>
          <w:szCs w:val="24"/>
          <w:highlight w:val="yellow"/>
        </w:rPr>
        <w:t>State</w:t>
      </w:r>
      <w:r>
        <w:rPr>
          <w:rFonts w:ascii="Times New Roman" w:hAnsi="Times New Roman" w:cs="Times New Roman"/>
          <w:sz w:val="24"/>
          <w:szCs w:val="24"/>
        </w:rPr>
        <w:t xml:space="preserve"> lies within the middle of Nigeria</w:t>
      </w:r>
      <w:r w:rsidR="001803DD">
        <w:rPr>
          <w:rFonts w:ascii="Times New Roman" w:hAnsi="Times New Roman" w:cs="Times New Roman"/>
          <w:sz w:val="24"/>
          <w:szCs w:val="24"/>
        </w:rPr>
        <w:t>,</w:t>
      </w:r>
      <w:r>
        <w:rPr>
          <w:rFonts w:ascii="Times New Roman" w:hAnsi="Times New Roman" w:cs="Times New Roman"/>
          <w:sz w:val="24"/>
          <w:szCs w:val="24"/>
        </w:rPr>
        <w:t xml:space="preserve"> specifically in the northeast</w:t>
      </w:r>
      <w:r w:rsidR="00753AF5">
        <w:rPr>
          <w:rFonts w:ascii="Times New Roman" w:hAnsi="Times New Roman" w:cs="Times New Roman"/>
          <w:sz w:val="24"/>
          <w:szCs w:val="24"/>
        </w:rPr>
        <w:t>.</w:t>
      </w:r>
      <w:r w:rsidR="001803DD">
        <w:rPr>
          <w:rFonts w:ascii="Times New Roman" w:hAnsi="Times New Roman" w:cs="Times New Roman"/>
          <w:sz w:val="24"/>
          <w:szCs w:val="24"/>
        </w:rPr>
        <w:t xml:space="preserve"> </w:t>
      </w:r>
      <w:r w:rsidR="00753AF5" w:rsidRPr="00051E88">
        <w:rPr>
          <w:rFonts w:ascii="Times New Roman" w:hAnsi="Times New Roman" w:cs="Times New Roman"/>
          <w:sz w:val="24"/>
          <w:szCs w:val="24"/>
          <w:highlight w:val="yellow"/>
        </w:rPr>
        <w:t>It</w:t>
      </w:r>
      <w:r>
        <w:rPr>
          <w:rFonts w:ascii="Times New Roman" w:hAnsi="Times New Roman" w:cs="Times New Roman"/>
          <w:sz w:val="24"/>
          <w:szCs w:val="24"/>
        </w:rPr>
        <w:t xml:space="preserve"> is bounded on the west by Plateau and Benue States, on the east by Adamawa State and </w:t>
      </w:r>
      <w:r w:rsidR="001803DD" w:rsidRPr="00E128C6">
        <w:rPr>
          <w:rFonts w:ascii="Times New Roman" w:hAnsi="Times New Roman" w:cs="Times New Roman"/>
          <w:sz w:val="24"/>
          <w:szCs w:val="24"/>
          <w:highlight w:val="yellow"/>
        </w:rPr>
        <w:t>the</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Republic of </w:t>
      </w:r>
      <w:r w:rsidR="001803DD" w:rsidRPr="00E128C6">
        <w:rPr>
          <w:rFonts w:ascii="Times New Roman" w:hAnsi="Times New Roman" w:cs="Times New Roman"/>
          <w:sz w:val="24"/>
          <w:szCs w:val="24"/>
          <w:highlight w:val="yellow"/>
        </w:rPr>
        <w:t>Cameroon</w:t>
      </w:r>
      <w:r>
        <w:rPr>
          <w:rFonts w:ascii="Times New Roman" w:hAnsi="Times New Roman" w:cs="Times New Roman"/>
          <w:sz w:val="24"/>
          <w:szCs w:val="24"/>
        </w:rPr>
        <w:t xml:space="preserve">, </w:t>
      </w:r>
      <w:r w:rsidR="001803DD" w:rsidRPr="00E128C6">
        <w:rPr>
          <w:rFonts w:ascii="Times New Roman" w:hAnsi="Times New Roman" w:cs="Times New Roman"/>
          <w:sz w:val="24"/>
          <w:szCs w:val="24"/>
          <w:highlight w:val="yellow"/>
        </w:rPr>
        <w:t>and</w:t>
      </w:r>
      <w:r w:rsidR="001803DD">
        <w:rPr>
          <w:rFonts w:ascii="Times New Roman" w:hAnsi="Times New Roman" w:cs="Times New Roman"/>
          <w:sz w:val="24"/>
          <w:szCs w:val="24"/>
        </w:rPr>
        <w:t xml:space="preserve"> </w:t>
      </w:r>
      <w:r>
        <w:rPr>
          <w:rFonts w:ascii="Times New Roman" w:hAnsi="Times New Roman" w:cs="Times New Roman"/>
          <w:sz w:val="24"/>
          <w:szCs w:val="24"/>
        </w:rPr>
        <w:t>on the north by Bauchi and Gombe States. The state is nicknamed “</w:t>
      </w:r>
      <w:r w:rsidR="001803DD" w:rsidRPr="00E128C6">
        <w:rPr>
          <w:rFonts w:ascii="Times New Roman" w:hAnsi="Times New Roman" w:cs="Times New Roman"/>
          <w:sz w:val="24"/>
          <w:szCs w:val="24"/>
          <w:highlight w:val="yellow"/>
        </w:rPr>
        <w:t>nature's</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gift” due to </w:t>
      </w:r>
      <w:r w:rsidR="001803DD" w:rsidRPr="00E128C6">
        <w:rPr>
          <w:rFonts w:ascii="Times New Roman" w:hAnsi="Times New Roman" w:cs="Times New Roman"/>
          <w:sz w:val="24"/>
          <w:szCs w:val="24"/>
          <w:highlight w:val="yellow"/>
        </w:rPr>
        <w:t>the</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abundant natural resources that </w:t>
      </w:r>
      <w:r w:rsidR="001803DD" w:rsidRPr="00E128C6">
        <w:rPr>
          <w:rFonts w:ascii="Times New Roman" w:hAnsi="Times New Roman" w:cs="Times New Roman"/>
          <w:sz w:val="24"/>
          <w:szCs w:val="24"/>
          <w:highlight w:val="yellow"/>
        </w:rPr>
        <w:t>abound</w:t>
      </w:r>
      <w:r>
        <w:rPr>
          <w:rFonts w:ascii="Times New Roman" w:hAnsi="Times New Roman" w:cs="Times New Roman"/>
          <w:sz w:val="24"/>
          <w:szCs w:val="24"/>
        </w:rPr>
        <w:t xml:space="preserve"> in it. According to </w:t>
      </w:r>
      <w:r w:rsidR="001803DD" w:rsidRPr="00E128C6">
        <w:rPr>
          <w:rFonts w:ascii="Times New Roman" w:hAnsi="Times New Roman" w:cs="Times New Roman"/>
          <w:sz w:val="24"/>
          <w:szCs w:val="24"/>
          <w:highlight w:val="yellow"/>
        </w:rPr>
        <w:t>the</w:t>
      </w:r>
      <w:r w:rsidR="001803DD">
        <w:rPr>
          <w:rFonts w:ascii="Times New Roman" w:hAnsi="Times New Roman" w:cs="Times New Roman"/>
          <w:sz w:val="24"/>
          <w:szCs w:val="24"/>
        </w:rPr>
        <w:t xml:space="preserve"> </w:t>
      </w:r>
      <w:r>
        <w:rPr>
          <w:rFonts w:ascii="Times New Roman" w:hAnsi="Times New Roman" w:cs="Times New Roman"/>
          <w:sz w:val="24"/>
          <w:szCs w:val="24"/>
        </w:rPr>
        <w:t>Nigeria Conflict Security Analysis Network (2015). It lies between the coordinates 8</w:t>
      </w:r>
      <w:r>
        <w:rPr>
          <w:rFonts w:ascii="Times New Roman" w:hAnsi="Times New Roman" w:cs="Times New Roman"/>
          <w:sz w:val="24"/>
          <w:szCs w:val="24"/>
          <w:vertAlign w:val="superscript"/>
        </w:rPr>
        <w:t>0</w:t>
      </w:r>
      <w:r>
        <w:rPr>
          <w:rFonts w:ascii="Times New Roman" w:hAnsi="Times New Roman" w:cs="Times New Roman"/>
          <w:sz w:val="24"/>
          <w:szCs w:val="24"/>
        </w:rPr>
        <w:t>00</w:t>
      </w:r>
      <w:r>
        <w:rPr>
          <w:rFonts w:ascii="Times New Roman" w:hAnsi="Times New Roman" w:cs="Times New Roman"/>
          <w:sz w:val="24"/>
          <w:szCs w:val="24"/>
          <w:vertAlign w:val="superscript"/>
        </w:rPr>
        <w:t>1</w:t>
      </w:r>
      <w:r>
        <w:rPr>
          <w:rFonts w:ascii="Times New Roman" w:hAnsi="Times New Roman" w:cs="Times New Roman"/>
          <w:sz w:val="24"/>
          <w:szCs w:val="24"/>
        </w:rPr>
        <w:t>N and 10</w:t>
      </w:r>
      <w:r>
        <w:rPr>
          <w:rFonts w:ascii="Times New Roman" w:hAnsi="Times New Roman" w:cs="Times New Roman"/>
          <w:sz w:val="24"/>
          <w:szCs w:val="24"/>
          <w:vertAlign w:val="superscript"/>
        </w:rPr>
        <w:t>0</w:t>
      </w:r>
      <w:r>
        <w:rPr>
          <w:rFonts w:ascii="Times New Roman" w:hAnsi="Times New Roman" w:cs="Times New Roman"/>
          <w:sz w:val="24"/>
          <w:szCs w:val="24"/>
        </w:rPr>
        <w:t>30</w:t>
      </w:r>
      <w:r>
        <w:rPr>
          <w:rFonts w:ascii="Times New Roman" w:hAnsi="Times New Roman" w:cs="Times New Roman"/>
          <w:sz w:val="24"/>
          <w:szCs w:val="24"/>
          <w:vertAlign w:val="superscript"/>
        </w:rPr>
        <w:t>1</w:t>
      </w:r>
      <w:r>
        <w:rPr>
          <w:rFonts w:ascii="Times New Roman" w:hAnsi="Times New Roman" w:cs="Times New Roman"/>
          <w:sz w:val="24"/>
          <w:szCs w:val="24"/>
        </w:rPr>
        <w:t>E of the equator with a population of 1,480,590 and an area of 54,473km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Takum</w:t>
      </w:r>
      <w:proofErr w:type="spellEnd"/>
      <w:r>
        <w:rPr>
          <w:rFonts w:ascii="Times New Roman" w:hAnsi="Times New Roman" w:cs="Times New Roman"/>
          <w:sz w:val="24"/>
          <w:szCs w:val="24"/>
        </w:rPr>
        <w:t xml:space="preserve"> Local Government Area (LGA) of Taraba state lies between latitude 7</w:t>
      </w:r>
      <w:r>
        <w:rPr>
          <w:rFonts w:ascii="Times New Roman" w:hAnsi="Times New Roman" w:cs="Times New Roman"/>
          <w:sz w:val="24"/>
          <w:szCs w:val="24"/>
          <w:vertAlign w:val="superscript"/>
        </w:rPr>
        <w:t>0</w:t>
      </w:r>
      <w:r>
        <w:rPr>
          <w:rFonts w:ascii="Times New Roman" w:hAnsi="Times New Roman" w:cs="Times New Roman"/>
          <w:sz w:val="24"/>
          <w:szCs w:val="24"/>
        </w:rPr>
        <w:t>15</w:t>
      </w:r>
      <w:r>
        <w:rPr>
          <w:rFonts w:ascii="Times New Roman" w:hAnsi="Times New Roman" w:cs="Times New Roman"/>
          <w:sz w:val="24"/>
          <w:szCs w:val="24"/>
          <w:vertAlign w:val="superscript"/>
        </w:rPr>
        <w:t>1</w:t>
      </w:r>
      <w:r>
        <w:rPr>
          <w:rFonts w:ascii="Times New Roman" w:hAnsi="Times New Roman" w:cs="Times New Roman"/>
          <w:sz w:val="24"/>
          <w:szCs w:val="24"/>
        </w:rPr>
        <w:t>N and longitude 9</w:t>
      </w:r>
      <w:r>
        <w:rPr>
          <w:rFonts w:ascii="Times New Roman" w:hAnsi="Times New Roman" w:cs="Times New Roman"/>
          <w:sz w:val="24"/>
          <w:szCs w:val="24"/>
          <w:vertAlign w:val="superscript"/>
        </w:rPr>
        <w:t>0</w:t>
      </w:r>
      <w:r>
        <w:rPr>
          <w:rFonts w:ascii="Times New Roman" w:hAnsi="Times New Roman" w:cs="Times New Roman"/>
          <w:sz w:val="24"/>
          <w:szCs w:val="24"/>
        </w:rPr>
        <w:t>59</w:t>
      </w:r>
      <w:r>
        <w:rPr>
          <w:rFonts w:ascii="Times New Roman" w:hAnsi="Times New Roman" w:cs="Times New Roman"/>
          <w:sz w:val="24"/>
          <w:szCs w:val="24"/>
          <w:vertAlign w:val="superscript"/>
        </w:rPr>
        <w:t>1</w:t>
      </w:r>
      <w:r>
        <w:rPr>
          <w:rFonts w:ascii="Times New Roman" w:hAnsi="Times New Roman" w:cs="Times New Roman"/>
          <w:sz w:val="24"/>
          <w:szCs w:val="24"/>
        </w:rPr>
        <w:t xml:space="preserve">E of the equator with a total population of </w:t>
      </w:r>
      <w:proofErr w:type="gramStart"/>
      <w:r>
        <w:rPr>
          <w:rFonts w:ascii="Times New Roman" w:hAnsi="Times New Roman" w:cs="Times New Roman"/>
          <w:sz w:val="24"/>
          <w:szCs w:val="24"/>
        </w:rPr>
        <w:t xml:space="preserve">135,349 </w:t>
      </w:r>
      <w:r w:rsidR="001803DD">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a land area of 2,503km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Takum</w:t>
      </w:r>
      <w:proofErr w:type="spellEnd"/>
      <w:r>
        <w:rPr>
          <w:rFonts w:ascii="Times New Roman" w:hAnsi="Times New Roman" w:cs="Times New Roman"/>
          <w:sz w:val="24"/>
          <w:szCs w:val="24"/>
        </w:rPr>
        <w:t xml:space="preserve"> LGA is </w:t>
      </w:r>
      <w:r w:rsidR="001803DD">
        <w:rPr>
          <w:rFonts w:ascii="Times New Roman" w:hAnsi="Times New Roman" w:cs="Times New Roman"/>
          <w:sz w:val="24"/>
          <w:szCs w:val="24"/>
        </w:rPr>
        <w:t>bordered</w:t>
      </w:r>
      <w:r>
        <w:rPr>
          <w:rFonts w:ascii="Times New Roman" w:hAnsi="Times New Roman" w:cs="Times New Roman"/>
          <w:sz w:val="24"/>
          <w:szCs w:val="24"/>
        </w:rPr>
        <w:t xml:space="preserve"> </w:t>
      </w:r>
      <w:r w:rsidR="001803DD">
        <w:rPr>
          <w:rFonts w:ascii="Times New Roman" w:hAnsi="Times New Roman" w:cs="Times New Roman"/>
          <w:sz w:val="24"/>
          <w:szCs w:val="24"/>
        </w:rPr>
        <w:t xml:space="preserve">by </w:t>
      </w:r>
      <w:r w:rsidR="001803DD" w:rsidRPr="00E128C6">
        <w:rPr>
          <w:rFonts w:ascii="Times New Roman" w:hAnsi="Times New Roman" w:cs="Times New Roman"/>
          <w:sz w:val="24"/>
          <w:szCs w:val="24"/>
          <w:highlight w:val="yellow"/>
        </w:rPr>
        <w:t>Republic</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of Cameroon to the South, </w:t>
      </w:r>
      <w:proofErr w:type="spellStart"/>
      <w:r>
        <w:rPr>
          <w:rFonts w:ascii="Times New Roman" w:hAnsi="Times New Roman" w:cs="Times New Roman"/>
          <w:sz w:val="24"/>
          <w:szCs w:val="24"/>
        </w:rPr>
        <w:t>Ussa</w:t>
      </w:r>
      <w:proofErr w:type="spellEnd"/>
      <w:r>
        <w:rPr>
          <w:rFonts w:ascii="Times New Roman" w:hAnsi="Times New Roman" w:cs="Times New Roman"/>
          <w:sz w:val="24"/>
          <w:szCs w:val="24"/>
        </w:rPr>
        <w:t xml:space="preserve"> LGA to the west and Donga LGA to the north (Ekanem and Celestine, 2022). </w:t>
      </w:r>
    </w:p>
    <w:p w14:paraId="6210ECC3"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Sampling</w:t>
      </w:r>
    </w:p>
    <w:p w14:paraId="3E57CDB5" w14:textId="4FFD5A68"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sampling was carried out adopting the methods employed by Ayoola </w:t>
      </w:r>
      <w:r>
        <w:rPr>
          <w:rFonts w:ascii="Times New Roman" w:hAnsi="Times New Roman" w:cs="Times New Roman"/>
          <w:i/>
          <w:sz w:val="24"/>
          <w:szCs w:val="24"/>
        </w:rPr>
        <w:t>et. al</w:t>
      </w:r>
      <w:r>
        <w:rPr>
          <w:rFonts w:ascii="Times New Roman" w:hAnsi="Times New Roman" w:cs="Times New Roman"/>
          <w:sz w:val="24"/>
          <w:szCs w:val="24"/>
        </w:rPr>
        <w:t>. (2008). The Leaves, stem bark and roots of</w:t>
      </w:r>
      <w:r>
        <w:rPr>
          <w:rFonts w:ascii="Times New Roman" w:hAnsi="Times New Roman" w:cs="Times New Roman"/>
          <w:i/>
          <w:sz w:val="24"/>
          <w:szCs w:val="24"/>
        </w:rPr>
        <w:t xml:space="preserve"> Erythrina </w:t>
      </w:r>
      <w:r w:rsidR="001803DD" w:rsidRPr="00E128C6">
        <w:rPr>
          <w:rFonts w:ascii="Times New Roman" w:hAnsi="Times New Roman" w:cs="Times New Roman"/>
          <w:i/>
          <w:sz w:val="24"/>
          <w:szCs w:val="24"/>
          <w:highlight w:val="yellow"/>
        </w:rPr>
        <w:t>senegalensis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pinnatum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collected randomly at different herbarium locations in </w:t>
      </w:r>
      <w:proofErr w:type="spellStart"/>
      <w:r>
        <w:rPr>
          <w:rFonts w:ascii="Times New Roman" w:hAnsi="Times New Roman" w:cs="Times New Roman"/>
          <w:sz w:val="24"/>
          <w:szCs w:val="24"/>
        </w:rPr>
        <w:t>Takum</w:t>
      </w:r>
      <w:proofErr w:type="spellEnd"/>
      <w:r>
        <w:rPr>
          <w:rFonts w:ascii="Times New Roman" w:hAnsi="Times New Roman" w:cs="Times New Roman"/>
          <w:sz w:val="24"/>
          <w:szCs w:val="24"/>
        </w:rPr>
        <w:t xml:space="preserve"> town of Taraba state and transported to Modibbo Adama University of Technology (MAUTECH)</w:t>
      </w:r>
      <w:r w:rsidR="001803DD">
        <w:rPr>
          <w:rFonts w:ascii="Times New Roman" w:hAnsi="Times New Roman" w:cs="Times New Roman"/>
          <w:sz w:val="24"/>
          <w:szCs w:val="24"/>
        </w:rPr>
        <w:t>,</w:t>
      </w:r>
      <w:r>
        <w:rPr>
          <w:rFonts w:ascii="Times New Roman" w:hAnsi="Times New Roman" w:cs="Times New Roman"/>
          <w:sz w:val="24"/>
          <w:szCs w:val="24"/>
        </w:rPr>
        <w:t xml:space="preserve"> Yola. They were identified at the Department of </w:t>
      </w:r>
      <w:r w:rsidR="001803DD" w:rsidRPr="00E128C6">
        <w:rPr>
          <w:rFonts w:ascii="Times New Roman" w:hAnsi="Times New Roman" w:cs="Times New Roman"/>
          <w:sz w:val="24"/>
          <w:szCs w:val="24"/>
          <w:highlight w:val="yellow"/>
        </w:rPr>
        <w:t>Biological Sciences</w:t>
      </w:r>
      <w:r>
        <w:rPr>
          <w:rFonts w:ascii="Times New Roman" w:hAnsi="Times New Roman" w:cs="Times New Roman"/>
          <w:sz w:val="24"/>
          <w:szCs w:val="24"/>
        </w:rPr>
        <w:t xml:space="preserve"> by a botanist and later taken to the Department of </w:t>
      </w:r>
      <w:r w:rsidR="001803DD" w:rsidRPr="00E128C6">
        <w:rPr>
          <w:rFonts w:ascii="Times New Roman" w:hAnsi="Times New Roman" w:cs="Times New Roman"/>
          <w:sz w:val="24"/>
          <w:szCs w:val="24"/>
          <w:highlight w:val="yellow"/>
        </w:rPr>
        <w:t>Chemistry</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for extraction using methanol and further analysis. </w:t>
      </w:r>
    </w:p>
    <w:p w14:paraId="497B5C90"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Sample Preparation</w:t>
      </w:r>
    </w:p>
    <w:p w14:paraId="1C9AE8EA" w14:textId="4FD6B50F"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collected samples were washed with tap water and </w:t>
      </w:r>
      <w:proofErr w:type="spellStart"/>
      <w:r w:rsidR="001803DD" w:rsidRPr="00E128C6">
        <w:rPr>
          <w:rFonts w:ascii="Times New Roman" w:hAnsi="Times New Roman" w:cs="Times New Roman"/>
          <w:sz w:val="24"/>
          <w:szCs w:val="24"/>
          <w:highlight w:val="yellow"/>
        </w:rPr>
        <w:t>deionised</w:t>
      </w:r>
      <w:proofErr w:type="spellEnd"/>
      <w:r w:rsidR="001803DD">
        <w:rPr>
          <w:rFonts w:ascii="Times New Roman" w:hAnsi="Times New Roman" w:cs="Times New Roman"/>
          <w:sz w:val="24"/>
          <w:szCs w:val="24"/>
        </w:rPr>
        <w:t xml:space="preserve"> </w:t>
      </w:r>
      <w:r>
        <w:rPr>
          <w:rFonts w:ascii="Times New Roman" w:hAnsi="Times New Roman" w:cs="Times New Roman"/>
          <w:sz w:val="24"/>
          <w:szCs w:val="24"/>
        </w:rPr>
        <w:t xml:space="preserve">water to remove soil particles from the roots, leaves and stem bark and were then cut into pieces and dried at room temperature for 14 days. The dry samples were </w:t>
      </w:r>
      <w:r w:rsidR="001803DD" w:rsidRPr="00E128C6">
        <w:rPr>
          <w:rFonts w:ascii="Times New Roman" w:hAnsi="Times New Roman" w:cs="Times New Roman"/>
          <w:sz w:val="24"/>
          <w:szCs w:val="24"/>
          <w:highlight w:val="yellow"/>
        </w:rPr>
        <w:t>ground</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into powder using a mortar and pestle and sieved using a fine wire mesh. Using the conning and quartering method, representative samples were obtained from each sample as described by Crosby and Patel (2015). This was followed by making the samples into cone shapes, </w:t>
      </w:r>
      <w:r w:rsidR="001803DD" w:rsidRPr="00E128C6">
        <w:rPr>
          <w:rFonts w:ascii="Times New Roman" w:hAnsi="Times New Roman" w:cs="Times New Roman"/>
          <w:sz w:val="24"/>
          <w:szCs w:val="24"/>
          <w:highlight w:val="yellow"/>
        </w:rPr>
        <w:t>flattening</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803DD" w:rsidRPr="00E128C6">
        <w:rPr>
          <w:rFonts w:ascii="Times New Roman" w:hAnsi="Times New Roman" w:cs="Times New Roman"/>
          <w:sz w:val="24"/>
          <w:szCs w:val="24"/>
          <w:highlight w:val="yellow"/>
        </w:rPr>
        <w:t>dividing them</w:t>
      </w:r>
      <w:r w:rsidR="001803DD">
        <w:rPr>
          <w:rFonts w:ascii="Times New Roman" w:hAnsi="Times New Roman" w:cs="Times New Roman"/>
          <w:sz w:val="24"/>
          <w:szCs w:val="24"/>
        </w:rPr>
        <w:t xml:space="preserve"> </w:t>
      </w:r>
      <w:r>
        <w:rPr>
          <w:rFonts w:ascii="Times New Roman" w:hAnsi="Times New Roman" w:cs="Times New Roman"/>
          <w:sz w:val="24"/>
          <w:szCs w:val="24"/>
        </w:rPr>
        <w:t>into four equal parts. The opposite two parts were taken</w:t>
      </w:r>
      <w:r w:rsidR="001803DD">
        <w:rPr>
          <w:rFonts w:ascii="Times New Roman" w:hAnsi="Times New Roman" w:cs="Times New Roman"/>
          <w:sz w:val="24"/>
          <w:szCs w:val="24"/>
        </w:rPr>
        <w:t>,</w:t>
      </w:r>
      <w:r>
        <w:rPr>
          <w:rFonts w:ascii="Times New Roman" w:hAnsi="Times New Roman" w:cs="Times New Roman"/>
          <w:sz w:val="24"/>
          <w:szCs w:val="24"/>
        </w:rPr>
        <w:t xml:space="preserve"> and </w:t>
      </w:r>
      <w:r w:rsidR="001803DD" w:rsidRPr="00E128C6">
        <w:rPr>
          <w:rFonts w:ascii="Times New Roman" w:hAnsi="Times New Roman" w:cs="Times New Roman"/>
          <w:sz w:val="24"/>
          <w:szCs w:val="24"/>
          <w:highlight w:val="yellow"/>
        </w:rPr>
        <w:t>the</w:t>
      </w:r>
      <w:r w:rsidR="001803DD">
        <w:rPr>
          <w:rFonts w:ascii="Times New Roman" w:hAnsi="Times New Roman" w:cs="Times New Roman"/>
          <w:sz w:val="24"/>
          <w:szCs w:val="24"/>
        </w:rPr>
        <w:t xml:space="preserve"> </w:t>
      </w:r>
      <w:r>
        <w:rPr>
          <w:rFonts w:ascii="Times New Roman" w:hAnsi="Times New Roman" w:cs="Times New Roman"/>
          <w:sz w:val="24"/>
          <w:szCs w:val="24"/>
        </w:rPr>
        <w:t>other two opposite parts were discarded. This was repeated continuously until the sample was reduced to the size required for final analyses</w:t>
      </w:r>
      <w:r w:rsidR="001803DD">
        <w:rPr>
          <w:rFonts w:ascii="Times New Roman" w:hAnsi="Times New Roman" w:cs="Times New Roman"/>
          <w:sz w:val="24"/>
          <w:szCs w:val="24"/>
        </w:rPr>
        <w:t xml:space="preserve">; </w:t>
      </w:r>
      <w:r>
        <w:rPr>
          <w:rFonts w:ascii="Times New Roman" w:hAnsi="Times New Roman" w:cs="Times New Roman"/>
          <w:sz w:val="24"/>
          <w:szCs w:val="24"/>
        </w:rPr>
        <w:t>thereafter</w:t>
      </w:r>
      <w:r w:rsidR="00E47E15">
        <w:rPr>
          <w:rFonts w:ascii="Times New Roman" w:hAnsi="Times New Roman" w:cs="Times New Roman"/>
          <w:sz w:val="24"/>
          <w:szCs w:val="24"/>
        </w:rPr>
        <w:t>,</w:t>
      </w:r>
      <w:r>
        <w:rPr>
          <w:rFonts w:ascii="Times New Roman" w:hAnsi="Times New Roman" w:cs="Times New Roman"/>
          <w:sz w:val="24"/>
          <w:szCs w:val="24"/>
        </w:rPr>
        <w:t xml:space="preserve"> it was placed in </w:t>
      </w:r>
      <w:r w:rsidR="001803DD" w:rsidRPr="00E128C6">
        <w:rPr>
          <w:rFonts w:ascii="Times New Roman" w:hAnsi="Times New Roman" w:cs="Times New Roman"/>
          <w:sz w:val="24"/>
          <w:szCs w:val="24"/>
          <w:highlight w:val="yellow"/>
        </w:rPr>
        <w:t>labelled</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airtight containers and labelled Methanolic leaf, stem and root extract </w:t>
      </w:r>
      <w:r w:rsidR="00A72300">
        <w:rPr>
          <w:rFonts w:ascii="Times New Roman" w:hAnsi="Times New Roman" w:cs="Times New Roman"/>
          <w:sz w:val="24"/>
          <w:szCs w:val="24"/>
        </w:rPr>
        <w:t>(</w:t>
      </w:r>
      <w:r>
        <w:rPr>
          <w:rFonts w:ascii="Times New Roman" w:hAnsi="Times New Roman" w:cs="Times New Roman"/>
          <w:sz w:val="24"/>
          <w:szCs w:val="24"/>
        </w:rPr>
        <w:t>MLSRE</w:t>
      </w:r>
      <w:r w:rsidR="00A72300">
        <w:rPr>
          <w:rFonts w:ascii="Times New Roman" w:hAnsi="Times New Roman" w:cs="Times New Roman"/>
          <w:sz w:val="24"/>
          <w:szCs w:val="24"/>
        </w:rPr>
        <w:t>)</w:t>
      </w:r>
      <w:r>
        <w:rPr>
          <w:rFonts w:ascii="Times New Roman" w:hAnsi="Times New Roman" w:cs="Times New Roman"/>
          <w:sz w:val="24"/>
          <w:szCs w:val="24"/>
        </w:rPr>
        <w:t>.</w:t>
      </w:r>
    </w:p>
    <w:p w14:paraId="00C11CF6" w14:textId="77777777" w:rsidR="00C75191" w:rsidRDefault="00C75191">
      <w:pPr>
        <w:spacing w:after="0" w:line="480" w:lineRule="auto"/>
        <w:jc w:val="both"/>
        <w:rPr>
          <w:rFonts w:ascii="Times New Roman" w:hAnsi="Times New Roman" w:cs="Times New Roman"/>
          <w:b/>
          <w:sz w:val="24"/>
          <w:szCs w:val="24"/>
        </w:rPr>
      </w:pPr>
    </w:p>
    <w:p w14:paraId="0B80AE76" w14:textId="5475E274"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Standard and Stock Solutions for Calibration of </w:t>
      </w:r>
      <w:r w:rsidR="00194509" w:rsidRPr="00194509">
        <w:rPr>
          <w:rFonts w:ascii="Times New Roman" w:hAnsi="Times New Roman" w:cs="Times New Roman"/>
          <w:b/>
          <w:sz w:val="24"/>
          <w:szCs w:val="24"/>
          <w:highlight w:val="yellow"/>
        </w:rPr>
        <w:t xml:space="preserve">Atomic Absorption </w:t>
      </w:r>
      <w:r w:rsidR="00194509" w:rsidRPr="00F83035">
        <w:rPr>
          <w:rFonts w:ascii="Times New Roman" w:hAnsi="Times New Roman" w:cs="Times New Roman"/>
          <w:b/>
          <w:sz w:val="24"/>
          <w:szCs w:val="24"/>
          <w:highlight w:val="yellow"/>
        </w:rPr>
        <w:t>Spectrometry</w:t>
      </w:r>
      <w:r w:rsidR="001E0FA2" w:rsidRPr="00E128C6">
        <w:rPr>
          <w:rFonts w:ascii="Times New Roman" w:hAnsi="Times New Roman" w:cs="Times New Roman"/>
          <w:b/>
          <w:sz w:val="24"/>
          <w:szCs w:val="24"/>
          <w:highlight w:val="yellow"/>
        </w:rPr>
        <w:t xml:space="preserve"> (AAS)</w:t>
      </w:r>
    </w:p>
    <w:p w14:paraId="51ACEAF6" w14:textId="77777777"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was done according to methods by described by Onwuka (2009), a working standard for each element was prepared from their salts by dissolving an appropriate amount of metal salts in distilled water to get a 1000 ppm standard stock solution for each of the metal. </w:t>
      </w:r>
    </w:p>
    <w:p w14:paraId="3E01CA59" w14:textId="77777777"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Copper</w:t>
      </w:r>
    </w:p>
    <w:p w14:paraId="65BC8714" w14:textId="6B88AB20"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CuCl</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was dissolved in distilled water and diluted to 1000 ml to get a stock solution containing 10 ml 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Serial </w:t>
      </w:r>
      <w:r w:rsidR="001803DD" w:rsidRPr="00E128C6">
        <w:rPr>
          <w:rFonts w:ascii="Times New Roman" w:hAnsi="Times New Roman" w:cs="Times New Roman"/>
          <w:sz w:val="24"/>
          <w:szCs w:val="24"/>
          <w:highlight w:val="yellow"/>
        </w:rPr>
        <w:t>dilutions</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of 0.5, 1.0, 1.5, 2.0 and 2.5 ppm </w:t>
      </w:r>
      <w:r w:rsidR="001803DD" w:rsidRPr="00E128C6">
        <w:rPr>
          <w:rFonts w:ascii="Times New Roman" w:hAnsi="Times New Roman" w:cs="Times New Roman"/>
          <w:sz w:val="24"/>
          <w:szCs w:val="24"/>
          <w:highlight w:val="yellow"/>
        </w:rPr>
        <w:t>were</w:t>
      </w:r>
      <w:r w:rsidR="001803DD">
        <w:rPr>
          <w:rFonts w:ascii="Times New Roman" w:hAnsi="Times New Roman" w:cs="Times New Roman"/>
          <w:sz w:val="24"/>
          <w:szCs w:val="24"/>
        </w:rPr>
        <w:t xml:space="preserve"> </w:t>
      </w:r>
      <w:r>
        <w:rPr>
          <w:rFonts w:ascii="Times New Roman" w:hAnsi="Times New Roman" w:cs="Times New Roman"/>
          <w:sz w:val="24"/>
          <w:szCs w:val="24"/>
        </w:rPr>
        <w:t>prepared from the stock solution.</w:t>
      </w:r>
    </w:p>
    <w:p w14:paraId="349AD602"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Lead </w:t>
      </w:r>
    </w:p>
    <w:p w14:paraId="3310E996" w14:textId="2C914A5C"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1.6g Pb(N0</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dissolved in distilled water and </w:t>
      </w:r>
      <w:r w:rsidR="001803DD" w:rsidRPr="00E128C6">
        <w:rPr>
          <w:rFonts w:ascii="Times New Roman" w:hAnsi="Times New Roman" w:cs="Times New Roman"/>
          <w:sz w:val="24"/>
          <w:szCs w:val="24"/>
          <w:highlight w:val="yellow"/>
        </w:rPr>
        <w:t>made</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to mark to </w:t>
      </w:r>
      <w:r w:rsidR="001803DD" w:rsidRPr="00E128C6">
        <w:rPr>
          <w:rFonts w:ascii="Times New Roman" w:hAnsi="Times New Roman" w:cs="Times New Roman"/>
          <w:sz w:val="24"/>
          <w:szCs w:val="24"/>
          <w:highlight w:val="yellow"/>
        </w:rPr>
        <w:t>1000 ml</w:t>
      </w:r>
      <w:r>
        <w:rPr>
          <w:rFonts w:ascii="Times New Roman" w:hAnsi="Times New Roman" w:cs="Times New Roman"/>
          <w:sz w:val="24"/>
          <w:szCs w:val="24"/>
        </w:rPr>
        <w:t xml:space="preserve">. A serial dilution of 1, 2, 3, 4, and </w:t>
      </w:r>
      <w:r w:rsidR="001803DD" w:rsidRPr="00E128C6">
        <w:rPr>
          <w:rFonts w:ascii="Times New Roman" w:hAnsi="Times New Roman" w:cs="Times New Roman"/>
          <w:sz w:val="24"/>
          <w:szCs w:val="24"/>
          <w:highlight w:val="yellow"/>
        </w:rPr>
        <w:t>5 ppm</w:t>
      </w:r>
      <w:r w:rsidR="001803DD">
        <w:rPr>
          <w:rFonts w:ascii="Times New Roman" w:hAnsi="Times New Roman" w:cs="Times New Roman"/>
          <w:sz w:val="24"/>
          <w:szCs w:val="24"/>
        </w:rPr>
        <w:t xml:space="preserve"> </w:t>
      </w:r>
      <w:r>
        <w:rPr>
          <w:rFonts w:ascii="Times New Roman" w:hAnsi="Times New Roman" w:cs="Times New Roman"/>
          <w:sz w:val="24"/>
          <w:szCs w:val="24"/>
        </w:rPr>
        <w:t>was prepared from the stock solution.</w:t>
      </w:r>
    </w:p>
    <w:p w14:paraId="2073C666"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Cadmium</w:t>
      </w:r>
    </w:p>
    <w:p w14:paraId="148EF805" w14:textId="7CD8179E"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2.11g of Cd (NO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1803DD" w:rsidRPr="00E128C6">
        <w:rPr>
          <w:rFonts w:ascii="Times New Roman" w:hAnsi="Times New Roman" w:cs="Times New Roman"/>
          <w:sz w:val="24"/>
          <w:szCs w:val="24"/>
          <w:highlight w:val="yellow"/>
        </w:rPr>
        <w:t>was dissolved</w:t>
      </w:r>
      <w:r>
        <w:rPr>
          <w:rFonts w:ascii="Times New Roman" w:hAnsi="Times New Roman" w:cs="Times New Roman"/>
          <w:sz w:val="24"/>
          <w:szCs w:val="24"/>
        </w:rPr>
        <w:t xml:space="preserve"> in distilled water and then diluted to </w:t>
      </w:r>
      <w:r w:rsidR="001803DD" w:rsidRPr="00E128C6">
        <w:rPr>
          <w:rFonts w:ascii="Times New Roman" w:hAnsi="Times New Roman" w:cs="Times New Roman"/>
          <w:sz w:val="24"/>
          <w:szCs w:val="24"/>
          <w:highlight w:val="yellow"/>
        </w:rPr>
        <w:t>1000 ml</w:t>
      </w:r>
      <w:r>
        <w:rPr>
          <w:rFonts w:ascii="Times New Roman" w:hAnsi="Times New Roman" w:cs="Times New Roman"/>
          <w:sz w:val="24"/>
          <w:szCs w:val="24"/>
        </w:rPr>
        <w:t xml:space="preserve">. Serial solution of 1.0, 2.0, 3.0, 4.0 and </w:t>
      </w:r>
      <w:r w:rsidR="001803DD" w:rsidRPr="00E128C6">
        <w:rPr>
          <w:rFonts w:ascii="Times New Roman" w:hAnsi="Times New Roman" w:cs="Times New Roman"/>
          <w:sz w:val="24"/>
          <w:szCs w:val="24"/>
          <w:highlight w:val="yellow"/>
        </w:rPr>
        <w:t>5.0 ppm</w:t>
      </w:r>
      <w:r>
        <w:rPr>
          <w:rFonts w:ascii="Times New Roman" w:hAnsi="Times New Roman" w:cs="Times New Roman"/>
          <w:sz w:val="24"/>
          <w:szCs w:val="24"/>
        </w:rPr>
        <w:t xml:space="preserve"> was prepared from the stock solution.</w:t>
      </w:r>
    </w:p>
    <w:p w14:paraId="2A2B8DFA"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Zinc</w:t>
      </w:r>
    </w:p>
    <w:p w14:paraId="63F274C1" w14:textId="081F7CF2"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1g of Zinc ribbon was dissolved in </w:t>
      </w:r>
      <w:r w:rsidR="001803DD" w:rsidRPr="00E128C6">
        <w:rPr>
          <w:rFonts w:ascii="Times New Roman" w:hAnsi="Times New Roman" w:cs="Times New Roman"/>
          <w:sz w:val="24"/>
          <w:szCs w:val="24"/>
          <w:highlight w:val="yellow"/>
        </w:rPr>
        <w:t>10 ml</w:t>
      </w:r>
      <w:r w:rsidR="001803DD">
        <w:rPr>
          <w:rFonts w:ascii="Times New Roman" w:hAnsi="Times New Roman" w:cs="Times New Roman"/>
          <w:sz w:val="24"/>
          <w:szCs w:val="24"/>
        </w:rPr>
        <w:t xml:space="preserve"> </w:t>
      </w:r>
      <w:r w:rsidR="001803DD" w:rsidRPr="00E128C6">
        <w:rPr>
          <w:rFonts w:ascii="Times New Roman" w:hAnsi="Times New Roman" w:cs="Times New Roman"/>
          <w:sz w:val="24"/>
          <w:szCs w:val="24"/>
          <w:highlight w:val="yellow"/>
        </w:rPr>
        <w:t>of</w:t>
      </w:r>
      <w:r w:rsidR="001803DD">
        <w:rPr>
          <w:rFonts w:ascii="Times New Roman" w:hAnsi="Times New Roman" w:cs="Times New Roman"/>
          <w:sz w:val="24"/>
          <w:szCs w:val="24"/>
        </w:rPr>
        <w:t xml:space="preserve"> </w:t>
      </w:r>
      <w:r>
        <w:rPr>
          <w:rFonts w:ascii="Times New Roman" w:hAnsi="Times New Roman" w:cs="Times New Roman"/>
          <w:sz w:val="24"/>
          <w:szCs w:val="24"/>
        </w:rPr>
        <w:t>HCl acid</w:t>
      </w:r>
      <w:r w:rsidR="00E47E15">
        <w:rPr>
          <w:rFonts w:ascii="Times New Roman" w:hAnsi="Times New Roman" w:cs="Times New Roman"/>
          <w:sz w:val="24"/>
          <w:szCs w:val="24"/>
        </w:rPr>
        <w:t>,</w:t>
      </w:r>
      <w:r>
        <w:rPr>
          <w:rFonts w:ascii="Times New Roman" w:hAnsi="Times New Roman" w:cs="Times New Roman"/>
          <w:sz w:val="24"/>
          <w:szCs w:val="24"/>
        </w:rPr>
        <w:t xml:space="preserve"> evaporated almost to dryness</w:t>
      </w:r>
      <w:r w:rsidR="001803DD">
        <w:rPr>
          <w:rFonts w:ascii="Times New Roman" w:hAnsi="Times New Roman" w:cs="Times New Roman"/>
          <w:sz w:val="24"/>
          <w:szCs w:val="24"/>
        </w:rPr>
        <w:t>,</w:t>
      </w:r>
      <w:r>
        <w:rPr>
          <w:rFonts w:ascii="Times New Roman" w:hAnsi="Times New Roman" w:cs="Times New Roman"/>
          <w:sz w:val="24"/>
          <w:szCs w:val="24"/>
        </w:rPr>
        <w:t xml:space="preserve"> and </w:t>
      </w:r>
      <w:r w:rsidR="001803DD" w:rsidRPr="00E128C6">
        <w:rPr>
          <w:rFonts w:ascii="Times New Roman" w:hAnsi="Times New Roman" w:cs="Times New Roman"/>
          <w:sz w:val="24"/>
          <w:szCs w:val="24"/>
          <w:highlight w:val="yellow"/>
        </w:rPr>
        <w:t>made</w:t>
      </w:r>
      <w:r w:rsidR="001803DD">
        <w:rPr>
          <w:rFonts w:ascii="Times New Roman" w:hAnsi="Times New Roman" w:cs="Times New Roman"/>
          <w:sz w:val="24"/>
          <w:szCs w:val="24"/>
        </w:rPr>
        <w:t xml:space="preserve"> </w:t>
      </w:r>
      <w:r w:rsidR="001803DD" w:rsidRPr="00E128C6">
        <w:rPr>
          <w:rFonts w:ascii="Times New Roman" w:hAnsi="Times New Roman" w:cs="Times New Roman"/>
          <w:sz w:val="24"/>
          <w:szCs w:val="24"/>
          <w:highlight w:val="yellow"/>
        </w:rPr>
        <w:t>up</w:t>
      </w:r>
      <w:r w:rsidR="001803DD">
        <w:rPr>
          <w:rFonts w:ascii="Times New Roman" w:hAnsi="Times New Roman" w:cs="Times New Roman"/>
          <w:sz w:val="24"/>
          <w:szCs w:val="24"/>
        </w:rPr>
        <w:t xml:space="preserve"> </w:t>
      </w:r>
      <w:r>
        <w:rPr>
          <w:rFonts w:ascii="Times New Roman" w:hAnsi="Times New Roman" w:cs="Times New Roman"/>
          <w:sz w:val="24"/>
          <w:szCs w:val="24"/>
        </w:rPr>
        <w:t xml:space="preserve">to </w:t>
      </w:r>
      <w:r w:rsidR="001803DD" w:rsidRPr="00E128C6">
        <w:rPr>
          <w:rFonts w:ascii="Times New Roman" w:hAnsi="Times New Roman" w:cs="Times New Roman"/>
          <w:sz w:val="24"/>
          <w:szCs w:val="24"/>
          <w:highlight w:val="yellow"/>
        </w:rPr>
        <w:t>1000 ml</w:t>
      </w:r>
      <w:r>
        <w:rPr>
          <w:rFonts w:ascii="Times New Roman" w:hAnsi="Times New Roman" w:cs="Times New Roman"/>
          <w:sz w:val="24"/>
          <w:szCs w:val="24"/>
        </w:rPr>
        <w:t xml:space="preserve">. This was followed by serial dilution of 1, 2, 3, 4 and </w:t>
      </w:r>
      <w:r w:rsidR="001803DD" w:rsidRPr="00E128C6">
        <w:rPr>
          <w:rFonts w:ascii="Times New Roman" w:hAnsi="Times New Roman" w:cs="Times New Roman"/>
          <w:sz w:val="24"/>
          <w:szCs w:val="24"/>
          <w:highlight w:val="yellow"/>
        </w:rPr>
        <w:t>5 ppm</w:t>
      </w:r>
      <w:r w:rsidR="001803DD">
        <w:rPr>
          <w:rFonts w:ascii="Times New Roman" w:hAnsi="Times New Roman" w:cs="Times New Roman"/>
          <w:sz w:val="24"/>
          <w:szCs w:val="24"/>
        </w:rPr>
        <w:t xml:space="preserve"> </w:t>
      </w:r>
      <w:r>
        <w:rPr>
          <w:rFonts w:ascii="Times New Roman" w:hAnsi="Times New Roman" w:cs="Times New Roman"/>
          <w:sz w:val="24"/>
          <w:szCs w:val="24"/>
        </w:rPr>
        <w:t>from the stock solution.</w:t>
      </w:r>
    </w:p>
    <w:p w14:paraId="323E0012" w14:textId="77777777" w:rsidR="00C75191" w:rsidRDefault="000000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Calcium</w:t>
      </w:r>
    </w:p>
    <w:p w14:paraId="0F958B55" w14:textId="15FA36FB" w:rsidR="00C75191" w:rsidRDefault="001803DD">
      <w:pPr>
        <w:spacing w:after="0" w:line="480" w:lineRule="auto"/>
        <w:jc w:val="both"/>
        <w:rPr>
          <w:rFonts w:ascii="Times New Roman" w:hAnsi="Times New Roman" w:cs="Times New Roman"/>
          <w:sz w:val="24"/>
          <w:szCs w:val="24"/>
        </w:rPr>
      </w:pPr>
      <w:r w:rsidRPr="00E128C6">
        <w:rPr>
          <w:rFonts w:ascii="Times New Roman" w:hAnsi="Times New Roman" w:cs="Times New Roman"/>
          <w:sz w:val="24"/>
          <w:szCs w:val="24"/>
          <w:highlight w:val="yellow"/>
        </w:rPr>
        <w:t>A stock</w:t>
      </w:r>
      <w:r>
        <w:rPr>
          <w:rFonts w:ascii="Times New Roman" w:hAnsi="Times New Roman" w:cs="Times New Roman"/>
          <w:sz w:val="24"/>
          <w:szCs w:val="24"/>
        </w:rPr>
        <w:t xml:space="preserve"> solution containing 1000mg of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was prepared by dissolving 2.497g of oven-dried 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in HCl and diluted to </w:t>
      </w:r>
      <w:r w:rsidRPr="00E128C6">
        <w:rPr>
          <w:rFonts w:ascii="Times New Roman" w:hAnsi="Times New Roman" w:cs="Times New Roman"/>
          <w:sz w:val="24"/>
          <w:szCs w:val="24"/>
          <w:highlight w:val="yellow"/>
        </w:rPr>
        <w:t>1000 ml</w:t>
      </w:r>
      <w:r>
        <w:rPr>
          <w:rFonts w:ascii="Times New Roman" w:hAnsi="Times New Roman" w:cs="Times New Roman"/>
          <w:sz w:val="24"/>
          <w:szCs w:val="24"/>
        </w:rPr>
        <w:t xml:space="preserve"> with distilled water. Serial dilution of the stock solution was made to obtain 1, 2, 4, 6 and 8 ppm to construct the calibration curve.</w:t>
      </w:r>
    </w:p>
    <w:p w14:paraId="14689791" w14:textId="77777777"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Digestion for AAS</w:t>
      </w:r>
    </w:p>
    <w:p w14:paraId="0B8B5EBC" w14:textId="0A65B0E3"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Digestion of methanolic leaf, stem</w:t>
      </w:r>
      <w:r w:rsidR="001803DD">
        <w:rPr>
          <w:rFonts w:ascii="Times New Roman" w:hAnsi="Times New Roman" w:cs="Times New Roman"/>
          <w:sz w:val="24"/>
          <w:szCs w:val="24"/>
        </w:rPr>
        <w:t>,</w:t>
      </w:r>
      <w:r>
        <w:rPr>
          <w:rFonts w:ascii="Times New Roman" w:hAnsi="Times New Roman" w:cs="Times New Roman"/>
          <w:sz w:val="24"/>
          <w:szCs w:val="24"/>
        </w:rPr>
        <w:t xml:space="preserve"> and root extracts of </w:t>
      </w:r>
      <w:r>
        <w:rPr>
          <w:rFonts w:ascii="Times New Roman" w:hAnsi="Times New Roman" w:cs="Times New Roman"/>
          <w:i/>
          <w:sz w:val="24"/>
          <w:szCs w:val="24"/>
        </w:rPr>
        <w:t xml:space="preserve">Erythrina </w:t>
      </w:r>
      <w:r w:rsidR="001803DD" w:rsidRPr="00E128C6">
        <w:rPr>
          <w:rFonts w:ascii="Times New Roman" w:hAnsi="Times New Roman" w:cs="Times New Roman"/>
          <w:i/>
          <w:sz w:val="24"/>
          <w:szCs w:val="24"/>
          <w:highlight w:val="yellow"/>
        </w:rPr>
        <w:t>senegalensis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pinnatum</w:t>
      </w:r>
      <w:proofErr w:type="spellEnd"/>
      <w:r>
        <w:rPr>
          <w:rFonts w:ascii="Times New Roman" w:hAnsi="Times New Roman" w:cs="Times New Roman"/>
          <w:sz w:val="24"/>
          <w:szCs w:val="24"/>
        </w:rPr>
        <w:t xml:space="preserve"> was carried out as described by Anjorin </w:t>
      </w:r>
      <w:r>
        <w:rPr>
          <w:rFonts w:ascii="Times New Roman" w:hAnsi="Times New Roman" w:cs="Times New Roman"/>
          <w:i/>
          <w:sz w:val="24"/>
          <w:szCs w:val="24"/>
        </w:rPr>
        <w:t>et al</w:t>
      </w:r>
      <w:r>
        <w:rPr>
          <w:rFonts w:ascii="Times New Roman" w:hAnsi="Times New Roman" w:cs="Times New Roman"/>
          <w:sz w:val="24"/>
          <w:szCs w:val="24"/>
        </w:rPr>
        <w:t xml:space="preserve">. (2010). </w:t>
      </w:r>
      <w:r w:rsidR="00BF3A4F" w:rsidRPr="00E128C6">
        <w:rPr>
          <w:rFonts w:ascii="Times New Roman" w:hAnsi="Times New Roman" w:cs="Times New Roman"/>
          <w:sz w:val="24"/>
          <w:szCs w:val="24"/>
          <w:highlight w:val="yellow"/>
        </w:rPr>
        <w:t>The</w:t>
      </w:r>
      <w:r w:rsidR="00BF3A4F">
        <w:rPr>
          <w:rFonts w:ascii="Times New Roman" w:hAnsi="Times New Roman" w:cs="Times New Roman"/>
          <w:sz w:val="24"/>
          <w:szCs w:val="24"/>
        </w:rPr>
        <w:t xml:space="preserve"> </w:t>
      </w:r>
      <w:r>
        <w:rPr>
          <w:rFonts w:ascii="Times New Roman" w:hAnsi="Times New Roman" w:cs="Times New Roman"/>
          <w:sz w:val="24"/>
          <w:szCs w:val="24"/>
        </w:rPr>
        <w:t>2g sample was weighed into separate beakers and treated with 20cm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acid, allowed to stand for a day. This was digested with an electric hot plate at 70</w:t>
      </w:r>
      <w:r>
        <w:rPr>
          <w:rFonts w:ascii="Times New Roman" w:hAnsi="Times New Roman" w:cs="Times New Roman"/>
          <w:sz w:val="24"/>
          <w:szCs w:val="24"/>
          <w:vertAlign w:val="superscript"/>
        </w:rPr>
        <w:t>o</w:t>
      </w:r>
      <w:r>
        <w:rPr>
          <w:rFonts w:ascii="Times New Roman" w:hAnsi="Times New Roman" w:cs="Times New Roman"/>
          <w:sz w:val="24"/>
          <w:szCs w:val="24"/>
        </w:rPr>
        <w:t>c to 90</w:t>
      </w:r>
      <w:r>
        <w:rPr>
          <w:rFonts w:ascii="Times New Roman" w:hAnsi="Times New Roman" w:cs="Times New Roman"/>
          <w:sz w:val="24"/>
          <w:szCs w:val="24"/>
          <w:vertAlign w:val="superscript"/>
        </w:rPr>
        <w:t>o</w:t>
      </w:r>
      <w:r>
        <w:rPr>
          <w:rFonts w:ascii="Times New Roman" w:hAnsi="Times New Roman" w:cs="Times New Roman"/>
          <w:sz w:val="24"/>
          <w:szCs w:val="24"/>
        </w:rPr>
        <w:t>c for 1 hr. A blank was prepared in the same way by digesting 20cm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concentrated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acid in an empty beaker, </w:t>
      </w:r>
      <w:r w:rsidR="0074246A" w:rsidRPr="00E128C6">
        <w:rPr>
          <w:rFonts w:ascii="Times New Roman" w:hAnsi="Times New Roman" w:cs="Times New Roman"/>
          <w:sz w:val="24"/>
          <w:szCs w:val="24"/>
          <w:highlight w:val="yellow"/>
        </w:rPr>
        <w:t>allowing</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to cool, </w:t>
      </w:r>
      <w:r w:rsidR="0074246A" w:rsidRPr="00E128C6">
        <w:rPr>
          <w:rFonts w:ascii="Times New Roman" w:hAnsi="Times New Roman" w:cs="Times New Roman"/>
          <w:sz w:val="24"/>
          <w:szCs w:val="24"/>
          <w:highlight w:val="yellow"/>
        </w:rPr>
        <w:t>filtering</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with filter paper </w:t>
      </w:r>
      <w:r>
        <w:rPr>
          <w:rFonts w:ascii="Times New Roman" w:hAnsi="Times New Roman" w:cs="Times New Roman"/>
          <w:sz w:val="24"/>
          <w:szCs w:val="24"/>
        </w:rPr>
        <w:lastRenderedPageBreak/>
        <w:t xml:space="preserve">into a volumetric flask and </w:t>
      </w:r>
      <w:r w:rsidR="0074246A" w:rsidRPr="00E128C6">
        <w:rPr>
          <w:rFonts w:ascii="Times New Roman" w:hAnsi="Times New Roman" w:cs="Times New Roman"/>
          <w:sz w:val="24"/>
          <w:szCs w:val="24"/>
          <w:highlight w:val="yellow"/>
        </w:rPr>
        <w:t>making</w:t>
      </w:r>
      <w:r w:rsidR="0074246A">
        <w:rPr>
          <w:rFonts w:ascii="Times New Roman" w:hAnsi="Times New Roman" w:cs="Times New Roman"/>
          <w:sz w:val="24"/>
          <w:szCs w:val="24"/>
        </w:rPr>
        <w:t xml:space="preserve"> </w:t>
      </w:r>
      <w:r>
        <w:rPr>
          <w:rFonts w:ascii="Times New Roman" w:hAnsi="Times New Roman" w:cs="Times New Roman"/>
          <w:sz w:val="24"/>
          <w:szCs w:val="24"/>
        </w:rPr>
        <w:t>up to 100cm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with </w:t>
      </w:r>
      <w:proofErr w:type="spellStart"/>
      <w:r w:rsidR="0074246A" w:rsidRPr="00E128C6">
        <w:rPr>
          <w:rFonts w:ascii="Times New Roman" w:hAnsi="Times New Roman" w:cs="Times New Roman"/>
          <w:sz w:val="24"/>
          <w:szCs w:val="24"/>
          <w:highlight w:val="yellow"/>
        </w:rPr>
        <w:t>deionised</w:t>
      </w:r>
      <w:proofErr w:type="spellEnd"/>
      <w:r w:rsidR="0074246A">
        <w:rPr>
          <w:rFonts w:ascii="Times New Roman" w:hAnsi="Times New Roman" w:cs="Times New Roman"/>
          <w:sz w:val="24"/>
          <w:szCs w:val="24"/>
        </w:rPr>
        <w:t xml:space="preserve"> </w:t>
      </w:r>
      <w:r>
        <w:rPr>
          <w:rFonts w:ascii="Times New Roman" w:hAnsi="Times New Roman" w:cs="Times New Roman"/>
          <w:sz w:val="24"/>
          <w:szCs w:val="24"/>
        </w:rPr>
        <w:t xml:space="preserve">water. The digests </w:t>
      </w:r>
      <w:r w:rsidR="0074246A" w:rsidRPr="00E128C6">
        <w:rPr>
          <w:rFonts w:ascii="Times New Roman" w:hAnsi="Times New Roman" w:cs="Times New Roman"/>
          <w:sz w:val="24"/>
          <w:szCs w:val="24"/>
          <w:highlight w:val="yellow"/>
        </w:rPr>
        <w:t>were</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then used to </w:t>
      </w:r>
      <w:proofErr w:type="spellStart"/>
      <w:r w:rsidR="0074246A" w:rsidRPr="00E128C6">
        <w:rPr>
          <w:rFonts w:ascii="Times New Roman" w:hAnsi="Times New Roman" w:cs="Times New Roman"/>
          <w:sz w:val="24"/>
          <w:szCs w:val="24"/>
          <w:highlight w:val="yellow"/>
        </w:rPr>
        <w:t>analyse</w:t>
      </w:r>
      <w:proofErr w:type="spellEnd"/>
      <w:r w:rsidR="0074246A">
        <w:rPr>
          <w:rFonts w:ascii="Times New Roman" w:hAnsi="Times New Roman" w:cs="Times New Roman"/>
          <w:sz w:val="24"/>
          <w:szCs w:val="24"/>
        </w:rPr>
        <w:t xml:space="preserve"> </w:t>
      </w:r>
      <w:r>
        <w:rPr>
          <w:rFonts w:ascii="Times New Roman" w:hAnsi="Times New Roman" w:cs="Times New Roman"/>
          <w:sz w:val="24"/>
          <w:szCs w:val="24"/>
        </w:rPr>
        <w:t>trace metal content of samples using AAS</w:t>
      </w:r>
      <w:r w:rsidR="0074246A">
        <w:rPr>
          <w:rFonts w:ascii="Times New Roman" w:hAnsi="Times New Roman" w:cs="Times New Roman"/>
          <w:sz w:val="24"/>
          <w:szCs w:val="24"/>
        </w:rPr>
        <w:t xml:space="preserve"> </w:t>
      </w:r>
      <w:r w:rsidR="0074246A" w:rsidRPr="00E128C6">
        <w:rPr>
          <w:rFonts w:ascii="Times New Roman" w:hAnsi="Times New Roman" w:cs="Times New Roman"/>
          <w:sz w:val="24"/>
          <w:szCs w:val="24"/>
          <w:highlight w:val="yellow"/>
        </w:rPr>
        <w:t>A calibration</w:t>
      </w:r>
      <w:r>
        <w:rPr>
          <w:rFonts w:ascii="Times New Roman" w:hAnsi="Times New Roman" w:cs="Times New Roman"/>
          <w:sz w:val="24"/>
          <w:szCs w:val="24"/>
        </w:rPr>
        <w:t xml:space="preserve"> curve was constructed using </w:t>
      </w:r>
      <w:r w:rsidR="0074246A" w:rsidRPr="00E128C6">
        <w:rPr>
          <w:rFonts w:ascii="Times New Roman" w:hAnsi="Times New Roman" w:cs="Times New Roman"/>
          <w:sz w:val="24"/>
          <w:szCs w:val="24"/>
          <w:highlight w:val="yellow"/>
        </w:rPr>
        <w:t>a</w:t>
      </w:r>
      <w:r w:rsidR="0074246A">
        <w:rPr>
          <w:rFonts w:ascii="Times New Roman" w:hAnsi="Times New Roman" w:cs="Times New Roman"/>
          <w:sz w:val="24"/>
          <w:szCs w:val="24"/>
        </w:rPr>
        <w:t xml:space="preserve"> </w:t>
      </w:r>
      <w:r>
        <w:rPr>
          <w:rFonts w:ascii="Times New Roman" w:hAnsi="Times New Roman" w:cs="Times New Roman"/>
          <w:sz w:val="24"/>
          <w:szCs w:val="24"/>
        </w:rPr>
        <w:t>standard stock solution for each element. The unknown sample absorbance was read off on the spectrophotometer</w:t>
      </w:r>
      <w:r w:rsidR="0074246A">
        <w:rPr>
          <w:rFonts w:ascii="Times New Roman" w:hAnsi="Times New Roman" w:cs="Times New Roman"/>
          <w:sz w:val="24"/>
          <w:szCs w:val="24"/>
        </w:rPr>
        <w:t>,</w:t>
      </w:r>
      <w:r>
        <w:rPr>
          <w:rFonts w:ascii="Times New Roman" w:hAnsi="Times New Roman" w:cs="Times New Roman"/>
          <w:sz w:val="24"/>
          <w:szCs w:val="24"/>
        </w:rPr>
        <w:t xml:space="preserve"> and the concentration in PPM was obtained by extrapolating </w:t>
      </w:r>
      <w:r w:rsidR="0074246A" w:rsidRPr="00E128C6">
        <w:rPr>
          <w:rFonts w:ascii="Times New Roman" w:hAnsi="Times New Roman" w:cs="Times New Roman"/>
          <w:sz w:val="24"/>
          <w:szCs w:val="24"/>
          <w:highlight w:val="yellow"/>
        </w:rPr>
        <w:t>from</w:t>
      </w:r>
      <w:r w:rsidR="0074246A">
        <w:rPr>
          <w:rFonts w:ascii="Times New Roman" w:hAnsi="Times New Roman" w:cs="Times New Roman"/>
          <w:sz w:val="24"/>
          <w:szCs w:val="24"/>
        </w:rPr>
        <w:t xml:space="preserve"> </w:t>
      </w:r>
      <w:r>
        <w:rPr>
          <w:rFonts w:ascii="Times New Roman" w:hAnsi="Times New Roman" w:cs="Times New Roman"/>
          <w:sz w:val="24"/>
          <w:szCs w:val="24"/>
        </w:rPr>
        <w:t>the curve.</w:t>
      </w:r>
    </w:p>
    <w:p w14:paraId="2182E802" w14:textId="77777777" w:rsidR="00C75191" w:rsidRDefault="00C75191">
      <w:pPr>
        <w:spacing w:after="0" w:line="480" w:lineRule="auto"/>
        <w:jc w:val="both"/>
        <w:rPr>
          <w:rFonts w:ascii="Times New Roman" w:hAnsi="Times New Roman" w:cs="Times New Roman"/>
          <w:b/>
          <w:sz w:val="24"/>
          <w:szCs w:val="24"/>
        </w:rPr>
      </w:pPr>
    </w:p>
    <w:p w14:paraId="360B5BD6" w14:textId="77777777"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Determination of Element in Sample using AAS</w:t>
      </w:r>
    </w:p>
    <w:p w14:paraId="6CCEE2AD" w14:textId="388B812A"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sensitivity of a GBC Avanta GF300 model AAS equipped with a digital </w:t>
      </w:r>
      <w:r w:rsidR="0074246A" w:rsidRPr="00E128C6">
        <w:rPr>
          <w:rFonts w:ascii="Times New Roman" w:hAnsi="Times New Roman" w:cs="Times New Roman"/>
          <w:sz w:val="24"/>
          <w:szCs w:val="24"/>
          <w:highlight w:val="yellow"/>
        </w:rPr>
        <w:t>readout</w:t>
      </w:r>
      <w:r>
        <w:rPr>
          <w:rFonts w:ascii="Times New Roman" w:hAnsi="Times New Roman" w:cs="Times New Roman"/>
          <w:sz w:val="24"/>
          <w:szCs w:val="24"/>
        </w:rPr>
        <w:t xml:space="preserve"> was </w:t>
      </w:r>
      <w:proofErr w:type="spellStart"/>
      <w:r w:rsidR="0074246A" w:rsidRPr="00E128C6">
        <w:rPr>
          <w:rFonts w:ascii="Times New Roman" w:hAnsi="Times New Roman" w:cs="Times New Roman"/>
          <w:sz w:val="24"/>
          <w:szCs w:val="24"/>
          <w:highlight w:val="yellow"/>
        </w:rPr>
        <w:t>utilised</w:t>
      </w:r>
      <w:proofErr w:type="spellEnd"/>
      <w:r w:rsidR="0074246A">
        <w:rPr>
          <w:rFonts w:ascii="Times New Roman" w:hAnsi="Times New Roman" w:cs="Times New Roman"/>
          <w:sz w:val="24"/>
          <w:szCs w:val="24"/>
        </w:rPr>
        <w:t xml:space="preserve"> </w:t>
      </w:r>
      <w:r>
        <w:rPr>
          <w:rFonts w:ascii="Times New Roman" w:hAnsi="Times New Roman" w:cs="Times New Roman"/>
          <w:sz w:val="24"/>
          <w:szCs w:val="24"/>
        </w:rPr>
        <w:t xml:space="preserve">to measure </w:t>
      </w:r>
      <w:r w:rsidR="00743986" w:rsidRPr="00E128C6">
        <w:rPr>
          <w:rFonts w:ascii="Times New Roman" w:hAnsi="Times New Roman" w:cs="Times New Roman"/>
          <w:sz w:val="24"/>
          <w:szCs w:val="24"/>
          <w:highlight w:val="yellow"/>
        </w:rPr>
        <w:t>the</w:t>
      </w:r>
      <w:r w:rsidR="00743986">
        <w:rPr>
          <w:rFonts w:ascii="Times New Roman" w:hAnsi="Times New Roman" w:cs="Times New Roman"/>
          <w:sz w:val="24"/>
          <w:szCs w:val="24"/>
        </w:rPr>
        <w:t xml:space="preserve"> </w:t>
      </w:r>
      <w:r>
        <w:rPr>
          <w:rFonts w:ascii="Times New Roman" w:hAnsi="Times New Roman" w:cs="Times New Roman"/>
          <w:sz w:val="24"/>
          <w:szCs w:val="24"/>
        </w:rPr>
        <w:t xml:space="preserve">absorbance of the dilute solutions for the determination of metal. The instrument was first calibrated by allowing some warmup time for the machine and adjusting the control knob till the meter read 0% transmittance. </w:t>
      </w:r>
      <w:r w:rsidR="0074246A" w:rsidRPr="00E128C6">
        <w:rPr>
          <w:rFonts w:ascii="Times New Roman" w:hAnsi="Times New Roman" w:cs="Times New Roman"/>
          <w:sz w:val="24"/>
          <w:szCs w:val="24"/>
          <w:highlight w:val="yellow"/>
        </w:rPr>
        <w:t>Acetylene-air</w:t>
      </w:r>
      <w:r>
        <w:rPr>
          <w:rFonts w:ascii="Times New Roman" w:hAnsi="Times New Roman" w:cs="Times New Roman"/>
          <w:sz w:val="24"/>
          <w:szCs w:val="24"/>
        </w:rPr>
        <w:t xml:space="preserve"> was used as fuel. A hollow cathode lamp for each element was employed. Wavelengths for the metals are Ca (422.7nm), Cu (324.7nm), Mg (285.2nm), Cd (228nm), Pb (217nm), Zn (213.9nm). The absorbance reading was measured for each metal following the sensitivity and detection limits using </w:t>
      </w:r>
      <w:r w:rsidR="0074246A" w:rsidRPr="00E128C6">
        <w:rPr>
          <w:rFonts w:ascii="Times New Roman" w:hAnsi="Times New Roman" w:cs="Times New Roman"/>
          <w:sz w:val="24"/>
          <w:szCs w:val="24"/>
          <w:highlight w:val="yellow"/>
        </w:rPr>
        <w:t>the</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standard calibration curve method and recorded in micrograms per gram (Samali </w:t>
      </w:r>
      <w:r>
        <w:rPr>
          <w:rFonts w:ascii="Times New Roman" w:hAnsi="Times New Roman" w:cs="Times New Roman"/>
          <w:i/>
          <w:sz w:val="24"/>
          <w:szCs w:val="24"/>
        </w:rPr>
        <w:t>et al</w:t>
      </w:r>
      <w:r>
        <w:rPr>
          <w:rFonts w:ascii="Times New Roman" w:hAnsi="Times New Roman" w:cs="Times New Roman"/>
          <w:sz w:val="24"/>
          <w:szCs w:val="24"/>
        </w:rPr>
        <w:t>., 2012).</w:t>
      </w:r>
    </w:p>
    <w:p w14:paraId="57DB010E" w14:textId="5AE70D56"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 and K Determination using</w:t>
      </w:r>
      <w:r w:rsidR="006C7061">
        <w:rPr>
          <w:rFonts w:ascii="Times New Roman" w:hAnsi="Times New Roman" w:cs="Times New Roman"/>
          <w:b/>
          <w:sz w:val="24"/>
          <w:szCs w:val="24"/>
        </w:rPr>
        <w:t xml:space="preserve"> </w:t>
      </w:r>
      <w:r w:rsidR="006C7061" w:rsidRPr="00E128C6">
        <w:rPr>
          <w:rFonts w:ascii="Times New Roman" w:hAnsi="Times New Roman" w:cs="Times New Roman"/>
          <w:b/>
          <w:sz w:val="24"/>
          <w:szCs w:val="24"/>
          <w:highlight w:val="yellow"/>
        </w:rPr>
        <w:t xml:space="preserve">Flame Emission Spectroscopy </w:t>
      </w:r>
      <w:r w:rsidR="00743986" w:rsidRPr="00E128C6">
        <w:rPr>
          <w:rFonts w:ascii="Times New Roman" w:hAnsi="Times New Roman" w:cs="Times New Roman"/>
          <w:b/>
          <w:sz w:val="24"/>
          <w:szCs w:val="24"/>
          <w:highlight w:val="yellow"/>
        </w:rPr>
        <w:t>(</w:t>
      </w:r>
      <w:r w:rsidRPr="00E128C6">
        <w:rPr>
          <w:rFonts w:ascii="Times New Roman" w:hAnsi="Times New Roman" w:cs="Times New Roman"/>
          <w:b/>
          <w:sz w:val="24"/>
          <w:szCs w:val="24"/>
          <w:highlight w:val="yellow"/>
        </w:rPr>
        <w:t>FES</w:t>
      </w:r>
      <w:r w:rsidR="00743986" w:rsidRPr="00E128C6">
        <w:rPr>
          <w:rFonts w:ascii="Times New Roman" w:hAnsi="Times New Roman" w:cs="Times New Roman"/>
          <w:b/>
          <w:sz w:val="24"/>
          <w:szCs w:val="24"/>
          <w:highlight w:val="yellow"/>
        </w:rPr>
        <w:t>)</w:t>
      </w:r>
    </w:p>
    <w:p w14:paraId="12B677B4" w14:textId="6CAAB31A"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(1g) gram of the MLSRE was mixed with 10mL of distilled water</w:t>
      </w:r>
      <w:r w:rsidR="0074246A">
        <w:rPr>
          <w:rFonts w:ascii="Times New Roman" w:hAnsi="Times New Roman" w:cs="Times New Roman"/>
          <w:sz w:val="24"/>
          <w:szCs w:val="24"/>
        </w:rPr>
        <w:t xml:space="preserve">; </w:t>
      </w:r>
      <w:r>
        <w:rPr>
          <w:rFonts w:ascii="Times New Roman" w:hAnsi="Times New Roman" w:cs="Times New Roman"/>
          <w:sz w:val="24"/>
          <w:szCs w:val="24"/>
        </w:rPr>
        <w:t>thereafter</w:t>
      </w:r>
      <w:r w:rsidR="0074246A">
        <w:rPr>
          <w:rFonts w:ascii="Times New Roman" w:hAnsi="Times New Roman" w:cs="Times New Roman"/>
          <w:sz w:val="24"/>
          <w:szCs w:val="24"/>
        </w:rPr>
        <w:t>,</w:t>
      </w:r>
      <w:r>
        <w:rPr>
          <w:rFonts w:ascii="Times New Roman" w:hAnsi="Times New Roman" w:cs="Times New Roman"/>
          <w:sz w:val="24"/>
          <w:szCs w:val="24"/>
        </w:rPr>
        <w:t xml:space="preserve"> it was heated at 25ºC for 10 minutes, and </w:t>
      </w:r>
      <w:r w:rsidR="0074246A" w:rsidRPr="00E128C6">
        <w:rPr>
          <w:rFonts w:ascii="Times New Roman" w:hAnsi="Times New Roman" w:cs="Times New Roman"/>
          <w:sz w:val="24"/>
          <w:szCs w:val="24"/>
          <w:highlight w:val="yellow"/>
        </w:rPr>
        <w:t>its</w:t>
      </w:r>
      <w:r w:rsidR="0074246A" w:rsidRPr="00580ED7">
        <w:rPr>
          <w:rFonts w:ascii="Times New Roman" w:hAnsi="Times New Roman" w:cs="Times New Roman"/>
          <w:sz w:val="24"/>
          <w:szCs w:val="24"/>
        </w:rPr>
        <w:t xml:space="preserve"> </w:t>
      </w:r>
      <w:r>
        <w:rPr>
          <w:rFonts w:ascii="Times New Roman" w:hAnsi="Times New Roman" w:cs="Times New Roman"/>
          <w:sz w:val="24"/>
          <w:szCs w:val="24"/>
        </w:rPr>
        <w:t xml:space="preserve">wavelength </w:t>
      </w:r>
      <w:r w:rsidR="0074246A" w:rsidRPr="00E128C6">
        <w:rPr>
          <w:rFonts w:ascii="Times New Roman" w:hAnsi="Times New Roman" w:cs="Times New Roman"/>
          <w:sz w:val="24"/>
          <w:szCs w:val="24"/>
          <w:highlight w:val="yellow"/>
        </w:rPr>
        <w:t>was</w:t>
      </w:r>
      <w:r w:rsidR="0074246A">
        <w:rPr>
          <w:rFonts w:ascii="Times New Roman" w:hAnsi="Times New Roman" w:cs="Times New Roman"/>
          <w:sz w:val="24"/>
          <w:szCs w:val="24"/>
        </w:rPr>
        <w:t xml:space="preserve"> </w:t>
      </w:r>
      <w:r>
        <w:rPr>
          <w:rFonts w:ascii="Times New Roman" w:hAnsi="Times New Roman" w:cs="Times New Roman"/>
          <w:sz w:val="24"/>
          <w:szCs w:val="24"/>
        </w:rPr>
        <w:t>detected using a spectrophotometer.</w:t>
      </w:r>
      <w:bookmarkStart w:id="1" w:name="_Hlk26267022"/>
      <w:bookmarkStart w:id="2" w:name="_Hlk33009621"/>
    </w:p>
    <w:p w14:paraId="7D1AE085" w14:textId="77777777" w:rsidR="00C75191" w:rsidRDefault="00000000">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Statistical Analysis</w:t>
      </w:r>
      <w:bookmarkEnd w:id="1"/>
    </w:p>
    <w:p w14:paraId="0B244DFF" w14:textId="6BA5CC93" w:rsidR="00C75191" w:rsidRDefault="00000000">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Pr>
          <w:rFonts w:ascii="Times New Roman" w:hAnsi="Times New Roman" w:cs="Times New Roman"/>
          <w:sz w:val="24"/>
          <w:szCs w:val="24"/>
        </w:rPr>
        <w:t>numerical data obtained from the study</w:t>
      </w:r>
      <w:r>
        <w:rPr>
          <w:rFonts w:ascii="Times New Roman" w:eastAsia="Times New Roman" w:hAnsi="Times New Roman" w:cs="Times New Roman"/>
          <w:sz w:val="24"/>
          <w:szCs w:val="24"/>
        </w:rPr>
        <w:t xml:space="preserve"> were expressed as the Mean ± Standard error of the mean (SEM). Statistical analysis was done using the </w:t>
      </w:r>
      <w:proofErr w:type="spellStart"/>
      <w:r>
        <w:rPr>
          <w:rFonts w:ascii="Times New Roman" w:eastAsia="Times New Roman" w:hAnsi="Times New Roman" w:cs="Times New Roman"/>
          <w:sz w:val="24"/>
          <w:szCs w:val="24"/>
        </w:rPr>
        <w:t>Graphpad</w:t>
      </w:r>
      <w:proofErr w:type="spellEnd"/>
      <w:r>
        <w:rPr>
          <w:rFonts w:ascii="Times New Roman" w:eastAsia="Times New Roman" w:hAnsi="Times New Roman" w:cs="Times New Roman"/>
          <w:sz w:val="24"/>
          <w:szCs w:val="24"/>
        </w:rPr>
        <w:t xml:space="preserve"> Prism Statistical Package for Version 7.0 (Prism, Incorporation Chicago Illinois, USA). Differences between and within-group Means were </w:t>
      </w:r>
      <w:proofErr w:type="spellStart"/>
      <w:r w:rsidR="0074246A" w:rsidRPr="00E128C6">
        <w:rPr>
          <w:rFonts w:ascii="Times New Roman" w:eastAsia="Times New Roman" w:hAnsi="Times New Roman" w:cs="Times New Roman"/>
          <w:sz w:val="24"/>
          <w:szCs w:val="24"/>
          <w:highlight w:val="yellow"/>
        </w:rPr>
        <w:t>analysed</w:t>
      </w:r>
      <w:proofErr w:type="spellEnd"/>
      <w:r w:rsidR="00742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analysis of variance (ANOVA) followed by </w:t>
      </w:r>
      <w:r w:rsidR="0074246A" w:rsidRPr="00E128C6">
        <w:rPr>
          <w:rFonts w:ascii="Times New Roman" w:eastAsia="Times New Roman" w:hAnsi="Times New Roman" w:cs="Times New Roman"/>
          <w:sz w:val="24"/>
          <w:szCs w:val="24"/>
          <w:highlight w:val="yellow"/>
        </w:rPr>
        <w:t>a</w:t>
      </w:r>
      <w:r w:rsidR="00742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Bonferroni Post-hoc test to compare replicate means by row. Statistical difference between group means was considered significant at (p &lt; 0.05)</w:t>
      </w:r>
      <w:bookmarkStart w:id="3" w:name="idm6019088"/>
      <w:bookmarkStart w:id="4" w:name="references"/>
      <w:bookmarkStart w:id="5" w:name="Sec0"/>
      <w:bookmarkStart w:id="6" w:name="Sec1"/>
      <w:bookmarkStart w:id="7" w:name="Sec4"/>
      <w:bookmarkStart w:id="8" w:name="Sec5"/>
      <w:bookmarkStart w:id="9" w:name="Sec6"/>
      <w:bookmarkStart w:id="10" w:name="Sec7"/>
      <w:bookmarkStart w:id="11" w:name="B25"/>
      <w:bookmarkStart w:id="12" w:name="B26"/>
      <w:bookmarkStart w:id="13" w:name="B27"/>
      <w:bookmarkStart w:id="14" w:name="B28"/>
      <w:bookmarkStart w:id="15" w:name="B29"/>
      <w:bookmarkStart w:id="16" w:name="B30"/>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Times New Roman" w:eastAsia="Times New Roman" w:hAnsi="Times New Roman" w:cs="Times New Roman"/>
          <w:sz w:val="24"/>
          <w:szCs w:val="24"/>
        </w:rPr>
        <w:t>.</w:t>
      </w:r>
      <w:bookmarkEnd w:id="2"/>
    </w:p>
    <w:p w14:paraId="0AD0F6E6" w14:textId="196BF463" w:rsidR="00C75191" w:rsidRDefault="0000000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RESULTS AND </w:t>
      </w:r>
      <w:r w:rsidR="0074246A" w:rsidRPr="00E128C6">
        <w:rPr>
          <w:rFonts w:ascii="Times New Roman" w:hAnsi="Times New Roman" w:cs="Times New Roman"/>
          <w:b/>
          <w:sz w:val="24"/>
          <w:szCs w:val="24"/>
          <w:highlight w:val="yellow"/>
        </w:rPr>
        <w:t>DISCUSSION</w:t>
      </w:r>
    </w:p>
    <w:p w14:paraId="0D9C7F12" w14:textId="10D9B900"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elemental composition of mineral elements Ca, K, Mg, Mn, Na, and heavy metals Cd, Cr and Pb of the methanolic leaves, stem bark and roots of </w:t>
      </w:r>
      <w:proofErr w:type="spellStart"/>
      <w:r>
        <w:rPr>
          <w:rFonts w:ascii="Times New Roman" w:hAnsi="Times New Roman" w:cs="Times New Roman"/>
          <w:i/>
          <w:sz w:val="24"/>
          <w:szCs w:val="24"/>
        </w:rPr>
        <w:t>Bryophyllum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pinnatum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Cochlospermum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 xml:space="preserve">Erythrina </w:t>
      </w:r>
      <w:r w:rsidR="0074246A" w:rsidRPr="00E128C6">
        <w:rPr>
          <w:rFonts w:ascii="Times New Roman" w:hAnsi="Times New Roman" w:cs="Times New Roman"/>
          <w:i/>
          <w:sz w:val="24"/>
          <w:szCs w:val="24"/>
          <w:highlight w:val="yellow"/>
        </w:rPr>
        <w:t>senegalensis</w:t>
      </w:r>
      <w:r w:rsidR="0074246A">
        <w:rPr>
          <w:rFonts w:ascii="Times New Roman" w:hAnsi="Times New Roman" w:cs="Times New Roman"/>
          <w:sz w:val="24"/>
          <w:szCs w:val="24"/>
        </w:rPr>
        <w:t xml:space="preserve"> </w:t>
      </w:r>
      <w:r w:rsidR="0074246A" w:rsidRPr="00E128C6">
        <w:rPr>
          <w:rFonts w:ascii="Times New Roman" w:hAnsi="Times New Roman" w:cs="Times New Roman"/>
          <w:sz w:val="24"/>
          <w:szCs w:val="24"/>
          <w:highlight w:val="yellow"/>
        </w:rPr>
        <w:t>is</w:t>
      </w:r>
      <w:r w:rsidR="0074246A">
        <w:rPr>
          <w:rFonts w:ascii="Times New Roman" w:hAnsi="Times New Roman" w:cs="Times New Roman"/>
          <w:sz w:val="24"/>
          <w:szCs w:val="24"/>
        </w:rPr>
        <w:t xml:space="preserve"> </w:t>
      </w:r>
      <w:r>
        <w:rPr>
          <w:rFonts w:ascii="Times New Roman" w:hAnsi="Times New Roman" w:cs="Times New Roman"/>
          <w:sz w:val="24"/>
          <w:szCs w:val="24"/>
        </w:rPr>
        <w:t>presented in Table 1.</w:t>
      </w:r>
    </w:p>
    <w:p w14:paraId="47C37AC7" w14:textId="77777777" w:rsidR="00C75191" w:rsidRDefault="00C75191">
      <w:pPr>
        <w:spacing w:after="0" w:line="480" w:lineRule="auto"/>
        <w:jc w:val="both"/>
        <w:rPr>
          <w:rFonts w:ascii="Times New Roman" w:hAnsi="Times New Roman" w:cs="Times New Roman"/>
          <w:b/>
          <w:sz w:val="24"/>
          <w:szCs w:val="24"/>
        </w:rPr>
      </w:pPr>
    </w:p>
    <w:p w14:paraId="314A08B3" w14:textId="6242D091"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Distributions of Heavy Metals and Mineral Elements in the Methanolic </w:t>
      </w:r>
      <w:r w:rsidR="0074246A" w:rsidRPr="00E128C6">
        <w:rPr>
          <w:rFonts w:ascii="Times New Roman" w:hAnsi="Times New Roman" w:cs="Times New Roman"/>
          <w:b/>
          <w:sz w:val="24"/>
          <w:szCs w:val="24"/>
          <w:highlight w:val="yellow"/>
        </w:rPr>
        <w:t>Leaf</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74246A" w:rsidRPr="00E128C6">
        <w:rPr>
          <w:rFonts w:ascii="Times New Roman" w:hAnsi="Times New Roman" w:cs="Times New Roman"/>
          <w:b/>
          <w:sz w:val="24"/>
          <w:szCs w:val="24"/>
          <w:highlight w:val="yellow"/>
        </w:rPr>
        <w:t>Stem Extracts</w:t>
      </w:r>
      <w:r>
        <w:rPr>
          <w:rFonts w:ascii="Times New Roman" w:hAnsi="Times New Roman" w:cs="Times New Roman"/>
          <w:b/>
          <w:sz w:val="24"/>
          <w:szCs w:val="24"/>
        </w:rPr>
        <w:t xml:space="preserve">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tentorium, and Erythrina senegalensis.</w:t>
      </w:r>
    </w:p>
    <w:p w14:paraId="003C7DCB" w14:textId="49B6D083"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 depicts the distribution of heavy metals in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It shows that the leaf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had the highest concentration of chromium (0.15mg/kg), while the leaf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had the lowest concentration of lead (0.07mg/kg). The concentration of chromium in the stem bark was 0.10mg/kg, and the concentration of lead was 0.07mg/kg. The concentration of lead in the roots was 0.15mg/kg, whereas the quantity of cadmium was 0.09mg/kg. The leaf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has the highest concentrations of cadmium and chromium (0.05mg/kg), while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the lowest levels of lead (0.04mg/kg). the concentration of in the stem bark was 0.42mg/kg, while that of chromium was 0.05mg/kg. The root has the highest concentration of chromium </w:t>
      </w:r>
      <w:r>
        <w:rPr>
          <w:rFonts w:ascii="Times New Roman" w:hAnsi="Times New Roman" w:cs="Times New Roman"/>
          <w:sz w:val="24"/>
          <w:szCs w:val="24"/>
        </w:rPr>
        <w:lastRenderedPageBreak/>
        <w:t xml:space="preserve">(0.15mg/kg) and the lowest concentration of lead (0.07mg/kg). The distribution of heavy metals in the different parts of </w:t>
      </w:r>
      <w:r>
        <w:rPr>
          <w:rFonts w:ascii="Times New Roman" w:hAnsi="Times New Roman" w:cs="Times New Roman"/>
          <w:i/>
          <w:sz w:val="24"/>
          <w:szCs w:val="24"/>
        </w:rPr>
        <w:t>Erythrina senegalensis</w:t>
      </w:r>
      <w:r>
        <w:rPr>
          <w:rFonts w:ascii="Times New Roman" w:hAnsi="Times New Roman" w:cs="Times New Roman"/>
          <w:sz w:val="24"/>
          <w:szCs w:val="24"/>
        </w:rPr>
        <w:t xml:space="preserve"> </w:t>
      </w:r>
      <w:r w:rsidR="0074246A" w:rsidRPr="00E128C6">
        <w:rPr>
          <w:rFonts w:ascii="Times New Roman" w:hAnsi="Times New Roman" w:cs="Times New Roman"/>
          <w:sz w:val="24"/>
          <w:szCs w:val="24"/>
          <w:highlight w:val="yellow"/>
        </w:rPr>
        <w:t>is</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shown in Figure. 3 indicates that the highest and lowest </w:t>
      </w:r>
      <w:r w:rsidR="0074246A" w:rsidRPr="00E128C6">
        <w:rPr>
          <w:rFonts w:ascii="Times New Roman" w:hAnsi="Times New Roman" w:cs="Times New Roman"/>
          <w:sz w:val="24"/>
          <w:szCs w:val="24"/>
          <w:highlight w:val="yellow"/>
        </w:rPr>
        <w:t>concentrations</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in the leaf </w:t>
      </w:r>
      <w:r w:rsidR="0074246A" w:rsidRPr="00E128C6">
        <w:rPr>
          <w:rFonts w:ascii="Times New Roman" w:hAnsi="Times New Roman" w:cs="Times New Roman"/>
          <w:sz w:val="24"/>
          <w:szCs w:val="24"/>
          <w:highlight w:val="yellow"/>
        </w:rPr>
        <w:t>were</w:t>
      </w:r>
      <w:r w:rsidR="0074246A">
        <w:rPr>
          <w:rFonts w:ascii="Times New Roman" w:hAnsi="Times New Roman" w:cs="Times New Roman"/>
          <w:sz w:val="24"/>
          <w:szCs w:val="24"/>
        </w:rPr>
        <w:t xml:space="preserve"> </w:t>
      </w:r>
      <w:r>
        <w:rPr>
          <w:rFonts w:ascii="Times New Roman" w:hAnsi="Times New Roman" w:cs="Times New Roman"/>
          <w:sz w:val="24"/>
          <w:szCs w:val="24"/>
        </w:rPr>
        <w:t>Cd (0.19mg/kg) and Pb (0.11mg/kg)</w:t>
      </w:r>
      <w:r w:rsidR="0074246A">
        <w:rPr>
          <w:rFonts w:ascii="Times New Roman" w:hAnsi="Times New Roman" w:cs="Times New Roman"/>
          <w:sz w:val="24"/>
          <w:szCs w:val="24"/>
        </w:rPr>
        <w:t>,</w:t>
      </w:r>
      <w:r>
        <w:rPr>
          <w:rFonts w:ascii="Times New Roman" w:hAnsi="Times New Roman" w:cs="Times New Roman"/>
          <w:sz w:val="24"/>
          <w:szCs w:val="24"/>
        </w:rPr>
        <w:t xml:space="preserve"> respectively. In the bark, Pb had a concentration of 0.11mg/kg</w:t>
      </w:r>
      <w:r w:rsidR="0074246A">
        <w:rPr>
          <w:rFonts w:ascii="Times New Roman" w:hAnsi="Times New Roman" w:cs="Times New Roman"/>
          <w:sz w:val="24"/>
          <w:szCs w:val="24"/>
        </w:rPr>
        <w:t>,</w:t>
      </w:r>
      <w:r>
        <w:rPr>
          <w:rFonts w:ascii="Times New Roman" w:hAnsi="Times New Roman" w:cs="Times New Roman"/>
          <w:sz w:val="24"/>
          <w:szCs w:val="24"/>
        </w:rPr>
        <w:t xml:space="preserve"> whereas the concentration of chromium was 0.05mg/kg. for the roots, the concentration of Pb was 0.11mg/kg while that of Cd was 0.09mg/kg.  </w:t>
      </w:r>
    </w:p>
    <w:p w14:paraId="2BB28227" w14:textId="44CC7FBD" w:rsidR="00C75191" w:rsidRDefault="00000000">
      <w:pPr>
        <w:spacing w:line="480" w:lineRule="auto"/>
        <w:jc w:val="both"/>
        <w:rPr>
          <w:rFonts w:ascii="Times New Roman" w:hAnsi="Times New Roman" w:cs="Times New Roman"/>
          <w:b/>
          <w:sz w:val="20"/>
          <w:szCs w:val="20"/>
        </w:rPr>
      </w:pPr>
      <w:r>
        <w:rPr>
          <w:rFonts w:ascii="Times New Roman" w:hAnsi="Times New Roman" w:cs="Times New Roman"/>
          <w:noProof/>
          <w:sz w:val="20"/>
          <w:szCs w:val="20"/>
        </w:rPr>
        <mc:AlternateContent>
          <mc:Choice Requires="wpg">
            <w:drawing>
              <wp:anchor distT="0" distB="4294967294" distL="114300" distR="114300" simplePos="0" relativeHeight="251660288" behindDoc="0" locked="0" layoutInCell="1" allowOverlap="1" wp14:anchorId="5C8E56C8" wp14:editId="5BA41D3B">
                <wp:simplePos x="0" y="0"/>
                <wp:positionH relativeFrom="margin">
                  <wp:align>right</wp:align>
                </wp:positionH>
                <wp:positionV relativeFrom="paragraph">
                  <wp:posOffset>551179</wp:posOffset>
                </wp:positionV>
                <wp:extent cx="8260715" cy="0"/>
                <wp:effectExtent l="0" t="0" r="26034" b="19050"/>
                <wp:wrapNone/>
                <wp:docPr id="7" name="Straight Connector 1122831464"/>
                <wp:cNvGraphicFramePr/>
                <a:graphic xmlns:a="http://schemas.openxmlformats.org/drawingml/2006/main">
                  <a:graphicData uri="http://schemas.microsoft.com/office/word/2010/wordprocessingShape">
                    <wps:wsp>
                      <wps:cNvCnPr/>
                      <wps:spPr bwMode="auto">
                        <a:xfrm flipV="1">
                          <a:off x="0" y="0"/>
                          <a:ext cx="8260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6" o:spid="_x0000_s6" style="position:absolute;left:0;text-align:left;z-index:251660288;mso-wrap-distance-left:9.00pt;mso-wrap-distance-top:0.00pt;mso-wrap-distance-right:9.00pt;mso-wrap-distance-bottom:-169093.20pt;flip:y;visibility:visible;" from="0.0pt,43.4pt" to="650.4pt,43.4pt" filled="f" strokecolor="#000000" strokeweight="0.50pt">
                <v:stroke dashstyle="solid"/>
              </v:line>
            </w:pict>
          </mc:Fallback>
        </mc:AlternateContent>
      </w:r>
      <w:r>
        <w:rPr>
          <w:rFonts w:ascii="Times New Roman" w:hAnsi="Times New Roman" w:cs="Times New Roman"/>
          <w:b/>
          <w:sz w:val="20"/>
          <w:szCs w:val="20"/>
        </w:rPr>
        <w:t xml:space="preserve">Table 1: Concentration of Elements (mg/kg) in the Methanolic </w:t>
      </w:r>
      <w:r w:rsidR="0074246A" w:rsidRPr="00E128C6">
        <w:rPr>
          <w:rFonts w:ascii="Times New Roman" w:hAnsi="Times New Roman" w:cs="Times New Roman"/>
          <w:b/>
          <w:sz w:val="20"/>
          <w:szCs w:val="20"/>
          <w:highlight w:val="yellow"/>
        </w:rPr>
        <w:t>leaves</w:t>
      </w:r>
      <w:r>
        <w:rPr>
          <w:rFonts w:ascii="Times New Roman" w:hAnsi="Times New Roman" w:cs="Times New Roman"/>
          <w:b/>
          <w:sz w:val="20"/>
          <w:szCs w:val="20"/>
        </w:rPr>
        <w:t xml:space="preserve">, </w:t>
      </w:r>
      <w:r w:rsidR="0074246A" w:rsidRPr="00E128C6">
        <w:rPr>
          <w:rFonts w:ascii="Times New Roman" w:hAnsi="Times New Roman" w:cs="Times New Roman"/>
          <w:b/>
          <w:sz w:val="20"/>
          <w:szCs w:val="20"/>
          <w:highlight w:val="yellow"/>
        </w:rPr>
        <w:t>roots</w:t>
      </w:r>
      <w:r w:rsidR="0074246A">
        <w:rPr>
          <w:rFonts w:ascii="Times New Roman" w:hAnsi="Times New Roman" w:cs="Times New Roman"/>
          <w:b/>
          <w:sz w:val="20"/>
          <w:szCs w:val="20"/>
        </w:rPr>
        <w:t xml:space="preserve"> </w:t>
      </w:r>
      <w:r>
        <w:rPr>
          <w:rFonts w:ascii="Times New Roman" w:hAnsi="Times New Roman" w:cs="Times New Roman"/>
          <w:b/>
          <w:sz w:val="20"/>
          <w:szCs w:val="20"/>
        </w:rPr>
        <w:t xml:space="preserve">and </w:t>
      </w:r>
      <w:r w:rsidR="0074246A" w:rsidRPr="00E128C6">
        <w:rPr>
          <w:rFonts w:ascii="Times New Roman" w:hAnsi="Times New Roman" w:cs="Times New Roman"/>
          <w:b/>
          <w:sz w:val="20"/>
          <w:szCs w:val="20"/>
          <w:highlight w:val="yellow"/>
        </w:rPr>
        <w:t>stems</w:t>
      </w:r>
      <w:r w:rsidR="0074246A">
        <w:rPr>
          <w:rFonts w:ascii="Times New Roman" w:hAnsi="Times New Roman" w:cs="Times New Roman"/>
          <w:b/>
          <w:sz w:val="20"/>
          <w:szCs w:val="20"/>
        </w:rPr>
        <w:t xml:space="preserve"> </w:t>
      </w:r>
      <w:r>
        <w:rPr>
          <w:rFonts w:ascii="Times New Roman" w:hAnsi="Times New Roman" w:cs="Times New Roman"/>
          <w:b/>
          <w:sz w:val="20"/>
          <w:szCs w:val="20"/>
        </w:rPr>
        <w:t xml:space="preserve">extracts of </w:t>
      </w:r>
      <w:proofErr w:type="spellStart"/>
      <w:r>
        <w:rPr>
          <w:rFonts w:ascii="Times New Roman" w:hAnsi="Times New Roman" w:cs="Times New Roman"/>
          <w:b/>
          <w:bCs/>
          <w:i/>
          <w:sz w:val="20"/>
          <w:szCs w:val="20"/>
        </w:rPr>
        <w:t>Bryophyllumpinnatum</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Cochlospermumtintorium</w:t>
      </w:r>
      <w:proofErr w:type="spellEnd"/>
      <w:r>
        <w:rPr>
          <w:rFonts w:ascii="Times New Roman" w:hAnsi="Times New Roman" w:cs="Times New Roman"/>
          <w:b/>
          <w:bCs/>
          <w:i/>
          <w:sz w:val="20"/>
          <w:szCs w:val="20"/>
        </w:rPr>
        <w:t xml:space="preserve"> and Erythrina senegalensis</w:t>
      </w:r>
    </w:p>
    <w:p w14:paraId="7A37EEDA" w14:textId="77777777" w:rsidR="00C75191" w:rsidRDefault="00000000">
      <w:pPr>
        <w:spacing w:line="480" w:lineRule="auto"/>
        <w:rPr>
          <w:rFonts w:ascii="Times New Roman" w:hAnsi="Times New Roman" w:cs="Times New Roman"/>
          <w:i/>
          <w:sz w:val="20"/>
          <w:szCs w:val="20"/>
        </w:rPr>
      </w:pPr>
      <w:r>
        <w:rPr>
          <w:rFonts w:ascii="Times New Roman" w:hAnsi="Times New Roman" w:cs="Times New Roman"/>
          <w:sz w:val="20"/>
          <w:szCs w:val="20"/>
        </w:rPr>
        <w:t xml:space="preserve">  Elements                    </w:t>
      </w:r>
      <w:r>
        <w:rPr>
          <w:rFonts w:ascii="Times New Roman" w:hAnsi="Times New Roman" w:cs="Times New Roman"/>
          <w:i/>
          <w:sz w:val="20"/>
          <w:szCs w:val="20"/>
        </w:rPr>
        <w:t xml:space="preserve">C. </w:t>
      </w:r>
      <w:proofErr w:type="spellStart"/>
      <w:r>
        <w:rPr>
          <w:rFonts w:ascii="Times New Roman" w:hAnsi="Times New Roman" w:cs="Times New Roman"/>
          <w:i/>
          <w:sz w:val="20"/>
          <w:szCs w:val="20"/>
        </w:rPr>
        <w:t>tintorium</w:t>
      </w:r>
      <w:proofErr w:type="spellEnd"/>
      <w:r>
        <w:rPr>
          <w:rFonts w:ascii="Times New Roman" w:hAnsi="Times New Roman" w:cs="Times New Roman"/>
          <w:i/>
          <w:sz w:val="20"/>
          <w:szCs w:val="20"/>
        </w:rPr>
        <w:t xml:space="preserve">                                                 B. </w:t>
      </w:r>
      <w:proofErr w:type="spellStart"/>
      <w:r>
        <w:rPr>
          <w:rFonts w:ascii="Times New Roman" w:hAnsi="Times New Roman" w:cs="Times New Roman"/>
          <w:i/>
          <w:sz w:val="20"/>
          <w:szCs w:val="20"/>
        </w:rPr>
        <w:t>pinnatum</w:t>
      </w:r>
      <w:proofErr w:type="spellEnd"/>
      <w:r>
        <w:rPr>
          <w:rFonts w:ascii="Times New Roman" w:hAnsi="Times New Roman" w:cs="Times New Roman"/>
          <w:i/>
          <w:sz w:val="20"/>
          <w:szCs w:val="20"/>
        </w:rPr>
        <w:t xml:space="preserve">                                                     E. senegalensis</w:t>
      </w:r>
    </w:p>
    <w:p w14:paraId="4ED323DF"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g">
            <w:drawing>
              <wp:anchor distT="0" distB="4294967294" distL="114300" distR="114300" simplePos="0" relativeHeight="251659264" behindDoc="0" locked="0" layoutInCell="1" allowOverlap="1" wp14:anchorId="420253D3" wp14:editId="6E569500">
                <wp:simplePos x="0" y="0"/>
                <wp:positionH relativeFrom="column">
                  <wp:posOffset>3810</wp:posOffset>
                </wp:positionH>
                <wp:positionV relativeFrom="paragraph">
                  <wp:posOffset>258444</wp:posOffset>
                </wp:positionV>
                <wp:extent cx="8218805" cy="0"/>
                <wp:effectExtent l="0" t="0" r="10795" b="19050"/>
                <wp:wrapNone/>
                <wp:docPr id="8" name="Straight Connector 15526996"/>
                <wp:cNvGraphicFramePr/>
                <a:graphic xmlns:a="http://schemas.openxmlformats.org/drawingml/2006/main">
                  <a:graphicData uri="http://schemas.microsoft.com/office/word/2010/wordprocessingShape">
                    <wps:wsp>
                      <wps:cNvCnPr/>
                      <wps:spPr bwMode="auto">
                        <a:xfrm>
                          <a:off x="0" y="0"/>
                          <a:ext cx="8218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7" o:spid="_x0000_s7" style="position:absolute;left:0;text-align:left;z-index:251659264;mso-wrap-distance-left:9.00pt;mso-wrap-distance-top:0.00pt;mso-wrap-distance-right:9.00pt;mso-wrap-distance-bottom:-169093.20pt;visibility:visible;" from="0.3pt,20.3pt" to="647.4pt,20.3pt" filled="f" strokecolor="#000000" strokeweight="0.50pt">
                <v:stroke dashstyle="solid"/>
              </v:line>
            </w:pict>
          </mc:Fallback>
        </mc:AlternateContent>
      </w:r>
      <w:r>
        <w:rPr>
          <w:rFonts w:ascii="Times New Roman" w:hAnsi="Times New Roman" w:cs="Times New Roman"/>
          <w:sz w:val="20"/>
          <w:szCs w:val="20"/>
        </w:rPr>
        <w:tab/>
        <w:t xml:space="preserve">          Leaf               Stem              Root                Leaf                Stem                  Root                 Leaf                   Stem                  Root                     </w:t>
      </w:r>
    </w:p>
    <w:p w14:paraId="1513F376"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Cd             0.14±0.009    0.09±0.003     0.09±0.003     0.05±0.006      0.42±0.007       0.14±0.009       0.19±0.005        0.09±0.003      0.09±0.003</w:t>
      </w:r>
    </w:p>
    <w:p w14:paraId="396FBA5A"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Cr              0.15±0.007    0.10±0.008     0.05±0.009    0.05±0.009       0.05±0.009       0.15±0.007       0.15±0.007        0.05±0.009      0.10±0.008</w:t>
      </w:r>
    </w:p>
    <w:p w14:paraId="0E4CE949"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Pb              0.07±0.002    0.07±0.002     0.15±0.005     0.04±0.001      0.07±0.002        0.07±0.002       0.11±0.009        0.11±0.005      0.11±0.005</w:t>
      </w:r>
    </w:p>
    <w:p w14:paraId="379E6026"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Ca            83.33±0.003   63.33±0.</w:t>
      </w:r>
      <w:proofErr w:type="gramStart"/>
      <w:r>
        <w:rPr>
          <w:rFonts w:ascii="Times New Roman" w:hAnsi="Times New Roman" w:cs="Times New Roman"/>
          <w:sz w:val="20"/>
          <w:szCs w:val="20"/>
        </w:rPr>
        <w:t>003  110</w:t>
      </w:r>
      <w:proofErr w:type="gramEnd"/>
      <w:r>
        <w:rPr>
          <w:rFonts w:ascii="Times New Roman" w:hAnsi="Times New Roman" w:cs="Times New Roman"/>
          <w:sz w:val="20"/>
          <w:szCs w:val="20"/>
        </w:rPr>
        <w:t>.00±0.</w:t>
      </w:r>
      <w:proofErr w:type="gramStart"/>
      <w:r>
        <w:rPr>
          <w:rFonts w:ascii="Times New Roman" w:hAnsi="Times New Roman" w:cs="Times New Roman"/>
          <w:sz w:val="20"/>
          <w:szCs w:val="20"/>
        </w:rPr>
        <w:t>000  66</w:t>
      </w:r>
      <w:proofErr w:type="gramEnd"/>
      <w:r>
        <w:rPr>
          <w:rFonts w:ascii="Times New Roman" w:hAnsi="Times New Roman" w:cs="Times New Roman"/>
          <w:sz w:val="20"/>
          <w:szCs w:val="20"/>
        </w:rPr>
        <w:t>.67±0.007    60.00±0.000      50.00±0.000       96.67±0.007     56.67±0.007   76.67±0.007</w:t>
      </w:r>
    </w:p>
    <w:p w14:paraId="51DB6859"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K           139.70±0.007   181.21±0.</w:t>
      </w:r>
      <w:proofErr w:type="gramStart"/>
      <w:r>
        <w:rPr>
          <w:rFonts w:ascii="Times New Roman" w:hAnsi="Times New Roman" w:cs="Times New Roman"/>
          <w:sz w:val="20"/>
          <w:szCs w:val="20"/>
        </w:rPr>
        <w:t>002  187</w:t>
      </w:r>
      <w:proofErr w:type="gramEnd"/>
      <w:r>
        <w:rPr>
          <w:rFonts w:ascii="Times New Roman" w:hAnsi="Times New Roman" w:cs="Times New Roman"/>
          <w:sz w:val="20"/>
          <w:szCs w:val="20"/>
        </w:rPr>
        <w:t>.98±17.</w:t>
      </w:r>
      <w:proofErr w:type="gramStart"/>
      <w:r>
        <w:rPr>
          <w:rFonts w:ascii="Times New Roman" w:hAnsi="Times New Roman" w:cs="Times New Roman"/>
          <w:sz w:val="20"/>
          <w:szCs w:val="20"/>
        </w:rPr>
        <w:t>146  168</w:t>
      </w:r>
      <w:proofErr w:type="gramEnd"/>
      <w:r>
        <w:rPr>
          <w:rFonts w:ascii="Times New Roman" w:hAnsi="Times New Roman" w:cs="Times New Roman"/>
          <w:sz w:val="20"/>
          <w:szCs w:val="20"/>
        </w:rPr>
        <w:t>.18±0.</w:t>
      </w:r>
      <w:proofErr w:type="gramStart"/>
      <w:r>
        <w:rPr>
          <w:rFonts w:ascii="Times New Roman" w:hAnsi="Times New Roman" w:cs="Times New Roman"/>
          <w:sz w:val="20"/>
          <w:szCs w:val="20"/>
        </w:rPr>
        <w:t>002  165</w:t>
      </w:r>
      <w:proofErr w:type="gramEnd"/>
      <w:r>
        <w:rPr>
          <w:rFonts w:ascii="Times New Roman" w:hAnsi="Times New Roman" w:cs="Times New Roman"/>
          <w:sz w:val="20"/>
          <w:szCs w:val="20"/>
        </w:rPr>
        <w:t>.46±0.</w:t>
      </w:r>
      <w:proofErr w:type="gramStart"/>
      <w:r>
        <w:rPr>
          <w:rFonts w:ascii="Times New Roman" w:hAnsi="Times New Roman" w:cs="Times New Roman"/>
          <w:sz w:val="20"/>
          <w:szCs w:val="20"/>
        </w:rPr>
        <w:t>005  133</w:t>
      </w:r>
      <w:proofErr w:type="gramEnd"/>
      <w:r>
        <w:rPr>
          <w:rFonts w:ascii="Times New Roman" w:hAnsi="Times New Roman" w:cs="Times New Roman"/>
          <w:sz w:val="20"/>
          <w:szCs w:val="20"/>
        </w:rPr>
        <w:t>.94±0.009    182.73±0.006   35.45±0.005    195.4±0.005</w:t>
      </w:r>
    </w:p>
    <w:p w14:paraId="693EF04D"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Mg           26.67±0.007   41.48±0.001    42.59±0.003      37.78±0.008   15.93±0.006     33.33±0.003      41.85±0.002     33.33±0.003     5.56±0.006</w:t>
      </w:r>
    </w:p>
    <w:p w14:paraId="2E95AF3D"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sz w:val="20"/>
          <w:szCs w:val="20"/>
        </w:rPr>
        <w:t>Mn             0.30±0.003      0.06±0.001      0.24±0.002      0.24±0.002      0.36±0.004      0.30±0.003         0.24±0.002        0.18±0.002      0.18±0.002</w:t>
      </w:r>
    </w:p>
    <w:p w14:paraId="24A0CE02" w14:textId="77777777" w:rsidR="00C75191" w:rsidRDefault="00000000">
      <w:pPr>
        <w:spacing w:line="480" w:lineRule="auto"/>
        <w:jc w:val="both"/>
        <w:rPr>
          <w:rFonts w:ascii="Times New Roman" w:hAnsi="Times New Roman" w:cs="Times New Roman"/>
          <w:sz w:val="20"/>
          <w:szCs w:val="20"/>
        </w:rPr>
        <w:sectPr w:rsidR="00C75191">
          <w:headerReference w:type="even" r:id="rId6"/>
          <w:headerReference w:type="default" r:id="rId7"/>
          <w:footerReference w:type="even" r:id="rId8"/>
          <w:footerReference w:type="default" r:id="rId9"/>
          <w:headerReference w:type="first" r:id="rId10"/>
          <w:footerReference w:type="first" r:id="rId11"/>
          <w:pgSz w:w="15840" w:h="12240" w:orient="landscape"/>
          <w:pgMar w:top="1701" w:right="1440" w:bottom="1440" w:left="1440" w:header="720" w:footer="720" w:gutter="0"/>
          <w:pgNumType w:start="57"/>
          <w:cols w:space="720"/>
        </w:sectPr>
      </w:pPr>
      <w:r>
        <w:rPr>
          <w:rFonts w:ascii="Times New Roman" w:hAnsi="Times New Roman" w:cs="Times New Roman"/>
          <w:noProof/>
          <w:sz w:val="20"/>
          <w:szCs w:val="20"/>
        </w:rPr>
        <w:lastRenderedPageBreak/>
        <mc:AlternateContent>
          <mc:Choice Requires="wpg">
            <w:drawing>
              <wp:anchor distT="0" distB="4294967294" distL="114300" distR="114300" simplePos="0" relativeHeight="251661312" behindDoc="0" locked="0" layoutInCell="1" allowOverlap="1" wp14:anchorId="0A9F088E" wp14:editId="1217E443">
                <wp:simplePos x="0" y="0"/>
                <wp:positionH relativeFrom="column">
                  <wp:posOffset>-10160</wp:posOffset>
                </wp:positionH>
                <wp:positionV relativeFrom="paragraph">
                  <wp:posOffset>202564</wp:posOffset>
                </wp:positionV>
                <wp:extent cx="8390255" cy="0"/>
                <wp:effectExtent l="0" t="0" r="10795" b="19050"/>
                <wp:wrapNone/>
                <wp:docPr id="9" name="Straight Connector 248768840"/>
                <wp:cNvGraphicFramePr/>
                <a:graphic xmlns:a="http://schemas.openxmlformats.org/drawingml/2006/main">
                  <a:graphicData uri="http://schemas.microsoft.com/office/word/2010/wordprocessingShape">
                    <wps:wsp>
                      <wps:cNvCnPr/>
                      <wps:spPr bwMode="auto">
                        <a:xfrm>
                          <a:off x="0" y="0"/>
                          <a:ext cx="8390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8" o:spid="_x0000_s8" style="position:absolute;left:0;text-align:left;z-index:251661312;mso-wrap-distance-left:9.00pt;mso-wrap-distance-top:0.00pt;mso-wrap-distance-right:9.00pt;mso-wrap-distance-bottom:-169093.20pt;visibility:visible;" from="-0.8pt,15.9pt" to="659.9pt,15.9pt" filled="f" strokecolor="#000000" strokeweight="0.50pt">
                <v:stroke dashstyle="solid"/>
              </v:line>
            </w:pict>
          </mc:Fallback>
        </mc:AlternateContent>
      </w:r>
      <w:r>
        <w:rPr>
          <w:rFonts w:ascii="Times New Roman" w:hAnsi="Times New Roman" w:cs="Times New Roman"/>
          <w:sz w:val="20"/>
          <w:szCs w:val="20"/>
        </w:rPr>
        <w:t>Na               16.67±0.007   11.11±0.001   11.11±0.001     15.87±0.003    13.49±0.002      12.70±0.008       9.52±0.004      12.70±0.</w:t>
      </w:r>
      <w:proofErr w:type="gramStart"/>
      <w:r>
        <w:rPr>
          <w:rFonts w:ascii="Times New Roman" w:hAnsi="Times New Roman" w:cs="Times New Roman"/>
          <w:sz w:val="20"/>
          <w:szCs w:val="20"/>
        </w:rPr>
        <w:t>008  12</w:t>
      </w:r>
      <w:proofErr w:type="gramEnd"/>
      <w:r>
        <w:rPr>
          <w:rFonts w:ascii="Times New Roman" w:hAnsi="Times New Roman" w:cs="Times New Roman"/>
          <w:sz w:val="20"/>
          <w:szCs w:val="20"/>
        </w:rPr>
        <w:t>.70±0.008</w:t>
      </w:r>
    </w:p>
    <w:p w14:paraId="480BED81" w14:textId="77777777" w:rsidR="00C75191" w:rsidRDefault="00000000">
      <w:pPr>
        <w:spacing w:line="480" w:lineRule="auto"/>
        <w:jc w:val="both"/>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399CAC6A" wp14:editId="4A8F42B0">
                <wp:simplePos x="0" y="0"/>
                <wp:positionH relativeFrom="column">
                  <wp:posOffset>-1069340</wp:posOffset>
                </wp:positionH>
                <wp:positionV relativeFrom="paragraph">
                  <wp:posOffset>1409700</wp:posOffset>
                </wp:positionV>
                <wp:extent cx="1814830" cy="266700"/>
                <wp:effectExtent l="1905"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14830" cy="266700"/>
                        </a:xfrm>
                        <a:prstGeom prst="rect">
                          <a:avLst/>
                        </a:prstGeom>
                        <a:noFill/>
                        <a:ln>
                          <a:noFill/>
                        </a:ln>
                      </wps:spPr>
                      <wps:txbx>
                        <w:txbxContent>
                          <w:p w14:paraId="0312BEFD" w14:textId="77777777" w:rsidR="00C75191" w:rsidRDefault="00000000">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9CAC6A" id="_x0000_t202" coordsize="21600,21600" o:spt="202" path="m,l,21600r21600,l21600,xe">
                <v:stroke joinstyle="miter"/>
                <v:path gradientshapeok="t" o:connecttype="rect"/>
              </v:shapetype>
              <v:shape id="Text Box 15" o:spid="_x0000_s1026" type="#_x0000_t202" style="position:absolute;left:0;text-align:left;margin-left:-84.2pt;margin-top:111pt;width:142.9pt;height:2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" filled="f" stroked="f">
                <v:textbox style="layout-flow:vertical">
                  <w:txbxContent>
                    <w:p w14:paraId="0312BEFD" w14:textId="77777777" w:rsidR="00C75191" w:rsidRDefault="00000000">
                      <w:r>
                        <w:t>Concentration (mg/kg)</w:t>
                      </w:r>
                    </w:p>
                  </w:txbxContent>
                </v:textbox>
              </v:shape>
            </w:pict>
          </mc:Fallback>
        </mc:AlternateContent>
      </w:r>
      <w:r>
        <w:rPr>
          <w:rFonts w:ascii="Times New Roman" w:hAnsi="Times New Roman" w:cs="Times New Roman"/>
          <w:noProof/>
          <w:sz w:val="20"/>
          <w:szCs w:val="20"/>
        </w:rPr>
        <w:drawing>
          <wp:inline distT="0" distB="0" distL="0" distR="0" wp14:anchorId="74FE2E27" wp14:editId="563D94AA">
            <wp:extent cx="5486400" cy="3200400"/>
            <wp:effectExtent l="0" t="0" r="0" b="0"/>
            <wp:docPr id="11" name="Chart 10134280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359B00" w14:textId="5725F9B2"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Distribution of Cd, Cr and Pb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stem extracts of </w:t>
      </w:r>
      <w:r>
        <w:rPr>
          <w:rFonts w:ascii="Times New Roman" w:hAnsi="Times New Roman" w:cs="Times New Roman"/>
          <w:b/>
          <w:i/>
          <w:sz w:val="24"/>
          <w:szCs w:val="24"/>
        </w:rPr>
        <w:t xml:space="preserve">C. </w:t>
      </w:r>
      <w:proofErr w:type="spellStart"/>
      <w:r>
        <w:rPr>
          <w:rFonts w:ascii="Times New Roman" w:hAnsi="Times New Roman" w:cs="Times New Roman"/>
          <w:b/>
          <w:i/>
          <w:sz w:val="24"/>
          <w:szCs w:val="24"/>
        </w:rPr>
        <w:t>tintorium</w:t>
      </w:r>
      <w:proofErr w:type="spellEnd"/>
    </w:p>
    <w:p w14:paraId="0087ED21" w14:textId="77777777" w:rsidR="00C75191" w:rsidRDefault="00C75191">
      <w:pPr>
        <w:spacing w:line="480" w:lineRule="auto"/>
        <w:jc w:val="both"/>
        <w:rPr>
          <w:rFonts w:ascii="Times New Roman" w:hAnsi="Times New Roman" w:cs="Times New Roman"/>
          <w:b/>
          <w:sz w:val="24"/>
          <w:szCs w:val="24"/>
        </w:rPr>
      </w:pPr>
    </w:p>
    <w:p w14:paraId="79A0AFD8"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37D1966" wp14:editId="41441726">
                <wp:simplePos x="0" y="0"/>
                <wp:positionH relativeFrom="column">
                  <wp:posOffset>-1069340</wp:posOffset>
                </wp:positionH>
                <wp:positionV relativeFrom="paragraph">
                  <wp:posOffset>1464310</wp:posOffset>
                </wp:positionV>
                <wp:extent cx="1814830" cy="266700"/>
                <wp:effectExtent l="1905" t="2540" r="0" b="190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14830" cy="266700"/>
                        </a:xfrm>
                        <a:prstGeom prst="rect">
                          <a:avLst/>
                        </a:prstGeom>
                        <a:noFill/>
                        <a:ln>
                          <a:noFill/>
                        </a:ln>
                      </wps:spPr>
                      <wps:txbx>
                        <w:txbxContent>
                          <w:p w14:paraId="578C8F9C" w14:textId="77777777" w:rsidR="00C75191" w:rsidRDefault="00000000">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37D1966" id="Text Box 21" o:spid="_x0000_s1027" type="#_x0000_t202" style="position:absolute;left:0;text-align:left;margin-left:-84.2pt;margin-top:115.3pt;width:142.9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" filled="f" stroked="f">
                <v:textbox style="layout-flow:vertical">
                  <w:txbxContent>
                    <w:p w14:paraId="578C8F9C" w14:textId="77777777" w:rsidR="00C75191" w:rsidRDefault="00000000">
                      <w:r>
                        <w:t>Concentration (mg/kg)</w:t>
                      </w:r>
                    </w:p>
                  </w:txbxContent>
                </v:textbox>
              </v:shape>
            </w:pict>
          </mc:Fallback>
        </mc:AlternateContent>
      </w:r>
      <w:r>
        <w:rPr>
          <w:rFonts w:ascii="Times New Roman" w:hAnsi="Times New Roman" w:cs="Times New Roman"/>
          <w:noProof/>
          <w:sz w:val="24"/>
          <w:szCs w:val="24"/>
        </w:rPr>
        <w:drawing>
          <wp:inline distT="0" distB="0" distL="0" distR="0" wp14:anchorId="6C38F660" wp14:editId="6050BE74">
            <wp:extent cx="5645150" cy="3200400"/>
            <wp:effectExtent l="0" t="0" r="0" b="0"/>
            <wp:docPr id="13" name="Chart 10668515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6E46B0" w14:textId="667ADBC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sz w:val="24"/>
          <w:szCs w:val="24"/>
        </w:rPr>
        <w:t xml:space="preserve">Figure 2: Distribution of Cd, Cr and Pb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74246A" w:rsidRPr="00E128C6">
        <w:rPr>
          <w:rFonts w:ascii="Times New Roman" w:hAnsi="Times New Roman" w:cs="Times New Roman"/>
          <w:b/>
          <w:sz w:val="24"/>
          <w:szCs w:val="24"/>
          <w:highlight w:val="yellow"/>
        </w:rPr>
        <w:t>stems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r>
        <w:rPr>
          <w:rFonts w:ascii="Times New Roman" w:hAnsi="Times New Roman" w:cs="Times New Roman"/>
          <w:b/>
          <w:i/>
          <w:sz w:val="24"/>
          <w:szCs w:val="24"/>
        </w:rPr>
        <w:t xml:space="preserve">B. </w:t>
      </w:r>
      <w:proofErr w:type="spellStart"/>
      <w:r>
        <w:rPr>
          <w:rFonts w:ascii="Times New Roman" w:hAnsi="Times New Roman" w:cs="Times New Roman"/>
          <w:b/>
          <w:i/>
          <w:sz w:val="24"/>
          <w:szCs w:val="24"/>
        </w:rPr>
        <w:t>pinnatum</w:t>
      </w:r>
      <w:proofErr w:type="spellEnd"/>
    </w:p>
    <w:p w14:paraId="0F9AA0D0"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14A75278" wp14:editId="72136F67">
                <wp:simplePos x="0" y="0"/>
                <wp:positionH relativeFrom="leftMargin">
                  <wp:posOffset>-314325</wp:posOffset>
                </wp:positionH>
                <wp:positionV relativeFrom="paragraph">
                  <wp:posOffset>1245235</wp:posOffset>
                </wp:positionV>
                <wp:extent cx="1494790" cy="266700"/>
                <wp:effectExtent l="13970" t="13970" r="5080" b="15240"/>
                <wp:wrapNone/>
                <wp:docPr id="14" name="Text Box 13"/>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6191D7A1" w14:textId="77777777" w:rsidR="00C75191" w:rsidRDefault="00000000">
                            <w:r>
                              <w:t>Concentration (mg/kg)</w:t>
                            </w:r>
                          </w:p>
                          <w:p w14:paraId="330A1BD9"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4A75278" id="Text Box 13" o:spid="_x0000_s1028" type="#_x0000_t202" style="position:absolute;left:0;text-align:left;margin-left:-24.75pt;margin-top:98.05pt;width:117.7pt;height:21pt;rotation:-90;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vPHA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" fillcolor="white [3212]" strokecolor="white [3212]" strokeweight=".5pt">
                <v:textbox style="layout-flow:vertical">
                  <w:txbxContent>
                    <w:p w14:paraId="6191D7A1" w14:textId="77777777" w:rsidR="00C75191" w:rsidRDefault="00000000">
                      <w:r>
                        <w:t>Concentration (mg/kg)</w:t>
                      </w:r>
                    </w:p>
                    <w:p w14:paraId="330A1BD9"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6EA5A9E4" wp14:editId="64738A2F">
            <wp:extent cx="5886450" cy="3200400"/>
            <wp:effectExtent l="0" t="0" r="0" b="0"/>
            <wp:docPr id="15" name="Chart 772918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DB1DF0" w14:textId="0B4687AB" w:rsidR="00C75191"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3: Distribution of Cd, Cr and Pb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74246A" w:rsidRPr="00E128C6">
        <w:rPr>
          <w:rFonts w:ascii="Times New Roman" w:hAnsi="Times New Roman" w:cs="Times New Roman"/>
          <w:b/>
          <w:sz w:val="24"/>
          <w:szCs w:val="24"/>
          <w:highlight w:val="yellow"/>
        </w:rPr>
        <w:t>stems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r>
        <w:rPr>
          <w:rFonts w:ascii="Times New Roman" w:hAnsi="Times New Roman" w:cs="Times New Roman"/>
          <w:b/>
          <w:i/>
          <w:sz w:val="24"/>
          <w:szCs w:val="24"/>
        </w:rPr>
        <w:t>E. senegalensis</w:t>
      </w:r>
    </w:p>
    <w:p w14:paraId="62184C50" w14:textId="77777777" w:rsidR="00C75191" w:rsidRDefault="00C75191">
      <w:pPr>
        <w:spacing w:after="0" w:line="480" w:lineRule="auto"/>
        <w:jc w:val="both"/>
        <w:rPr>
          <w:rFonts w:ascii="Times New Roman" w:hAnsi="Times New Roman" w:cs="Times New Roman"/>
          <w:sz w:val="24"/>
          <w:szCs w:val="24"/>
        </w:rPr>
      </w:pPr>
    </w:p>
    <w:p w14:paraId="593487E1" w14:textId="69AFCA58" w:rsidR="00C75191" w:rsidRDefault="00000000">
      <w:pPr>
        <w:spacing w:after="0" w:line="480" w:lineRule="auto"/>
        <w:jc w:val="both"/>
        <w:rPr>
          <w:rFonts w:ascii="Times New Roman" w:hAnsi="Times New Roman" w:cs="Times New Roman"/>
          <w:iCs/>
          <w:sz w:val="24"/>
          <w:szCs w:val="24"/>
        </w:rPr>
      </w:pPr>
      <w:r>
        <w:rPr>
          <w:rFonts w:ascii="Times New Roman" w:hAnsi="Times New Roman" w:cs="Times New Roman"/>
          <w:b/>
          <w:iCs/>
          <w:sz w:val="24"/>
          <w:szCs w:val="24"/>
        </w:rPr>
        <w:t xml:space="preserve">Distribution of Mineral </w:t>
      </w:r>
      <w:r w:rsidR="0074246A" w:rsidRPr="00E128C6">
        <w:rPr>
          <w:rFonts w:ascii="Times New Roman" w:hAnsi="Times New Roman" w:cs="Times New Roman"/>
          <w:b/>
          <w:iCs/>
          <w:sz w:val="24"/>
          <w:szCs w:val="24"/>
          <w:highlight w:val="yellow"/>
        </w:rPr>
        <w:t>Elements in</w:t>
      </w:r>
      <w:r w:rsidR="0074246A">
        <w:rPr>
          <w:rFonts w:ascii="Times New Roman" w:hAnsi="Times New Roman" w:cs="Times New Roman"/>
          <w:b/>
          <w:iCs/>
          <w:sz w:val="24"/>
          <w:szCs w:val="24"/>
        </w:rPr>
        <w:t xml:space="preserve"> </w:t>
      </w:r>
      <w:r>
        <w:rPr>
          <w:rFonts w:ascii="Times New Roman" w:hAnsi="Times New Roman" w:cs="Times New Roman"/>
          <w:b/>
          <w:iCs/>
          <w:sz w:val="24"/>
          <w:szCs w:val="24"/>
        </w:rPr>
        <w:t xml:space="preserve">the </w:t>
      </w:r>
      <w:r>
        <w:rPr>
          <w:rFonts w:ascii="Times New Roman" w:hAnsi="Times New Roman" w:cs="Times New Roman"/>
          <w:b/>
          <w:sz w:val="24"/>
          <w:szCs w:val="24"/>
        </w:rPr>
        <w:t xml:space="preserve">Methanolic leave, </w:t>
      </w:r>
      <w:r w:rsidR="0074246A" w:rsidRPr="00E128C6">
        <w:rPr>
          <w:rFonts w:ascii="Times New Roman" w:hAnsi="Times New Roman" w:cs="Times New Roman"/>
          <w:b/>
          <w:sz w:val="24"/>
          <w:szCs w:val="24"/>
          <w:highlight w:val="yellow"/>
        </w:rPr>
        <w:t>Root</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74246A" w:rsidRPr="00E128C6">
        <w:rPr>
          <w:rFonts w:ascii="Times New Roman" w:hAnsi="Times New Roman" w:cs="Times New Roman"/>
          <w:b/>
          <w:sz w:val="24"/>
          <w:szCs w:val="24"/>
          <w:highlight w:val="yellow"/>
        </w:rPr>
        <w:t>Stem Extracts</w:t>
      </w:r>
      <w:r>
        <w:rPr>
          <w:rFonts w:ascii="Times New Roman" w:hAnsi="Times New Roman" w:cs="Times New Roman"/>
          <w:b/>
          <w:sz w:val="24"/>
          <w:szCs w:val="24"/>
        </w:rPr>
        <w:t xml:space="preserve">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4F4DB561" w14:textId="17F270D5" w:rsidR="00C75191"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of mineral elements in the leaf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as shown in Figure. 4, shows that potassium has the highest concentration of 139.70mg/kg and manganese </w:t>
      </w:r>
      <w:proofErr w:type="gramStart"/>
      <w:r w:rsidR="0074246A" w:rsidRPr="00E128C6">
        <w:rPr>
          <w:rFonts w:ascii="Times New Roman" w:hAnsi="Times New Roman" w:cs="Times New Roman"/>
          <w:sz w:val="24"/>
          <w:szCs w:val="24"/>
          <w:highlight w:val="yellow"/>
        </w:rPr>
        <w:t>has</w:t>
      </w:r>
      <w:proofErr w:type="gramEnd"/>
      <w:r w:rsidR="0074246A">
        <w:rPr>
          <w:rFonts w:ascii="Times New Roman" w:hAnsi="Times New Roman" w:cs="Times New Roman"/>
          <w:sz w:val="24"/>
          <w:szCs w:val="24"/>
        </w:rPr>
        <w:t xml:space="preserve"> </w:t>
      </w:r>
      <w:r>
        <w:rPr>
          <w:rFonts w:ascii="Times New Roman" w:hAnsi="Times New Roman" w:cs="Times New Roman"/>
          <w:sz w:val="24"/>
          <w:szCs w:val="24"/>
        </w:rPr>
        <w:t>the lowest concentration of 0.30mg/kg. Stem bark contains the highest potassium concentration (181.21mg/kg) and the lowest manganese value of 0.06mg/kg. The root has a high potassium concentration of 187.98mg/kg and a low manganese value of 0.24mg/kg.</w:t>
      </w:r>
    </w:p>
    <w:p w14:paraId="733420A1" w14:textId="7FAC7F23" w:rsidR="00C75191"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distribution of mineral elements in </w:t>
      </w:r>
      <w:proofErr w:type="spellStart"/>
      <w:r>
        <w:rPr>
          <w:rFonts w:ascii="Times New Roman" w:hAnsi="Times New Roman" w:cs="Times New Roman"/>
          <w:bCs/>
          <w:i/>
          <w:iCs/>
          <w:sz w:val="24"/>
          <w:szCs w:val="24"/>
        </w:rPr>
        <w:t>Bryophyllum</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pinnatum</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is shown in </w:t>
      </w:r>
      <w:r w:rsidR="0074246A" w:rsidRPr="00E128C6">
        <w:rPr>
          <w:rFonts w:ascii="Times New Roman" w:hAnsi="Times New Roman" w:cs="Times New Roman"/>
          <w:bCs/>
          <w:sz w:val="24"/>
          <w:szCs w:val="24"/>
          <w:highlight w:val="yellow"/>
        </w:rPr>
        <w:t>the</w:t>
      </w:r>
      <w:r w:rsidR="0074246A">
        <w:rPr>
          <w:rFonts w:ascii="Times New Roman" w:hAnsi="Times New Roman" w:cs="Times New Roman"/>
          <w:bCs/>
          <w:sz w:val="24"/>
          <w:szCs w:val="24"/>
        </w:rPr>
        <w:t xml:space="preserve"> </w:t>
      </w:r>
      <w:r>
        <w:rPr>
          <w:rFonts w:ascii="Times New Roman" w:hAnsi="Times New Roman" w:cs="Times New Roman"/>
          <w:bCs/>
          <w:sz w:val="24"/>
          <w:szCs w:val="24"/>
        </w:rPr>
        <w:t>Figure. 5, with the leaf having the highest concentration of 168.18mg/kg potassium and the lowest concentration of 0.24mg/kg manganese. The stem bark has a potassium concentration of 165.46mg/kg and a manganese concentration of 0.34mg/kg. The root also has a potassium concentration of 133.94mg/kg and the lowest manganese value (0.30mg/kg).</w:t>
      </w:r>
    </w:p>
    <w:p w14:paraId="31D4AAE3" w14:textId="4ADF4D35"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mineral element distribution in the leaf of</w:t>
      </w:r>
      <w:r>
        <w:rPr>
          <w:rFonts w:ascii="Times New Roman" w:hAnsi="Times New Roman" w:cs="Times New Roman"/>
          <w:i/>
          <w:iCs/>
          <w:sz w:val="24"/>
          <w:szCs w:val="24"/>
        </w:rPr>
        <w:t xml:space="preserve"> Erythrina senegalensis</w:t>
      </w:r>
      <w:r>
        <w:rPr>
          <w:rFonts w:ascii="Times New Roman" w:hAnsi="Times New Roman" w:cs="Times New Roman"/>
          <w:sz w:val="24"/>
          <w:szCs w:val="24"/>
        </w:rPr>
        <w:t xml:space="preserve"> (Figure 6) shows that the concentration of 182.73mg/kg potassium was the highest and that of 0.24mg/kg manganese was the lowest. The stem bark had a mean concentration of 56.67mg/kg for calcium</w:t>
      </w:r>
      <w:r w:rsidR="0074246A">
        <w:rPr>
          <w:rFonts w:ascii="Times New Roman" w:hAnsi="Times New Roman" w:cs="Times New Roman"/>
          <w:sz w:val="24"/>
          <w:szCs w:val="24"/>
        </w:rPr>
        <w:t>,</w:t>
      </w:r>
      <w:r>
        <w:rPr>
          <w:rFonts w:ascii="Times New Roman" w:hAnsi="Times New Roman" w:cs="Times New Roman"/>
          <w:sz w:val="24"/>
          <w:szCs w:val="24"/>
        </w:rPr>
        <w:t xml:space="preserve"> while </w:t>
      </w:r>
      <w:r w:rsidR="0074246A" w:rsidRPr="00E128C6">
        <w:rPr>
          <w:rFonts w:ascii="Times New Roman" w:hAnsi="Times New Roman" w:cs="Times New Roman"/>
          <w:sz w:val="24"/>
          <w:szCs w:val="24"/>
          <w:highlight w:val="yellow"/>
        </w:rPr>
        <w:t>the</w:t>
      </w:r>
      <w:r w:rsidR="0074246A">
        <w:rPr>
          <w:rFonts w:ascii="Times New Roman" w:hAnsi="Times New Roman" w:cs="Times New Roman"/>
          <w:sz w:val="24"/>
          <w:szCs w:val="24"/>
        </w:rPr>
        <w:t xml:space="preserve"> </w:t>
      </w:r>
      <w:r>
        <w:rPr>
          <w:rFonts w:ascii="Times New Roman" w:hAnsi="Times New Roman" w:cs="Times New Roman"/>
          <w:sz w:val="24"/>
          <w:szCs w:val="24"/>
        </w:rPr>
        <w:t>manganese concentration</w:t>
      </w:r>
      <w:r w:rsidR="0074246A">
        <w:rPr>
          <w:rFonts w:ascii="Times New Roman" w:hAnsi="Times New Roman" w:cs="Times New Roman"/>
          <w:sz w:val="24"/>
          <w:szCs w:val="24"/>
        </w:rPr>
        <w:t>,</w:t>
      </w:r>
      <w:r>
        <w:rPr>
          <w:rFonts w:ascii="Times New Roman" w:hAnsi="Times New Roman" w:cs="Times New Roman"/>
          <w:sz w:val="24"/>
          <w:szCs w:val="24"/>
        </w:rPr>
        <w:t xml:space="preserve"> which was the least</w:t>
      </w:r>
      <w:r w:rsidR="0074246A">
        <w:rPr>
          <w:rFonts w:ascii="Times New Roman" w:hAnsi="Times New Roman" w:cs="Times New Roman"/>
          <w:sz w:val="24"/>
          <w:szCs w:val="24"/>
        </w:rPr>
        <w:t>,</w:t>
      </w:r>
      <w:r>
        <w:rPr>
          <w:rFonts w:ascii="Times New Roman" w:hAnsi="Times New Roman" w:cs="Times New Roman"/>
          <w:sz w:val="24"/>
          <w:szCs w:val="24"/>
        </w:rPr>
        <w:t xml:space="preserve"> was 0.18mg/kg. The concentration of potassium in the roots </w:t>
      </w:r>
      <w:r w:rsidR="0074246A" w:rsidRPr="00E128C6">
        <w:rPr>
          <w:rFonts w:ascii="Times New Roman" w:hAnsi="Times New Roman" w:cs="Times New Roman"/>
          <w:sz w:val="24"/>
          <w:szCs w:val="24"/>
          <w:highlight w:val="yellow"/>
        </w:rPr>
        <w:t>was 195.46</w:t>
      </w:r>
      <w:r w:rsidR="0074246A">
        <w:rPr>
          <w:rFonts w:ascii="Times New Roman" w:hAnsi="Times New Roman" w:cs="Times New Roman"/>
          <w:sz w:val="24"/>
          <w:szCs w:val="24"/>
        </w:rPr>
        <w:t xml:space="preserve"> </w:t>
      </w:r>
      <w:r>
        <w:rPr>
          <w:rFonts w:ascii="Times New Roman" w:hAnsi="Times New Roman" w:cs="Times New Roman"/>
          <w:sz w:val="24"/>
          <w:szCs w:val="24"/>
        </w:rPr>
        <w:t>mg/kg</w:t>
      </w:r>
      <w:r w:rsidR="0074246A">
        <w:rPr>
          <w:rFonts w:ascii="Times New Roman" w:hAnsi="Times New Roman" w:cs="Times New Roman"/>
          <w:sz w:val="24"/>
          <w:szCs w:val="24"/>
        </w:rPr>
        <w:t>,</w:t>
      </w:r>
      <w:r>
        <w:rPr>
          <w:rFonts w:ascii="Times New Roman" w:hAnsi="Times New Roman" w:cs="Times New Roman"/>
          <w:sz w:val="24"/>
          <w:szCs w:val="24"/>
        </w:rPr>
        <w:t xml:space="preserve"> and that of manganese</w:t>
      </w:r>
      <w:r w:rsidR="0074246A">
        <w:rPr>
          <w:rFonts w:ascii="Times New Roman" w:hAnsi="Times New Roman" w:cs="Times New Roman"/>
          <w:sz w:val="24"/>
          <w:szCs w:val="24"/>
        </w:rPr>
        <w:t>,</w:t>
      </w:r>
      <w:r>
        <w:rPr>
          <w:rFonts w:ascii="Times New Roman" w:hAnsi="Times New Roman" w:cs="Times New Roman"/>
          <w:sz w:val="24"/>
          <w:szCs w:val="24"/>
        </w:rPr>
        <w:t xml:space="preserve"> which was the least manganese was 0.18mg/kg.</w:t>
      </w:r>
    </w:p>
    <w:p w14:paraId="46AC9D9B" w14:textId="77777777" w:rsidR="00C75191" w:rsidRDefault="00C75191">
      <w:pPr>
        <w:spacing w:after="0" w:line="480" w:lineRule="auto"/>
        <w:jc w:val="both"/>
        <w:rPr>
          <w:rFonts w:ascii="Times New Roman" w:hAnsi="Times New Roman" w:cs="Times New Roman"/>
          <w:b/>
          <w:i/>
          <w:sz w:val="24"/>
          <w:szCs w:val="24"/>
        </w:rPr>
      </w:pPr>
    </w:p>
    <w:p w14:paraId="672726A9"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891EBE" wp14:editId="0A6D278F">
                <wp:simplePos x="0" y="0"/>
                <wp:positionH relativeFrom="leftMargin">
                  <wp:posOffset>-309245</wp:posOffset>
                </wp:positionH>
                <wp:positionV relativeFrom="paragraph">
                  <wp:posOffset>1429385</wp:posOffset>
                </wp:positionV>
                <wp:extent cx="1494790" cy="266700"/>
                <wp:effectExtent l="19050" t="8890" r="9525" b="10795"/>
                <wp:wrapNone/>
                <wp:docPr id="16" name="Text Box 12"/>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59E44718" w14:textId="77777777" w:rsidR="00C75191" w:rsidRDefault="00000000">
                            <w:r>
                              <w:t>Concentration (mg/kg)</w:t>
                            </w:r>
                          </w:p>
                          <w:p w14:paraId="25883C96"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F891EBE" id="Text Box 12" o:spid="_x0000_s1029" type="#_x0000_t202" style="position:absolute;left:0;text-align:left;margin-left:-24.35pt;margin-top:112.55pt;width:117.7pt;height:21pt;rotation:-9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" fillcolor="white [3212]" strokecolor="white [3212]" strokeweight=".5pt">
                <v:textbox style="layout-flow:vertical">
                  <w:txbxContent>
                    <w:p w14:paraId="59E44718" w14:textId="77777777" w:rsidR="00C75191" w:rsidRDefault="00000000">
                      <w:r>
                        <w:t>Concentration (mg/kg)</w:t>
                      </w:r>
                    </w:p>
                    <w:p w14:paraId="25883C96"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189345D6" wp14:editId="64EACEA6">
            <wp:extent cx="5486400" cy="3200400"/>
            <wp:effectExtent l="0" t="0" r="0" b="0"/>
            <wp:docPr id="17" name="Chart 10816005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890A4D" w14:textId="1EB90C3B" w:rsidR="00C75191" w:rsidRDefault="0074246A">
      <w:pPr>
        <w:spacing w:line="480" w:lineRule="auto"/>
        <w:jc w:val="both"/>
        <w:rPr>
          <w:rFonts w:ascii="Times New Roman" w:hAnsi="Times New Roman" w:cs="Times New Roman"/>
          <w:b/>
          <w:i/>
          <w:sz w:val="24"/>
          <w:szCs w:val="24"/>
        </w:rPr>
      </w:pPr>
      <w:r w:rsidRPr="00E128C6">
        <w:rPr>
          <w:rFonts w:ascii="Times New Roman" w:hAnsi="Times New Roman" w:cs="Times New Roman"/>
          <w:b/>
          <w:sz w:val="24"/>
          <w:szCs w:val="24"/>
          <w:highlight w:val="yellow"/>
        </w:rPr>
        <w:t>Figure</w:t>
      </w:r>
      <w:r>
        <w:rPr>
          <w:rFonts w:ascii="Times New Roman" w:hAnsi="Times New Roman" w:cs="Times New Roman"/>
          <w:b/>
          <w:sz w:val="24"/>
          <w:szCs w:val="24"/>
        </w:rPr>
        <w:t xml:space="preserve"> 4: Distribution of Ca, K, Mg, Mn, and Na in Methanolic </w:t>
      </w:r>
      <w:r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root and stem extracts of </w:t>
      </w:r>
      <w:r>
        <w:rPr>
          <w:rFonts w:ascii="Times New Roman" w:hAnsi="Times New Roman" w:cs="Times New Roman"/>
          <w:b/>
          <w:i/>
          <w:sz w:val="24"/>
          <w:szCs w:val="24"/>
        </w:rPr>
        <w:t>C. tentorium</w:t>
      </w:r>
    </w:p>
    <w:p w14:paraId="025D1494" w14:textId="77777777" w:rsidR="00C75191" w:rsidRDefault="00C75191">
      <w:pPr>
        <w:spacing w:after="0" w:line="480" w:lineRule="auto"/>
        <w:jc w:val="both"/>
        <w:rPr>
          <w:rFonts w:ascii="Times New Roman" w:hAnsi="Times New Roman" w:cs="Times New Roman"/>
          <w:b/>
          <w:i/>
          <w:sz w:val="24"/>
          <w:szCs w:val="24"/>
        </w:rPr>
      </w:pPr>
    </w:p>
    <w:p w14:paraId="47EB14C2" w14:textId="77777777" w:rsidR="00C75191" w:rsidRDefault="00C75191">
      <w:pPr>
        <w:spacing w:line="480" w:lineRule="auto"/>
        <w:jc w:val="both"/>
        <w:rPr>
          <w:rFonts w:ascii="Times New Roman" w:hAnsi="Times New Roman" w:cs="Times New Roman"/>
          <w:sz w:val="24"/>
          <w:szCs w:val="24"/>
        </w:rPr>
      </w:pPr>
    </w:p>
    <w:p w14:paraId="208829A7"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1F06A114" wp14:editId="5C5E4FE2">
                <wp:simplePos x="0" y="0"/>
                <wp:positionH relativeFrom="leftMargin">
                  <wp:posOffset>-358775</wp:posOffset>
                </wp:positionH>
                <wp:positionV relativeFrom="paragraph">
                  <wp:posOffset>1406525</wp:posOffset>
                </wp:positionV>
                <wp:extent cx="1494790" cy="266700"/>
                <wp:effectExtent l="17145" t="12700" r="11430" b="16510"/>
                <wp:wrapNone/>
                <wp:docPr id="18" name="Text Box 11"/>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16418F93" w14:textId="77777777" w:rsidR="00C75191" w:rsidRDefault="00000000">
                            <w:r>
                              <w:t>Concentration (mg/kg)</w:t>
                            </w:r>
                          </w:p>
                          <w:p w14:paraId="6C2DA63C"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06A114" id="Text Box 11" o:spid="_x0000_s1030" type="#_x0000_t202" style="position:absolute;left:0;text-align:left;margin-left:-28.25pt;margin-top:110.75pt;width:117.7pt;height:21pt;rotation:-90;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fIHA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" fillcolor="white [3212]" strokecolor="white [3212]" strokeweight=".5pt">
                <v:textbox style="layout-flow:vertical">
                  <w:txbxContent>
                    <w:p w14:paraId="16418F93" w14:textId="77777777" w:rsidR="00C75191" w:rsidRDefault="00000000">
                      <w:r>
                        <w:t>Concentration (mg/kg)</w:t>
                      </w:r>
                    </w:p>
                    <w:p w14:paraId="6C2DA63C"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292B8637" wp14:editId="05C8C227">
            <wp:extent cx="5486400" cy="3200400"/>
            <wp:effectExtent l="0" t="0" r="0" b="0"/>
            <wp:docPr id="19" name="Chart 10591510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4F2F9A" w14:textId="586E2A3E"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5: Distribution of Ca, K, Mg, Mn and Na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stem extracts </w:t>
      </w:r>
      <w:proofErr w:type="spellStart"/>
      <w:r>
        <w:rPr>
          <w:rFonts w:ascii="Times New Roman" w:hAnsi="Times New Roman" w:cs="Times New Roman"/>
          <w:b/>
          <w:sz w:val="24"/>
          <w:szCs w:val="24"/>
        </w:rPr>
        <w:t>of</w:t>
      </w:r>
      <w:r>
        <w:rPr>
          <w:rFonts w:ascii="Times New Roman" w:hAnsi="Times New Roman" w:cs="Times New Roman"/>
          <w:b/>
          <w:i/>
          <w:sz w:val="24"/>
          <w:szCs w:val="24"/>
        </w:rPr>
        <w:t>B</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pinnatum</w:t>
      </w:r>
      <w:proofErr w:type="spellEnd"/>
    </w:p>
    <w:p w14:paraId="2EE1FEB0" w14:textId="77777777" w:rsidR="00C75191" w:rsidRDefault="00C75191">
      <w:pPr>
        <w:spacing w:line="480" w:lineRule="auto"/>
        <w:jc w:val="both"/>
        <w:rPr>
          <w:rFonts w:ascii="Times New Roman" w:hAnsi="Times New Roman" w:cs="Times New Roman"/>
          <w:b/>
          <w:sz w:val="24"/>
          <w:szCs w:val="24"/>
        </w:rPr>
      </w:pPr>
    </w:p>
    <w:p w14:paraId="2EF47450"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1CD014D" wp14:editId="30B7A41E">
                <wp:simplePos x="0" y="0"/>
                <wp:positionH relativeFrom="leftMargin">
                  <wp:posOffset>-321945</wp:posOffset>
                </wp:positionH>
                <wp:positionV relativeFrom="paragraph">
                  <wp:posOffset>1386205</wp:posOffset>
                </wp:positionV>
                <wp:extent cx="1494790" cy="266700"/>
                <wp:effectExtent l="15875" t="9525" r="12700" b="10160"/>
                <wp:wrapNone/>
                <wp:docPr id="20" name="Text Box 10"/>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1304376" w14:textId="77777777" w:rsidR="00C75191" w:rsidRDefault="00000000">
                            <w:r>
                              <w:t>Concentration (mg/kg)</w:t>
                            </w:r>
                          </w:p>
                          <w:p w14:paraId="6398F9B4"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1CD014D" id="Text Box 10" o:spid="_x0000_s1031" type="#_x0000_t202" style="position:absolute;left:0;text-align:left;margin-left:-25.35pt;margin-top:109.15pt;width:117.7pt;height:21pt;rotation:-90;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IkHA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" fillcolor="white [3212]" strokecolor="white [3212]" strokeweight=".5pt">
                <v:textbox style="layout-flow:vertical">
                  <w:txbxContent>
                    <w:p w14:paraId="71304376" w14:textId="77777777" w:rsidR="00C75191" w:rsidRDefault="00000000">
                      <w:r>
                        <w:t>Concentration (mg/kg)</w:t>
                      </w:r>
                    </w:p>
                    <w:p w14:paraId="6398F9B4"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101FCEC6" wp14:editId="2F4C2B11">
            <wp:extent cx="5486400" cy="3200400"/>
            <wp:effectExtent l="0" t="0" r="0" b="0"/>
            <wp:docPr id="21" name="Chart 394005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B067B2" w14:textId="56FE7870"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6: Distribution of Ca, K, Mg, Mn and Na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stem extracts of </w:t>
      </w:r>
      <w:r>
        <w:rPr>
          <w:rFonts w:ascii="Times New Roman" w:hAnsi="Times New Roman" w:cs="Times New Roman"/>
          <w:b/>
          <w:i/>
          <w:sz w:val="24"/>
          <w:szCs w:val="24"/>
        </w:rPr>
        <w:t>E. senegalensis</w:t>
      </w:r>
    </w:p>
    <w:p w14:paraId="50871ACA" w14:textId="77777777" w:rsidR="00C75191" w:rsidRDefault="00C75191">
      <w:pPr>
        <w:spacing w:line="480" w:lineRule="auto"/>
        <w:jc w:val="both"/>
        <w:rPr>
          <w:rFonts w:ascii="Times New Roman" w:hAnsi="Times New Roman" w:cs="Times New Roman"/>
          <w:sz w:val="24"/>
          <w:szCs w:val="24"/>
        </w:rPr>
      </w:pPr>
    </w:p>
    <w:p w14:paraId="6A1B8C6D"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1CFA4E" wp14:editId="2ABB2E9F">
                <wp:simplePos x="0" y="0"/>
                <wp:positionH relativeFrom="leftMargin">
                  <wp:posOffset>-241935</wp:posOffset>
                </wp:positionH>
                <wp:positionV relativeFrom="paragraph">
                  <wp:posOffset>1365885</wp:posOffset>
                </wp:positionV>
                <wp:extent cx="1494790" cy="266700"/>
                <wp:effectExtent l="10160" t="11430" r="8890" b="17780"/>
                <wp:wrapNone/>
                <wp:docPr id="22" name="Text Box 9"/>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D128CBC" w14:textId="77777777" w:rsidR="00C75191" w:rsidRDefault="00000000">
                            <w:r>
                              <w:t>Concentration (mg/kg)</w:t>
                            </w:r>
                          </w:p>
                          <w:p w14:paraId="4BADF59E"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81CFA4E" id="Text Box 9" o:spid="_x0000_s1032" type="#_x0000_t202" style="position:absolute;left:0;text-align:left;margin-left:-19.05pt;margin-top:107.55pt;width:117.7pt;height:21pt;rotation:-90;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zKGw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" fillcolor="white [3212]" strokecolor="white [3212]" strokeweight=".5pt">
                <v:textbox style="layout-flow:vertical">
                  <w:txbxContent>
                    <w:p w14:paraId="7D128CBC" w14:textId="77777777" w:rsidR="00C75191" w:rsidRDefault="00000000">
                      <w:r>
                        <w:t>Concentration (mg/kg)</w:t>
                      </w:r>
                    </w:p>
                    <w:p w14:paraId="4BADF59E"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69F84AA6" wp14:editId="7554A7AE">
            <wp:extent cx="5486400" cy="3200400"/>
            <wp:effectExtent l="0" t="0" r="0" b="0"/>
            <wp:docPr id="23" name="Chart 2026937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B488D6" w14:textId="04D40B75"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Figure.7: Distribution </w:t>
      </w:r>
      <w:r w:rsidR="0074246A" w:rsidRPr="00E128C6">
        <w:rPr>
          <w:rFonts w:ascii="Times New Roman" w:hAnsi="Times New Roman" w:cs="Times New Roman"/>
          <w:b/>
          <w:sz w:val="24"/>
          <w:szCs w:val="24"/>
          <w:highlight w:val="yellow"/>
        </w:rPr>
        <w:t>of</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cadmium in the Methanolic </w:t>
      </w:r>
      <w:r w:rsidR="0074246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74246A" w:rsidRPr="00E128C6">
        <w:rPr>
          <w:rFonts w:ascii="Times New Roman" w:hAnsi="Times New Roman" w:cs="Times New Roman"/>
          <w:b/>
          <w:sz w:val="24"/>
          <w:szCs w:val="24"/>
          <w:highlight w:val="yellow"/>
          <w:u w:val="single"/>
        </w:rPr>
        <w:t>roots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74246A" w:rsidRPr="00E128C6">
        <w:rPr>
          <w:rFonts w:ascii="Times New Roman" w:hAnsi="Times New Roman" w:cs="Times New Roman"/>
          <w:b/>
          <w:sz w:val="24"/>
          <w:szCs w:val="24"/>
          <w:highlight w:val="yellow"/>
        </w:rPr>
        <w:t>stems</w:t>
      </w:r>
      <w:r w:rsidR="0074246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07F25CCD" w14:textId="77777777" w:rsidR="00C75191" w:rsidRDefault="00C75191">
      <w:pPr>
        <w:spacing w:line="480" w:lineRule="auto"/>
        <w:jc w:val="both"/>
        <w:rPr>
          <w:rFonts w:ascii="Times New Roman" w:hAnsi="Times New Roman" w:cs="Times New Roman"/>
          <w:b/>
          <w:sz w:val="24"/>
          <w:szCs w:val="24"/>
        </w:rPr>
      </w:pPr>
    </w:p>
    <w:p w14:paraId="77DEDD0A" w14:textId="5DB122C0" w:rsidR="00C75191" w:rsidRDefault="0074246A">
      <w:pPr>
        <w:spacing w:line="480" w:lineRule="auto"/>
        <w:jc w:val="both"/>
        <w:rPr>
          <w:rFonts w:ascii="Times New Roman" w:hAnsi="Times New Roman" w:cs="Times New Roman"/>
          <w:b/>
          <w:iCs/>
          <w:sz w:val="24"/>
          <w:szCs w:val="24"/>
        </w:rPr>
      </w:pPr>
      <w:r w:rsidRPr="00E128C6">
        <w:rPr>
          <w:rFonts w:ascii="Times New Roman" w:hAnsi="Times New Roman" w:cs="Times New Roman"/>
          <w:b/>
          <w:iCs/>
          <w:sz w:val="24"/>
          <w:szCs w:val="24"/>
          <w:highlight w:val="yellow"/>
        </w:rPr>
        <w:t>Comparison</w:t>
      </w:r>
      <w:r>
        <w:rPr>
          <w:rFonts w:ascii="Times New Roman" w:hAnsi="Times New Roman" w:cs="Times New Roman"/>
          <w:b/>
          <w:iCs/>
          <w:sz w:val="24"/>
          <w:szCs w:val="24"/>
        </w:rPr>
        <w:t xml:space="preserve"> of Heavy Metals</w:t>
      </w:r>
      <w:r>
        <w:rPr>
          <w:rFonts w:ascii="Times New Roman" w:hAnsi="Times New Roman" w:cs="Times New Roman"/>
          <w:b/>
          <w:i/>
          <w:sz w:val="24"/>
          <w:szCs w:val="24"/>
        </w:rPr>
        <w:t xml:space="preserve"> in </w:t>
      </w:r>
      <w:r>
        <w:rPr>
          <w:rFonts w:ascii="Times New Roman" w:hAnsi="Times New Roman" w:cs="Times New Roman"/>
          <w:b/>
          <w:iCs/>
          <w:sz w:val="24"/>
          <w:szCs w:val="24"/>
        </w:rPr>
        <w:t xml:space="preserve">the </w:t>
      </w:r>
      <w:r>
        <w:rPr>
          <w:rFonts w:ascii="Times New Roman" w:hAnsi="Times New Roman" w:cs="Times New Roman"/>
          <w:b/>
          <w:sz w:val="24"/>
          <w:szCs w:val="24"/>
        </w:rPr>
        <w:t xml:space="preserve">Methanolic leave, </w:t>
      </w:r>
      <w:r w:rsidRPr="00E128C6">
        <w:rPr>
          <w:rFonts w:ascii="Times New Roman" w:hAnsi="Times New Roman" w:cs="Times New Roman"/>
          <w:b/>
          <w:sz w:val="24"/>
          <w:szCs w:val="24"/>
          <w:highlight w:val="yellow"/>
        </w:rPr>
        <w:t>Root</w:t>
      </w:r>
      <w:r>
        <w:rPr>
          <w:rFonts w:ascii="Times New Roman" w:hAnsi="Times New Roman" w:cs="Times New Roman"/>
          <w:b/>
          <w:sz w:val="24"/>
          <w:szCs w:val="24"/>
        </w:rPr>
        <w:t xml:space="preserve"> and </w:t>
      </w:r>
      <w:r w:rsidRPr="00E128C6">
        <w:rPr>
          <w:rFonts w:ascii="Times New Roman" w:hAnsi="Times New Roman" w:cs="Times New Roman"/>
          <w:b/>
          <w:sz w:val="24"/>
          <w:szCs w:val="24"/>
          <w:highlight w:val="yellow"/>
        </w:rPr>
        <w:t>Stem Extracts</w:t>
      </w:r>
      <w:r>
        <w:rPr>
          <w:rFonts w:ascii="Times New Roman" w:hAnsi="Times New Roman" w:cs="Times New Roman"/>
          <w:b/>
          <w:sz w:val="24"/>
          <w:szCs w:val="24"/>
        </w:rPr>
        <w:t xml:space="preserve">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3BD2CE28" w14:textId="7777777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Cadmium</w:t>
      </w:r>
    </w:p>
    <w:p w14:paraId="213BA262" w14:textId="7E2DD9DA"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cadmium is shown in </w:t>
      </w:r>
      <w:r w:rsidR="0074246A" w:rsidRPr="00E128C6">
        <w:rPr>
          <w:rFonts w:ascii="Times New Roman" w:hAnsi="Times New Roman" w:cs="Times New Roman"/>
          <w:sz w:val="24"/>
          <w:szCs w:val="24"/>
          <w:highlight w:val="yellow"/>
        </w:rPr>
        <w:t>the</w:t>
      </w:r>
      <w:r w:rsidR="0074246A">
        <w:rPr>
          <w:rFonts w:ascii="Times New Roman" w:hAnsi="Times New Roman" w:cs="Times New Roman"/>
          <w:sz w:val="24"/>
          <w:szCs w:val="24"/>
        </w:rPr>
        <w:t xml:space="preserve"> </w:t>
      </w:r>
      <w:r>
        <w:rPr>
          <w:rFonts w:ascii="Times New Roman" w:hAnsi="Times New Roman" w:cs="Times New Roman"/>
          <w:sz w:val="24"/>
          <w:szCs w:val="24"/>
        </w:rPr>
        <w:t xml:space="preserve">figure8, it was observed that </w:t>
      </w:r>
      <w:r w:rsidR="0074246A" w:rsidRPr="00E128C6">
        <w:rPr>
          <w:rFonts w:ascii="Times New Roman" w:hAnsi="Times New Roman" w:cs="Times New Roman"/>
          <w:sz w:val="24"/>
          <w:szCs w:val="24"/>
          <w:highlight w:val="yellow"/>
        </w:rPr>
        <w:t>the</w:t>
      </w:r>
      <w:r w:rsidR="0074246A">
        <w:rPr>
          <w:rFonts w:ascii="Times New Roman" w:hAnsi="Times New Roman" w:cs="Times New Roman"/>
          <w:sz w:val="24"/>
          <w:szCs w:val="24"/>
        </w:rPr>
        <w:t xml:space="preserve"> </w:t>
      </w:r>
      <w:r>
        <w:rPr>
          <w:rFonts w:ascii="Times New Roman" w:hAnsi="Times New Roman" w:cs="Times New Roman"/>
          <w:sz w:val="24"/>
          <w:szCs w:val="24"/>
        </w:rPr>
        <w:t>concentration of Cd in the leaf of the sampled plants was increasing</w:t>
      </w:r>
      <w:r w:rsidR="007424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Cochlospermum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tintorium</w:t>
      </w:r>
      <w:proofErr w:type="spellEnd"/>
      <w:r>
        <w:rPr>
          <w:rFonts w:ascii="Times New Roman" w:hAnsi="Times New Roman" w:cs="Times New Roman"/>
          <w:i/>
          <w:sz w:val="24"/>
          <w:szCs w:val="24"/>
        </w:rPr>
        <w:t xml:space="preserve"> &gt; Erythrina senegalensis &gt;</w:t>
      </w:r>
      <w:r w:rsidR="0074246A">
        <w:rPr>
          <w:rFonts w:ascii="Times New Roman" w:hAnsi="Times New Roman" w:cs="Times New Roman"/>
          <w:i/>
          <w:sz w:val="24"/>
          <w:szCs w:val="24"/>
        </w:rPr>
        <w:t xml:space="preserve"> </w:t>
      </w:r>
      <w:proofErr w:type="spellStart"/>
      <w:r w:rsidR="0074246A" w:rsidRPr="00E128C6">
        <w:rPr>
          <w:rFonts w:ascii="Times New Roman" w:hAnsi="Times New Roman" w:cs="Times New Roman"/>
          <w:i/>
          <w:sz w:val="24"/>
          <w:szCs w:val="24"/>
          <w:highlight w:val="yellow"/>
        </w:rPr>
        <w:t>Bryophylum</w:t>
      </w:r>
      <w:proofErr w:type="spellEnd"/>
      <w:r w:rsidR="0074246A" w:rsidRPr="00E128C6">
        <w:rPr>
          <w:rFonts w:ascii="Times New Roman" w:hAnsi="Times New Roman" w:cs="Times New Roman"/>
          <w:i/>
          <w:sz w:val="24"/>
          <w:szCs w:val="24"/>
          <w:highlight w:val="yellow"/>
        </w:rPr>
        <w:t xml:space="preserve"> </w:t>
      </w:r>
      <w:proofErr w:type="spellStart"/>
      <w:r w:rsidR="0074246A" w:rsidRPr="00E128C6">
        <w:rPr>
          <w:rFonts w:ascii="Times New Roman" w:hAnsi="Times New Roman" w:cs="Times New Roman"/>
          <w:i/>
          <w:sz w:val="24"/>
          <w:szCs w:val="24"/>
          <w:highlight w:val="yellow"/>
        </w:rPr>
        <w:t>pinnatum</w:t>
      </w:r>
      <w:proofErr w:type="spellEnd"/>
      <w:r w:rsidRPr="00E128C6">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054B69F6" w14:textId="7777777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Chromium</w:t>
      </w:r>
    </w:p>
    <w:p w14:paraId="392CBB04"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Cr in plant samples is depicted in Figure 8. The highest concentration was found in the leaf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the roots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the leaf of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with 0.098mg/kg for the stem bark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the roots of </w:t>
      </w:r>
      <w:r>
        <w:rPr>
          <w:rFonts w:ascii="Times New Roman" w:hAnsi="Times New Roman" w:cs="Times New Roman"/>
          <w:i/>
          <w:iCs/>
          <w:sz w:val="24"/>
          <w:szCs w:val="24"/>
        </w:rPr>
        <w:lastRenderedPageBreak/>
        <w:t>Erythrina senegalensis</w:t>
      </w:r>
      <w:r>
        <w:rPr>
          <w:rFonts w:ascii="Times New Roman" w:hAnsi="Times New Roman" w:cs="Times New Roman"/>
          <w:sz w:val="24"/>
          <w:szCs w:val="24"/>
        </w:rPr>
        <w:t xml:space="preserve">. The lowest concentration was detected in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roots,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leaves,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stem bark, and Erythrina senegalensis stem bark. Cr is hazardous and carcinogenic; prolonged exposure to Cr can cause DNA damage, which can lead to cancer-causing gene mutation (Meyer 2012). The WHO allowable threshold of Cr in medicinal plants is 1.5mg/kg, but the dietary allowance is 0.2mg (WHO 2011). Cr levels in all samples were below the WHO allowable limit.</w:t>
      </w:r>
    </w:p>
    <w:p w14:paraId="040F4839"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BB1B532" wp14:editId="7B812A15">
                <wp:simplePos x="0" y="0"/>
                <wp:positionH relativeFrom="leftMargin">
                  <wp:posOffset>-339725</wp:posOffset>
                </wp:positionH>
                <wp:positionV relativeFrom="paragraph">
                  <wp:posOffset>1215390</wp:posOffset>
                </wp:positionV>
                <wp:extent cx="1494790" cy="266700"/>
                <wp:effectExtent l="4445" t="0" r="14604" b="14604"/>
                <wp:wrapNone/>
                <wp:docPr id="24" name="Text Box 1367284942"/>
                <wp:cNvGraphicFramePr/>
                <a:graphic xmlns:a="http://schemas.openxmlformats.org/drawingml/2006/main">
                  <a:graphicData uri="http://schemas.microsoft.com/office/word/2010/wordprocessingShape">
                    <wps:wsp>
                      <wps:cNvSpPr txBox="1"/>
                      <wps:spPr bwMode="auto">
                        <a:xfrm rot="16199999">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58B880" w14:textId="77777777" w:rsidR="00C75191" w:rsidRDefault="00000000">
                            <w:r>
                              <w:t>Concentration (mg/kg)</w:t>
                            </w:r>
                          </w:p>
                          <w:p w14:paraId="15AAF685" w14:textId="77777777" w:rsidR="00C75191" w:rsidRDefault="00C75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B1B532" id="Text Box 1367284942" o:spid="_x0000_s1033" type="#_x0000_t202" style="position:absolute;left:0;text-align:left;margin-left:-26.75pt;margin-top:95.7pt;width:117.7pt;height:21pt;rotation:-5898241fd;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" fillcolor="white [3212]" strokecolor="white [3212]" strokeweight=".5pt">
                <v:textbox>
                  <w:txbxContent>
                    <w:p w14:paraId="7B58B880" w14:textId="77777777" w:rsidR="00C75191" w:rsidRDefault="00000000">
                      <w:r>
                        <w:t>Concentration (mg/kg)</w:t>
                      </w:r>
                    </w:p>
                    <w:p w14:paraId="15AAF685"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25386F8D" wp14:editId="011C3AE2">
            <wp:extent cx="5486400" cy="3200400"/>
            <wp:effectExtent l="0" t="0" r="0" b="0"/>
            <wp:docPr id="25" name="Chart 1105605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C01512" w14:textId="1880DC5B"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8: Distribution </w:t>
      </w:r>
      <w:r w:rsidR="004228EA">
        <w:rPr>
          <w:rFonts w:ascii="Times New Roman" w:hAnsi="Times New Roman" w:cs="Times New Roman"/>
          <w:b/>
          <w:sz w:val="24"/>
          <w:szCs w:val="24"/>
        </w:rPr>
        <w:t xml:space="preserve">of </w:t>
      </w:r>
      <w:r>
        <w:rPr>
          <w:rFonts w:ascii="Times New Roman" w:hAnsi="Times New Roman" w:cs="Times New Roman"/>
          <w:b/>
          <w:sz w:val="24"/>
          <w:szCs w:val="24"/>
        </w:rPr>
        <w:t xml:space="preserve">chromium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4228EA" w:rsidRPr="00E128C6">
        <w:rPr>
          <w:rFonts w:ascii="Times New Roman" w:hAnsi="Times New Roman" w:cs="Times New Roman"/>
          <w:b/>
          <w:sz w:val="24"/>
          <w:szCs w:val="24"/>
          <w:highlight w:val="yellow"/>
        </w:rPr>
        <w:t>stems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15F53BB1"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b/>
          <w:i/>
          <w:sz w:val="24"/>
          <w:szCs w:val="24"/>
        </w:rPr>
        <w:t>Lead</w:t>
      </w:r>
    </w:p>
    <w:p w14:paraId="7BFFBB35" w14:textId="229240BD"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graphical representation of lead in Figure 9, the highest concentration of 0.145mg/kg was seen in the roots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followed by 0.109mg/kg for leaf of Erythrina senegalensis, 0.106mg/kg for stem bark of Erythrina senegalensis and roots of Erythrina senegalensis, 0.072mg/kg for leaf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stem bark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stem bark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and roots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The lowest concentration was determined to be 0.04mg/kg in the leaf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Lead is the most encountered heavy </w:t>
      </w:r>
      <w:r>
        <w:rPr>
          <w:rFonts w:ascii="Times New Roman" w:hAnsi="Times New Roman" w:cs="Times New Roman"/>
          <w:sz w:val="24"/>
          <w:szCs w:val="24"/>
        </w:rPr>
        <w:lastRenderedPageBreak/>
        <w:t>metal in polluted environments, and its accumulation by plants can occur by uptake from adjacent soils through the roots and/or aerial deposition on shoots (</w:t>
      </w:r>
      <w:proofErr w:type="spellStart"/>
      <w:r>
        <w:rPr>
          <w:rFonts w:ascii="Times New Roman" w:hAnsi="Times New Roman" w:cs="Times New Roman"/>
          <w:sz w:val="24"/>
          <w:szCs w:val="24"/>
        </w:rPr>
        <w:t>Smirjakova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2005). The FAO/WHO (2011) acceptable limit for Pb in food plants was 0.43ppm. The permitted maximum set by China, </w:t>
      </w:r>
      <w:r w:rsidR="004228EA" w:rsidRPr="00E128C6">
        <w:rPr>
          <w:rFonts w:ascii="Times New Roman" w:hAnsi="Times New Roman" w:cs="Times New Roman"/>
          <w:sz w:val="24"/>
          <w:szCs w:val="24"/>
          <w:highlight w:val="yellow"/>
        </w:rPr>
        <w:t>Malaysia</w:t>
      </w:r>
      <w:r>
        <w:rPr>
          <w:rFonts w:ascii="Times New Roman" w:hAnsi="Times New Roman" w:cs="Times New Roman"/>
          <w:sz w:val="24"/>
          <w:szCs w:val="24"/>
        </w:rPr>
        <w:t>, and Thailand is 10ppm, which is consistent with Canada's standard. All the samples tested were below the allowable level. Pb has been found to be an abortifacient, causing miscarriages and low birth weight in newborns; it has also been linked to decreased sperm count and motility (</w:t>
      </w:r>
      <w:proofErr w:type="spellStart"/>
      <w:r>
        <w:rPr>
          <w:rFonts w:ascii="Times New Roman" w:hAnsi="Times New Roman" w:cs="Times New Roman"/>
          <w:sz w:val="24"/>
          <w:szCs w:val="24"/>
        </w:rPr>
        <w:t>Vaikosen</w:t>
      </w:r>
      <w:proofErr w:type="spellEnd"/>
      <w:r>
        <w:rPr>
          <w:rFonts w:ascii="Times New Roman" w:hAnsi="Times New Roman" w:cs="Times New Roman"/>
          <w:sz w:val="24"/>
          <w:szCs w:val="24"/>
        </w:rPr>
        <w:t xml:space="preserve"> and Alade, 2011).</w:t>
      </w:r>
    </w:p>
    <w:p w14:paraId="1CBDCC27" w14:textId="77777777" w:rsidR="00C75191" w:rsidRDefault="00C75191">
      <w:pPr>
        <w:spacing w:line="480" w:lineRule="auto"/>
        <w:jc w:val="both"/>
        <w:rPr>
          <w:rFonts w:ascii="Times New Roman" w:hAnsi="Times New Roman" w:cs="Times New Roman"/>
          <w:b/>
          <w:sz w:val="24"/>
          <w:szCs w:val="24"/>
        </w:rPr>
      </w:pPr>
    </w:p>
    <w:p w14:paraId="384DBD39"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30BAE98" wp14:editId="6235C36D">
                <wp:simplePos x="0" y="0"/>
                <wp:positionH relativeFrom="leftMargin">
                  <wp:posOffset>-309245</wp:posOffset>
                </wp:positionH>
                <wp:positionV relativeFrom="paragraph">
                  <wp:posOffset>1365885</wp:posOffset>
                </wp:positionV>
                <wp:extent cx="1494790" cy="266700"/>
                <wp:effectExtent l="19050" t="8890" r="9525" b="10795"/>
                <wp:wrapNone/>
                <wp:docPr id="26" name="Text Box 7"/>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3983A438" w14:textId="77777777" w:rsidR="00C75191" w:rsidRDefault="00000000">
                            <w:r>
                              <w:t>Concentration (mg/kg)</w:t>
                            </w:r>
                          </w:p>
                          <w:p w14:paraId="0A3FD9AE"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30BAE98" id="Text Box 7" o:spid="_x0000_s1034" type="#_x0000_t202" style="position:absolute;left:0;text-align:left;margin-left:-24.35pt;margin-top:107.55pt;width:117.7pt;height:21pt;rotation:-90;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7HGw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" fillcolor="white [3212]" strokecolor="white [3212]" strokeweight=".5pt">
                <v:textbox style="layout-flow:vertical">
                  <w:txbxContent>
                    <w:p w14:paraId="3983A438" w14:textId="77777777" w:rsidR="00C75191" w:rsidRDefault="00000000">
                      <w:r>
                        <w:t>Concentration (mg/kg)</w:t>
                      </w:r>
                    </w:p>
                    <w:p w14:paraId="0A3FD9AE"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43971982" wp14:editId="16BA5769">
            <wp:extent cx="5486400" cy="3200400"/>
            <wp:effectExtent l="0" t="0" r="0" b="0"/>
            <wp:docPr id="27" name="Chart 271540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8E99D0" w14:textId="77777777"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9: Distribution Lead in the Methanolic leave, root and stem 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4FAFA3D8" w14:textId="77777777" w:rsidR="00C75191" w:rsidRDefault="00C75191">
      <w:pPr>
        <w:spacing w:line="480" w:lineRule="auto"/>
        <w:jc w:val="both"/>
        <w:rPr>
          <w:rFonts w:ascii="Times New Roman" w:hAnsi="Times New Roman" w:cs="Times New Roman"/>
          <w:sz w:val="24"/>
          <w:szCs w:val="24"/>
        </w:rPr>
      </w:pPr>
    </w:p>
    <w:p w14:paraId="202D62CC" w14:textId="77777777" w:rsidR="00C75191" w:rsidRDefault="00C75191">
      <w:pPr>
        <w:spacing w:line="480" w:lineRule="auto"/>
        <w:jc w:val="both"/>
        <w:rPr>
          <w:rFonts w:ascii="Times New Roman" w:hAnsi="Times New Roman" w:cs="Times New Roman"/>
          <w:sz w:val="24"/>
          <w:szCs w:val="24"/>
        </w:rPr>
      </w:pPr>
    </w:p>
    <w:p w14:paraId="0833F0F9" w14:textId="77777777" w:rsidR="00C75191" w:rsidRDefault="00C75191">
      <w:pPr>
        <w:spacing w:line="480" w:lineRule="auto"/>
        <w:jc w:val="both"/>
        <w:rPr>
          <w:rFonts w:ascii="Times New Roman" w:hAnsi="Times New Roman" w:cs="Times New Roman"/>
          <w:sz w:val="24"/>
          <w:szCs w:val="24"/>
        </w:rPr>
      </w:pPr>
    </w:p>
    <w:p w14:paraId="4BB03129" w14:textId="77777777" w:rsidR="00C75191" w:rsidRDefault="00C75191">
      <w:pPr>
        <w:spacing w:line="480" w:lineRule="auto"/>
        <w:jc w:val="both"/>
        <w:rPr>
          <w:rFonts w:ascii="Times New Roman" w:hAnsi="Times New Roman" w:cs="Times New Roman"/>
          <w:sz w:val="24"/>
          <w:szCs w:val="24"/>
        </w:rPr>
      </w:pPr>
    </w:p>
    <w:p w14:paraId="415ACE48" w14:textId="70670210" w:rsidR="00C75191" w:rsidRDefault="00000000">
      <w:pPr>
        <w:spacing w:line="480" w:lineRule="auto"/>
        <w:jc w:val="both"/>
        <w:rPr>
          <w:rFonts w:ascii="Times New Roman" w:hAnsi="Times New Roman" w:cs="Times New Roman"/>
          <w:b/>
          <w:iCs/>
          <w:sz w:val="24"/>
          <w:szCs w:val="24"/>
        </w:rPr>
      </w:pPr>
      <w:proofErr w:type="spellStart"/>
      <w:r>
        <w:rPr>
          <w:rFonts w:ascii="Times New Roman" w:hAnsi="Times New Roman" w:cs="Times New Roman"/>
          <w:b/>
          <w:iCs/>
          <w:sz w:val="24"/>
          <w:szCs w:val="24"/>
        </w:rPr>
        <w:lastRenderedPageBreak/>
        <w:t>Comparism</w:t>
      </w:r>
      <w:proofErr w:type="spellEnd"/>
      <w:r>
        <w:rPr>
          <w:rFonts w:ascii="Times New Roman" w:hAnsi="Times New Roman" w:cs="Times New Roman"/>
          <w:b/>
          <w:iCs/>
          <w:sz w:val="24"/>
          <w:szCs w:val="24"/>
        </w:rPr>
        <w:t xml:space="preserve"> of Mineral Elements</w:t>
      </w:r>
      <w:r>
        <w:rPr>
          <w:rFonts w:ascii="Times New Roman" w:hAnsi="Times New Roman" w:cs="Times New Roman"/>
          <w:b/>
          <w:i/>
          <w:sz w:val="24"/>
          <w:szCs w:val="24"/>
        </w:rPr>
        <w:t xml:space="preserve"> in </w:t>
      </w:r>
      <w:r>
        <w:rPr>
          <w:rFonts w:ascii="Times New Roman" w:hAnsi="Times New Roman" w:cs="Times New Roman"/>
          <w:b/>
          <w:iCs/>
          <w:sz w:val="24"/>
          <w:szCs w:val="24"/>
        </w:rPr>
        <w:t xml:space="preserve">the </w:t>
      </w:r>
      <w:r>
        <w:rPr>
          <w:rFonts w:ascii="Times New Roman" w:hAnsi="Times New Roman" w:cs="Times New Roman"/>
          <w:b/>
          <w:sz w:val="24"/>
          <w:szCs w:val="24"/>
        </w:rPr>
        <w:t xml:space="preserve">Methanolic leave, </w:t>
      </w:r>
      <w:r w:rsidR="004228EA" w:rsidRPr="00E128C6">
        <w:rPr>
          <w:rFonts w:ascii="Times New Roman" w:hAnsi="Times New Roman" w:cs="Times New Roman"/>
          <w:b/>
          <w:sz w:val="24"/>
          <w:szCs w:val="24"/>
          <w:highlight w:val="yellow"/>
        </w:rPr>
        <w:t>Root</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4228EA" w:rsidRPr="00E128C6">
        <w:rPr>
          <w:rFonts w:ascii="Times New Roman" w:hAnsi="Times New Roman" w:cs="Times New Roman"/>
          <w:b/>
          <w:sz w:val="24"/>
          <w:szCs w:val="24"/>
          <w:highlight w:val="yellow"/>
        </w:rPr>
        <w:t>Stem Extracts</w:t>
      </w:r>
      <w:r>
        <w:rPr>
          <w:rFonts w:ascii="Times New Roman" w:hAnsi="Times New Roman" w:cs="Times New Roman"/>
          <w:b/>
          <w:sz w:val="24"/>
          <w:szCs w:val="24"/>
        </w:rPr>
        <w:t xml:space="preserve">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53A87892" w14:textId="7777777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Calcium</w:t>
      </w:r>
    </w:p>
    <w:p w14:paraId="01265FC5" w14:textId="7E7FBEFC"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 was discovered in all the plant samples, as indicated in Table 1. The quantity recorded for calcium </w:t>
      </w:r>
      <w:r w:rsidR="004228EA" w:rsidRPr="00E128C6">
        <w:rPr>
          <w:rFonts w:ascii="Times New Roman" w:hAnsi="Times New Roman" w:cs="Times New Roman"/>
          <w:sz w:val="24"/>
          <w:szCs w:val="24"/>
          <w:highlight w:val="yellow"/>
        </w:rPr>
        <w:t>was</w:t>
      </w:r>
      <w:r w:rsidR="004228EA">
        <w:rPr>
          <w:rFonts w:ascii="Times New Roman" w:hAnsi="Times New Roman" w:cs="Times New Roman"/>
          <w:sz w:val="24"/>
          <w:szCs w:val="24"/>
        </w:rPr>
        <w:t xml:space="preserve"> </w:t>
      </w:r>
      <w:r>
        <w:rPr>
          <w:rFonts w:ascii="Times New Roman" w:hAnsi="Times New Roman" w:cs="Times New Roman"/>
          <w:sz w:val="24"/>
          <w:szCs w:val="24"/>
        </w:rPr>
        <w:t>83.33mg/kg, 63.33mg/kg, 110.00mg/kg, 66.67mg/kg, 60.00mg/kg, 50.00mg/kg, 96.67mg/kg, 56.67mg/kg and 76.67mg/kg for leaf, stem bark, and roots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and Erythrina senegalensis. Ca is clearly shown to be highest in the roots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followed by the </w:t>
      </w:r>
      <w:r w:rsidR="004228EA" w:rsidRPr="00E128C6">
        <w:rPr>
          <w:rFonts w:ascii="Times New Roman" w:hAnsi="Times New Roman" w:cs="Times New Roman"/>
          <w:sz w:val="24"/>
          <w:szCs w:val="24"/>
          <w:highlight w:val="yellow"/>
        </w:rPr>
        <w:t>leaves</w:t>
      </w:r>
      <w:r w:rsidR="004228EA">
        <w:rPr>
          <w:rFonts w:ascii="Times New Roman" w:hAnsi="Times New Roman" w:cs="Times New Roman"/>
          <w:sz w:val="24"/>
          <w:szCs w:val="24"/>
        </w:rPr>
        <w:t xml:space="preserve"> </w:t>
      </w:r>
      <w:r>
        <w:rPr>
          <w:rFonts w:ascii="Times New Roman" w:hAnsi="Times New Roman" w:cs="Times New Roman"/>
          <w:sz w:val="24"/>
          <w:szCs w:val="24"/>
        </w:rPr>
        <w:t xml:space="preserve">of Erythrina senegalensis, and then the </w:t>
      </w:r>
      <w:r w:rsidR="004228EA" w:rsidRPr="00E128C6">
        <w:rPr>
          <w:rFonts w:ascii="Times New Roman" w:hAnsi="Times New Roman" w:cs="Times New Roman"/>
          <w:sz w:val="24"/>
          <w:szCs w:val="24"/>
          <w:highlight w:val="yellow"/>
        </w:rPr>
        <w:t>leaves</w:t>
      </w:r>
      <w:r w:rsidR="004228EA">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in Figure 10. The roots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had the lowest concentration. Ca is commonly found in high concentrations in plants (Meyer, 2012). It helps in blood coagulation, oxygen transfer, cellular fluid secretion, and enzyme function. </w:t>
      </w:r>
      <w:r w:rsidR="004228EA" w:rsidRPr="00E128C6">
        <w:rPr>
          <w:rFonts w:ascii="Times New Roman" w:hAnsi="Times New Roman" w:cs="Times New Roman"/>
          <w:sz w:val="24"/>
          <w:szCs w:val="24"/>
          <w:highlight w:val="yellow"/>
        </w:rPr>
        <w:t>Deficient adults</w:t>
      </w:r>
      <w:r>
        <w:rPr>
          <w:rFonts w:ascii="Times New Roman" w:hAnsi="Times New Roman" w:cs="Times New Roman"/>
          <w:sz w:val="24"/>
          <w:szCs w:val="24"/>
        </w:rPr>
        <w:t xml:space="preserve"> may develop osteoporosis, while children may develop rickets (</w:t>
      </w:r>
      <w:proofErr w:type="spellStart"/>
      <w:proofErr w:type="gramStart"/>
      <w:r>
        <w:rPr>
          <w:rFonts w:ascii="Times New Roman" w:hAnsi="Times New Roman" w:cs="Times New Roman"/>
          <w:sz w:val="24"/>
          <w:szCs w:val="24"/>
        </w:rPr>
        <w:t>Assaolu</w:t>
      </w:r>
      <w:proofErr w:type="spellEnd"/>
      <w:r>
        <w:rPr>
          <w:rFonts w:ascii="Times New Roman" w:hAnsi="Times New Roman" w:cs="Times New Roman"/>
          <w:sz w:val="24"/>
          <w:szCs w:val="24"/>
        </w:rPr>
        <w:t xml:space="preserve"> </w:t>
      </w:r>
      <w:r w:rsidR="004228EA">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Assaolu</w:t>
      </w:r>
      <w:proofErr w:type="spellEnd"/>
      <w:r>
        <w:rPr>
          <w:rFonts w:ascii="Times New Roman" w:hAnsi="Times New Roman" w:cs="Times New Roman"/>
          <w:sz w:val="24"/>
          <w:szCs w:val="24"/>
        </w:rPr>
        <w:t xml:space="preserve">, 2010). </w:t>
      </w:r>
    </w:p>
    <w:p w14:paraId="5A49E1BA" w14:textId="77777777" w:rsidR="00C75191" w:rsidRDefault="00C75191">
      <w:pPr>
        <w:spacing w:line="480" w:lineRule="auto"/>
        <w:jc w:val="both"/>
        <w:rPr>
          <w:rFonts w:ascii="Times New Roman" w:hAnsi="Times New Roman" w:cs="Times New Roman"/>
          <w:b/>
          <w:sz w:val="24"/>
          <w:szCs w:val="24"/>
        </w:rPr>
      </w:pPr>
    </w:p>
    <w:p w14:paraId="5F659055"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5B8200E" wp14:editId="03B26273">
                <wp:simplePos x="0" y="0"/>
                <wp:positionH relativeFrom="leftMargin">
                  <wp:posOffset>-334645</wp:posOffset>
                </wp:positionH>
                <wp:positionV relativeFrom="paragraph">
                  <wp:posOffset>1355725</wp:posOffset>
                </wp:positionV>
                <wp:extent cx="1494790" cy="266700"/>
                <wp:effectExtent l="12700" t="11430" r="6350" b="17780"/>
                <wp:wrapNone/>
                <wp:docPr id="28" name="Text Box 6"/>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159F9CE" w14:textId="77777777" w:rsidR="00C75191" w:rsidRDefault="00000000">
                            <w:r>
                              <w:t>Concentration (mg/kg)</w:t>
                            </w:r>
                          </w:p>
                          <w:p w14:paraId="23D14F18"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5B8200E" id="Text Box 6" o:spid="_x0000_s1035" type="#_x0000_t202" style="position:absolute;left:0;text-align:left;margin-left:-26.35pt;margin-top:106.75pt;width:117.7pt;height:21pt;rotation:-90;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srHAIAAH8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" fillcolor="white [3212]" strokecolor="white [3212]" strokeweight=".5pt">
                <v:textbox style="layout-flow:vertical">
                  <w:txbxContent>
                    <w:p w14:paraId="7159F9CE" w14:textId="77777777" w:rsidR="00C75191" w:rsidRDefault="00000000">
                      <w:r>
                        <w:t>Concentration (mg/kg)</w:t>
                      </w:r>
                    </w:p>
                    <w:p w14:paraId="23D14F18"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6D779371" wp14:editId="1F6042B3">
            <wp:extent cx="5486400" cy="3200400"/>
            <wp:effectExtent l="0" t="0" r="0" b="0"/>
            <wp:docPr id="29" name="Chart 1616797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D41DEB" w14:textId="34BE0F1B"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10: Distribution </w:t>
      </w:r>
      <w:r w:rsidR="004228EA" w:rsidRPr="00E128C6">
        <w:rPr>
          <w:rFonts w:ascii="Times New Roman" w:hAnsi="Times New Roman" w:cs="Times New Roman"/>
          <w:b/>
          <w:sz w:val="24"/>
          <w:szCs w:val="24"/>
          <w:highlight w:val="yellow"/>
        </w:rPr>
        <w:t>of</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calcium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4228EA" w:rsidRPr="00E128C6">
        <w:rPr>
          <w:rFonts w:ascii="Times New Roman" w:hAnsi="Times New Roman" w:cs="Times New Roman"/>
          <w:b/>
          <w:sz w:val="24"/>
          <w:szCs w:val="24"/>
          <w:highlight w:val="yellow"/>
        </w:rPr>
        <w:t>stems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778C7DCF" w14:textId="77777777" w:rsidR="00C75191" w:rsidRDefault="00C75191">
      <w:pPr>
        <w:spacing w:line="480" w:lineRule="auto"/>
        <w:jc w:val="both"/>
        <w:rPr>
          <w:rFonts w:ascii="Times New Roman" w:hAnsi="Times New Roman" w:cs="Times New Roman"/>
          <w:sz w:val="24"/>
          <w:szCs w:val="24"/>
        </w:rPr>
      </w:pPr>
    </w:p>
    <w:p w14:paraId="63C36C4D" w14:textId="7777777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Potassium</w:t>
      </w:r>
    </w:p>
    <w:p w14:paraId="5B1EBAC9" w14:textId="5AA28BDC"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potassium graph in </w:t>
      </w:r>
      <w:r w:rsidR="004228EA" w:rsidRPr="00E128C6">
        <w:rPr>
          <w:rFonts w:ascii="Times New Roman" w:hAnsi="Times New Roman" w:cs="Times New Roman"/>
          <w:sz w:val="24"/>
          <w:szCs w:val="24"/>
          <w:highlight w:val="yellow"/>
        </w:rPr>
        <w:t>Figure</w:t>
      </w:r>
      <w:r w:rsidR="004228EA">
        <w:rPr>
          <w:rFonts w:ascii="Times New Roman" w:hAnsi="Times New Roman" w:cs="Times New Roman"/>
          <w:sz w:val="24"/>
          <w:szCs w:val="24"/>
        </w:rPr>
        <w:t xml:space="preserve"> </w:t>
      </w:r>
      <w:r>
        <w:rPr>
          <w:rFonts w:ascii="Times New Roman" w:hAnsi="Times New Roman" w:cs="Times New Roman"/>
          <w:sz w:val="24"/>
          <w:szCs w:val="24"/>
        </w:rPr>
        <w:t xml:space="preserve">11 clearly shows that potassium has the maximum concentrations of 195.455mg/kg, 187.980mg/kg, and 182.734mg/kg in the roots of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roots, and Erythrina senegalensis </w:t>
      </w:r>
      <w:r w:rsidR="004228EA" w:rsidRPr="00E128C6">
        <w:rPr>
          <w:rFonts w:ascii="Times New Roman" w:hAnsi="Times New Roman" w:cs="Times New Roman"/>
          <w:sz w:val="24"/>
          <w:szCs w:val="24"/>
          <w:highlight w:val="yellow"/>
        </w:rPr>
        <w:t>leaves</w:t>
      </w:r>
      <w:r>
        <w:rPr>
          <w:rFonts w:ascii="Times New Roman" w:hAnsi="Times New Roman" w:cs="Times New Roman"/>
          <w:sz w:val="24"/>
          <w:szCs w:val="24"/>
        </w:rPr>
        <w:t xml:space="preserve">, respectively. Others are 181.212mg/kg, 168.182mg/kg, and 165.455mg/kg for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stem bark,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leaf, and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stem bark, respectively. This is followed by 139.697mg/kg for</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leaf, 133.939mg/kg for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roots, and 35.445mg/kg for Erythrina senegalensis stem bark. Potassium is a necessary element and a major intracellular cation that aids in the regulation of osmotic pressure and pH homeostasis. Afshin and Masoud (2008) advocate a daily consumption of 4700mg. A potassium excess can cause heart malfunction (</w:t>
      </w:r>
      <w:proofErr w:type="spellStart"/>
      <w:r>
        <w:rPr>
          <w:rFonts w:ascii="Times New Roman" w:hAnsi="Times New Roman" w:cs="Times New Roman"/>
          <w:sz w:val="24"/>
          <w:szCs w:val="24"/>
        </w:rPr>
        <w:t>Alwakeel</w:t>
      </w:r>
      <w:proofErr w:type="spellEnd"/>
      <w:r>
        <w:rPr>
          <w:rFonts w:ascii="Times New Roman" w:hAnsi="Times New Roman" w:cs="Times New Roman"/>
          <w:sz w:val="24"/>
          <w:szCs w:val="24"/>
        </w:rPr>
        <w:t>, 2008), but a K deficit causes muscle weakness, decreased reflex responses, and respiratory paralysis. The potassium safety limit is 120.0 - 473.7mg/kg (WHO 2011). All the plant samples tested were within limits.</w:t>
      </w:r>
    </w:p>
    <w:p w14:paraId="44F091AD"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AEB8F30" wp14:editId="49E10D30">
                <wp:simplePos x="0" y="0"/>
                <wp:positionH relativeFrom="leftMargin">
                  <wp:posOffset>-324293</wp:posOffset>
                </wp:positionH>
                <wp:positionV relativeFrom="paragraph">
                  <wp:posOffset>1202277</wp:posOffset>
                </wp:positionV>
                <wp:extent cx="1494790" cy="266700"/>
                <wp:effectExtent l="12700" t="11430" r="6350" b="17780"/>
                <wp:wrapNone/>
                <wp:docPr id="30" name="Text Box 6"/>
                <wp:cNvGraphicFramePr/>
                <a:graphic xmlns:a="http://schemas.openxmlformats.org/drawingml/2006/main">
                  <a:graphicData uri="http://schemas.microsoft.com/office/word/2010/wordprocessingShape">
                    <wps:wsp>
                      <wps:cNvSpPr txBox="1"/>
                      <wps:spPr bwMode="auto">
                        <a:xfrm rot="16199999">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AD0545A" w14:textId="77777777" w:rsidR="00C75191" w:rsidRDefault="00000000">
                            <w:r>
                              <w:t>Concentration (mg/kg)</w:t>
                            </w:r>
                          </w:p>
                          <w:p w14:paraId="7540BEE2"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AEB8F30" id="_x0000_s1036" type="#_x0000_t202" style="position:absolute;left:0;text-align:left;margin-left:-25.55pt;margin-top:94.65pt;width:117.7pt;height:21pt;rotation:-5898241fd;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" fillcolor="white [3212]" strokecolor="white [3212]" strokeweight=".5pt">
                <v:textbox style="layout-flow:vertical">
                  <w:txbxContent>
                    <w:p w14:paraId="0AD0545A" w14:textId="77777777" w:rsidR="00C75191" w:rsidRDefault="00000000">
                      <w:r>
                        <w:t>Concentration (mg/kg)</w:t>
                      </w:r>
                    </w:p>
                    <w:p w14:paraId="7540BEE2"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59C3C1BA" wp14:editId="45EBEDDD">
            <wp:extent cx="4989444" cy="2872409"/>
            <wp:effectExtent l="0" t="0" r="20955" b="23495"/>
            <wp:docPr id="31" name="Chart 2031422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E7DB29" w14:textId="27D691B8"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11: Distribution </w:t>
      </w:r>
      <w:r w:rsidR="004228EA">
        <w:rPr>
          <w:rFonts w:ascii="Times New Roman" w:hAnsi="Times New Roman" w:cs="Times New Roman"/>
          <w:b/>
          <w:sz w:val="24"/>
          <w:szCs w:val="24"/>
        </w:rPr>
        <w:t xml:space="preserve">of </w:t>
      </w:r>
      <w:r>
        <w:rPr>
          <w:rFonts w:ascii="Times New Roman" w:hAnsi="Times New Roman" w:cs="Times New Roman"/>
          <w:b/>
          <w:sz w:val="24"/>
          <w:szCs w:val="24"/>
        </w:rPr>
        <w:t xml:space="preserve">potassium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stem 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0CCFA5DD" w14:textId="77777777" w:rsidR="00C75191" w:rsidRDefault="00C75191">
      <w:pPr>
        <w:spacing w:line="480" w:lineRule="auto"/>
        <w:jc w:val="both"/>
        <w:rPr>
          <w:rFonts w:ascii="Times New Roman" w:hAnsi="Times New Roman" w:cs="Times New Roman"/>
          <w:sz w:val="24"/>
          <w:szCs w:val="24"/>
        </w:rPr>
      </w:pPr>
    </w:p>
    <w:p w14:paraId="151ACD54"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b/>
          <w:i/>
          <w:sz w:val="24"/>
          <w:szCs w:val="24"/>
        </w:rPr>
        <w:t>Magnesium</w:t>
      </w:r>
    </w:p>
    <w:p w14:paraId="4043D247" w14:textId="56917532"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12 depicts the magnesium concentration in the plants tested. The highest concentration was observed in the roots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sidR="004228EA" w:rsidRPr="00E128C6">
        <w:rPr>
          <w:rFonts w:ascii="Times New Roman" w:hAnsi="Times New Roman" w:cs="Times New Roman"/>
          <w:i/>
          <w:iCs/>
          <w:sz w:val="24"/>
          <w:szCs w:val="24"/>
          <w:highlight w:val="yellow"/>
        </w:rPr>
        <w:t>tintorium</w:t>
      </w:r>
      <w:proofErr w:type="spellEnd"/>
      <w:r>
        <w:rPr>
          <w:rFonts w:ascii="Times New Roman" w:hAnsi="Times New Roman" w:cs="Times New Roman"/>
          <w:sz w:val="24"/>
          <w:szCs w:val="24"/>
        </w:rPr>
        <w:t xml:space="preserve">, at 42.593mg/kg, followed by the </w:t>
      </w:r>
      <w:r w:rsidR="004228EA" w:rsidRPr="00E128C6">
        <w:rPr>
          <w:rFonts w:ascii="Times New Roman" w:hAnsi="Times New Roman" w:cs="Times New Roman"/>
          <w:sz w:val="24"/>
          <w:szCs w:val="24"/>
          <w:highlight w:val="yellow"/>
        </w:rPr>
        <w:t>leaves</w:t>
      </w:r>
      <w:r w:rsidR="004228EA">
        <w:rPr>
          <w:rFonts w:ascii="Times New Roman" w:hAnsi="Times New Roman" w:cs="Times New Roman"/>
          <w:sz w:val="24"/>
          <w:szCs w:val="24"/>
        </w:rPr>
        <w:t xml:space="preserve"> </w:t>
      </w:r>
      <w:r>
        <w:rPr>
          <w:rFonts w:ascii="Times New Roman" w:hAnsi="Times New Roman" w:cs="Times New Roman"/>
          <w:sz w:val="24"/>
          <w:szCs w:val="24"/>
        </w:rPr>
        <w:t xml:space="preserve">of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at 41.852mg/kg and the stem bark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at 41.481mg/kg. Others are 37.778mg/kg for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leaf, 33.333mg/kg for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roots and stem bark of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26.667mg/kg for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leaf, and 5.556mg/kg for Erythrina senegalensis roots. A high magnesium intake in the diet lowers the incidence of sudden cardiac mortality (Anjorin </w:t>
      </w:r>
      <w:r>
        <w:rPr>
          <w:rFonts w:ascii="Times New Roman" w:hAnsi="Times New Roman" w:cs="Times New Roman"/>
          <w:i/>
          <w:iCs/>
          <w:sz w:val="24"/>
          <w:szCs w:val="24"/>
        </w:rPr>
        <w:t>et al</w:t>
      </w:r>
      <w:r w:rsidR="004228EA">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Asaolu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Asaolu</w:t>
      </w:r>
      <w:proofErr w:type="spellEnd"/>
      <w:r w:rsidR="00C27908">
        <w:rPr>
          <w:rFonts w:ascii="Times New Roman" w:hAnsi="Times New Roman" w:cs="Times New Roman"/>
          <w:sz w:val="24"/>
          <w:szCs w:val="24"/>
        </w:rPr>
        <w:t>,</w:t>
      </w:r>
      <w:r>
        <w:rPr>
          <w:rFonts w:ascii="Times New Roman" w:hAnsi="Times New Roman" w:cs="Times New Roman"/>
          <w:sz w:val="24"/>
          <w:szCs w:val="24"/>
        </w:rPr>
        <w:t xml:space="preserve"> 2010).</w:t>
      </w:r>
    </w:p>
    <w:p w14:paraId="04E6C191" w14:textId="77777777" w:rsidR="00C75191" w:rsidRDefault="00C75191">
      <w:pPr>
        <w:spacing w:line="480" w:lineRule="auto"/>
        <w:jc w:val="both"/>
        <w:rPr>
          <w:rFonts w:ascii="Times New Roman" w:hAnsi="Times New Roman" w:cs="Times New Roman"/>
          <w:b/>
          <w:sz w:val="24"/>
          <w:szCs w:val="24"/>
        </w:rPr>
      </w:pPr>
    </w:p>
    <w:p w14:paraId="239C8E00"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7110357" wp14:editId="32B9E218">
                <wp:simplePos x="0" y="0"/>
                <wp:positionH relativeFrom="leftMargin">
                  <wp:posOffset>-315595</wp:posOffset>
                </wp:positionH>
                <wp:positionV relativeFrom="paragraph">
                  <wp:posOffset>1355725</wp:posOffset>
                </wp:positionV>
                <wp:extent cx="1494790" cy="266700"/>
                <wp:effectExtent l="12700" t="11430" r="6350" b="17780"/>
                <wp:wrapNone/>
                <wp:docPr id="32" name="Text Box 4"/>
                <wp:cNvGraphicFramePr/>
                <a:graphic xmlns:a="http://schemas.openxmlformats.org/drawingml/2006/main">
                  <a:graphicData uri="http://schemas.microsoft.com/office/word/2010/wordprocessingShape">
                    <wps:wsp>
                      <wps:cNvSpPr txBox="1"/>
                      <wps:spPr bwMode="auto">
                        <a:xfrm rot="-5400000">
                          <a:off x="0" y="0"/>
                          <a:ext cx="149479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576B5311" w14:textId="77777777" w:rsidR="00C75191" w:rsidRDefault="00000000">
                            <w:r>
                              <w:t>Concentration (mg/kg)</w:t>
                            </w:r>
                          </w:p>
                          <w:p w14:paraId="4B5E928F" w14:textId="77777777" w:rsidR="00C75191" w:rsidRDefault="00C75191"/>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7110357" id="Text Box 4" o:spid="_x0000_s1037" type="#_x0000_t202" style="position:absolute;left:0;text-align:left;margin-left:-24.85pt;margin-top:106.75pt;width:117.7pt;height:21pt;rotation:-90;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" fillcolor="white [3212]" strokecolor="white [3212]" strokeweight=".5pt">
                <v:textbox style="layout-flow:vertical">
                  <w:txbxContent>
                    <w:p w14:paraId="576B5311" w14:textId="77777777" w:rsidR="00C75191" w:rsidRDefault="00000000">
                      <w:r>
                        <w:t>Concentration (mg/kg)</w:t>
                      </w:r>
                    </w:p>
                    <w:p w14:paraId="4B5E928F"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2023831E" wp14:editId="0D69EBEB">
            <wp:extent cx="5486400" cy="3200400"/>
            <wp:effectExtent l="0" t="0" r="0" b="0"/>
            <wp:docPr id="33" name="Chart 1840792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295A8F" w14:textId="1F55B32C"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12: Distribution </w:t>
      </w:r>
      <w:r w:rsidR="004228EA" w:rsidRPr="00E128C6">
        <w:rPr>
          <w:rFonts w:ascii="Times New Roman" w:hAnsi="Times New Roman" w:cs="Times New Roman"/>
          <w:b/>
          <w:sz w:val="24"/>
          <w:szCs w:val="24"/>
          <w:highlight w:val="yellow"/>
        </w:rPr>
        <w:t>of</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magnesium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stem 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7B83D4EC" w14:textId="77777777" w:rsidR="00C75191" w:rsidRDefault="00C75191">
      <w:pPr>
        <w:spacing w:line="480" w:lineRule="auto"/>
        <w:jc w:val="both"/>
        <w:rPr>
          <w:rFonts w:ascii="Times New Roman" w:hAnsi="Times New Roman" w:cs="Times New Roman"/>
          <w:sz w:val="24"/>
          <w:szCs w:val="24"/>
        </w:rPr>
      </w:pPr>
    </w:p>
    <w:p w14:paraId="0B8C4BB0" w14:textId="77777777" w:rsidR="00C75191" w:rsidRDefault="00C75191">
      <w:pPr>
        <w:spacing w:line="480" w:lineRule="auto"/>
        <w:jc w:val="both"/>
        <w:rPr>
          <w:rFonts w:ascii="Times New Roman" w:hAnsi="Times New Roman" w:cs="Times New Roman"/>
          <w:sz w:val="24"/>
          <w:szCs w:val="24"/>
        </w:rPr>
      </w:pPr>
    </w:p>
    <w:p w14:paraId="20404C6C"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Manganese</w:t>
      </w:r>
    </w:p>
    <w:p w14:paraId="5DC08886" w14:textId="35C765CB" w:rsidR="00C75191"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13 depicts the distribution of manganese in the samples studied. The stem bark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had the maximum concentration of 0.36mg/kg, followed by 0.30mg/kg for roots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sz w:val="24"/>
          <w:szCs w:val="24"/>
        </w:rPr>
        <w:t xml:space="preserve"> and leaf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0.24mg/kg for roots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leaf of </w:t>
      </w:r>
      <w:proofErr w:type="spellStart"/>
      <w:r>
        <w:rPr>
          <w:rFonts w:ascii="Times New Roman" w:hAnsi="Times New Roman" w:cs="Times New Roman"/>
          <w:i/>
          <w:iCs/>
          <w:sz w:val="24"/>
          <w:szCs w:val="24"/>
        </w:rPr>
        <w:t>Bryophyllum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pinnatum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and leaf of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Others include 0.18mg/kg for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stem bark and </w:t>
      </w:r>
      <w:r>
        <w:rPr>
          <w:rFonts w:ascii="Times New Roman" w:hAnsi="Times New Roman" w:cs="Times New Roman"/>
          <w:i/>
          <w:iCs/>
          <w:sz w:val="24"/>
          <w:szCs w:val="24"/>
        </w:rPr>
        <w:t>Erythrina senegalensis</w:t>
      </w:r>
      <w:r>
        <w:rPr>
          <w:rFonts w:ascii="Times New Roman" w:hAnsi="Times New Roman" w:cs="Times New Roman"/>
          <w:sz w:val="24"/>
          <w:szCs w:val="24"/>
        </w:rPr>
        <w:t xml:space="preserve"> roots. Mn is found in the stem bark of </w:t>
      </w:r>
      <w:proofErr w:type="spellStart"/>
      <w:r>
        <w:rPr>
          <w:rFonts w:ascii="Times New Roman" w:hAnsi="Times New Roman" w:cs="Times New Roman"/>
          <w:i/>
          <w:iCs/>
          <w:sz w:val="24"/>
          <w:szCs w:val="24"/>
        </w:rPr>
        <w:t>Cochlospermum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tintorium</w:t>
      </w:r>
      <w:proofErr w:type="spellEnd"/>
      <w:r>
        <w:rPr>
          <w:rFonts w:ascii="Times New Roman" w:hAnsi="Times New Roman" w:cs="Times New Roman"/>
          <w:sz w:val="24"/>
          <w:szCs w:val="24"/>
        </w:rPr>
        <w:t xml:space="preserve"> at the lowest quantity of 0.061mg/kg. Mn is a significant mineral associated with glucose and fat metabolism (Kirmani </w:t>
      </w:r>
      <w:r>
        <w:rPr>
          <w:rFonts w:ascii="Times New Roman" w:hAnsi="Times New Roman" w:cs="Times New Roman"/>
          <w:i/>
          <w:iCs/>
          <w:sz w:val="24"/>
          <w:szCs w:val="24"/>
        </w:rPr>
        <w:t>et al.</w:t>
      </w:r>
      <w:r>
        <w:rPr>
          <w:rFonts w:ascii="Times New Roman" w:hAnsi="Times New Roman" w:cs="Times New Roman"/>
          <w:sz w:val="24"/>
          <w:szCs w:val="24"/>
        </w:rPr>
        <w:t xml:space="preserve">, 2011). According to FAO/WHO (2011), the permitted limit of Mn in edible plants is 2ppm. All the plants examined are listed below. All the plants </w:t>
      </w:r>
      <w:proofErr w:type="spellStart"/>
      <w:r w:rsidR="004228EA" w:rsidRPr="00E128C6">
        <w:rPr>
          <w:rFonts w:ascii="Times New Roman" w:hAnsi="Times New Roman" w:cs="Times New Roman"/>
          <w:sz w:val="24"/>
          <w:szCs w:val="24"/>
          <w:highlight w:val="yellow"/>
        </w:rPr>
        <w:t>analysed</w:t>
      </w:r>
      <w:proofErr w:type="spellEnd"/>
      <w:r w:rsidR="004228EA">
        <w:rPr>
          <w:rFonts w:ascii="Times New Roman" w:hAnsi="Times New Roman" w:cs="Times New Roman"/>
          <w:sz w:val="24"/>
          <w:szCs w:val="24"/>
        </w:rPr>
        <w:t xml:space="preserve"> </w:t>
      </w:r>
      <w:r>
        <w:rPr>
          <w:rFonts w:ascii="Times New Roman" w:hAnsi="Times New Roman" w:cs="Times New Roman"/>
          <w:sz w:val="24"/>
          <w:szCs w:val="24"/>
        </w:rPr>
        <w:t>fall below the permissible limits.</w:t>
      </w:r>
    </w:p>
    <w:p w14:paraId="3E426CD9" w14:textId="77777777" w:rsidR="00C75191" w:rsidRDefault="00C75191">
      <w:pPr>
        <w:spacing w:line="480" w:lineRule="auto"/>
        <w:jc w:val="both"/>
        <w:rPr>
          <w:rFonts w:ascii="Times New Roman" w:hAnsi="Times New Roman" w:cs="Times New Roman"/>
          <w:b/>
          <w:sz w:val="24"/>
          <w:szCs w:val="24"/>
        </w:rPr>
      </w:pPr>
    </w:p>
    <w:p w14:paraId="15569774"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38C5DEE" wp14:editId="2AFC38D9">
                <wp:simplePos x="0" y="0"/>
                <wp:positionH relativeFrom="leftMargin">
                  <wp:posOffset>-276225</wp:posOffset>
                </wp:positionH>
                <wp:positionV relativeFrom="paragraph">
                  <wp:posOffset>1436370</wp:posOffset>
                </wp:positionV>
                <wp:extent cx="1494790" cy="266700"/>
                <wp:effectExtent l="4445" t="0" r="14604" b="14604"/>
                <wp:wrapNone/>
                <wp:docPr id="34" name="Text Box 1464452018"/>
                <wp:cNvGraphicFramePr/>
                <a:graphic xmlns:a="http://schemas.openxmlformats.org/drawingml/2006/main">
                  <a:graphicData uri="http://schemas.microsoft.com/office/word/2010/wordprocessingShape">
                    <wps:wsp>
                      <wps:cNvSpPr txBox="1"/>
                      <wps:spPr bwMode="auto">
                        <a:xfrm rot="16199999">
                          <a:off x="0" y="0"/>
                          <a:ext cx="149479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A7283D" w14:textId="77777777" w:rsidR="00C75191" w:rsidRDefault="00000000">
                            <w:r>
                              <w:t>Concentration (mg/kg)</w:t>
                            </w:r>
                          </w:p>
                          <w:p w14:paraId="12BF9C42" w14:textId="77777777" w:rsidR="00C75191" w:rsidRDefault="00C75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38C5DEE" id="Text Box 1464452018" o:spid="_x0000_s1038" type="#_x0000_t202" style="position:absolute;left:0;text-align:left;margin-left:-21.75pt;margin-top:113.1pt;width:117.7pt;height:21pt;rotation:-5898241fd;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" fillcolor="white [3212]" strokecolor="white [3212]" strokeweight=".5pt">
                <v:textbox>
                  <w:txbxContent>
                    <w:p w14:paraId="67A7283D" w14:textId="77777777" w:rsidR="00C75191" w:rsidRDefault="00000000">
                      <w:r>
                        <w:t>Concentration (mg/kg)</w:t>
                      </w:r>
                    </w:p>
                    <w:p w14:paraId="12BF9C42" w14:textId="77777777" w:rsidR="00C75191" w:rsidRDefault="00C75191"/>
                  </w:txbxContent>
                </v:textbox>
                <w10:wrap anchorx="margin"/>
              </v:shape>
            </w:pict>
          </mc:Fallback>
        </mc:AlternateContent>
      </w:r>
      <w:r>
        <w:rPr>
          <w:rFonts w:ascii="Times New Roman" w:hAnsi="Times New Roman" w:cs="Times New Roman"/>
          <w:noProof/>
          <w:sz w:val="24"/>
          <w:szCs w:val="24"/>
        </w:rPr>
        <w:drawing>
          <wp:inline distT="0" distB="0" distL="0" distR="0" wp14:anchorId="291D97F4" wp14:editId="6F5B2B2D">
            <wp:extent cx="5486400" cy="3200400"/>
            <wp:effectExtent l="0" t="0" r="0" b="0"/>
            <wp:docPr id="35" name="Chart 1501026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DA3943" w14:textId="6DA8DC37"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13: Distribution </w:t>
      </w:r>
      <w:r w:rsidR="004228EA" w:rsidRPr="00E128C6">
        <w:rPr>
          <w:rFonts w:ascii="Times New Roman" w:hAnsi="Times New Roman" w:cs="Times New Roman"/>
          <w:b/>
          <w:sz w:val="24"/>
          <w:szCs w:val="24"/>
          <w:highlight w:val="yellow"/>
        </w:rPr>
        <w:t>of</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manganese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4228EA" w:rsidRPr="00E128C6">
        <w:rPr>
          <w:rFonts w:ascii="Times New Roman" w:hAnsi="Times New Roman" w:cs="Times New Roman"/>
          <w:b/>
          <w:sz w:val="24"/>
          <w:szCs w:val="24"/>
          <w:highlight w:val="yellow"/>
        </w:rPr>
        <w:t>stems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extracts 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5DD39C66" w14:textId="77777777" w:rsidR="00C75191" w:rsidRDefault="00C75191">
      <w:pPr>
        <w:spacing w:line="480" w:lineRule="auto"/>
        <w:jc w:val="both"/>
        <w:rPr>
          <w:rFonts w:ascii="Times New Roman" w:hAnsi="Times New Roman" w:cs="Times New Roman"/>
          <w:sz w:val="24"/>
          <w:szCs w:val="24"/>
        </w:rPr>
      </w:pPr>
    </w:p>
    <w:p w14:paraId="1A23E5D3" w14:textId="77777777" w:rsidR="00C75191" w:rsidRDefault="00C75191">
      <w:pPr>
        <w:spacing w:line="480" w:lineRule="auto"/>
        <w:jc w:val="both"/>
        <w:rPr>
          <w:rFonts w:ascii="Times New Roman" w:hAnsi="Times New Roman" w:cs="Times New Roman"/>
          <w:sz w:val="24"/>
          <w:szCs w:val="24"/>
        </w:rPr>
      </w:pPr>
    </w:p>
    <w:p w14:paraId="6E349149" w14:textId="77777777" w:rsidR="00C75191" w:rsidRDefault="0000000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Sodium</w:t>
      </w:r>
    </w:p>
    <w:p w14:paraId="71B6A237" w14:textId="77777777" w:rsidR="00C75191" w:rsidRDefault="00000000">
      <w:p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Figure 14 depicts a graphical representation of the varied Na concentrations in the samples tested. The highest concentration of 16.667mg/kg was found in the leaf of </w:t>
      </w:r>
      <w:proofErr w:type="spellStart"/>
      <w:r>
        <w:rPr>
          <w:rFonts w:ascii="Times New Roman" w:hAnsi="Times New Roman" w:cs="Times New Roman"/>
          <w:bCs/>
          <w:i/>
          <w:sz w:val="24"/>
          <w:szCs w:val="24"/>
        </w:rPr>
        <w:t>Cochlospermum</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tintorium</w:t>
      </w:r>
      <w:proofErr w:type="spellEnd"/>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followed by 15.873mg/kg for leaf of </w:t>
      </w:r>
      <w:proofErr w:type="spellStart"/>
      <w:r>
        <w:rPr>
          <w:rFonts w:ascii="Times New Roman" w:hAnsi="Times New Roman" w:cs="Times New Roman"/>
          <w:bCs/>
          <w:i/>
          <w:sz w:val="24"/>
          <w:szCs w:val="24"/>
        </w:rPr>
        <w:t>Bryophyllum</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pinnatum</w:t>
      </w:r>
      <w:proofErr w:type="spellEnd"/>
      <w:r>
        <w:rPr>
          <w:rFonts w:ascii="Times New Roman" w:hAnsi="Times New Roman" w:cs="Times New Roman"/>
          <w:bCs/>
          <w:iCs/>
          <w:sz w:val="24"/>
          <w:szCs w:val="24"/>
        </w:rPr>
        <w:t xml:space="preserve">, 13.492mg/kg for stem bark of </w:t>
      </w:r>
      <w:proofErr w:type="spellStart"/>
      <w:r>
        <w:rPr>
          <w:rFonts w:ascii="Times New Roman" w:hAnsi="Times New Roman" w:cs="Times New Roman"/>
          <w:bCs/>
          <w:i/>
          <w:sz w:val="24"/>
          <w:szCs w:val="24"/>
        </w:rPr>
        <w:t>Bryophyllum</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pinnatum</w:t>
      </w:r>
      <w:proofErr w:type="spellEnd"/>
      <w:r>
        <w:rPr>
          <w:rFonts w:ascii="Times New Roman" w:hAnsi="Times New Roman" w:cs="Times New Roman"/>
          <w:bCs/>
          <w:i/>
          <w:sz w:val="24"/>
          <w:szCs w:val="24"/>
        </w:rPr>
        <w:t>,</w:t>
      </w:r>
      <w:r>
        <w:rPr>
          <w:rFonts w:ascii="Times New Roman" w:hAnsi="Times New Roman" w:cs="Times New Roman"/>
          <w:bCs/>
          <w:iCs/>
          <w:sz w:val="24"/>
          <w:szCs w:val="24"/>
        </w:rPr>
        <w:t xml:space="preserve"> 12.698mg/kg for roots of </w:t>
      </w:r>
      <w:proofErr w:type="spellStart"/>
      <w:r>
        <w:rPr>
          <w:rFonts w:ascii="Times New Roman" w:hAnsi="Times New Roman" w:cs="Times New Roman"/>
          <w:bCs/>
          <w:i/>
          <w:sz w:val="24"/>
          <w:szCs w:val="24"/>
        </w:rPr>
        <w:t>Bryophyllum</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pinnatum</w:t>
      </w:r>
      <w:proofErr w:type="spellEnd"/>
      <w:r>
        <w:rPr>
          <w:rFonts w:ascii="Times New Roman" w:hAnsi="Times New Roman" w:cs="Times New Roman"/>
          <w:bCs/>
          <w:i/>
          <w:sz w:val="24"/>
          <w:szCs w:val="24"/>
        </w:rPr>
        <w:t>,</w:t>
      </w:r>
      <w:r>
        <w:rPr>
          <w:rFonts w:ascii="Times New Roman" w:hAnsi="Times New Roman" w:cs="Times New Roman"/>
          <w:bCs/>
          <w:iCs/>
          <w:sz w:val="24"/>
          <w:szCs w:val="24"/>
        </w:rPr>
        <w:t xml:space="preserve"> stem bark of Erythrina senegalensis and roots of </w:t>
      </w:r>
      <w:r>
        <w:rPr>
          <w:rFonts w:ascii="Times New Roman" w:hAnsi="Times New Roman" w:cs="Times New Roman"/>
          <w:bCs/>
          <w:i/>
          <w:sz w:val="24"/>
          <w:szCs w:val="24"/>
        </w:rPr>
        <w:t xml:space="preserve">Erythrina </w:t>
      </w:r>
      <w:proofErr w:type="spellStart"/>
      <w:r>
        <w:rPr>
          <w:rFonts w:ascii="Times New Roman" w:hAnsi="Times New Roman" w:cs="Times New Roman"/>
          <w:bCs/>
          <w:i/>
          <w:sz w:val="24"/>
          <w:szCs w:val="24"/>
        </w:rPr>
        <w:t>sensgalensis</w:t>
      </w:r>
      <w:proofErr w:type="spellEnd"/>
      <w:r>
        <w:rPr>
          <w:rFonts w:ascii="Times New Roman" w:hAnsi="Times New Roman" w:cs="Times New Roman"/>
          <w:bCs/>
          <w:iCs/>
          <w:sz w:val="24"/>
          <w:szCs w:val="24"/>
        </w:rPr>
        <w:t xml:space="preserve">, 11.111mg/kg for the stem bark and roots of </w:t>
      </w:r>
      <w:proofErr w:type="spellStart"/>
      <w:r>
        <w:rPr>
          <w:rFonts w:ascii="Times New Roman" w:hAnsi="Times New Roman" w:cs="Times New Roman"/>
          <w:bCs/>
          <w:i/>
          <w:sz w:val="24"/>
          <w:szCs w:val="24"/>
        </w:rPr>
        <w:t>Cochlospermum</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tintorium</w:t>
      </w:r>
      <w:proofErr w:type="spellEnd"/>
      <w:r>
        <w:rPr>
          <w:rFonts w:ascii="Times New Roman" w:hAnsi="Times New Roman" w:cs="Times New Roman"/>
          <w:bCs/>
          <w:iCs/>
          <w:sz w:val="24"/>
          <w:szCs w:val="24"/>
        </w:rPr>
        <w:t xml:space="preserve"> and with the lowest concentration of 9.523mg/kg for the leaf of Erythrina senegalensis. Na is the most abundant intracellular ion in the body. It is involved in the synthesis of energy as well as the transfer of amino acids and glucose into body cells (Norma and Joseph, 2016). Excessive Na consumption causes high</w:t>
      </w:r>
    </w:p>
    <w:p w14:paraId="067A0C33" w14:textId="77777777" w:rsidR="00C75191" w:rsidRDefault="00C75191">
      <w:pPr>
        <w:spacing w:line="480" w:lineRule="auto"/>
        <w:jc w:val="both"/>
        <w:rPr>
          <w:rFonts w:ascii="Times New Roman" w:hAnsi="Times New Roman" w:cs="Times New Roman"/>
          <w:sz w:val="24"/>
          <w:szCs w:val="24"/>
        </w:rPr>
      </w:pPr>
    </w:p>
    <w:p w14:paraId="1332A984" w14:textId="77777777" w:rsidR="00C75191" w:rsidRDefault="00C75191">
      <w:pPr>
        <w:spacing w:line="480" w:lineRule="auto"/>
        <w:jc w:val="both"/>
        <w:rPr>
          <w:rFonts w:ascii="Times New Roman" w:hAnsi="Times New Roman" w:cs="Times New Roman"/>
          <w:b/>
          <w:sz w:val="24"/>
          <w:szCs w:val="24"/>
        </w:rPr>
      </w:pPr>
    </w:p>
    <w:p w14:paraId="199DEE25" w14:textId="77777777" w:rsidR="00C75191"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7945EC0" wp14:editId="3203B9E7">
                <wp:simplePos x="0" y="0"/>
                <wp:positionH relativeFrom="leftMargin">
                  <wp:posOffset>-418465</wp:posOffset>
                </wp:positionH>
                <wp:positionV relativeFrom="paragraph">
                  <wp:posOffset>1548765</wp:posOffset>
                </wp:positionV>
                <wp:extent cx="1515110" cy="266700"/>
                <wp:effectExtent l="15240" t="12700" r="13335" b="15240"/>
                <wp:wrapNone/>
                <wp:docPr id="36" name="Text Box 2"/>
                <wp:cNvGraphicFramePr/>
                <a:graphic xmlns:a="http://schemas.openxmlformats.org/drawingml/2006/main">
                  <a:graphicData uri="http://schemas.microsoft.com/office/word/2010/wordprocessingShape">
                    <wps:wsp>
                      <wps:cNvSpPr txBox="1"/>
                      <wps:spPr bwMode="auto">
                        <a:xfrm rot="-5400000">
                          <a:off x="0" y="0"/>
                          <a:ext cx="1515110" cy="2667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2BCFE2DB" w14:textId="77777777" w:rsidR="00C75191" w:rsidRDefault="00000000">
                            <w:r>
                              <w:t>Concentration (mg/kg)</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7945EC0" id="Text Box 2" o:spid="_x0000_s1039" type="#_x0000_t202" style="position:absolute;left:0;text-align:left;margin-left:-32.95pt;margin-top:121.95pt;width:119.3pt;height:21pt;rotation:-90;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" fillcolor="white [3212]" strokecolor="white [3212]" strokeweight=".5pt">
                <v:textbox style="layout-flow:vertical">
                  <w:txbxContent>
                    <w:p w14:paraId="2BCFE2DB" w14:textId="77777777" w:rsidR="00C75191" w:rsidRDefault="00000000">
                      <w:r>
                        <w:t>Concentration (mg/kg)</w:t>
                      </w:r>
                    </w:p>
                  </w:txbxContent>
                </v:textbox>
                <w10:wrap anchorx="margin"/>
              </v:shape>
            </w:pict>
          </mc:Fallback>
        </mc:AlternateContent>
      </w:r>
      <w:r>
        <w:rPr>
          <w:rFonts w:ascii="Times New Roman" w:hAnsi="Times New Roman" w:cs="Times New Roman"/>
          <w:noProof/>
          <w:sz w:val="24"/>
          <w:szCs w:val="24"/>
        </w:rPr>
        <w:drawing>
          <wp:inline distT="0" distB="0" distL="0" distR="0" wp14:anchorId="53FF97B4" wp14:editId="0F6BA47E">
            <wp:extent cx="5410200" cy="3200400"/>
            <wp:effectExtent l="0" t="0" r="0" b="0"/>
            <wp:docPr id="37" name="Chart 1216301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3EBF1A" w14:textId="7ACF2221" w:rsidR="00C75191"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14: Distribution </w:t>
      </w:r>
      <w:r w:rsidR="004228EA" w:rsidRPr="00E128C6">
        <w:rPr>
          <w:rFonts w:ascii="Times New Roman" w:hAnsi="Times New Roman" w:cs="Times New Roman"/>
          <w:b/>
          <w:sz w:val="24"/>
          <w:szCs w:val="24"/>
          <w:highlight w:val="yellow"/>
        </w:rPr>
        <w:t>of</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sodium in the Methanolic </w:t>
      </w:r>
      <w:r w:rsidR="004228EA" w:rsidRPr="00E128C6">
        <w:rPr>
          <w:rFonts w:ascii="Times New Roman" w:hAnsi="Times New Roman" w:cs="Times New Roman"/>
          <w:b/>
          <w:sz w:val="24"/>
          <w:szCs w:val="24"/>
          <w:highlight w:val="yellow"/>
        </w:rPr>
        <w:t>leaves</w:t>
      </w:r>
      <w:r>
        <w:rPr>
          <w:rFonts w:ascii="Times New Roman" w:hAnsi="Times New Roman" w:cs="Times New Roman"/>
          <w:b/>
          <w:sz w:val="24"/>
          <w:szCs w:val="24"/>
        </w:rPr>
        <w:t xml:space="preserve">, </w:t>
      </w:r>
      <w:r w:rsidR="004228EA" w:rsidRPr="00E128C6">
        <w:rPr>
          <w:rFonts w:ascii="Times New Roman" w:hAnsi="Times New Roman" w:cs="Times New Roman"/>
          <w:b/>
          <w:sz w:val="24"/>
          <w:szCs w:val="24"/>
          <w:highlight w:val="yellow"/>
        </w:rPr>
        <w:t>roots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4228EA" w:rsidRPr="00E128C6">
        <w:rPr>
          <w:rFonts w:ascii="Times New Roman" w:hAnsi="Times New Roman" w:cs="Times New Roman"/>
          <w:b/>
          <w:sz w:val="24"/>
          <w:szCs w:val="24"/>
          <w:highlight w:val="yellow"/>
        </w:rPr>
        <w:t>stems</w:t>
      </w:r>
      <w:r w:rsidR="004228EA">
        <w:rPr>
          <w:rFonts w:ascii="Times New Roman" w:hAnsi="Times New Roman" w:cs="Times New Roman"/>
          <w:b/>
          <w:sz w:val="24"/>
          <w:szCs w:val="24"/>
        </w:rPr>
        <w:t xml:space="preserve"> </w:t>
      </w:r>
      <w:r>
        <w:rPr>
          <w:rFonts w:ascii="Times New Roman" w:hAnsi="Times New Roman" w:cs="Times New Roman"/>
          <w:b/>
          <w:sz w:val="24"/>
          <w:szCs w:val="24"/>
        </w:rPr>
        <w:t xml:space="preserve">of </w:t>
      </w:r>
      <w:proofErr w:type="spellStart"/>
      <w:r>
        <w:rPr>
          <w:rFonts w:ascii="Times New Roman" w:hAnsi="Times New Roman" w:cs="Times New Roman"/>
          <w:b/>
          <w:bCs/>
          <w:i/>
          <w:sz w:val="24"/>
          <w:szCs w:val="24"/>
        </w:rPr>
        <w:t>Bryophyllum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pinnatum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Cochlospermum</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tintorium</w:t>
      </w:r>
      <w:proofErr w:type="spellEnd"/>
      <w:r>
        <w:rPr>
          <w:rFonts w:ascii="Times New Roman" w:hAnsi="Times New Roman" w:cs="Times New Roman"/>
          <w:b/>
          <w:bCs/>
          <w:i/>
          <w:sz w:val="24"/>
          <w:szCs w:val="24"/>
        </w:rPr>
        <w:t xml:space="preserve"> and Erythrina senegalensis</w:t>
      </w:r>
    </w:p>
    <w:p w14:paraId="175B1091" w14:textId="77777777" w:rsidR="00C75191" w:rsidRDefault="00C75191">
      <w:pPr>
        <w:spacing w:line="480" w:lineRule="auto"/>
        <w:jc w:val="both"/>
        <w:rPr>
          <w:rFonts w:ascii="Times New Roman" w:hAnsi="Times New Roman" w:cs="Times New Roman"/>
          <w:sz w:val="24"/>
          <w:szCs w:val="24"/>
        </w:rPr>
        <w:sectPr w:rsidR="00C75191">
          <w:headerReference w:type="even" r:id="rId26"/>
          <w:headerReference w:type="default" r:id="rId27"/>
          <w:footerReference w:type="default" r:id="rId28"/>
          <w:headerReference w:type="first" r:id="rId29"/>
          <w:pgSz w:w="11907" w:h="16839"/>
          <w:pgMar w:top="993" w:right="1080" w:bottom="426" w:left="1080" w:header="708" w:footer="708" w:gutter="0"/>
          <w:cols w:space="708"/>
        </w:sectPr>
      </w:pPr>
    </w:p>
    <w:p w14:paraId="1B973D7B" w14:textId="77777777" w:rsidR="00C75191"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141E5102" w14:textId="77777777" w:rsidR="00C75191"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indicate that the studied plants generally have concentrations of heavy metals and mineral elements within permissible limits. However, there are slight elevations in some elements in specific plant parts, highlighting the importance of considering the plant species and the specific part used when assessing potential health risks associated with heavy metal and mineral element exposure.</w:t>
      </w:r>
    </w:p>
    <w:p w14:paraId="6A166B7A" w14:textId="77777777" w:rsidR="00C75191"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RECOMMENDATIONS</w:t>
      </w:r>
    </w:p>
    <w:p w14:paraId="79261889" w14:textId="4872C1A7" w:rsidR="00C75191" w:rsidRDefault="0000000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study, we recommend that, while heavy metal concentrations are generally within acceptable limits, it is advisable to be aware of the slight elevations in specific plant parts, especially for long-term or high-dose consumption. Considerations of the specific plant species and part used </w:t>
      </w:r>
      <w:r w:rsidR="004228EA" w:rsidRPr="00E128C6">
        <w:rPr>
          <w:rFonts w:ascii="Times New Roman" w:eastAsia="Times New Roman" w:hAnsi="Times New Roman" w:cs="Times New Roman"/>
          <w:sz w:val="24"/>
          <w:szCs w:val="24"/>
          <w:highlight w:val="yellow"/>
        </w:rPr>
        <w:t>are</w:t>
      </w:r>
      <w:r w:rsidR="004228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crucial when selecting plants for medicinal or dietary purposes</w:t>
      </w:r>
      <w:r w:rsidR="004228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w:t>
      </w:r>
      <w:r w:rsidR="007B73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B7305">
        <w:rPr>
          <w:rFonts w:ascii="Times New Roman" w:eastAsia="Times New Roman" w:hAnsi="Times New Roman" w:cs="Times New Roman"/>
          <w:sz w:val="24"/>
          <w:szCs w:val="24"/>
        </w:rPr>
        <w:t>r</w:t>
      </w:r>
      <w:r>
        <w:rPr>
          <w:rFonts w:ascii="Times New Roman" w:eastAsia="Times New Roman" w:hAnsi="Times New Roman" w:cs="Times New Roman"/>
          <w:sz w:val="24"/>
          <w:szCs w:val="24"/>
        </w:rPr>
        <w:t>egular monitoring of heavy metal concentrations in these plants, especially in regions with environmental pollution is eminent, is recommended. Further research may be conducted to understand the bioavailability and potential health impacts of these elements in the plants studied. Public awareness campaigns regarding the potential health benefits and risks associated with the consumption of these plants can be beneficial.</w:t>
      </w:r>
    </w:p>
    <w:p w14:paraId="45882B37" w14:textId="77777777" w:rsidR="00C75191" w:rsidRDefault="00C75191">
      <w:pPr>
        <w:spacing w:after="0" w:line="480" w:lineRule="auto"/>
        <w:rPr>
          <w:rFonts w:ascii="Times New Roman" w:hAnsi="Times New Roman" w:cs="Times New Roman"/>
          <w:b/>
          <w:sz w:val="24"/>
          <w:szCs w:val="24"/>
        </w:rPr>
      </w:pPr>
    </w:p>
    <w:p w14:paraId="13EEC91B" w14:textId="77777777" w:rsidR="00C75191"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bookmarkStart w:id="17" w:name="_Hlk149164004"/>
      <w:bookmarkEnd w:id="17"/>
    </w:p>
    <w:p w14:paraId="4AA5C868"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Ali, H., Khan, E., &amp; Ilahi, I. (2019). Environmental chemistry and ecotoxicology of hazardous heavy metals: environmental persistence, toxicity, and bioaccumulation. </w:t>
      </w:r>
      <w:r>
        <w:rPr>
          <w:rFonts w:ascii="Times New Roman" w:hAnsi="Times New Roman" w:cs="Times New Roman"/>
          <w:i/>
          <w:iCs/>
          <w:sz w:val="24"/>
          <w:szCs w:val="24"/>
        </w:rPr>
        <w:t>Journal of chemistry</w:t>
      </w:r>
      <w:r>
        <w:rPr>
          <w:rFonts w:ascii="Times New Roman" w:hAnsi="Times New Roman" w:cs="Times New Roman"/>
          <w:sz w:val="24"/>
          <w:szCs w:val="24"/>
        </w:rPr>
        <w:t xml:space="preserve">, </w:t>
      </w:r>
      <w:r>
        <w:rPr>
          <w:rFonts w:ascii="Times New Roman" w:hAnsi="Times New Roman" w:cs="Times New Roman"/>
          <w:i/>
          <w:iCs/>
          <w:sz w:val="24"/>
          <w:szCs w:val="24"/>
        </w:rPr>
        <w:t>2019</w:t>
      </w:r>
      <w:r>
        <w:rPr>
          <w:rFonts w:ascii="Times New Roman" w:hAnsi="Times New Roman" w:cs="Times New Roman"/>
          <w:sz w:val="24"/>
          <w:szCs w:val="24"/>
        </w:rPr>
        <w:t>.</w:t>
      </w:r>
    </w:p>
    <w:p w14:paraId="55060F14"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Alvin, A., Miller, K. I., &amp; Neilan, B. A. (2014). Exploring the potential of endophytes from medicinal plants as sources of antimycobacterial compounds. </w:t>
      </w:r>
      <w:r>
        <w:rPr>
          <w:rFonts w:ascii="Times New Roman" w:hAnsi="Times New Roman" w:cs="Times New Roman"/>
          <w:i/>
          <w:iCs/>
          <w:sz w:val="24"/>
          <w:szCs w:val="24"/>
        </w:rPr>
        <w:t>Microbiological research</w:t>
      </w:r>
      <w:r>
        <w:rPr>
          <w:rFonts w:ascii="Times New Roman" w:hAnsi="Times New Roman" w:cs="Times New Roman"/>
          <w:sz w:val="24"/>
          <w:szCs w:val="24"/>
        </w:rPr>
        <w:t xml:space="preserve">, </w:t>
      </w:r>
      <w:r>
        <w:rPr>
          <w:rFonts w:ascii="Times New Roman" w:hAnsi="Times New Roman" w:cs="Times New Roman"/>
          <w:i/>
          <w:iCs/>
          <w:sz w:val="24"/>
          <w:szCs w:val="24"/>
        </w:rPr>
        <w:t>169</w:t>
      </w:r>
      <w:r>
        <w:rPr>
          <w:rFonts w:ascii="Times New Roman" w:hAnsi="Times New Roman" w:cs="Times New Roman"/>
          <w:sz w:val="24"/>
          <w:szCs w:val="24"/>
        </w:rPr>
        <w:t>(7-8), 483-495.</w:t>
      </w:r>
    </w:p>
    <w:p w14:paraId="647D4F2D"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Catarino, L., Havik, P. J., &amp; </w:t>
      </w:r>
      <w:proofErr w:type="spellStart"/>
      <w:r>
        <w:rPr>
          <w:rFonts w:ascii="Times New Roman" w:hAnsi="Times New Roman" w:cs="Times New Roman"/>
          <w:sz w:val="24"/>
          <w:szCs w:val="24"/>
        </w:rPr>
        <w:t>Romeiras</w:t>
      </w:r>
      <w:proofErr w:type="spellEnd"/>
      <w:r>
        <w:rPr>
          <w:rFonts w:ascii="Times New Roman" w:hAnsi="Times New Roman" w:cs="Times New Roman"/>
          <w:sz w:val="24"/>
          <w:szCs w:val="24"/>
        </w:rPr>
        <w:t xml:space="preserve">, M. M. (2016). Medicinal plants of Guinea-Bissau: Therapeutic applications, ethnic diversity and knowledge transfer. </w:t>
      </w:r>
      <w:r>
        <w:rPr>
          <w:rFonts w:ascii="Times New Roman" w:hAnsi="Times New Roman" w:cs="Times New Roman"/>
          <w:i/>
          <w:iCs/>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183</w:t>
      </w:r>
      <w:r>
        <w:rPr>
          <w:rFonts w:ascii="Times New Roman" w:hAnsi="Times New Roman" w:cs="Times New Roman"/>
          <w:sz w:val="24"/>
          <w:szCs w:val="24"/>
        </w:rPr>
        <w:t>, 71-94.</w:t>
      </w:r>
    </w:p>
    <w:p w14:paraId="3653542E"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Diarra, N., </w:t>
      </w:r>
      <w:proofErr w:type="spellStart"/>
      <w:r>
        <w:rPr>
          <w:rFonts w:ascii="Times New Roman" w:hAnsi="Times New Roman" w:cs="Times New Roman"/>
          <w:sz w:val="24"/>
          <w:szCs w:val="24"/>
        </w:rPr>
        <w:t>van’t</w:t>
      </w:r>
      <w:proofErr w:type="spellEnd"/>
      <w:r>
        <w:rPr>
          <w:rFonts w:ascii="Times New Roman" w:hAnsi="Times New Roman" w:cs="Times New Roman"/>
          <w:sz w:val="24"/>
          <w:szCs w:val="24"/>
        </w:rPr>
        <w:t xml:space="preserve"> Klooster, C., Togola, A., Diallo, D., Willcox, M., &amp; de Jong, J. (2015). Ethnobotanical study of plants used against malaria in </w:t>
      </w:r>
      <w:proofErr w:type="spellStart"/>
      <w:r>
        <w:rPr>
          <w:rFonts w:ascii="Times New Roman" w:hAnsi="Times New Roman" w:cs="Times New Roman"/>
          <w:sz w:val="24"/>
          <w:szCs w:val="24"/>
        </w:rPr>
        <w:t>Sélingué</w:t>
      </w:r>
      <w:proofErr w:type="spellEnd"/>
      <w:r>
        <w:rPr>
          <w:rFonts w:ascii="Times New Roman" w:hAnsi="Times New Roman" w:cs="Times New Roman"/>
          <w:sz w:val="24"/>
          <w:szCs w:val="24"/>
        </w:rPr>
        <w:t xml:space="preserve"> subdistrict, Mali. </w:t>
      </w:r>
      <w:r>
        <w:rPr>
          <w:rFonts w:ascii="Times New Roman" w:hAnsi="Times New Roman" w:cs="Times New Roman"/>
          <w:i/>
          <w:iCs/>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i/>
          <w:iCs/>
          <w:sz w:val="24"/>
          <w:szCs w:val="24"/>
        </w:rPr>
        <w:t>166</w:t>
      </w:r>
      <w:r>
        <w:rPr>
          <w:rFonts w:ascii="Times New Roman" w:hAnsi="Times New Roman" w:cs="Times New Roman"/>
          <w:sz w:val="24"/>
          <w:szCs w:val="24"/>
        </w:rPr>
        <w:t>, 352-360.</w:t>
      </w:r>
    </w:p>
    <w:p w14:paraId="35D13297"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Dinu, C., Vasile, G. G., </w:t>
      </w:r>
      <w:proofErr w:type="spellStart"/>
      <w:r>
        <w:rPr>
          <w:rFonts w:ascii="Times New Roman" w:hAnsi="Times New Roman" w:cs="Times New Roman"/>
          <w:sz w:val="24"/>
          <w:szCs w:val="24"/>
        </w:rPr>
        <w:t>Buleandra</w:t>
      </w:r>
      <w:proofErr w:type="spellEnd"/>
      <w:r>
        <w:rPr>
          <w:rFonts w:ascii="Times New Roman" w:hAnsi="Times New Roman" w:cs="Times New Roman"/>
          <w:sz w:val="24"/>
          <w:szCs w:val="24"/>
        </w:rPr>
        <w:t xml:space="preserve">, M., Popa, D. E., Gheorghe, S., &amp; Ungureanu, E. M. (2020). Translocation and accumulation of heavy metals in Ocimum </w:t>
      </w:r>
      <w:proofErr w:type="spellStart"/>
      <w:r>
        <w:rPr>
          <w:rFonts w:ascii="Times New Roman" w:hAnsi="Times New Roman" w:cs="Times New Roman"/>
          <w:sz w:val="24"/>
          <w:szCs w:val="24"/>
        </w:rPr>
        <w:t>basilicum</w:t>
      </w:r>
      <w:proofErr w:type="spellEnd"/>
      <w:r>
        <w:rPr>
          <w:rFonts w:ascii="Times New Roman" w:hAnsi="Times New Roman" w:cs="Times New Roman"/>
          <w:sz w:val="24"/>
          <w:szCs w:val="24"/>
        </w:rPr>
        <w:t xml:space="preserve"> L. plants grown in a mining-contaminated soil. </w:t>
      </w:r>
      <w:r>
        <w:rPr>
          <w:rFonts w:ascii="Times New Roman" w:hAnsi="Times New Roman" w:cs="Times New Roman"/>
          <w:i/>
          <w:iCs/>
          <w:sz w:val="24"/>
          <w:szCs w:val="24"/>
        </w:rPr>
        <w:t>Journal of Soils and Sediments</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 2141-2154.</w:t>
      </w:r>
    </w:p>
    <w:p w14:paraId="358EA871"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Ekanem E, A and Celestine O. (2022). Towards exploring indigenes/</w:t>
      </w:r>
      <w:proofErr w:type="gramStart"/>
      <w:r>
        <w:rPr>
          <w:rFonts w:ascii="Times New Roman" w:hAnsi="Times New Roman" w:cs="Times New Roman"/>
          <w:sz w:val="24"/>
          <w:szCs w:val="24"/>
        </w:rPr>
        <w:t>settlers</w:t>
      </w:r>
      <w:proofErr w:type="gramEnd"/>
      <w:r>
        <w:rPr>
          <w:rFonts w:ascii="Times New Roman" w:hAnsi="Times New Roman" w:cs="Times New Roman"/>
          <w:sz w:val="24"/>
          <w:szCs w:val="24"/>
        </w:rPr>
        <w:t xml:space="preserve"> crisis in southern Taraba state, Nigeria. </w:t>
      </w:r>
      <w:r>
        <w:rPr>
          <w:rFonts w:ascii="Times New Roman" w:hAnsi="Times New Roman" w:cs="Times New Roman"/>
          <w:i/>
          <w:iCs/>
          <w:sz w:val="24"/>
          <w:szCs w:val="24"/>
        </w:rPr>
        <w:t>American Journal of Humanities and Social Sciences Research (AJHSSR)</w:t>
      </w:r>
      <w:r>
        <w:rPr>
          <w:rFonts w:ascii="Times New Roman" w:hAnsi="Times New Roman" w:cs="Times New Roman"/>
          <w:sz w:val="24"/>
          <w:szCs w:val="24"/>
        </w:rPr>
        <w:t>. Volume-6, Issue-01, pp-74-85</w:t>
      </w:r>
    </w:p>
    <w:p w14:paraId="3CE0CBDF"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Gu, R., Wang, Y., Long, B., Kennelly, E., Wu, S., Liu, B., ... &amp; Long, C. (2014). Prospecting for bioactive constituents from traditional medicinal plants through ethnobotanical approaches. </w:t>
      </w:r>
      <w:r>
        <w:rPr>
          <w:rFonts w:ascii="Times New Roman" w:hAnsi="Times New Roman" w:cs="Times New Roman"/>
          <w:i/>
          <w:iCs/>
          <w:sz w:val="24"/>
          <w:szCs w:val="24"/>
        </w:rPr>
        <w:t>Biological and Pharmaceutical Bulletin</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(6), 903-915.</w:t>
      </w:r>
    </w:p>
    <w:p w14:paraId="16F9F52B" w14:textId="77777777" w:rsidR="00C75191" w:rsidRDefault="00000000">
      <w:pPr>
        <w:spacing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Haidaraa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Bourdyb</w:t>
      </w:r>
      <w:proofErr w:type="spellEnd"/>
      <w:r>
        <w:rPr>
          <w:rFonts w:ascii="Times New Roman" w:hAnsi="Times New Roman" w:cs="Times New Roman"/>
          <w:sz w:val="24"/>
          <w:szCs w:val="24"/>
        </w:rPr>
        <w:t xml:space="preserve">, G., De </w:t>
      </w:r>
      <w:proofErr w:type="spellStart"/>
      <w:r>
        <w:rPr>
          <w:rFonts w:ascii="Times New Roman" w:hAnsi="Times New Roman" w:cs="Times New Roman"/>
          <w:sz w:val="24"/>
          <w:szCs w:val="24"/>
        </w:rPr>
        <w:t>Tommasic</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Bracad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Traoree</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Gianie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Sanogoa</w:t>
      </w:r>
      <w:proofErr w:type="spellEnd"/>
      <w:r>
        <w:rPr>
          <w:rFonts w:ascii="Times New Roman" w:hAnsi="Times New Roman" w:cs="Times New Roman"/>
          <w:sz w:val="24"/>
          <w:szCs w:val="24"/>
        </w:rPr>
        <w:t xml:space="preserve">, R. (2016). NPC Natural Product Communications 2016. </w:t>
      </w:r>
      <w:r>
        <w:rPr>
          <w:rFonts w:ascii="Times New Roman" w:hAnsi="Times New Roman" w:cs="Times New Roman"/>
          <w:i/>
          <w:iCs/>
          <w:sz w:val="24"/>
          <w:szCs w:val="24"/>
        </w:rPr>
        <w:t>Natural Product Communications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3.</w:t>
      </w:r>
    </w:p>
    <w:p w14:paraId="0E3F2D38"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Khatun, J., Intekhab, A., &amp; Dhak, D. (2022). Effect of uncontrolled fertilization and heavy metal toxicity associated with arsenic (As), lead (Pb) and cadmium (Cd), and possible remediation. </w:t>
      </w:r>
      <w:r>
        <w:rPr>
          <w:rFonts w:ascii="Times New Roman" w:hAnsi="Times New Roman" w:cs="Times New Roman"/>
          <w:i/>
          <w:iCs/>
          <w:sz w:val="24"/>
          <w:szCs w:val="24"/>
        </w:rPr>
        <w:t>Toxicology</w:t>
      </w:r>
      <w:r>
        <w:rPr>
          <w:rFonts w:ascii="Times New Roman" w:hAnsi="Times New Roman" w:cs="Times New Roman"/>
          <w:sz w:val="24"/>
          <w:szCs w:val="24"/>
        </w:rPr>
        <w:t>, 153274.</w:t>
      </w:r>
    </w:p>
    <w:p w14:paraId="28B67278" w14:textId="77777777" w:rsidR="00C75191" w:rsidRDefault="00000000">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Kohzadi</w:t>
      </w:r>
      <w:proofErr w:type="spellEnd"/>
      <w:r>
        <w:rPr>
          <w:rFonts w:ascii="Times New Roman" w:hAnsi="Times New Roman" w:cs="Times New Roman"/>
          <w:sz w:val="24"/>
          <w:szCs w:val="24"/>
        </w:rPr>
        <w:t xml:space="preserve">, S., Shahmoradi, B., Ghaderi, E., </w:t>
      </w:r>
      <w:proofErr w:type="spellStart"/>
      <w:r>
        <w:rPr>
          <w:rFonts w:ascii="Times New Roman" w:hAnsi="Times New Roman" w:cs="Times New Roman"/>
          <w:sz w:val="24"/>
          <w:szCs w:val="24"/>
        </w:rPr>
        <w:t>Loqmani</w:t>
      </w:r>
      <w:proofErr w:type="spellEnd"/>
      <w:r>
        <w:rPr>
          <w:rFonts w:ascii="Times New Roman" w:hAnsi="Times New Roman" w:cs="Times New Roman"/>
          <w:sz w:val="24"/>
          <w:szCs w:val="24"/>
        </w:rPr>
        <w:t xml:space="preserve">, H., &amp; Maleki, A. (2019). Concentration, source, and potential human health risk of heavy metals in the commonly consumed medicinal plants. </w:t>
      </w:r>
      <w:r>
        <w:rPr>
          <w:rFonts w:ascii="Times New Roman" w:hAnsi="Times New Roman" w:cs="Times New Roman"/>
          <w:i/>
          <w:iCs/>
          <w:sz w:val="24"/>
          <w:szCs w:val="24"/>
        </w:rPr>
        <w:t>Biological trace element research</w:t>
      </w:r>
      <w:r>
        <w:rPr>
          <w:rFonts w:ascii="Times New Roman" w:hAnsi="Times New Roman" w:cs="Times New Roman"/>
          <w:sz w:val="24"/>
          <w:szCs w:val="24"/>
        </w:rPr>
        <w:t xml:space="preserve">, </w:t>
      </w:r>
      <w:r>
        <w:rPr>
          <w:rFonts w:ascii="Times New Roman" w:hAnsi="Times New Roman" w:cs="Times New Roman"/>
          <w:i/>
          <w:iCs/>
          <w:sz w:val="24"/>
          <w:szCs w:val="24"/>
        </w:rPr>
        <w:t>187</w:t>
      </w:r>
      <w:r>
        <w:rPr>
          <w:rFonts w:ascii="Times New Roman" w:hAnsi="Times New Roman" w:cs="Times New Roman"/>
          <w:sz w:val="24"/>
          <w:szCs w:val="24"/>
        </w:rPr>
        <w:t>, 41-50.</w:t>
      </w:r>
    </w:p>
    <w:p w14:paraId="7A52371D"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Kumar, G., Kumar, R., &amp; Rana, H. (2023). The Pharmacological activities of mother of thousand (Kalanchoe pinnata). </w:t>
      </w:r>
      <w:r>
        <w:rPr>
          <w:rFonts w:ascii="Times New Roman" w:hAnsi="Times New Roman" w:cs="Times New Roman"/>
          <w:i/>
          <w:iCs/>
          <w:sz w:val="24"/>
          <w:szCs w:val="24"/>
        </w:rPr>
        <w:t>Research Journal of Pharmacology and Pharmacodynamics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31-35.</w:t>
      </w:r>
    </w:p>
    <w:p w14:paraId="3F19455A"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Kumar, P., Malik, S., &amp; Dubey, K. K. (2020).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Pinnatum</w:t>
      </w:r>
      <w:proofErr w:type="spellEnd"/>
      <w:r>
        <w:rPr>
          <w:rFonts w:ascii="Times New Roman" w:hAnsi="Times New Roman" w:cs="Times New Roman"/>
          <w:sz w:val="24"/>
          <w:szCs w:val="24"/>
        </w:rPr>
        <w:t xml:space="preserve">: A Review on Medicinal Benefits and Potent Bioactive Molecules. </w:t>
      </w:r>
      <w:r>
        <w:rPr>
          <w:rFonts w:ascii="Times New Roman" w:hAnsi="Times New Roman" w:cs="Times New Roman"/>
          <w:i/>
          <w:iCs/>
          <w:sz w:val="24"/>
          <w:szCs w:val="24"/>
        </w:rPr>
        <w:t>Current Bioactive Compounds</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(7), 978-992.</w:t>
      </w:r>
    </w:p>
    <w:p w14:paraId="4786643D"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Moghaddam, M., Mehdizadeh, L., &amp; Sharifi, Z. (2020). Macro-and microelement content and health risk assessment of heavy metals in various herbs of Iran. </w:t>
      </w:r>
      <w:r>
        <w:rPr>
          <w:rFonts w:ascii="Times New Roman" w:hAnsi="Times New Roman" w:cs="Times New Roman"/>
          <w:i/>
          <w:iCs/>
          <w:sz w:val="24"/>
          <w:szCs w:val="24"/>
        </w:rPr>
        <w:t>Environmental Science and Pollution Research</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12320-12331.</w:t>
      </w:r>
    </w:p>
    <w:p w14:paraId="09C04A23"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Mustafa, G., Arif, R., Atta, A., Sharif, S., &amp; Jamil, A. (2017). Bioactive compounds from medicinal plants and their importance in drug discovery in Pakistan. </w:t>
      </w:r>
      <w:r>
        <w:rPr>
          <w:rFonts w:ascii="Times New Roman" w:hAnsi="Times New Roman" w:cs="Times New Roman"/>
          <w:i/>
          <w:iCs/>
          <w:sz w:val="24"/>
          <w:szCs w:val="24"/>
        </w:rPr>
        <w:t>Matrix Sci. Pharma</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17-26.</w:t>
      </w:r>
    </w:p>
    <w:p w14:paraId="30E8C941"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Nawab, J., Khan, S., Shah, M. T., Khan, K., Huang, Q., &amp; Ali, R. (2015). Quantification of heavy metals in mining affected soil and their bioaccumulation in native plant species. </w:t>
      </w:r>
      <w:r>
        <w:rPr>
          <w:rFonts w:ascii="Times New Roman" w:hAnsi="Times New Roman" w:cs="Times New Roman"/>
          <w:i/>
          <w:iCs/>
          <w:sz w:val="24"/>
          <w:szCs w:val="24"/>
        </w:rPr>
        <w:t>International journal of Phytoremediation</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(9), 801-813.</w:t>
      </w:r>
    </w:p>
    <w:p w14:paraId="6D7D805A" w14:textId="77777777" w:rsidR="00C75191" w:rsidRDefault="00000000">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Nigeria Conflict Security Analysis Network (2015). Violent Conflict in Divided Society; The Case Study of Violent Conflict in Taraba State (2013-2015). World Watch Research, 1-65.</w:t>
      </w:r>
    </w:p>
    <w:p w14:paraId="02B1F050"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Pandurangan, A., Kaur, A. M. A. N. D. E. E. P., &amp; Sharma, D. I. K. S. H. A. (2015).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calycinum</w:t>
      </w:r>
      <w:proofErr w:type="spellEnd"/>
      <w:r>
        <w:rPr>
          <w:rFonts w:ascii="Times New Roman" w:hAnsi="Times New Roman" w:cs="Times New Roman"/>
          <w:sz w:val="24"/>
          <w:szCs w:val="24"/>
        </w:rPr>
        <w:t xml:space="preserve"> (Crassulaceae)–an overview. </w:t>
      </w:r>
      <w:r>
        <w:rPr>
          <w:rFonts w:ascii="Times New Roman" w:hAnsi="Times New Roman" w:cs="Times New Roman"/>
          <w:i/>
          <w:iCs/>
          <w:sz w:val="24"/>
          <w:szCs w:val="24"/>
        </w:rPr>
        <w:t>International Bulletin of Drug Research</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(8), 51-63.</w:t>
      </w:r>
    </w:p>
    <w:p w14:paraId="7F5CEB06"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Perumal Samy, R., &amp; </w:t>
      </w:r>
      <w:proofErr w:type="spellStart"/>
      <w:r>
        <w:rPr>
          <w:rFonts w:ascii="Times New Roman" w:hAnsi="Times New Roman" w:cs="Times New Roman"/>
          <w:sz w:val="24"/>
          <w:szCs w:val="24"/>
        </w:rPr>
        <w:t>Gopalakrishnakone</w:t>
      </w:r>
      <w:proofErr w:type="spellEnd"/>
      <w:r>
        <w:rPr>
          <w:rFonts w:ascii="Times New Roman" w:hAnsi="Times New Roman" w:cs="Times New Roman"/>
          <w:sz w:val="24"/>
          <w:szCs w:val="24"/>
        </w:rPr>
        <w:t xml:space="preserve">, P. (2010). Therapeutic potential of plants as anti-microbials for drug discovery. </w:t>
      </w:r>
      <w:r>
        <w:rPr>
          <w:rFonts w:ascii="Times New Roman" w:hAnsi="Times New Roman" w:cs="Times New Roman"/>
          <w:i/>
          <w:iCs/>
          <w:sz w:val="24"/>
          <w:szCs w:val="24"/>
        </w:rPr>
        <w:t>Evidence-based complementary and alternative medicine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283-294.</w:t>
      </w:r>
    </w:p>
    <w:p w14:paraId="2AB14DB4" w14:textId="77777777" w:rsidR="00C75191" w:rsidRDefault="00000000">
      <w:pPr>
        <w:spacing w:after="0" w:line="48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Z., &amp; Singh, V. P. (2019). The relative impact of toxic heavy metals (THMs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arsenic (As), cadmium (Cd), chromium (Cr)(VI), mercury (Hg), and lead (Pb)) on the total environment: an overview. </w:t>
      </w:r>
      <w:r>
        <w:rPr>
          <w:rFonts w:ascii="Times New Roman" w:eastAsia="Times New Roman" w:hAnsi="Times New Roman" w:cs="Times New Roman"/>
          <w:i/>
          <w:iCs/>
          <w:sz w:val="24"/>
          <w:szCs w:val="24"/>
        </w:rPr>
        <w:t>Environmental monitoring and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191</w:t>
      </w:r>
      <w:r>
        <w:rPr>
          <w:rFonts w:ascii="Times New Roman" w:eastAsia="Times New Roman" w:hAnsi="Times New Roman" w:cs="Times New Roman"/>
          <w:sz w:val="24"/>
          <w:szCs w:val="24"/>
        </w:rPr>
        <w:t>, 1-21.</w:t>
      </w:r>
    </w:p>
    <w:p w14:paraId="6EFEBAFE" w14:textId="77777777" w:rsidR="00C75191" w:rsidRDefault="00000000">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Ramawat</w:t>
      </w:r>
      <w:proofErr w:type="spellEnd"/>
      <w:r>
        <w:rPr>
          <w:rFonts w:ascii="Times New Roman" w:hAnsi="Times New Roman" w:cs="Times New Roman"/>
          <w:sz w:val="24"/>
          <w:szCs w:val="24"/>
        </w:rPr>
        <w:t xml:space="preserve">, K. G., Dass, S., &amp; Mathur, M. (2009). The chemical diversity of bioactive molecules and therapeutic potential of medicinal plants. </w:t>
      </w:r>
      <w:r>
        <w:rPr>
          <w:rFonts w:ascii="Times New Roman" w:hAnsi="Times New Roman" w:cs="Times New Roman"/>
          <w:i/>
          <w:iCs/>
          <w:sz w:val="24"/>
          <w:szCs w:val="24"/>
        </w:rPr>
        <w:t>Herbal drugs: ethnomedicine to modern medicine</w:t>
      </w:r>
      <w:r>
        <w:rPr>
          <w:rFonts w:ascii="Times New Roman" w:hAnsi="Times New Roman" w:cs="Times New Roman"/>
          <w:sz w:val="24"/>
          <w:szCs w:val="24"/>
        </w:rPr>
        <w:t>, 7-32.</w:t>
      </w:r>
    </w:p>
    <w:p w14:paraId="3D58A2DA" w14:textId="77777777" w:rsidR="00C75191" w:rsidRDefault="00000000">
      <w:pPr>
        <w:spacing w:after="0"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Shanmugam, K. R., Shanmugam, B., Subbaiah, G. V., Ravi, S., &amp; Reddy, K. S. (2021). Medicinal plants and bioactive compounds for diabetes management: important advances in drug discovery. </w:t>
      </w:r>
      <w:r>
        <w:rPr>
          <w:rFonts w:ascii="Times New Roman" w:hAnsi="Times New Roman" w:cs="Times New Roman"/>
          <w:i/>
          <w:iCs/>
          <w:sz w:val="24"/>
          <w:szCs w:val="24"/>
        </w:rPr>
        <w:t>Current Pharmaceutical Design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(6), 763-774.</w:t>
      </w:r>
    </w:p>
    <w:p w14:paraId="6483A5B6" w14:textId="77777777" w:rsidR="00022582" w:rsidRDefault="00000000" w:rsidP="001222BB">
      <w:pPr>
        <w:spacing w:after="0" w:line="48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Tijwun</w:t>
      </w:r>
      <w:proofErr w:type="spellEnd"/>
      <w:r>
        <w:rPr>
          <w:rFonts w:ascii="Times New Roman" w:hAnsi="Times New Roman" w:cs="Times New Roman"/>
          <w:sz w:val="24"/>
          <w:szCs w:val="24"/>
        </w:rPr>
        <w:t xml:space="preserve">, L. W., Luka, T. T., </w:t>
      </w:r>
      <w:proofErr w:type="spellStart"/>
      <w:r>
        <w:rPr>
          <w:rFonts w:ascii="Times New Roman" w:hAnsi="Times New Roman" w:cs="Times New Roman"/>
          <w:sz w:val="24"/>
          <w:szCs w:val="24"/>
        </w:rPr>
        <w:t>Mshelia</w:t>
      </w:r>
      <w:proofErr w:type="spellEnd"/>
      <w:r>
        <w:rPr>
          <w:rFonts w:ascii="Times New Roman" w:hAnsi="Times New Roman" w:cs="Times New Roman"/>
          <w:sz w:val="24"/>
          <w:szCs w:val="24"/>
        </w:rPr>
        <w:t xml:space="preserve">, P. A., Abubakar, A., &amp; Audu, A. A. (2022). Phytochemical Analysis and In-vitro Antimicrobial Activity of Methanolic Leaves, Root and Stem Extracts of </w:t>
      </w:r>
      <w:proofErr w:type="spellStart"/>
      <w:r>
        <w:rPr>
          <w:rFonts w:ascii="Times New Roman" w:hAnsi="Times New Roman" w:cs="Times New Roman"/>
          <w:sz w:val="24"/>
          <w:szCs w:val="24"/>
        </w:rPr>
        <w:t>Bryophyllum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pinnatum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Cochlospermum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tintorium</w:t>
      </w:r>
      <w:proofErr w:type="spellEnd"/>
      <w:r>
        <w:rPr>
          <w:rFonts w:ascii="Times New Roman" w:hAnsi="Times New Roman" w:cs="Times New Roman"/>
          <w:sz w:val="24"/>
          <w:szCs w:val="24"/>
        </w:rPr>
        <w:t xml:space="preserve"> and Erythrina senegalensis. </w:t>
      </w:r>
      <w:r>
        <w:rPr>
          <w:rFonts w:ascii="Times New Roman" w:hAnsi="Times New Roman" w:cs="Times New Roman"/>
          <w:i/>
          <w:iCs/>
          <w:sz w:val="24"/>
          <w:szCs w:val="24"/>
        </w:rPr>
        <w:t>Journal of Complementary and Alternative Medical Research</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(3), 36</w:t>
      </w:r>
    </w:p>
    <w:p w14:paraId="6FB9632A" w14:textId="757C02D3" w:rsidR="001222BB" w:rsidRDefault="001222BB" w:rsidP="001222BB">
      <w:pPr>
        <w:spacing w:after="0" w:line="480" w:lineRule="auto"/>
        <w:ind w:left="900" w:hanging="900"/>
        <w:jc w:val="both"/>
        <w:rPr>
          <w:highlight w:val="yellow"/>
        </w:rPr>
      </w:pPr>
      <w:r w:rsidRPr="00E128C6">
        <w:rPr>
          <w:highlight w:val="yellow"/>
        </w:rPr>
        <w:t>Sultana, N., Saini, P. K., Kiran, S. R., &amp; Kanaka, S. (2023). Exploring the antioxidant potential of medicinal plant species: A comprehensive review. Journal of Plant Biota, 2, 9-13.</w:t>
      </w:r>
    </w:p>
    <w:p w14:paraId="3B316D49" w14:textId="77777777" w:rsidR="001222BB" w:rsidRDefault="001222BB" w:rsidP="001222BB">
      <w:pPr>
        <w:spacing w:after="0" w:line="480" w:lineRule="auto"/>
        <w:ind w:left="900" w:hanging="900"/>
        <w:jc w:val="both"/>
        <w:rPr>
          <w:highlight w:val="yellow"/>
        </w:rPr>
      </w:pPr>
    </w:p>
    <w:p w14:paraId="221D2F5D" w14:textId="77777777" w:rsidR="001222BB" w:rsidRDefault="001222BB" w:rsidP="001222BB">
      <w:pPr>
        <w:spacing w:after="0" w:line="480" w:lineRule="auto"/>
        <w:ind w:left="900" w:hanging="900"/>
        <w:jc w:val="both"/>
        <w:rPr>
          <w:highlight w:val="yellow"/>
        </w:rPr>
      </w:pPr>
    </w:p>
    <w:p w14:paraId="77128CAF" w14:textId="31854CB8" w:rsidR="00022582" w:rsidRDefault="00E25A57" w:rsidP="001222BB">
      <w:pPr>
        <w:spacing w:after="0" w:line="480" w:lineRule="auto"/>
        <w:ind w:left="900" w:hanging="900"/>
        <w:jc w:val="both"/>
      </w:pPr>
      <w:r w:rsidRPr="00E128C6">
        <w:rPr>
          <w:highlight w:val="yellow"/>
        </w:rPr>
        <w:lastRenderedPageBreak/>
        <w:t>Bhatti, A., Arif, A., &amp; Nawaz, H. A. (2024). Exploring the Therapeutic Potential of Medicinal Plants for Rheumatoid Arthritis. In Infectious Diseases (pp. 116-125). Bentham Science Publishers</w:t>
      </w:r>
      <w:r w:rsidR="00022582">
        <w:t>.</w:t>
      </w:r>
    </w:p>
    <w:p w14:paraId="4985E7FE" w14:textId="53AFB8EB" w:rsidR="00022582" w:rsidRDefault="001222BB" w:rsidP="00E128C6">
      <w:pPr>
        <w:spacing w:after="0" w:line="480" w:lineRule="auto"/>
        <w:ind w:left="900" w:hanging="900"/>
        <w:jc w:val="both"/>
      </w:pPr>
      <w:r w:rsidRPr="00E128C6">
        <w:rPr>
          <w:highlight w:val="yellow"/>
        </w:rPr>
        <w:t xml:space="preserve">Valdez, B. T., Mory, G., Kadiatou, C. A., </w:t>
      </w:r>
      <w:proofErr w:type="spellStart"/>
      <w:r w:rsidRPr="00E128C6">
        <w:rPr>
          <w:highlight w:val="yellow"/>
        </w:rPr>
        <w:t>Talasson</w:t>
      </w:r>
      <w:proofErr w:type="spellEnd"/>
      <w:r w:rsidRPr="00E128C6">
        <w:rPr>
          <w:highlight w:val="yellow"/>
        </w:rPr>
        <w:t xml:space="preserve">, B. S., </w:t>
      </w:r>
      <w:proofErr w:type="spellStart"/>
      <w:r w:rsidRPr="00E128C6">
        <w:rPr>
          <w:highlight w:val="yellow"/>
        </w:rPr>
        <w:t>Kerfala</w:t>
      </w:r>
      <w:proofErr w:type="spellEnd"/>
      <w:r w:rsidRPr="00E128C6">
        <w:rPr>
          <w:highlight w:val="yellow"/>
        </w:rPr>
        <w:t xml:space="preserve">, C. M., </w:t>
      </w:r>
      <w:proofErr w:type="spellStart"/>
      <w:r w:rsidRPr="00E128C6">
        <w:rPr>
          <w:highlight w:val="yellow"/>
        </w:rPr>
        <w:t>Séré</w:t>
      </w:r>
      <w:proofErr w:type="spellEnd"/>
      <w:r w:rsidRPr="00E128C6">
        <w:rPr>
          <w:highlight w:val="yellow"/>
        </w:rPr>
        <w:t xml:space="preserve">, D., ... &amp; Saidou, B. E. (2024). Ethnobotanical survey of medicinal plants used to treat icterus in </w:t>
      </w:r>
      <w:proofErr w:type="spellStart"/>
      <w:r w:rsidRPr="00E128C6">
        <w:rPr>
          <w:highlight w:val="yellow"/>
        </w:rPr>
        <w:t>Labé</w:t>
      </w:r>
      <w:proofErr w:type="spellEnd"/>
      <w:r w:rsidRPr="00E128C6">
        <w:rPr>
          <w:highlight w:val="yellow"/>
        </w:rPr>
        <w:t xml:space="preserve"> administrative district (Republic of Guinea). Journal of King Saud University-Science, 36(9), 103350</w:t>
      </w:r>
      <w:r w:rsidR="00022582">
        <w:rPr>
          <w:highlight w:val="yellow"/>
        </w:rPr>
        <w:t xml:space="preserve">. </w:t>
      </w:r>
    </w:p>
    <w:p w14:paraId="6A5BDF37" w14:textId="1755FCFE" w:rsidR="00022582" w:rsidRPr="00E128C6" w:rsidRDefault="00F76050" w:rsidP="00E128C6">
      <w:pPr>
        <w:spacing w:after="0" w:line="480" w:lineRule="auto"/>
        <w:ind w:left="900" w:hanging="900"/>
        <w:jc w:val="both"/>
        <w:rPr>
          <w:highlight w:val="yellow"/>
        </w:rPr>
      </w:pPr>
      <w:proofErr w:type="spellStart"/>
      <w:r w:rsidRPr="00E128C6">
        <w:rPr>
          <w:highlight w:val="yellow"/>
        </w:rPr>
        <w:t>Elufioye</w:t>
      </w:r>
      <w:proofErr w:type="spellEnd"/>
      <w:r w:rsidRPr="00E128C6">
        <w:rPr>
          <w:highlight w:val="yellow"/>
        </w:rPr>
        <w:t xml:space="preserve">, T. O., Oyedeji, A. O., &amp; Habtemariam, S. (2022). A review of the traditional uses, phytochemistry and pharmacology of </w:t>
      </w:r>
      <w:proofErr w:type="spellStart"/>
      <w:r w:rsidRPr="00E128C6">
        <w:rPr>
          <w:highlight w:val="yellow"/>
        </w:rPr>
        <w:t>Bryophyllum</w:t>
      </w:r>
      <w:proofErr w:type="spellEnd"/>
      <w:r w:rsidRPr="00E128C6">
        <w:rPr>
          <w:highlight w:val="yellow"/>
        </w:rPr>
        <w:t xml:space="preserve"> </w:t>
      </w:r>
      <w:proofErr w:type="spellStart"/>
      <w:r w:rsidRPr="00E128C6">
        <w:rPr>
          <w:highlight w:val="yellow"/>
        </w:rPr>
        <w:t>pinnatum</w:t>
      </w:r>
      <w:proofErr w:type="spellEnd"/>
      <w:r w:rsidRPr="00E128C6">
        <w:rPr>
          <w:highlight w:val="yellow"/>
        </w:rPr>
        <w:t xml:space="preserve"> (Lam.)</w:t>
      </w:r>
      <w:r w:rsidR="00244F23">
        <w:rPr>
          <w:highlight w:val="yellow"/>
        </w:rPr>
        <w:t xml:space="preserve"> </w:t>
      </w:r>
      <w:r w:rsidRPr="00E128C6">
        <w:rPr>
          <w:highlight w:val="yellow"/>
        </w:rPr>
        <w:t>(Crassulaceae). Journal of Biologically Active Products from Nature, 12(3), 190-222.</w:t>
      </w:r>
    </w:p>
    <w:p w14:paraId="2EDA3E58" w14:textId="7DEA0FF2" w:rsidR="00F76050" w:rsidRDefault="00F76050" w:rsidP="00E128C6">
      <w:pPr>
        <w:spacing w:after="0" w:line="480" w:lineRule="auto"/>
        <w:ind w:left="900" w:hanging="900"/>
        <w:jc w:val="both"/>
      </w:pPr>
      <w:r w:rsidRPr="00E128C6">
        <w:rPr>
          <w:highlight w:val="yellow"/>
        </w:rPr>
        <w:t xml:space="preserve">Sharma, G., </w:t>
      </w:r>
      <w:proofErr w:type="spellStart"/>
      <w:r w:rsidRPr="00E128C6">
        <w:rPr>
          <w:highlight w:val="yellow"/>
        </w:rPr>
        <w:t>Jangra</w:t>
      </w:r>
      <w:proofErr w:type="spellEnd"/>
      <w:r w:rsidRPr="00E128C6">
        <w:rPr>
          <w:highlight w:val="yellow"/>
        </w:rPr>
        <w:t xml:space="preserve">, A., Sihag, S., Chaturvedi, S., Yadav, S., &amp; Chhokar, V. (2024). </w:t>
      </w:r>
      <w:proofErr w:type="spellStart"/>
      <w:r w:rsidRPr="00E128C6">
        <w:rPr>
          <w:highlight w:val="yellow"/>
        </w:rPr>
        <w:t>Bryophyllum</w:t>
      </w:r>
      <w:proofErr w:type="spellEnd"/>
      <w:r w:rsidRPr="00E128C6">
        <w:rPr>
          <w:highlight w:val="yellow"/>
        </w:rPr>
        <w:t xml:space="preserve"> </w:t>
      </w:r>
      <w:proofErr w:type="spellStart"/>
      <w:r w:rsidRPr="00E128C6">
        <w:rPr>
          <w:highlight w:val="yellow"/>
        </w:rPr>
        <w:t>pinnatum</w:t>
      </w:r>
      <w:proofErr w:type="spellEnd"/>
      <w:r w:rsidRPr="00E128C6">
        <w:rPr>
          <w:highlight w:val="yellow"/>
        </w:rPr>
        <w:t xml:space="preserve"> (Lam.) Oken: unravelling therapeutic potential and navigating toxicity. Physiology and Molecular Biology of Plants, 30(9), 1413-1427.</w:t>
      </w:r>
    </w:p>
    <w:sectPr w:rsidR="00F760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EEB9" w14:textId="77777777" w:rsidR="00FF2946" w:rsidRDefault="00FF2946">
      <w:pPr>
        <w:spacing w:after="0" w:line="240" w:lineRule="auto"/>
      </w:pPr>
      <w:r>
        <w:separator/>
      </w:r>
    </w:p>
  </w:endnote>
  <w:endnote w:type="continuationSeparator" w:id="0">
    <w:p w14:paraId="1AC917E9" w14:textId="77777777" w:rsidR="00FF2946" w:rsidRDefault="00FF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16DC" w14:textId="77777777" w:rsidR="00C75191" w:rsidRDefault="00C75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2090" w14:textId="77777777" w:rsidR="00C75191" w:rsidRDefault="00C75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645" w14:textId="77777777" w:rsidR="00C75191" w:rsidRDefault="00C751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2B9F" w14:textId="77777777" w:rsidR="00C75191" w:rsidRDefault="00C75191">
    <w:pPr>
      <w:pStyle w:val="Footer"/>
      <w:jc w:val="center"/>
    </w:pPr>
  </w:p>
  <w:p w14:paraId="4C133167" w14:textId="77777777" w:rsidR="00C75191" w:rsidRDefault="00C7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46F7" w14:textId="77777777" w:rsidR="00FF2946" w:rsidRDefault="00FF2946">
      <w:pPr>
        <w:spacing w:after="0" w:line="240" w:lineRule="auto"/>
      </w:pPr>
      <w:r>
        <w:separator/>
      </w:r>
    </w:p>
  </w:footnote>
  <w:footnote w:type="continuationSeparator" w:id="0">
    <w:p w14:paraId="05DFEA6B" w14:textId="77777777" w:rsidR="00FF2946" w:rsidRDefault="00FF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F159" w14:textId="77777777" w:rsidR="00C75191" w:rsidRDefault="00000000">
    <w:pPr>
      <w:pStyle w:val="Header"/>
    </w:pPr>
    <w:r>
      <w:rPr>
        <w:noProof/>
      </w:rPr>
      <mc:AlternateContent>
        <mc:Choice Requires="wps">
          <w:drawing>
            <wp:anchor distT="0" distB="0" distL="114300" distR="114300" simplePos="0" relativeHeight="251659264" behindDoc="1" locked="0" layoutInCell="0" allowOverlap="1" wp14:anchorId="2F922FEB" wp14:editId="1645226A">
              <wp:simplePos x="0" y="0"/>
              <wp:positionH relativeFrom="margin">
                <wp:align>center</wp:align>
              </wp:positionH>
              <wp:positionV relativeFrom="margin">
                <wp:align>center</wp:align>
              </wp:positionV>
              <wp:extent cx="7348220" cy="1377315"/>
              <wp:effectExtent l="0" t="0" r="0" b="0"/>
              <wp:wrapNone/>
              <wp:docPr id="2" name="PowerPlusWaterMarkObject5676954"/>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484FA9E8"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F922FEB" id="PowerPlusWaterMarkObject5676954" o:spid="_x0000_s1040" style="position:absolute;margin-left:0;margin-top:0;width:578.6pt;height:108.4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" o:allowincell="f" filled="f" stroked="f">
              <v:textbox inset="0,0,0,0">
                <w:txbxContent>
                  <w:p w14:paraId="484FA9E8"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376A" w14:textId="77777777" w:rsidR="00C75191" w:rsidRDefault="00000000">
    <w:pPr>
      <w:pStyle w:val="Header"/>
    </w:pPr>
    <w:r>
      <w:rPr>
        <w:noProof/>
      </w:rPr>
      <mc:AlternateContent>
        <mc:Choice Requires="wps">
          <w:drawing>
            <wp:anchor distT="0" distB="0" distL="114300" distR="114300" simplePos="0" relativeHeight="251658240" behindDoc="1" locked="0" layoutInCell="0" allowOverlap="1" wp14:anchorId="75460064" wp14:editId="1989EBE6">
              <wp:simplePos x="0" y="0"/>
              <wp:positionH relativeFrom="margin">
                <wp:align>center</wp:align>
              </wp:positionH>
              <wp:positionV relativeFrom="margin">
                <wp:align>center</wp:align>
              </wp:positionV>
              <wp:extent cx="7348220" cy="1377315"/>
              <wp:effectExtent l="0" t="0" r="0" b="0"/>
              <wp:wrapNone/>
              <wp:docPr id="1" name="PowerPlusWaterMarkObject5676955"/>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07B7FB2A"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5460064" id="PowerPlusWaterMarkObject5676955" o:spid="_x0000_s1041" style="position:absolute;margin-left:0;margin-top:0;width:578.6pt;height:108.4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" o:allowincell="f" filled="f" stroked="f">
              <v:textbox inset="0,0,0,0">
                <w:txbxContent>
                  <w:p w14:paraId="07B7FB2A"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019" w14:textId="77777777" w:rsidR="00C75191" w:rsidRDefault="00000000">
    <w:pPr>
      <w:pStyle w:val="Header"/>
    </w:pPr>
    <w:r>
      <w:rPr>
        <w:noProof/>
      </w:rPr>
      <mc:AlternateContent>
        <mc:Choice Requires="wps">
          <w:drawing>
            <wp:anchor distT="0" distB="0" distL="114300" distR="114300" simplePos="0" relativeHeight="251660288" behindDoc="1" locked="0" layoutInCell="0" allowOverlap="1" wp14:anchorId="5B2B9BDD" wp14:editId="330747CD">
              <wp:simplePos x="0" y="0"/>
              <wp:positionH relativeFrom="margin">
                <wp:align>center</wp:align>
              </wp:positionH>
              <wp:positionV relativeFrom="margin">
                <wp:align>center</wp:align>
              </wp:positionV>
              <wp:extent cx="7348220" cy="1377315"/>
              <wp:effectExtent l="0" t="0" r="0" b="0"/>
              <wp:wrapNone/>
              <wp:docPr id="3" name="PowerPlusWaterMarkObject5676953"/>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4B485890"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5B2B9BDD" id="PowerPlusWaterMarkObject5676953" o:spid="_x0000_s1042" style="position:absolute;margin-left:0;margin-top:0;width:578.6pt;height:108.4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" o:allowincell="f" filled="f" stroked="f">
              <v:textbox inset="0,0,0,0">
                <w:txbxContent>
                  <w:p w14:paraId="4B485890"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1B3C" w14:textId="77777777" w:rsidR="00C75191" w:rsidRDefault="00000000">
    <w:pPr>
      <w:pStyle w:val="Header"/>
    </w:pPr>
    <w:r>
      <w:rPr>
        <w:noProof/>
      </w:rPr>
      <mc:AlternateContent>
        <mc:Choice Requires="wps">
          <w:drawing>
            <wp:anchor distT="0" distB="0" distL="114300" distR="114300" simplePos="0" relativeHeight="251662336" behindDoc="1" locked="0" layoutInCell="0" allowOverlap="1" wp14:anchorId="395A4722" wp14:editId="5767BE04">
              <wp:simplePos x="0" y="0"/>
              <wp:positionH relativeFrom="margin">
                <wp:align>center</wp:align>
              </wp:positionH>
              <wp:positionV relativeFrom="margin">
                <wp:align>center</wp:align>
              </wp:positionV>
              <wp:extent cx="7348220" cy="1377315"/>
              <wp:effectExtent l="0" t="0" r="0" b="0"/>
              <wp:wrapNone/>
              <wp:docPr id="5" name="PowerPlusWaterMarkObject5676957"/>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1678DF29"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95A4722" id="PowerPlusWaterMarkObject5676957" o:spid="_x0000_s1043" style="position:absolute;margin-left:0;margin-top:0;width:578.6pt;height:108.45pt;rotation:-45;z-index:-25165414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" o:allowincell="f" filled="f" stroked="f">
              <v:textbox inset="0,0,0,0">
                <w:txbxContent>
                  <w:p w14:paraId="1678DF29"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1925" w14:textId="77777777" w:rsidR="00C75191" w:rsidRDefault="00000000">
    <w:pPr>
      <w:pStyle w:val="Header"/>
    </w:pPr>
    <w:r>
      <w:rPr>
        <w:noProof/>
      </w:rPr>
      <mc:AlternateContent>
        <mc:Choice Requires="wps">
          <w:drawing>
            <wp:anchor distT="0" distB="0" distL="114300" distR="114300" simplePos="0" relativeHeight="251661312" behindDoc="1" locked="0" layoutInCell="0" allowOverlap="1" wp14:anchorId="41F1710D" wp14:editId="668AD224">
              <wp:simplePos x="0" y="0"/>
              <wp:positionH relativeFrom="margin">
                <wp:align>center</wp:align>
              </wp:positionH>
              <wp:positionV relativeFrom="margin">
                <wp:align>center</wp:align>
              </wp:positionV>
              <wp:extent cx="7348220" cy="1377315"/>
              <wp:effectExtent l="0" t="0" r="0" b="0"/>
              <wp:wrapNone/>
              <wp:docPr id="4" name="PowerPlusWaterMarkObject5676958"/>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4D35A84B"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1F1710D" id="PowerPlusWaterMarkObject5676958" o:spid="_x0000_s1044" style="position:absolute;margin-left:0;margin-top:0;width:578.6pt;height:108.45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" o:allowincell="f" filled="f" stroked="f">
              <v:textbox inset="0,0,0,0">
                <w:txbxContent>
                  <w:p w14:paraId="4D35A84B"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77E3" w14:textId="77777777" w:rsidR="00C75191" w:rsidRDefault="00000000">
    <w:pPr>
      <w:pStyle w:val="Header"/>
    </w:pPr>
    <w:r>
      <w:rPr>
        <w:noProof/>
      </w:rPr>
      <mc:AlternateContent>
        <mc:Choice Requires="wps">
          <w:drawing>
            <wp:anchor distT="0" distB="0" distL="114300" distR="114300" simplePos="0" relativeHeight="251663360" behindDoc="1" locked="0" layoutInCell="0" allowOverlap="1" wp14:anchorId="76ACA7C9" wp14:editId="58ADBBC2">
              <wp:simplePos x="0" y="0"/>
              <wp:positionH relativeFrom="margin">
                <wp:align>center</wp:align>
              </wp:positionH>
              <wp:positionV relativeFrom="margin">
                <wp:align>center</wp:align>
              </wp:positionV>
              <wp:extent cx="7348220" cy="1377315"/>
              <wp:effectExtent l="0" t="0" r="0" b="0"/>
              <wp:wrapNone/>
              <wp:docPr id="6" name="PowerPlusWaterMarkObject5676956"/>
              <wp:cNvGraphicFramePr/>
              <a:graphic xmlns:a="http://schemas.openxmlformats.org/drawingml/2006/main">
                <a:graphicData uri="http://schemas.microsoft.com/office/word/2010/wordprocessingShape">
                  <wps:wsp>
                    <wps:cNvSpPr/>
                    <wps:spPr bwMode="auto">
                      <a:xfrm rot="18900000">
                        <a:off x="0" y="0"/>
                        <a:ext cx="7348220" cy="1377315"/>
                      </a:xfrm>
                      <a:prstGeom prst="rect">
                        <a:avLst/>
                      </a:prstGeom>
                      <a:noFill/>
                      <a:ln>
                        <a:noFill/>
                      </a:ln>
                    </wps:spPr>
                    <wps:txbx>
                      <w:txbxContent>
                        <w:p w14:paraId="26922C36"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6ACA7C9" id="PowerPlusWaterMarkObject5676956" o:spid="_x0000_s1045" style="position:absolute;margin-left:0;margin-top:0;width:578.6pt;height:108.45pt;rotation:-45;z-index:-25165312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" o:allowincell="f" filled="f" stroked="f">
              <v:textbox inset="0,0,0,0">
                <w:txbxContent>
                  <w:p w14:paraId="26922C36" w14:textId="77777777" w:rsidR="00C75191" w:rsidRDefault="00000000">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UNDER PEER REVIEW</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MDI3MzUzsTQxtjBS0lEKTi0uzszPAykwrgUAIUrI2iwAAAA="/>
  </w:docVars>
  <w:rsids>
    <w:rsidRoot w:val="00C75191"/>
    <w:rsid w:val="00022582"/>
    <w:rsid w:val="000253E1"/>
    <w:rsid w:val="00051E88"/>
    <w:rsid w:val="000C05A9"/>
    <w:rsid w:val="001222BB"/>
    <w:rsid w:val="001803DD"/>
    <w:rsid w:val="001824EA"/>
    <w:rsid w:val="00194509"/>
    <w:rsid w:val="001E0FA2"/>
    <w:rsid w:val="00244F23"/>
    <w:rsid w:val="003331FE"/>
    <w:rsid w:val="00340933"/>
    <w:rsid w:val="004228EA"/>
    <w:rsid w:val="004527B6"/>
    <w:rsid w:val="004B0309"/>
    <w:rsid w:val="004D7236"/>
    <w:rsid w:val="00505F26"/>
    <w:rsid w:val="00512FDE"/>
    <w:rsid w:val="00580ED7"/>
    <w:rsid w:val="006C7061"/>
    <w:rsid w:val="00725C74"/>
    <w:rsid w:val="0074246A"/>
    <w:rsid w:val="00743986"/>
    <w:rsid w:val="00753AF5"/>
    <w:rsid w:val="007B7305"/>
    <w:rsid w:val="007C6746"/>
    <w:rsid w:val="00807EE4"/>
    <w:rsid w:val="009C4ADF"/>
    <w:rsid w:val="009D5971"/>
    <w:rsid w:val="009F7899"/>
    <w:rsid w:val="00A05196"/>
    <w:rsid w:val="00A472B1"/>
    <w:rsid w:val="00A72300"/>
    <w:rsid w:val="00AB0457"/>
    <w:rsid w:val="00AC40ED"/>
    <w:rsid w:val="00B01489"/>
    <w:rsid w:val="00B74030"/>
    <w:rsid w:val="00BE08EC"/>
    <w:rsid w:val="00BF3A4F"/>
    <w:rsid w:val="00C16886"/>
    <w:rsid w:val="00C27908"/>
    <w:rsid w:val="00C61275"/>
    <w:rsid w:val="00C75191"/>
    <w:rsid w:val="00C86B10"/>
    <w:rsid w:val="00CC79EC"/>
    <w:rsid w:val="00E128C6"/>
    <w:rsid w:val="00E25A57"/>
    <w:rsid w:val="00E47E15"/>
    <w:rsid w:val="00EC756D"/>
    <w:rsid w:val="00F02528"/>
    <w:rsid w:val="00F507B9"/>
    <w:rsid w:val="00F76050"/>
    <w:rsid w:val="00F83035"/>
    <w:rsid w:val="00FD4315"/>
    <w:rsid w:val="00FF2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F923"/>
  <w15:docId w15:val="{BEF14147-5CEB-4406-9510-B8BEDB3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6D"/>
    <w:pPr>
      <w:spacing w:after="200" w:line="276" w:lineRule="auto"/>
    </w:pPr>
    <w:rPr>
      <w:rFonts w:eastAsiaTheme="minorEastAsia"/>
      <w:sz w:val="22"/>
      <w:szCs w:val="22"/>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Theme="minorHAnsi"/>
      <w:i/>
      <w:iCs/>
      <w:color w:val="404040" w:themeColor="text1" w:themeTint="BF"/>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eastAsiaTheme="minorHAnsi"/>
      <w:sz w:val="24"/>
      <w:szCs w:val="24"/>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Pr>
      <w:rFonts w:ascii="Arial" w:hAnsi="Arial" w:cs="Arial" w:hint="default"/>
      <w:b/>
      <w:bCs/>
      <w:i w:val="0"/>
      <w:iCs w:val="0"/>
      <w:color w:val="000000"/>
      <w:sz w:val="32"/>
      <w:szCs w:val="32"/>
    </w:rPr>
  </w:style>
  <w:style w:type="character" w:customStyle="1" w:styleId="x193iq5w">
    <w:name w:val="x193iq5w"/>
    <w:basedOn w:val="DefaultParagraphFon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EastAsia"/>
      <w:sz w:val="22"/>
      <w:szCs w:val="22"/>
      <w14:ligatures w14:val="none"/>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heme="minorEastAsia"/>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5A57"/>
    <w:pPr>
      <w:spacing w:after="0" w:line="240" w:lineRule="auto"/>
    </w:pPr>
    <w:rPr>
      <w:rFonts w:eastAsiaTheme="minorEastAsia"/>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13.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0.14000000000000001</c:v>
                </c:pt>
                <c:pt idx="1">
                  <c:v>9.0000000000000052E-2</c:v>
                </c:pt>
                <c:pt idx="2">
                  <c:v>9.0000000000000052E-2</c:v>
                </c:pt>
              </c:numCache>
            </c:numRef>
          </c:val>
          <c:extLst>
            <c:ext xmlns:c16="http://schemas.microsoft.com/office/drawing/2014/chart" uri="{C3380CC4-5D6E-409C-BE32-E72D297353CC}">
              <c16:uniqueId val="{00000000-74D4-4FF8-BBFC-D3D173D4123C}"/>
            </c:ext>
          </c:extLst>
        </c:ser>
        <c:ser>
          <c:idx val="1"/>
          <c:order val="1"/>
          <c:tx>
            <c:strRef>
              <c:f>Sheet1!$C$1</c:f>
              <c:strCache>
                <c:ptCount val="1"/>
                <c:pt idx="0">
                  <c:v>Cr</c:v>
                </c:pt>
              </c:strCache>
            </c:strRef>
          </c:tx>
          <c:spPr>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0.15000000000000011</c:v>
                </c:pt>
                <c:pt idx="1">
                  <c:v>0.1</c:v>
                </c:pt>
                <c:pt idx="2">
                  <c:v>5.0000000000000031E-2</c:v>
                </c:pt>
              </c:numCache>
            </c:numRef>
          </c:val>
          <c:extLst>
            <c:ext xmlns:c16="http://schemas.microsoft.com/office/drawing/2014/chart" uri="{C3380CC4-5D6E-409C-BE32-E72D297353CC}">
              <c16:uniqueId val="{00000001-74D4-4FF8-BBFC-D3D173D4123C}"/>
            </c:ext>
          </c:extLst>
        </c:ser>
        <c:ser>
          <c:idx val="2"/>
          <c:order val="2"/>
          <c:tx>
            <c:strRef>
              <c:f>Sheet1!$D$1</c:f>
              <c:strCache>
                <c:ptCount val="1"/>
                <c:pt idx="0">
                  <c:v>Pb</c:v>
                </c:pt>
              </c:strCache>
            </c:strRef>
          </c:tx>
          <c:spPr>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7.0000000000000034E-2</c:v>
                </c:pt>
                <c:pt idx="1">
                  <c:v>7.0000000000000034E-2</c:v>
                </c:pt>
                <c:pt idx="2">
                  <c:v>0.15000000000000011</c:v>
                </c:pt>
              </c:numCache>
            </c:numRef>
          </c:val>
          <c:extLst>
            <c:ext xmlns:c16="http://schemas.microsoft.com/office/drawing/2014/chart" uri="{C3380CC4-5D6E-409C-BE32-E72D297353CC}">
              <c16:uniqueId val="{00000002-74D4-4FF8-BBFC-D3D173D4123C}"/>
            </c:ext>
          </c:extLst>
        </c:ser>
        <c:dLbls>
          <c:showLegendKey val="0"/>
          <c:showVal val="0"/>
          <c:showCatName val="0"/>
          <c:showSerName val="0"/>
          <c:showPercent val="0"/>
          <c:showBubbleSize val="0"/>
        </c:dLbls>
        <c:gapWidth val="219"/>
        <c:overlap val="-27"/>
        <c:axId val="478909184"/>
        <c:axId val="478910720"/>
      </c:barChart>
      <c:catAx>
        <c:axId val="47890918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910720"/>
        <c:crosses val="autoZero"/>
        <c:auto val="1"/>
        <c:lblAlgn val="ctr"/>
        <c:lblOffset val="100"/>
        <c:noMultiLvlLbl val="0"/>
      </c:catAx>
      <c:valAx>
        <c:axId val="478910720"/>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909184"/>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83.33</c:v>
                </c:pt>
                <c:pt idx="1">
                  <c:v>63.33</c:v>
                </c:pt>
                <c:pt idx="2">
                  <c:v>110</c:v>
                </c:pt>
              </c:numCache>
            </c:numRef>
          </c:val>
          <c:extLst>
            <c:ext xmlns:c16="http://schemas.microsoft.com/office/drawing/2014/chart" uri="{C3380CC4-5D6E-409C-BE32-E72D297353CC}">
              <c16:uniqueId val="{00000000-BE2F-4B09-A235-65E3DE27D1BD}"/>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66.669999999999987</c:v>
                </c:pt>
                <c:pt idx="1">
                  <c:v>60</c:v>
                </c:pt>
                <c:pt idx="2">
                  <c:v>50</c:v>
                </c:pt>
              </c:numCache>
            </c:numRef>
          </c:val>
          <c:extLst>
            <c:ext xmlns:c16="http://schemas.microsoft.com/office/drawing/2014/chart" uri="{C3380CC4-5D6E-409C-BE32-E72D297353CC}">
              <c16:uniqueId val="{00000001-BE2F-4B09-A235-65E3DE27D1BD}"/>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96.669999999999987</c:v>
                </c:pt>
                <c:pt idx="1">
                  <c:v>56.67</c:v>
                </c:pt>
                <c:pt idx="2">
                  <c:v>76.669999999999987</c:v>
                </c:pt>
              </c:numCache>
            </c:numRef>
          </c:val>
          <c:extLst>
            <c:ext xmlns:c16="http://schemas.microsoft.com/office/drawing/2014/chart" uri="{C3380CC4-5D6E-409C-BE32-E72D297353CC}">
              <c16:uniqueId val="{00000002-BE2F-4B09-A235-65E3DE27D1BD}"/>
            </c:ext>
          </c:extLst>
        </c:ser>
        <c:dLbls>
          <c:showLegendKey val="0"/>
          <c:showVal val="0"/>
          <c:showCatName val="0"/>
          <c:showSerName val="0"/>
          <c:showPercent val="0"/>
          <c:showBubbleSize val="0"/>
        </c:dLbls>
        <c:gapWidth val="219"/>
        <c:overlap val="-27"/>
        <c:axId val="481999104"/>
        <c:axId val="482004992"/>
      </c:barChart>
      <c:catAx>
        <c:axId val="48199910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2004992"/>
        <c:crosses val="autoZero"/>
        <c:auto val="1"/>
        <c:lblAlgn val="ctr"/>
        <c:lblOffset val="100"/>
        <c:noMultiLvlLbl val="0"/>
      </c:catAx>
      <c:valAx>
        <c:axId val="482004992"/>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999104"/>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139.69999999999999</c:v>
                </c:pt>
                <c:pt idx="1">
                  <c:v>181.20999999999998</c:v>
                </c:pt>
                <c:pt idx="2">
                  <c:v>187.9800000000001</c:v>
                </c:pt>
              </c:numCache>
            </c:numRef>
          </c:val>
          <c:extLst>
            <c:ext xmlns:c16="http://schemas.microsoft.com/office/drawing/2014/chart" uri="{C3380CC4-5D6E-409C-BE32-E72D297353CC}">
              <c16:uniqueId val="{00000000-98EE-47DB-888C-E52721146CB2}"/>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extLst>
            <c:ext xmlns:c16="http://schemas.microsoft.com/office/drawing/2014/chart" uri="{C3380CC4-5D6E-409C-BE32-E72D297353CC}">
              <c16:uniqueId val="{00000001-98EE-47DB-888C-E52721146CB2}"/>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182.73</c:v>
                </c:pt>
                <c:pt idx="1">
                  <c:v>35.450000000000003</c:v>
                </c:pt>
                <c:pt idx="2">
                  <c:v>195.4</c:v>
                </c:pt>
              </c:numCache>
            </c:numRef>
          </c:val>
          <c:extLst>
            <c:ext xmlns:c16="http://schemas.microsoft.com/office/drawing/2014/chart" uri="{C3380CC4-5D6E-409C-BE32-E72D297353CC}">
              <c16:uniqueId val="{00000002-98EE-47DB-888C-E52721146CB2}"/>
            </c:ext>
          </c:extLst>
        </c:ser>
        <c:dLbls>
          <c:showLegendKey val="0"/>
          <c:showVal val="0"/>
          <c:showCatName val="0"/>
          <c:showSerName val="0"/>
          <c:showPercent val="0"/>
          <c:showBubbleSize val="0"/>
        </c:dLbls>
        <c:gapWidth val="219"/>
        <c:overlap val="-27"/>
        <c:axId val="481155712"/>
        <c:axId val="481157504"/>
      </c:barChart>
      <c:catAx>
        <c:axId val="481155712"/>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57504"/>
        <c:crosses val="autoZero"/>
        <c:auto val="1"/>
        <c:lblAlgn val="ctr"/>
        <c:lblOffset val="100"/>
        <c:noMultiLvlLbl val="0"/>
      </c:catAx>
      <c:valAx>
        <c:axId val="481157504"/>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55712"/>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26.67</c:v>
                </c:pt>
                <c:pt idx="1">
                  <c:v>41.48</c:v>
                </c:pt>
                <c:pt idx="2">
                  <c:v>42.59</c:v>
                </c:pt>
              </c:numCache>
            </c:numRef>
          </c:val>
          <c:extLst>
            <c:ext xmlns:c16="http://schemas.microsoft.com/office/drawing/2014/chart" uri="{C3380CC4-5D6E-409C-BE32-E72D297353CC}">
              <c16:uniqueId val="{00000000-8085-49AD-979C-849199DBBCF7}"/>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37.78</c:v>
                </c:pt>
                <c:pt idx="1">
                  <c:v>15.93</c:v>
                </c:pt>
                <c:pt idx="2">
                  <c:v>33.33</c:v>
                </c:pt>
              </c:numCache>
            </c:numRef>
          </c:val>
          <c:extLst>
            <c:ext xmlns:c16="http://schemas.microsoft.com/office/drawing/2014/chart" uri="{C3380CC4-5D6E-409C-BE32-E72D297353CC}">
              <c16:uniqueId val="{00000001-8085-49AD-979C-849199DBBCF7}"/>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extLst>
            <c:ext xmlns:c16="http://schemas.microsoft.com/office/drawing/2014/chart" uri="{C3380CC4-5D6E-409C-BE32-E72D297353CC}">
              <c16:uniqueId val="{00000002-8085-49AD-979C-849199DBBCF7}"/>
            </c:ext>
          </c:extLst>
        </c:ser>
        <c:dLbls>
          <c:showLegendKey val="0"/>
          <c:showVal val="0"/>
          <c:showCatName val="0"/>
          <c:showSerName val="0"/>
          <c:showPercent val="0"/>
          <c:showBubbleSize val="0"/>
        </c:dLbls>
        <c:gapWidth val="219"/>
        <c:overlap val="-27"/>
        <c:axId val="481315840"/>
        <c:axId val="481329920"/>
      </c:barChart>
      <c:catAx>
        <c:axId val="481315840"/>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29920"/>
        <c:crosses val="autoZero"/>
        <c:auto val="1"/>
        <c:lblAlgn val="ctr"/>
        <c:lblOffset val="100"/>
        <c:noMultiLvlLbl val="0"/>
      </c:catAx>
      <c:valAx>
        <c:axId val="481329920"/>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15840"/>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0.30000000000000021</c:v>
                </c:pt>
                <c:pt idx="1">
                  <c:v>6.0000000000000032E-2</c:v>
                </c:pt>
                <c:pt idx="2">
                  <c:v>0.2400000000000001</c:v>
                </c:pt>
              </c:numCache>
            </c:numRef>
          </c:val>
          <c:extLst>
            <c:ext xmlns:c16="http://schemas.microsoft.com/office/drawing/2014/chart" uri="{C3380CC4-5D6E-409C-BE32-E72D297353CC}">
              <c16:uniqueId val="{00000000-04B7-49E4-9383-D27FCA864A5D}"/>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0.2400000000000001</c:v>
                </c:pt>
                <c:pt idx="1">
                  <c:v>0.36000000000000021</c:v>
                </c:pt>
                <c:pt idx="2">
                  <c:v>0.30000000000000021</c:v>
                </c:pt>
              </c:numCache>
            </c:numRef>
          </c:val>
          <c:extLst>
            <c:ext xmlns:c16="http://schemas.microsoft.com/office/drawing/2014/chart" uri="{C3380CC4-5D6E-409C-BE32-E72D297353CC}">
              <c16:uniqueId val="{00000001-04B7-49E4-9383-D27FCA864A5D}"/>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0.2400000000000001</c:v>
                </c:pt>
                <c:pt idx="1">
                  <c:v>0.1800000000000001</c:v>
                </c:pt>
                <c:pt idx="2">
                  <c:v>0.1800000000000001</c:v>
                </c:pt>
              </c:numCache>
            </c:numRef>
          </c:val>
          <c:extLst>
            <c:ext xmlns:c16="http://schemas.microsoft.com/office/drawing/2014/chart" uri="{C3380CC4-5D6E-409C-BE32-E72D297353CC}">
              <c16:uniqueId val="{00000002-04B7-49E4-9383-D27FCA864A5D}"/>
            </c:ext>
          </c:extLst>
        </c:ser>
        <c:dLbls>
          <c:showLegendKey val="0"/>
          <c:showVal val="0"/>
          <c:showCatName val="0"/>
          <c:showSerName val="0"/>
          <c:showPercent val="0"/>
          <c:showBubbleSize val="0"/>
        </c:dLbls>
        <c:gapWidth val="219"/>
        <c:overlap val="-27"/>
        <c:axId val="481234304"/>
        <c:axId val="481240192"/>
      </c:barChart>
      <c:catAx>
        <c:axId val="48123430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40192"/>
        <c:crosses val="autoZero"/>
        <c:auto val="1"/>
        <c:lblAlgn val="ctr"/>
        <c:lblOffset val="100"/>
        <c:noMultiLvlLbl val="0"/>
      </c:catAx>
      <c:valAx>
        <c:axId val="481240192"/>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34304"/>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16.670000000000005</c:v>
                </c:pt>
                <c:pt idx="1">
                  <c:v>11.11</c:v>
                </c:pt>
                <c:pt idx="2">
                  <c:v>11.11</c:v>
                </c:pt>
              </c:numCache>
            </c:numRef>
          </c:val>
          <c:extLst>
            <c:ext xmlns:c16="http://schemas.microsoft.com/office/drawing/2014/chart" uri="{C3380CC4-5D6E-409C-BE32-E72D297353CC}">
              <c16:uniqueId val="{00000000-3DD4-4F92-A372-5196C9F363B2}"/>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15.870000000000006</c:v>
                </c:pt>
                <c:pt idx="1">
                  <c:v>13.49</c:v>
                </c:pt>
                <c:pt idx="2">
                  <c:v>12.7</c:v>
                </c:pt>
              </c:numCache>
            </c:numRef>
          </c:val>
          <c:extLst>
            <c:ext xmlns:c16="http://schemas.microsoft.com/office/drawing/2014/chart" uri="{C3380CC4-5D6E-409C-BE32-E72D297353CC}">
              <c16:uniqueId val="{00000001-3DD4-4F92-A372-5196C9F363B2}"/>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9.52</c:v>
                </c:pt>
                <c:pt idx="1">
                  <c:v>12.7</c:v>
                </c:pt>
                <c:pt idx="2">
                  <c:v>12.7</c:v>
                </c:pt>
              </c:numCache>
            </c:numRef>
          </c:val>
          <c:extLst>
            <c:ext xmlns:c16="http://schemas.microsoft.com/office/drawing/2014/chart" uri="{C3380CC4-5D6E-409C-BE32-E72D297353CC}">
              <c16:uniqueId val="{00000002-3DD4-4F92-A372-5196C9F363B2}"/>
            </c:ext>
          </c:extLst>
        </c:ser>
        <c:dLbls>
          <c:showLegendKey val="0"/>
          <c:showVal val="0"/>
          <c:showCatName val="0"/>
          <c:showSerName val="0"/>
          <c:showPercent val="0"/>
          <c:showBubbleSize val="0"/>
        </c:dLbls>
        <c:gapWidth val="219"/>
        <c:overlap val="-27"/>
        <c:axId val="481292288"/>
        <c:axId val="481293824"/>
      </c:barChart>
      <c:catAx>
        <c:axId val="481292288"/>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93824"/>
        <c:crosses val="autoZero"/>
        <c:auto val="1"/>
        <c:lblAlgn val="ctr"/>
        <c:lblOffset val="100"/>
        <c:noMultiLvlLbl val="0"/>
      </c:catAx>
      <c:valAx>
        <c:axId val="481293824"/>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292288"/>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0.05</c:v>
                </c:pt>
                <c:pt idx="1">
                  <c:v>0.05</c:v>
                </c:pt>
                <c:pt idx="2">
                  <c:v>4.0000000000000022E-2</c:v>
                </c:pt>
              </c:numCache>
            </c:numRef>
          </c:val>
          <c:extLst>
            <c:ext xmlns:c16="http://schemas.microsoft.com/office/drawing/2014/chart" uri="{C3380CC4-5D6E-409C-BE32-E72D297353CC}">
              <c16:uniqueId val="{00000000-CD93-4F40-9447-A871DC3D41CD}"/>
            </c:ext>
          </c:extLst>
        </c:ser>
        <c:ser>
          <c:idx val="1"/>
          <c:order val="1"/>
          <c:tx>
            <c:strRef>
              <c:f>Sheet1!$C$1</c:f>
              <c:strCache>
                <c:ptCount val="1"/>
                <c:pt idx="0">
                  <c:v>Cr</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0.42000000000000021</c:v>
                </c:pt>
                <c:pt idx="1">
                  <c:v>0.05</c:v>
                </c:pt>
                <c:pt idx="2">
                  <c:v>7.0000000000000021E-2</c:v>
                </c:pt>
              </c:numCache>
            </c:numRef>
          </c:val>
          <c:extLst>
            <c:ext xmlns:c16="http://schemas.microsoft.com/office/drawing/2014/chart" uri="{C3380CC4-5D6E-409C-BE32-E72D297353CC}">
              <c16:uniqueId val="{00000001-CD93-4F40-9447-A871DC3D41CD}"/>
            </c:ext>
          </c:extLst>
        </c:ser>
        <c:ser>
          <c:idx val="2"/>
          <c:order val="2"/>
          <c:tx>
            <c:strRef>
              <c:f>Sheet1!$D$1</c:f>
              <c:strCache>
                <c:ptCount val="1"/>
                <c:pt idx="0">
                  <c:v>Pb</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0.14000000000000001</c:v>
                </c:pt>
                <c:pt idx="1">
                  <c:v>0.15000000000000011</c:v>
                </c:pt>
                <c:pt idx="2">
                  <c:v>7.0000000000000021E-2</c:v>
                </c:pt>
              </c:numCache>
            </c:numRef>
          </c:val>
          <c:extLst>
            <c:ext xmlns:c16="http://schemas.microsoft.com/office/drawing/2014/chart" uri="{C3380CC4-5D6E-409C-BE32-E72D297353CC}">
              <c16:uniqueId val="{00000002-CD93-4F40-9447-A871DC3D41CD}"/>
            </c:ext>
          </c:extLst>
        </c:ser>
        <c:dLbls>
          <c:showLegendKey val="0"/>
          <c:showVal val="0"/>
          <c:showCatName val="0"/>
          <c:showSerName val="0"/>
          <c:showPercent val="0"/>
          <c:showBubbleSize val="0"/>
        </c:dLbls>
        <c:gapWidth val="219"/>
        <c:overlap val="-27"/>
        <c:axId val="478643328"/>
        <c:axId val="478644864"/>
      </c:barChart>
      <c:catAx>
        <c:axId val="478643328"/>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44864"/>
        <c:crosses val="autoZero"/>
        <c:auto val="1"/>
        <c:lblAlgn val="ctr"/>
        <c:lblOffset val="100"/>
        <c:noMultiLvlLbl val="0"/>
      </c:catAx>
      <c:valAx>
        <c:axId val="478644864"/>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43328"/>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0.19</c:v>
                </c:pt>
                <c:pt idx="1">
                  <c:v>0.19</c:v>
                </c:pt>
                <c:pt idx="2">
                  <c:v>0.11</c:v>
                </c:pt>
              </c:numCache>
            </c:numRef>
          </c:val>
          <c:extLst>
            <c:ext xmlns:c16="http://schemas.microsoft.com/office/drawing/2014/chart" uri="{C3380CC4-5D6E-409C-BE32-E72D297353CC}">
              <c16:uniqueId val="{00000000-4F7A-4A3A-B551-E4C730916E1C}"/>
            </c:ext>
          </c:extLst>
        </c:ser>
        <c:ser>
          <c:idx val="1"/>
          <c:order val="1"/>
          <c:tx>
            <c:strRef>
              <c:f>Sheet1!$C$1</c:f>
              <c:strCache>
                <c:ptCount val="1"/>
                <c:pt idx="0">
                  <c:v>Cr</c:v>
                </c:pt>
              </c:strCache>
            </c:strRef>
          </c:tx>
          <c:spPr>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9.0000000000000024E-2</c:v>
                </c:pt>
                <c:pt idx="1">
                  <c:v>0.05</c:v>
                </c:pt>
                <c:pt idx="2">
                  <c:v>0.11</c:v>
                </c:pt>
              </c:numCache>
            </c:numRef>
          </c:val>
          <c:extLst>
            <c:ext xmlns:c16="http://schemas.microsoft.com/office/drawing/2014/chart" uri="{C3380CC4-5D6E-409C-BE32-E72D297353CC}">
              <c16:uniqueId val="{00000001-4F7A-4A3A-B551-E4C730916E1C}"/>
            </c:ext>
          </c:extLst>
        </c:ser>
        <c:ser>
          <c:idx val="2"/>
          <c:order val="2"/>
          <c:tx>
            <c:strRef>
              <c:f>Sheet1!$D$1</c:f>
              <c:strCache>
                <c:ptCount val="1"/>
                <c:pt idx="0">
                  <c:v>Pb</c:v>
                </c:pt>
              </c:strCache>
            </c:strRef>
          </c:tx>
          <c:spPr>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9.0000000000000024E-2</c:v>
                </c:pt>
                <c:pt idx="1">
                  <c:v>0.1</c:v>
                </c:pt>
                <c:pt idx="2">
                  <c:v>0.11</c:v>
                </c:pt>
              </c:numCache>
            </c:numRef>
          </c:val>
          <c:extLst>
            <c:ext xmlns:c16="http://schemas.microsoft.com/office/drawing/2014/chart" uri="{C3380CC4-5D6E-409C-BE32-E72D297353CC}">
              <c16:uniqueId val="{00000002-4F7A-4A3A-B551-E4C730916E1C}"/>
            </c:ext>
          </c:extLst>
        </c:ser>
        <c:dLbls>
          <c:showLegendKey val="0"/>
          <c:showVal val="0"/>
          <c:showCatName val="0"/>
          <c:showSerName val="0"/>
          <c:showPercent val="0"/>
          <c:showBubbleSize val="0"/>
        </c:dLbls>
        <c:gapWidth val="219"/>
        <c:overlap val="-27"/>
        <c:axId val="478635520"/>
        <c:axId val="478637056"/>
      </c:barChart>
      <c:catAx>
        <c:axId val="478635520"/>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37056"/>
        <c:crosses val="autoZero"/>
        <c:auto val="1"/>
        <c:lblAlgn val="ctr"/>
        <c:lblOffset val="100"/>
        <c:noMultiLvlLbl val="0"/>
      </c:catAx>
      <c:valAx>
        <c:axId val="478637056"/>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635520"/>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prstGeom prst="rect">
              <a:avLst/>
            </a:prstGeom>
            <a:solidFill>
              <a:schemeClr val="accent1"/>
            </a:solidFill>
            <a:ln>
              <a:noFill/>
            </a:ln>
            <a:effectLst/>
          </c:spPr>
          <c:invertIfNegative val="0"/>
          <c:cat>
            <c:strRef>
              <c:f>Sheet1!$A$2:$A$5</c:f>
              <c:strCache>
                <c:ptCount val="3"/>
                <c:pt idx="0">
                  <c:v>Leaf</c:v>
                </c:pt>
                <c:pt idx="1">
                  <c:v>Stem</c:v>
                </c:pt>
                <c:pt idx="2">
                  <c:v>Root</c:v>
                </c:pt>
              </c:strCache>
            </c:strRef>
          </c:cat>
          <c:val>
            <c:numRef>
              <c:f>Sheet1!$B$2:$B$5</c:f>
              <c:numCache>
                <c:formatCode>General</c:formatCode>
                <c:ptCount val="4"/>
                <c:pt idx="0">
                  <c:v>83.33</c:v>
                </c:pt>
                <c:pt idx="1">
                  <c:v>63.33</c:v>
                </c:pt>
                <c:pt idx="2">
                  <c:v>110</c:v>
                </c:pt>
              </c:numCache>
            </c:numRef>
          </c:val>
          <c:extLst>
            <c:ext xmlns:c16="http://schemas.microsoft.com/office/drawing/2014/chart" uri="{C3380CC4-5D6E-409C-BE32-E72D297353CC}">
              <c16:uniqueId val="{00000000-F527-4A7B-A8CB-DDF93C27251F}"/>
            </c:ext>
          </c:extLst>
        </c:ser>
        <c:ser>
          <c:idx val="1"/>
          <c:order val="1"/>
          <c:tx>
            <c:strRef>
              <c:f>Sheet1!$C$1</c:f>
              <c:strCache>
                <c:ptCount val="1"/>
                <c:pt idx="0">
                  <c:v>K</c:v>
                </c:pt>
              </c:strCache>
            </c:strRef>
          </c:tx>
          <c:spPr>
            <a:prstGeom prst="rect">
              <a:avLst/>
            </a:prstGeom>
            <a:solidFill>
              <a:schemeClr val="accent2"/>
            </a:solidFill>
            <a:ln>
              <a:noFill/>
            </a:ln>
            <a:effectLst/>
          </c:spPr>
          <c:invertIfNegative val="0"/>
          <c:cat>
            <c:strRef>
              <c:f>Sheet1!$A$2:$A$5</c:f>
              <c:strCache>
                <c:ptCount val="3"/>
                <c:pt idx="0">
                  <c:v>Leaf</c:v>
                </c:pt>
                <c:pt idx="1">
                  <c:v>Stem</c:v>
                </c:pt>
                <c:pt idx="2">
                  <c:v>Root</c:v>
                </c:pt>
              </c:strCache>
            </c:strRef>
          </c:cat>
          <c:val>
            <c:numRef>
              <c:f>Sheet1!$C$2:$C$5</c:f>
              <c:numCache>
                <c:formatCode>General</c:formatCode>
                <c:ptCount val="4"/>
                <c:pt idx="0">
                  <c:v>139.69999999999999</c:v>
                </c:pt>
                <c:pt idx="1">
                  <c:v>181.20999999999998</c:v>
                </c:pt>
                <c:pt idx="2">
                  <c:v>187.9800000000001</c:v>
                </c:pt>
              </c:numCache>
            </c:numRef>
          </c:val>
          <c:extLst>
            <c:ext xmlns:c16="http://schemas.microsoft.com/office/drawing/2014/chart" uri="{C3380CC4-5D6E-409C-BE32-E72D297353CC}">
              <c16:uniqueId val="{00000001-F527-4A7B-A8CB-DDF93C27251F}"/>
            </c:ext>
          </c:extLst>
        </c:ser>
        <c:ser>
          <c:idx val="2"/>
          <c:order val="2"/>
          <c:tx>
            <c:strRef>
              <c:f>Sheet1!$D$1</c:f>
              <c:strCache>
                <c:ptCount val="1"/>
                <c:pt idx="0">
                  <c:v>Mg</c:v>
                </c:pt>
              </c:strCache>
            </c:strRef>
          </c:tx>
          <c:spPr>
            <a:prstGeom prst="rect">
              <a:avLst/>
            </a:prstGeom>
            <a:solidFill>
              <a:schemeClr val="accent3"/>
            </a:solidFill>
            <a:ln>
              <a:noFill/>
            </a:ln>
            <a:effectLst/>
          </c:spPr>
          <c:invertIfNegative val="0"/>
          <c:cat>
            <c:strRef>
              <c:f>Sheet1!$A$2:$A$5</c:f>
              <c:strCache>
                <c:ptCount val="3"/>
                <c:pt idx="0">
                  <c:v>Leaf</c:v>
                </c:pt>
                <c:pt idx="1">
                  <c:v>Stem</c:v>
                </c:pt>
                <c:pt idx="2">
                  <c:v>Root</c:v>
                </c:pt>
              </c:strCache>
            </c:strRef>
          </c:cat>
          <c:val>
            <c:numRef>
              <c:f>Sheet1!$D$2:$D$5</c:f>
              <c:numCache>
                <c:formatCode>General</c:formatCode>
                <c:ptCount val="4"/>
                <c:pt idx="0">
                  <c:v>26.67</c:v>
                </c:pt>
                <c:pt idx="1">
                  <c:v>41.48</c:v>
                </c:pt>
                <c:pt idx="2">
                  <c:v>42.59</c:v>
                </c:pt>
              </c:numCache>
            </c:numRef>
          </c:val>
          <c:extLst>
            <c:ext xmlns:c16="http://schemas.microsoft.com/office/drawing/2014/chart" uri="{C3380CC4-5D6E-409C-BE32-E72D297353CC}">
              <c16:uniqueId val="{00000002-F527-4A7B-A8CB-DDF93C27251F}"/>
            </c:ext>
          </c:extLst>
        </c:ser>
        <c:ser>
          <c:idx val="3"/>
          <c:order val="3"/>
          <c:tx>
            <c:strRef>
              <c:f>Sheet1!$E$1</c:f>
              <c:strCache>
                <c:ptCount val="1"/>
                <c:pt idx="0">
                  <c:v>Mn</c:v>
                </c:pt>
              </c:strCache>
            </c:strRef>
          </c:tx>
          <c:spPr>
            <a:prstGeom prst="rect">
              <a:avLst/>
            </a:prstGeom>
            <a:solidFill>
              <a:schemeClr val="accent4"/>
            </a:solidFill>
            <a:ln>
              <a:noFill/>
            </a:ln>
            <a:effectLst/>
          </c:spPr>
          <c:invertIfNegative val="0"/>
          <c:cat>
            <c:strRef>
              <c:f>Sheet1!$A$2:$A$5</c:f>
              <c:strCache>
                <c:ptCount val="3"/>
                <c:pt idx="0">
                  <c:v>Leaf</c:v>
                </c:pt>
                <c:pt idx="1">
                  <c:v>Stem</c:v>
                </c:pt>
                <c:pt idx="2">
                  <c:v>Root</c:v>
                </c:pt>
              </c:strCache>
            </c:strRef>
          </c:cat>
          <c:val>
            <c:numRef>
              <c:f>Sheet1!$E$2:$E$5</c:f>
              <c:numCache>
                <c:formatCode>General</c:formatCode>
                <c:ptCount val="4"/>
                <c:pt idx="0">
                  <c:v>0.30000000000000021</c:v>
                </c:pt>
                <c:pt idx="1">
                  <c:v>0.60000000000000042</c:v>
                </c:pt>
                <c:pt idx="2">
                  <c:v>0.2400000000000001</c:v>
                </c:pt>
              </c:numCache>
            </c:numRef>
          </c:val>
          <c:extLst>
            <c:ext xmlns:c16="http://schemas.microsoft.com/office/drawing/2014/chart" uri="{C3380CC4-5D6E-409C-BE32-E72D297353CC}">
              <c16:uniqueId val="{00000003-F527-4A7B-A8CB-DDF93C27251F}"/>
            </c:ext>
          </c:extLst>
        </c:ser>
        <c:ser>
          <c:idx val="4"/>
          <c:order val="4"/>
          <c:tx>
            <c:strRef>
              <c:f>Sheet1!$F$1</c:f>
              <c:strCache>
                <c:ptCount val="1"/>
                <c:pt idx="0">
                  <c:v>Na</c:v>
                </c:pt>
              </c:strCache>
            </c:strRef>
          </c:tx>
          <c:spPr>
            <a:prstGeom prst="rect">
              <a:avLst/>
            </a:prstGeom>
            <a:solidFill>
              <a:schemeClr val="accent5"/>
            </a:solidFill>
            <a:ln>
              <a:noFill/>
            </a:ln>
            <a:effectLst/>
          </c:spPr>
          <c:invertIfNegative val="0"/>
          <c:cat>
            <c:strRef>
              <c:f>Sheet1!$A$2:$A$5</c:f>
              <c:strCache>
                <c:ptCount val="3"/>
                <c:pt idx="0">
                  <c:v>Leaf</c:v>
                </c:pt>
                <c:pt idx="1">
                  <c:v>Stem</c:v>
                </c:pt>
                <c:pt idx="2">
                  <c:v>Root</c:v>
                </c:pt>
              </c:strCache>
            </c:strRef>
          </c:cat>
          <c:val>
            <c:numRef>
              <c:f>Sheet1!$F$2:$F$5</c:f>
              <c:numCache>
                <c:formatCode>General</c:formatCode>
                <c:ptCount val="4"/>
                <c:pt idx="0">
                  <c:v>16.670000000000005</c:v>
                </c:pt>
                <c:pt idx="1">
                  <c:v>11.11</c:v>
                </c:pt>
                <c:pt idx="2">
                  <c:v>11.11</c:v>
                </c:pt>
              </c:numCache>
            </c:numRef>
          </c:val>
          <c:extLst>
            <c:ext xmlns:c16="http://schemas.microsoft.com/office/drawing/2014/chart" uri="{C3380CC4-5D6E-409C-BE32-E72D297353CC}">
              <c16:uniqueId val="{00000004-F527-4A7B-A8CB-DDF93C27251F}"/>
            </c:ext>
          </c:extLst>
        </c:ser>
        <c:dLbls>
          <c:showLegendKey val="0"/>
          <c:showVal val="0"/>
          <c:showCatName val="0"/>
          <c:showSerName val="0"/>
          <c:showPercent val="0"/>
          <c:showBubbleSize val="0"/>
        </c:dLbls>
        <c:gapWidth val="219"/>
        <c:overlap val="-27"/>
        <c:axId val="476979584"/>
        <c:axId val="476981120"/>
      </c:barChart>
      <c:catAx>
        <c:axId val="47697958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6981120"/>
        <c:crosses val="autoZero"/>
        <c:auto val="1"/>
        <c:lblAlgn val="ctr"/>
        <c:lblOffset val="100"/>
        <c:noMultiLvlLbl val="0"/>
      </c:catAx>
      <c:valAx>
        <c:axId val="476981120"/>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6979584"/>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66.669999999999987</c:v>
                </c:pt>
                <c:pt idx="1">
                  <c:v>60</c:v>
                </c:pt>
                <c:pt idx="2">
                  <c:v>50</c:v>
                </c:pt>
              </c:numCache>
            </c:numRef>
          </c:val>
          <c:extLst>
            <c:ext xmlns:c16="http://schemas.microsoft.com/office/drawing/2014/chart" uri="{C3380CC4-5D6E-409C-BE32-E72D297353CC}">
              <c16:uniqueId val="{00000000-7CC1-4672-9FCB-36A4B1C10113}"/>
            </c:ext>
          </c:extLst>
        </c:ser>
        <c:ser>
          <c:idx val="1"/>
          <c:order val="1"/>
          <c:tx>
            <c:strRef>
              <c:f>Sheet1!$C$1</c:f>
              <c:strCache>
                <c:ptCount val="1"/>
                <c:pt idx="0">
                  <c:v>K</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168.18</c:v>
                </c:pt>
                <c:pt idx="1">
                  <c:v>165.46</c:v>
                </c:pt>
                <c:pt idx="2">
                  <c:v>133.94</c:v>
                </c:pt>
              </c:numCache>
            </c:numRef>
          </c:val>
          <c:extLst>
            <c:ext xmlns:c16="http://schemas.microsoft.com/office/drawing/2014/chart" uri="{C3380CC4-5D6E-409C-BE32-E72D297353CC}">
              <c16:uniqueId val="{00000001-7CC1-4672-9FCB-36A4B1C10113}"/>
            </c:ext>
          </c:extLst>
        </c:ser>
        <c:ser>
          <c:idx val="2"/>
          <c:order val="2"/>
          <c:tx>
            <c:strRef>
              <c:f>Sheet1!$D$1</c:f>
              <c:strCache>
                <c:ptCount val="1"/>
                <c:pt idx="0">
                  <c:v>Mg</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37.78</c:v>
                </c:pt>
                <c:pt idx="1">
                  <c:v>15.93</c:v>
                </c:pt>
                <c:pt idx="2">
                  <c:v>33.33</c:v>
                </c:pt>
              </c:numCache>
            </c:numRef>
          </c:val>
          <c:extLst>
            <c:ext xmlns:c16="http://schemas.microsoft.com/office/drawing/2014/chart" uri="{C3380CC4-5D6E-409C-BE32-E72D297353CC}">
              <c16:uniqueId val="{00000002-7CC1-4672-9FCB-36A4B1C10113}"/>
            </c:ext>
          </c:extLst>
        </c:ser>
        <c:ser>
          <c:idx val="3"/>
          <c:order val="3"/>
          <c:tx>
            <c:strRef>
              <c:f>Sheet1!$E$1</c:f>
              <c:strCache>
                <c:ptCount val="1"/>
                <c:pt idx="0">
                  <c:v>Mn</c:v>
                </c:pt>
              </c:strCache>
            </c:strRef>
          </c:tx>
          <c:spPr>
            <a:prstGeom prst="rect">
              <a:avLst/>
            </a:prstGeom>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0.36000000000000021</c:v>
                </c:pt>
                <c:pt idx="2">
                  <c:v>0.30000000000000021</c:v>
                </c:pt>
              </c:numCache>
            </c:numRef>
          </c:val>
          <c:extLst>
            <c:ext xmlns:c16="http://schemas.microsoft.com/office/drawing/2014/chart" uri="{C3380CC4-5D6E-409C-BE32-E72D297353CC}">
              <c16:uniqueId val="{00000003-7CC1-4672-9FCB-36A4B1C10113}"/>
            </c:ext>
          </c:extLst>
        </c:ser>
        <c:ser>
          <c:idx val="4"/>
          <c:order val="4"/>
          <c:tx>
            <c:strRef>
              <c:f>Sheet1!$F$1</c:f>
              <c:strCache>
                <c:ptCount val="1"/>
                <c:pt idx="0">
                  <c:v>Na</c:v>
                </c:pt>
              </c:strCache>
            </c:strRef>
          </c:tx>
          <c:spPr>
            <a:prstGeom prst="rect">
              <a:avLst/>
            </a:prstGeom>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15.870000000000006</c:v>
                </c:pt>
                <c:pt idx="1">
                  <c:v>13.49</c:v>
                </c:pt>
                <c:pt idx="2">
                  <c:v>12.7</c:v>
                </c:pt>
              </c:numCache>
            </c:numRef>
          </c:val>
          <c:extLst>
            <c:ext xmlns:c16="http://schemas.microsoft.com/office/drawing/2014/chart" uri="{C3380CC4-5D6E-409C-BE32-E72D297353CC}">
              <c16:uniqueId val="{00000004-7CC1-4672-9FCB-36A4B1C10113}"/>
            </c:ext>
          </c:extLst>
        </c:ser>
        <c:dLbls>
          <c:showLegendKey val="0"/>
          <c:showVal val="0"/>
          <c:showCatName val="0"/>
          <c:showSerName val="0"/>
          <c:showPercent val="0"/>
          <c:showBubbleSize val="0"/>
        </c:dLbls>
        <c:gapWidth val="219"/>
        <c:overlap val="-27"/>
        <c:axId val="481381376"/>
        <c:axId val="481395456"/>
      </c:barChart>
      <c:catAx>
        <c:axId val="481381376"/>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95456"/>
        <c:crosses val="autoZero"/>
        <c:auto val="1"/>
        <c:lblAlgn val="ctr"/>
        <c:lblOffset val="100"/>
        <c:noMultiLvlLbl val="0"/>
      </c:catAx>
      <c:valAx>
        <c:axId val="481395456"/>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381376"/>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96.669999999999987</c:v>
                </c:pt>
                <c:pt idx="1">
                  <c:v>56.67</c:v>
                </c:pt>
                <c:pt idx="2">
                  <c:v>76.669999999999987</c:v>
                </c:pt>
              </c:numCache>
            </c:numRef>
          </c:val>
          <c:extLst>
            <c:ext xmlns:c16="http://schemas.microsoft.com/office/drawing/2014/chart" uri="{C3380CC4-5D6E-409C-BE32-E72D297353CC}">
              <c16:uniqueId val="{00000000-0495-4F9A-AE7B-531C02ABC64F}"/>
            </c:ext>
          </c:extLst>
        </c:ser>
        <c:ser>
          <c:idx val="1"/>
          <c:order val="1"/>
          <c:tx>
            <c:strRef>
              <c:f>Sheet1!$C$1</c:f>
              <c:strCache>
                <c:ptCount val="1"/>
                <c:pt idx="0">
                  <c:v>K</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182.73</c:v>
                </c:pt>
                <c:pt idx="1">
                  <c:v>35.450000000000003</c:v>
                </c:pt>
                <c:pt idx="2">
                  <c:v>195.4</c:v>
                </c:pt>
              </c:numCache>
            </c:numRef>
          </c:val>
          <c:extLst>
            <c:ext xmlns:c16="http://schemas.microsoft.com/office/drawing/2014/chart" uri="{C3380CC4-5D6E-409C-BE32-E72D297353CC}">
              <c16:uniqueId val="{00000001-0495-4F9A-AE7B-531C02ABC64F}"/>
            </c:ext>
          </c:extLst>
        </c:ser>
        <c:ser>
          <c:idx val="2"/>
          <c:order val="2"/>
          <c:tx>
            <c:strRef>
              <c:f>Sheet1!$D$1</c:f>
              <c:strCache>
                <c:ptCount val="1"/>
                <c:pt idx="0">
                  <c:v>Mg</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41.85</c:v>
                </c:pt>
                <c:pt idx="1">
                  <c:v>33.33</c:v>
                </c:pt>
                <c:pt idx="2">
                  <c:v>5.56</c:v>
                </c:pt>
              </c:numCache>
            </c:numRef>
          </c:val>
          <c:extLst>
            <c:ext xmlns:c16="http://schemas.microsoft.com/office/drawing/2014/chart" uri="{C3380CC4-5D6E-409C-BE32-E72D297353CC}">
              <c16:uniqueId val="{00000002-0495-4F9A-AE7B-531C02ABC64F}"/>
            </c:ext>
          </c:extLst>
        </c:ser>
        <c:ser>
          <c:idx val="3"/>
          <c:order val="3"/>
          <c:tx>
            <c:strRef>
              <c:f>Sheet1!$E$1</c:f>
              <c:strCache>
                <c:ptCount val="1"/>
                <c:pt idx="0">
                  <c:v>Mn</c:v>
                </c:pt>
              </c:strCache>
            </c:strRef>
          </c:tx>
          <c:spPr>
            <a:prstGeom prst="rect">
              <a:avLst/>
            </a:prstGeom>
            <a:solidFill>
              <a:schemeClr val="accent4"/>
            </a:solidFill>
            <a:ln>
              <a:noFill/>
            </a:ln>
            <a:effectLst/>
          </c:spPr>
          <c:invertIfNegative val="0"/>
          <c:cat>
            <c:strRef>
              <c:f>Sheet1!$A$2:$A$4</c:f>
              <c:strCache>
                <c:ptCount val="3"/>
                <c:pt idx="0">
                  <c:v>Leaf</c:v>
                </c:pt>
                <c:pt idx="1">
                  <c:v>Stem</c:v>
                </c:pt>
                <c:pt idx="2">
                  <c:v>Root</c:v>
                </c:pt>
              </c:strCache>
            </c:strRef>
          </c:cat>
          <c:val>
            <c:numRef>
              <c:f>Sheet1!$E$2:$E$4</c:f>
              <c:numCache>
                <c:formatCode>General</c:formatCode>
                <c:ptCount val="3"/>
                <c:pt idx="0">
                  <c:v>0.2400000000000001</c:v>
                </c:pt>
                <c:pt idx="1">
                  <c:v>0.1800000000000001</c:v>
                </c:pt>
                <c:pt idx="2">
                  <c:v>0.1800000000000001</c:v>
                </c:pt>
              </c:numCache>
            </c:numRef>
          </c:val>
          <c:extLst>
            <c:ext xmlns:c16="http://schemas.microsoft.com/office/drawing/2014/chart" uri="{C3380CC4-5D6E-409C-BE32-E72D297353CC}">
              <c16:uniqueId val="{00000003-0495-4F9A-AE7B-531C02ABC64F}"/>
            </c:ext>
          </c:extLst>
        </c:ser>
        <c:ser>
          <c:idx val="4"/>
          <c:order val="4"/>
          <c:tx>
            <c:strRef>
              <c:f>Sheet1!$F$1</c:f>
              <c:strCache>
                <c:ptCount val="1"/>
                <c:pt idx="0">
                  <c:v>Na</c:v>
                </c:pt>
              </c:strCache>
            </c:strRef>
          </c:tx>
          <c:spPr>
            <a:prstGeom prst="rect">
              <a:avLst/>
            </a:prstGeom>
            <a:solidFill>
              <a:schemeClr val="accent5"/>
            </a:solidFill>
            <a:ln>
              <a:noFill/>
            </a:ln>
            <a:effectLst/>
          </c:spPr>
          <c:invertIfNegative val="0"/>
          <c:cat>
            <c:strRef>
              <c:f>Sheet1!$A$2:$A$4</c:f>
              <c:strCache>
                <c:ptCount val="3"/>
                <c:pt idx="0">
                  <c:v>Leaf</c:v>
                </c:pt>
                <c:pt idx="1">
                  <c:v>Stem</c:v>
                </c:pt>
                <c:pt idx="2">
                  <c:v>Root</c:v>
                </c:pt>
              </c:strCache>
            </c:strRef>
          </c:cat>
          <c:val>
            <c:numRef>
              <c:f>Sheet1!$F$2:$F$4</c:f>
              <c:numCache>
                <c:formatCode>General</c:formatCode>
                <c:ptCount val="3"/>
                <c:pt idx="0">
                  <c:v>9.52</c:v>
                </c:pt>
                <c:pt idx="1">
                  <c:v>12.7</c:v>
                </c:pt>
                <c:pt idx="2">
                  <c:v>12.7</c:v>
                </c:pt>
              </c:numCache>
            </c:numRef>
          </c:val>
          <c:extLst>
            <c:ext xmlns:c16="http://schemas.microsoft.com/office/drawing/2014/chart" uri="{C3380CC4-5D6E-409C-BE32-E72D297353CC}">
              <c16:uniqueId val="{00000004-0495-4F9A-AE7B-531C02ABC64F}"/>
            </c:ext>
          </c:extLst>
        </c:ser>
        <c:dLbls>
          <c:showLegendKey val="0"/>
          <c:showVal val="0"/>
          <c:showCatName val="0"/>
          <c:showSerName val="0"/>
          <c:showPercent val="0"/>
          <c:showBubbleSize val="0"/>
        </c:dLbls>
        <c:gapWidth val="219"/>
        <c:overlap val="-27"/>
        <c:axId val="478840704"/>
        <c:axId val="478842240"/>
      </c:barChart>
      <c:catAx>
        <c:axId val="47884070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42240"/>
        <c:crosses val="autoZero"/>
        <c:auto val="1"/>
        <c:lblAlgn val="ctr"/>
        <c:lblOffset val="100"/>
        <c:noMultiLvlLbl val="0"/>
      </c:catAx>
      <c:valAx>
        <c:axId val="478842240"/>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40704"/>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0.14000000000000001</c:v>
                </c:pt>
                <c:pt idx="1">
                  <c:v>9.0000000000000024E-2</c:v>
                </c:pt>
                <c:pt idx="2">
                  <c:v>9.0000000000000024E-2</c:v>
                </c:pt>
              </c:numCache>
            </c:numRef>
          </c:val>
          <c:extLst>
            <c:ext xmlns:c16="http://schemas.microsoft.com/office/drawing/2014/chart" uri="{C3380CC4-5D6E-409C-BE32-E72D297353CC}">
              <c16:uniqueId val="{00000000-E975-444F-AC72-62DBB8BF00E5}"/>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0.42000000000000021</c:v>
                </c:pt>
                <c:pt idx="2">
                  <c:v>0.14000000000000001</c:v>
                </c:pt>
              </c:numCache>
            </c:numRef>
          </c:val>
          <c:extLst>
            <c:ext xmlns:c16="http://schemas.microsoft.com/office/drawing/2014/chart" uri="{C3380CC4-5D6E-409C-BE32-E72D297353CC}">
              <c16:uniqueId val="{00000001-E975-444F-AC72-62DBB8BF00E5}"/>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0.19</c:v>
                </c:pt>
                <c:pt idx="1">
                  <c:v>9.0000000000000024E-2</c:v>
                </c:pt>
                <c:pt idx="2">
                  <c:v>9.0000000000000024E-2</c:v>
                </c:pt>
              </c:numCache>
            </c:numRef>
          </c:val>
          <c:extLst>
            <c:ext xmlns:c16="http://schemas.microsoft.com/office/drawing/2014/chart" uri="{C3380CC4-5D6E-409C-BE32-E72D297353CC}">
              <c16:uniqueId val="{00000002-E975-444F-AC72-62DBB8BF00E5}"/>
            </c:ext>
          </c:extLst>
        </c:ser>
        <c:dLbls>
          <c:showLegendKey val="0"/>
          <c:showVal val="0"/>
          <c:showCatName val="0"/>
          <c:showSerName val="0"/>
          <c:showPercent val="0"/>
          <c:showBubbleSize val="0"/>
        </c:dLbls>
        <c:gapWidth val="219"/>
        <c:overlap val="-27"/>
        <c:axId val="478808320"/>
        <c:axId val="478814208"/>
      </c:barChart>
      <c:catAx>
        <c:axId val="478808320"/>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14208"/>
        <c:crosses val="autoZero"/>
        <c:auto val="1"/>
        <c:lblAlgn val="ctr"/>
        <c:lblOffset val="100"/>
        <c:noMultiLvlLbl val="0"/>
      </c:catAx>
      <c:valAx>
        <c:axId val="478814208"/>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78808320"/>
        <c:crosses val="autoZero"/>
        <c:crossBetween val="between"/>
      </c:valAx>
      <c:spPr>
        <a:prstGeom prst="rect">
          <a:avLst/>
        </a:prstGeom>
        <a:noFill/>
        <a:ln>
          <a:noFill/>
        </a:ln>
        <a:effectLst/>
      </c:spPr>
    </c:plotArea>
    <c:legend>
      <c:legendPos val="b"/>
      <c:legendEntry>
        <c:idx val="0"/>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0.15000000000000011</c:v>
                </c:pt>
                <c:pt idx="1">
                  <c:v>0.1</c:v>
                </c:pt>
                <c:pt idx="2">
                  <c:v>0.05</c:v>
                </c:pt>
              </c:numCache>
            </c:numRef>
          </c:val>
          <c:extLst>
            <c:ext xmlns:c16="http://schemas.microsoft.com/office/drawing/2014/chart" uri="{C3380CC4-5D6E-409C-BE32-E72D297353CC}">
              <c16:uniqueId val="{00000000-5DE7-4A88-B8BB-FB6D09FF35C0}"/>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0.05</c:v>
                </c:pt>
                <c:pt idx="1">
                  <c:v>0.05</c:v>
                </c:pt>
                <c:pt idx="2">
                  <c:v>0.15000000000000011</c:v>
                </c:pt>
              </c:numCache>
            </c:numRef>
          </c:val>
          <c:extLst>
            <c:ext xmlns:c16="http://schemas.microsoft.com/office/drawing/2014/chart" uri="{C3380CC4-5D6E-409C-BE32-E72D297353CC}">
              <c16:uniqueId val="{00000001-5DE7-4A88-B8BB-FB6D09FF35C0}"/>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0.15000000000000011</c:v>
                </c:pt>
                <c:pt idx="1">
                  <c:v>0.05</c:v>
                </c:pt>
                <c:pt idx="2">
                  <c:v>0.1</c:v>
                </c:pt>
              </c:numCache>
            </c:numRef>
          </c:val>
          <c:extLst>
            <c:ext xmlns:c16="http://schemas.microsoft.com/office/drawing/2014/chart" uri="{C3380CC4-5D6E-409C-BE32-E72D297353CC}">
              <c16:uniqueId val="{00000002-5DE7-4A88-B8BB-FB6D09FF35C0}"/>
            </c:ext>
          </c:extLst>
        </c:ser>
        <c:dLbls>
          <c:showLegendKey val="0"/>
          <c:showVal val="0"/>
          <c:showCatName val="0"/>
          <c:showSerName val="0"/>
          <c:showPercent val="0"/>
          <c:showBubbleSize val="0"/>
        </c:dLbls>
        <c:gapWidth val="219"/>
        <c:overlap val="-27"/>
        <c:axId val="481173504"/>
        <c:axId val="481175040"/>
      </c:barChart>
      <c:catAx>
        <c:axId val="481173504"/>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75040"/>
        <c:crosses val="autoZero"/>
        <c:auto val="1"/>
        <c:lblAlgn val="ctr"/>
        <c:lblOffset val="100"/>
        <c:noMultiLvlLbl val="0"/>
      </c:catAx>
      <c:valAx>
        <c:axId val="481175040"/>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173504"/>
        <c:crosses val="autoZero"/>
        <c:crossBetween val="between"/>
      </c:valAx>
      <c:spPr>
        <a:prstGeom prst="rect">
          <a:avLst/>
        </a:prstGeom>
        <a:noFill/>
        <a:ln>
          <a:noFill/>
        </a:ln>
        <a:effectLst/>
      </c:spPr>
    </c:plotArea>
    <c:legend>
      <c:legendPos val="b"/>
      <c:legendEntry>
        <c:idx val="0"/>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Entry>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 tintorium</c:v>
                </c:pt>
              </c:strCache>
            </c:strRef>
          </c:tx>
          <c:spPr>
            <a:prstGeom prst="rect">
              <a:avLst/>
            </a:prstGeom>
            <a:solidFill>
              <a:schemeClr val="accent1"/>
            </a:solidFill>
            <a:ln>
              <a:noFill/>
            </a:ln>
            <a:effectLst/>
          </c:spPr>
          <c:invertIfNegative val="0"/>
          <c:cat>
            <c:strRef>
              <c:f>Sheet1!$A$2:$A$4</c:f>
              <c:strCache>
                <c:ptCount val="3"/>
                <c:pt idx="0">
                  <c:v>Leaf</c:v>
                </c:pt>
                <c:pt idx="1">
                  <c:v>Stem</c:v>
                </c:pt>
                <c:pt idx="2">
                  <c:v>Root</c:v>
                </c:pt>
              </c:strCache>
            </c:strRef>
          </c:cat>
          <c:val>
            <c:numRef>
              <c:f>Sheet1!$B$2:$B$4</c:f>
              <c:numCache>
                <c:formatCode>General</c:formatCode>
                <c:ptCount val="3"/>
                <c:pt idx="0">
                  <c:v>7.0000000000000021E-2</c:v>
                </c:pt>
                <c:pt idx="1">
                  <c:v>7.0000000000000021E-2</c:v>
                </c:pt>
                <c:pt idx="2">
                  <c:v>0.15000000000000011</c:v>
                </c:pt>
              </c:numCache>
            </c:numRef>
          </c:val>
          <c:extLst>
            <c:ext xmlns:c16="http://schemas.microsoft.com/office/drawing/2014/chart" uri="{C3380CC4-5D6E-409C-BE32-E72D297353CC}">
              <c16:uniqueId val="{00000000-00D1-4E5F-BCAC-F4EA8630297C}"/>
            </c:ext>
          </c:extLst>
        </c:ser>
        <c:ser>
          <c:idx val="1"/>
          <c:order val="1"/>
          <c:tx>
            <c:strRef>
              <c:f>Sheet1!$C$1</c:f>
              <c:strCache>
                <c:ptCount val="1"/>
                <c:pt idx="0">
                  <c:v>B. pinnatum</c:v>
                </c:pt>
              </c:strCache>
            </c:strRef>
          </c:tx>
          <c:spPr>
            <a:prstGeom prst="rect">
              <a:avLst/>
            </a:prstGeom>
            <a:solidFill>
              <a:schemeClr val="accent2"/>
            </a:solidFill>
            <a:ln>
              <a:noFill/>
            </a:ln>
            <a:effectLst/>
          </c:spPr>
          <c:invertIfNegative val="0"/>
          <c:cat>
            <c:strRef>
              <c:f>Sheet1!$A$2:$A$4</c:f>
              <c:strCache>
                <c:ptCount val="3"/>
                <c:pt idx="0">
                  <c:v>Leaf</c:v>
                </c:pt>
                <c:pt idx="1">
                  <c:v>Stem</c:v>
                </c:pt>
                <c:pt idx="2">
                  <c:v>Root</c:v>
                </c:pt>
              </c:strCache>
            </c:strRef>
          </c:cat>
          <c:val>
            <c:numRef>
              <c:f>Sheet1!$C$2:$C$4</c:f>
              <c:numCache>
                <c:formatCode>General</c:formatCode>
                <c:ptCount val="3"/>
                <c:pt idx="0">
                  <c:v>4.0000000000000022E-2</c:v>
                </c:pt>
                <c:pt idx="1">
                  <c:v>7.0000000000000021E-2</c:v>
                </c:pt>
                <c:pt idx="2">
                  <c:v>7.0000000000000021E-2</c:v>
                </c:pt>
              </c:numCache>
            </c:numRef>
          </c:val>
          <c:extLst>
            <c:ext xmlns:c16="http://schemas.microsoft.com/office/drawing/2014/chart" uri="{C3380CC4-5D6E-409C-BE32-E72D297353CC}">
              <c16:uniqueId val="{00000001-00D1-4E5F-BCAC-F4EA8630297C}"/>
            </c:ext>
          </c:extLst>
        </c:ser>
        <c:ser>
          <c:idx val="2"/>
          <c:order val="2"/>
          <c:tx>
            <c:strRef>
              <c:f>Sheet1!$D$1</c:f>
              <c:strCache>
                <c:ptCount val="1"/>
                <c:pt idx="0">
                  <c:v>E. senegalensis</c:v>
                </c:pt>
              </c:strCache>
            </c:strRef>
          </c:tx>
          <c:spPr>
            <a:prstGeom prst="rect">
              <a:avLst/>
            </a:prstGeom>
            <a:solidFill>
              <a:schemeClr val="accent3"/>
            </a:solidFill>
            <a:ln>
              <a:noFill/>
            </a:ln>
            <a:effectLst/>
          </c:spPr>
          <c:invertIfNegative val="0"/>
          <c:cat>
            <c:strRef>
              <c:f>Sheet1!$A$2:$A$4</c:f>
              <c:strCache>
                <c:ptCount val="3"/>
                <c:pt idx="0">
                  <c:v>Leaf</c:v>
                </c:pt>
                <c:pt idx="1">
                  <c:v>Stem</c:v>
                </c:pt>
                <c:pt idx="2">
                  <c:v>Root</c:v>
                </c:pt>
              </c:strCache>
            </c:strRef>
          </c:cat>
          <c:val>
            <c:numRef>
              <c:f>Sheet1!$D$2:$D$4</c:f>
              <c:numCache>
                <c:formatCode>General</c:formatCode>
                <c:ptCount val="3"/>
                <c:pt idx="0">
                  <c:v>0.11</c:v>
                </c:pt>
                <c:pt idx="1">
                  <c:v>0.11</c:v>
                </c:pt>
                <c:pt idx="2">
                  <c:v>0.11</c:v>
                </c:pt>
              </c:numCache>
            </c:numRef>
          </c:val>
          <c:extLst>
            <c:ext xmlns:c16="http://schemas.microsoft.com/office/drawing/2014/chart" uri="{C3380CC4-5D6E-409C-BE32-E72D297353CC}">
              <c16:uniqueId val="{00000002-00D1-4E5F-BCAC-F4EA8630297C}"/>
            </c:ext>
          </c:extLst>
        </c:ser>
        <c:dLbls>
          <c:showLegendKey val="0"/>
          <c:showVal val="0"/>
          <c:showCatName val="0"/>
          <c:showSerName val="0"/>
          <c:showPercent val="0"/>
          <c:showBubbleSize val="0"/>
        </c:dLbls>
        <c:gapWidth val="219"/>
        <c:overlap val="-27"/>
        <c:axId val="481822208"/>
        <c:axId val="481823744"/>
      </c:barChart>
      <c:catAx>
        <c:axId val="481822208"/>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823744"/>
        <c:crosses val="autoZero"/>
        <c:auto val="1"/>
        <c:lblAlgn val="ctr"/>
        <c:lblOffset val="100"/>
        <c:noMultiLvlLbl val="0"/>
      </c:catAx>
      <c:valAx>
        <c:axId val="481823744"/>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en-US"/>
          </a:p>
        </c:txPr>
        <c:crossAx val="481822208"/>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1" u="none" strike="noStrike">
              <a:solidFill>
                <a:schemeClr val="tx1">
                  <a:lumMod val="65000"/>
                  <a:lumOff val="35000"/>
                </a:schemeClr>
              </a:solidFill>
              <a:latin typeface="+mn-lt"/>
              <a:ea typeface="+mn-ea"/>
              <a:cs typeface="+mn-cs"/>
            </a:defRPr>
          </a:pPr>
          <a:endParaRPr lang="en-US"/>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29</Pages>
  <Words>5067</Words>
  <Characters>29745</Characters>
  <Application>Microsoft Office Word</Application>
  <DocSecurity>0</DocSecurity>
  <Lines>450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Drjack IBNmshelia</dc:creator>
  <cp:keywords/>
  <dc:description/>
  <cp:lastModifiedBy>Editor-17</cp:lastModifiedBy>
  <cp:revision>50</cp:revision>
  <dcterms:created xsi:type="dcterms:W3CDTF">2025-04-29T17:23:00Z</dcterms:created>
  <dcterms:modified xsi:type="dcterms:W3CDTF">2025-05-12T08:39:00Z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b2ce3540f951e463649f2f4d6ec94b91bc90d55d6a1ef9f8cd6879a7347c6029</vt:lpwstr>
  </property>
</Properties>
</file>