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C137F1" w14:textId="77777777" w:rsidR="00262821" w:rsidRDefault="00262821" w:rsidP="00F83B04">
      <w:pPr>
        <w:spacing w:after="160" w:line="360" w:lineRule="auto"/>
        <w:ind w:left="0" w:firstLine="0"/>
        <w:jc w:val="center"/>
        <w:rPr>
          <w:rFonts w:ascii="Arial" w:hAnsi="Arial" w:cs="Arial"/>
          <w:b/>
          <w:bCs/>
          <w:color w:val="auto"/>
          <w:sz w:val="36"/>
          <w:szCs w:val="36"/>
        </w:rPr>
      </w:pPr>
      <w:bookmarkStart w:id="0" w:name="_Hlk204180669"/>
      <w:r w:rsidRPr="00262821">
        <w:rPr>
          <w:rFonts w:ascii="Arial" w:hAnsi="Arial" w:cs="Arial"/>
          <w:b/>
          <w:bCs/>
          <w:color w:val="auto"/>
          <w:sz w:val="36"/>
          <w:szCs w:val="36"/>
        </w:rPr>
        <w:t>Original Research Article</w:t>
      </w:r>
    </w:p>
    <w:p w14:paraId="6FDF660A" w14:textId="77777777" w:rsidR="00262821" w:rsidRDefault="00262821" w:rsidP="00F83B04">
      <w:pPr>
        <w:spacing w:after="160" w:line="360" w:lineRule="auto"/>
        <w:ind w:left="0" w:firstLine="0"/>
        <w:jc w:val="center"/>
        <w:rPr>
          <w:rFonts w:ascii="Arial" w:hAnsi="Arial" w:cs="Arial"/>
          <w:b/>
          <w:bCs/>
          <w:color w:val="auto"/>
          <w:sz w:val="36"/>
          <w:szCs w:val="36"/>
        </w:rPr>
      </w:pPr>
    </w:p>
    <w:p w14:paraId="4073DCBC" w14:textId="608BD7B7" w:rsidR="00F021F7" w:rsidRPr="005E1DF6" w:rsidRDefault="005E1DF6" w:rsidP="00F83B04">
      <w:pPr>
        <w:spacing w:after="160" w:line="360" w:lineRule="auto"/>
        <w:ind w:left="0" w:firstLine="0"/>
        <w:jc w:val="center"/>
        <w:rPr>
          <w:rFonts w:ascii="Arial" w:hAnsi="Arial" w:cs="Arial"/>
          <w:b/>
          <w:color w:val="auto"/>
          <w:szCs w:val="20"/>
          <w:lang w:val="en-US"/>
        </w:rPr>
      </w:pPr>
      <w:r w:rsidRPr="005E1DF6">
        <w:rPr>
          <w:rFonts w:ascii="Arial" w:hAnsi="Arial" w:cs="Arial"/>
          <w:b/>
          <w:bCs/>
          <w:color w:val="auto"/>
          <w:sz w:val="36"/>
          <w:szCs w:val="36"/>
        </w:rPr>
        <w:t xml:space="preserve">Rate </w:t>
      </w:r>
      <w:r>
        <w:rPr>
          <w:rFonts w:ascii="Arial" w:hAnsi="Arial" w:cs="Arial"/>
          <w:b/>
          <w:bCs/>
          <w:color w:val="auto"/>
          <w:sz w:val="36"/>
          <w:szCs w:val="36"/>
        </w:rPr>
        <w:t>o</w:t>
      </w:r>
      <w:r w:rsidRPr="005E1DF6">
        <w:rPr>
          <w:rFonts w:ascii="Arial" w:hAnsi="Arial" w:cs="Arial"/>
          <w:b/>
          <w:bCs/>
          <w:color w:val="auto"/>
          <w:sz w:val="36"/>
          <w:szCs w:val="36"/>
        </w:rPr>
        <w:t xml:space="preserve">f Sea Level Rise </w:t>
      </w:r>
      <w:r>
        <w:rPr>
          <w:rFonts w:ascii="Arial" w:hAnsi="Arial" w:cs="Arial"/>
          <w:b/>
          <w:bCs/>
          <w:color w:val="auto"/>
          <w:sz w:val="36"/>
          <w:szCs w:val="36"/>
        </w:rPr>
        <w:t>i</w:t>
      </w:r>
      <w:r w:rsidRPr="005E1DF6">
        <w:rPr>
          <w:rFonts w:ascii="Arial" w:hAnsi="Arial" w:cs="Arial"/>
          <w:b/>
          <w:bCs/>
          <w:color w:val="auto"/>
          <w:sz w:val="36"/>
          <w:szCs w:val="36"/>
        </w:rPr>
        <w:t xml:space="preserve">n Selected Coastal Community </w:t>
      </w:r>
      <w:r>
        <w:rPr>
          <w:rFonts w:ascii="Arial" w:hAnsi="Arial" w:cs="Arial"/>
          <w:b/>
          <w:bCs/>
          <w:color w:val="auto"/>
          <w:sz w:val="36"/>
          <w:szCs w:val="36"/>
        </w:rPr>
        <w:t>i</w:t>
      </w:r>
      <w:r w:rsidRPr="005E1DF6">
        <w:rPr>
          <w:rFonts w:ascii="Arial" w:hAnsi="Arial" w:cs="Arial"/>
          <w:b/>
          <w:bCs/>
          <w:color w:val="auto"/>
          <w:sz w:val="36"/>
          <w:szCs w:val="36"/>
        </w:rPr>
        <w:t xml:space="preserve">n The Niger Delta Region </w:t>
      </w:r>
      <w:r>
        <w:rPr>
          <w:rFonts w:ascii="Arial" w:hAnsi="Arial" w:cs="Arial"/>
          <w:b/>
          <w:bCs/>
          <w:color w:val="auto"/>
          <w:sz w:val="36"/>
          <w:szCs w:val="36"/>
        </w:rPr>
        <w:t>o</w:t>
      </w:r>
      <w:r w:rsidRPr="005E1DF6">
        <w:rPr>
          <w:rFonts w:ascii="Arial" w:hAnsi="Arial" w:cs="Arial"/>
          <w:b/>
          <w:bCs/>
          <w:color w:val="auto"/>
          <w:sz w:val="36"/>
          <w:szCs w:val="36"/>
        </w:rPr>
        <w:t>f Nigeria</w:t>
      </w:r>
    </w:p>
    <w:bookmarkEnd w:id="0"/>
    <w:p w14:paraId="4073DCBE" w14:textId="3D508367" w:rsidR="000B2F25" w:rsidRDefault="000B2F25" w:rsidP="00F83B04">
      <w:pPr>
        <w:pStyle w:val="BodyText"/>
        <w:spacing w:line="360" w:lineRule="auto"/>
        <w:jc w:val="center"/>
        <w:rPr>
          <w:rFonts w:ascii="Arial" w:hAnsi="Arial" w:cs="Arial"/>
          <w:i/>
          <w:iCs/>
          <w:sz w:val="16"/>
          <w:szCs w:val="16"/>
        </w:rPr>
      </w:pPr>
    </w:p>
    <w:p w14:paraId="54CDD82A" w14:textId="77777777" w:rsidR="00B55BB0" w:rsidRPr="00313C9C" w:rsidRDefault="00B55BB0" w:rsidP="00F83B04">
      <w:pPr>
        <w:pStyle w:val="BodyText"/>
        <w:spacing w:line="360" w:lineRule="auto"/>
        <w:jc w:val="center"/>
        <w:rPr>
          <w:rFonts w:ascii="Arial" w:hAnsi="Arial" w:cs="Arial"/>
          <w:i/>
          <w:iCs/>
          <w:sz w:val="16"/>
          <w:szCs w:val="16"/>
        </w:rPr>
      </w:pPr>
    </w:p>
    <w:p w14:paraId="4073DCBF" w14:textId="77777777" w:rsidR="000B2F25" w:rsidRPr="005E1DF6" w:rsidRDefault="000B2F25" w:rsidP="00F83B04">
      <w:pPr>
        <w:spacing w:after="160" w:line="360" w:lineRule="auto"/>
        <w:ind w:left="0" w:firstLine="0"/>
        <w:jc w:val="center"/>
        <w:rPr>
          <w:rFonts w:ascii="Arial" w:hAnsi="Arial" w:cs="Arial"/>
          <w:b/>
          <w:color w:val="auto"/>
          <w:szCs w:val="20"/>
          <w:lang w:val="en-US"/>
        </w:rPr>
      </w:pPr>
    </w:p>
    <w:p w14:paraId="4073DCC0" w14:textId="77777777" w:rsidR="00AC2E6E" w:rsidRPr="005E1DF6" w:rsidRDefault="00AC2E6E" w:rsidP="00F83B04">
      <w:pPr>
        <w:spacing w:after="160" w:line="360" w:lineRule="auto"/>
        <w:ind w:left="0" w:firstLine="0"/>
        <w:rPr>
          <w:rFonts w:ascii="Arial" w:hAnsi="Arial" w:cs="Arial"/>
          <w:b/>
          <w:color w:val="auto"/>
          <w:szCs w:val="20"/>
        </w:rPr>
      </w:pPr>
      <w:bookmarkStart w:id="1" w:name="_Toc152599395"/>
      <w:bookmarkStart w:id="2" w:name="_Toc169185756"/>
      <w:r w:rsidRPr="005E1DF6">
        <w:rPr>
          <w:rFonts w:ascii="Arial" w:hAnsi="Arial" w:cs="Arial"/>
          <w:b/>
          <w:color w:val="auto"/>
          <w:szCs w:val="20"/>
        </w:rPr>
        <w:t>ABSTRACT</w:t>
      </w:r>
    </w:p>
    <w:p w14:paraId="497C95FE" w14:textId="77777777" w:rsidR="00BB219A" w:rsidRPr="00BB219A" w:rsidRDefault="00BB219A" w:rsidP="00BB219A">
      <w:pPr>
        <w:spacing w:after="160" w:line="360" w:lineRule="auto"/>
        <w:ind w:left="0" w:firstLine="0"/>
        <w:rPr>
          <w:rFonts w:ascii="Arial" w:hAnsi="Arial" w:cs="Arial"/>
          <w:w w:val="90"/>
          <w:szCs w:val="20"/>
        </w:rPr>
      </w:pPr>
      <w:r w:rsidRPr="00BB219A">
        <w:rPr>
          <w:rFonts w:ascii="Arial" w:hAnsi="Arial" w:cs="Arial"/>
          <w:w w:val="90"/>
          <w:szCs w:val="20"/>
        </w:rPr>
        <w:t>This study assessed the rate of shoreline change and sea level rise along the coast of the Opobo Kingdom in Nigeria's Niger Delta, one of the most vulnerable coastal regions in West Africa. Due to its low-lying terrain and vulnerability to tidal forces, the area was increasingly threatened by erosion and land loss brought on by climate change.</w:t>
      </w:r>
    </w:p>
    <w:p w14:paraId="5809BDFD" w14:textId="77777777" w:rsidR="00BB219A" w:rsidRPr="00BB219A" w:rsidRDefault="00BB219A" w:rsidP="00BB219A">
      <w:pPr>
        <w:spacing w:after="160" w:line="360" w:lineRule="auto"/>
        <w:ind w:left="0" w:firstLine="0"/>
        <w:rPr>
          <w:rFonts w:ascii="Arial" w:hAnsi="Arial" w:cs="Arial"/>
          <w:w w:val="90"/>
          <w:szCs w:val="20"/>
        </w:rPr>
      </w:pPr>
      <w:r w:rsidRPr="00BB219A">
        <w:rPr>
          <w:rFonts w:ascii="Arial" w:hAnsi="Arial" w:cs="Arial"/>
          <w:w w:val="90"/>
          <w:szCs w:val="20"/>
        </w:rPr>
        <w:t>The Digital Shoreline Analysis System (DSAS) was used in the study to measure shoreline dynamics using multi-temporal Landsat satellite imagery from 1984, 2000, 2012, and 2020. It evaluated both short- and long-term coastal changes by computing change statistics like End Point Rate (EPR) and Linear Regression Rate (LRR). For a more thorough spatial analysis, the study area was separated into three zones (A, B, and C). The findings demonstrated a dominant trend of erosion along the shore. At an average LRR of -5.89 ± 3.00 m/year, Zone B was found to be the most dynamic section, whereas Zone A displayed the lowest erosion at -2.23 ± 0.75 m/year</w:t>
      </w:r>
      <w:r w:rsidR="00C17C4D" w:rsidRPr="00C17C4D">
        <w:rPr>
          <w:rFonts w:ascii="Arial" w:hAnsi="Arial" w:cs="Arial"/>
          <w:w w:val="90"/>
          <w:szCs w:val="20"/>
        </w:rPr>
        <w:t xml:space="preserve">. </w:t>
      </w:r>
      <w:r w:rsidRPr="00BB219A">
        <w:rPr>
          <w:rFonts w:ascii="Arial" w:hAnsi="Arial" w:cs="Arial"/>
          <w:w w:val="90"/>
          <w:szCs w:val="20"/>
        </w:rPr>
        <w:t>Over the course of the 36-year study period, the average LRR for the entire area was -3.94 ± 1.28 m/year, which suggests a steady rate of coastal retreat. These patterns were influenced by a number of factors, including underlying geology, tidal and wave energy, embankment conditions, and human activities like boat wave impacts and sand mining. Conversely, places with natural backstops and vegetation demonstrated greater resistance to shoreline retreat.</w:t>
      </w:r>
    </w:p>
    <w:p w14:paraId="0F59D58F" w14:textId="77777777" w:rsidR="00BB219A" w:rsidRPr="00BB219A" w:rsidRDefault="00BB219A" w:rsidP="00BB219A">
      <w:pPr>
        <w:spacing w:after="160" w:line="360" w:lineRule="auto"/>
        <w:ind w:left="0" w:firstLine="0"/>
        <w:rPr>
          <w:rFonts w:ascii="Arial" w:hAnsi="Arial" w:cs="Arial"/>
          <w:w w:val="90"/>
          <w:szCs w:val="20"/>
        </w:rPr>
      </w:pPr>
      <w:r w:rsidRPr="00BB219A">
        <w:rPr>
          <w:rFonts w:ascii="Arial" w:hAnsi="Arial" w:cs="Arial"/>
          <w:w w:val="90"/>
          <w:szCs w:val="20"/>
        </w:rPr>
        <w:t>The study emphasized the necessity of combining local knowledge with geospatial tools in adaptation planning and supplied crucial data for Niger Delta coastal zone management. Its results provided a transferable methodology for monitoring and mitigating shoreline change in other vulnerable deltaic environments around the world, and they also supported the design of site-specific interventions.</w:t>
      </w:r>
    </w:p>
    <w:p w14:paraId="0E3C57F4" w14:textId="2CC9C3F4" w:rsidR="005E1DF6" w:rsidRPr="005E1DF6" w:rsidRDefault="005E1DF6" w:rsidP="00F83B04">
      <w:pPr>
        <w:spacing w:after="160" w:line="360" w:lineRule="auto"/>
        <w:ind w:left="0" w:firstLine="0"/>
        <w:rPr>
          <w:rFonts w:ascii="Arial" w:hAnsi="Arial" w:cs="Arial"/>
          <w:w w:val="90"/>
          <w:szCs w:val="20"/>
        </w:rPr>
      </w:pPr>
      <w:r w:rsidRPr="005E1DF6">
        <w:rPr>
          <w:rFonts w:ascii="Arial" w:hAnsi="Arial" w:cs="Arial"/>
          <w:b/>
          <w:bCs/>
          <w:w w:val="90"/>
          <w:szCs w:val="20"/>
        </w:rPr>
        <w:t>Keywords:</w:t>
      </w:r>
      <w:r w:rsidRPr="005E1DF6">
        <w:rPr>
          <w:rFonts w:ascii="Arial" w:hAnsi="Arial" w:cs="Arial"/>
          <w:w w:val="90"/>
          <w:szCs w:val="20"/>
        </w:rPr>
        <w:t xml:space="preserve"> </w:t>
      </w:r>
      <w:r w:rsidR="00C17C4D" w:rsidRPr="00C17C4D">
        <w:rPr>
          <w:rFonts w:ascii="Arial" w:hAnsi="Arial" w:cs="Arial"/>
          <w:w w:val="90"/>
          <w:szCs w:val="20"/>
        </w:rPr>
        <w:t>Sea level rise, shoreline change, coastal erosion, Niger Delta, Digital Shoreline Analysis System (DSAS), Landsat imagery, coastal vulnerability, adaptation strategies.</w:t>
      </w:r>
    </w:p>
    <w:p w14:paraId="4073DCC4" w14:textId="5511E46A" w:rsidR="0082219D" w:rsidRPr="005E1DF6" w:rsidRDefault="0082219D" w:rsidP="00F83B04">
      <w:pPr>
        <w:pStyle w:val="Heading1"/>
        <w:numPr>
          <w:ilvl w:val="0"/>
          <w:numId w:val="12"/>
        </w:numPr>
        <w:spacing w:line="360" w:lineRule="auto"/>
        <w:rPr>
          <w:rFonts w:ascii="Arial" w:hAnsi="Arial" w:cs="Arial"/>
          <w:b/>
          <w:color w:val="auto"/>
          <w:sz w:val="22"/>
          <w:szCs w:val="22"/>
        </w:rPr>
      </w:pPr>
      <w:bookmarkStart w:id="3" w:name="_Toc152599396"/>
      <w:bookmarkStart w:id="4" w:name="_Toc169185757"/>
      <w:bookmarkEnd w:id="1"/>
      <w:bookmarkEnd w:id="2"/>
      <w:r w:rsidRPr="005E1DF6">
        <w:rPr>
          <w:rFonts w:ascii="Arial" w:hAnsi="Arial" w:cs="Arial"/>
          <w:b/>
          <w:color w:val="auto"/>
          <w:sz w:val="22"/>
          <w:szCs w:val="22"/>
        </w:rPr>
        <w:t>INTRODUCTION</w:t>
      </w:r>
      <w:bookmarkEnd w:id="3"/>
      <w:bookmarkEnd w:id="4"/>
    </w:p>
    <w:p w14:paraId="0D8EF4A3" w14:textId="58B9E965" w:rsidR="00BB219A" w:rsidRPr="00BB219A" w:rsidRDefault="00BB219A" w:rsidP="00BB219A">
      <w:pPr>
        <w:spacing w:after="602" w:line="360" w:lineRule="auto"/>
        <w:ind w:firstLine="0"/>
        <w:rPr>
          <w:rFonts w:ascii="Arial" w:hAnsi="Arial" w:cs="Arial"/>
          <w:color w:val="auto"/>
          <w:szCs w:val="20"/>
        </w:rPr>
      </w:pPr>
      <w:r w:rsidRPr="00BB219A">
        <w:rPr>
          <w:rFonts w:ascii="Arial" w:hAnsi="Arial" w:cs="Arial"/>
          <w:color w:val="auto"/>
          <w:szCs w:val="20"/>
        </w:rPr>
        <w:t>One of the world's most ecologically and economically significant deltas is the Niger Delta, which is located along southern Nigeria's Atlantic coast. It was created at the point where the River Niger empties into the Gulf of Guinea, and it covers an area of more than 20,000 square kilometers. With over 2,370 km² of rivers, creeks, and estuaries and roughly 8,600 km² of stagnant swamps, this area is home to a dense network of rivers, estuaries, mangrove forests, and swamplands (Awosika, 2015; CLO, 2018).</w:t>
      </w:r>
      <w:r w:rsidRPr="00BB219A">
        <w:rPr>
          <w:rFonts w:ascii="Times New Roman" w:eastAsia="Times New Roman" w:hAnsi="Times New Roman" w:cs="Times New Roman"/>
          <w:color w:val="auto"/>
          <w:sz w:val="24"/>
          <w:szCs w:val="24"/>
          <w:lang w:eastAsia="zh-CN"/>
        </w:rPr>
        <w:t xml:space="preserve"> </w:t>
      </w:r>
      <w:r w:rsidRPr="00BB219A">
        <w:rPr>
          <w:rFonts w:ascii="Arial" w:hAnsi="Arial" w:cs="Arial"/>
          <w:color w:val="auto"/>
          <w:szCs w:val="20"/>
        </w:rPr>
        <w:t xml:space="preserve">It is the largest mangrove ecosystem in Africa, with the mangrove forests alone covering about 1,900 km². Millions of people depend on </w:t>
      </w:r>
      <w:r w:rsidRPr="00BB219A">
        <w:rPr>
          <w:rFonts w:ascii="Arial" w:hAnsi="Arial" w:cs="Arial"/>
          <w:color w:val="auto"/>
          <w:szCs w:val="20"/>
        </w:rPr>
        <w:lastRenderedPageBreak/>
        <w:t>these coastal ecosystems for their farming, fishing, and oil-related livelihoods in addition to their rich biodiversity. The Niger Delta, which is a region of humid tropical rainforest, is extremely susceptible to environmental stresses, particularly those brought on by climate change. The area is one of the most vulnerable in Sub-Saharan Africa to the effects of sea level rise (SLR) and coastal erosion because of its low elevation and long coastline.</w:t>
      </w:r>
      <w:r>
        <w:rPr>
          <w:rFonts w:ascii="Arial" w:hAnsi="Arial" w:cs="Arial"/>
          <w:color w:val="auto"/>
          <w:szCs w:val="20"/>
        </w:rPr>
        <w:t xml:space="preserve"> </w:t>
      </w:r>
      <w:r w:rsidRPr="00BB219A">
        <w:rPr>
          <w:rFonts w:ascii="Arial" w:hAnsi="Arial" w:cs="Arial"/>
          <w:color w:val="auto"/>
          <w:szCs w:val="20"/>
        </w:rPr>
        <w:t>Tidal, wave, and sediment transport processes affect coastal zones, such as the Niger Delta, which are generally characterized as transitional areas between marine and terrestrial environments. Global climate change and unsustainable development practices have made these dynamic landscapes more susceptible to human and natural influences. According to recent studies, sea levels along Nigeria's coast are rising at an alarming rate. Local estimates range from 3.1 to 4.5 mm/year, which is higher than the global average of 1.7 to 3.2 mm/year over the past century (Anderson, 2017; World Bank, 2021).</w:t>
      </w:r>
      <w:r>
        <w:rPr>
          <w:rFonts w:ascii="Arial" w:hAnsi="Arial" w:cs="Arial"/>
          <w:color w:val="auto"/>
          <w:szCs w:val="20"/>
        </w:rPr>
        <w:t xml:space="preserve"> </w:t>
      </w:r>
      <w:r w:rsidRPr="00BB219A">
        <w:rPr>
          <w:rFonts w:ascii="Arial" w:hAnsi="Arial" w:cs="Arial"/>
          <w:color w:val="auto"/>
          <w:szCs w:val="20"/>
        </w:rPr>
        <w:t>Annual shoreline retreats of up to 5.8 meters have been documented in some Niger Delta regions by satellite-based observations and tide gauge data; this has resulted in sediment loss and harm to livelihoods and infrastructure (Abija, 2019; Clay &amp; King, 2019). The region's socio-ecological fabric is directly at risk due to the increased frequency and severity of coastal flooding, saltwater intrusion, and beach and wetland erosion brought on by the rising sea level (Akande et al., 2017).</w:t>
      </w:r>
    </w:p>
    <w:p w14:paraId="7925A3B8" w14:textId="36736C4F" w:rsidR="00BB219A" w:rsidRPr="00BB219A" w:rsidRDefault="00BB219A" w:rsidP="00BB219A">
      <w:pPr>
        <w:spacing w:after="602" w:line="360" w:lineRule="auto"/>
        <w:ind w:firstLine="0"/>
        <w:rPr>
          <w:rFonts w:ascii="Arial" w:hAnsi="Arial" w:cs="Arial"/>
          <w:color w:val="auto"/>
          <w:szCs w:val="20"/>
        </w:rPr>
      </w:pPr>
      <w:r w:rsidRPr="00BB219A">
        <w:rPr>
          <w:rFonts w:ascii="Arial" w:hAnsi="Arial" w:cs="Arial"/>
          <w:color w:val="auto"/>
          <w:szCs w:val="20"/>
        </w:rPr>
        <w:t>The Niger Delta's coastal erosion is caused by both natural and man-made factors. The area is naturally unstable due to its soft, unconsolidated sedimentary deposits, tidal flows, and wave energy (Bell, 2014). Numerous factors, such as sediment supply, subsidence, tectonic activity, and storm surge dynamics, affect coastlines that are prone to erosion (Anderson, 2017; Kreibich et al., 2011). Sand mining, dredging, canalization, and embankment construction are examples of anthropogenic activities that have exacerbated erosion rates, resulting in substantial land loss and community displacement</w:t>
      </w:r>
      <w:r w:rsidR="00D90CFE">
        <w:rPr>
          <w:rFonts w:ascii="Arial" w:hAnsi="Arial" w:cs="Arial"/>
          <w:color w:val="auto"/>
          <w:szCs w:val="20"/>
        </w:rPr>
        <w:t xml:space="preserve">. </w:t>
      </w:r>
      <w:r w:rsidRPr="00BB219A">
        <w:rPr>
          <w:rFonts w:ascii="Arial" w:hAnsi="Arial" w:cs="Arial"/>
          <w:color w:val="auto"/>
          <w:szCs w:val="20"/>
        </w:rPr>
        <w:t>Understanding the equilibrium between sediment supply and wave-induced erosion requires an understanding of progradation, which is the outward construction of a shoreline caused by sediment deposition. But in the Niger Delta, upstream damming and deforestation have seriously hampered natural progradation, decreasing sediment inflow and raising the coastline's net erosional footprint. Recent studies have used multi-temporal Landsat imagery and the Digital Shoreline Analysis System (DSAS) to document retreat rates in a number of deltaic islands. These rates range from 1.8 m/year to as high as 6.2 m/year between 1984 and 2020 (Pugh &amp; Woodworth, 2014</w:t>
      </w:r>
      <w:r w:rsidR="00D90CFE">
        <w:rPr>
          <w:rFonts w:ascii="Arial" w:hAnsi="Arial" w:cs="Arial"/>
          <w:color w:val="auto"/>
          <w:szCs w:val="20"/>
        </w:rPr>
        <w:t>)</w:t>
      </w:r>
      <w:r w:rsidRPr="00BB219A">
        <w:rPr>
          <w:rFonts w:ascii="Arial" w:hAnsi="Arial" w:cs="Arial"/>
          <w:color w:val="auto"/>
          <w:szCs w:val="20"/>
        </w:rPr>
        <w:t>.</w:t>
      </w:r>
    </w:p>
    <w:p w14:paraId="608063A9" w14:textId="358133A2" w:rsidR="00BB219A" w:rsidRPr="00BB219A" w:rsidRDefault="00BB219A" w:rsidP="00BB219A">
      <w:pPr>
        <w:spacing w:after="602" w:line="360" w:lineRule="auto"/>
        <w:ind w:firstLine="0"/>
        <w:rPr>
          <w:rFonts w:ascii="Arial" w:hAnsi="Arial" w:cs="Arial"/>
          <w:color w:val="auto"/>
          <w:szCs w:val="20"/>
        </w:rPr>
      </w:pPr>
      <w:r w:rsidRPr="00BB219A">
        <w:rPr>
          <w:rFonts w:ascii="Arial" w:hAnsi="Arial" w:cs="Arial"/>
          <w:color w:val="auto"/>
          <w:szCs w:val="20"/>
        </w:rPr>
        <w:t>In this study, DSAS metrics, including End Point Rate (EPR) and Linear Regression Rate (LRR), were applied over several time periods (1984, 2000, 2012, and 2020) to evaluate the rate and spatial extent of shoreline changes. More dynamic zones, like Zone B, had higher rates up to -5.89 ± 3.0 m/year, while the overall average LRR along the Opobo Kingdom coast showed an erosional trend of -3.94 ± 1.28 m/year. This emphasizes how highly variable and complex coastal dynamics are, impacted by both external hydrodynamic forces and local geomorphology (Wang et al., 2018).</w:t>
      </w:r>
      <w:r>
        <w:rPr>
          <w:rFonts w:ascii="Arial" w:hAnsi="Arial" w:cs="Arial"/>
          <w:color w:val="auto"/>
          <w:szCs w:val="20"/>
        </w:rPr>
        <w:t xml:space="preserve"> </w:t>
      </w:r>
      <w:r w:rsidRPr="00BB219A">
        <w:rPr>
          <w:rFonts w:ascii="Arial" w:hAnsi="Arial" w:cs="Arial"/>
          <w:color w:val="auto"/>
          <w:szCs w:val="20"/>
        </w:rPr>
        <w:t xml:space="preserve">The study area's high level of exposure to wave and tidal energy is one noteworthy aspect. Because they transfer energy over great distances and alter shoreline processes in shallow coastal waters, tides play a major role in sea level variability (Anderson, 2017). Longshore currents and sediment transport are influenced by bathymetry, shoreline orientation, and vertical ground movements, which govern coastal circulation patterns. The beach profile is shaped and the rates of erosion or accretion are determined by wave energy flux, which is primarily driven by wind-wave interactions and ocean swell (Berry et al., 2017; </w:t>
      </w:r>
      <w:r w:rsidRPr="00BB219A">
        <w:rPr>
          <w:rFonts w:ascii="Arial" w:hAnsi="Arial" w:cs="Arial"/>
          <w:color w:val="auto"/>
          <w:szCs w:val="20"/>
        </w:rPr>
        <w:lastRenderedPageBreak/>
        <w:t>Hanson et al., 2013).</w:t>
      </w:r>
      <w:r>
        <w:rPr>
          <w:rFonts w:ascii="Arial" w:hAnsi="Arial" w:cs="Arial"/>
          <w:color w:val="auto"/>
          <w:szCs w:val="20"/>
        </w:rPr>
        <w:t xml:space="preserve"> </w:t>
      </w:r>
      <w:r w:rsidRPr="00BB219A">
        <w:rPr>
          <w:rFonts w:ascii="Arial" w:hAnsi="Arial" w:cs="Arial"/>
          <w:color w:val="auto"/>
          <w:szCs w:val="20"/>
        </w:rPr>
        <w:t>This study used beach profile measurements using Real Time Kinematic (RTK) GPS surveying equipment in addition to satellite-based shoreline monitoring. By using RTK to gather high-resolution elevation data along several beach transects, it was possible to precisely quantify changes in sediment volume, beach slope, and crest elevation. These measurements were made along roughly 6 kilometers of Opobo Kingdom's active coastline, focusing on both developed and natural areas. Elevation profiles were examined to verify shoreline retreat rates obtained from remote sensing and to evaluate seasonal and interannual variability.</w:t>
      </w:r>
    </w:p>
    <w:p w14:paraId="53748F7E" w14:textId="276B3F5F" w:rsidR="00BB219A" w:rsidRPr="00BB219A" w:rsidRDefault="00BB219A" w:rsidP="00BB219A">
      <w:pPr>
        <w:spacing w:after="602" w:line="360" w:lineRule="auto"/>
        <w:ind w:firstLine="0"/>
        <w:rPr>
          <w:rFonts w:ascii="Arial" w:hAnsi="Arial" w:cs="Arial"/>
          <w:color w:val="auto"/>
          <w:szCs w:val="20"/>
        </w:rPr>
      </w:pPr>
      <w:r w:rsidRPr="00BB219A">
        <w:rPr>
          <w:rFonts w:ascii="Arial" w:hAnsi="Arial" w:cs="Arial"/>
          <w:color w:val="auto"/>
          <w:szCs w:val="20"/>
        </w:rPr>
        <w:t>In order to comprehend how tidal forcing, wave setup, and storm surge dynamics affect local SLR scenarios, hydrodynamic modeling was incorporated into the study. Projected storm surge frequencies under RCP 4.5 and 8.5 scenarios, historical tide gauge records, and bathymetric inputs were all included in the model. The model's primary outputs were flood frequency, depth, and extent, which were superimposed on land use maps to calculate the exposure and vulnerability of residential areas and vital infrastructure. A framework for scenario-based adaptation planning at the local and municipal levels was made available by this modeling technique.</w:t>
      </w:r>
      <w:r>
        <w:rPr>
          <w:rFonts w:ascii="Arial" w:hAnsi="Arial" w:cs="Arial"/>
          <w:color w:val="auto"/>
          <w:szCs w:val="20"/>
        </w:rPr>
        <w:t xml:space="preserve"> </w:t>
      </w:r>
      <w:r w:rsidRPr="00BB219A">
        <w:rPr>
          <w:rFonts w:ascii="Arial" w:hAnsi="Arial" w:cs="Arial"/>
          <w:color w:val="auto"/>
          <w:szCs w:val="20"/>
        </w:rPr>
        <w:t>It is still difficult to find enough long-term tidal gauge stations along Nigeria's coastline. Two accessible ocean monitoring stations in Bonny and Forcados provided the tide gauge data used in this investigation. To guarantee consistency, data were standardized and calibrated against satellite altimetry records. These datasets allowed for reconstruction of tidal anomalies, seasonal patterns, and non-tidal residuals, which are important for distinguishing between short-term fluctuations and long-term sea level trends (Anderson, 2017).</w:t>
      </w:r>
    </w:p>
    <w:p w14:paraId="40EE3E45" w14:textId="0525A54B" w:rsidR="00BB219A" w:rsidRPr="00BB219A" w:rsidRDefault="00BB219A" w:rsidP="00BB219A">
      <w:pPr>
        <w:spacing w:after="602" w:line="360" w:lineRule="auto"/>
        <w:ind w:firstLine="0"/>
        <w:rPr>
          <w:rFonts w:ascii="Arial" w:hAnsi="Arial" w:cs="Arial"/>
          <w:color w:val="auto"/>
          <w:szCs w:val="20"/>
        </w:rPr>
      </w:pPr>
      <w:r w:rsidRPr="00BB219A">
        <w:rPr>
          <w:rFonts w:ascii="Arial" w:hAnsi="Arial" w:cs="Arial"/>
          <w:color w:val="auto"/>
          <w:szCs w:val="20"/>
        </w:rPr>
        <w:t>Unchecked coastal degradation and sea level rise have serious repercussions. The lack of protective infrastructure and adaptive capacity puts low-income households, who frequently live in informal settlements close to the water's edge, at disproportionate risk (Clay &amp; King, 2019; Daramola et al., 2016). In addition to saline intrusion into freshwater sources, the destruction of homes, schools, and marketplaces puts local economies, food security, and public health at risk. Additionally, displacement brought on by SLR is becoming a new source of internal migration, which puts pressure on the population in safer inland regions (Li et al., 2018; Abija, 2019). This study aims to improve the scientific understanding of coastal vulnerability in the Niger Delta by combining field-based assessments, hydrodynamic modeling, and geospatial analysis in light of these difficulties.</w:t>
      </w:r>
      <w:r>
        <w:rPr>
          <w:rFonts w:ascii="Arial" w:hAnsi="Arial" w:cs="Arial"/>
          <w:color w:val="auto"/>
          <w:szCs w:val="20"/>
        </w:rPr>
        <w:t xml:space="preserve"> </w:t>
      </w:r>
      <w:r w:rsidRPr="00BB219A">
        <w:rPr>
          <w:rFonts w:ascii="Arial" w:hAnsi="Arial" w:cs="Arial"/>
          <w:color w:val="auto"/>
          <w:szCs w:val="20"/>
        </w:rPr>
        <w:t>The results are meant to influence national coastal zone management frameworks as well as community-based adaptation planning, among other areas of policy and practice. The research advances the larger objective of enhancing coastal resilience in Nigeria's most vulnerable deltaic environments by pinpointing erosion hotspots, projecting future risk trajectories, and assessing the effectiveness of existing mitigation techniques (UN-HABITAT, 2016; World Bank, 2021).</w:t>
      </w:r>
      <w:r>
        <w:rPr>
          <w:rFonts w:ascii="Arial" w:hAnsi="Arial" w:cs="Arial"/>
          <w:color w:val="auto"/>
          <w:szCs w:val="20"/>
        </w:rPr>
        <w:t xml:space="preserve"> </w:t>
      </w:r>
      <w:bookmarkStart w:id="5" w:name="_Toc152599420"/>
      <w:bookmarkStart w:id="6" w:name="_Toc169185814"/>
      <w:r w:rsidRPr="00BB219A">
        <w:rPr>
          <w:rFonts w:ascii="Arial" w:hAnsi="Arial" w:cs="Arial"/>
          <w:color w:val="auto"/>
          <w:szCs w:val="20"/>
        </w:rPr>
        <w:t>Even though earlier research has shed light on adaptation tactics and community resilience, there is still a lack of high-resolution, localized data to quantify the extent and causes of coastal change over extended periods of time (Mishra, 2017). In order to fill that gap, this study offers scenario-based flood modeling, empirical analysis of adaptation responses, and spatially disaggregated erosion estimates. The research also recognizes the value of participatory mapping and indigenous knowledge systems as instruments for putting scientific findings into context and improving community involvement in climate risk governance (Wang et al., 2018; Kreibich et al., 2011).</w:t>
      </w:r>
    </w:p>
    <w:p w14:paraId="4073DCDA" w14:textId="1374E5C1" w:rsidR="00BC52E8" w:rsidRPr="00BB219A" w:rsidRDefault="005E1DF6" w:rsidP="00BB219A">
      <w:pPr>
        <w:pStyle w:val="ListParagraph"/>
        <w:numPr>
          <w:ilvl w:val="0"/>
          <w:numId w:val="12"/>
        </w:numPr>
        <w:spacing w:after="602" w:line="360" w:lineRule="auto"/>
        <w:rPr>
          <w:rFonts w:ascii="Arial" w:eastAsiaTheme="minorHAnsi" w:hAnsi="Arial" w:cs="Arial"/>
          <w:b/>
          <w:color w:val="auto"/>
          <w:sz w:val="22"/>
          <w:lang w:eastAsia="en-US"/>
        </w:rPr>
      </w:pPr>
      <w:r w:rsidRPr="00BB219A">
        <w:rPr>
          <w:rFonts w:ascii="Arial" w:hAnsi="Arial" w:cs="Arial"/>
          <w:b/>
          <w:color w:val="auto"/>
          <w:sz w:val="22"/>
        </w:rPr>
        <w:lastRenderedPageBreak/>
        <w:t xml:space="preserve">MATERIALS AND </w:t>
      </w:r>
      <w:r w:rsidR="00BC52E8" w:rsidRPr="00BB219A">
        <w:rPr>
          <w:rFonts w:ascii="Arial" w:hAnsi="Arial" w:cs="Arial"/>
          <w:b/>
          <w:color w:val="auto"/>
          <w:sz w:val="22"/>
        </w:rPr>
        <w:t>METHOD</w:t>
      </w:r>
      <w:bookmarkEnd w:id="5"/>
      <w:bookmarkEnd w:id="6"/>
    </w:p>
    <w:p w14:paraId="570970E7" w14:textId="77777777" w:rsidR="00BB219A" w:rsidRDefault="00BB219A" w:rsidP="00BE547C">
      <w:pPr>
        <w:tabs>
          <w:tab w:val="num" w:pos="720"/>
        </w:tabs>
        <w:spacing w:line="360" w:lineRule="auto"/>
        <w:ind w:left="0" w:firstLine="0"/>
        <w:rPr>
          <w:rFonts w:ascii="Arial" w:eastAsia="Times New Roman" w:hAnsi="Arial" w:cs="Arial"/>
          <w:color w:val="auto"/>
          <w:szCs w:val="20"/>
        </w:rPr>
      </w:pPr>
      <w:r w:rsidRPr="00BB219A">
        <w:rPr>
          <w:rFonts w:ascii="Arial" w:eastAsia="Times New Roman" w:hAnsi="Arial" w:cs="Arial"/>
          <w:color w:val="auto"/>
          <w:szCs w:val="20"/>
        </w:rPr>
        <w:t>In order to evaluate sea level rise (SLR) and coastal erosion in the Opobo/Nkoro Local Government Area (LGA), Niger Delta, Nigeria, this study used a mixed-methods approach that combined geospatial analysis, field observation, and socioeconomic surveys. While the qualitative components involved comprehending community-level adaptation strategies through focus groups and household questionnaires, the quantitative components concentrated on shoreline change detection using geospatial techniques. A thorough evaluation of the region's biophysical and human vulnerabilities was made possible by the combination of physical measurements and socioeconomic data.</w:t>
      </w:r>
    </w:p>
    <w:p w14:paraId="1E3582EA" w14:textId="5C4B7D0E" w:rsidR="00BE547C" w:rsidRPr="00BE547C" w:rsidRDefault="00BE547C" w:rsidP="00BE547C">
      <w:pPr>
        <w:tabs>
          <w:tab w:val="num" w:pos="720"/>
        </w:tabs>
        <w:spacing w:line="360" w:lineRule="auto"/>
        <w:ind w:left="0" w:firstLine="0"/>
        <w:rPr>
          <w:rFonts w:ascii="Arial" w:eastAsia="Times New Roman" w:hAnsi="Arial" w:cs="Arial"/>
          <w:b/>
          <w:bCs/>
          <w:color w:val="auto"/>
          <w:szCs w:val="20"/>
        </w:rPr>
      </w:pPr>
      <w:r>
        <w:rPr>
          <w:rFonts w:ascii="Arial" w:eastAsia="Times New Roman" w:hAnsi="Arial" w:cs="Arial"/>
          <w:b/>
          <w:bCs/>
          <w:color w:val="auto"/>
          <w:szCs w:val="20"/>
        </w:rPr>
        <w:t>2.1</w:t>
      </w:r>
      <w:r w:rsidRPr="00BE547C">
        <w:rPr>
          <w:rFonts w:ascii="Arial" w:eastAsia="Times New Roman" w:hAnsi="Arial" w:cs="Arial"/>
          <w:b/>
          <w:bCs/>
          <w:color w:val="auto"/>
          <w:szCs w:val="20"/>
        </w:rPr>
        <w:t xml:space="preserve"> Study Area and Coordinates</w:t>
      </w:r>
    </w:p>
    <w:p w14:paraId="4B187B00" w14:textId="604C5A15" w:rsidR="00BE547C" w:rsidRPr="00BE547C" w:rsidRDefault="00BB219A" w:rsidP="00BE547C">
      <w:pPr>
        <w:tabs>
          <w:tab w:val="num" w:pos="720"/>
        </w:tabs>
        <w:spacing w:line="360" w:lineRule="auto"/>
        <w:ind w:left="0" w:firstLine="0"/>
        <w:rPr>
          <w:rFonts w:ascii="Arial" w:eastAsia="Times New Roman" w:hAnsi="Arial" w:cs="Arial"/>
          <w:b/>
          <w:bCs/>
          <w:color w:val="auto"/>
          <w:szCs w:val="20"/>
        </w:rPr>
      </w:pPr>
      <w:r w:rsidRPr="00BB219A">
        <w:rPr>
          <w:rFonts w:ascii="Arial" w:eastAsia="Times New Roman" w:hAnsi="Arial" w:cs="Arial"/>
          <w:color w:val="auto"/>
          <w:szCs w:val="20"/>
        </w:rPr>
        <w:t>Within Opobo/Nkoro LGA in Rivers State, Opobo Kingdom is situated between latitudes 4°28'00" and 4°34'30" N and longitudes 7°29'00" and 7°37'30" E. Estuaries, riverine networks, and a concentration of mangrove and swamp forest vegetation define this coastal area that is bounded by the Atlantic Ocean. The region is susceptible to changes in sea level and shoreline retreat because of its humid tropical climate, which also features high annual rainfall and tidal inundations. Sand mining, fishing, human settlements, and growing infrastructure development have all increased the risk of erosion and submersion.</w:t>
      </w:r>
      <w:r w:rsidR="00BE547C">
        <w:rPr>
          <w:rFonts w:ascii="Arial" w:eastAsia="Times New Roman" w:hAnsi="Arial" w:cs="Arial"/>
          <w:b/>
          <w:bCs/>
          <w:color w:val="auto"/>
          <w:szCs w:val="20"/>
        </w:rPr>
        <w:t>2.2</w:t>
      </w:r>
      <w:r w:rsidR="00BE547C" w:rsidRPr="00BE547C">
        <w:rPr>
          <w:rFonts w:ascii="Arial" w:eastAsia="Times New Roman" w:hAnsi="Arial" w:cs="Arial"/>
          <w:b/>
          <w:bCs/>
          <w:color w:val="auto"/>
          <w:szCs w:val="20"/>
        </w:rPr>
        <w:t xml:space="preserve"> Data Sources and Collection</w:t>
      </w:r>
    </w:p>
    <w:p w14:paraId="05339342" w14:textId="68BA0514" w:rsidR="00BE547C" w:rsidRPr="00BE547C" w:rsidRDefault="00BE547C" w:rsidP="00BE547C">
      <w:pPr>
        <w:tabs>
          <w:tab w:val="num" w:pos="720"/>
        </w:tabs>
        <w:spacing w:line="360" w:lineRule="auto"/>
        <w:ind w:left="0" w:firstLine="0"/>
        <w:rPr>
          <w:rFonts w:ascii="Arial" w:eastAsia="Times New Roman" w:hAnsi="Arial" w:cs="Arial"/>
          <w:b/>
          <w:bCs/>
          <w:i/>
          <w:iCs/>
          <w:color w:val="auto"/>
          <w:szCs w:val="20"/>
        </w:rPr>
      </w:pPr>
      <w:r w:rsidRPr="00BE547C">
        <w:rPr>
          <w:rFonts w:ascii="Arial" w:eastAsia="Times New Roman" w:hAnsi="Arial" w:cs="Arial"/>
          <w:b/>
          <w:bCs/>
          <w:i/>
          <w:iCs/>
          <w:color w:val="auto"/>
          <w:szCs w:val="20"/>
        </w:rPr>
        <w:t>2.2.1 Remote Sensing and GIS Data</w:t>
      </w:r>
    </w:p>
    <w:p w14:paraId="414318BC" w14:textId="77777777" w:rsidR="00BB219A" w:rsidRPr="00BB219A" w:rsidRDefault="00BB219A" w:rsidP="00BB219A">
      <w:pPr>
        <w:tabs>
          <w:tab w:val="num" w:pos="720"/>
        </w:tabs>
        <w:spacing w:line="360" w:lineRule="auto"/>
        <w:ind w:left="0" w:firstLine="0"/>
        <w:rPr>
          <w:rFonts w:ascii="Arial" w:eastAsia="Times New Roman" w:hAnsi="Arial" w:cs="Arial"/>
          <w:color w:val="auto"/>
          <w:szCs w:val="20"/>
        </w:rPr>
      </w:pPr>
      <w:r w:rsidRPr="00BB219A">
        <w:rPr>
          <w:rFonts w:ascii="Arial" w:eastAsia="Times New Roman" w:hAnsi="Arial" w:cs="Arial"/>
          <w:color w:val="auto"/>
          <w:szCs w:val="20"/>
        </w:rPr>
        <w:t>The United States Geological Survey (USGS) Earth Explorer platform provided the satellite imagery for the four time periods of 1984, 2000, 2012, and 2020. In order to examine past changes in the coastline, the datasets included cloud-free Landsat TM, ETM+, and OLI imagery. To guarantee accuracy in shoreline delineation, image preprocessing included geometric correction, atmospheric correction, and image enhancement.</w:t>
      </w:r>
    </w:p>
    <w:p w14:paraId="5ABB6BFC" w14:textId="4618B6DE" w:rsidR="00BE547C" w:rsidRPr="00BE547C" w:rsidRDefault="00BB219A" w:rsidP="00BB219A">
      <w:pPr>
        <w:tabs>
          <w:tab w:val="num" w:pos="720"/>
        </w:tabs>
        <w:spacing w:line="360" w:lineRule="auto"/>
        <w:ind w:left="0" w:firstLine="0"/>
        <w:rPr>
          <w:rFonts w:ascii="Arial" w:eastAsia="Times New Roman" w:hAnsi="Arial" w:cs="Arial"/>
          <w:b/>
          <w:bCs/>
          <w:i/>
          <w:iCs/>
          <w:color w:val="auto"/>
          <w:szCs w:val="20"/>
        </w:rPr>
      </w:pPr>
      <w:r w:rsidRPr="00BB219A">
        <w:rPr>
          <w:rFonts w:ascii="Arial" w:eastAsia="Times New Roman" w:hAnsi="Arial" w:cs="Arial"/>
          <w:color w:val="auto"/>
          <w:szCs w:val="20"/>
        </w:rPr>
        <w:t>In order to facilitate hydrodynamic assessment and vulnerability mapping, topographic maps, digital elevation models (DEMs), and bathymetric data were also gathered from national mapping agencies and incorporated into the spatial database. QGIS 3.26 and ArcGIS 10.8 were used for all spatial analysis.</w:t>
      </w:r>
      <w:r w:rsidR="00BE547C" w:rsidRPr="00BE547C">
        <w:rPr>
          <w:rFonts w:ascii="Arial" w:eastAsia="Times New Roman" w:hAnsi="Arial" w:cs="Arial"/>
          <w:b/>
          <w:bCs/>
          <w:i/>
          <w:iCs/>
          <w:color w:val="auto"/>
          <w:szCs w:val="20"/>
        </w:rPr>
        <w:t>2.2.2 Shoreline Extraction and Change Analysis</w:t>
      </w:r>
    </w:p>
    <w:p w14:paraId="75D622F5" w14:textId="77777777" w:rsidR="0058082B" w:rsidRPr="0058082B" w:rsidRDefault="0058082B" w:rsidP="0058082B">
      <w:pPr>
        <w:spacing w:line="360" w:lineRule="auto"/>
        <w:ind w:left="0" w:firstLine="0"/>
        <w:rPr>
          <w:rFonts w:ascii="Arial" w:eastAsia="Times New Roman" w:hAnsi="Arial" w:cs="Arial"/>
          <w:color w:val="auto"/>
          <w:szCs w:val="20"/>
        </w:rPr>
      </w:pPr>
      <w:r w:rsidRPr="0058082B">
        <w:rPr>
          <w:rFonts w:ascii="Arial" w:eastAsia="Times New Roman" w:hAnsi="Arial" w:cs="Arial"/>
          <w:color w:val="auto"/>
          <w:szCs w:val="20"/>
        </w:rPr>
        <w:t>The wet/dry sand interface, as described in the shoreline mapping literature, served as a consistent proxy for the manual digitization of shoreline vectors for the four time points. The Digital Shoreline Analysis System (DSAS) version 5.1, a USGS ArcGIS extension, was used to process these digital shorelines.</w:t>
      </w:r>
    </w:p>
    <w:p w14:paraId="4D016AB6" w14:textId="33080777" w:rsidR="00BE547C" w:rsidRPr="00BE547C" w:rsidRDefault="0058082B" w:rsidP="0058082B">
      <w:pPr>
        <w:pStyle w:val="ListParagraph"/>
        <w:numPr>
          <w:ilvl w:val="0"/>
          <w:numId w:val="19"/>
        </w:numPr>
        <w:spacing w:line="360" w:lineRule="auto"/>
        <w:rPr>
          <w:rFonts w:ascii="Arial" w:eastAsia="Times New Roman" w:hAnsi="Arial" w:cs="Arial"/>
          <w:color w:val="auto"/>
          <w:szCs w:val="20"/>
        </w:rPr>
      </w:pPr>
      <w:r w:rsidRPr="0058082B">
        <w:rPr>
          <w:rFonts w:ascii="Arial" w:eastAsia="Times New Roman" w:hAnsi="Arial" w:cs="Arial"/>
          <w:color w:val="auto"/>
          <w:szCs w:val="20"/>
        </w:rPr>
        <w:t>Two main rates were determined by the analysis:</w:t>
      </w:r>
      <w:r w:rsidR="00BE547C" w:rsidRPr="00BE547C">
        <w:rPr>
          <w:rFonts w:ascii="Arial" w:eastAsia="Times New Roman" w:hAnsi="Arial" w:cs="Arial"/>
          <w:b/>
          <w:bCs/>
          <w:color w:val="auto"/>
          <w:szCs w:val="20"/>
        </w:rPr>
        <w:t>End Point Rate (EPR)</w:t>
      </w:r>
      <w:r w:rsidR="00BE547C" w:rsidRPr="00BE547C">
        <w:rPr>
          <w:rFonts w:ascii="Arial" w:eastAsia="Times New Roman" w:hAnsi="Arial" w:cs="Arial"/>
          <w:color w:val="auto"/>
          <w:szCs w:val="20"/>
        </w:rPr>
        <w:t>: Measuring the distance between the oldest and most recent shorelines divided by the elapsed time.</w:t>
      </w:r>
    </w:p>
    <w:p w14:paraId="4A67A45B" w14:textId="77777777" w:rsidR="00BE547C" w:rsidRPr="00BE547C" w:rsidRDefault="00BE547C" w:rsidP="00BE547C">
      <w:pPr>
        <w:pStyle w:val="ListParagraph"/>
        <w:numPr>
          <w:ilvl w:val="0"/>
          <w:numId w:val="19"/>
        </w:numPr>
        <w:spacing w:line="360" w:lineRule="auto"/>
        <w:rPr>
          <w:rFonts w:ascii="Arial" w:eastAsia="Times New Roman" w:hAnsi="Arial" w:cs="Arial"/>
          <w:color w:val="auto"/>
          <w:szCs w:val="20"/>
        </w:rPr>
      </w:pPr>
      <w:r w:rsidRPr="00BE547C">
        <w:rPr>
          <w:rFonts w:ascii="Arial" w:eastAsia="Times New Roman" w:hAnsi="Arial" w:cs="Arial"/>
          <w:b/>
          <w:bCs/>
          <w:color w:val="auto"/>
          <w:szCs w:val="20"/>
        </w:rPr>
        <w:t>Linear Regression Rate (LRR)</w:t>
      </w:r>
      <w:r w:rsidRPr="00BE547C">
        <w:rPr>
          <w:rFonts w:ascii="Arial" w:eastAsia="Times New Roman" w:hAnsi="Arial" w:cs="Arial"/>
          <w:color w:val="auto"/>
          <w:szCs w:val="20"/>
        </w:rPr>
        <w:t>: Estimating long-term shoreline change trends using a best-fit line through multiple shoreline positions.</w:t>
      </w:r>
    </w:p>
    <w:p w14:paraId="658A4572" w14:textId="77777777" w:rsidR="0058082B" w:rsidRDefault="0058082B" w:rsidP="0058082B">
      <w:pPr>
        <w:spacing w:after="0" w:line="240" w:lineRule="auto"/>
        <w:ind w:left="0" w:firstLine="0"/>
        <w:jc w:val="left"/>
        <w:rPr>
          <w:rFonts w:ascii="Times New Roman" w:eastAsia="Times New Roman" w:hAnsi="Times New Roman" w:cs="Times New Roman"/>
          <w:color w:val="auto"/>
          <w:sz w:val="24"/>
          <w:szCs w:val="24"/>
          <w:lang w:eastAsia="zh-CN"/>
        </w:rPr>
      </w:pPr>
      <w:r w:rsidRPr="0058082B">
        <w:rPr>
          <w:rFonts w:ascii="Times New Roman" w:eastAsia="Times New Roman" w:hAnsi="Times New Roman" w:cs="Times New Roman"/>
          <w:color w:val="auto"/>
          <w:sz w:val="24"/>
          <w:szCs w:val="24"/>
          <w:lang w:eastAsia="zh-CN"/>
        </w:rPr>
        <w:t>In order to generate rate-of-change statistics across more than 1,200 points, transects were cast at 50-meter intervals perpendicular to the general shoreline orientation.</w:t>
      </w:r>
    </w:p>
    <w:p w14:paraId="16FA8AF2" w14:textId="77777777" w:rsidR="0058082B" w:rsidRPr="0058082B" w:rsidRDefault="0058082B" w:rsidP="0058082B">
      <w:pPr>
        <w:spacing w:after="0" w:line="240" w:lineRule="auto"/>
        <w:ind w:left="0" w:firstLine="0"/>
        <w:jc w:val="left"/>
        <w:rPr>
          <w:rFonts w:ascii="Times New Roman" w:eastAsia="Times New Roman" w:hAnsi="Times New Roman" w:cs="Times New Roman"/>
          <w:color w:val="auto"/>
          <w:sz w:val="24"/>
          <w:szCs w:val="24"/>
          <w:lang w:eastAsia="zh-CN"/>
        </w:rPr>
      </w:pPr>
    </w:p>
    <w:p w14:paraId="58D6E5E2" w14:textId="77777777" w:rsidR="00BE547C" w:rsidRPr="00BE547C" w:rsidRDefault="00BE547C" w:rsidP="00BE547C">
      <w:pPr>
        <w:tabs>
          <w:tab w:val="num" w:pos="720"/>
        </w:tabs>
        <w:spacing w:line="360" w:lineRule="auto"/>
        <w:ind w:left="0" w:firstLine="0"/>
        <w:rPr>
          <w:rFonts w:ascii="Arial" w:eastAsia="Times New Roman" w:hAnsi="Arial" w:cs="Arial"/>
          <w:color w:val="auto"/>
          <w:szCs w:val="20"/>
        </w:rPr>
      </w:pPr>
    </w:p>
    <w:p w14:paraId="2B5CD3BD" w14:textId="1BE46B63" w:rsidR="00BE547C" w:rsidRPr="00BE547C" w:rsidRDefault="00BE547C" w:rsidP="00BE547C">
      <w:pPr>
        <w:tabs>
          <w:tab w:val="num" w:pos="720"/>
        </w:tabs>
        <w:spacing w:line="360" w:lineRule="auto"/>
        <w:ind w:left="0" w:firstLine="0"/>
        <w:rPr>
          <w:rFonts w:ascii="Arial" w:eastAsia="Times New Roman" w:hAnsi="Arial" w:cs="Arial"/>
          <w:b/>
          <w:bCs/>
          <w:color w:val="auto"/>
          <w:szCs w:val="20"/>
        </w:rPr>
      </w:pPr>
      <w:r>
        <w:rPr>
          <w:rFonts w:ascii="Arial" w:eastAsia="Times New Roman" w:hAnsi="Arial" w:cs="Arial"/>
          <w:b/>
          <w:bCs/>
          <w:color w:val="auto"/>
          <w:szCs w:val="20"/>
        </w:rPr>
        <w:t>2.3</w:t>
      </w:r>
      <w:r w:rsidRPr="00BE547C">
        <w:rPr>
          <w:rFonts w:ascii="Arial" w:eastAsia="Times New Roman" w:hAnsi="Arial" w:cs="Arial"/>
          <w:b/>
          <w:bCs/>
          <w:color w:val="auto"/>
          <w:szCs w:val="20"/>
        </w:rPr>
        <w:t xml:space="preserve"> Coastal Vulnerability Assessment</w:t>
      </w:r>
    </w:p>
    <w:p w14:paraId="2333D3E0" w14:textId="77777777" w:rsidR="00BE547C" w:rsidRPr="00BE547C" w:rsidRDefault="00BE547C" w:rsidP="00BE547C">
      <w:pPr>
        <w:tabs>
          <w:tab w:val="num" w:pos="720"/>
        </w:tabs>
        <w:spacing w:line="360" w:lineRule="auto"/>
        <w:ind w:left="0" w:firstLine="0"/>
        <w:rPr>
          <w:rFonts w:ascii="Arial" w:eastAsia="Times New Roman" w:hAnsi="Arial" w:cs="Arial"/>
          <w:color w:val="auto"/>
          <w:szCs w:val="20"/>
        </w:rPr>
      </w:pPr>
      <w:r w:rsidRPr="00BE547C">
        <w:rPr>
          <w:rFonts w:ascii="Arial" w:eastAsia="Times New Roman" w:hAnsi="Arial" w:cs="Arial"/>
          <w:color w:val="auto"/>
          <w:szCs w:val="20"/>
        </w:rPr>
        <w:t>To assess coastal susceptibility, the shoreline change data were reclassified into four susceptibility zones:</w:t>
      </w:r>
    </w:p>
    <w:p w14:paraId="16540687" w14:textId="77777777" w:rsidR="00BE547C" w:rsidRPr="00BE547C" w:rsidRDefault="00BE547C" w:rsidP="00BE547C">
      <w:pPr>
        <w:pStyle w:val="ListParagraph"/>
        <w:numPr>
          <w:ilvl w:val="0"/>
          <w:numId w:val="20"/>
        </w:numPr>
        <w:spacing w:line="360" w:lineRule="auto"/>
        <w:rPr>
          <w:rFonts w:ascii="Arial" w:eastAsia="Times New Roman" w:hAnsi="Arial" w:cs="Arial"/>
          <w:color w:val="auto"/>
          <w:szCs w:val="20"/>
        </w:rPr>
      </w:pPr>
      <w:r w:rsidRPr="00BE547C">
        <w:rPr>
          <w:rFonts w:ascii="Arial" w:eastAsia="Times New Roman" w:hAnsi="Arial" w:cs="Arial"/>
          <w:color w:val="auto"/>
          <w:szCs w:val="20"/>
        </w:rPr>
        <w:t>Class 1 (Low): Accretion &gt; 2 m/year</w:t>
      </w:r>
    </w:p>
    <w:p w14:paraId="308B2DD4" w14:textId="77777777" w:rsidR="00BE547C" w:rsidRPr="00BE547C" w:rsidRDefault="00BE547C" w:rsidP="00BE547C">
      <w:pPr>
        <w:pStyle w:val="ListParagraph"/>
        <w:numPr>
          <w:ilvl w:val="0"/>
          <w:numId w:val="20"/>
        </w:numPr>
        <w:spacing w:line="360" w:lineRule="auto"/>
        <w:rPr>
          <w:rFonts w:ascii="Arial" w:eastAsia="Times New Roman" w:hAnsi="Arial" w:cs="Arial"/>
          <w:color w:val="auto"/>
          <w:szCs w:val="20"/>
        </w:rPr>
      </w:pPr>
      <w:r w:rsidRPr="00BE547C">
        <w:rPr>
          <w:rFonts w:ascii="Arial" w:eastAsia="Times New Roman" w:hAnsi="Arial" w:cs="Arial"/>
          <w:color w:val="auto"/>
          <w:szCs w:val="20"/>
        </w:rPr>
        <w:t>Class 2 (Moderate): Accretion &lt; 2 m/year</w:t>
      </w:r>
    </w:p>
    <w:p w14:paraId="6669EE1D" w14:textId="77777777" w:rsidR="00BE547C" w:rsidRPr="00BE547C" w:rsidRDefault="00BE547C" w:rsidP="00BE547C">
      <w:pPr>
        <w:pStyle w:val="ListParagraph"/>
        <w:numPr>
          <w:ilvl w:val="0"/>
          <w:numId w:val="20"/>
        </w:numPr>
        <w:spacing w:line="360" w:lineRule="auto"/>
        <w:rPr>
          <w:rFonts w:ascii="Arial" w:eastAsia="Times New Roman" w:hAnsi="Arial" w:cs="Arial"/>
          <w:color w:val="auto"/>
          <w:szCs w:val="20"/>
        </w:rPr>
      </w:pPr>
      <w:r w:rsidRPr="00BE547C">
        <w:rPr>
          <w:rFonts w:ascii="Arial" w:eastAsia="Times New Roman" w:hAnsi="Arial" w:cs="Arial"/>
          <w:color w:val="auto"/>
          <w:szCs w:val="20"/>
        </w:rPr>
        <w:lastRenderedPageBreak/>
        <w:t>Class 3 (High): Erosion &lt; 2 m/year</w:t>
      </w:r>
    </w:p>
    <w:p w14:paraId="08E0AF0C" w14:textId="77777777" w:rsidR="00BE547C" w:rsidRPr="00BE547C" w:rsidRDefault="00BE547C" w:rsidP="00BE547C">
      <w:pPr>
        <w:pStyle w:val="ListParagraph"/>
        <w:numPr>
          <w:ilvl w:val="0"/>
          <w:numId w:val="20"/>
        </w:numPr>
        <w:spacing w:line="360" w:lineRule="auto"/>
        <w:rPr>
          <w:rFonts w:ascii="Arial" w:eastAsia="Times New Roman" w:hAnsi="Arial" w:cs="Arial"/>
          <w:color w:val="auto"/>
          <w:szCs w:val="20"/>
        </w:rPr>
      </w:pPr>
      <w:r w:rsidRPr="00BE547C">
        <w:rPr>
          <w:rFonts w:ascii="Arial" w:eastAsia="Times New Roman" w:hAnsi="Arial" w:cs="Arial"/>
          <w:color w:val="auto"/>
          <w:szCs w:val="20"/>
        </w:rPr>
        <w:t>Class 4 (Very High): Erosion &gt; 2 m/year</w:t>
      </w:r>
    </w:p>
    <w:p w14:paraId="0A4DB79D" w14:textId="302A8809" w:rsidR="0058082B" w:rsidRDefault="0058082B" w:rsidP="00BE547C">
      <w:pPr>
        <w:tabs>
          <w:tab w:val="num" w:pos="720"/>
        </w:tabs>
        <w:spacing w:line="360" w:lineRule="auto"/>
        <w:ind w:left="0" w:firstLine="0"/>
        <w:rPr>
          <w:rFonts w:ascii="Arial" w:eastAsia="Times New Roman" w:hAnsi="Arial" w:cs="Arial"/>
          <w:color w:val="auto"/>
          <w:szCs w:val="20"/>
        </w:rPr>
      </w:pPr>
      <w:r w:rsidRPr="0058082B">
        <w:rPr>
          <w:rFonts w:ascii="Arial" w:eastAsia="Times New Roman" w:hAnsi="Arial" w:cs="Arial"/>
          <w:color w:val="auto"/>
          <w:szCs w:val="20"/>
        </w:rPr>
        <w:t>The modified framework of Tejedor et al. (</w:t>
      </w:r>
      <w:r w:rsidR="00D90CFE">
        <w:rPr>
          <w:rFonts w:ascii="Arial" w:eastAsia="Times New Roman" w:hAnsi="Arial" w:cs="Arial"/>
          <w:color w:val="auto"/>
          <w:szCs w:val="20"/>
        </w:rPr>
        <w:t>2018</w:t>
      </w:r>
      <w:r w:rsidRPr="0058082B">
        <w:rPr>
          <w:rFonts w:ascii="Arial" w:eastAsia="Times New Roman" w:hAnsi="Arial" w:cs="Arial"/>
          <w:color w:val="auto"/>
          <w:szCs w:val="20"/>
        </w:rPr>
        <w:t>) served as the basis for this classification, which made it possible to visualize vulnerability patterns spatially along the coast. Coastal Vulnerability Index (CVI) layers were derived using elevation and slope data from DEMs.</w:t>
      </w:r>
    </w:p>
    <w:p w14:paraId="00A27086" w14:textId="0532D623" w:rsidR="00BE547C" w:rsidRPr="00BE547C" w:rsidRDefault="00BE547C" w:rsidP="00BE547C">
      <w:pPr>
        <w:tabs>
          <w:tab w:val="num" w:pos="720"/>
        </w:tabs>
        <w:spacing w:line="360" w:lineRule="auto"/>
        <w:ind w:left="0" w:firstLine="0"/>
        <w:rPr>
          <w:rFonts w:ascii="Arial" w:eastAsia="Times New Roman" w:hAnsi="Arial" w:cs="Arial"/>
          <w:b/>
          <w:bCs/>
          <w:color w:val="auto"/>
          <w:szCs w:val="20"/>
        </w:rPr>
      </w:pPr>
      <w:r>
        <w:rPr>
          <w:rFonts w:ascii="Arial" w:eastAsia="Times New Roman" w:hAnsi="Arial" w:cs="Arial"/>
          <w:b/>
          <w:bCs/>
          <w:color w:val="auto"/>
          <w:szCs w:val="20"/>
        </w:rPr>
        <w:t xml:space="preserve">2.3 </w:t>
      </w:r>
      <w:r w:rsidRPr="00BE547C">
        <w:rPr>
          <w:rFonts w:ascii="Arial" w:eastAsia="Times New Roman" w:hAnsi="Arial" w:cs="Arial"/>
          <w:b/>
          <w:bCs/>
          <w:color w:val="auto"/>
          <w:szCs w:val="20"/>
        </w:rPr>
        <w:t>Field Measurements and Instrumentation</w:t>
      </w:r>
    </w:p>
    <w:p w14:paraId="3F977CFF" w14:textId="77777777" w:rsidR="0058082B" w:rsidRPr="0058082B" w:rsidRDefault="0058082B" w:rsidP="0058082B">
      <w:pPr>
        <w:tabs>
          <w:tab w:val="num" w:pos="720"/>
        </w:tabs>
        <w:spacing w:line="360" w:lineRule="auto"/>
        <w:ind w:left="0" w:firstLine="0"/>
        <w:rPr>
          <w:rFonts w:ascii="Arial" w:eastAsia="Times New Roman" w:hAnsi="Arial" w:cs="Arial"/>
          <w:color w:val="auto"/>
          <w:szCs w:val="20"/>
        </w:rPr>
      </w:pPr>
      <w:r w:rsidRPr="0058082B">
        <w:rPr>
          <w:rFonts w:ascii="Arial" w:eastAsia="Times New Roman" w:hAnsi="Arial" w:cs="Arial"/>
          <w:color w:val="auto"/>
          <w:szCs w:val="20"/>
        </w:rPr>
        <w:t>Detailed elevation profiles were recorded along a few chosen transects using Real-Time Kinematic (RTK) GPS surveys. The area where important infrastructure and community settlements are concentrated, or about 3.8 kilometers of coastline, was covered by these surveys.</w:t>
      </w:r>
    </w:p>
    <w:p w14:paraId="1CFDE49F" w14:textId="77777777" w:rsidR="0058082B" w:rsidRPr="0058082B" w:rsidRDefault="0058082B" w:rsidP="0058082B">
      <w:pPr>
        <w:tabs>
          <w:tab w:val="num" w:pos="720"/>
        </w:tabs>
        <w:spacing w:line="360" w:lineRule="auto"/>
        <w:ind w:left="0" w:firstLine="0"/>
        <w:rPr>
          <w:rFonts w:ascii="Arial" w:eastAsia="Times New Roman" w:hAnsi="Arial" w:cs="Arial"/>
          <w:color w:val="auto"/>
          <w:szCs w:val="20"/>
        </w:rPr>
      </w:pPr>
      <w:r w:rsidRPr="0058082B">
        <w:rPr>
          <w:rFonts w:ascii="Arial" w:eastAsia="Times New Roman" w:hAnsi="Arial" w:cs="Arial"/>
          <w:color w:val="auto"/>
          <w:szCs w:val="20"/>
        </w:rPr>
        <w:t>RTK data allowed for centimeter-level accuracy in the vertical and horizontal positioning of beach profile points. Elevation data under different SLR scenarios were used to analyze beach slope, sediment transport potential, and inundation risk.Two ocean monitoring stations in the Niger Delta provided the tidal data used to improve hydrodynamic understanding. Sea surface height, wave height, and wind conditions were measured hourly by the tide gauges between 2010 and 2020. With the aid of these data, tidal forcing was modeled and the local Mean Sea Level (MSL), which served as a benchmark for shoreline retreat analysis, was established.</w:t>
      </w:r>
    </w:p>
    <w:p w14:paraId="5862F373" w14:textId="5A5D0B51" w:rsidR="00BE547C" w:rsidRPr="00BE547C" w:rsidRDefault="00BE547C" w:rsidP="00BE547C">
      <w:pPr>
        <w:tabs>
          <w:tab w:val="num" w:pos="720"/>
        </w:tabs>
        <w:spacing w:line="360" w:lineRule="auto"/>
        <w:ind w:left="0" w:firstLine="0"/>
        <w:rPr>
          <w:rFonts w:ascii="Arial" w:eastAsia="Times New Roman" w:hAnsi="Arial" w:cs="Arial"/>
          <w:b/>
          <w:bCs/>
          <w:color w:val="auto"/>
          <w:szCs w:val="20"/>
        </w:rPr>
      </w:pPr>
      <w:r>
        <w:rPr>
          <w:rFonts w:ascii="Arial" w:eastAsia="Times New Roman" w:hAnsi="Arial" w:cs="Arial"/>
          <w:b/>
          <w:bCs/>
          <w:color w:val="auto"/>
          <w:szCs w:val="20"/>
        </w:rPr>
        <w:t>2.4</w:t>
      </w:r>
      <w:r w:rsidRPr="00BE547C">
        <w:rPr>
          <w:rFonts w:ascii="Arial" w:eastAsia="Times New Roman" w:hAnsi="Arial" w:cs="Arial"/>
          <w:b/>
          <w:bCs/>
          <w:color w:val="auto"/>
          <w:szCs w:val="20"/>
        </w:rPr>
        <w:t xml:space="preserve"> Socio-Economic and Perception Data</w:t>
      </w:r>
    </w:p>
    <w:p w14:paraId="45A244C9" w14:textId="77777777" w:rsidR="0058082B" w:rsidRDefault="0058082B" w:rsidP="0058082B">
      <w:pPr>
        <w:tabs>
          <w:tab w:val="num" w:pos="720"/>
        </w:tabs>
        <w:spacing w:line="360" w:lineRule="auto"/>
        <w:ind w:left="0" w:firstLine="0"/>
        <w:rPr>
          <w:rFonts w:ascii="Arial" w:eastAsia="Times New Roman" w:hAnsi="Arial" w:cs="Arial"/>
          <w:color w:val="auto"/>
          <w:szCs w:val="20"/>
        </w:rPr>
      </w:pPr>
      <w:r w:rsidRPr="0058082B">
        <w:rPr>
          <w:rFonts w:ascii="Arial" w:eastAsia="Times New Roman" w:hAnsi="Arial" w:cs="Arial"/>
          <w:color w:val="auto"/>
          <w:szCs w:val="20"/>
        </w:rPr>
        <w:t xml:space="preserve">In Opobo/Nkoro LGA, 150 households in high-, medium-, and low-density settlements were given structured household surveys. The sample was selected through stratified random sampling to ensure representative coverage. The questionnaire focused on: </w:t>
      </w:r>
    </w:p>
    <w:p w14:paraId="12432391" w14:textId="77777777" w:rsidR="0058082B" w:rsidRPr="0058082B" w:rsidRDefault="0058082B" w:rsidP="0058082B">
      <w:pPr>
        <w:pStyle w:val="ListParagraph"/>
        <w:numPr>
          <w:ilvl w:val="0"/>
          <w:numId w:val="23"/>
        </w:numPr>
        <w:tabs>
          <w:tab w:val="num" w:pos="720"/>
        </w:tabs>
        <w:spacing w:line="360" w:lineRule="auto"/>
        <w:rPr>
          <w:rFonts w:ascii="Arial" w:eastAsia="Times New Roman" w:hAnsi="Arial" w:cs="Arial"/>
          <w:color w:val="auto"/>
          <w:szCs w:val="20"/>
        </w:rPr>
      </w:pPr>
      <w:r w:rsidRPr="0058082B">
        <w:rPr>
          <w:rFonts w:ascii="Arial" w:eastAsia="Times New Roman" w:hAnsi="Arial" w:cs="Arial"/>
          <w:color w:val="auto"/>
          <w:szCs w:val="20"/>
        </w:rPr>
        <w:t xml:space="preserve">Perceptions of coastal changes and climate variability </w:t>
      </w:r>
    </w:p>
    <w:p w14:paraId="63F8E7D8" w14:textId="77777777" w:rsidR="0058082B" w:rsidRPr="0058082B" w:rsidRDefault="0058082B" w:rsidP="0058082B">
      <w:pPr>
        <w:pStyle w:val="ListParagraph"/>
        <w:numPr>
          <w:ilvl w:val="0"/>
          <w:numId w:val="23"/>
        </w:numPr>
        <w:tabs>
          <w:tab w:val="num" w:pos="720"/>
        </w:tabs>
        <w:spacing w:line="360" w:lineRule="auto"/>
        <w:rPr>
          <w:rFonts w:ascii="Arial" w:eastAsia="Times New Roman" w:hAnsi="Arial" w:cs="Arial"/>
          <w:color w:val="auto"/>
          <w:szCs w:val="20"/>
        </w:rPr>
      </w:pPr>
      <w:r w:rsidRPr="0058082B">
        <w:rPr>
          <w:rFonts w:ascii="Arial" w:eastAsia="Times New Roman" w:hAnsi="Arial" w:cs="Arial"/>
          <w:color w:val="auto"/>
          <w:szCs w:val="20"/>
        </w:rPr>
        <w:t xml:space="preserve">Household adaptation practices </w:t>
      </w:r>
    </w:p>
    <w:p w14:paraId="7D7573CE" w14:textId="77777777" w:rsidR="0058082B" w:rsidRPr="0058082B" w:rsidRDefault="0058082B" w:rsidP="0058082B">
      <w:pPr>
        <w:pStyle w:val="ListParagraph"/>
        <w:numPr>
          <w:ilvl w:val="0"/>
          <w:numId w:val="23"/>
        </w:numPr>
        <w:tabs>
          <w:tab w:val="num" w:pos="720"/>
        </w:tabs>
        <w:spacing w:line="360" w:lineRule="auto"/>
        <w:rPr>
          <w:rFonts w:ascii="Arial" w:eastAsia="Times New Roman" w:hAnsi="Arial" w:cs="Arial"/>
          <w:color w:val="auto"/>
          <w:szCs w:val="20"/>
        </w:rPr>
      </w:pPr>
      <w:r w:rsidRPr="0058082B">
        <w:rPr>
          <w:rFonts w:ascii="Arial" w:eastAsia="Times New Roman" w:hAnsi="Arial" w:cs="Arial"/>
          <w:color w:val="auto"/>
          <w:szCs w:val="20"/>
        </w:rPr>
        <w:t xml:space="preserve">Demographics (age, gender, income, education) </w:t>
      </w:r>
    </w:p>
    <w:p w14:paraId="7B190D8E" w14:textId="538DAEBD" w:rsidR="0058082B" w:rsidRPr="0058082B" w:rsidRDefault="0058082B" w:rsidP="0058082B">
      <w:pPr>
        <w:pStyle w:val="ListParagraph"/>
        <w:numPr>
          <w:ilvl w:val="0"/>
          <w:numId w:val="23"/>
        </w:numPr>
        <w:tabs>
          <w:tab w:val="num" w:pos="720"/>
        </w:tabs>
        <w:spacing w:line="360" w:lineRule="auto"/>
        <w:rPr>
          <w:rFonts w:ascii="Arial" w:eastAsia="Times New Roman" w:hAnsi="Arial" w:cs="Arial"/>
          <w:color w:val="auto"/>
          <w:szCs w:val="20"/>
        </w:rPr>
      </w:pPr>
      <w:r w:rsidRPr="0058082B">
        <w:rPr>
          <w:rFonts w:ascii="Arial" w:eastAsia="Times New Roman" w:hAnsi="Arial" w:cs="Arial"/>
          <w:color w:val="auto"/>
          <w:szCs w:val="20"/>
        </w:rPr>
        <w:t>Access to infrastructure and environmental information</w:t>
      </w:r>
    </w:p>
    <w:p w14:paraId="0F088597" w14:textId="77777777" w:rsidR="0058082B" w:rsidRDefault="0058082B" w:rsidP="00BE547C">
      <w:pPr>
        <w:tabs>
          <w:tab w:val="num" w:pos="720"/>
        </w:tabs>
        <w:spacing w:line="360" w:lineRule="auto"/>
        <w:ind w:left="0" w:firstLine="0"/>
        <w:rPr>
          <w:rFonts w:ascii="Arial" w:eastAsia="Times New Roman" w:hAnsi="Arial" w:cs="Arial"/>
          <w:color w:val="auto"/>
          <w:szCs w:val="20"/>
        </w:rPr>
      </w:pPr>
      <w:r w:rsidRPr="0058082B">
        <w:rPr>
          <w:rFonts w:ascii="Arial" w:eastAsia="Times New Roman" w:hAnsi="Arial" w:cs="Arial"/>
          <w:color w:val="auto"/>
          <w:szCs w:val="20"/>
        </w:rPr>
        <w:t>Traditional leaders, government representatives, and environmental non-governmental organizations were also interviewed through Key Informant Interviews (KIIs) and Focus Group Discussions (FGDs). The historical shoreline changes and adaptation barriers that satellite data could not capture were contextualized by these qualitative inputs.</w:t>
      </w:r>
    </w:p>
    <w:p w14:paraId="12F898BF" w14:textId="462831BA" w:rsidR="00BE547C" w:rsidRPr="00BE547C" w:rsidRDefault="00BE547C" w:rsidP="00BE547C">
      <w:pPr>
        <w:tabs>
          <w:tab w:val="num" w:pos="720"/>
        </w:tabs>
        <w:spacing w:line="360" w:lineRule="auto"/>
        <w:ind w:left="0" w:firstLine="0"/>
        <w:rPr>
          <w:rFonts w:ascii="Arial" w:eastAsia="Times New Roman" w:hAnsi="Arial" w:cs="Arial"/>
          <w:b/>
          <w:bCs/>
          <w:color w:val="auto"/>
          <w:szCs w:val="20"/>
        </w:rPr>
      </w:pPr>
      <w:r>
        <w:rPr>
          <w:rFonts w:ascii="Arial" w:eastAsia="Times New Roman" w:hAnsi="Arial" w:cs="Arial"/>
          <w:b/>
          <w:bCs/>
          <w:color w:val="auto"/>
          <w:szCs w:val="20"/>
        </w:rPr>
        <w:t xml:space="preserve">2.5 </w:t>
      </w:r>
      <w:r w:rsidRPr="00BE547C">
        <w:rPr>
          <w:rFonts w:ascii="Arial" w:eastAsia="Times New Roman" w:hAnsi="Arial" w:cs="Arial"/>
          <w:b/>
          <w:bCs/>
          <w:color w:val="auto"/>
          <w:szCs w:val="20"/>
        </w:rPr>
        <w:t>Hydrodynamic and Modeling Framework</w:t>
      </w:r>
    </w:p>
    <w:p w14:paraId="7B4F07BB" w14:textId="77777777" w:rsidR="0058082B" w:rsidRDefault="0058082B" w:rsidP="00BE547C">
      <w:pPr>
        <w:tabs>
          <w:tab w:val="num" w:pos="720"/>
        </w:tabs>
        <w:spacing w:line="360" w:lineRule="auto"/>
        <w:ind w:left="0" w:firstLine="0"/>
        <w:rPr>
          <w:rFonts w:ascii="Arial" w:eastAsia="Times New Roman" w:hAnsi="Arial" w:cs="Arial"/>
          <w:color w:val="auto"/>
          <w:szCs w:val="20"/>
        </w:rPr>
      </w:pPr>
      <w:r w:rsidRPr="0058082B">
        <w:rPr>
          <w:rFonts w:ascii="Arial" w:eastAsia="Times New Roman" w:hAnsi="Arial" w:cs="Arial"/>
          <w:color w:val="auto"/>
          <w:szCs w:val="20"/>
        </w:rPr>
        <w:t>Despite not using sophisticated numerical models, the study used DEM overlays to model basic inundation scenarios with projected SLR scenarios of +0.5 m and +1.0 m by 2100 based on regional climate model outputs and IPCC RCP 8.5. Critical exposure zones under future sea level scenarios could be identified thanks to these models.</w:t>
      </w:r>
    </w:p>
    <w:p w14:paraId="19C0C75E" w14:textId="77777777" w:rsidR="0058082B" w:rsidRPr="0058082B" w:rsidRDefault="0058082B" w:rsidP="0058082B">
      <w:pPr>
        <w:tabs>
          <w:tab w:val="num" w:pos="720"/>
        </w:tabs>
        <w:spacing w:line="360" w:lineRule="auto"/>
        <w:ind w:left="0" w:firstLine="0"/>
        <w:rPr>
          <w:rFonts w:ascii="Arial" w:eastAsia="Times New Roman" w:hAnsi="Arial" w:cs="Arial"/>
          <w:color w:val="auto"/>
          <w:szCs w:val="20"/>
        </w:rPr>
      </w:pPr>
      <w:r w:rsidRPr="0058082B">
        <w:rPr>
          <w:rFonts w:ascii="Arial" w:eastAsia="Times New Roman" w:hAnsi="Arial" w:cs="Arial"/>
          <w:color w:val="auto"/>
          <w:szCs w:val="20"/>
        </w:rPr>
        <w:t>By comparing shoreline retreat data with seasonal wave height and wind direction data gathered from NOAA archives and local observations, the impact of wave energy was evaluated. This made it possible to infer the dynamics of beach morphology and the intensity of longshore transport. It is advised that future research employ additional modeling techniques, such as hydrodynamic modeling using Delft3D or SWAN, which can more accurately model sediment transport, storm surge propagation, and inundation dynamics.</w:t>
      </w:r>
    </w:p>
    <w:p w14:paraId="7798B343" w14:textId="610565A1" w:rsidR="00BE547C" w:rsidRPr="0058082B" w:rsidRDefault="00BE547C" w:rsidP="0058082B">
      <w:pPr>
        <w:pStyle w:val="ListParagraph"/>
        <w:numPr>
          <w:ilvl w:val="1"/>
          <w:numId w:val="19"/>
        </w:numPr>
        <w:tabs>
          <w:tab w:val="num" w:pos="720"/>
        </w:tabs>
        <w:spacing w:line="360" w:lineRule="auto"/>
        <w:rPr>
          <w:rFonts w:ascii="Arial" w:eastAsia="Times New Roman" w:hAnsi="Arial" w:cs="Arial"/>
          <w:b/>
          <w:bCs/>
          <w:color w:val="auto"/>
          <w:szCs w:val="20"/>
        </w:rPr>
      </w:pPr>
      <w:r w:rsidRPr="0058082B">
        <w:rPr>
          <w:rFonts w:ascii="Arial" w:eastAsia="Times New Roman" w:hAnsi="Arial" w:cs="Arial"/>
          <w:b/>
          <w:bCs/>
          <w:color w:val="auto"/>
          <w:szCs w:val="20"/>
        </w:rPr>
        <w:t>Data Analysis</w:t>
      </w:r>
    </w:p>
    <w:p w14:paraId="0FEE7DB9" w14:textId="77777777" w:rsidR="0058082B" w:rsidRDefault="0058082B" w:rsidP="0058082B">
      <w:pPr>
        <w:spacing w:line="360" w:lineRule="auto"/>
        <w:ind w:left="0" w:firstLine="0"/>
        <w:rPr>
          <w:rFonts w:ascii="Arial" w:eastAsia="Times New Roman" w:hAnsi="Arial" w:cs="Arial"/>
          <w:color w:val="auto"/>
          <w:szCs w:val="20"/>
        </w:rPr>
      </w:pPr>
      <w:r w:rsidRPr="0058082B">
        <w:rPr>
          <w:rFonts w:ascii="Arial" w:eastAsia="Times New Roman" w:hAnsi="Arial" w:cs="Arial"/>
          <w:color w:val="auto"/>
          <w:szCs w:val="20"/>
        </w:rPr>
        <w:t xml:space="preserve">To determine trends and variability, quantitative data from the shoreline analysis were statistically examined. To find significant variations in adaptive capacity among settlements, socioeconomic variables were subjected </w:t>
      </w:r>
      <w:r w:rsidRPr="0058082B">
        <w:rPr>
          <w:rFonts w:ascii="Arial" w:eastAsia="Times New Roman" w:hAnsi="Arial" w:cs="Arial"/>
          <w:color w:val="auto"/>
          <w:szCs w:val="20"/>
        </w:rPr>
        <w:lastRenderedPageBreak/>
        <w:t>to descriptive statistics and inferential tests like ANOVA.</w:t>
      </w:r>
      <w:r>
        <w:rPr>
          <w:rFonts w:ascii="Arial" w:eastAsia="Times New Roman" w:hAnsi="Arial" w:cs="Arial"/>
          <w:color w:val="auto"/>
          <w:szCs w:val="20"/>
        </w:rPr>
        <w:t xml:space="preserve"> </w:t>
      </w:r>
      <w:r w:rsidRPr="0058082B">
        <w:rPr>
          <w:rFonts w:ascii="Arial" w:eastAsia="Times New Roman" w:hAnsi="Arial" w:cs="Arial"/>
          <w:color w:val="auto"/>
          <w:szCs w:val="20"/>
        </w:rPr>
        <w:t>For ease of query and visualization, all data were kept in relational databases. To bolster the conclusions and arguments made in the results section, graphs, maps, and tables were created</w:t>
      </w:r>
    </w:p>
    <w:p w14:paraId="4073DCE4" w14:textId="6F4D8EE7" w:rsidR="004E73AB" w:rsidRPr="0058082B" w:rsidRDefault="004E73AB" w:rsidP="0058082B">
      <w:pPr>
        <w:pStyle w:val="ListParagraph"/>
        <w:numPr>
          <w:ilvl w:val="0"/>
          <w:numId w:val="19"/>
        </w:numPr>
        <w:spacing w:line="360" w:lineRule="auto"/>
        <w:rPr>
          <w:rFonts w:ascii="Arial" w:eastAsia="Times New Roman" w:hAnsi="Arial" w:cs="Arial"/>
          <w:b/>
          <w:color w:val="auto"/>
          <w:szCs w:val="20"/>
        </w:rPr>
      </w:pPr>
      <w:r w:rsidRPr="0058082B">
        <w:rPr>
          <w:rFonts w:ascii="Arial" w:hAnsi="Arial" w:cs="Arial"/>
          <w:b/>
          <w:color w:val="auto"/>
          <w:sz w:val="22"/>
          <w:lang w:val="en-US"/>
        </w:rPr>
        <w:t>RESULT AND DISCUSSION</w:t>
      </w:r>
    </w:p>
    <w:p w14:paraId="4073DCE5" w14:textId="69A68354" w:rsidR="004E73AB" w:rsidRPr="006E34BD" w:rsidRDefault="006E34BD" w:rsidP="00F83B04">
      <w:pPr>
        <w:widowControl w:val="0"/>
        <w:tabs>
          <w:tab w:val="left" w:pos="660"/>
        </w:tabs>
        <w:autoSpaceDE w:val="0"/>
        <w:autoSpaceDN w:val="0"/>
        <w:spacing w:before="262" w:after="0" w:line="360" w:lineRule="auto"/>
        <w:ind w:left="0" w:right="655" w:firstLine="0"/>
        <w:rPr>
          <w:rFonts w:ascii="Arial" w:hAnsi="Arial" w:cs="Arial"/>
          <w:b/>
          <w:sz w:val="22"/>
        </w:rPr>
      </w:pPr>
      <w:r w:rsidRPr="006E34BD">
        <w:rPr>
          <w:rFonts w:ascii="Arial" w:hAnsi="Arial" w:cs="Arial"/>
          <w:b/>
          <w:sz w:val="22"/>
          <w:lang w:val="en-US"/>
        </w:rPr>
        <w:t xml:space="preserve">3.1 </w:t>
      </w:r>
      <w:r w:rsidR="004E73AB" w:rsidRPr="006E34BD">
        <w:rPr>
          <w:rFonts w:ascii="Arial" w:hAnsi="Arial" w:cs="Arial"/>
          <w:b/>
          <w:sz w:val="22"/>
        </w:rPr>
        <w:t>Rate</w:t>
      </w:r>
      <w:r w:rsidR="004E73AB" w:rsidRPr="006E34BD">
        <w:rPr>
          <w:rFonts w:ascii="Arial" w:hAnsi="Arial" w:cs="Arial"/>
          <w:b/>
          <w:spacing w:val="-3"/>
          <w:sz w:val="22"/>
        </w:rPr>
        <w:t xml:space="preserve"> </w:t>
      </w:r>
      <w:r w:rsidR="004E73AB" w:rsidRPr="006E34BD">
        <w:rPr>
          <w:rFonts w:ascii="Arial" w:hAnsi="Arial" w:cs="Arial"/>
          <w:b/>
          <w:sz w:val="22"/>
        </w:rPr>
        <w:t>of</w:t>
      </w:r>
      <w:r w:rsidR="004E73AB" w:rsidRPr="006E34BD">
        <w:rPr>
          <w:rFonts w:ascii="Arial" w:hAnsi="Arial" w:cs="Arial"/>
          <w:b/>
          <w:spacing w:val="-1"/>
          <w:sz w:val="22"/>
        </w:rPr>
        <w:t xml:space="preserve"> </w:t>
      </w:r>
      <w:r w:rsidR="004E73AB" w:rsidRPr="006E34BD">
        <w:rPr>
          <w:rFonts w:ascii="Arial" w:hAnsi="Arial" w:cs="Arial"/>
          <w:b/>
          <w:sz w:val="22"/>
        </w:rPr>
        <w:t>change</w:t>
      </w:r>
      <w:r w:rsidR="004E73AB" w:rsidRPr="006E34BD">
        <w:rPr>
          <w:rFonts w:ascii="Arial" w:hAnsi="Arial" w:cs="Arial"/>
          <w:b/>
          <w:spacing w:val="-3"/>
          <w:sz w:val="22"/>
        </w:rPr>
        <w:t xml:space="preserve"> </w:t>
      </w:r>
      <w:r w:rsidR="004E73AB" w:rsidRPr="006E34BD">
        <w:rPr>
          <w:rFonts w:ascii="Arial" w:hAnsi="Arial" w:cs="Arial"/>
          <w:b/>
          <w:sz w:val="22"/>
        </w:rPr>
        <w:t>along</w:t>
      </w:r>
      <w:r w:rsidR="004E73AB" w:rsidRPr="006E34BD">
        <w:rPr>
          <w:rFonts w:ascii="Arial" w:hAnsi="Arial" w:cs="Arial"/>
          <w:b/>
          <w:spacing w:val="-2"/>
          <w:sz w:val="22"/>
        </w:rPr>
        <w:t xml:space="preserve"> </w:t>
      </w:r>
      <w:r w:rsidR="004E73AB" w:rsidRPr="006E34BD">
        <w:rPr>
          <w:rFonts w:ascii="Arial" w:hAnsi="Arial" w:cs="Arial"/>
          <w:b/>
          <w:sz w:val="22"/>
        </w:rPr>
        <w:t>the</w:t>
      </w:r>
      <w:r w:rsidR="004E73AB" w:rsidRPr="006E34BD">
        <w:rPr>
          <w:rFonts w:ascii="Arial" w:hAnsi="Arial" w:cs="Arial"/>
          <w:b/>
          <w:spacing w:val="-2"/>
          <w:sz w:val="22"/>
        </w:rPr>
        <w:t xml:space="preserve"> </w:t>
      </w:r>
      <w:proofErr w:type="spellStart"/>
      <w:r w:rsidR="00407855" w:rsidRPr="006E34BD">
        <w:rPr>
          <w:rFonts w:ascii="Arial" w:hAnsi="Arial" w:cs="Arial"/>
          <w:b/>
          <w:sz w:val="22"/>
        </w:rPr>
        <w:t>Opobo</w:t>
      </w:r>
      <w:proofErr w:type="spellEnd"/>
      <w:r w:rsidR="004E73AB" w:rsidRPr="006E34BD">
        <w:rPr>
          <w:rFonts w:ascii="Arial" w:hAnsi="Arial" w:cs="Arial"/>
          <w:b/>
          <w:spacing w:val="-3"/>
          <w:sz w:val="22"/>
        </w:rPr>
        <w:t xml:space="preserve"> </w:t>
      </w:r>
      <w:r w:rsidR="004E73AB" w:rsidRPr="006E34BD">
        <w:rPr>
          <w:rFonts w:ascii="Arial" w:hAnsi="Arial" w:cs="Arial"/>
          <w:b/>
          <w:sz w:val="22"/>
        </w:rPr>
        <w:t>axis</w:t>
      </w:r>
      <w:r w:rsidR="004E73AB" w:rsidRPr="006E34BD">
        <w:rPr>
          <w:rFonts w:ascii="Arial" w:hAnsi="Arial" w:cs="Arial"/>
          <w:b/>
          <w:spacing w:val="-2"/>
          <w:sz w:val="22"/>
        </w:rPr>
        <w:t xml:space="preserve"> </w:t>
      </w:r>
      <w:r w:rsidR="004E73AB" w:rsidRPr="006E34BD">
        <w:rPr>
          <w:rFonts w:ascii="Arial" w:hAnsi="Arial" w:cs="Arial"/>
          <w:b/>
          <w:sz w:val="22"/>
        </w:rPr>
        <w:t>of</w:t>
      </w:r>
      <w:r w:rsidR="004E73AB" w:rsidRPr="006E34BD">
        <w:rPr>
          <w:rFonts w:ascii="Arial" w:hAnsi="Arial" w:cs="Arial"/>
          <w:b/>
          <w:spacing w:val="-2"/>
          <w:sz w:val="22"/>
        </w:rPr>
        <w:t xml:space="preserve"> </w:t>
      </w:r>
      <w:r w:rsidR="004E73AB" w:rsidRPr="006E34BD">
        <w:rPr>
          <w:rFonts w:ascii="Arial" w:hAnsi="Arial" w:cs="Arial"/>
          <w:b/>
          <w:sz w:val="22"/>
        </w:rPr>
        <w:t>the</w:t>
      </w:r>
      <w:r w:rsidR="004E73AB" w:rsidRPr="006E34BD">
        <w:rPr>
          <w:rFonts w:ascii="Arial" w:hAnsi="Arial" w:cs="Arial"/>
          <w:b/>
          <w:spacing w:val="-3"/>
          <w:sz w:val="22"/>
        </w:rPr>
        <w:t xml:space="preserve"> </w:t>
      </w:r>
      <w:r w:rsidR="004E73AB" w:rsidRPr="006E34BD">
        <w:rPr>
          <w:rFonts w:ascii="Arial" w:hAnsi="Arial" w:cs="Arial"/>
          <w:b/>
          <w:sz w:val="22"/>
        </w:rPr>
        <w:t>Strand</w:t>
      </w:r>
      <w:r w:rsidR="004E73AB" w:rsidRPr="006E34BD">
        <w:rPr>
          <w:rFonts w:ascii="Arial" w:hAnsi="Arial" w:cs="Arial"/>
          <w:b/>
          <w:spacing w:val="-2"/>
          <w:sz w:val="22"/>
        </w:rPr>
        <w:t xml:space="preserve"> </w:t>
      </w:r>
      <w:r w:rsidR="004E73AB" w:rsidRPr="006E34BD">
        <w:rPr>
          <w:rFonts w:ascii="Arial" w:hAnsi="Arial" w:cs="Arial"/>
          <w:b/>
          <w:sz w:val="22"/>
        </w:rPr>
        <w:t>Coast</w:t>
      </w:r>
      <w:r w:rsidR="004E73AB" w:rsidRPr="006E34BD">
        <w:rPr>
          <w:rFonts w:ascii="Arial" w:hAnsi="Arial" w:cs="Arial"/>
          <w:b/>
          <w:spacing w:val="-2"/>
          <w:sz w:val="22"/>
        </w:rPr>
        <w:t xml:space="preserve"> </w:t>
      </w:r>
      <w:r w:rsidR="004E73AB" w:rsidRPr="006E34BD">
        <w:rPr>
          <w:rFonts w:ascii="Arial" w:hAnsi="Arial" w:cs="Arial"/>
          <w:b/>
          <w:sz w:val="22"/>
        </w:rPr>
        <w:t>from</w:t>
      </w:r>
      <w:r w:rsidR="004E73AB" w:rsidRPr="006E34BD">
        <w:rPr>
          <w:rFonts w:ascii="Arial" w:hAnsi="Arial" w:cs="Arial"/>
          <w:b/>
          <w:spacing w:val="-1"/>
          <w:sz w:val="22"/>
        </w:rPr>
        <w:t xml:space="preserve"> </w:t>
      </w:r>
      <w:r w:rsidR="004E73AB" w:rsidRPr="006E34BD">
        <w:rPr>
          <w:rFonts w:ascii="Arial" w:hAnsi="Arial" w:cs="Arial"/>
          <w:b/>
          <w:sz w:val="22"/>
        </w:rPr>
        <w:t>1984</w:t>
      </w:r>
      <w:r w:rsidR="004E73AB" w:rsidRPr="006E34BD">
        <w:rPr>
          <w:rFonts w:ascii="Arial" w:hAnsi="Arial" w:cs="Arial"/>
          <w:b/>
          <w:spacing w:val="-1"/>
          <w:sz w:val="22"/>
        </w:rPr>
        <w:t xml:space="preserve"> </w:t>
      </w:r>
      <w:r w:rsidR="004E73AB" w:rsidRPr="006E34BD">
        <w:rPr>
          <w:rFonts w:ascii="Arial" w:hAnsi="Arial" w:cs="Arial"/>
          <w:b/>
          <w:sz w:val="22"/>
        </w:rPr>
        <w:t xml:space="preserve">- </w:t>
      </w:r>
      <w:r w:rsidR="004E73AB" w:rsidRPr="006E34BD">
        <w:rPr>
          <w:rFonts w:ascii="Arial" w:hAnsi="Arial" w:cs="Arial"/>
          <w:b/>
          <w:spacing w:val="-4"/>
          <w:sz w:val="22"/>
        </w:rPr>
        <w:t>2020</w:t>
      </w:r>
    </w:p>
    <w:p w14:paraId="3D44D0F3" w14:textId="77777777" w:rsidR="0058082B" w:rsidRPr="0058082B" w:rsidRDefault="0058082B" w:rsidP="0058082B">
      <w:pPr>
        <w:pStyle w:val="BodyText"/>
        <w:spacing w:before="10" w:line="360" w:lineRule="auto"/>
        <w:jc w:val="both"/>
        <w:rPr>
          <w:rFonts w:ascii="Arial" w:hAnsi="Arial" w:cs="Arial"/>
          <w:sz w:val="20"/>
          <w:szCs w:val="20"/>
        </w:rPr>
      </w:pPr>
      <w:r w:rsidRPr="0058082B">
        <w:rPr>
          <w:rFonts w:ascii="Arial" w:hAnsi="Arial" w:cs="Arial"/>
          <w:sz w:val="20"/>
          <w:szCs w:val="20"/>
        </w:rPr>
        <w:t>Even though the long-term shoreline change analysis's findings show that much of the coast has experienced significant erosion, the conversation would be lacking if it did not also identify areas that are exposed and those that have obvious mitigation or adaptation measures in place. The Zone B stretch, which is the most dynamic of the three zones (A, B, and C) and has the highest average erosion rates, is also the most exposed because it lacks engineered protective features like seawalls, groynes, or embankments. This area is mostly made up of mangrove zones and low-lying settlements, where wave energy accelerates shoreline retreat by acting directly on loose soil.</w:t>
      </w:r>
    </w:p>
    <w:p w14:paraId="3CB17800" w14:textId="77777777" w:rsidR="003E17D2" w:rsidRDefault="00FF5F0B" w:rsidP="003E17D2">
      <w:pPr>
        <w:pStyle w:val="BodyText"/>
        <w:spacing w:before="10" w:line="360" w:lineRule="auto"/>
        <w:jc w:val="both"/>
        <w:rPr>
          <w:rFonts w:ascii="Arial" w:hAnsi="Arial" w:cs="Arial"/>
          <w:b/>
          <w:szCs w:val="20"/>
        </w:rPr>
      </w:pPr>
      <w:r w:rsidRPr="005E1DF6">
        <w:rPr>
          <w:rFonts w:ascii="Arial" w:hAnsi="Arial" w:cs="Arial"/>
          <w:noProof/>
          <w:sz w:val="20"/>
          <w:szCs w:val="20"/>
        </w:rPr>
        <w:drawing>
          <wp:inline distT="0" distB="0" distL="0" distR="0" wp14:anchorId="4073DD9F" wp14:editId="65668D76">
            <wp:extent cx="5344279" cy="2754630"/>
            <wp:effectExtent l="0" t="0" r="8890" b="7620"/>
            <wp:docPr id="6" name="Picture 6" descr="C:\Users\PROBOOK\Picture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OBOOK\Pictures\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6399" cy="2755723"/>
                    </a:xfrm>
                    <a:prstGeom prst="rect">
                      <a:avLst/>
                    </a:prstGeom>
                    <a:noFill/>
                    <a:ln>
                      <a:noFill/>
                    </a:ln>
                  </pic:spPr>
                </pic:pic>
              </a:graphicData>
            </a:graphic>
          </wp:inline>
        </w:drawing>
      </w:r>
      <w:bookmarkStart w:id="7" w:name="_bookmark84"/>
      <w:bookmarkEnd w:id="7"/>
    </w:p>
    <w:p w14:paraId="4073DCE9" w14:textId="6682A2EE" w:rsidR="004E73AB" w:rsidRDefault="004E73AB" w:rsidP="003E17D2">
      <w:pPr>
        <w:pStyle w:val="BodyText"/>
        <w:spacing w:before="10" w:line="360" w:lineRule="auto"/>
        <w:jc w:val="both"/>
        <w:rPr>
          <w:rFonts w:ascii="Arial" w:hAnsi="Arial" w:cs="Arial"/>
          <w:b/>
          <w:sz w:val="20"/>
          <w:szCs w:val="20"/>
        </w:rPr>
      </w:pPr>
      <w:r w:rsidRPr="003E17D2">
        <w:rPr>
          <w:rFonts w:ascii="Arial" w:hAnsi="Arial" w:cs="Arial"/>
          <w:b/>
          <w:sz w:val="20"/>
          <w:szCs w:val="20"/>
        </w:rPr>
        <w:t>Figure</w:t>
      </w:r>
      <w:r w:rsidRPr="003E17D2">
        <w:rPr>
          <w:rFonts w:ascii="Arial" w:hAnsi="Arial" w:cs="Arial"/>
          <w:b/>
          <w:spacing w:val="-12"/>
          <w:sz w:val="20"/>
          <w:szCs w:val="20"/>
        </w:rPr>
        <w:t xml:space="preserve"> </w:t>
      </w:r>
      <w:r w:rsidR="00D34F3E" w:rsidRPr="003E17D2">
        <w:rPr>
          <w:rFonts w:ascii="Arial" w:hAnsi="Arial" w:cs="Arial"/>
          <w:b/>
          <w:sz w:val="20"/>
          <w:szCs w:val="20"/>
        </w:rPr>
        <w:t>1</w:t>
      </w:r>
      <w:r w:rsidR="003E17D2" w:rsidRPr="003E17D2">
        <w:rPr>
          <w:rFonts w:ascii="Arial" w:hAnsi="Arial" w:cs="Arial"/>
          <w:b/>
          <w:sz w:val="20"/>
          <w:szCs w:val="20"/>
        </w:rPr>
        <w:t>.</w:t>
      </w:r>
      <w:r w:rsidRPr="003E17D2">
        <w:rPr>
          <w:rFonts w:ascii="Arial" w:hAnsi="Arial" w:cs="Arial"/>
          <w:b/>
          <w:spacing w:val="-12"/>
          <w:sz w:val="20"/>
          <w:szCs w:val="20"/>
        </w:rPr>
        <w:t xml:space="preserve"> </w:t>
      </w:r>
      <w:r w:rsidRPr="003E17D2">
        <w:rPr>
          <w:rFonts w:ascii="Arial" w:hAnsi="Arial" w:cs="Arial"/>
          <w:b/>
          <w:sz w:val="20"/>
          <w:szCs w:val="20"/>
        </w:rPr>
        <w:t>Long-term</w:t>
      </w:r>
      <w:r w:rsidRPr="003E17D2">
        <w:rPr>
          <w:rFonts w:ascii="Arial" w:hAnsi="Arial" w:cs="Arial"/>
          <w:b/>
          <w:spacing w:val="-12"/>
          <w:sz w:val="20"/>
          <w:szCs w:val="20"/>
        </w:rPr>
        <w:t xml:space="preserve"> </w:t>
      </w:r>
      <w:r w:rsidRPr="003E17D2">
        <w:rPr>
          <w:rFonts w:ascii="Arial" w:hAnsi="Arial" w:cs="Arial"/>
          <w:b/>
          <w:sz w:val="20"/>
          <w:szCs w:val="20"/>
        </w:rPr>
        <w:t>(1984-2020)</w:t>
      </w:r>
      <w:r w:rsidRPr="003E17D2">
        <w:rPr>
          <w:rFonts w:ascii="Arial" w:hAnsi="Arial" w:cs="Arial"/>
          <w:b/>
          <w:spacing w:val="-12"/>
          <w:sz w:val="20"/>
          <w:szCs w:val="20"/>
        </w:rPr>
        <w:t xml:space="preserve"> </w:t>
      </w:r>
      <w:r w:rsidRPr="003E17D2">
        <w:rPr>
          <w:rFonts w:ascii="Arial" w:hAnsi="Arial" w:cs="Arial"/>
          <w:b/>
          <w:sz w:val="20"/>
          <w:szCs w:val="20"/>
        </w:rPr>
        <w:t>coastal</w:t>
      </w:r>
      <w:r w:rsidRPr="003E17D2">
        <w:rPr>
          <w:rFonts w:ascii="Arial" w:hAnsi="Arial" w:cs="Arial"/>
          <w:b/>
          <w:spacing w:val="-13"/>
          <w:sz w:val="20"/>
          <w:szCs w:val="20"/>
        </w:rPr>
        <w:t xml:space="preserve"> </w:t>
      </w:r>
      <w:r w:rsidRPr="003E17D2">
        <w:rPr>
          <w:rFonts w:ascii="Arial" w:hAnsi="Arial" w:cs="Arial"/>
          <w:b/>
          <w:sz w:val="20"/>
          <w:szCs w:val="20"/>
        </w:rPr>
        <w:t>change</w:t>
      </w:r>
      <w:r w:rsidRPr="003E17D2">
        <w:rPr>
          <w:rFonts w:ascii="Arial" w:hAnsi="Arial" w:cs="Arial"/>
          <w:b/>
          <w:spacing w:val="-11"/>
          <w:sz w:val="20"/>
          <w:szCs w:val="20"/>
        </w:rPr>
        <w:t xml:space="preserve"> </w:t>
      </w:r>
      <w:r w:rsidRPr="003E17D2">
        <w:rPr>
          <w:rFonts w:ascii="Arial" w:hAnsi="Arial" w:cs="Arial"/>
          <w:b/>
          <w:sz w:val="20"/>
          <w:szCs w:val="20"/>
        </w:rPr>
        <w:t>analysis</w:t>
      </w:r>
      <w:r w:rsidRPr="003E17D2">
        <w:rPr>
          <w:rFonts w:ascii="Arial" w:hAnsi="Arial" w:cs="Arial"/>
          <w:b/>
          <w:spacing w:val="-13"/>
          <w:sz w:val="20"/>
          <w:szCs w:val="20"/>
        </w:rPr>
        <w:t xml:space="preserve"> </w:t>
      </w:r>
      <w:r w:rsidRPr="003E17D2">
        <w:rPr>
          <w:rFonts w:ascii="Arial" w:hAnsi="Arial" w:cs="Arial"/>
          <w:b/>
          <w:sz w:val="20"/>
          <w:szCs w:val="20"/>
        </w:rPr>
        <w:t>(LRR)</w:t>
      </w:r>
      <w:r w:rsidRPr="003E17D2">
        <w:rPr>
          <w:rFonts w:ascii="Arial" w:hAnsi="Arial" w:cs="Arial"/>
          <w:b/>
          <w:spacing w:val="-11"/>
          <w:sz w:val="20"/>
          <w:szCs w:val="20"/>
        </w:rPr>
        <w:t xml:space="preserve"> </w:t>
      </w:r>
      <w:r w:rsidRPr="003E17D2">
        <w:rPr>
          <w:rFonts w:ascii="Arial" w:hAnsi="Arial" w:cs="Arial"/>
          <w:b/>
          <w:sz w:val="20"/>
          <w:szCs w:val="20"/>
        </w:rPr>
        <w:t>along</w:t>
      </w:r>
      <w:r w:rsidRPr="003E17D2">
        <w:rPr>
          <w:rFonts w:ascii="Arial" w:hAnsi="Arial" w:cs="Arial"/>
          <w:b/>
          <w:spacing w:val="-12"/>
          <w:sz w:val="20"/>
          <w:szCs w:val="20"/>
        </w:rPr>
        <w:t xml:space="preserve"> </w:t>
      </w:r>
      <w:r w:rsidRPr="003E17D2">
        <w:rPr>
          <w:rFonts w:ascii="Arial" w:hAnsi="Arial" w:cs="Arial"/>
          <w:b/>
          <w:sz w:val="20"/>
          <w:szCs w:val="20"/>
        </w:rPr>
        <w:t>the</w:t>
      </w:r>
      <w:r w:rsidRPr="003E17D2">
        <w:rPr>
          <w:rFonts w:ascii="Arial" w:hAnsi="Arial" w:cs="Arial"/>
          <w:b/>
          <w:spacing w:val="-12"/>
          <w:sz w:val="20"/>
          <w:szCs w:val="20"/>
        </w:rPr>
        <w:t xml:space="preserve"> </w:t>
      </w:r>
      <w:r w:rsidRPr="003E17D2">
        <w:rPr>
          <w:rFonts w:ascii="Arial" w:hAnsi="Arial" w:cs="Arial"/>
          <w:b/>
          <w:sz w:val="20"/>
          <w:szCs w:val="20"/>
        </w:rPr>
        <w:t>studied</w:t>
      </w:r>
      <w:r w:rsidRPr="003E17D2">
        <w:rPr>
          <w:rFonts w:ascii="Arial" w:hAnsi="Arial" w:cs="Arial"/>
          <w:b/>
          <w:spacing w:val="-11"/>
          <w:sz w:val="20"/>
          <w:szCs w:val="20"/>
        </w:rPr>
        <w:t xml:space="preserve"> </w:t>
      </w:r>
      <w:r w:rsidRPr="003E17D2">
        <w:rPr>
          <w:rFonts w:ascii="Arial" w:hAnsi="Arial" w:cs="Arial"/>
          <w:b/>
          <w:sz w:val="20"/>
          <w:szCs w:val="20"/>
        </w:rPr>
        <w:t>coast</w:t>
      </w:r>
      <w:r w:rsidRPr="003E17D2">
        <w:rPr>
          <w:rFonts w:ascii="Arial" w:hAnsi="Arial" w:cs="Arial"/>
          <w:b/>
          <w:spacing w:val="-11"/>
          <w:sz w:val="20"/>
          <w:szCs w:val="20"/>
        </w:rPr>
        <w:t xml:space="preserve"> </w:t>
      </w:r>
      <w:r w:rsidRPr="003E17D2">
        <w:rPr>
          <w:rFonts w:ascii="Arial" w:hAnsi="Arial" w:cs="Arial"/>
          <w:b/>
          <w:sz w:val="20"/>
          <w:szCs w:val="20"/>
        </w:rPr>
        <w:t>overlain</w:t>
      </w:r>
      <w:r w:rsidRPr="003E17D2">
        <w:rPr>
          <w:rFonts w:ascii="Arial" w:hAnsi="Arial" w:cs="Arial"/>
          <w:b/>
          <w:spacing w:val="-12"/>
          <w:sz w:val="20"/>
          <w:szCs w:val="20"/>
        </w:rPr>
        <w:t xml:space="preserve"> </w:t>
      </w:r>
      <w:r w:rsidRPr="003E17D2">
        <w:rPr>
          <w:rFonts w:ascii="Arial" w:hAnsi="Arial" w:cs="Arial"/>
          <w:b/>
          <w:sz w:val="20"/>
          <w:szCs w:val="20"/>
        </w:rPr>
        <w:t>on</w:t>
      </w:r>
      <w:r w:rsidRPr="003E17D2">
        <w:rPr>
          <w:rFonts w:ascii="Arial" w:hAnsi="Arial" w:cs="Arial"/>
          <w:b/>
          <w:spacing w:val="-12"/>
          <w:sz w:val="20"/>
          <w:szCs w:val="20"/>
        </w:rPr>
        <w:t xml:space="preserve"> </w:t>
      </w:r>
      <w:r w:rsidRPr="003E17D2">
        <w:rPr>
          <w:rFonts w:ascii="Arial" w:hAnsi="Arial" w:cs="Arial"/>
          <w:b/>
          <w:sz w:val="20"/>
          <w:szCs w:val="20"/>
        </w:rPr>
        <w:t>a</w:t>
      </w:r>
      <w:r w:rsidR="003E17D2" w:rsidRPr="003E17D2">
        <w:rPr>
          <w:rFonts w:ascii="Arial" w:hAnsi="Arial" w:cs="Arial"/>
          <w:b/>
          <w:spacing w:val="-12"/>
          <w:sz w:val="20"/>
          <w:szCs w:val="20"/>
        </w:rPr>
        <w:t xml:space="preserve"> </w:t>
      </w:r>
      <w:r w:rsidRPr="003E17D2">
        <w:rPr>
          <w:rFonts w:ascii="Arial" w:hAnsi="Arial" w:cs="Arial"/>
          <w:b/>
          <w:sz w:val="20"/>
          <w:szCs w:val="20"/>
        </w:rPr>
        <w:t>Sentinel 2A image of the study area.</w:t>
      </w:r>
    </w:p>
    <w:p w14:paraId="65BF87C4" w14:textId="77777777" w:rsidR="0058082B" w:rsidRPr="0058082B" w:rsidRDefault="0058082B" w:rsidP="0058082B">
      <w:pPr>
        <w:pStyle w:val="BodyText"/>
        <w:spacing w:before="60" w:line="360" w:lineRule="auto"/>
        <w:jc w:val="both"/>
        <w:rPr>
          <w:rFonts w:ascii="Arial" w:hAnsi="Arial" w:cs="Arial"/>
          <w:sz w:val="20"/>
          <w:szCs w:val="20"/>
        </w:rPr>
      </w:pPr>
      <w:r w:rsidRPr="0058082B">
        <w:rPr>
          <w:rFonts w:ascii="Arial" w:hAnsi="Arial" w:cs="Arial"/>
          <w:sz w:val="20"/>
          <w:szCs w:val="20"/>
        </w:rPr>
        <w:t>Zone A, on the other hand, has small areas with community-driven adaptation measures like wooden revetments, sandbag barriers, and planted mangrove buffer strips, even though it is undergoing moderate erosion. Even though they are unofficial, these nature-based solutions show how indigenous knowledge can help protect shorelines and could account for some transects in that area having comparatively lower rates of erosion.</w:t>
      </w:r>
    </w:p>
    <w:p w14:paraId="66BBAA87" w14:textId="77777777" w:rsidR="0058082B" w:rsidRPr="0058082B" w:rsidRDefault="0058082B" w:rsidP="0058082B">
      <w:pPr>
        <w:pStyle w:val="BodyText"/>
        <w:spacing w:before="60" w:line="360" w:lineRule="auto"/>
        <w:jc w:val="both"/>
        <w:rPr>
          <w:rFonts w:ascii="Arial" w:hAnsi="Arial" w:cs="Arial"/>
          <w:sz w:val="20"/>
          <w:szCs w:val="20"/>
        </w:rPr>
      </w:pPr>
      <w:r w:rsidRPr="0058082B">
        <w:rPr>
          <w:rFonts w:ascii="Arial" w:hAnsi="Arial" w:cs="Arial"/>
          <w:sz w:val="20"/>
          <w:szCs w:val="20"/>
        </w:rPr>
        <w:t>Zone C includes portions of the coast with government-initiated interventions, like concrete embankments and elevated walkways along the waterfront settlements, even though it is also undergoing erosion. Some transects show a discernible slowdown in shoreline retreat between 2015 and 2020, which is consistent with the implementation of these structural measures between 2012 and 2015. This suggests that the interventions have temporarily buffered against wave-induced erosion. However, a number of areas close to these protected areas are still at risk because of poor maintenance and sparse coverage.</w:t>
      </w:r>
    </w:p>
    <w:p w14:paraId="2711D412" w14:textId="77777777" w:rsidR="0013544B" w:rsidRDefault="0013544B" w:rsidP="00F83B04">
      <w:pPr>
        <w:pStyle w:val="Heading2"/>
        <w:keepNext w:val="0"/>
        <w:keepLines w:val="0"/>
        <w:widowControl w:val="0"/>
        <w:tabs>
          <w:tab w:val="left" w:pos="840"/>
        </w:tabs>
        <w:autoSpaceDE w:val="0"/>
        <w:autoSpaceDN w:val="0"/>
        <w:spacing w:before="60" w:after="0" w:line="360" w:lineRule="auto"/>
        <w:ind w:left="0" w:right="853" w:firstLine="0"/>
        <w:jc w:val="both"/>
        <w:rPr>
          <w:rFonts w:ascii="Arial" w:eastAsia="Times New Roman" w:hAnsi="Arial" w:cs="Arial"/>
          <w:b w:val="0"/>
          <w:sz w:val="20"/>
          <w:szCs w:val="20"/>
          <w:lang w:eastAsia="en-US"/>
        </w:rPr>
      </w:pPr>
      <w:bookmarkStart w:id="8" w:name="_Toc169185825"/>
      <w:r w:rsidRPr="0013544B">
        <w:rPr>
          <w:rFonts w:ascii="Arial" w:eastAsia="Times New Roman" w:hAnsi="Arial" w:cs="Arial"/>
          <w:b w:val="0"/>
          <w:sz w:val="20"/>
          <w:szCs w:val="20"/>
          <w:lang w:eastAsia="en-US"/>
        </w:rPr>
        <w:t xml:space="preserve">Over 75% of the coastline is still exposed overall, especially in areas lacking natural buffers or adaptive infrastructure. This necessitates a focused approach to shoreline management, giving high-erosion </w:t>
      </w:r>
      <w:r w:rsidRPr="0013544B">
        <w:rPr>
          <w:rFonts w:ascii="Arial" w:eastAsia="Times New Roman" w:hAnsi="Arial" w:cs="Arial"/>
          <w:b w:val="0"/>
          <w:sz w:val="20"/>
          <w:szCs w:val="20"/>
          <w:lang w:eastAsia="en-US"/>
        </w:rPr>
        <w:lastRenderedPageBreak/>
        <w:t>transects in Zones B and portions of C priority, where immediate action is required to save ecosystems, infrastructure, and livelihoods.</w:t>
      </w:r>
    </w:p>
    <w:p w14:paraId="4073DCEC" w14:textId="591C2059" w:rsidR="004E73AB" w:rsidRPr="005E1DF6" w:rsidRDefault="006E34BD" w:rsidP="00F83B04">
      <w:pPr>
        <w:pStyle w:val="Heading2"/>
        <w:keepNext w:val="0"/>
        <w:keepLines w:val="0"/>
        <w:widowControl w:val="0"/>
        <w:tabs>
          <w:tab w:val="left" w:pos="840"/>
        </w:tabs>
        <w:autoSpaceDE w:val="0"/>
        <w:autoSpaceDN w:val="0"/>
        <w:spacing w:before="60" w:after="0" w:line="360" w:lineRule="auto"/>
        <w:ind w:left="0" w:right="853" w:firstLine="0"/>
        <w:jc w:val="both"/>
        <w:rPr>
          <w:rFonts w:ascii="Arial" w:hAnsi="Arial" w:cs="Arial"/>
          <w:sz w:val="20"/>
          <w:szCs w:val="20"/>
        </w:rPr>
      </w:pPr>
      <w:r w:rsidRPr="006E34BD">
        <w:rPr>
          <w:rFonts w:ascii="Arial" w:hAnsi="Arial" w:cs="Arial"/>
          <w:sz w:val="22"/>
          <w:szCs w:val="22"/>
        </w:rPr>
        <w:t xml:space="preserve">3.2 </w:t>
      </w:r>
      <w:r w:rsidR="004E73AB" w:rsidRPr="006E34BD">
        <w:rPr>
          <w:rFonts w:ascii="Arial" w:hAnsi="Arial" w:cs="Arial"/>
          <w:sz w:val="22"/>
          <w:szCs w:val="22"/>
        </w:rPr>
        <w:t>Comparative</w:t>
      </w:r>
      <w:r w:rsidR="004E73AB" w:rsidRPr="006E34BD">
        <w:rPr>
          <w:rFonts w:ascii="Arial" w:hAnsi="Arial" w:cs="Arial"/>
          <w:spacing w:val="-6"/>
          <w:sz w:val="22"/>
          <w:szCs w:val="22"/>
        </w:rPr>
        <w:t xml:space="preserve"> </w:t>
      </w:r>
      <w:r w:rsidR="004E73AB" w:rsidRPr="006E34BD">
        <w:rPr>
          <w:rFonts w:ascii="Arial" w:hAnsi="Arial" w:cs="Arial"/>
          <w:sz w:val="22"/>
          <w:szCs w:val="22"/>
        </w:rPr>
        <w:t>analysis</w:t>
      </w:r>
      <w:r w:rsidR="004E73AB" w:rsidRPr="006E34BD">
        <w:rPr>
          <w:rFonts w:ascii="Arial" w:hAnsi="Arial" w:cs="Arial"/>
          <w:spacing w:val="-4"/>
          <w:sz w:val="22"/>
          <w:szCs w:val="22"/>
        </w:rPr>
        <w:t xml:space="preserve"> </w:t>
      </w:r>
      <w:r w:rsidR="004E73AB" w:rsidRPr="006E34BD">
        <w:rPr>
          <w:rFonts w:ascii="Arial" w:hAnsi="Arial" w:cs="Arial"/>
          <w:sz w:val="22"/>
          <w:szCs w:val="22"/>
        </w:rPr>
        <w:t>of</w:t>
      </w:r>
      <w:r w:rsidR="004E73AB" w:rsidRPr="006E34BD">
        <w:rPr>
          <w:rFonts w:ascii="Arial" w:hAnsi="Arial" w:cs="Arial"/>
          <w:spacing w:val="-4"/>
          <w:sz w:val="22"/>
          <w:szCs w:val="22"/>
        </w:rPr>
        <w:t xml:space="preserve"> </w:t>
      </w:r>
      <w:r w:rsidR="004E73AB" w:rsidRPr="006E34BD">
        <w:rPr>
          <w:rFonts w:ascii="Arial" w:hAnsi="Arial" w:cs="Arial"/>
          <w:sz w:val="22"/>
          <w:szCs w:val="22"/>
        </w:rPr>
        <w:t>the</w:t>
      </w:r>
      <w:r w:rsidR="004E73AB" w:rsidRPr="006E34BD">
        <w:rPr>
          <w:rFonts w:ascii="Arial" w:hAnsi="Arial" w:cs="Arial"/>
          <w:spacing w:val="-5"/>
          <w:sz w:val="22"/>
          <w:szCs w:val="22"/>
        </w:rPr>
        <w:t xml:space="preserve"> </w:t>
      </w:r>
      <w:r w:rsidR="004E73AB" w:rsidRPr="006E34BD">
        <w:rPr>
          <w:rFonts w:ascii="Arial" w:hAnsi="Arial" w:cs="Arial"/>
          <w:sz w:val="22"/>
          <w:szCs w:val="22"/>
        </w:rPr>
        <w:t>long-term</w:t>
      </w:r>
      <w:r w:rsidR="004E73AB" w:rsidRPr="006E34BD">
        <w:rPr>
          <w:rFonts w:ascii="Arial" w:hAnsi="Arial" w:cs="Arial"/>
          <w:spacing w:val="-3"/>
          <w:sz w:val="22"/>
          <w:szCs w:val="22"/>
        </w:rPr>
        <w:t xml:space="preserve"> </w:t>
      </w:r>
      <w:r w:rsidR="004E73AB" w:rsidRPr="006E34BD">
        <w:rPr>
          <w:rFonts w:ascii="Arial" w:hAnsi="Arial" w:cs="Arial"/>
          <w:sz w:val="22"/>
          <w:szCs w:val="22"/>
        </w:rPr>
        <w:t>shoreline</w:t>
      </w:r>
      <w:r w:rsidR="004E73AB" w:rsidRPr="006E34BD">
        <w:rPr>
          <w:rFonts w:ascii="Arial" w:hAnsi="Arial" w:cs="Arial"/>
          <w:spacing w:val="-5"/>
          <w:sz w:val="22"/>
          <w:szCs w:val="22"/>
        </w:rPr>
        <w:t xml:space="preserve"> </w:t>
      </w:r>
      <w:r w:rsidR="004E73AB" w:rsidRPr="006E34BD">
        <w:rPr>
          <w:rFonts w:ascii="Arial" w:hAnsi="Arial" w:cs="Arial"/>
          <w:sz w:val="22"/>
          <w:szCs w:val="22"/>
        </w:rPr>
        <w:t>changes</w:t>
      </w:r>
      <w:r w:rsidR="004E73AB" w:rsidRPr="006E34BD">
        <w:rPr>
          <w:rFonts w:ascii="Arial" w:hAnsi="Arial" w:cs="Arial"/>
          <w:spacing w:val="-4"/>
          <w:sz w:val="22"/>
          <w:szCs w:val="22"/>
        </w:rPr>
        <w:t xml:space="preserve"> </w:t>
      </w:r>
      <w:r w:rsidR="004E73AB" w:rsidRPr="006E34BD">
        <w:rPr>
          <w:rFonts w:ascii="Arial" w:hAnsi="Arial" w:cs="Arial"/>
          <w:sz w:val="22"/>
          <w:szCs w:val="22"/>
        </w:rPr>
        <w:t>along</w:t>
      </w:r>
      <w:r w:rsidR="004E73AB" w:rsidRPr="006E34BD">
        <w:rPr>
          <w:rFonts w:ascii="Arial" w:hAnsi="Arial" w:cs="Arial"/>
          <w:spacing w:val="-4"/>
          <w:sz w:val="22"/>
          <w:szCs w:val="22"/>
        </w:rPr>
        <w:t xml:space="preserve"> </w:t>
      </w:r>
      <w:r w:rsidR="004E73AB" w:rsidRPr="006E34BD">
        <w:rPr>
          <w:rFonts w:ascii="Arial" w:hAnsi="Arial" w:cs="Arial"/>
          <w:sz w:val="22"/>
          <w:szCs w:val="22"/>
        </w:rPr>
        <w:t>the</w:t>
      </w:r>
      <w:r w:rsidR="004E73AB" w:rsidRPr="006E34BD">
        <w:rPr>
          <w:rFonts w:ascii="Arial" w:hAnsi="Arial" w:cs="Arial"/>
          <w:spacing w:val="-5"/>
          <w:sz w:val="22"/>
          <w:szCs w:val="22"/>
        </w:rPr>
        <w:t xml:space="preserve"> </w:t>
      </w:r>
      <w:r w:rsidR="004E73AB" w:rsidRPr="006E34BD">
        <w:rPr>
          <w:rFonts w:ascii="Arial" w:hAnsi="Arial" w:cs="Arial"/>
          <w:sz w:val="22"/>
          <w:szCs w:val="22"/>
        </w:rPr>
        <w:t>different zones in the</w:t>
      </w:r>
      <w:r w:rsidR="004E73AB" w:rsidRPr="005E1DF6">
        <w:rPr>
          <w:rFonts w:ascii="Arial" w:hAnsi="Arial" w:cs="Arial"/>
          <w:sz w:val="20"/>
          <w:szCs w:val="20"/>
        </w:rPr>
        <w:t xml:space="preserve"> study area</w:t>
      </w:r>
      <w:r w:rsidR="00B8587A" w:rsidRPr="005E1DF6">
        <w:rPr>
          <w:rFonts w:ascii="Arial" w:hAnsi="Arial" w:cs="Arial"/>
          <w:sz w:val="20"/>
          <w:szCs w:val="20"/>
        </w:rPr>
        <w:t xml:space="preserve"> </w:t>
      </w:r>
      <w:r w:rsidR="00B8587A" w:rsidRPr="005E1DF6">
        <w:rPr>
          <w:rFonts w:ascii="Arial" w:hAnsi="Arial" w:cs="Arial"/>
          <w:spacing w:val="-3"/>
          <w:sz w:val="20"/>
          <w:szCs w:val="20"/>
        </w:rPr>
        <w:t>due to sea level rise</w:t>
      </w:r>
      <w:bookmarkEnd w:id="8"/>
    </w:p>
    <w:p w14:paraId="3196D39C" w14:textId="77777777" w:rsidR="0013544B" w:rsidRDefault="0013544B" w:rsidP="003E17D2">
      <w:pPr>
        <w:pStyle w:val="BodyText"/>
        <w:spacing w:line="360" w:lineRule="auto"/>
        <w:ind w:right="30"/>
        <w:jc w:val="both"/>
        <w:rPr>
          <w:rFonts w:ascii="Arial" w:hAnsi="Arial" w:cs="Arial"/>
          <w:sz w:val="20"/>
          <w:szCs w:val="20"/>
        </w:rPr>
      </w:pPr>
      <w:r w:rsidRPr="0013544B">
        <w:rPr>
          <w:rFonts w:ascii="Arial" w:hAnsi="Arial" w:cs="Arial"/>
          <w:sz w:val="20"/>
          <w:szCs w:val="20"/>
        </w:rPr>
        <w:t>Long-term shoreline changes between three zones of the study area were compared using the LRR results obtained from the manually derived shoreline. This made it possible to evaluate the trend analysis relationship as well as the spatial variation in patterns and rates of change between zones. The findings of the comparative analysis are compiled in Table 1.</w:t>
      </w:r>
    </w:p>
    <w:p w14:paraId="4073DCEE" w14:textId="1B0BDFD6" w:rsidR="004E73AB" w:rsidRPr="003E17D2" w:rsidRDefault="004E73AB" w:rsidP="003E17D2">
      <w:pPr>
        <w:pStyle w:val="BodyText"/>
        <w:spacing w:line="360" w:lineRule="auto"/>
        <w:ind w:right="30"/>
        <w:jc w:val="both"/>
        <w:rPr>
          <w:rFonts w:ascii="Arial" w:hAnsi="Arial" w:cs="Arial"/>
          <w:b/>
          <w:sz w:val="20"/>
          <w:szCs w:val="20"/>
        </w:rPr>
      </w:pPr>
      <w:r w:rsidRPr="003E17D2">
        <w:rPr>
          <w:rFonts w:ascii="Arial" w:hAnsi="Arial" w:cs="Arial"/>
          <w:b/>
          <w:sz w:val="20"/>
          <w:szCs w:val="20"/>
        </w:rPr>
        <w:t>Table</w:t>
      </w:r>
      <w:r w:rsidRPr="003E17D2">
        <w:rPr>
          <w:rFonts w:ascii="Arial" w:hAnsi="Arial" w:cs="Arial"/>
          <w:b/>
          <w:spacing w:val="-6"/>
          <w:sz w:val="20"/>
          <w:szCs w:val="20"/>
        </w:rPr>
        <w:t xml:space="preserve"> </w:t>
      </w:r>
      <w:r w:rsidR="006E34BD" w:rsidRPr="003E17D2">
        <w:rPr>
          <w:rFonts w:ascii="Arial" w:hAnsi="Arial" w:cs="Arial"/>
          <w:b/>
          <w:sz w:val="20"/>
          <w:szCs w:val="20"/>
        </w:rPr>
        <w:t>1</w:t>
      </w:r>
      <w:r w:rsidR="003E17D2" w:rsidRPr="003E17D2">
        <w:rPr>
          <w:rFonts w:ascii="Arial" w:hAnsi="Arial" w:cs="Arial"/>
          <w:b/>
          <w:sz w:val="20"/>
          <w:szCs w:val="20"/>
        </w:rPr>
        <w:t>.</w:t>
      </w:r>
      <w:r w:rsidRPr="003E17D2">
        <w:rPr>
          <w:rFonts w:ascii="Arial" w:hAnsi="Arial" w:cs="Arial"/>
          <w:b/>
          <w:spacing w:val="-3"/>
          <w:sz w:val="20"/>
          <w:szCs w:val="20"/>
        </w:rPr>
        <w:t xml:space="preserve"> </w:t>
      </w:r>
      <w:r w:rsidRPr="003E17D2">
        <w:rPr>
          <w:rFonts w:ascii="Arial" w:hAnsi="Arial" w:cs="Arial"/>
          <w:b/>
          <w:sz w:val="20"/>
          <w:szCs w:val="20"/>
        </w:rPr>
        <w:t>Summary</w:t>
      </w:r>
      <w:r w:rsidRPr="003E17D2">
        <w:rPr>
          <w:rFonts w:ascii="Arial" w:hAnsi="Arial" w:cs="Arial"/>
          <w:b/>
          <w:spacing w:val="-3"/>
          <w:sz w:val="20"/>
          <w:szCs w:val="20"/>
        </w:rPr>
        <w:t xml:space="preserve"> </w:t>
      </w:r>
      <w:r w:rsidRPr="003E17D2">
        <w:rPr>
          <w:rFonts w:ascii="Arial" w:hAnsi="Arial" w:cs="Arial"/>
          <w:b/>
          <w:sz w:val="20"/>
          <w:szCs w:val="20"/>
        </w:rPr>
        <w:t>of</w:t>
      </w:r>
      <w:r w:rsidRPr="003E17D2">
        <w:rPr>
          <w:rFonts w:ascii="Arial" w:hAnsi="Arial" w:cs="Arial"/>
          <w:b/>
          <w:spacing w:val="-5"/>
          <w:sz w:val="20"/>
          <w:szCs w:val="20"/>
        </w:rPr>
        <w:t xml:space="preserve"> </w:t>
      </w:r>
      <w:r w:rsidRPr="003E17D2">
        <w:rPr>
          <w:rFonts w:ascii="Arial" w:hAnsi="Arial" w:cs="Arial"/>
          <w:b/>
          <w:sz w:val="20"/>
          <w:szCs w:val="20"/>
        </w:rPr>
        <w:t>the</w:t>
      </w:r>
      <w:r w:rsidRPr="003E17D2">
        <w:rPr>
          <w:rFonts w:ascii="Arial" w:hAnsi="Arial" w:cs="Arial"/>
          <w:b/>
          <w:spacing w:val="-6"/>
          <w:sz w:val="20"/>
          <w:szCs w:val="20"/>
        </w:rPr>
        <w:t xml:space="preserve"> </w:t>
      </w:r>
      <w:r w:rsidRPr="003E17D2">
        <w:rPr>
          <w:rFonts w:ascii="Arial" w:hAnsi="Arial" w:cs="Arial"/>
          <w:b/>
          <w:sz w:val="20"/>
          <w:szCs w:val="20"/>
        </w:rPr>
        <w:t>LLR</w:t>
      </w:r>
      <w:r w:rsidRPr="003E17D2">
        <w:rPr>
          <w:rFonts w:ascii="Arial" w:hAnsi="Arial" w:cs="Arial"/>
          <w:b/>
          <w:spacing w:val="-5"/>
          <w:sz w:val="20"/>
          <w:szCs w:val="20"/>
        </w:rPr>
        <w:t xml:space="preserve"> </w:t>
      </w:r>
      <w:r w:rsidRPr="003E17D2">
        <w:rPr>
          <w:rFonts w:ascii="Arial" w:hAnsi="Arial" w:cs="Arial"/>
          <w:b/>
          <w:sz w:val="20"/>
          <w:szCs w:val="20"/>
        </w:rPr>
        <w:t>results</w:t>
      </w:r>
      <w:r w:rsidRPr="003E17D2">
        <w:rPr>
          <w:rFonts w:ascii="Arial" w:hAnsi="Arial" w:cs="Arial"/>
          <w:b/>
          <w:spacing w:val="-5"/>
          <w:sz w:val="20"/>
          <w:szCs w:val="20"/>
        </w:rPr>
        <w:t xml:space="preserve"> </w:t>
      </w:r>
      <w:r w:rsidRPr="003E17D2">
        <w:rPr>
          <w:rFonts w:ascii="Arial" w:hAnsi="Arial" w:cs="Arial"/>
          <w:b/>
          <w:sz w:val="20"/>
          <w:szCs w:val="20"/>
        </w:rPr>
        <w:t>across</w:t>
      </w:r>
      <w:r w:rsidRPr="003E17D2">
        <w:rPr>
          <w:rFonts w:ascii="Arial" w:hAnsi="Arial" w:cs="Arial"/>
          <w:b/>
          <w:spacing w:val="-5"/>
          <w:sz w:val="20"/>
          <w:szCs w:val="20"/>
        </w:rPr>
        <w:t xml:space="preserve"> </w:t>
      </w:r>
      <w:r w:rsidRPr="003E17D2">
        <w:rPr>
          <w:rFonts w:ascii="Arial" w:hAnsi="Arial" w:cs="Arial"/>
          <w:b/>
          <w:sz w:val="20"/>
          <w:szCs w:val="20"/>
        </w:rPr>
        <w:t>the study</w:t>
      </w:r>
      <w:r w:rsidRPr="003E17D2">
        <w:rPr>
          <w:rFonts w:ascii="Arial" w:hAnsi="Arial" w:cs="Arial"/>
          <w:b/>
          <w:spacing w:val="-3"/>
          <w:sz w:val="20"/>
          <w:szCs w:val="20"/>
        </w:rPr>
        <w:t xml:space="preserve"> </w:t>
      </w:r>
      <w:r w:rsidRPr="003E17D2">
        <w:rPr>
          <w:rFonts w:ascii="Arial" w:hAnsi="Arial" w:cs="Arial"/>
          <w:b/>
          <w:spacing w:val="-4"/>
          <w:sz w:val="20"/>
          <w:szCs w:val="20"/>
        </w:rPr>
        <w:t>area</w:t>
      </w:r>
    </w:p>
    <w:p w14:paraId="4073DCEF" w14:textId="77777777" w:rsidR="004E73AB" w:rsidRPr="005E1DF6" w:rsidRDefault="004E73AB" w:rsidP="00F83B04">
      <w:pPr>
        <w:pStyle w:val="BodyText"/>
        <w:spacing w:before="5" w:after="1" w:line="360" w:lineRule="auto"/>
        <w:jc w:val="both"/>
        <w:rPr>
          <w:rFonts w:ascii="Arial" w:hAnsi="Arial" w:cs="Arial"/>
          <w:sz w:val="20"/>
          <w:szCs w:val="20"/>
        </w:rPr>
      </w:pPr>
    </w:p>
    <w:tbl>
      <w:tblPr>
        <w:tblW w:w="5000" w:type="pct"/>
        <w:tblBorders>
          <w:top w:val="single" w:sz="4" w:space="0" w:color="auto"/>
          <w:bottom w:val="single" w:sz="4" w:space="0" w:color="auto"/>
        </w:tblBorders>
        <w:tblCellMar>
          <w:left w:w="0" w:type="dxa"/>
          <w:right w:w="0" w:type="dxa"/>
        </w:tblCellMar>
        <w:tblLook w:val="01E0" w:firstRow="1" w:lastRow="1" w:firstColumn="1" w:lastColumn="1" w:noHBand="0" w:noVBand="0"/>
      </w:tblPr>
      <w:tblGrid>
        <w:gridCol w:w="1759"/>
        <w:gridCol w:w="1925"/>
        <w:gridCol w:w="2141"/>
        <w:gridCol w:w="1620"/>
        <w:gridCol w:w="2305"/>
      </w:tblGrid>
      <w:tr w:rsidR="004E73AB" w:rsidRPr="005E1DF6" w14:paraId="4073DCF9" w14:textId="77777777" w:rsidTr="00313C9C">
        <w:trPr>
          <w:trHeight w:val="1059"/>
        </w:trPr>
        <w:tc>
          <w:tcPr>
            <w:tcW w:w="902" w:type="pct"/>
            <w:tcBorders>
              <w:bottom w:val="single" w:sz="4" w:space="0" w:color="auto"/>
            </w:tcBorders>
          </w:tcPr>
          <w:p w14:paraId="4073DCF0" w14:textId="77777777" w:rsidR="004E73AB" w:rsidRPr="005E1DF6" w:rsidRDefault="004E73AB" w:rsidP="00F83B04">
            <w:pPr>
              <w:pStyle w:val="TableParagraph"/>
              <w:spacing w:before="38" w:line="360" w:lineRule="auto"/>
              <w:ind w:left="268" w:right="385"/>
              <w:jc w:val="both"/>
              <w:rPr>
                <w:rFonts w:ascii="Arial" w:hAnsi="Arial" w:cs="Arial"/>
                <w:sz w:val="20"/>
                <w:szCs w:val="20"/>
              </w:rPr>
            </w:pPr>
            <w:r w:rsidRPr="005E1DF6">
              <w:rPr>
                <w:rFonts w:ascii="Arial" w:hAnsi="Arial" w:cs="Arial"/>
                <w:spacing w:val="-2"/>
                <w:sz w:val="20"/>
                <w:szCs w:val="20"/>
              </w:rPr>
              <w:t xml:space="preserve">Section </w:t>
            </w:r>
            <w:r w:rsidRPr="005E1DF6">
              <w:rPr>
                <w:rFonts w:ascii="Arial" w:hAnsi="Arial" w:cs="Arial"/>
                <w:sz w:val="20"/>
                <w:szCs w:val="20"/>
              </w:rPr>
              <w:t>of</w:t>
            </w:r>
            <w:r w:rsidRPr="005E1DF6">
              <w:rPr>
                <w:rFonts w:ascii="Arial" w:hAnsi="Arial" w:cs="Arial"/>
                <w:spacing w:val="-1"/>
                <w:sz w:val="20"/>
                <w:szCs w:val="20"/>
              </w:rPr>
              <w:t xml:space="preserve"> </w:t>
            </w:r>
            <w:r w:rsidRPr="005E1DF6">
              <w:rPr>
                <w:rFonts w:ascii="Arial" w:hAnsi="Arial" w:cs="Arial"/>
                <w:spacing w:val="-4"/>
                <w:sz w:val="20"/>
                <w:szCs w:val="20"/>
              </w:rPr>
              <w:t>zone</w:t>
            </w:r>
          </w:p>
        </w:tc>
        <w:tc>
          <w:tcPr>
            <w:tcW w:w="987" w:type="pct"/>
            <w:tcBorders>
              <w:bottom w:val="single" w:sz="4" w:space="0" w:color="auto"/>
            </w:tcBorders>
          </w:tcPr>
          <w:p w14:paraId="4073DCF1" w14:textId="77777777" w:rsidR="004E73AB" w:rsidRPr="005E1DF6" w:rsidRDefault="004E73AB" w:rsidP="00F83B04">
            <w:pPr>
              <w:pStyle w:val="TableParagraph"/>
              <w:spacing w:before="38" w:line="360" w:lineRule="auto"/>
              <w:ind w:left="270" w:right="603"/>
              <w:jc w:val="both"/>
              <w:rPr>
                <w:rFonts w:ascii="Arial" w:hAnsi="Arial" w:cs="Arial"/>
                <w:sz w:val="20"/>
                <w:szCs w:val="20"/>
              </w:rPr>
            </w:pPr>
            <w:r w:rsidRPr="005E1DF6">
              <w:rPr>
                <w:rFonts w:ascii="Arial" w:hAnsi="Arial" w:cs="Arial"/>
                <w:spacing w:val="-2"/>
                <w:sz w:val="20"/>
                <w:szCs w:val="20"/>
              </w:rPr>
              <w:t>Maximum Erosion</w:t>
            </w:r>
          </w:p>
          <w:p w14:paraId="4073DCF2" w14:textId="77777777" w:rsidR="004E73AB" w:rsidRPr="005E1DF6" w:rsidRDefault="004E73AB" w:rsidP="00F83B04">
            <w:pPr>
              <w:pStyle w:val="TableParagraph"/>
              <w:spacing w:before="162" w:line="360" w:lineRule="auto"/>
              <w:ind w:left="270"/>
              <w:jc w:val="both"/>
              <w:rPr>
                <w:rFonts w:ascii="Arial" w:hAnsi="Arial" w:cs="Arial"/>
                <w:sz w:val="20"/>
                <w:szCs w:val="20"/>
              </w:rPr>
            </w:pPr>
            <w:r w:rsidRPr="005E1DF6">
              <w:rPr>
                <w:rFonts w:ascii="Arial" w:hAnsi="Arial" w:cs="Arial"/>
                <w:spacing w:val="-2"/>
                <w:sz w:val="20"/>
                <w:szCs w:val="20"/>
              </w:rPr>
              <w:t>(m/</w:t>
            </w:r>
            <w:proofErr w:type="spellStart"/>
            <w:r w:rsidRPr="005E1DF6">
              <w:rPr>
                <w:rFonts w:ascii="Arial" w:hAnsi="Arial" w:cs="Arial"/>
                <w:spacing w:val="-2"/>
                <w:sz w:val="20"/>
                <w:szCs w:val="20"/>
              </w:rPr>
              <w:t>yr</w:t>
            </w:r>
            <w:proofErr w:type="spellEnd"/>
            <w:r w:rsidRPr="005E1DF6">
              <w:rPr>
                <w:rFonts w:ascii="Arial" w:hAnsi="Arial" w:cs="Arial"/>
                <w:spacing w:val="-2"/>
                <w:sz w:val="20"/>
                <w:szCs w:val="20"/>
              </w:rPr>
              <w:t>)</w:t>
            </w:r>
          </w:p>
        </w:tc>
        <w:tc>
          <w:tcPr>
            <w:tcW w:w="1098" w:type="pct"/>
            <w:tcBorders>
              <w:bottom w:val="single" w:sz="4" w:space="0" w:color="auto"/>
            </w:tcBorders>
          </w:tcPr>
          <w:p w14:paraId="4073DCF3" w14:textId="77777777" w:rsidR="004E73AB" w:rsidRPr="005E1DF6" w:rsidRDefault="004E73AB" w:rsidP="00F83B04">
            <w:pPr>
              <w:pStyle w:val="TableParagraph"/>
              <w:spacing w:before="38" w:line="360" w:lineRule="auto"/>
              <w:ind w:left="268" w:right="799"/>
              <w:jc w:val="both"/>
              <w:rPr>
                <w:rFonts w:ascii="Arial" w:hAnsi="Arial" w:cs="Arial"/>
                <w:sz w:val="20"/>
                <w:szCs w:val="20"/>
              </w:rPr>
            </w:pPr>
            <w:r w:rsidRPr="005E1DF6">
              <w:rPr>
                <w:rFonts w:ascii="Arial" w:hAnsi="Arial" w:cs="Arial"/>
                <w:spacing w:val="-2"/>
                <w:sz w:val="20"/>
                <w:szCs w:val="20"/>
              </w:rPr>
              <w:t>Maximum Accretion</w:t>
            </w:r>
          </w:p>
          <w:p w14:paraId="4073DCF4" w14:textId="77777777" w:rsidR="004E73AB" w:rsidRPr="005E1DF6" w:rsidRDefault="004E73AB" w:rsidP="00F83B04">
            <w:pPr>
              <w:pStyle w:val="TableParagraph"/>
              <w:spacing w:before="162" w:line="360" w:lineRule="auto"/>
              <w:ind w:left="268"/>
              <w:jc w:val="both"/>
              <w:rPr>
                <w:rFonts w:ascii="Arial" w:hAnsi="Arial" w:cs="Arial"/>
                <w:sz w:val="20"/>
                <w:szCs w:val="20"/>
              </w:rPr>
            </w:pPr>
            <w:r w:rsidRPr="005E1DF6">
              <w:rPr>
                <w:rFonts w:ascii="Arial" w:hAnsi="Arial" w:cs="Arial"/>
                <w:spacing w:val="-2"/>
                <w:sz w:val="20"/>
                <w:szCs w:val="20"/>
              </w:rPr>
              <w:t>(m/</w:t>
            </w:r>
            <w:proofErr w:type="spellStart"/>
            <w:r w:rsidRPr="005E1DF6">
              <w:rPr>
                <w:rFonts w:ascii="Arial" w:hAnsi="Arial" w:cs="Arial"/>
                <w:spacing w:val="-2"/>
                <w:sz w:val="20"/>
                <w:szCs w:val="20"/>
              </w:rPr>
              <w:t>yr</w:t>
            </w:r>
            <w:proofErr w:type="spellEnd"/>
            <w:r w:rsidRPr="005E1DF6">
              <w:rPr>
                <w:rFonts w:ascii="Arial" w:hAnsi="Arial" w:cs="Arial"/>
                <w:spacing w:val="-2"/>
                <w:sz w:val="20"/>
                <w:szCs w:val="20"/>
              </w:rPr>
              <w:t>)</w:t>
            </w:r>
          </w:p>
        </w:tc>
        <w:tc>
          <w:tcPr>
            <w:tcW w:w="831" w:type="pct"/>
            <w:tcBorders>
              <w:bottom w:val="single" w:sz="4" w:space="0" w:color="auto"/>
            </w:tcBorders>
          </w:tcPr>
          <w:p w14:paraId="4073DCF5" w14:textId="77777777" w:rsidR="004E73AB" w:rsidRPr="005E1DF6" w:rsidRDefault="004E73AB" w:rsidP="00F83B04">
            <w:pPr>
              <w:pStyle w:val="TableParagraph"/>
              <w:spacing w:before="38" w:line="360" w:lineRule="auto"/>
              <w:ind w:left="269" w:right="486"/>
              <w:jc w:val="both"/>
              <w:rPr>
                <w:rFonts w:ascii="Arial" w:hAnsi="Arial" w:cs="Arial"/>
                <w:sz w:val="20"/>
                <w:szCs w:val="20"/>
              </w:rPr>
            </w:pPr>
            <w:r w:rsidRPr="005E1DF6">
              <w:rPr>
                <w:rFonts w:ascii="Arial" w:hAnsi="Arial" w:cs="Arial"/>
                <w:spacing w:val="-2"/>
                <w:sz w:val="20"/>
                <w:szCs w:val="20"/>
              </w:rPr>
              <w:t xml:space="preserve">Average </w:t>
            </w:r>
            <w:r w:rsidRPr="005E1DF6">
              <w:rPr>
                <w:rFonts w:ascii="Arial" w:hAnsi="Arial" w:cs="Arial"/>
                <w:spacing w:val="-4"/>
                <w:sz w:val="20"/>
                <w:szCs w:val="20"/>
              </w:rPr>
              <w:t>LRR</w:t>
            </w:r>
          </w:p>
          <w:p w14:paraId="4073DCF6" w14:textId="77777777" w:rsidR="004E73AB" w:rsidRPr="005E1DF6" w:rsidRDefault="004E73AB" w:rsidP="00F83B04">
            <w:pPr>
              <w:pStyle w:val="TableParagraph"/>
              <w:spacing w:before="162" w:line="360" w:lineRule="auto"/>
              <w:ind w:left="269"/>
              <w:jc w:val="both"/>
              <w:rPr>
                <w:rFonts w:ascii="Arial" w:hAnsi="Arial" w:cs="Arial"/>
                <w:sz w:val="20"/>
                <w:szCs w:val="20"/>
              </w:rPr>
            </w:pPr>
            <w:r w:rsidRPr="005E1DF6">
              <w:rPr>
                <w:rFonts w:ascii="Arial" w:hAnsi="Arial" w:cs="Arial"/>
                <w:spacing w:val="-2"/>
                <w:sz w:val="20"/>
                <w:szCs w:val="20"/>
              </w:rPr>
              <w:t>(m/</w:t>
            </w:r>
            <w:proofErr w:type="spellStart"/>
            <w:r w:rsidRPr="005E1DF6">
              <w:rPr>
                <w:rFonts w:ascii="Arial" w:hAnsi="Arial" w:cs="Arial"/>
                <w:spacing w:val="-2"/>
                <w:sz w:val="20"/>
                <w:szCs w:val="20"/>
              </w:rPr>
              <w:t>yr</w:t>
            </w:r>
            <w:proofErr w:type="spellEnd"/>
            <w:r w:rsidRPr="005E1DF6">
              <w:rPr>
                <w:rFonts w:ascii="Arial" w:hAnsi="Arial" w:cs="Arial"/>
                <w:spacing w:val="-2"/>
                <w:sz w:val="20"/>
                <w:szCs w:val="20"/>
              </w:rPr>
              <w:t>)</w:t>
            </w:r>
          </w:p>
        </w:tc>
        <w:tc>
          <w:tcPr>
            <w:tcW w:w="1182" w:type="pct"/>
            <w:tcBorders>
              <w:bottom w:val="single" w:sz="4" w:space="0" w:color="auto"/>
            </w:tcBorders>
          </w:tcPr>
          <w:p w14:paraId="4073DCF7" w14:textId="77777777" w:rsidR="004E73AB" w:rsidRPr="005E1DF6" w:rsidRDefault="004E73AB" w:rsidP="00F83B04">
            <w:pPr>
              <w:pStyle w:val="TableParagraph"/>
              <w:spacing w:before="38" w:line="360" w:lineRule="auto"/>
              <w:ind w:left="269" w:right="619"/>
              <w:jc w:val="both"/>
              <w:rPr>
                <w:rFonts w:ascii="Arial" w:hAnsi="Arial" w:cs="Arial"/>
                <w:sz w:val="20"/>
                <w:szCs w:val="20"/>
              </w:rPr>
            </w:pPr>
            <w:r w:rsidRPr="005E1DF6">
              <w:rPr>
                <w:rFonts w:ascii="Arial" w:hAnsi="Arial" w:cs="Arial"/>
                <w:sz w:val="20"/>
                <w:szCs w:val="20"/>
              </w:rPr>
              <w:t>Uncertainty</w:t>
            </w:r>
            <w:r w:rsidRPr="005E1DF6">
              <w:rPr>
                <w:rFonts w:ascii="Arial" w:hAnsi="Arial" w:cs="Arial"/>
                <w:spacing w:val="-13"/>
                <w:sz w:val="20"/>
                <w:szCs w:val="20"/>
              </w:rPr>
              <w:t xml:space="preserve"> </w:t>
            </w:r>
            <w:r w:rsidRPr="005E1DF6">
              <w:rPr>
                <w:rFonts w:ascii="Arial" w:hAnsi="Arial" w:cs="Arial"/>
                <w:sz w:val="20"/>
                <w:szCs w:val="20"/>
              </w:rPr>
              <w:t>of average rate</w:t>
            </w:r>
          </w:p>
          <w:p w14:paraId="4073DCF8" w14:textId="77777777" w:rsidR="004E73AB" w:rsidRPr="005E1DF6" w:rsidRDefault="004E73AB" w:rsidP="00F83B04">
            <w:pPr>
              <w:pStyle w:val="TableParagraph"/>
              <w:spacing w:before="162" w:line="360" w:lineRule="auto"/>
              <w:ind w:left="269"/>
              <w:jc w:val="both"/>
              <w:rPr>
                <w:rFonts w:ascii="Arial" w:hAnsi="Arial" w:cs="Arial"/>
                <w:sz w:val="20"/>
                <w:szCs w:val="20"/>
              </w:rPr>
            </w:pPr>
            <w:r w:rsidRPr="005E1DF6">
              <w:rPr>
                <w:rFonts w:ascii="Arial" w:hAnsi="Arial" w:cs="Arial"/>
                <w:spacing w:val="-2"/>
                <w:sz w:val="20"/>
                <w:szCs w:val="20"/>
              </w:rPr>
              <w:t>(m/</w:t>
            </w:r>
            <w:proofErr w:type="spellStart"/>
            <w:r w:rsidRPr="005E1DF6">
              <w:rPr>
                <w:rFonts w:ascii="Arial" w:hAnsi="Arial" w:cs="Arial"/>
                <w:spacing w:val="-2"/>
                <w:sz w:val="20"/>
                <w:szCs w:val="20"/>
              </w:rPr>
              <w:t>yr</w:t>
            </w:r>
            <w:proofErr w:type="spellEnd"/>
            <w:r w:rsidRPr="005E1DF6">
              <w:rPr>
                <w:rFonts w:ascii="Arial" w:hAnsi="Arial" w:cs="Arial"/>
                <w:spacing w:val="-2"/>
                <w:sz w:val="20"/>
                <w:szCs w:val="20"/>
              </w:rPr>
              <w:t>)</w:t>
            </w:r>
          </w:p>
        </w:tc>
      </w:tr>
      <w:tr w:rsidR="004E73AB" w:rsidRPr="005E1DF6" w14:paraId="4073DCFF" w14:textId="77777777" w:rsidTr="00313C9C">
        <w:trPr>
          <w:trHeight w:val="666"/>
        </w:trPr>
        <w:tc>
          <w:tcPr>
            <w:tcW w:w="902" w:type="pct"/>
            <w:tcBorders>
              <w:top w:val="single" w:sz="4" w:space="0" w:color="auto"/>
              <w:bottom w:val="nil"/>
            </w:tcBorders>
          </w:tcPr>
          <w:p w14:paraId="4073DCFA" w14:textId="77777777" w:rsidR="004E73AB" w:rsidRPr="005E1DF6" w:rsidRDefault="004E73AB" w:rsidP="00F83B04">
            <w:pPr>
              <w:pStyle w:val="TableParagraph"/>
              <w:spacing w:before="38" w:line="360" w:lineRule="auto"/>
              <w:ind w:left="268"/>
              <w:jc w:val="both"/>
              <w:rPr>
                <w:rFonts w:ascii="Arial" w:hAnsi="Arial" w:cs="Arial"/>
                <w:sz w:val="20"/>
                <w:szCs w:val="20"/>
              </w:rPr>
            </w:pPr>
            <w:r w:rsidRPr="005E1DF6">
              <w:rPr>
                <w:rFonts w:ascii="Arial" w:hAnsi="Arial" w:cs="Arial"/>
                <w:spacing w:val="-2"/>
                <w:sz w:val="20"/>
                <w:szCs w:val="20"/>
              </w:rPr>
              <w:t>Entire shoreline</w:t>
            </w:r>
          </w:p>
        </w:tc>
        <w:tc>
          <w:tcPr>
            <w:tcW w:w="987" w:type="pct"/>
            <w:tcBorders>
              <w:top w:val="single" w:sz="4" w:space="0" w:color="auto"/>
              <w:bottom w:val="nil"/>
            </w:tcBorders>
          </w:tcPr>
          <w:p w14:paraId="4073DCFB" w14:textId="77777777" w:rsidR="004E73AB" w:rsidRPr="005E1DF6" w:rsidRDefault="004E73AB" w:rsidP="00F83B04">
            <w:pPr>
              <w:pStyle w:val="TableParagraph"/>
              <w:spacing w:before="38" w:line="360" w:lineRule="auto"/>
              <w:ind w:left="270"/>
              <w:jc w:val="both"/>
              <w:rPr>
                <w:rFonts w:ascii="Arial" w:hAnsi="Arial" w:cs="Arial"/>
                <w:sz w:val="20"/>
                <w:szCs w:val="20"/>
              </w:rPr>
            </w:pPr>
            <w:r w:rsidRPr="005E1DF6">
              <w:rPr>
                <w:rFonts w:ascii="Arial" w:hAnsi="Arial" w:cs="Arial"/>
                <w:spacing w:val="-2"/>
                <w:sz w:val="20"/>
                <w:szCs w:val="20"/>
              </w:rPr>
              <w:t>-</w:t>
            </w:r>
            <w:r w:rsidRPr="005E1DF6">
              <w:rPr>
                <w:rFonts w:ascii="Arial" w:hAnsi="Arial" w:cs="Arial"/>
                <w:spacing w:val="-4"/>
                <w:sz w:val="20"/>
                <w:szCs w:val="20"/>
              </w:rPr>
              <w:t>24.8</w:t>
            </w:r>
          </w:p>
        </w:tc>
        <w:tc>
          <w:tcPr>
            <w:tcW w:w="1098" w:type="pct"/>
            <w:tcBorders>
              <w:top w:val="single" w:sz="4" w:space="0" w:color="auto"/>
              <w:bottom w:val="nil"/>
            </w:tcBorders>
          </w:tcPr>
          <w:p w14:paraId="4073DCFC" w14:textId="77777777" w:rsidR="004E73AB" w:rsidRPr="005E1DF6" w:rsidRDefault="004E73AB" w:rsidP="00F83B04">
            <w:pPr>
              <w:pStyle w:val="TableParagraph"/>
              <w:spacing w:before="38" w:line="360" w:lineRule="auto"/>
              <w:ind w:left="268"/>
              <w:jc w:val="both"/>
              <w:rPr>
                <w:rFonts w:ascii="Arial" w:hAnsi="Arial" w:cs="Arial"/>
                <w:sz w:val="20"/>
                <w:szCs w:val="20"/>
              </w:rPr>
            </w:pPr>
            <w:r w:rsidRPr="005E1DF6">
              <w:rPr>
                <w:rFonts w:ascii="Arial" w:hAnsi="Arial" w:cs="Arial"/>
                <w:spacing w:val="-2"/>
                <w:sz w:val="20"/>
                <w:szCs w:val="20"/>
              </w:rPr>
              <w:t>38.82</w:t>
            </w:r>
          </w:p>
        </w:tc>
        <w:tc>
          <w:tcPr>
            <w:tcW w:w="831" w:type="pct"/>
            <w:tcBorders>
              <w:top w:val="single" w:sz="4" w:space="0" w:color="auto"/>
              <w:bottom w:val="nil"/>
            </w:tcBorders>
          </w:tcPr>
          <w:p w14:paraId="4073DCFD" w14:textId="77777777" w:rsidR="004E73AB" w:rsidRPr="005E1DF6" w:rsidRDefault="004E73AB" w:rsidP="00F83B04">
            <w:pPr>
              <w:pStyle w:val="TableParagraph"/>
              <w:spacing w:before="38" w:line="360" w:lineRule="auto"/>
              <w:ind w:left="269"/>
              <w:jc w:val="both"/>
              <w:rPr>
                <w:rFonts w:ascii="Arial" w:hAnsi="Arial" w:cs="Arial"/>
                <w:sz w:val="20"/>
                <w:szCs w:val="20"/>
              </w:rPr>
            </w:pPr>
            <w:r w:rsidRPr="005E1DF6">
              <w:rPr>
                <w:rFonts w:ascii="Arial" w:hAnsi="Arial" w:cs="Arial"/>
                <w:spacing w:val="-2"/>
                <w:sz w:val="20"/>
                <w:szCs w:val="20"/>
              </w:rPr>
              <w:t>-</w:t>
            </w:r>
            <w:r w:rsidRPr="005E1DF6">
              <w:rPr>
                <w:rFonts w:ascii="Arial" w:hAnsi="Arial" w:cs="Arial"/>
                <w:spacing w:val="-5"/>
                <w:sz w:val="20"/>
                <w:szCs w:val="20"/>
              </w:rPr>
              <w:t>2.7</w:t>
            </w:r>
          </w:p>
        </w:tc>
        <w:tc>
          <w:tcPr>
            <w:tcW w:w="1182" w:type="pct"/>
            <w:tcBorders>
              <w:top w:val="single" w:sz="4" w:space="0" w:color="auto"/>
              <w:bottom w:val="nil"/>
            </w:tcBorders>
          </w:tcPr>
          <w:p w14:paraId="4073DCFE" w14:textId="77777777" w:rsidR="004E73AB" w:rsidRPr="005E1DF6" w:rsidRDefault="004E73AB" w:rsidP="00F83B04">
            <w:pPr>
              <w:pStyle w:val="TableParagraph"/>
              <w:spacing w:before="38" w:line="360" w:lineRule="auto"/>
              <w:ind w:left="269"/>
              <w:jc w:val="both"/>
              <w:rPr>
                <w:rFonts w:ascii="Arial" w:hAnsi="Arial" w:cs="Arial"/>
                <w:sz w:val="20"/>
                <w:szCs w:val="20"/>
              </w:rPr>
            </w:pPr>
            <w:r w:rsidRPr="005E1DF6">
              <w:rPr>
                <w:rFonts w:ascii="Arial" w:hAnsi="Arial" w:cs="Arial"/>
                <w:sz w:val="20"/>
                <w:szCs w:val="20"/>
                <w:u w:val="single"/>
              </w:rPr>
              <w:t>+</w:t>
            </w:r>
            <w:r w:rsidRPr="005E1DF6">
              <w:rPr>
                <w:rFonts w:ascii="Arial" w:hAnsi="Arial" w:cs="Arial"/>
                <w:sz w:val="20"/>
                <w:szCs w:val="20"/>
              </w:rPr>
              <w:t>0.</w:t>
            </w:r>
            <w:r w:rsidRPr="005E1DF6">
              <w:rPr>
                <w:rFonts w:ascii="Arial" w:hAnsi="Arial" w:cs="Arial"/>
                <w:spacing w:val="-2"/>
                <w:sz w:val="20"/>
                <w:szCs w:val="20"/>
              </w:rPr>
              <w:t xml:space="preserve"> </w:t>
            </w:r>
            <w:r w:rsidRPr="005E1DF6">
              <w:rPr>
                <w:rFonts w:ascii="Arial" w:hAnsi="Arial" w:cs="Arial"/>
                <w:spacing w:val="-5"/>
                <w:sz w:val="20"/>
                <w:szCs w:val="20"/>
              </w:rPr>
              <w:t>I8</w:t>
            </w:r>
          </w:p>
        </w:tc>
      </w:tr>
      <w:tr w:rsidR="004E73AB" w:rsidRPr="005E1DF6" w14:paraId="4073DD05" w14:textId="77777777" w:rsidTr="00313C9C">
        <w:trPr>
          <w:trHeight w:val="515"/>
        </w:trPr>
        <w:tc>
          <w:tcPr>
            <w:tcW w:w="902" w:type="pct"/>
            <w:tcBorders>
              <w:top w:val="nil"/>
            </w:tcBorders>
          </w:tcPr>
          <w:p w14:paraId="4073DD00" w14:textId="77777777" w:rsidR="004E73AB" w:rsidRPr="005E1DF6" w:rsidRDefault="004E73AB" w:rsidP="00F83B04">
            <w:pPr>
              <w:pStyle w:val="TableParagraph"/>
              <w:spacing w:before="38" w:line="360" w:lineRule="auto"/>
              <w:ind w:left="268"/>
              <w:jc w:val="both"/>
              <w:rPr>
                <w:rFonts w:ascii="Arial" w:hAnsi="Arial" w:cs="Arial"/>
                <w:sz w:val="20"/>
                <w:szCs w:val="20"/>
              </w:rPr>
            </w:pPr>
            <w:r w:rsidRPr="005E1DF6">
              <w:rPr>
                <w:rFonts w:ascii="Arial" w:hAnsi="Arial" w:cs="Arial"/>
                <w:sz w:val="20"/>
                <w:szCs w:val="20"/>
              </w:rPr>
              <w:t>Zone</w:t>
            </w:r>
            <w:r w:rsidRPr="005E1DF6">
              <w:rPr>
                <w:rFonts w:ascii="Arial" w:hAnsi="Arial" w:cs="Arial"/>
                <w:spacing w:val="-3"/>
                <w:sz w:val="20"/>
                <w:szCs w:val="20"/>
              </w:rPr>
              <w:t xml:space="preserve"> </w:t>
            </w:r>
            <w:r w:rsidRPr="005E1DF6">
              <w:rPr>
                <w:rFonts w:ascii="Arial" w:hAnsi="Arial" w:cs="Arial"/>
                <w:spacing w:val="-10"/>
                <w:sz w:val="20"/>
                <w:szCs w:val="20"/>
              </w:rPr>
              <w:t>A</w:t>
            </w:r>
          </w:p>
        </w:tc>
        <w:tc>
          <w:tcPr>
            <w:tcW w:w="987" w:type="pct"/>
            <w:tcBorders>
              <w:top w:val="nil"/>
            </w:tcBorders>
          </w:tcPr>
          <w:p w14:paraId="4073DD01" w14:textId="77777777" w:rsidR="004E73AB" w:rsidRPr="005E1DF6" w:rsidRDefault="004E73AB" w:rsidP="00F83B04">
            <w:pPr>
              <w:pStyle w:val="TableParagraph"/>
              <w:spacing w:before="38" w:line="360" w:lineRule="auto"/>
              <w:ind w:left="270"/>
              <w:jc w:val="both"/>
              <w:rPr>
                <w:rFonts w:ascii="Arial" w:hAnsi="Arial" w:cs="Arial"/>
                <w:sz w:val="20"/>
                <w:szCs w:val="20"/>
              </w:rPr>
            </w:pPr>
            <w:r w:rsidRPr="005E1DF6">
              <w:rPr>
                <w:rFonts w:ascii="Arial" w:hAnsi="Arial" w:cs="Arial"/>
                <w:spacing w:val="-2"/>
                <w:sz w:val="20"/>
                <w:szCs w:val="20"/>
              </w:rPr>
              <w:t>-</w:t>
            </w:r>
            <w:r w:rsidRPr="005E1DF6">
              <w:rPr>
                <w:rFonts w:ascii="Arial" w:hAnsi="Arial" w:cs="Arial"/>
                <w:spacing w:val="-4"/>
                <w:sz w:val="20"/>
                <w:szCs w:val="20"/>
              </w:rPr>
              <w:t>24.8</w:t>
            </w:r>
          </w:p>
        </w:tc>
        <w:tc>
          <w:tcPr>
            <w:tcW w:w="1098" w:type="pct"/>
            <w:tcBorders>
              <w:top w:val="nil"/>
            </w:tcBorders>
          </w:tcPr>
          <w:p w14:paraId="4073DD02" w14:textId="77777777" w:rsidR="004E73AB" w:rsidRPr="005E1DF6" w:rsidRDefault="004E73AB" w:rsidP="00F83B04">
            <w:pPr>
              <w:pStyle w:val="TableParagraph"/>
              <w:spacing w:before="38" w:line="360" w:lineRule="auto"/>
              <w:ind w:left="268"/>
              <w:jc w:val="both"/>
              <w:rPr>
                <w:rFonts w:ascii="Arial" w:hAnsi="Arial" w:cs="Arial"/>
                <w:sz w:val="20"/>
                <w:szCs w:val="20"/>
              </w:rPr>
            </w:pPr>
            <w:r w:rsidRPr="005E1DF6">
              <w:rPr>
                <w:rFonts w:ascii="Arial" w:hAnsi="Arial" w:cs="Arial"/>
                <w:spacing w:val="-4"/>
                <w:sz w:val="20"/>
                <w:szCs w:val="20"/>
              </w:rPr>
              <w:t>3.09</w:t>
            </w:r>
          </w:p>
        </w:tc>
        <w:tc>
          <w:tcPr>
            <w:tcW w:w="831" w:type="pct"/>
            <w:tcBorders>
              <w:top w:val="nil"/>
            </w:tcBorders>
          </w:tcPr>
          <w:p w14:paraId="4073DD03" w14:textId="77777777" w:rsidR="004E73AB" w:rsidRPr="005E1DF6" w:rsidRDefault="004E73AB" w:rsidP="00F83B04">
            <w:pPr>
              <w:pStyle w:val="TableParagraph"/>
              <w:spacing w:before="38" w:line="360" w:lineRule="auto"/>
              <w:ind w:left="269"/>
              <w:jc w:val="both"/>
              <w:rPr>
                <w:rFonts w:ascii="Arial" w:hAnsi="Arial" w:cs="Arial"/>
                <w:sz w:val="20"/>
                <w:szCs w:val="20"/>
              </w:rPr>
            </w:pPr>
            <w:r w:rsidRPr="005E1DF6">
              <w:rPr>
                <w:rFonts w:ascii="Arial" w:hAnsi="Arial" w:cs="Arial"/>
                <w:spacing w:val="-2"/>
                <w:sz w:val="20"/>
                <w:szCs w:val="20"/>
              </w:rPr>
              <w:t>-</w:t>
            </w:r>
            <w:r w:rsidRPr="005E1DF6">
              <w:rPr>
                <w:rFonts w:ascii="Arial" w:hAnsi="Arial" w:cs="Arial"/>
                <w:spacing w:val="-4"/>
                <w:sz w:val="20"/>
                <w:szCs w:val="20"/>
              </w:rPr>
              <w:t>0.54</w:t>
            </w:r>
          </w:p>
        </w:tc>
        <w:tc>
          <w:tcPr>
            <w:tcW w:w="1182" w:type="pct"/>
            <w:tcBorders>
              <w:top w:val="nil"/>
            </w:tcBorders>
          </w:tcPr>
          <w:p w14:paraId="4073DD04" w14:textId="77777777" w:rsidR="004E73AB" w:rsidRPr="005E1DF6" w:rsidRDefault="004E73AB" w:rsidP="00F83B04">
            <w:pPr>
              <w:pStyle w:val="TableParagraph"/>
              <w:spacing w:before="38" w:line="360" w:lineRule="auto"/>
              <w:ind w:left="269"/>
              <w:jc w:val="both"/>
              <w:rPr>
                <w:rFonts w:ascii="Arial" w:hAnsi="Arial" w:cs="Arial"/>
                <w:sz w:val="20"/>
                <w:szCs w:val="20"/>
              </w:rPr>
            </w:pPr>
            <w:r w:rsidRPr="005E1DF6">
              <w:rPr>
                <w:rFonts w:ascii="Arial" w:hAnsi="Arial" w:cs="Arial"/>
                <w:spacing w:val="-2"/>
                <w:sz w:val="20"/>
                <w:szCs w:val="20"/>
                <w:u w:val="single"/>
              </w:rPr>
              <w:t>+</w:t>
            </w:r>
            <w:r w:rsidRPr="005E1DF6">
              <w:rPr>
                <w:rFonts w:ascii="Arial" w:hAnsi="Arial" w:cs="Arial"/>
                <w:spacing w:val="-2"/>
                <w:sz w:val="20"/>
                <w:szCs w:val="20"/>
              </w:rPr>
              <w:t>0.13</w:t>
            </w:r>
          </w:p>
        </w:tc>
      </w:tr>
      <w:tr w:rsidR="004E73AB" w:rsidRPr="005E1DF6" w14:paraId="4073DD0B" w14:textId="77777777" w:rsidTr="00313C9C">
        <w:trPr>
          <w:trHeight w:val="547"/>
        </w:trPr>
        <w:tc>
          <w:tcPr>
            <w:tcW w:w="902" w:type="pct"/>
          </w:tcPr>
          <w:p w14:paraId="4073DD06" w14:textId="77777777" w:rsidR="004E73AB" w:rsidRPr="005E1DF6" w:rsidRDefault="004E73AB" w:rsidP="00F83B04">
            <w:pPr>
              <w:pStyle w:val="TableParagraph"/>
              <w:spacing w:before="38" w:line="360" w:lineRule="auto"/>
              <w:ind w:left="268"/>
              <w:jc w:val="both"/>
              <w:rPr>
                <w:rFonts w:ascii="Arial" w:hAnsi="Arial" w:cs="Arial"/>
                <w:sz w:val="20"/>
                <w:szCs w:val="20"/>
              </w:rPr>
            </w:pPr>
            <w:r w:rsidRPr="005E1DF6">
              <w:rPr>
                <w:rFonts w:ascii="Arial" w:hAnsi="Arial" w:cs="Arial"/>
                <w:sz w:val="20"/>
                <w:szCs w:val="20"/>
              </w:rPr>
              <w:t>Zone</w:t>
            </w:r>
            <w:r w:rsidRPr="005E1DF6">
              <w:rPr>
                <w:rFonts w:ascii="Arial" w:hAnsi="Arial" w:cs="Arial"/>
                <w:spacing w:val="-3"/>
                <w:sz w:val="20"/>
                <w:szCs w:val="20"/>
              </w:rPr>
              <w:t xml:space="preserve"> </w:t>
            </w:r>
            <w:r w:rsidRPr="005E1DF6">
              <w:rPr>
                <w:rFonts w:ascii="Arial" w:hAnsi="Arial" w:cs="Arial"/>
                <w:spacing w:val="-10"/>
                <w:sz w:val="20"/>
                <w:szCs w:val="20"/>
              </w:rPr>
              <w:t>B</w:t>
            </w:r>
          </w:p>
        </w:tc>
        <w:tc>
          <w:tcPr>
            <w:tcW w:w="987" w:type="pct"/>
          </w:tcPr>
          <w:p w14:paraId="4073DD07" w14:textId="77777777" w:rsidR="004E73AB" w:rsidRPr="005E1DF6" w:rsidRDefault="004E73AB" w:rsidP="00F83B04">
            <w:pPr>
              <w:pStyle w:val="TableParagraph"/>
              <w:spacing w:before="38" w:line="360" w:lineRule="auto"/>
              <w:ind w:left="270"/>
              <w:jc w:val="both"/>
              <w:rPr>
                <w:rFonts w:ascii="Arial" w:hAnsi="Arial" w:cs="Arial"/>
                <w:sz w:val="20"/>
                <w:szCs w:val="20"/>
              </w:rPr>
            </w:pPr>
            <w:r w:rsidRPr="005E1DF6">
              <w:rPr>
                <w:rFonts w:ascii="Arial" w:hAnsi="Arial" w:cs="Arial"/>
                <w:spacing w:val="-2"/>
                <w:sz w:val="20"/>
                <w:szCs w:val="20"/>
              </w:rPr>
              <w:t>-</w:t>
            </w:r>
            <w:r w:rsidRPr="005E1DF6">
              <w:rPr>
                <w:rFonts w:ascii="Arial" w:hAnsi="Arial" w:cs="Arial"/>
                <w:spacing w:val="-4"/>
                <w:sz w:val="20"/>
                <w:szCs w:val="20"/>
              </w:rPr>
              <w:t>24.7</w:t>
            </w:r>
          </w:p>
        </w:tc>
        <w:tc>
          <w:tcPr>
            <w:tcW w:w="1098" w:type="pct"/>
          </w:tcPr>
          <w:p w14:paraId="4073DD08" w14:textId="77777777" w:rsidR="004E73AB" w:rsidRPr="005E1DF6" w:rsidRDefault="004E73AB" w:rsidP="00F83B04">
            <w:pPr>
              <w:pStyle w:val="TableParagraph"/>
              <w:spacing w:before="38" w:line="360" w:lineRule="auto"/>
              <w:ind w:left="268"/>
              <w:jc w:val="both"/>
              <w:rPr>
                <w:rFonts w:ascii="Arial" w:hAnsi="Arial" w:cs="Arial"/>
                <w:sz w:val="20"/>
                <w:szCs w:val="20"/>
              </w:rPr>
            </w:pPr>
            <w:r w:rsidRPr="005E1DF6">
              <w:rPr>
                <w:rFonts w:ascii="Arial" w:hAnsi="Arial" w:cs="Arial"/>
                <w:spacing w:val="-2"/>
                <w:sz w:val="20"/>
                <w:szCs w:val="20"/>
              </w:rPr>
              <w:t>38.82</w:t>
            </w:r>
          </w:p>
        </w:tc>
        <w:tc>
          <w:tcPr>
            <w:tcW w:w="831" w:type="pct"/>
          </w:tcPr>
          <w:p w14:paraId="4073DD09" w14:textId="77777777" w:rsidR="004E73AB" w:rsidRPr="005E1DF6" w:rsidRDefault="004E73AB" w:rsidP="00F83B04">
            <w:pPr>
              <w:pStyle w:val="TableParagraph"/>
              <w:spacing w:before="38" w:line="360" w:lineRule="auto"/>
              <w:ind w:left="269"/>
              <w:jc w:val="both"/>
              <w:rPr>
                <w:rFonts w:ascii="Arial" w:hAnsi="Arial" w:cs="Arial"/>
                <w:sz w:val="20"/>
                <w:szCs w:val="20"/>
              </w:rPr>
            </w:pPr>
            <w:r w:rsidRPr="005E1DF6">
              <w:rPr>
                <w:rFonts w:ascii="Arial" w:hAnsi="Arial" w:cs="Arial"/>
                <w:spacing w:val="-2"/>
                <w:sz w:val="20"/>
                <w:szCs w:val="20"/>
              </w:rPr>
              <w:t>-</w:t>
            </w:r>
            <w:r w:rsidRPr="005E1DF6">
              <w:rPr>
                <w:rFonts w:ascii="Arial" w:hAnsi="Arial" w:cs="Arial"/>
                <w:spacing w:val="-4"/>
                <w:sz w:val="20"/>
                <w:szCs w:val="20"/>
              </w:rPr>
              <w:t>4.46</w:t>
            </w:r>
          </w:p>
        </w:tc>
        <w:tc>
          <w:tcPr>
            <w:tcW w:w="1182" w:type="pct"/>
          </w:tcPr>
          <w:p w14:paraId="4073DD0A" w14:textId="77777777" w:rsidR="004E73AB" w:rsidRPr="005E1DF6" w:rsidRDefault="004E73AB" w:rsidP="00F83B04">
            <w:pPr>
              <w:pStyle w:val="TableParagraph"/>
              <w:spacing w:before="38" w:line="360" w:lineRule="auto"/>
              <w:ind w:left="269"/>
              <w:jc w:val="both"/>
              <w:rPr>
                <w:rFonts w:ascii="Arial" w:hAnsi="Arial" w:cs="Arial"/>
                <w:sz w:val="20"/>
                <w:szCs w:val="20"/>
              </w:rPr>
            </w:pPr>
            <w:r w:rsidRPr="005E1DF6">
              <w:rPr>
                <w:rFonts w:ascii="Arial" w:hAnsi="Arial" w:cs="Arial"/>
                <w:spacing w:val="-2"/>
                <w:sz w:val="20"/>
                <w:szCs w:val="20"/>
                <w:u w:val="single"/>
              </w:rPr>
              <w:t>+</w:t>
            </w:r>
            <w:r w:rsidRPr="005E1DF6">
              <w:rPr>
                <w:rFonts w:ascii="Arial" w:hAnsi="Arial" w:cs="Arial"/>
                <w:spacing w:val="-2"/>
                <w:sz w:val="20"/>
                <w:szCs w:val="20"/>
              </w:rPr>
              <w:t>0.34</w:t>
            </w:r>
          </w:p>
        </w:tc>
      </w:tr>
      <w:tr w:rsidR="004E73AB" w:rsidRPr="005E1DF6" w14:paraId="4073DD11" w14:textId="77777777" w:rsidTr="00313C9C">
        <w:trPr>
          <w:trHeight w:val="469"/>
        </w:trPr>
        <w:tc>
          <w:tcPr>
            <w:tcW w:w="902" w:type="pct"/>
          </w:tcPr>
          <w:p w14:paraId="4073DD0C" w14:textId="77777777" w:rsidR="004E73AB" w:rsidRPr="005E1DF6" w:rsidRDefault="004E73AB" w:rsidP="00F83B04">
            <w:pPr>
              <w:pStyle w:val="TableParagraph"/>
              <w:spacing w:before="41" w:line="360" w:lineRule="auto"/>
              <w:ind w:left="268"/>
              <w:jc w:val="both"/>
              <w:rPr>
                <w:rFonts w:ascii="Arial" w:hAnsi="Arial" w:cs="Arial"/>
                <w:sz w:val="20"/>
                <w:szCs w:val="20"/>
              </w:rPr>
            </w:pPr>
            <w:r w:rsidRPr="005E1DF6">
              <w:rPr>
                <w:rFonts w:ascii="Arial" w:hAnsi="Arial" w:cs="Arial"/>
                <w:sz w:val="20"/>
                <w:szCs w:val="20"/>
              </w:rPr>
              <w:t>Zone</w:t>
            </w:r>
            <w:r w:rsidRPr="005E1DF6">
              <w:rPr>
                <w:rFonts w:ascii="Arial" w:hAnsi="Arial" w:cs="Arial"/>
                <w:spacing w:val="-3"/>
                <w:sz w:val="20"/>
                <w:szCs w:val="20"/>
              </w:rPr>
              <w:t xml:space="preserve"> </w:t>
            </w:r>
            <w:r w:rsidRPr="005E1DF6">
              <w:rPr>
                <w:rFonts w:ascii="Arial" w:hAnsi="Arial" w:cs="Arial"/>
                <w:spacing w:val="-10"/>
                <w:sz w:val="20"/>
                <w:szCs w:val="20"/>
              </w:rPr>
              <w:t>C</w:t>
            </w:r>
          </w:p>
        </w:tc>
        <w:tc>
          <w:tcPr>
            <w:tcW w:w="987" w:type="pct"/>
          </w:tcPr>
          <w:p w14:paraId="4073DD0D" w14:textId="77777777" w:rsidR="004E73AB" w:rsidRPr="005E1DF6" w:rsidRDefault="004E73AB" w:rsidP="00F83B04">
            <w:pPr>
              <w:pStyle w:val="TableParagraph"/>
              <w:spacing w:before="41" w:line="360" w:lineRule="auto"/>
              <w:ind w:left="270"/>
              <w:jc w:val="both"/>
              <w:rPr>
                <w:rFonts w:ascii="Arial" w:hAnsi="Arial" w:cs="Arial"/>
                <w:sz w:val="20"/>
                <w:szCs w:val="20"/>
              </w:rPr>
            </w:pPr>
            <w:r w:rsidRPr="005E1DF6">
              <w:rPr>
                <w:rFonts w:ascii="Arial" w:hAnsi="Arial" w:cs="Arial"/>
                <w:spacing w:val="-2"/>
                <w:sz w:val="20"/>
                <w:szCs w:val="20"/>
              </w:rPr>
              <w:t>-14.86</w:t>
            </w:r>
          </w:p>
        </w:tc>
        <w:tc>
          <w:tcPr>
            <w:tcW w:w="1098" w:type="pct"/>
          </w:tcPr>
          <w:p w14:paraId="4073DD0E" w14:textId="77777777" w:rsidR="004E73AB" w:rsidRPr="005E1DF6" w:rsidRDefault="004E73AB" w:rsidP="00F83B04">
            <w:pPr>
              <w:pStyle w:val="TableParagraph"/>
              <w:spacing w:before="41" w:line="360" w:lineRule="auto"/>
              <w:ind w:left="268"/>
              <w:jc w:val="both"/>
              <w:rPr>
                <w:rFonts w:ascii="Arial" w:hAnsi="Arial" w:cs="Arial"/>
                <w:sz w:val="20"/>
                <w:szCs w:val="20"/>
              </w:rPr>
            </w:pPr>
            <w:r w:rsidRPr="005E1DF6">
              <w:rPr>
                <w:rFonts w:ascii="Arial" w:hAnsi="Arial" w:cs="Arial"/>
                <w:spacing w:val="-2"/>
                <w:sz w:val="20"/>
                <w:szCs w:val="20"/>
              </w:rPr>
              <w:t>14.85</w:t>
            </w:r>
          </w:p>
        </w:tc>
        <w:tc>
          <w:tcPr>
            <w:tcW w:w="831" w:type="pct"/>
          </w:tcPr>
          <w:p w14:paraId="4073DD0F" w14:textId="77777777" w:rsidR="004E73AB" w:rsidRPr="005E1DF6" w:rsidRDefault="004E73AB" w:rsidP="00F83B04">
            <w:pPr>
              <w:pStyle w:val="TableParagraph"/>
              <w:spacing w:before="41" w:line="360" w:lineRule="auto"/>
              <w:ind w:left="269"/>
              <w:jc w:val="both"/>
              <w:rPr>
                <w:rFonts w:ascii="Arial" w:hAnsi="Arial" w:cs="Arial"/>
                <w:sz w:val="20"/>
                <w:szCs w:val="20"/>
              </w:rPr>
            </w:pPr>
            <w:r w:rsidRPr="005E1DF6">
              <w:rPr>
                <w:rFonts w:ascii="Arial" w:hAnsi="Arial" w:cs="Arial"/>
                <w:spacing w:val="-2"/>
                <w:sz w:val="20"/>
                <w:szCs w:val="20"/>
              </w:rPr>
              <w:t>-</w:t>
            </w:r>
            <w:r w:rsidRPr="005E1DF6">
              <w:rPr>
                <w:rFonts w:ascii="Arial" w:hAnsi="Arial" w:cs="Arial"/>
                <w:spacing w:val="-4"/>
                <w:sz w:val="20"/>
                <w:szCs w:val="20"/>
              </w:rPr>
              <w:t>2.44</w:t>
            </w:r>
          </w:p>
        </w:tc>
        <w:tc>
          <w:tcPr>
            <w:tcW w:w="1182" w:type="pct"/>
          </w:tcPr>
          <w:p w14:paraId="4073DD10" w14:textId="77777777" w:rsidR="004E73AB" w:rsidRPr="005E1DF6" w:rsidRDefault="004E73AB" w:rsidP="00F83B04">
            <w:pPr>
              <w:pStyle w:val="TableParagraph"/>
              <w:spacing w:before="41" w:line="360" w:lineRule="auto"/>
              <w:ind w:left="269"/>
              <w:jc w:val="both"/>
              <w:rPr>
                <w:rFonts w:ascii="Arial" w:hAnsi="Arial" w:cs="Arial"/>
                <w:sz w:val="20"/>
                <w:szCs w:val="20"/>
              </w:rPr>
            </w:pPr>
            <w:r w:rsidRPr="005E1DF6">
              <w:rPr>
                <w:rFonts w:ascii="Arial" w:hAnsi="Arial" w:cs="Arial"/>
                <w:spacing w:val="-2"/>
                <w:sz w:val="20"/>
                <w:szCs w:val="20"/>
                <w:u w:val="single"/>
              </w:rPr>
              <w:t>+</w:t>
            </w:r>
            <w:r w:rsidRPr="005E1DF6">
              <w:rPr>
                <w:rFonts w:ascii="Arial" w:hAnsi="Arial" w:cs="Arial"/>
                <w:spacing w:val="-2"/>
                <w:sz w:val="20"/>
                <w:szCs w:val="20"/>
              </w:rPr>
              <w:t>0.99</w:t>
            </w:r>
          </w:p>
        </w:tc>
      </w:tr>
    </w:tbl>
    <w:p w14:paraId="4073DD12" w14:textId="77777777" w:rsidR="004E73AB" w:rsidRPr="005E1DF6" w:rsidRDefault="004E73AB" w:rsidP="00F83B04">
      <w:pPr>
        <w:pStyle w:val="BodyText"/>
        <w:spacing w:line="360" w:lineRule="auto"/>
        <w:jc w:val="both"/>
        <w:rPr>
          <w:rFonts w:ascii="Arial" w:hAnsi="Arial" w:cs="Arial"/>
          <w:sz w:val="20"/>
          <w:szCs w:val="20"/>
        </w:rPr>
      </w:pPr>
    </w:p>
    <w:p w14:paraId="245A909F" w14:textId="77777777" w:rsidR="0013544B" w:rsidRDefault="0013544B" w:rsidP="0013544B">
      <w:pPr>
        <w:pStyle w:val="BodyText"/>
        <w:spacing w:before="1" w:line="360" w:lineRule="auto"/>
        <w:ind w:left="120" w:right="129"/>
        <w:jc w:val="both"/>
        <w:rPr>
          <w:rFonts w:ascii="Arial" w:hAnsi="Arial" w:cs="Arial"/>
          <w:sz w:val="20"/>
          <w:szCs w:val="20"/>
        </w:rPr>
      </w:pPr>
      <w:r w:rsidRPr="0013544B">
        <w:rPr>
          <w:rFonts w:ascii="Arial" w:hAnsi="Arial" w:cs="Arial"/>
          <w:sz w:val="20"/>
          <w:szCs w:val="20"/>
        </w:rPr>
        <w:t>In zone A, shoreline changes were analyzed using 88 transects, of which 48.48% (42 transects) showed accretion and 51.52% (46 transects) showed erosion. While 14.97% of the erosional transects displayed significant accretion, only 33.12% displayed significant erosion. Any transects with a magnitude larger than the uncertainty (plus/minus the confidence interval value) are considered to have significant erosion or accretion in the DSAS. From 1984 to 2020, the maximum landward movement (erosion) observed in the zone was -24.8m/</w:t>
      </w:r>
      <w:proofErr w:type="spellStart"/>
      <w:r w:rsidRPr="0013544B">
        <w:rPr>
          <w:rFonts w:ascii="Arial" w:hAnsi="Arial" w:cs="Arial"/>
          <w:sz w:val="20"/>
          <w:szCs w:val="20"/>
        </w:rPr>
        <w:t>yr</w:t>
      </w:r>
      <w:proofErr w:type="spellEnd"/>
      <w:r w:rsidRPr="0013544B">
        <w:rPr>
          <w:rFonts w:ascii="Arial" w:hAnsi="Arial" w:cs="Arial"/>
          <w:sz w:val="20"/>
          <w:szCs w:val="20"/>
        </w:rPr>
        <w:t xml:space="preserve"> with an average of - 1.91+0.13m/</w:t>
      </w:r>
      <w:proofErr w:type="spellStart"/>
      <w:r w:rsidRPr="0013544B">
        <w:rPr>
          <w:rFonts w:ascii="Arial" w:hAnsi="Arial" w:cs="Arial"/>
          <w:sz w:val="20"/>
          <w:szCs w:val="20"/>
        </w:rPr>
        <w:t>yr</w:t>
      </w:r>
      <w:proofErr w:type="spellEnd"/>
      <w:r w:rsidRPr="0013544B">
        <w:rPr>
          <w:rFonts w:ascii="Arial" w:hAnsi="Arial" w:cs="Arial"/>
          <w:sz w:val="20"/>
          <w:szCs w:val="20"/>
        </w:rPr>
        <w:t>, while the maximum seaward movement (accretion) was 3.09m/</w:t>
      </w:r>
      <w:proofErr w:type="spellStart"/>
      <w:r w:rsidRPr="0013544B">
        <w:rPr>
          <w:rFonts w:ascii="Arial" w:hAnsi="Arial" w:cs="Arial"/>
          <w:sz w:val="20"/>
          <w:szCs w:val="20"/>
        </w:rPr>
        <w:t>yr</w:t>
      </w:r>
      <w:proofErr w:type="spellEnd"/>
      <w:r w:rsidRPr="0013544B">
        <w:rPr>
          <w:rFonts w:ascii="Arial" w:hAnsi="Arial" w:cs="Arial"/>
          <w:sz w:val="20"/>
          <w:szCs w:val="20"/>
        </w:rPr>
        <w:t xml:space="preserve"> with an average of 0.91+0.13m/yr.</w:t>
      </w:r>
      <w:r>
        <w:rPr>
          <w:rFonts w:ascii="Arial" w:hAnsi="Arial" w:cs="Arial"/>
          <w:sz w:val="20"/>
          <w:szCs w:val="20"/>
        </w:rPr>
        <w:t xml:space="preserve"> </w:t>
      </w:r>
      <w:r w:rsidRPr="0013544B">
        <w:rPr>
          <w:rFonts w:ascii="Arial" w:hAnsi="Arial" w:cs="Arial"/>
          <w:sz w:val="20"/>
          <w:szCs w:val="20"/>
        </w:rPr>
        <w:t>The region is eroding, albeit slowly, according to the overall average LRR of -0.54+0.13m/yr. In zone B, shoreline changes were analyzed using 79 transects in total; 91.1% (63 transects) showed erosion, and 8.9% (16 transects) showed accretion. 4.91% of the erosional transects showed significant accretion, and 77.02% showed significant erosion. The zone's maximum seaward movement (accretion) was 38.82 m/</w:t>
      </w:r>
      <w:proofErr w:type="spellStart"/>
      <w:r w:rsidRPr="0013544B">
        <w:rPr>
          <w:rFonts w:ascii="Arial" w:hAnsi="Arial" w:cs="Arial"/>
          <w:sz w:val="20"/>
          <w:szCs w:val="20"/>
        </w:rPr>
        <w:t>yr</w:t>
      </w:r>
      <w:proofErr w:type="spellEnd"/>
      <w:r w:rsidRPr="0013544B">
        <w:rPr>
          <w:rFonts w:ascii="Arial" w:hAnsi="Arial" w:cs="Arial"/>
          <w:sz w:val="20"/>
          <w:szCs w:val="20"/>
        </w:rPr>
        <w:t xml:space="preserve"> with an average of 3.44 + 0.34 m/</w:t>
      </w:r>
      <w:proofErr w:type="spellStart"/>
      <w:r w:rsidRPr="0013544B">
        <w:rPr>
          <w:rFonts w:ascii="Arial" w:hAnsi="Arial" w:cs="Arial"/>
          <w:sz w:val="20"/>
          <w:szCs w:val="20"/>
        </w:rPr>
        <w:t>yr</w:t>
      </w:r>
      <w:proofErr w:type="spellEnd"/>
      <w:r w:rsidRPr="0013544B">
        <w:rPr>
          <w:rFonts w:ascii="Arial" w:hAnsi="Arial" w:cs="Arial"/>
          <w:sz w:val="20"/>
          <w:szCs w:val="20"/>
        </w:rPr>
        <w:t>, while the maximum landward movement (erosion) was -24.7 m/</w:t>
      </w:r>
      <w:proofErr w:type="spellStart"/>
      <w:r w:rsidRPr="0013544B">
        <w:rPr>
          <w:rFonts w:ascii="Arial" w:hAnsi="Arial" w:cs="Arial"/>
          <w:sz w:val="20"/>
          <w:szCs w:val="20"/>
        </w:rPr>
        <w:t>yr</w:t>
      </w:r>
      <w:proofErr w:type="spellEnd"/>
      <w:r w:rsidRPr="0013544B">
        <w:rPr>
          <w:rFonts w:ascii="Arial" w:hAnsi="Arial" w:cs="Arial"/>
          <w:sz w:val="20"/>
          <w:szCs w:val="20"/>
        </w:rPr>
        <w:t xml:space="preserve"> with an average of -4.46 + 0.34 m/</w:t>
      </w:r>
      <w:proofErr w:type="spellStart"/>
      <w:r w:rsidRPr="0013544B">
        <w:rPr>
          <w:rFonts w:ascii="Arial" w:hAnsi="Arial" w:cs="Arial"/>
          <w:sz w:val="20"/>
          <w:szCs w:val="20"/>
        </w:rPr>
        <w:t>yr</w:t>
      </w:r>
      <w:proofErr w:type="spellEnd"/>
      <w:r w:rsidRPr="0013544B">
        <w:rPr>
          <w:rFonts w:ascii="Arial" w:hAnsi="Arial" w:cs="Arial"/>
          <w:sz w:val="20"/>
          <w:szCs w:val="20"/>
        </w:rPr>
        <w:t xml:space="preserve"> between 1984 and 2020. The land is eroding, as indicated by the overall average LRR of -4.46+0.34m/yr. A total of 724 transects were drawn for zone C, spaced 50 meters apart, from the offshore to the land.</w:t>
      </w:r>
      <w:r>
        <w:rPr>
          <w:rFonts w:ascii="Arial" w:hAnsi="Arial" w:cs="Arial"/>
          <w:sz w:val="20"/>
          <w:szCs w:val="20"/>
        </w:rPr>
        <w:t xml:space="preserve"> </w:t>
      </w:r>
      <w:r w:rsidRPr="0013544B">
        <w:rPr>
          <w:rFonts w:ascii="Arial" w:hAnsi="Arial" w:cs="Arial"/>
          <w:sz w:val="20"/>
          <w:szCs w:val="20"/>
        </w:rPr>
        <w:t>The results showed that 61.45% of the transects with significant erosion were among the 80.66% (584 transects) of the transect area that is erosional. The shoreline is moving landward at a rate of at least 3 meters per year, as indicated by the zone's maximum erosion rate of -14.86 meters per year and average erosion rate of -3.82+0.99 meters per year. With only 140 transects (19.34%) showing rates of accretion, the maximum accretion rate in the region is 14.85 m/</w:t>
      </w:r>
      <w:proofErr w:type="spellStart"/>
      <w:r w:rsidRPr="0013544B">
        <w:rPr>
          <w:rFonts w:ascii="Arial" w:hAnsi="Arial" w:cs="Arial"/>
          <w:sz w:val="20"/>
          <w:szCs w:val="20"/>
        </w:rPr>
        <w:t>yr</w:t>
      </w:r>
      <w:proofErr w:type="spellEnd"/>
      <w:r w:rsidRPr="0013544B">
        <w:rPr>
          <w:rFonts w:ascii="Arial" w:hAnsi="Arial" w:cs="Arial"/>
          <w:sz w:val="20"/>
          <w:szCs w:val="20"/>
        </w:rPr>
        <w:t>, whereas the average rate is 3.28+0.99 m/yr. The land is primarily erosive, as indicated by the overall average LRR of -2.44+0.99m/yr.</w:t>
      </w:r>
      <w:r>
        <w:rPr>
          <w:rFonts w:ascii="Arial" w:hAnsi="Arial" w:cs="Arial"/>
          <w:sz w:val="20"/>
          <w:szCs w:val="20"/>
        </w:rPr>
        <w:t xml:space="preserve"> </w:t>
      </w:r>
      <w:r w:rsidRPr="0013544B">
        <w:rPr>
          <w:rFonts w:ascii="Arial" w:hAnsi="Arial" w:cs="Arial"/>
          <w:sz w:val="20"/>
          <w:szCs w:val="20"/>
        </w:rPr>
        <w:t xml:space="preserve">In general, zone B has the highest average erosion and accretion </w:t>
      </w:r>
      <w:r w:rsidRPr="0013544B">
        <w:rPr>
          <w:rFonts w:ascii="Arial" w:hAnsi="Arial" w:cs="Arial"/>
          <w:sz w:val="20"/>
          <w:szCs w:val="20"/>
        </w:rPr>
        <w:lastRenderedPageBreak/>
        <w:t>rates, while zone A has the lowest, according to the bar plots in Figure 2 and the average erosion and accretion rates calculated from the extracted shorelines of the entire coast (table 2) from 1984 to 2020.</w:t>
      </w:r>
    </w:p>
    <w:p w14:paraId="4073DD16" w14:textId="6F33769E" w:rsidR="004E73AB" w:rsidRPr="003E17D2" w:rsidRDefault="004E73AB" w:rsidP="0013544B">
      <w:pPr>
        <w:pStyle w:val="BodyText"/>
        <w:spacing w:before="1" w:line="360" w:lineRule="auto"/>
        <w:ind w:left="120" w:right="129"/>
        <w:jc w:val="both"/>
        <w:rPr>
          <w:rFonts w:ascii="Arial" w:hAnsi="Arial" w:cs="Arial"/>
          <w:b/>
          <w:sz w:val="20"/>
          <w:szCs w:val="20"/>
        </w:rPr>
      </w:pPr>
      <w:r w:rsidRPr="003E17D2">
        <w:rPr>
          <w:rFonts w:ascii="Arial" w:hAnsi="Arial" w:cs="Arial"/>
          <w:b/>
          <w:sz w:val="20"/>
          <w:szCs w:val="20"/>
        </w:rPr>
        <w:t>Table</w:t>
      </w:r>
      <w:r w:rsidRPr="003E17D2">
        <w:rPr>
          <w:rFonts w:ascii="Arial" w:hAnsi="Arial" w:cs="Arial"/>
          <w:b/>
          <w:spacing w:val="-6"/>
          <w:sz w:val="20"/>
          <w:szCs w:val="20"/>
        </w:rPr>
        <w:t xml:space="preserve"> </w:t>
      </w:r>
      <w:r w:rsidR="00FF5F0B" w:rsidRPr="003E17D2">
        <w:rPr>
          <w:rFonts w:ascii="Arial" w:hAnsi="Arial" w:cs="Arial"/>
          <w:b/>
          <w:sz w:val="20"/>
          <w:szCs w:val="20"/>
        </w:rPr>
        <w:t>2</w:t>
      </w:r>
      <w:r w:rsidR="003E17D2">
        <w:rPr>
          <w:rFonts w:ascii="Arial" w:hAnsi="Arial" w:cs="Arial"/>
          <w:b/>
          <w:sz w:val="20"/>
          <w:szCs w:val="20"/>
        </w:rPr>
        <w:t>.</w:t>
      </w:r>
      <w:r w:rsidRPr="003E17D2">
        <w:rPr>
          <w:rFonts w:ascii="Arial" w:hAnsi="Arial" w:cs="Arial"/>
          <w:b/>
          <w:spacing w:val="-6"/>
          <w:sz w:val="20"/>
          <w:szCs w:val="20"/>
        </w:rPr>
        <w:t xml:space="preserve"> </w:t>
      </w:r>
      <w:r w:rsidRPr="003E17D2">
        <w:rPr>
          <w:rFonts w:ascii="Arial" w:hAnsi="Arial" w:cs="Arial"/>
          <w:b/>
          <w:sz w:val="20"/>
          <w:szCs w:val="20"/>
        </w:rPr>
        <w:t>Results</w:t>
      </w:r>
      <w:r w:rsidRPr="003E17D2">
        <w:rPr>
          <w:rFonts w:ascii="Arial" w:hAnsi="Arial" w:cs="Arial"/>
          <w:b/>
          <w:spacing w:val="-6"/>
          <w:sz w:val="20"/>
          <w:szCs w:val="20"/>
        </w:rPr>
        <w:t xml:space="preserve"> </w:t>
      </w:r>
      <w:r w:rsidRPr="003E17D2">
        <w:rPr>
          <w:rFonts w:ascii="Arial" w:hAnsi="Arial" w:cs="Arial"/>
          <w:b/>
          <w:sz w:val="20"/>
          <w:szCs w:val="20"/>
        </w:rPr>
        <w:t>showing</w:t>
      </w:r>
      <w:r w:rsidRPr="003E17D2">
        <w:rPr>
          <w:rFonts w:ascii="Arial" w:hAnsi="Arial" w:cs="Arial"/>
          <w:b/>
          <w:spacing w:val="-4"/>
          <w:sz w:val="20"/>
          <w:szCs w:val="20"/>
        </w:rPr>
        <w:t xml:space="preserve"> </w:t>
      </w:r>
      <w:r w:rsidRPr="003E17D2">
        <w:rPr>
          <w:rFonts w:ascii="Arial" w:hAnsi="Arial" w:cs="Arial"/>
          <w:b/>
          <w:sz w:val="20"/>
          <w:szCs w:val="20"/>
        </w:rPr>
        <w:t>long-term</w:t>
      </w:r>
      <w:r w:rsidRPr="003E17D2">
        <w:rPr>
          <w:rFonts w:ascii="Arial" w:hAnsi="Arial" w:cs="Arial"/>
          <w:b/>
          <w:spacing w:val="-4"/>
          <w:sz w:val="20"/>
          <w:szCs w:val="20"/>
        </w:rPr>
        <w:t xml:space="preserve"> </w:t>
      </w:r>
      <w:r w:rsidRPr="003E17D2">
        <w:rPr>
          <w:rFonts w:ascii="Arial" w:hAnsi="Arial" w:cs="Arial"/>
          <w:b/>
          <w:sz w:val="20"/>
          <w:szCs w:val="20"/>
        </w:rPr>
        <w:t>changes</w:t>
      </w:r>
      <w:r w:rsidRPr="003E17D2">
        <w:rPr>
          <w:rFonts w:ascii="Arial" w:hAnsi="Arial" w:cs="Arial"/>
          <w:b/>
          <w:spacing w:val="-6"/>
          <w:sz w:val="20"/>
          <w:szCs w:val="20"/>
        </w:rPr>
        <w:t xml:space="preserve"> </w:t>
      </w:r>
      <w:r w:rsidRPr="003E17D2">
        <w:rPr>
          <w:rFonts w:ascii="Arial" w:hAnsi="Arial" w:cs="Arial"/>
          <w:b/>
          <w:sz w:val="20"/>
          <w:szCs w:val="20"/>
        </w:rPr>
        <w:t>(1984-2020)</w:t>
      </w:r>
      <w:r w:rsidRPr="003E17D2">
        <w:rPr>
          <w:rFonts w:ascii="Arial" w:hAnsi="Arial" w:cs="Arial"/>
          <w:b/>
          <w:spacing w:val="-5"/>
          <w:sz w:val="20"/>
          <w:szCs w:val="20"/>
        </w:rPr>
        <w:t xml:space="preserve"> </w:t>
      </w:r>
      <w:r w:rsidRPr="003E17D2">
        <w:rPr>
          <w:rFonts w:ascii="Arial" w:hAnsi="Arial" w:cs="Arial"/>
          <w:b/>
          <w:sz w:val="20"/>
          <w:szCs w:val="20"/>
        </w:rPr>
        <w:t>along</w:t>
      </w:r>
      <w:r w:rsidRPr="003E17D2">
        <w:rPr>
          <w:rFonts w:ascii="Arial" w:hAnsi="Arial" w:cs="Arial"/>
          <w:b/>
          <w:spacing w:val="-4"/>
          <w:sz w:val="20"/>
          <w:szCs w:val="20"/>
        </w:rPr>
        <w:t xml:space="preserve"> </w:t>
      </w:r>
      <w:r w:rsidRPr="003E17D2">
        <w:rPr>
          <w:rFonts w:ascii="Arial" w:hAnsi="Arial" w:cs="Arial"/>
          <w:b/>
          <w:sz w:val="20"/>
          <w:szCs w:val="20"/>
        </w:rPr>
        <w:t>the</w:t>
      </w:r>
      <w:r w:rsidRPr="003E17D2">
        <w:rPr>
          <w:rFonts w:ascii="Arial" w:hAnsi="Arial" w:cs="Arial"/>
          <w:b/>
          <w:spacing w:val="-5"/>
          <w:sz w:val="20"/>
          <w:szCs w:val="20"/>
        </w:rPr>
        <w:t xml:space="preserve"> </w:t>
      </w:r>
      <w:proofErr w:type="spellStart"/>
      <w:r w:rsidR="00407855" w:rsidRPr="003E17D2">
        <w:rPr>
          <w:rFonts w:ascii="Arial" w:hAnsi="Arial" w:cs="Arial"/>
          <w:b/>
          <w:sz w:val="20"/>
          <w:szCs w:val="20"/>
        </w:rPr>
        <w:t>Opobo</w:t>
      </w:r>
      <w:proofErr w:type="spellEnd"/>
      <w:r w:rsidRPr="003E17D2">
        <w:rPr>
          <w:rFonts w:ascii="Arial" w:hAnsi="Arial" w:cs="Arial"/>
          <w:b/>
          <w:spacing w:val="-4"/>
          <w:sz w:val="20"/>
          <w:szCs w:val="20"/>
        </w:rPr>
        <w:t xml:space="preserve"> </w:t>
      </w:r>
      <w:r w:rsidRPr="003E17D2">
        <w:rPr>
          <w:rFonts w:ascii="Arial" w:hAnsi="Arial" w:cs="Arial"/>
          <w:b/>
          <w:spacing w:val="-2"/>
          <w:sz w:val="20"/>
          <w:szCs w:val="20"/>
        </w:rPr>
        <w:t>coast</w:t>
      </w:r>
    </w:p>
    <w:p w14:paraId="4073DD17" w14:textId="77777777" w:rsidR="004E73AB" w:rsidRPr="005E1DF6" w:rsidRDefault="004E73AB" w:rsidP="00F83B04">
      <w:pPr>
        <w:pStyle w:val="BodyText"/>
        <w:spacing w:before="5" w:line="360" w:lineRule="auto"/>
        <w:jc w:val="both"/>
        <w:rPr>
          <w:rFonts w:ascii="Arial" w:hAnsi="Arial" w:cs="Arial"/>
          <w:sz w:val="20"/>
          <w:szCs w:val="20"/>
        </w:rPr>
      </w:pPr>
    </w:p>
    <w:tbl>
      <w:tblPr>
        <w:tblStyle w:val="TableGridLight"/>
        <w:tblW w:w="5000" w:type="pct"/>
        <w:tblLook w:val="01E0" w:firstRow="1" w:lastRow="1" w:firstColumn="1" w:lastColumn="1" w:noHBand="0" w:noVBand="0"/>
      </w:tblPr>
      <w:tblGrid>
        <w:gridCol w:w="919"/>
        <w:gridCol w:w="851"/>
        <w:gridCol w:w="683"/>
        <w:gridCol w:w="715"/>
        <w:gridCol w:w="761"/>
        <w:gridCol w:w="761"/>
        <w:gridCol w:w="761"/>
        <w:gridCol w:w="644"/>
        <w:gridCol w:w="653"/>
        <w:gridCol w:w="765"/>
        <w:gridCol w:w="765"/>
        <w:gridCol w:w="624"/>
        <w:gridCol w:w="838"/>
      </w:tblGrid>
      <w:tr w:rsidR="004E73AB" w:rsidRPr="005E1DF6" w14:paraId="4073DD1A" w14:textId="77777777" w:rsidTr="00F83B04">
        <w:trPr>
          <w:trHeight w:val="353"/>
        </w:trPr>
        <w:tc>
          <w:tcPr>
            <w:tcW w:w="496" w:type="pct"/>
            <w:vMerge w:val="restart"/>
            <w:textDirection w:val="btLr"/>
          </w:tcPr>
          <w:p w14:paraId="4073DD18" w14:textId="77777777" w:rsidR="004E73AB" w:rsidRPr="005E1DF6" w:rsidRDefault="004E73AB" w:rsidP="00F83B04">
            <w:pPr>
              <w:pStyle w:val="TableParagraph"/>
              <w:spacing w:before="67" w:line="360" w:lineRule="auto"/>
              <w:ind w:left="112" w:right="129"/>
              <w:jc w:val="both"/>
              <w:rPr>
                <w:rFonts w:ascii="Arial" w:hAnsi="Arial" w:cs="Arial"/>
                <w:b/>
                <w:sz w:val="20"/>
                <w:szCs w:val="20"/>
              </w:rPr>
            </w:pPr>
            <w:r w:rsidRPr="005E1DF6">
              <w:rPr>
                <w:rFonts w:ascii="Arial" w:hAnsi="Arial" w:cs="Arial"/>
                <w:b/>
                <w:sz w:val="20"/>
                <w:szCs w:val="20"/>
              </w:rPr>
              <w:t>Strand</w:t>
            </w:r>
            <w:r w:rsidRPr="005E1DF6">
              <w:rPr>
                <w:rFonts w:ascii="Arial" w:hAnsi="Arial" w:cs="Arial"/>
                <w:b/>
                <w:spacing w:val="40"/>
                <w:sz w:val="20"/>
                <w:szCs w:val="20"/>
              </w:rPr>
              <w:t xml:space="preserve"> </w:t>
            </w:r>
            <w:r w:rsidRPr="005E1DF6">
              <w:rPr>
                <w:rFonts w:ascii="Arial" w:hAnsi="Arial" w:cs="Arial"/>
                <w:b/>
                <w:sz w:val="20"/>
                <w:szCs w:val="20"/>
              </w:rPr>
              <w:t>Coast</w:t>
            </w:r>
            <w:r w:rsidRPr="005E1DF6">
              <w:rPr>
                <w:rFonts w:ascii="Arial" w:hAnsi="Arial" w:cs="Arial"/>
                <w:b/>
                <w:spacing w:val="40"/>
                <w:sz w:val="20"/>
                <w:szCs w:val="20"/>
              </w:rPr>
              <w:t xml:space="preserve"> </w:t>
            </w:r>
            <w:r w:rsidRPr="005E1DF6">
              <w:rPr>
                <w:rFonts w:ascii="Arial" w:hAnsi="Arial" w:cs="Arial"/>
                <w:b/>
                <w:sz w:val="20"/>
                <w:szCs w:val="20"/>
              </w:rPr>
              <w:t>of</w:t>
            </w:r>
            <w:r w:rsidRPr="005E1DF6">
              <w:rPr>
                <w:rFonts w:ascii="Arial" w:hAnsi="Arial" w:cs="Arial"/>
                <w:b/>
                <w:spacing w:val="40"/>
                <w:sz w:val="20"/>
                <w:szCs w:val="20"/>
              </w:rPr>
              <w:t xml:space="preserve"> </w:t>
            </w:r>
            <w:proofErr w:type="spellStart"/>
            <w:r w:rsidR="00407855" w:rsidRPr="005E1DF6">
              <w:rPr>
                <w:rFonts w:ascii="Arial" w:hAnsi="Arial" w:cs="Arial"/>
                <w:b/>
                <w:sz w:val="20"/>
                <w:szCs w:val="20"/>
              </w:rPr>
              <w:t>Opobo</w:t>
            </w:r>
            <w:proofErr w:type="spellEnd"/>
            <w:r w:rsidRPr="005E1DF6">
              <w:rPr>
                <w:rFonts w:ascii="Arial" w:hAnsi="Arial" w:cs="Arial"/>
                <w:b/>
                <w:sz w:val="20"/>
                <w:szCs w:val="20"/>
              </w:rPr>
              <w:t xml:space="preserve"> </w:t>
            </w:r>
            <w:r w:rsidRPr="005E1DF6">
              <w:rPr>
                <w:rFonts w:ascii="Arial" w:hAnsi="Arial" w:cs="Arial"/>
                <w:b/>
                <w:spacing w:val="-2"/>
                <w:sz w:val="20"/>
                <w:szCs w:val="20"/>
              </w:rPr>
              <w:t>State</w:t>
            </w:r>
          </w:p>
        </w:tc>
        <w:tc>
          <w:tcPr>
            <w:tcW w:w="4504" w:type="pct"/>
            <w:gridSpan w:val="12"/>
          </w:tcPr>
          <w:p w14:paraId="4073DD19" w14:textId="77777777" w:rsidR="004E73AB" w:rsidRPr="005E1DF6" w:rsidRDefault="004E73AB" w:rsidP="00F83B04">
            <w:pPr>
              <w:pStyle w:val="TableParagraph"/>
              <w:spacing w:before="17" w:line="360" w:lineRule="auto"/>
              <w:ind w:left="29"/>
              <w:jc w:val="both"/>
              <w:rPr>
                <w:rFonts w:ascii="Arial" w:hAnsi="Arial" w:cs="Arial"/>
                <w:b/>
                <w:sz w:val="20"/>
                <w:szCs w:val="20"/>
              </w:rPr>
            </w:pPr>
            <w:r w:rsidRPr="005E1DF6">
              <w:rPr>
                <w:rFonts w:ascii="Arial" w:hAnsi="Arial" w:cs="Arial"/>
                <w:b/>
                <w:sz w:val="20"/>
                <w:szCs w:val="20"/>
              </w:rPr>
              <w:t>LONG-TERM</w:t>
            </w:r>
            <w:r w:rsidRPr="005E1DF6">
              <w:rPr>
                <w:rFonts w:ascii="Arial" w:hAnsi="Arial" w:cs="Arial"/>
                <w:b/>
                <w:spacing w:val="-11"/>
                <w:sz w:val="20"/>
                <w:szCs w:val="20"/>
              </w:rPr>
              <w:t xml:space="preserve"> </w:t>
            </w:r>
            <w:r w:rsidRPr="005E1DF6">
              <w:rPr>
                <w:rFonts w:ascii="Arial" w:hAnsi="Arial" w:cs="Arial"/>
                <w:b/>
                <w:sz w:val="20"/>
                <w:szCs w:val="20"/>
              </w:rPr>
              <w:t>CHANGES</w:t>
            </w:r>
            <w:r w:rsidRPr="005E1DF6">
              <w:rPr>
                <w:rFonts w:ascii="Arial" w:hAnsi="Arial" w:cs="Arial"/>
                <w:b/>
                <w:spacing w:val="-10"/>
                <w:sz w:val="20"/>
                <w:szCs w:val="20"/>
              </w:rPr>
              <w:t xml:space="preserve"> </w:t>
            </w:r>
            <w:r w:rsidRPr="005E1DF6">
              <w:rPr>
                <w:rFonts w:ascii="Arial" w:hAnsi="Arial" w:cs="Arial"/>
                <w:b/>
                <w:sz w:val="20"/>
                <w:szCs w:val="20"/>
              </w:rPr>
              <w:t>(1984-</w:t>
            </w:r>
            <w:r w:rsidRPr="005E1DF6">
              <w:rPr>
                <w:rFonts w:ascii="Arial" w:hAnsi="Arial" w:cs="Arial"/>
                <w:b/>
                <w:spacing w:val="-4"/>
                <w:sz w:val="20"/>
                <w:szCs w:val="20"/>
              </w:rPr>
              <w:t>2020)</w:t>
            </w:r>
          </w:p>
        </w:tc>
      </w:tr>
      <w:tr w:rsidR="004E73AB" w:rsidRPr="005E1DF6" w14:paraId="4073DD1D" w14:textId="77777777" w:rsidTr="00F83B04">
        <w:trPr>
          <w:trHeight w:val="411"/>
        </w:trPr>
        <w:tc>
          <w:tcPr>
            <w:tcW w:w="496" w:type="pct"/>
            <w:vMerge/>
            <w:textDirection w:val="btLr"/>
          </w:tcPr>
          <w:p w14:paraId="4073DD1B" w14:textId="77777777" w:rsidR="004E73AB" w:rsidRPr="005E1DF6" w:rsidRDefault="004E73AB" w:rsidP="00F83B04">
            <w:pPr>
              <w:spacing w:line="360" w:lineRule="auto"/>
              <w:rPr>
                <w:rFonts w:ascii="Arial" w:hAnsi="Arial" w:cs="Arial"/>
                <w:szCs w:val="20"/>
              </w:rPr>
            </w:pPr>
          </w:p>
        </w:tc>
        <w:tc>
          <w:tcPr>
            <w:tcW w:w="4504" w:type="pct"/>
            <w:gridSpan w:val="12"/>
          </w:tcPr>
          <w:p w14:paraId="4073DD1C" w14:textId="77777777" w:rsidR="004E73AB" w:rsidRPr="005E1DF6" w:rsidRDefault="004E73AB" w:rsidP="00F83B04">
            <w:pPr>
              <w:pStyle w:val="TableParagraph"/>
              <w:spacing w:before="14" w:line="360" w:lineRule="auto"/>
              <w:ind w:left="29" w:right="6"/>
              <w:jc w:val="both"/>
              <w:rPr>
                <w:rFonts w:ascii="Arial" w:hAnsi="Arial" w:cs="Arial"/>
                <w:b/>
                <w:sz w:val="20"/>
                <w:szCs w:val="20"/>
              </w:rPr>
            </w:pPr>
            <w:r w:rsidRPr="005E1DF6">
              <w:rPr>
                <w:rFonts w:ascii="Arial" w:hAnsi="Arial" w:cs="Arial"/>
                <w:b/>
                <w:sz w:val="20"/>
                <w:szCs w:val="20"/>
              </w:rPr>
              <w:t>Linear</w:t>
            </w:r>
            <w:r w:rsidRPr="005E1DF6">
              <w:rPr>
                <w:rFonts w:ascii="Arial" w:hAnsi="Arial" w:cs="Arial"/>
                <w:b/>
                <w:spacing w:val="-6"/>
                <w:sz w:val="20"/>
                <w:szCs w:val="20"/>
              </w:rPr>
              <w:t xml:space="preserve"> </w:t>
            </w:r>
            <w:r w:rsidRPr="005E1DF6">
              <w:rPr>
                <w:rFonts w:ascii="Arial" w:hAnsi="Arial" w:cs="Arial"/>
                <w:b/>
                <w:sz w:val="20"/>
                <w:szCs w:val="20"/>
              </w:rPr>
              <w:t>regression</w:t>
            </w:r>
            <w:r w:rsidRPr="005E1DF6">
              <w:rPr>
                <w:rFonts w:ascii="Arial" w:hAnsi="Arial" w:cs="Arial"/>
                <w:b/>
                <w:spacing w:val="-7"/>
                <w:sz w:val="20"/>
                <w:szCs w:val="20"/>
              </w:rPr>
              <w:t xml:space="preserve"> </w:t>
            </w:r>
            <w:r w:rsidRPr="005E1DF6">
              <w:rPr>
                <w:rFonts w:ascii="Arial" w:hAnsi="Arial" w:cs="Arial"/>
                <w:b/>
                <w:sz w:val="20"/>
                <w:szCs w:val="20"/>
              </w:rPr>
              <w:t>rate</w:t>
            </w:r>
            <w:r w:rsidRPr="005E1DF6">
              <w:rPr>
                <w:rFonts w:ascii="Arial" w:hAnsi="Arial" w:cs="Arial"/>
                <w:b/>
                <w:spacing w:val="-6"/>
                <w:sz w:val="20"/>
                <w:szCs w:val="20"/>
              </w:rPr>
              <w:t xml:space="preserve"> </w:t>
            </w:r>
            <w:r w:rsidRPr="005E1DF6">
              <w:rPr>
                <w:rFonts w:ascii="Arial" w:hAnsi="Arial" w:cs="Arial"/>
                <w:b/>
                <w:sz w:val="20"/>
                <w:szCs w:val="20"/>
              </w:rPr>
              <w:t>(LRR)</w:t>
            </w:r>
            <w:r w:rsidRPr="005E1DF6">
              <w:rPr>
                <w:rFonts w:ascii="Arial" w:hAnsi="Arial" w:cs="Arial"/>
                <w:b/>
                <w:spacing w:val="-6"/>
                <w:sz w:val="20"/>
                <w:szCs w:val="20"/>
              </w:rPr>
              <w:t xml:space="preserve"> </w:t>
            </w:r>
            <w:r w:rsidRPr="005E1DF6">
              <w:rPr>
                <w:rFonts w:ascii="Arial" w:hAnsi="Arial" w:cs="Arial"/>
                <w:b/>
                <w:spacing w:val="-2"/>
                <w:sz w:val="20"/>
                <w:szCs w:val="20"/>
              </w:rPr>
              <w:t>Results</w:t>
            </w:r>
          </w:p>
        </w:tc>
      </w:tr>
      <w:tr w:rsidR="00724942" w:rsidRPr="005E1DF6" w14:paraId="4073DD2B" w14:textId="77777777" w:rsidTr="00F83B04">
        <w:trPr>
          <w:trHeight w:val="2789"/>
        </w:trPr>
        <w:tc>
          <w:tcPr>
            <w:tcW w:w="496" w:type="pct"/>
            <w:vMerge/>
            <w:textDirection w:val="btLr"/>
          </w:tcPr>
          <w:p w14:paraId="4073DD1E" w14:textId="77777777" w:rsidR="00724942" w:rsidRPr="005E1DF6" w:rsidRDefault="00724942" w:rsidP="00F83B04">
            <w:pPr>
              <w:spacing w:line="360" w:lineRule="auto"/>
              <w:rPr>
                <w:rFonts w:ascii="Arial" w:hAnsi="Arial" w:cs="Arial"/>
                <w:szCs w:val="20"/>
              </w:rPr>
            </w:pPr>
          </w:p>
        </w:tc>
        <w:tc>
          <w:tcPr>
            <w:tcW w:w="355" w:type="pct"/>
            <w:textDirection w:val="btLr"/>
          </w:tcPr>
          <w:p w14:paraId="4073DD1F" w14:textId="77777777" w:rsidR="00724942" w:rsidRPr="005E1DF6" w:rsidRDefault="00724942" w:rsidP="00F83B04">
            <w:pPr>
              <w:pStyle w:val="TableParagraph"/>
              <w:spacing w:before="60" w:line="360" w:lineRule="auto"/>
              <w:ind w:left="112" w:right="126"/>
              <w:jc w:val="both"/>
              <w:rPr>
                <w:rFonts w:ascii="Arial" w:hAnsi="Arial" w:cs="Arial"/>
                <w:b/>
                <w:sz w:val="20"/>
                <w:szCs w:val="20"/>
              </w:rPr>
            </w:pPr>
            <w:r w:rsidRPr="005E1DF6">
              <w:rPr>
                <w:rFonts w:ascii="Arial" w:hAnsi="Arial" w:cs="Arial"/>
                <w:b/>
                <w:sz w:val="20"/>
                <w:szCs w:val="20"/>
              </w:rPr>
              <w:t>Max.</w:t>
            </w:r>
            <w:r w:rsidRPr="005E1DF6">
              <w:rPr>
                <w:rFonts w:ascii="Arial" w:hAnsi="Arial" w:cs="Arial"/>
                <w:b/>
                <w:spacing w:val="74"/>
                <w:sz w:val="20"/>
                <w:szCs w:val="20"/>
              </w:rPr>
              <w:t xml:space="preserve"> </w:t>
            </w:r>
            <w:r w:rsidRPr="005E1DF6">
              <w:rPr>
                <w:rFonts w:ascii="Arial" w:hAnsi="Arial" w:cs="Arial"/>
                <w:b/>
                <w:sz w:val="20"/>
                <w:szCs w:val="20"/>
              </w:rPr>
              <w:t>Erosion</w:t>
            </w:r>
            <w:r w:rsidRPr="005E1DF6">
              <w:rPr>
                <w:rFonts w:ascii="Arial" w:hAnsi="Arial" w:cs="Arial"/>
                <w:b/>
                <w:spacing w:val="73"/>
                <w:sz w:val="20"/>
                <w:szCs w:val="20"/>
              </w:rPr>
              <w:t xml:space="preserve"> </w:t>
            </w:r>
            <w:r w:rsidRPr="005E1DF6">
              <w:rPr>
                <w:rFonts w:ascii="Arial" w:hAnsi="Arial" w:cs="Arial"/>
                <w:b/>
                <w:sz w:val="20"/>
                <w:szCs w:val="20"/>
              </w:rPr>
              <w:t xml:space="preserve">rate </w:t>
            </w:r>
            <w:r w:rsidRPr="005E1DF6">
              <w:rPr>
                <w:rFonts w:ascii="Arial" w:hAnsi="Arial" w:cs="Arial"/>
                <w:b/>
                <w:spacing w:val="-2"/>
                <w:sz w:val="20"/>
                <w:szCs w:val="20"/>
              </w:rPr>
              <w:t>(m/</w:t>
            </w:r>
            <w:proofErr w:type="spellStart"/>
            <w:r w:rsidRPr="005E1DF6">
              <w:rPr>
                <w:rFonts w:ascii="Arial" w:hAnsi="Arial" w:cs="Arial"/>
                <w:b/>
                <w:spacing w:val="-2"/>
                <w:sz w:val="20"/>
                <w:szCs w:val="20"/>
              </w:rPr>
              <w:t>yr</w:t>
            </w:r>
            <w:proofErr w:type="spellEnd"/>
            <w:r w:rsidRPr="005E1DF6">
              <w:rPr>
                <w:rFonts w:ascii="Arial" w:hAnsi="Arial" w:cs="Arial"/>
                <w:b/>
                <w:spacing w:val="-2"/>
                <w:sz w:val="20"/>
                <w:szCs w:val="20"/>
              </w:rPr>
              <w:t>)</w:t>
            </w:r>
          </w:p>
        </w:tc>
        <w:tc>
          <w:tcPr>
            <w:tcW w:w="363" w:type="pct"/>
            <w:textDirection w:val="btLr"/>
          </w:tcPr>
          <w:p w14:paraId="4073DD20" w14:textId="77777777" w:rsidR="00724942" w:rsidRPr="005E1DF6" w:rsidRDefault="00724942" w:rsidP="00F83B04">
            <w:pPr>
              <w:pStyle w:val="TableParagraph"/>
              <w:tabs>
                <w:tab w:val="left" w:pos="1229"/>
              </w:tabs>
              <w:spacing w:before="58" w:line="360" w:lineRule="auto"/>
              <w:ind w:left="112" w:right="126"/>
              <w:jc w:val="both"/>
              <w:rPr>
                <w:rFonts w:ascii="Arial" w:hAnsi="Arial" w:cs="Arial"/>
                <w:b/>
                <w:sz w:val="20"/>
                <w:szCs w:val="20"/>
              </w:rPr>
            </w:pPr>
            <w:r w:rsidRPr="005E1DF6">
              <w:rPr>
                <w:rFonts w:ascii="Arial" w:hAnsi="Arial" w:cs="Arial"/>
                <w:b/>
                <w:spacing w:val="-2"/>
                <w:sz w:val="20"/>
                <w:szCs w:val="20"/>
              </w:rPr>
              <w:t>Average</w:t>
            </w:r>
            <w:r w:rsidRPr="005E1DF6">
              <w:rPr>
                <w:rFonts w:ascii="Arial" w:hAnsi="Arial" w:cs="Arial"/>
                <w:b/>
                <w:sz w:val="20"/>
                <w:szCs w:val="20"/>
              </w:rPr>
              <w:tab/>
            </w:r>
            <w:r w:rsidRPr="005E1DF6">
              <w:rPr>
                <w:rFonts w:ascii="Arial" w:hAnsi="Arial" w:cs="Arial"/>
                <w:b/>
                <w:spacing w:val="-2"/>
                <w:sz w:val="20"/>
                <w:szCs w:val="20"/>
              </w:rPr>
              <w:t>erosion (m/</w:t>
            </w:r>
            <w:proofErr w:type="spellStart"/>
            <w:r w:rsidRPr="005E1DF6">
              <w:rPr>
                <w:rFonts w:ascii="Arial" w:hAnsi="Arial" w:cs="Arial"/>
                <w:b/>
                <w:spacing w:val="-2"/>
                <w:sz w:val="20"/>
                <w:szCs w:val="20"/>
              </w:rPr>
              <w:t>yr</w:t>
            </w:r>
            <w:proofErr w:type="spellEnd"/>
            <w:r w:rsidRPr="005E1DF6">
              <w:rPr>
                <w:rFonts w:ascii="Arial" w:hAnsi="Arial" w:cs="Arial"/>
                <w:b/>
                <w:spacing w:val="-2"/>
                <w:sz w:val="20"/>
                <w:szCs w:val="20"/>
              </w:rPr>
              <w:t>)</w:t>
            </w:r>
          </w:p>
        </w:tc>
        <w:tc>
          <w:tcPr>
            <w:tcW w:w="398" w:type="pct"/>
            <w:textDirection w:val="btLr"/>
          </w:tcPr>
          <w:p w14:paraId="4073DD21" w14:textId="77777777" w:rsidR="00724942" w:rsidRPr="005E1DF6" w:rsidRDefault="00724942" w:rsidP="00F83B04">
            <w:pPr>
              <w:pStyle w:val="TableParagraph"/>
              <w:tabs>
                <w:tab w:val="left" w:pos="656"/>
                <w:tab w:val="left" w:pos="1073"/>
              </w:tabs>
              <w:spacing w:before="60" w:line="360" w:lineRule="auto"/>
              <w:ind w:left="112" w:right="126"/>
              <w:jc w:val="both"/>
              <w:rPr>
                <w:rFonts w:ascii="Arial" w:hAnsi="Arial" w:cs="Arial"/>
                <w:b/>
                <w:sz w:val="20"/>
                <w:szCs w:val="20"/>
              </w:rPr>
            </w:pPr>
            <w:r w:rsidRPr="005E1DF6">
              <w:rPr>
                <w:rFonts w:ascii="Arial" w:hAnsi="Arial" w:cs="Arial"/>
                <w:b/>
                <w:spacing w:val="-4"/>
                <w:sz w:val="20"/>
                <w:szCs w:val="20"/>
              </w:rPr>
              <w:t>No.</w:t>
            </w:r>
            <w:r w:rsidRPr="005E1DF6">
              <w:rPr>
                <w:rFonts w:ascii="Arial" w:hAnsi="Arial" w:cs="Arial"/>
                <w:b/>
                <w:sz w:val="20"/>
                <w:szCs w:val="20"/>
              </w:rPr>
              <w:tab/>
            </w:r>
            <w:r w:rsidRPr="005E1DF6">
              <w:rPr>
                <w:rFonts w:ascii="Arial" w:hAnsi="Arial" w:cs="Arial"/>
                <w:b/>
                <w:spacing w:val="-6"/>
                <w:sz w:val="20"/>
                <w:szCs w:val="20"/>
              </w:rPr>
              <w:t>of</w:t>
            </w:r>
            <w:r w:rsidRPr="005E1DF6">
              <w:rPr>
                <w:rFonts w:ascii="Arial" w:hAnsi="Arial" w:cs="Arial"/>
                <w:b/>
                <w:sz w:val="20"/>
                <w:szCs w:val="20"/>
              </w:rPr>
              <w:tab/>
            </w:r>
            <w:r w:rsidRPr="005E1DF6">
              <w:rPr>
                <w:rFonts w:ascii="Arial" w:hAnsi="Arial" w:cs="Arial"/>
                <w:b/>
                <w:spacing w:val="-2"/>
                <w:sz w:val="20"/>
                <w:szCs w:val="20"/>
              </w:rPr>
              <w:t>erosional transects</w:t>
            </w:r>
          </w:p>
        </w:tc>
        <w:tc>
          <w:tcPr>
            <w:tcW w:w="371" w:type="pct"/>
            <w:textDirection w:val="btLr"/>
          </w:tcPr>
          <w:p w14:paraId="4073DD22" w14:textId="77777777" w:rsidR="00724942" w:rsidRPr="005E1DF6" w:rsidRDefault="00724942" w:rsidP="00F83B04">
            <w:pPr>
              <w:pStyle w:val="TableParagraph"/>
              <w:tabs>
                <w:tab w:val="left" w:pos="580"/>
                <w:tab w:val="left" w:pos="1071"/>
              </w:tabs>
              <w:spacing w:before="57" w:line="360" w:lineRule="auto"/>
              <w:ind w:left="112" w:right="126"/>
              <w:jc w:val="both"/>
              <w:rPr>
                <w:rFonts w:ascii="Arial" w:hAnsi="Arial" w:cs="Arial"/>
                <w:b/>
                <w:sz w:val="20"/>
                <w:szCs w:val="20"/>
              </w:rPr>
            </w:pPr>
            <w:r w:rsidRPr="005E1DF6">
              <w:rPr>
                <w:rFonts w:ascii="Arial" w:hAnsi="Arial" w:cs="Arial"/>
                <w:b/>
                <w:spacing w:val="-10"/>
                <w:sz w:val="20"/>
                <w:szCs w:val="20"/>
              </w:rPr>
              <w:t>%</w:t>
            </w:r>
            <w:r w:rsidRPr="005E1DF6">
              <w:rPr>
                <w:rFonts w:ascii="Arial" w:hAnsi="Arial" w:cs="Arial"/>
                <w:b/>
                <w:sz w:val="20"/>
                <w:szCs w:val="20"/>
              </w:rPr>
              <w:tab/>
            </w:r>
            <w:r w:rsidRPr="005E1DF6">
              <w:rPr>
                <w:rFonts w:ascii="Arial" w:hAnsi="Arial" w:cs="Arial"/>
                <w:b/>
                <w:spacing w:val="-6"/>
                <w:sz w:val="20"/>
                <w:szCs w:val="20"/>
              </w:rPr>
              <w:t>Of</w:t>
            </w:r>
            <w:r w:rsidRPr="005E1DF6">
              <w:rPr>
                <w:rFonts w:ascii="Arial" w:hAnsi="Arial" w:cs="Arial"/>
                <w:b/>
                <w:sz w:val="20"/>
                <w:szCs w:val="20"/>
              </w:rPr>
              <w:tab/>
            </w:r>
            <w:r w:rsidRPr="005E1DF6">
              <w:rPr>
                <w:rFonts w:ascii="Arial" w:hAnsi="Arial" w:cs="Arial"/>
                <w:b/>
                <w:spacing w:val="-2"/>
                <w:sz w:val="20"/>
                <w:szCs w:val="20"/>
              </w:rPr>
              <w:t>erosional transects</w:t>
            </w:r>
          </w:p>
        </w:tc>
        <w:tc>
          <w:tcPr>
            <w:tcW w:w="385" w:type="pct"/>
            <w:textDirection w:val="btLr"/>
          </w:tcPr>
          <w:p w14:paraId="4073DD23" w14:textId="77777777" w:rsidR="00724942" w:rsidRPr="005E1DF6" w:rsidRDefault="00724942" w:rsidP="00F83B04">
            <w:pPr>
              <w:pStyle w:val="TableParagraph"/>
              <w:spacing w:before="57" w:line="360" w:lineRule="auto"/>
              <w:ind w:left="112" w:right="126"/>
              <w:jc w:val="both"/>
              <w:rPr>
                <w:rFonts w:ascii="Arial" w:hAnsi="Arial" w:cs="Arial"/>
                <w:b/>
                <w:sz w:val="20"/>
                <w:szCs w:val="20"/>
              </w:rPr>
            </w:pPr>
            <w:r w:rsidRPr="005E1DF6">
              <w:rPr>
                <w:rFonts w:ascii="Arial" w:hAnsi="Arial" w:cs="Arial"/>
                <w:b/>
                <w:sz w:val="20"/>
                <w:szCs w:val="20"/>
              </w:rPr>
              <w:t>%</w:t>
            </w:r>
            <w:r w:rsidRPr="005E1DF6">
              <w:rPr>
                <w:rFonts w:ascii="Arial" w:hAnsi="Arial" w:cs="Arial"/>
                <w:b/>
                <w:spacing w:val="80"/>
                <w:sz w:val="20"/>
                <w:szCs w:val="20"/>
              </w:rPr>
              <w:t xml:space="preserve"> </w:t>
            </w:r>
            <w:r w:rsidRPr="005E1DF6">
              <w:rPr>
                <w:rFonts w:ascii="Arial" w:hAnsi="Arial" w:cs="Arial"/>
                <w:b/>
                <w:sz w:val="20"/>
                <w:szCs w:val="20"/>
              </w:rPr>
              <w:t>Of</w:t>
            </w:r>
            <w:r w:rsidRPr="005E1DF6">
              <w:rPr>
                <w:rFonts w:ascii="Arial" w:hAnsi="Arial" w:cs="Arial"/>
                <w:b/>
                <w:spacing w:val="80"/>
                <w:sz w:val="20"/>
                <w:szCs w:val="20"/>
              </w:rPr>
              <w:t xml:space="preserve"> </w:t>
            </w:r>
            <w:r w:rsidRPr="005E1DF6">
              <w:rPr>
                <w:rFonts w:ascii="Arial" w:hAnsi="Arial" w:cs="Arial"/>
                <w:b/>
                <w:sz w:val="20"/>
                <w:szCs w:val="20"/>
              </w:rPr>
              <w:t>statistically significant erosion</w:t>
            </w:r>
          </w:p>
        </w:tc>
        <w:tc>
          <w:tcPr>
            <w:tcW w:w="385" w:type="pct"/>
            <w:textDirection w:val="btLr"/>
          </w:tcPr>
          <w:p w14:paraId="4073DD24" w14:textId="77777777" w:rsidR="00724942" w:rsidRPr="005E1DF6" w:rsidRDefault="00724942" w:rsidP="00F83B04">
            <w:pPr>
              <w:pStyle w:val="TableParagraph"/>
              <w:spacing w:before="57" w:line="360" w:lineRule="auto"/>
              <w:ind w:left="112" w:right="126"/>
              <w:jc w:val="both"/>
              <w:rPr>
                <w:rFonts w:ascii="Arial" w:hAnsi="Arial" w:cs="Arial"/>
                <w:b/>
                <w:sz w:val="20"/>
                <w:szCs w:val="20"/>
              </w:rPr>
            </w:pPr>
            <w:r w:rsidRPr="005E1DF6">
              <w:rPr>
                <w:rFonts w:ascii="Arial" w:hAnsi="Arial" w:cs="Arial"/>
                <w:b/>
                <w:sz w:val="20"/>
                <w:szCs w:val="20"/>
              </w:rPr>
              <w:t>Max.</w:t>
            </w:r>
            <w:r w:rsidRPr="005E1DF6">
              <w:rPr>
                <w:rFonts w:ascii="Arial" w:hAnsi="Arial" w:cs="Arial"/>
                <w:b/>
                <w:spacing w:val="-10"/>
                <w:sz w:val="20"/>
                <w:szCs w:val="20"/>
              </w:rPr>
              <w:t xml:space="preserve"> </w:t>
            </w:r>
            <w:r w:rsidRPr="005E1DF6">
              <w:rPr>
                <w:rFonts w:ascii="Arial" w:hAnsi="Arial" w:cs="Arial"/>
                <w:b/>
                <w:sz w:val="20"/>
                <w:szCs w:val="20"/>
              </w:rPr>
              <w:t>Accretion</w:t>
            </w:r>
            <w:r w:rsidRPr="005E1DF6">
              <w:rPr>
                <w:rFonts w:ascii="Arial" w:hAnsi="Arial" w:cs="Arial"/>
                <w:b/>
                <w:spacing w:val="-10"/>
                <w:sz w:val="20"/>
                <w:szCs w:val="20"/>
              </w:rPr>
              <w:t xml:space="preserve"> </w:t>
            </w:r>
            <w:r w:rsidRPr="005E1DF6">
              <w:rPr>
                <w:rFonts w:ascii="Arial" w:hAnsi="Arial" w:cs="Arial"/>
                <w:b/>
                <w:sz w:val="20"/>
                <w:szCs w:val="20"/>
              </w:rPr>
              <w:t xml:space="preserve">rate </w:t>
            </w:r>
            <w:r w:rsidRPr="005E1DF6">
              <w:rPr>
                <w:rFonts w:ascii="Arial" w:hAnsi="Arial" w:cs="Arial"/>
                <w:b/>
                <w:spacing w:val="-2"/>
                <w:sz w:val="20"/>
                <w:szCs w:val="20"/>
              </w:rPr>
              <w:t>(m/</w:t>
            </w:r>
            <w:proofErr w:type="spellStart"/>
            <w:r w:rsidRPr="005E1DF6">
              <w:rPr>
                <w:rFonts w:ascii="Arial" w:hAnsi="Arial" w:cs="Arial"/>
                <w:b/>
                <w:spacing w:val="-2"/>
                <w:sz w:val="20"/>
                <w:szCs w:val="20"/>
              </w:rPr>
              <w:t>yr</w:t>
            </w:r>
            <w:proofErr w:type="spellEnd"/>
            <w:r w:rsidRPr="005E1DF6">
              <w:rPr>
                <w:rFonts w:ascii="Arial" w:hAnsi="Arial" w:cs="Arial"/>
                <w:b/>
                <w:spacing w:val="-2"/>
                <w:sz w:val="20"/>
                <w:szCs w:val="20"/>
              </w:rPr>
              <w:t>)</w:t>
            </w:r>
          </w:p>
        </w:tc>
        <w:tc>
          <w:tcPr>
            <w:tcW w:w="340" w:type="pct"/>
            <w:textDirection w:val="btLr"/>
          </w:tcPr>
          <w:p w14:paraId="4073DD25" w14:textId="77777777" w:rsidR="00724942" w:rsidRPr="005E1DF6" w:rsidRDefault="00724942" w:rsidP="00F83B04">
            <w:pPr>
              <w:pStyle w:val="TableParagraph"/>
              <w:spacing w:before="58" w:line="360" w:lineRule="auto"/>
              <w:ind w:left="112" w:right="126"/>
              <w:jc w:val="both"/>
              <w:rPr>
                <w:rFonts w:ascii="Arial" w:hAnsi="Arial" w:cs="Arial"/>
                <w:b/>
                <w:sz w:val="20"/>
                <w:szCs w:val="20"/>
              </w:rPr>
            </w:pPr>
            <w:r w:rsidRPr="005E1DF6">
              <w:rPr>
                <w:rFonts w:ascii="Arial" w:hAnsi="Arial" w:cs="Arial"/>
                <w:b/>
                <w:sz w:val="20"/>
                <w:szCs w:val="20"/>
              </w:rPr>
              <w:t>Average</w:t>
            </w:r>
            <w:r w:rsidRPr="005E1DF6">
              <w:rPr>
                <w:rFonts w:ascii="Arial" w:hAnsi="Arial" w:cs="Arial"/>
                <w:b/>
                <w:spacing w:val="80"/>
                <w:sz w:val="20"/>
                <w:szCs w:val="20"/>
              </w:rPr>
              <w:t xml:space="preserve"> </w:t>
            </w:r>
            <w:r w:rsidRPr="005E1DF6">
              <w:rPr>
                <w:rFonts w:ascii="Arial" w:hAnsi="Arial" w:cs="Arial"/>
                <w:b/>
                <w:sz w:val="20"/>
                <w:szCs w:val="20"/>
              </w:rPr>
              <w:t xml:space="preserve">Accretion </w:t>
            </w:r>
            <w:r w:rsidRPr="005E1DF6">
              <w:rPr>
                <w:rFonts w:ascii="Arial" w:hAnsi="Arial" w:cs="Arial"/>
                <w:b/>
                <w:spacing w:val="-2"/>
                <w:sz w:val="20"/>
                <w:szCs w:val="20"/>
              </w:rPr>
              <w:t>(m/</w:t>
            </w:r>
            <w:proofErr w:type="spellStart"/>
            <w:r w:rsidRPr="005E1DF6">
              <w:rPr>
                <w:rFonts w:ascii="Arial" w:hAnsi="Arial" w:cs="Arial"/>
                <w:b/>
                <w:spacing w:val="-2"/>
                <w:sz w:val="20"/>
                <w:szCs w:val="20"/>
              </w:rPr>
              <w:t>yr</w:t>
            </w:r>
            <w:proofErr w:type="spellEnd"/>
            <w:r w:rsidRPr="005E1DF6">
              <w:rPr>
                <w:rFonts w:ascii="Arial" w:hAnsi="Arial" w:cs="Arial"/>
                <w:b/>
                <w:spacing w:val="-2"/>
                <w:sz w:val="20"/>
                <w:szCs w:val="20"/>
              </w:rPr>
              <w:t>)</w:t>
            </w:r>
          </w:p>
        </w:tc>
        <w:tc>
          <w:tcPr>
            <w:tcW w:w="379" w:type="pct"/>
            <w:textDirection w:val="btLr"/>
          </w:tcPr>
          <w:p w14:paraId="4073DD26" w14:textId="77777777" w:rsidR="00724942" w:rsidRPr="005E1DF6" w:rsidRDefault="00724942" w:rsidP="00F83B04">
            <w:pPr>
              <w:pStyle w:val="TableParagraph"/>
              <w:spacing w:before="61" w:line="360" w:lineRule="auto"/>
              <w:ind w:left="112" w:right="126"/>
              <w:jc w:val="both"/>
              <w:rPr>
                <w:rFonts w:ascii="Arial" w:hAnsi="Arial" w:cs="Arial"/>
                <w:b/>
                <w:sz w:val="20"/>
                <w:szCs w:val="20"/>
              </w:rPr>
            </w:pPr>
            <w:r w:rsidRPr="005E1DF6">
              <w:rPr>
                <w:rFonts w:ascii="Arial" w:hAnsi="Arial" w:cs="Arial"/>
                <w:b/>
                <w:sz w:val="20"/>
                <w:szCs w:val="20"/>
              </w:rPr>
              <w:t>No.</w:t>
            </w:r>
            <w:r w:rsidRPr="005E1DF6">
              <w:rPr>
                <w:rFonts w:ascii="Arial" w:hAnsi="Arial" w:cs="Arial"/>
                <w:b/>
                <w:spacing w:val="80"/>
                <w:sz w:val="20"/>
                <w:szCs w:val="20"/>
              </w:rPr>
              <w:t xml:space="preserve"> </w:t>
            </w:r>
            <w:r w:rsidRPr="005E1DF6">
              <w:rPr>
                <w:rFonts w:ascii="Arial" w:hAnsi="Arial" w:cs="Arial"/>
                <w:b/>
                <w:sz w:val="20"/>
                <w:szCs w:val="20"/>
              </w:rPr>
              <w:t>of</w:t>
            </w:r>
            <w:r w:rsidRPr="005E1DF6">
              <w:rPr>
                <w:rFonts w:ascii="Arial" w:hAnsi="Arial" w:cs="Arial"/>
                <w:b/>
                <w:spacing w:val="80"/>
                <w:sz w:val="20"/>
                <w:szCs w:val="20"/>
              </w:rPr>
              <w:t xml:space="preserve"> </w:t>
            </w:r>
            <w:r w:rsidRPr="005E1DF6">
              <w:rPr>
                <w:rFonts w:ascii="Arial" w:hAnsi="Arial" w:cs="Arial"/>
                <w:b/>
                <w:sz w:val="20"/>
                <w:szCs w:val="20"/>
              </w:rPr>
              <w:t xml:space="preserve">accretional </w:t>
            </w:r>
            <w:r w:rsidRPr="005E1DF6">
              <w:rPr>
                <w:rFonts w:ascii="Arial" w:hAnsi="Arial" w:cs="Arial"/>
                <w:b/>
                <w:spacing w:val="-2"/>
                <w:sz w:val="20"/>
                <w:szCs w:val="20"/>
              </w:rPr>
              <w:t>transects</w:t>
            </w:r>
          </w:p>
        </w:tc>
        <w:tc>
          <w:tcPr>
            <w:tcW w:w="344" w:type="pct"/>
            <w:textDirection w:val="btLr"/>
          </w:tcPr>
          <w:p w14:paraId="4073DD27" w14:textId="77777777" w:rsidR="00724942" w:rsidRPr="005E1DF6" w:rsidRDefault="00724942" w:rsidP="00F83B04">
            <w:pPr>
              <w:pStyle w:val="TableParagraph"/>
              <w:spacing w:before="61" w:line="360" w:lineRule="auto"/>
              <w:ind w:left="112" w:right="126"/>
              <w:jc w:val="both"/>
              <w:rPr>
                <w:rFonts w:ascii="Arial" w:hAnsi="Arial" w:cs="Arial"/>
                <w:b/>
                <w:sz w:val="20"/>
                <w:szCs w:val="20"/>
              </w:rPr>
            </w:pPr>
            <w:r w:rsidRPr="005E1DF6">
              <w:rPr>
                <w:rFonts w:ascii="Arial" w:hAnsi="Arial" w:cs="Arial"/>
                <w:b/>
                <w:sz w:val="20"/>
                <w:szCs w:val="20"/>
              </w:rPr>
              <w:t>%</w:t>
            </w:r>
            <w:r w:rsidRPr="005E1DF6">
              <w:rPr>
                <w:rFonts w:ascii="Arial" w:hAnsi="Arial" w:cs="Arial"/>
                <w:b/>
                <w:spacing w:val="80"/>
                <w:sz w:val="20"/>
                <w:szCs w:val="20"/>
              </w:rPr>
              <w:t xml:space="preserve"> </w:t>
            </w:r>
            <w:r w:rsidRPr="005E1DF6">
              <w:rPr>
                <w:rFonts w:ascii="Arial" w:hAnsi="Arial" w:cs="Arial"/>
                <w:b/>
                <w:sz w:val="20"/>
                <w:szCs w:val="20"/>
              </w:rPr>
              <w:t>Of</w:t>
            </w:r>
            <w:r w:rsidRPr="005E1DF6">
              <w:rPr>
                <w:rFonts w:ascii="Arial" w:hAnsi="Arial" w:cs="Arial"/>
                <w:b/>
                <w:spacing w:val="80"/>
                <w:sz w:val="20"/>
                <w:szCs w:val="20"/>
              </w:rPr>
              <w:t xml:space="preserve"> </w:t>
            </w:r>
            <w:r w:rsidRPr="005E1DF6">
              <w:rPr>
                <w:rFonts w:ascii="Arial" w:hAnsi="Arial" w:cs="Arial"/>
                <w:b/>
                <w:sz w:val="20"/>
                <w:szCs w:val="20"/>
              </w:rPr>
              <w:t xml:space="preserve">accretional </w:t>
            </w:r>
            <w:r w:rsidRPr="005E1DF6">
              <w:rPr>
                <w:rFonts w:ascii="Arial" w:hAnsi="Arial" w:cs="Arial"/>
                <w:b/>
                <w:spacing w:val="-2"/>
                <w:sz w:val="20"/>
                <w:szCs w:val="20"/>
              </w:rPr>
              <w:t>transects</w:t>
            </w:r>
          </w:p>
        </w:tc>
        <w:tc>
          <w:tcPr>
            <w:tcW w:w="386" w:type="pct"/>
            <w:textDirection w:val="btLr"/>
          </w:tcPr>
          <w:p w14:paraId="4073DD28" w14:textId="77777777" w:rsidR="00724942" w:rsidRPr="005E1DF6" w:rsidRDefault="00724942" w:rsidP="00F83B04">
            <w:pPr>
              <w:pStyle w:val="TableParagraph"/>
              <w:spacing w:before="61" w:line="360" w:lineRule="auto"/>
              <w:ind w:left="112" w:right="125"/>
              <w:jc w:val="both"/>
              <w:rPr>
                <w:rFonts w:ascii="Arial" w:hAnsi="Arial" w:cs="Arial"/>
                <w:b/>
                <w:sz w:val="20"/>
                <w:szCs w:val="20"/>
              </w:rPr>
            </w:pPr>
            <w:r w:rsidRPr="005E1DF6">
              <w:rPr>
                <w:rFonts w:ascii="Arial" w:hAnsi="Arial" w:cs="Arial"/>
                <w:b/>
                <w:sz w:val="20"/>
                <w:szCs w:val="20"/>
              </w:rPr>
              <w:t>%</w:t>
            </w:r>
            <w:r w:rsidRPr="005E1DF6">
              <w:rPr>
                <w:rFonts w:ascii="Arial" w:hAnsi="Arial" w:cs="Arial"/>
                <w:b/>
                <w:spacing w:val="80"/>
                <w:sz w:val="20"/>
                <w:szCs w:val="20"/>
              </w:rPr>
              <w:t xml:space="preserve"> </w:t>
            </w:r>
            <w:r w:rsidRPr="005E1DF6">
              <w:rPr>
                <w:rFonts w:ascii="Arial" w:hAnsi="Arial" w:cs="Arial"/>
                <w:b/>
                <w:sz w:val="20"/>
                <w:szCs w:val="20"/>
              </w:rPr>
              <w:t>Of</w:t>
            </w:r>
            <w:r w:rsidR="00E51FBB" w:rsidRPr="005E1DF6">
              <w:rPr>
                <w:rFonts w:ascii="Arial" w:hAnsi="Arial" w:cs="Arial"/>
                <w:b/>
                <w:sz w:val="20"/>
                <w:szCs w:val="20"/>
              </w:rPr>
              <w:t xml:space="preserve"> </w:t>
            </w:r>
            <w:r w:rsidR="00E51FBB" w:rsidRPr="005E1DF6">
              <w:rPr>
                <w:rFonts w:ascii="Arial" w:hAnsi="Arial" w:cs="Arial"/>
                <w:b/>
                <w:spacing w:val="80"/>
                <w:sz w:val="20"/>
                <w:szCs w:val="20"/>
              </w:rPr>
              <w:t>s</w:t>
            </w:r>
            <w:r w:rsidRPr="005E1DF6">
              <w:rPr>
                <w:rFonts w:ascii="Arial" w:hAnsi="Arial" w:cs="Arial"/>
                <w:b/>
                <w:sz w:val="20"/>
                <w:szCs w:val="20"/>
              </w:rPr>
              <w:t>tatistically significant</w:t>
            </w:r>
            <w:r w:rsidRPr="005E1DF6">
              <w:rPr>
                <w:rFonts w:ascii="Arial" w:hAnsi="Arial" w:cs="Arial"/>
                <w:b/>
                <w:spacing w:val="-9"/>
                <w:sz w:val="20"/>
                <w:szCs w:val="20"/>
              </w:rPr>
              <w:t xml:space="preserve"> </w:t>
            </w:r>
            <w:r w:rsidRPr="005E1DF6">
              <w:rPr>
                <w:rFonts w:ascii="Arial" w:hAnsi="Arial" w:cs="Arial"/>
                <w:b/>
                <w:spacing w:val="-2"/>
                <w:sz w:val="20"/>
                <w:szCs w:val="20"/>
              </w:rPr>
              <w:t>accretion</w:t>
            </w:r>
          </w:p>
        </w:tc>
        <w:tc>
          <w:tcPr>
            <w:tcW w:w="344" w:type="pct"/>
            <w:textDirection w:val="btLr"/>
          </w:tcPr>
          <w:p w14:paraId="4073DD29" w14:textId="77777777" w:rsidR="00724942" w:rsidRPr="005E1DF6" w:rsidRDefault="00724942" w:rsidP="00F83B04">
            <w:pPr>
              <w:pStyle w:val="TableParagraph"/>
              <w:tabs>
                <w:tab w:val="left" w:pos="1184"/>
              </w:tabs>
              <w:spacing w:before="36" w:line="360" w:lineRule="auto"/>
              <w:ind w:left="112" w:right="125"/>
              <w:jc w:val="both"/>
              <w:rPr>
                <w:rFonts w:ascii="Arial" w:hAnsi="Arial" w:cs="Arial"/>
                <w:b/>
                <w:sz w:val="20"/>
                <w:szCs w:val="20"/>
              </w:rPr>
            </w:pPr>
            <w:r w:rsidRPr="005E1DF6">
              <w:rPr>
                <w:rFonts w:ascii="Arial" w:hAnsi="Arial" w:cs="Arial"/>
                <w:b/>
                <w:spacing w:val="-2"/>
                <w:sz w:val="20"/>
                <w:szCs w:val="20"/>
              </w:rPr>
              <w:t>Overall</w:t>
            </w:r>
            <w:r w:rsidR="000E0EB2" w:rsidRPr="005E1DF6">
              <w:rPr>
                <w:rFonts w:ascii="Arial" w:hAnsi="Arial" w:cs="Arial"/>
                <w:b/>
                <w:spacing w:val="-2"/>
                <w:sz w:val="20"/>
                <w:szCs w:val="20"/>
              </w:rPr>
              <w:t xml:space="preserve"> </w:t>
            </w:r>
            <w:r w:rsidRPr="005E1DF6">
              <w:rPr>
                <w:rFonts w:ascii="Arial" w:hAnsi="Arial" w:cs="Arial"/>
                <w:b/>
                <w:spacing w:val="-2"/>
                <w:sz w:val="20"/>
                <w:szCs w:val="20"/>
              </w:rPr>
              <w:t xml:space="preserve">average </w:t>
            </w:r>
            <w:r w:rsidRPr="005E1DF6">
              <w:rPr>
                <w:rFonts w:ascii="Arial" w:hAnsi="Arial" w:cs="Arial"/>
                <w:b/>
                <w:sz w:val="20"/>
                <w:szCs w:val="20"/>
              </w:rPr>
              <w:t>LRR (m/</w:t>
            </w:r>
            <w:proofErr w:type="spellStart"/>
            <w:r w:rsidRPr="005E1DF6">
              <w:rPr>
                <w:rFonts w:ascii="Arial" w:hAnsi="Arial" w:cs="Arial"/>
                <w:b/>
                <w:sz w:val="20"/>
                <w:szCs w:val="20"/>
              </w:rPr>
              <w:t>yr</w:t>
            </w:r>
            <w:proofErr w:type="spellEnd"/>
            <w:r w:rsidRPr="005E1DF6">
              <w:rPr>
                <w:rFonts w:ascii="Arial" w:hAnsi="Arial" w:cs="Arial"/>
                <w:b/>
                <w:sz w:val="20"/>
                <w:szCs w:val="20"/>
              </w:rPr>
              <w:t>)</w:t>
            </w:r>
          </w:p>
        </w:tc>
        <w:tc>
          <w:tcPr>
            <w:tcW w:w="455" w:type="pct"/>
            <w:textDirection w:val="btLr"/>
          </w:tcPr>
          <w:p w14:paraId="4073DD2A" w14:textId="77777777" w:rsidR="00724942" w:rsidRPr="005E1DF6" w:rsidRDefault="00724942" w:rsidP="00F83B04">
            <w:pPr>
              <w:pStyle w:val="TableParagraph"/>
              <w:tabs>
                <w:tab w:val="left" w:pos="1683"/>
              </w:tabs>
              <w:spacing w:before="58" w:line="360" w:lineRule="auto"/>
              <w:ind w:left="112" w:right="125"/>
              <w:jc w:val="both"/>
              <w:rPr>
                <w:rFonts w:ascii="Arial" w:hAnsi="Arial" w:cs="Arial"/>
                <w:b/>
                <w:sz w:val="20"/>
                <w:szCs w:val="20"/>
              </w:rPr>
            </w:pPr>
            <w:r w:rsidRPr="005E1DF6">
              <w:rPr>
                <w:rFonts w:ascii="Arial" w:hAnsi="Arial" w:cs="Arial"/>
                <w:b/>
                <w:spacing w:val="-2"/>
                <w:sz w:val="20"/>
                <w:szCs w:val="20"/>
              </w:rPr>
              <w:t>Uncertainty</w:t>
            </w:r>
            <w:r w:rsidR="000E0EB2" w:rsidRPr="005E1DF6">
              <w:rPr>
                <w:rFonts w:ascii="Arial" w:hAnsi="Arial" w:cs="Arial"/>
                <w:b/>
                <w:spacing w:val="-2"/>
                <w:sz w:val="20"/>
                <w:szCs w:val="20"/>
              </w:rPr>
              <w:t xml:space="preserve"> </w:t>
            </w:r>
            <w:r w:rsidRPr="005E1DF6">
              <w:rPr>
                <w:rFonts w:ascii="Arial" w:hAnsi="Arial" w:cs="Arial"/>
                <w:b/>
                <w:spacing w:val="-6"/>
                <w:sz w:val="20"/>
                <w:szCs w:val="20"/>
              </w:rPr>
              <w:t xml:space="preserve">of </w:t>
            </w:r>
            <w:r w:rsidRPr="005E1DF6">
              <w:rPr>
                <w:rFonts w:ascii="Arial" w:hAnsi="Arial" w:cs="Arial"/>
                <w:b/>
                <w:sz w:val="20"/>
                <w:szCs w:val="20"/>
              </w:rPr>
              <w:t>average rate (m/</w:t>
            </w:r>
            <w:proofErr w:type="spellStart"/>
            <w:r w:rsidRPr="005E1DF6">
              <w:rPr>
                <w:rFonts w:ascii="Arial" w:hAnsi="Arial" w:cs="Arial"/>
                <w:b/>
                <w:sz w:val="20"/>
                <w:szCs w:val="20"/>
              </w:rPr>
              <w:t>yr</w:t>
            </w:r>
            <w:proofErr w:type="spellEnd"/>
            <w:r w:rsidRPr="005E1DF6">
              <w:rPr>
                <w:rFonts w:ascii="Arial" w:hAnsi="Arial" w:cs="Arial"/>
                <w:b/>
                <w:sz w:val="20"/>
                <w:szCs w:val="20"/>
              </w:rPr>
              <w:t>)</w:t>
            </w:r>
          </w:p>
        </w:tc>
      </w:tr>
      <w:tr w:rsidR="00724942" w:rsidRPr="005E1DF6" w14:paraId="4073DD39" w14:textId="77777777" w:rsidTr="00F83B04">
        <w:trPr>
          <w:trHeight w:val="620"/>
        </w:trPr>
        <w:tc>
          <w:tcPr>
            <w:tcW w:w="496" w:type="pct"/>
          </w:tcPr>
          <w:p w14:paraId="4073DD2C" w14:textId="77777777" w:rsidR="00724942" w:rsidRPr="005E1DF6" w:rsidRDefault="00724942" w:rsidP="00F83B04">
            <w:pPr>
              <w:pStyle w:val="TableParagraph"/>
              <w:spacing w:before="17" w:line="360" w:lineRule="auto"/>
              <w:ind w:left="57" w:right="28"/>
              <w:jc w:val="both"/>
              <w:rPr>
                <w:rFonts w:ascii="Arial" w:hAnsi="Arial" w:cs="Arial"/>
                <w:sz w:val="20"/>
                <w:szCs w:val="20"/>
              </w:rPr>
            </w:pPr>
            <w:r w:rsidRPr="005E1DF6">
              <w:rPr>
                <w:rFonts w:ascii="Arial" w:hAnsi="Arial" w:cs="Arial"/>
                <w:spacing w:val="-2"/>
                <w:sz w:val="20"/>
                <w:szCs w:val="20"/>
              </w:rPr>
              <w:t>Entire coast</w:t>
            </w:r>
          </w:p>
        </w:tc>
        <w:tc>
          <w:tcPr>
            <w:tcW w:w="355" w:type="pct"/>
          </w:tcPr>
          <w:p w14:paraId="4073DD2D" w14:textId="77777777" w:rsidR="00724942" w:rsidRPr="005E1DF6" w:rsidRDefault="00724942" w:rsidP="00F83B04">
            <w:pPr>
              <w:pStyle w:val="TableParagraph"/>
              <w:spacing w:before="17" w:line="360" w:lineRule="auto"/>
              <w:ind w:right="68"/>
              <w:jc w:val="both"/>
              <w:rPr>
                <w:rFonts w:ascii="Arial" w:hAnsi="Arial" w:cs="Arial"/>
                <w:sz w:val="20"/>
                <w:szCs w:val="20"/>
              </w:rPr>
            </w:pPr>
            <w:r w:rsidRPr="005E1DF6">
              <w:rPr>
                <w:rFonts w:ascii="Arial" w:hAnsi="Arial" w:cs="Arial"/>
                <w:spacing w:val="-2"/>
                <w:sz w:val="20"/>
                <w:szCs w:val="20"/>
              </w:rPr>
              <w:t>-</w:t>
            </w:r>
            <w:r w:rsidRPr="005E1DF6">
              <w:rPr>
                <w:rFonts w:ascii="Arial" w:hAnsi="Arial" w:cs="Arial"/>
                <w:spacing w:val="-4"/>
                <w:sz w:val="20"/>
                <w:szCs w:val="20"/>
              </w:rPr>
              <w:t>24.8</w:t>
            </w:r>
          </w:p>
        </w:tc>
        <w:tc>
          <w:tcPr>
            <w:tcW w:w="363" w:type="pct"/>
          </w:tcPr>
          <w:p w14:paraId="4073DD2E" w14:textId="77777777" w:rsidR="00724942" w:rsidRPr="005E1DF6" w:rsidRDefault="00724942" w:rsidP="00F83B04">
            <w:pPr>
              <w:pStyle w:val="TableParagraph"/>
              <w:spacing w:before="17" w:line="360" w:lineRule="auto"/>
              <w:ind w:right="93"/>
              <w:jc w:val="both"/>
              <w:rPr>
                <w:rFonts w:ascii="Arial" w:hAnsi="Arial" w:cs="Arial"/>
                <w:sz w:val="20"/>
                <w:szCs w:val="20"/>
              </w:rPr>
            </w:pPr>
            <w:r w:rsidRPr="005E1DF6">
              <w:rPr>
                <w:rFonts w:ascii="Arial" w:hAnsi="Arial" w:cs="Arial"/>
                <w:spacing w:val="-2"/>
                <w:sz w:val="20"/>
                <w:szCs w:val="20"/>
              </w:rPr>
              <w:t>-</w:t>
            </w:r>
            <w:r w:rsidRPr="005E1DF6">
              <w:rPr>
                <w:rFonts w:ascii="Arial" w:hAnsi="Arial" w:cs="Arial"/>
                <w:spacing w:val="-4"/>
                <w:sz w:val="20"/>
                <w:szCs w:val="20"/>
              </w:rPr>
              <w:t>4.13</w:t>
            </w:r>
          </w:p>
        </w:tc>
        <w:tc>
          <w:tcPr>
            <w:tcW w:w="398" w:type="pct"/>
          </w:tcPr>
          <w:p w14:paraId="4073DD2F" w14:textId="77777777" w:rsidR="00724942" w:rsidRPr="005E1DF6" w:rsidRDefault="00724942" w:rsidP="00F83B04">
            <w:pPr>
              <w:pStyle w:val="TableParagraph"/>
              <w:spacing w:before="17" w:line="360" w:lineRule="auto"/>
              <w:ind w:right="70"/>
              <w:jc w:val="both"/>
              <w:rPr>
                <w:rFonts w:ascii="Arial" w:hAnsi="Arial" w:cs="Arial"/>
                <w:sz w:val="20"/>
                <w:szCs w:val="20"/>
              </w:rPr>
            </w:pPr>
            <w:r w:rsidRPr="005E1DF6">
              <w:rPr>
                <w:rFonts w:ascii="Arial" w:hAnsi="Arial" w:cs="Arial"/>
                <w:spacing w:val="-4"/>
                <w:sz w:val="20"/>
                <w:szCs w:val="20"/>
              </w:rPr>
              <w:t>1973</w:t>
            </w:r>
          </w:p>
        </w:tc>
        <w:tc>
          <w:tcPr>
            <w:tcW w:w="371" w:type="pct"/>
          </w:tcPr>
          <w:p w14:paraId="4073DD30" w14:textId="77777777" w:rsidR="00724942" w:rsidRPr="005E1DF6" w:rsidRDefault="00724942" w:rsidP="00F83B04">
            <w:pPr>
              <w:pStyle w:val="TableParagraph"/>
              <w:spacing w:before="17" w:line="360" w:lineRule="auto"/>
              <w:ind w:left="54"/>
              <w:jc w:val="both"/>
              <w:rPr>
                <w:rFonts w:ascii="Arial" w:hAnsi="Arial" w:cs="Arial"/>
                <w:sz w:val="20"/>
                <w:szCs w:val="20"/>
              </w:rPr>
            </w:pPr>
            <w:r w:rsidRPr="005E1DF6">
              <w:rPr>
                <w:rFonts w:ascii="Arial" w:hAnsi="Arial" w:cs="Arial"/>
                <w:spacing w:val="-2"/>
                <w:sz w:val="20"/>
                <w:szCs w:val="20"/>
              </w:rPr>
              <w:t>76.15</w:t>
            </w:r>
          </w:p>
        </w:tc>
        <w:tc>
          <w:tcPr>
            <w:tcW w:w="385" w:type="pct"/>
          </w:tcPr>
          <w:p w14:paraId="4073DD31" w14:textId="77777777" w:rsidR="00724942" w:rsidRPr="005E1DF6" w:rsidRDefault="00724942" w:rsidP="00F83B04">
            <w:pPr>
              <w:pStyle w:val="TableParagraph"/>
              <w:spacing w:before="17" w:line="360" w:lineRule="auto"/>
              <w:ind w:left="54"/>
              <w:jc w:val="both"/>
              <w:rPr>
                <w:rFonts w:ascii="Arial" w:hAnsi="Arial" w:cs="Arial"/>
                <w:sz w:val="20"/>
                <w:szCs w:val="20"/>
              </w:rPr>
            </w:pPr>
            <w:r w:rsidRPr="005E1DF6">
              <w:rPr>
                <w:rFonts w:ascii="Arial" w:hAnsi="Arial" w:cs="Arial"/>
                <w:spacing w:val="-2"/>
                <w:sz w:val="20"/>
                <w:szCs w:val="20"/>
              </w:rPr>
              <w:t>59.32</w:t>
            </w:r>
          </w:p>
        </w:tc>
        <w:tc>
          <w:tcPr>
            <w:tcW w:w="385" w:type="pct"/>
          </w:tcPr>
          <w:p w14:paraId="4073DD32" w14:textId="77777777" w:rsidR="00724942" w:rsidRPr="005E1DF6" w:rsidRDefault="00724942" w:rsidP="00F83B04">
            <w:pPr>
              <w:pStyle w:val="TableParagraph"/>
              <w:spacing w:before="17" w:line="360" w:lineRule="auto"/>
              <w:ind w:left="54"/>
              <w:jc w:val="both"/>
              <w:rPr>
                <w:rFonts w:ascii="Arial" w:hAnsi="Arial" w:cs="Arial"/>
                <w:sz w:val="20"/>
                <w:szCs w:val="20"/>
              </w:rPr>
            </w:pPr>
            <w:r w:rsidRPr="005E1DF6">
              <w:rPr>
                <w:rFonts w:ascii="Arial" w:hAnsi="Arial" w:cs="Arial"/>
                <w:spacing w:val="-2"/>
                <w:sz w:val="20"/>
                <w:szCs w:val="20"/>
              </w:rPr>
              <w:t>38.82</w:t>
            </w:r>
          </w:p>
        </w:tc>
        <w:tc>
          <w:tcPr>
            <w:tcW w:w="340" w:type="pct"/>
          </w:tcPr>
          <w:p w14:paraId="4073DD33" w14:textId="77777777" w:rsidR="00724942" w:rsidRPr="005E1DF6" w:rsidRDefault="00724942" w:rsidP="00F83B04">
            <w:pPr>
              <w:pStyle w:val="TableParagraph"/>
              <w:spacing w:before="17" w:line="360" w:lineRule="auto"/>
              <w:ind w:left="54"/>
              <w:jc w:val="both"/>
              <w:rPr>
                <w:rFonts w:ascii="Arial" w:hAnsi="Arial" w:cs="Arial"/>
                <w:sz w:val="20"/>
                <w:szCs w:val="20"/>
              </w:rPr>
            </w:pPr>
            <w:r w:rsidRPr="005E1DF6">
              <w:rPr>
                <w:rFonts w:ascii="Arial" w:hAnsi="Arial" w:cs="Arial"/>
                <w:spacing w:val="-4"/>
                <w:sz w:val="20"/>
                <w:szCs w:val="20"/>
              </w:rPr>
              <w:t>1.84</w:t>
            </w:r>
          </w:p>
        </w:tc>
        <w:tc>
          <w:tcPr>
            <w:tcW w:w="379" w:type="pct"/>
          </w:tcPr>
          <w:p w14:paraId="4073DD34" w14:textId="77777777" w:rsidR="00724942" w:rsidRPr="005E1DF6" w:rsidRDefault="00724942" w:rsidP="00F83B04">
            <w:pPr>
              <w:pStyle w:val="TableParagraph"/>
              <w:spacing w:before="17" w:line="360" w:lineRule="auto"/>
              <w:ind w:left="58"/>
              <w:jc w:val="both"/>
              <w:rPr>
                <w:rFonts w:ascii="Arial" w:hAnsi="Arial" w:cs="Arial"/>
                <w:sz w:val="20"/>
                <w:szCs w:val="20"/>
              </w:rPr>
            </w:pPr>
            <w:r w:rsidRPr="005E1DF6">
              <w:rPr>
                <w:rFonts w:ascii="Arial" w:hAnsi="Arial" w:cs="Arial"/>
                <w:spacing w:val="-5"/>
                <w:sz w:val="20"/>
                <w:szCs w:val="20"/>
              </w:rPr>
              <w:t>618</w:t>
            </w:r>
          </w:p>
        </w:tc>
        <w:tc>
          <w:tcPr>
            <w:tcW w:w="344" w:type="pct"/>
          </w:tcPr>
          <w:p w14:paraId="4073DD35" w14:textId="77777777" w:rsidR="00724942" w:rsidRPr="005E1DF6" w:rsidRDefault="00724942" w:rsidP="00F83B04">
            <w:pPr>
              <w:pStyle w:val="TableParagraph"/>
              <w:spacing w:before="17" w:line="360" w:lineRule="auto"/>
              <w:ind w:left="58"/>
              <w:jc w:val="both"/>
              <w:rPr>
                <w:rFonts w:ascii="Arial" w:hAnsi="Arial" w:cs="Arial"/>
                <w:sz w:val="20"/>
                <w:szCs w:val="20"/>
              </w:rPr>
            </w:pPr>
            <w:r w:rsidRPr="005E1DF6">
              <w:rPr>
                <w:rFonts w:ascii="Arial" w:hAnsi="Arial" w:cs="Arial"/>
                <w:spacing w:val="-2"/>
                <w:sz w:val="20"/>
                <w:szCs w:val="20"/>
              </w:rPr>
              <w:t>23.85</w:t>
            </w:r>
          </w:p>
        </w:tc>
        <w:tc>
          <w:tcPr>
            <w:tcW w:w="386" w:type="pct"/>
          </w:tcPr>
          <w:p w14:paraId="4073DD36" w14:textId="77777777" w:rsidR="00724942" w:rsidRPr="005E1DF6" w:rsidRDefault="00724942" w:rsidP="00F83B04">
            <w:pPr>
              <w:pStyle w:val="TableParagraph"/>
              <w:spacing w:before="17" w:line="360" w:lineRule="auto"/>
              <w:ind w:left="58"/>
              <w:jc w:val="both"/>
              <w:rPr>
                <w:rFonts w:ascii="Arial" w:hAnsi="Arial" w:cs="Arial"/>
                <w:sz w:val="20"/>
                <w:szCs w:val="20"/>
              </w:rPr>
            </w:pPr>
            <w:r w:rsidRPr="005E1DF6">
              <w:rPr>
                <w:rFonts w:ascii="Arial" w:hAnsi="Arial" w:cs="Arial"/>
                <w:spacing w:val="-4"/>
                <w:sz w:val="20"/>
                <w:szCs w:val="20"/>
              </w:rPr>
              <w:t>8.49</w:t>
            </w:r>
          </w:p>
        </w:tc>
        <w:tc>
          <w:tcPr>
            <w:tcW w:w="344" w:type="pct"/>
          </w:tcPr>
          <w:p w14:paraId="4073DD37" w14:textId="77777777" w:rsidR="00724942" w:rsidRPr="005E1DF6" w:rsidRDefault="00724942" w:rsidP="00F83B04">
            <w:pPr>
              <w:pStyle w:val="TableParagraph"/>
              <w:spacing w:before="17" w:line="360" w:lineRule="auto"/>
              <w:ind w:left="18" w:right="98"/>
              <w:jc w:val="both"/>
              <w:rPr>
                <w:rFonts w:ascii="Arial" w:hAnsi="Arial" w:cs="Arial"/>
                <w:sz w:val="20"/>
                <w:szCs w:val="20"/>
              </w:rPr>
            </w:pPr>
            <w:r w:rsidRPr="005E1DF6">
              <w:rPr>
                <w:rFonts w:ascii="Arial" w:hAnsi="Arial" w:cs="Arial"/>
                <w:spacing w:val="-2"/>
                <w:sz w:val="20"/>
                <w:szCs w:val="20"/>
              </w:rPr>
              <w:t>-</w:t>
            </w:r>
            <w:r w:rsidRPr="005E1DF6">
              <w:rPr>
                <w:rFonts w:ascii="Arial" w:hAnsi="Arial" w:cs="Arial"/>
                <w:spacing w:val="-5"/>
                <w:sz w:val="20"/>
                <w:szCs w:val="20"/>
              </w:rPr>
              <w:t>2.7</w:t>
            </w:r>
          </w:p>
        </w:tc>
        <w:tc>
          <w:tcPr>
            <w:tcW w:w="455" w:type="pct"/>
          </w:tcPr>
          <w:p w14:paraId="4073DD38" w14:textId="77777777" w:rsidR="00724942" w:rsidRPr="005E1DF6" w:rsidRDefault="00724942" w:rsidP="00F83B04">
            <w:pPr>
              <w:pStyle w:val="TableParagraph"/>
              <w:spacing w:before="17" w:line="360" w:lineRule="auto"/>
              <w:ind w:left="54"/>
              <w:jc w:val="both"/>
              <w:rPr>
                <w:rFonts w:ascii="Arial" w:hAnsi="Arial" w:cs="Arial"/>
                <w:sz w:val="20"/>
                <w:szCs w:val="20"/>
              </w:rPr>
            </w:pPr>
            <w:r w:rsidRPr="005E1DF6">
              <w:rPr>
                <w:rFonts w:ascii="Arial" w:hAnsi="Arial" w:cs="Arial"/>
                <w:spacing w:val="-4"/>
                <w:sz w:val="20"/>
                <w:szCs w:val="20"/>
              </w:rPr>
              <w:t>+/- 0.18</w:t>
            </w:r>
          </w:p>
        </w:tc>
      </w:tr>
      <w:tr w:rsidR="00724942" w:rsidRPr="005E1DF6" w14:paraId="4073DD47" w14:textId="77777777" w:rsidTr="00F83B04">
        <w:trPr>
          <w:trHeight w:val="530"/>
        </w:trPr>
        <w:tc>
          <w:tcPr>
            <w:tcW w:w="496" w:type="pct"/>
          </w:tcPr>
          <w:p w14:paraId="4073DD3A" w14:textId="77777777" w:rsidR="00724942" w:rsidRPr="005E1DF6" w:rsidRDefault="00724942" w:rsidP="00F83B04">
            <w:pPr>
              <w:pStyle w:val="TableParagraph"/>
              <w:spacing w:before="14" w:line="360" w:lineRule="auto"/>
              <w:ind w:left="57" w:right="110"/>
              <w:jc w:val="both"/>
              <w:rPr>
                <w:rFonts w:ascii="Arial" w:hAnsi="Arial" w:cs="Arial"/>
                <w:sz w:val="20"/>
                <w:szCs w:val="20"/>
              </w:rPr>
            </w:pPr>
            <w:r w:rsidRPr="005E1DF6">
              <w:rPr>
                <w:rFonts w:ascii="Arial" w:hAnsi="Arial" w:cs="Arial"/>
                <w:spacing w:val="-4"/>
                <w:sz w:val="20"/>
                <w:szCs w:val="20"/>
              </w:rPr>
              <w:t xml:space="preserve">Zone </w:t>
            </w:r>
            <w:r w:rsidRPr="005E1DF6">
              <w:rPr>
                <w:rFonts w:ascii="Arial" w:hAnsi="Arial" w:cs="Arial"/>
                <w:spacing w:val="-10"/>
                <w:sz w:val="20"/>
                <w:szCs w:val="20"/>
              </w:rPr>
              <w:t>A</w:t>
            </w:r>
          </w:p>
        </w:tc>
        <w:tc>
          <w:tcPr>
            <w:tcW w:w="355" w:type="pct"/>
          </w:tcPr>
          <w:p w14:paraId="4073DD3B" w14:textId="77777777" w:rsidR="00724942" w:rsidRPr="005E1DF6" w:rsidRDefault="00724942" w:rsidP="00F83B04">
            <w:pPr>
              <w:pStyle w:val="TableParagraph"/>
              <w:spacing w:before="14" w:line="360" w:lineRule="auto"/>
              <w:ind w:right="68"/>
              <w:jc w:val="both"/>
              <w:rPr>
                <w:rFonts w:ascii="Arial" w:hAnsi="Arial" w:cs="Arial"/>
                <w:sz w:val="20"/>
                <w:szCs w:val="20"/>
              </w:rPr>
            </w:pPr>
            <w:r w:rsidRPr="005E1DF6">
              <w:rPr>
                <w:rFonts w:ascii="Arial" w:hAnsi="Arial" w:cs="Arial"/>
                <w:spacing w:val="-2"/>
                <w:sz w:val="20"/>
                <w:szCs w:val="20"/>
              </w:rPr>
              <w:t>-</w:t>
            </w:r>
            <w:r w:rsidRPr="005E1DF6">
              <w:rPr>
                <w:rFonts w:ascii="Arial" w:hAnsi="Arial" w:cs="Arial"/>
                <w:spacing w:val="-4"/>
                <w:sz w:val="20"/>
                <w:szCs w:val="20"/>
              </w:rPr>
              <w:t>24.8</w:t>
            </w:r>
          </w:p>
        </w:tc>
        <w:tc>
          <w:tcPr>
            <w:tcW w:w="363" w:type="pct"/>
          </w:tcPr>
          <w:p w14:paraId="4073DD3C" w14:textId="77777777" w:rsidR="00724942" w:rsidRPr="005E1DF6" w:rsidRDefault="00724942" w:rsidP="00F83B04">
            <w:pPr>
              <w:pStyle w:val="TableParagraph"/>
              <w:spacing w:before="14" w:line="360" w:lineRule="auto"/>
              <w:ind w:right="93"/>
              <w:jc w:val="both"/>
              <w:rPr>
                <w:rFonts w:ascii="Arial" w:hAnsi="Arial" w:cs="Arial"/>
                <w:sz w:val="20"/>
                <w:szCs w:val="20"/>
              </w:rPr>
            </w:pPr>
            <w:r w:rsidRPr="005E1DF6">
              <w:rPr>
                <w:rFonts w:ascii="Arial" w:hAnsi="Arial" w:cs="Arial"/>
                <w:spacing w:val="-2"/>
                <w:sz w:val="20"/>
                <w:szCs w:val="20"/>
              </w:rPr>
              <w:t>-</w:t>
            </w:r>
            <w:r w:rsidRPr="005E1DF6">
              <w:rPr>
                <w:rFonts w:ascii="Arial" w:hAnsi="Arial" w:cs="Arial"/>
                <w:spacing w:val="-4"/>
                <w:sz w:val="20"/>
                <w:szCs w:val="20"/>
              </w:rPr>
              <w:t>1.91</w:t>
            </w:r>
          </w:p>
        </w:tc>
        <w:tc>
          <w:tcPr>
            <w:tcW w:w="398" w:type="pct"/>
          </w:tcPr>
          <w:p w14:paraId="4073DD3D" w14:textId="77777777" w:rsidR="00724942" w:rsidRPr="005E1DF6" w:rsidRDefault="00724942" w:rsidP="00F83B04">
            <w:pPr>
              <w:pStyle w:val="TableParagraph"/>
              <w:spacing w:before="14" w:line="360" w:lineRule="auto"/>
              <w:ind w:right="170"/>
              <w:jc w:val="both"/>
              <w:rPr>
                <w:rFonts w:ascii="Arial" w:hAnsi="Arial" w:cs="Arial"/>
                <w:sz w:val="20"/>
                <w:szCs w:val="20"/>
              </w:rPr>
            </w:pPr>
            <w:r w:rsidRPr="005E1DF6">
              <w:rPr>
                <w:rFonts w:ascii="Arial" w:hAnsi="Arial" w:cs="Arial"/>
                <w:spacing w:val="-5"/>
                <w:sz w:val="20"/>
                <w:szCs w:val="20"/>
              </w:rPr>
              <w:t>406</w:t>
            </w:r>
          </w:p>
        </w:tc>
        <w:tc>
          <w:tcPr>
            <w:tcW w:w="371" w:type="pct"/>
          </w:tcPr>
          <w:p w14:paraId="4073DD3E" w14:textId="77777777" w:rsidR="00724942" w:rsidRPr="005E1DF6" w:rsidRDefault="00724942" w:rsidP="00F83B04">
            <w:pPr>
              <w:pStyle w:val="TableParagraph"/>
              <w:spacing w:before="14" w:line="360" w:lineRule="auto"/>
              <w:ind w:left="54"/>
              <w:jc w:val="both"/>
              <w:rPr>
                <w:rFonts w:ascii="Arial" w:hAnsi="Arial" w:cs="Arial"/>
                <w:sz w:val="20"/>
                <w:szCs w:val="20"/>
              </w:rPr>
            </w:pPr>
            <w:r w:rsidRPr="005E1DF6">
              <w:rPr>
                <w:rFonts w:ascii="Arial" w:hAnsi="Arial" w:cs="Arial"/>
                <w:spacing w:val="-2"/>
                <w:sz w:val="20"/>
                <w:szCs w:val="20"/>
              </w:rPr>
              <w:t>51.52</w:t>
            </w:r>
          </w:p>
        </w:tc>
        <w:tc>
          <w:tcPr>
            <w:tcW w:w="385" w:type="pct"/>
          </w:tcPr>
          <w:p w14:paraId="4073DD3F" w14:textId="77777777" w:rsidR="00724942" w:rsidRPr="005E1DF6" w:rsidRDefault="00724942" w:rsidP="00F83B04">
            <w:pPr>
              <w:pStyle w:val="TableParagraph"/>
              <w:spacing w:before="14" w:line="360" w:lineRule="auto"/>
              <w:ind w:left="54"/>
              <w:jc w:val="both"/>
              <w:rPr>
                <w:rFonts w:ascii="Arial" w:hAnsi="Arial" w:cs="Arial"/>
                <w:sz w:val="20"/>
                <w:szCs w:val="20"/>
              </w:rPr>
            </w:pPr>
            <w:r w:rsidRPr="005E1DF6">
              <w:rPr>
                <w:rFonts w:ascii="Arial" w:hAnsi="Arial" w:cs="Arial"/>
                <w:spacing w:val="-2"/>
                <w:sz w:val="20"/>
                <w:szCs w:val="20"/>
              </w:rPr>
              <w:t>33.12</w:t>
            </w:r>
          </w:p>
        </w:tc>
        <w:tc>
          <w:tcPr>
            <w:tcW w:w="385" w:type="pct"/>
          </w:tcPr>
          <w:p w14:paraId="4073DD40" w14:textId="77777777" w:rsidR="00724942" w:rsidRPr="005E1DF6" w:rsidRDefault="00724942" w:rsidP="00F83B04">
            <w:pPr>
              <w:pStyle w:val="TableParagraph"/>
              <w:spacing w:before="14" w:line="360" w:lineRule="auto"/>
              <w:ind w:left="54"/>
              <w:jc w:val="both"/>
              <w:rPr>
                <w:rFonts w:ascii="Arial" w:hAnsi="Arial" w:cs="Arial"/>
                <w:sz w:val="20"/>
                <w:szCs w:val="20"/>
              </w:rPr>
            </w:pPr>
            <w:r w:rsidRPr="005E1DF6">
              <w:rPr>
                <w:rFonts w:ascii="Arial" w:hAnsi="Arial" w:cs="Arial"/>
                <w:spacing w:val="-4"/>
                <w:sz w:val="20"/>
                <w:szCs w:val="20"/>
              </w:rPr>
              <w:t>3.09</w:t>
            </w:r>
          </w:p>
        </w:tc>
        <w:tc>
          <w:tcPr>
            <w:tcW w:w="340" w:type="pct"/>
          </w:tcPr>
          <w:p w14:paraId="4073DD41" w14:textId="77777777" w:rsidR="00724942" w:rsidRPr="005E1DF6" w:rsidRDefault="00724942" w:rsidP="00F83B04">
            <w:pPr>
              <w:pStyle w:val="TableParagraph"/>
              <w:spacing w:before="14" w:line="360" w:lineRule="auto"/>
              <w:ind w:left="54"/>
              <w:jc w:val="both"/>
              <w:rPr>
                <w:rFonts w:ascii="Arial" w:hAnsi="Arial" w:cs="Arial"/>
                <w:sz w:val="20"/>
                <w:szCs w:val="20"/>
              </w:rPr>
            </w:pPr>
            <w:r w:rsidRPr="005E1DF6">
              <w:rPr>
                <w:rFonts w:ascii="Arial" w:hAnsi="Arial" w:cs="Arial"/>
                <w:spacing w:val="-4"/>
                <w:sz w:val="20"/>
                <w:szCs w:val="20"/>
              </w:rPr>
              <w:t>0.91</w:t>
            </w:r>
          </w:p>
        </w:tc>
        <w:tc>
          <w:tcPr>
            <w:tcW w:w="379" w:type="pct"/>
          </w:tcPr>
          <w:p w14:paraId="4073DD42" w14:textId="77777777" w:rsidR="00724942" w:rsidRPr="005E1DF6" w:rsidRDefault="00724942" w:rsidP="00F83B04">
            <w:pPr>
              <w:pStyle w:val="TableParagraph"/>
              <w:spacing w:before="14" w:line="360" w:lineRule="auto"/>
              <w:ind w:left="58"/>
              <w:jc w:val="both"/>
              <w:rPr>
                <w:rFonts w:ascii="Arial" w:hAnsi="Arial" w:cs="Arial"/>
                <w:sz w:val="20"/>
                <w:szCs w:val="20"/>
              </w:rPr>
            </w:pPr>
            <w:r w:rsidRPr="005E1DF6">
              <w:rPr>
                <w:rFonts w:ascii="Arial" w:hAnsi="Arial" w:cs="Arial"/>
                <w:spacing w:val="-5"/>
                <w:sz w:val="20"/>
                <w:szCs w:val="20"/>
              </w:rPr>
              <w:t>382</w:t>
            </w:r>
          </w:p>
        </w:tc>
        <w:tc>
          <w:tcPr>
            <w:tcW w:w="344" w:type="pct"/>
          </w:tcPr>
          <w:p w14:paraId="4073DD43" w14:textId="77777777" w:rsidR="00724942" w:rsidRPr="005E1DF6" w:rsidRDefault="00724942" w:rsidP="00F83B04">
            <w:pPr>
              <w:pStyle w:val="TableParagraph"/>
              <w:spacing w:before="14" w:line="360" w:lineRule="auto"/>
              <w:ind w:left="58"/>
              <w:jc w:val="both"/>
              <w:rPr>
                <w:rFonts w:ascii="Arial" w:hAnsi="Arial" w:cs="Arial"/>
                <w:sz w:val="20"/>
                <w:szCs w:val="20"/>
              </w:rPr>
            </w:pPr>
            <w:r w:rsidRPr="005E1DF6">
              <w:rPr>
                <w:rFonts w:ascii="Arial" w:hAnsi="Arial" w:cs="Arial"/>
                <w:spacing w:val="-2"/>
                <w:sz w:val="20"/>
                <w:szCs w:val="20"/>
              </w:rPr>
              <w:t>48.48</w:t>
            </w:r>
          </w:p>
        </w:tc>
        <w:tc>
          <w:tcPr>
            <w:tcW w:w="386" w:type="pct"/>
          </w:tcPr>
          <w:p w14:paraId="4073DD44" w14:textId="77777777" w:rsidR="00724942" w:rsidRPr="005E1DF6" w:rsidRDefault="00724942" w:rsidP="00F83B04">
            <w:pPr>
              <w:pStyle w:val="TableParagraph"/>
              <w:spacing w:before="14" w:line="360" w:lineRule="auto"/>
              <w:ind w:left="58"/>
              <w:jc w:val="both"/>
              <w:rPr>
                <w:rFonts w:ascii="Arial" w:hAnsi="Arial" w:cs="Arial"/>
                <w:sz w:val="20"/>
                <w:szCs w:val="20"/>
              </w:rPr>
            </w:pPr>
            <w:r w:rsidRPr="005E1DF6">
              <w:rPr>
                <w:rFonts w:ascii="Arial" w:hAnsi="Arial" w:cs="Arial"/>
                <w:spacing w:val="-2"/>
                <w:sz w:val="20"/>
                <w:szCs w:val="20"/>
              </w:rPr>
              <w:t>14.97</w:t>
            </w:r>
          </w:p>
        </w:tc>
        <w:tc>
          <w:tcPr>
            <w:tcW w:w="344" w:type="pct"/>
          </w:tcPr>
          <w:p w14:paraId="4073DD45" w14:textId="77777777" w:rsidR="00724942" w:rsidRPr="005E1DF6" w:rsidRDefault="00724942" w:rsidP="00F83B04">
            <w:pPr>
              <w:pStyle w:val="TableParagraph"/>
              <w:spacing w:before="14" w:line="360" w:lineRule="auto"/>
              <w:ind w:left="18"/>
              <w:jc w:val="both"/>
              <w:rPr>
                <w:rFonts w:ascii="Arial" w:hAnsi="Arial" w:cs="Arial"/>
                <w:sz w:val="20"/>
                <w:szCs w:val="20"/>
              </w:rPr>
            </w:pPr>
            <w:r w:rsidRPr="005E1DF6">
              <w:rPr>
                <w:rFonts w:ascii="Arial" w:hAnsi="Arial" w:cs="Arial"/>
                <w:spacing w:val="-2"/>
                <w:sz w:val="20"/>
                <w:szCs w:val="20"/>
              </w:rPr>
              <w:t>-</w:t>
            </w:r>
            <w:r w:rsidRPr="005E1DF6">
              <w:rPr>
                <w:rFonts w:ascii="Arial" w:hAnsi="Arial" w:cs="Arial"/>
                <w:spacing w:val="-4"/>
                <w:sz w:val="20"/>
                <w:szCs w:val="20"/>
              </w:rPr>
              <w:t>0.54</w:t>
            </w:r>
          </w:p>
        </w:tc>
        <w:tc>
          <w:tcPr>
            <w:tcW w:w="455" w:type="pct"/>
          </w:tcPr>
          <w:p w14:paraId="4073DD46" w14:textId="77777777" w:rsidR="00724942" w:rsidRPr="005E1DF6" w:rsidRDefault="00724942" w:rsidP="00F83B04">
            <w:pPr>
              <w:pStyle w:val="TableParagraph"/>
              <w:spacing w:before="14" w:line="360" w:lineRule="auto"/>
              <w:ind w:left="54"/>
              <w:jc w:val="both"/>
              <w:rPr>
                <w:rFonts w:ascii="Arial" w:hAnsi="Arial" w:cs="Arial"/>
                <w:sz w:val="20"/>
                <w:szCs w:val="20"/>
              </w:rPr>
            </w:pPr>
            <w:r w:rsidRPr="005E1DF6">
              <w:rPr>
                <w:rFonts w:ascii="Arial" w:hAnsi="Arial" w:cs="Arial"/>
                <w:spacing w:val="-4"/>
                <w:sz w:val="20"/>
                <w:szCs w:val="20"/>
              </w:rPr>
              <w:t>`+/- 0.13</w:t>
            </w:r>
          </w:p>
        </w:tc>
      </w:tr>
      <w:tr w:rsidR="00724942" w:rsidRPr="005E1DF6" w14:paraId="4073DD55" w14:textId="77777777" w:rsidTr="00F83B04">
        <w:trPr>
          <w:trHeight w:val="530"/>
        </w:trPr>
        <w:tc>
          <w:tcPr>
            <w:tcW w:w="496" w:type="pct"/>
          </w:tcPr>
          <w:p w14:paraId="4073DD48" w14:textId="77777777" w:rsidR="00724942" w:rsidRPr="005E1DF6" w:rsidRDefault="00724942" w:rsidP="00F83B04">
            <w:pPr>
              <w:pStyle w:val="TableParagraph"/>
              <w:spacing w:before="14" w:line="360" w:lineRule="auto"/>
              <w:ind w:left="57" w:right="110"/>
              <w:jc w:val="both"/>
              <w:rPr>
                <w:rFonts w:ascii="Arial" w:hAnsi="Arial" w:cs="Arial"/>
                <w:sz w:val="20"/>
                <w:szCs w:val="20"/>
              </w:rPr>
            </w:pPr>
            <w:r w:rsidRPr="005E1DF6">
              <w:rPr>
                <w:rFonts w:ascii="Arial" w:hAnsi="Arial" w:cs="Arial"/>
                <w:spacing w:val="-4"/>
                <w:sz w:val="20"/>
                <w:szCs w:val="20"/>
              </w:rPr>
              <w:t xml:space="preserve">Zone </w:t>
            </w:r>
            <w:r w:rsidRPr="005E1DF6">
              <w:rPr>
                <w:rFonts w:ascii="Arial" w:hAnsi="Arial" w:cs="Arial"/>
                <w:spacing w:val="-10"/>
                <w:sz w:val="20"/>
                <w:szCs w:val="20"/>
              </w:rPr>
              <w:t>B</w:t>
            </w:r>
          </w:p>
        </w:tc>
        <w:tc>
          <w:tcPr>
            <w:tcW w:w="355" w:type="pct"/>
          </w:tcPr>
          <w:p w14:paraId="4073DD49" w14:textId="77777777" w:rsidR="00724942" w:rsidRPr="005E1DF6" w:rsidRDefault="00724942" w:rsidP="00F83B04">
            <w:pPr>
              <w:pStyle w:val="TableParagraph"/>
              <w:spacing w:before="14" w:line="360" w:lineRule="auto"/>
              <w:ind w:right="68"/>
              <w:jc w:val="both"/>
              <w:rPr>
                <w:rFonts w:ascii="Arial" w:hAnsi="Arial" w:cs="Arial"/>
                <w:sz w:val="20"/>
                <w:szCs w:val="20"/>
              </w:rPr>
            </w:pPr>
            <w:r w:rsidRPr="005E1DF6">
              <w:rPr>
                <w:rFonts w:ascii="Arial" w:hAnsi="Arial" w:cs="Arial"/>
                <w:spacing w:val="-2"/>
                <w:sz w:val="20"/>
                <w:szCs w:val="20"/>
              </w:rPr>
              <w:t>-</w:t>
            </w:r>
            <w:r w:rsidRPr="005E1DF6">
              <w:rPr>
                <w:rFonts w:ascii="Arial" w:hAnsi="Arial" w:cs="Arial"/>
                <w:spacing w:val="-4"/>
                <w:sz w:val="20"/>
                <w:szCs w:val="20"/>
              </w:rPr>
              <w:t>24.7</w:t>
            </w:r>
          </w:p>
        </w:tc>
        <w:tc>
          <w:tcPr>
            <w:tcW w:w="363" w:type="pct"/>
          </w:tcPr>
          <w:p w14:paraId="4073DD4A" w14:textId="77777777" w:rsidR="00724942" w:rsidRPr="005E1DF6" w:rsidRDefault="00724942" w:rsidP="00F83B04">
            <w:pPr>
              <w:pStyle w:val="TableParagraph"/>
              <w:spacing w:before="14" w:line="360" w:lineRule="auto"/>
              <w:ind w:right="93"/>
              <w:jc w:val="both"/>
              <w:rPr>
                <w:rFonts w:ascii="Arial" w:hAnsi="Arial" w:cs="Arial"/>
                <w:sz w:val="20"/>
                <w:szCs w:val="20"/>
              </w:rPr>
            </w:pPr>
            <w:r w:rsidRPr="005E1DF6">
              <w:rPr>
                <w:rFonts w:ascii="Arial" w:hAnsi="Arial" w:cs="Arial"/>
                <w:spacing w:val="-2"/>
                <w:sz w:val="20"/>
                <w:szCs w:val="20"/>
              </w:rPr>
              <w:t>-</w:t>
            </w:r>
            <w:r w:rsidRPr="005E1DF6">
              <w:rPr>
                <w:rFonts w:ascii="Arial" w:hAnsi="Arial" w:cs="Arial"/>
                <w:spacing w:val="-4"/>
                <w:sz w:val="20"/>
                <w:szCs w:val="20"/>
              </w:rPr>
              <w:t>5.23</w:t>
            </w:r>
          </w:p>
        </w:tc>
        <w:tc>
          <w:tcPr>
            <w:tcW w:w="398" w:type="pct"/>
          </w:tcPr>
          <w:p w14:paraId="4073DD4B" w14:textId="77777777" w:rsidR="00724942" w:rsidRPr="005E1DF6" w:rsidRDefault="00724942" w:rsidP="00F83B04">
            <w:pPr>
              <w:pStyle w:val="TableParagraph"/>
              <w:spacing w:before="14" w:line="360" w:lineRule="auto"/>
              <w:ind w:right="170"/>
              <w:jc w:val="both"/>
              <w:rPr>
                <w:rFonts w:ascii="Arial" w:hAnsi="Arial" w:cs="Arial"/>
                <w:sz w:val="20"/>
                <w:szCs w:val="20"/>
              </w:rPr>
            </w:pPr>
            <w:r w:rsidRPr="005E1DF6">
              <w:rPr>
                <w:rFonts w:ascii="Arial" w:hAnsi="Arial" w:cs="Arial"/>
                <w:spacing w:val="-5"/>
                <w:sz w:val="20"/>
                <w:szCs w:val="20"/>
              </w:rPr>
              <w:t>983</w:t>
            </w:r>
          </w:p>
        </w:tc>
        <w:tc>
          <w:tcPr>
            <w:tcW w:w="371" w:type="pct"/>
          </w:tcPr>
          <w:p w14:paraId="4073DD4C" w14:textId="77777777" w:rsidR="00724942" w:rsidRPr="005E1DF6" w:rsidRDefault="00724942" w:rsidP="00F83B04">
            <w:pPr>
              <w:pStyle w:val="TableParagraph"/>
              <w:spacing w:before="14" w:line="360" w:lineRule="auto"/>
              <w:ind w:left="54"/>
              <w:jc w:val="both"/>
              <w:rPr>
                <w:rFonts w:ascii="Arial" w:hAnsi="Arial" w:cs="Arial"/>
                <w:sz w:val="20"/>
                <w:szCs w:val="20"/>
              </w:rPr>
            </w:pPr>
            <w:r w:rsidRPr="005E1DF6">
              <w:rPr>
                <w:rFonts w:ascii="Arial" w:hAnsi="Arial" w:cs="Arial"/>
                <w:spacing w:val="-4"/>
                <w:sz w:val="20"/>
                <w:szCs w:val="20"/>
              </w:rPr>
              <w:t>91.1</w:t>
            </w:r>
          </w:p>
        </w:tc>
        <w:tc>
          <w:tcPr>
            <w:tcW w:w="385" w:type="pct"/>
          </w:tcPr>
          <w:p w14:paraId="4073DD4D" w14:textId="77777777" w:rsidR="00724942" w:rsidRPr="005E1DF6" w:rsidRDefault="00724942" w:rsidP="00F83B04">
            <w:pPr>
              <w:pStyle w:val="TableParagraph"/>
              <w:spacing w:before="14" w:line="360" w:lineRule="auto"/>
              <w:ind w:left="54"/>
              <w:jc w:val="both"/>
              <w:rPr>
                <w:rFonts w:ascii="Arial" w:hAnsi="Arial" w:cs="Arial"/>
                <w:sz w:val="20"/>
                <w:szCs w:val="20"/>
              </w:rPr>
            </w:pPr>
            <w:r w:rsidRPr="005E1DF6">
              <w:rPr>
                <w:rFonts w:ascii="Arial" w:hAnsi="Arial" w:cs="Arial"/>
                <w:spacing w:val="-2"/>
                <w:sz w:val="20"/>
                <w:szCs w:val="20"/>
              </w:rPr>
              <w:t>77.02</w:t>
            </w:r>
          </w:p>
        </w:tc>
        <w:tc>
          <w:tcPr>
            <w:tcW w:w="385" w:type="pct"/>
          </w:tcPr>
          <w:p w14:paraId="4073DD4E" w14:textId="77777777" w:rsidR="00724942" w:rsidRPr="005E1DF6" w:rsidRDefault="00724942" w:rsidP="00F83B04">
            <w:pPr>
              <w:pStyle w:val="TableParagraph"/>
              <w:spacing w:before="14" w:line="360" w:lineRule="auto"/>
              <w:ind w:left="54"/>
              <w:jc w:val="both"/>
              <w:rPr>
                <w:rFonts w:ascii="Arial" w:hAnsi="Arial" w:cs="Arial"/>
                <w:sz w:val="20"/>
                <w:szCs w:val="20"/>
              </w:rPr>
            </w:pPr>
            <w:r w:rsidRPr="005E1DF6">
              <w:rPr>
                <w:rFonts w:ascii="Arial" w:hAnsi="Arial" w:cs="Arial"/>
                <w:spacing w:val="-2"/>
                <w:sz w:val="20"/>
                <w:szCs w:val="20"/>
              </w:rPr>
              <w:t>38.82</w:t>
            </w:r>
          </w:p>
        </w:tc>
        <w:tc>
          <w:tcPr>
            <w:tcW w:w="340" w:type="pct"/>
          </w:tcPr>
          <w:p w14:paraId="4073DD4F" w14:textId="77777777" w:rsidR="00724942" w:rsidRPr="005E1DF6" w:rsidRDefault="00724942" w:rsidP="00F83B04">
            <w:pPr>
              <w:pStyle w:val="TableParagraph"/>
              <w:spacing w:before="14" w:line="360" w:lineRule="auto"/>
              <w:ind w:left="54"/>
              <w:jc w:val="both"/>
              <w:rPr>
                <w:rFonts w:ascii="Arial" w:hAnsi="Arial" w:cs="Arial"/>
                <w:sz w:val="20"/>
                <w:szCs w:val="20"/>
              </w:rPr>
            </w:pPr>
            <w:r w:rsidRPr="005E1DF6">
              <w:rPr>
                <w:rFonts w:ascii="Arial" w:hAnsi="Arial" w:cs="Arial"/>
                <w:spacing w:val="-4"/>
                <w:sz w:val="20"/>
                <w:szCs w:val="20"/>
              </w:rPr>
              <w:t>3.44</w:t>
            </w:r>
          </w:p>
        </w:tc>
        <w:tc>
          <w:tcPr>
            <w:tcW w:w="379" w:type="pct"/>
          </w:tcPr>
          <w:p w14:paraId="4073DD50" w14:textId="77777777" w:rsidR="00724942" w:rsidRPr="005E1DF6" w:rsidRDefault="00724942" w:rsidP="00F83B04">
            <w:pPr>
              <w:pStyle w:val="TableParagraph"/>
              <w:spacing w:before="14" w:line="360" w:lineRule="auto"/>
              <w:ind w:left="58"/>
              <w:jc w:val="both"/>
              <w:rPr>
                <w:rFonts w:ascii="Arial" w:hAnsi="Arial" w:cs="Arial"/>
                <w:sz w:val="20"/>
                <w:szCs w:val="20"/>
              </w:rPr>
            </w:pPr>
            <w:r w:rsidRPr="005E1DF6">
              <w:rPr>
                <w:rFonts w:ascii="Arial" w:hAnsi="Arial" w:cs="Arial"/>
                <w:spacing w:val="-5"/>
                <w:sz w:val="20"/>
                <w:szCs w:val="20"/>
              </w:rPr>
              <w:t>96</w:t>
            </w:r>
          </w:p>
        </w:tc>
        <w:tc>
          <w:tcPr>
            <w:tcW w:w="344" w:type="pct"/>
          </w:tcPr>
          <w:p w14:paraId="4073DD51" w14:textId="77777777" w:rsidR="00724942" w:rsidRPr="005E1DF6" w:rsidRDefault="00724942" w:rsidP="00F83B04">
            <w:pPr>
              <w:pStyle w:val="TableParagraph"/>
              <w:spacing w:before="14" w:line="360" w:lineRule="auto"/>
              <w:ind w:left="58"/>
              <w:jc w:val="both"/>
              <w:rPr>
                <w:rFonts w:ascii="Arial" w:hAnsi="Arial" w:cs="Arial"/>
                <w:sz w:val="20"/>
                <w:szCs w:val="20"/>
              </w:rPr>
            </w:pPr>
            <w:r w:rsidRPr="005E1DF6">
              <w:rPr>
                <w:rFonts w:ascii="Arial" w:hAnsi="Arial" w:cs="Arial"/>
                <w:spacing w:val="-5"/>
                <w:sz w:val="20"/>
                <w:szCs w:val="20"/>
              </w:rPr>
              <w:t>8.9</w:t>
            </w:r>
          </w:p>
        </w:tc>
        <w:tc>
          <w:tcPr>
            <w:tcW w:w="386" w:type="pct"/>
          </w:tcPr>
          <w:p w14:paraId="4073DD52" w14:textId="77777777" w:rsidR="00724942" w:rsidRPr="005E1DF6" w:rsidRDefault="00724942" w:rsidP="00F83B04">
            <w:pPr>
              <w:pStyle w:val="TableParagraph"/>
              <w:spacing w:before="14" w:line="360" w:lineRule="auto"/>
              <w:ind w:left="58"/>
              <w:jc w:val="both"/>
              <w:rPr>
                <w:rFonts w:ascii="Arial" w:hAnsi="Arial" w:cs="Arial"/>
                <w:sz w:val="20"/>
                <w:szCs w:val="20"/>
              </w:rPr>
            </w:pPr>
            <w:r w:rsidRPr="005E1DF6">
              <w:rPr>
                <w:rFonts w:ascii="Arial" w:hAnsi="Arial" w:cs="Arial"/>
                <w:spacing w:val="-4"/>
                <w:sz w:val="20"/>
                <w:szCs w:val="20"/>
              </w:rPr>
              <w:t>4.91</w:t>
            </w:r>
          </w:p>
        </w:tc>
        <w:tc>
          <w:tcPr>
            <w:tcW w:w="344" w:type="pct"/>
          </w:tcPr>
          <w:p w14:paraId="4073DD53" w14:textId="77777777" w:rsidR="00724942" w:rsidRPr="005E1DF6" w:rsidRDefault="00724942" w:rsidP="00F83B04">
            <w:pPr>
              <w:pStyle w:val="TableParagraph"/>
              <w:spacing w:before="14" w:line="360" w:lineRule="auto"/>
              <w:ind w:left="18"/>
              <w:jc w:val="both"/>
              <w:rPr>
                <w:rFonts w:ascii="Arial" w:hAnsi="Arial" w:cs="Arial"/>
                <w:sz w:val="20"/>
                <w:szCs w:val="20"/>
              </w:rPr>
            </w:pPr>
            <w:r w:rsidRPr="005E1DF6">
              <w:rPr>
                <w:rFonts w:ascii="Arial" w:hAnsi="Arial" w:cs="Arial"/>
                <w:spacing w:val="-2"/>
                <w:sz w:val="20"/>
                <w:szCs w:val="20"/>
              </w:rPr>
              <w:t>-</w:t>
            </w:r>
            <w:r w:rsidRPr="005E1DF6">
              <w:rPr>
                <w:rFonts w:ascii="Arial" w:hAnsi="Arial" w:cs="Arial"/>
                <w:spacing w:val="-4"/>
                <w:sz w:val="20"/>
                <w:szCs w:val="20"/>
              </w:rPr>
              <w:t>4.46</w:t>
            </w:r>
          </w:p>
        </w:tc>
        <w:tc>
          <w:tcPr>
            <w:tcW w:w="455" w:type="pct"/>
          </w:tcPr>
          <w:p w14:paraId="4073DD54" w14:textId="77777777" w:rsidR="00724942" w:rsidRPr="005E1DF6" w:rsidRDefault="00724942" w:rsidP="00F83B04">
            <w:pPr>
              <w:pStyle w:val="TableParagraph"/>
              <w:spacing w:before="14" w:line="360" w:lineRule="auto"/>
              <w:ind w:left="54"/>
              <w:jc w:val="both"/>
              <w:rPr>
                <w:rFonts w:ascii="Arial" w:hAnsi="Arial" w:cs="Arial"/>
                <w:sz w:val="20"/>
                <w:szCs w:val="20"/>
              </w:rPr>
            </w:pPr>
            <w:r w:rsidRPr="005E1DF6">
              <w:rPr>
                <w:rFonts w:ascii="Arial" w:hAnsi="Arial" w:cs="Arial"/>
                <w:spacing w:val="-4"/>
                <w:sz w:val="20"/>
                <w:szCs w:val="20"/>
              </w:rPr>
              <w:t>+/- 0.34</w:t>
            </w:r>
          </w:p>
        </w:tc>
      </w:tr>
      <w:tr w:rsidR="00724942" w:rsidRPr="005E1DF6" w14:paraId="4073DD63" w14:textId="77777777" w:rsidTr="00F83B04">
        <w:trPr>
          <w:trHeight w:val="530"/>
        </w:trPr>
        <w:tc>
          <w:tcPr>
            <w:tcW w:w="496" w:type="pct"/>
          </w:tcPr>
          <w:p w14:paraId="4073DD56" w14:textId="77777777" w:rsidR="00724942" w:rsidRPr="005E1DF6" w:rsidRDefault="00724942" w:rsidP="00F83B04">
            <w:pPr>
              <w:pStyle w:val="TableParagraph"/>
              <w:spacing w:before="14" w:line="360" w:lineRule="auto"/>
              <w:ind w:left="57" w:right="110"/>
              <w:jc w:val="both"/>
              <w:rPr>
                <w:rFonts w:ascii="Arial" w:hAnsi="Arial" w:cs="Arial"/>
                <w:sz w:val="20"/>
                <w:szCs w:val="20"/>
              </w:rPr>
            </w:pPr>
            <w:r w:rsidRPr="005E1DF6">
              <w:rPr>
                <w:rFonts w:ascii="Arial" w:hAnsi="Arial" w:cs="Arial"/>
                <w:spacing w:val="-4"/>
                <w:sz w:val="20"/>
                <w:szCs w:val="20"/>
              </w:rPr>
              <w:t xml:space="preserve">Zone </w:t>
            </w:r>
            <w:r w:rsidRPr="005E1DF6">
              <w:rPr>
                <w:rFonts w:ascii="Arial" w:hAnsi="Arial" w:cs="Arial"/>
                <w:spacing w:val="-10"/>
                <w:sz w:val="20"/>
                <w:szCs w:val="20"/>
              </w:rPr>
              <w:t>C</w:t>
            </w:r>
          </w:p>
        </w:tc>
        <w:tc>
          <w:tcPr>
            <w:tcW w:w="355" w:type="pct"/>
          </w:tcPr>
          <w:p w14:paraId="4073DD57" w14:textId="77777777" w:rsidR="00724942" w:rsidRPr="005E1DF6" w:rsidRDefault="00724942" w:rsidP="00F83B04">
            <w:pPr>
              <w:pStyle w:val="TableParagraph"/>
              <w:spacing w:before="14" w:line="360" w:lineRule="auto"/>
              <w:ind w:left="57" w:right="87"/>
              <w:jc w:val="both"/>
              <w:rPr>
                <w:rFonts w:ascii="Arial" w:hAnsi="Arial" w:cs="Arial"/>
                <w:sz w:val="20"/>
                <w:szCs w:val="20"/>
              </w:rPr>
            </w:pPr>
            <w:r w:rsidRPr="005E1DF6">
              <w:rPr>
                <w:rFonts w:ascii="Arial" w:hAnsi="Arial" w:cs="Arial"/>
                <w:spacing w:val="-10"/>
                <w:sz w:val="20"/>
                <w:szCs w:val="20"/>
              </w:rPr>
              <w:t>-</w:t>
            </w:r>
            <w:r w:rsidRPr="005E1DF6">
              <w:rPr>
                <w:rFonts w:ascii="Arial" w:hAnsi="Arial" w:cs="Arial"/>
                <w:spacing w:val="-2"/>
                <w:sz w:val="20"/>
                <w:szCs w:val="20"/>
              </w:rPr>
              <w:t xml:space="preserve"> 14.86</w:t>
            </w:r>
          </w:p>
        </w:tc>
        <w:tc>
          <w:tcPr>
            <w:tcW w:w="363" w:type="pct"/>
          </w:tcPr>
          <w:p w14:paraId="4073DD58" w14:textId="77777777" w:rsidR="00724942" w:rsidRPr="005E1DF6" w:rsidRDefault="00724942" w:rsidP="00F83B04">
            <w:pPr>
              <w:pStyle w:val="TableParagraph"/>
              <w:spacing w:before="14" w:line="360" w:lineRule="auto"/>
              <w:ind w:right="93"/>
              <w:jc w:val="both"/>
              <w:rPr>
                <w:rFonts w:ascii="Arial" w:hAnsi="Arial" w:cs="Arial"/>
                <w:sz w:val="20"/>
                <w:szCs w:val="20"/>
              </w:rPr>
            </w:pPr>
            <w:r w:rsidRPr="005E1DF6">
              <w:rPr>
                <w:rFonts w:ascii="Arial" w:hAnsi="Arial" w:cs="Arial"/>
                <w:spacing w:val="-2"/>
                <w:sz w:val="20"/>
                <w:szCs w:val="20"/>
              </w:rPr>
              <w:t>-</w:t>
            </w:r>
            <w:r w:rsidRPr="005E1DF6">
              <w:rPr>
                <w:rFonts w:ascii="Arial" w:hAnsi="Arial" w:cs="Arial"/>
                <w:spacing w:val="-4"/>
                <w:sz w:val="20"/>
                <w:szCs w:val="20"/>
              </w:rPr>
              <w:t>3.82</w:t>
            </w:r>
          </w:p>
        </w:tc>
        <w:tc>
          <w:tcPr>
            <w:tcW w:w="398" w:type="pct"/>
          </w:tcPr>
          <w:p w14:paraId="4073DD59" w14:textId="77777777" w:rsidR="00724942" w:rsidRPr="005E1DF6" w:rsidRDefault="00724942" w:rsidP="00F83B04">
            <w:pPr>
              <w:pStyle w:val="TableParagraph"/>
              <w:spacing w:before="14" w:line="360" w:lineRule="auto"/>
              <w:ind w:right="170"/>
              <w:jc w:val="both"/>
              <w:rPr>
                <w:rFonts w:ascii="Arial" w:hAnsi="Arial" w:cs="Arial"/>
                <w:sz w:val="20"/>
                <w:szCs w:val="20"/>
              </w:rPr>
            </w:pPr>
            <w:r w:rsidRPr="005E1DF6">
              <w:rPr>
                <w:rFonts w:ascii="Arial" w:hAnsi="Arial" w:cs="Arial"/>
                <w:spacing w:val="-5"/>
                <w:sz w:val="20"/>
                <w:szCs w:val="20"/>
              </w:rPr>
              <w:t>584</w:t>
            </w:r>
          </w:p>
        </w:tc>
        <w:tc>
          <w:tcPr>
            <w:tcW w:w="371" w:type="pct"/>
          </w:tcPr>
          <w:p w14:paraId="4073DD5A" w14:textId="77777777" w:rsidR="00724942" w:rsidRPr="005E1DF6" w:rsidRDefault="00724942" w:rsidP="00F83B04">
            <w:pPr>
              <w:pStyle w:val="TableParagraph"/>
              <w:spacing w:before="14" w:line="360" w:lineRule="auto"/>
              <w:ind w:left="54"/>
              <w:jc w:val="both"/>
              <w:rPr>
                <w:rFonts w:ascii="Arial" w:hAnsi="Arial" w:cs="Arial"/>
                <w:sz w:val="20"/>
                <w:szCs w:val="20"/>
              </w:rPr>
            </w:pPr>
            <w:r w:rsidRPr="005E1DF6">
              <w:rPr>
                <w:rFonts w:ascii="Arial" w:hAnsi="Arial" w:cs="Arial"/>
                <w:spacing w:val="-2"/>
                <w:sz w:val="20"/>
                <w:szCs w:val="20"/>
              </w:rPr>
              <w:t>80.66</w:t>
            </w:r>
          </w:p>
        </w:tc>
        <w:tc>
          <w:tcPr>
            <w:tcW w:w="385" w:type="pct"/>
          </w:tcPr>
          <w:p w14:paraId="4073DD5B" w14:textId="77777777" w:rsidR="00724942" w:rsidRPr="005E1DF6" w:rsidRDefault="00724942" w:rsidP="00F83B04">
            <w:pPr>
              <w:pStyle w:val="TableParagraph"/>
              <w:spacing w:before="14" w:line="360" w:lineRule="auto"/>
              <w:ind w:left="54"/>
              <w:jc w:val="both"/>
              <w:rPr>
                <w:rFonts w:ascii="Arial" w:hAnsi="Arial" w:cs="Arial"/>
                <w:sz w:val="20"/>
                <w:szCs w:val="20"/>
              </w:rPr>
            </w:pPr>
            <w:r w:rsidRPr="005E1DF6">
              <w:rPr>
                <w:rFonts w:ascii="Arial" w:hAnsi="Arial" w:cs="Arial"/>
                <w:spacing w:val="-2"/>
                <w:sz w:val="20"/>
                <w:szCs w:val="20"/>
              </w:rPr>
              <w:t>61.45</w:t>
            </w:r>
          </w:p>
        </w:tc>
        <w:tc>
          <w:tcPr>
            <w:tcW w:w="385" w:type="pct"/>
          </w:tcPr>
          <w:p w14:paraId="4073DD5C" w14:textId="77777777" w:rsidR="00724942" w:rsidRPr="005E1DF6" w:rsidRDefault="00724942" w:rsidP="00F83B04">
            <w:pPr>
              <w:pStyle w:val="TableParagraph"/>
              <w:spacing w:before="14" w:line="360" w:lineRule="auto"/>
              <w:ind w:left="54"/>
              <w:jc w:val="both"/>
              <w:rPr>
                <w:rFonts w:ascii="Arial" w:hAnsi="Arial" w:cs="Arial"/>
                <w:sz w:val="20"/>
                <w:szCs w:val="20"/>
              </w:rPr>
            </w:pPr>
            <w:r w:rsidRPr="005E1DF6">
              <w:rPr>
                <w:rFonts w:ascii="Arial" w:hAnsi="Arial" w:cs="Arial"/>
                <w:spacing w:val="-2"/>
                <w:sz w:val="20"/>
                <w:szCs w:val="20"/>
              </w:rPr>
              <w:t>14.85</w:t>
            </w:r>
          </w:p>
        </w:tc>
        <w:tc>
          <w:tcPr>
            <w:tcW w:w="340" w:type="pct"/>
          </w:tcPr>
          <w:p w14:paraId="4073DD5D" w14:textId="77777777" w:rsidR="00724942" w:rsidRPr="005E1DF6" w:rsidRDefault="00724942" w:rsidP="00F83B04">
            <w:pPr>
              <w:pStyle w:val="TableParagraph"/>
              <w:spacing w:before="14" w:line="360" w:lineRule="auto"/>
              <w:ind w:left="54"/>
              <w:jc w:val="both"/>
              <w:rPr>
                <w:rFonts w:ascii="Arial" w:hAnsi="Arial" w:cs="Arial"/>
                <w:sz w:val="20"/>
                <w:szCs w:val="20"/>
              </w:rPr>
            </w:pPr>
            <w:r w:rsidRPr="005E1DF6">
              <w:rPr>
                <w:rFonts w:ascii="Arial" w:hAnsi="Arial" w:cs="Arial"/>
                <w:spacing w:val="-4"/>
                <w:sz w:val="20"/>
                <w:szCs w:val="20"/>
              </w:rPr>
              <w:t>3.28</w:t>
            </w:r>
          </w:p>
        </w:tc>
        <w:tc>
          <w:tcPr>
            <w:tcW w:w="379" w:type="pct"/>
          </w:tcPr>
          <w:p w14:paraId="4073DD5E" w14:textId="77777777" w:rsidR="00724942" w:rsidRPr="005E1DF6" w:rsidRDefault="00724942" w:rsidP="00F83B04">
            <w:pPr>
              <w:pStyle w:val="TableParagraph"/>
              <w:spacing w:before="14" w:line="360" w:lineRule="auto"/>
              <w:ind w:left="58"/>
              <w:jc w:val="both"/>
              <w:rPr>
                <w:rFonts w:ascii="Arial" w:hAnsi="Arial" w:cs="Arial"/>
                <w:sz w:val="20"/>
                <w:szCs w:val="20"/>
              </w:rPr>
            </w:pPr>
            <w:r w:rsidRPr="005E1DF6">
              <w:rPr>
                <w:rFonts w:ascii="Arial" w:hAnsi="Arial" w:cs="Arial"/>
                <w:spacing w:val="-5"/>
                <w:sz w:val="20"/>
                <w:szCs w:val="20"/>
              </w:rPr>
              <w:t>140</w:t>
            </w:r>
          </w:p>
        </w:tc>
        <w:tc>
          <w:tcPr>
            <w:tcW w:w="344" w:type="pct"/>
          </w:tcPr>
          <w:p w14:paraId="4073DD5F" w14:textId="77777777" w:rsidR="00724942" w:rsidRPr="005E1DF6" w:rsidRDefault="00724942" w:rsidP="00F83B04">
            <w:pPr>
              <w:pStyle w:val="TableParagraph"/>
              <w:spacing w:before="14" w:line="360" w:lineRule="auto"/>
              <w:ind w:left="58"/>
              <w:jc w:val="both"/>
              <w:rPr>
                <w:rFonts w:ascii="Arial" w:hAnsi="Arial" w:cs="Arial"/>
                <w:sz w:val="20"/>
                <w:szCs w:val="20"/>
              </w:rPr>
            </w:pPr>
            <w:r w:rsidRPr="005E1DF6">
              <w:rPr>
                <w:rFonts w:ascii="Arial" w:hAnsi="Arial" w:cs="Arial"/>
                <w:spacing w:val="-2"/>
                <w:sz w:val="20"/>
                <w:szCs w:val="20"/>
              </w:rPr>
              <w:t>19.34</w:t>
            </w:r>
          </w:p>
        </w:tc>
        <w:tc>
          <w:tcPr>
            <w:tcW w:w="386" w:type="pct"/>
          </w:tcPr>
          <w:p w14:paraId="4073DD60" w14:textId="77777777" w:rsidR="00724942" w:rsidRPr="005E1DF6" w:rsidRDefault="00724942" w:rsidP="00F83B04">
            <w:pPr>
              <w:pStyle w:val="TableParagraph"/>
              <w:spacing w:before="14" w:line="360" w:lineRule="auto"/>
              <w:ind w:left="58"/>
              <w:jc w:val="both"/>
              <w:rPr>
                <w:rFonts w:ascii="Arial" w:hAnsi="Arial" w:cs="Arial"/>
                <w:sz w:val="20"/>
                <w:szCs w:val="20"/>
              </w:rPr>
            </w:pPr>
            <w:r w:rsidRPr="005E1DF6">
              <w:rPr>
                <w:rFonts w:ascii="Arial" w:hAnsi="Arial" w:cs="Arial"/>
                <w:spacing w:val="-4"/>
                <w:sz w:val="20"/>
                <w:szCs w:val="20"/>
              </w:rPr>
              <w:t>6.77</w:t>
            </w:r>
          </w:p>
        </w:tc>
        <w:tc>
          <w:tcPr>
            <w:tcW w:w="344" w:type="pct"/>
          </w:tcPr>
          <w:p w14:paraId="4073DD61" w14:textId="77777777" w:rsidR="00724942" w:rsidRPr="005E1DF6" w:rsidRDefault="00724942" w:rsidP="00F83B04">
            <w:pPr>
              <w:pStyle w:val="TableParagraph"/>
              <w:spacing w:before="14" w:line="360" w:lineRule="auto"/>
              <w:ind w:left="18"/>
              <w:jc w:val="both"/>
              <w:rPr>
                <w:rFonts w:ascii="Arial" w:hAnsi="Arial" w:cs="Arial"/>
                <w:sz w:val="20"/>
                <w:szCs w:val="20"/>
              </w:rPr>
            </w:pPr>
            <w:r w:rsidRPr="005E1DF6">
              <w:rPr>
                <w:rFonts w:ascii="Arial" w:hAnsi="Arial" w:cs="Arial"/>
                <w:spacing w:val="-2"/>
                <w:sz w:val="20"/>
                <w:szCs w:val="20"/>
              </w:rPr>
              <w:t>-</w:t>
            </w:r>
            <w:r w:rsidRPr="005E1DF6">
              <w:rPr>
                <w:rFonts w:ascii="Arial" w:hAnsi="Arial" w:cs="Arial"/>
                <w:spacing w:val="-4"/>
                <w:sz w:val="20"/>
                <w:szCs w:val="20"/>
              </w:rPr>
              <w:t>2.44</w:t>
            </w:r>
          </w:p>
        </w:tc>
        <w:tc>
          <w:tcPr>
            <w:tcW w:w="455" w:type="pct"/>
          </w:tcPr>
          <w:p w14:paraId="4073DD62" w14:textId="77777777" w:rsidR="00724942" w:rsidRPr="005E1DF6" w:rsidRDefault="00724942" w:rsidP="00F83B04">
            <w:pPr>
              <w:pStyle w:val="TableParagraph"/>
              <w:spacing w:before="14" w:line="360" w:lineRule="auto"/>
              <w:ind w:left="54"/>
              <w:jc w:val="both"/>
              <w:rPr>
                <w:rFonts w:ascii="Arial" w:hAnsi="Arial" w:cs="Arial"/>
                <w:sz w:val="20"/>
                <w:szCs w:val="20"/>
              </w:rPr>
            </w:pPr>
            <w:r w:rsidRPr="005E1DF6">
              <w:rPr>
                <w:rFonts w:ascii="Arial" w:hAnsi="Arial" w:cs="Arial"/>
                <w:spacing w:val="-4"/>
                <w:sz w:val="20"/>
                <w:szCs w:val="20"/>
              </w:rPr>
              <w:t>+/- 0.99</w:t>
            </w:r>
          </w:p>
        </w:tc>
      </w:tr>
    </w:tbl>
    <w:p w14:paraId="70D1FC89" w14:textId="77777777" w:rsidR="003E17D2" w:rsidRDefault="003E17D2" w:rsidP="00F83B04">
      <w:pPr>
        <w:spacing w:after="240" w:line="360" w:lineRule="auto"/>
        <w:ind w:left="0" w:firstLine="0"/>
        <w:rPr>
          <w:rFonts w:ascii="Arial" w:eastAsia="Times New Roman" w:hAnsi="Arial" w:cs="Arial"/>
          <w:color w:val="auto"/>
          <w:szCs w:val="20"/>
          <w:lang w:val="en-US" w:eastAsia="en-US"/>
        </w:rPr>
      </w:pPr>
      <w:bookmarkStart w:id="9" w:name="_bookmark116"/>
      <w:bookmarkStart w:id="10" w:name="_bookmark121"/>
      <w:bookmarkStart w:id="11" w:name="_Toc169185834"/>
      <w:bookmarkEnd w:id="9"/>
      <w:bookmarkEnd w:id="10"/>
    </w:p>
    <w:p w14:paraId="509AB136" w14:textId="732F82ED" w:rsidR="0013544B" w:rsidRDefault="0013544B" w:rsidP="00F83B04">
      <w:pPr>
        <w:spacing w:after="240" w:line="360" w:lineRule="auto"/>
        <w:ind w:left="0" w:firstLine="0"/>
        <w:rPr>
          <w:rFonts w:ascii="Arial" w:eastAsia="Times New Roman" w:hAnsi="Arial" w:cs="Arial"/>
          <w:color w:val="auto"/>
          <w:szCs w:val="20"/>
          <w:lang w:val="en-US" w:eastAsia="en-US"/>
        </w:rPr>
      </w:pPr>
      <w:r w:rsidRPr="0013544B">
        <w:rPr>
          <w:rFonts w:ascii="Arial" w:eastAsia="Times New Roman" w:hAnsi="Arial" w:cs="Arial"/>
          <w:color w:val="auto"/>
          <w:szCs w:val="20"/>
          <w:lang w:val="en-US" w:eastAsia="en-US"/>
        </w:rPr>
        <w:t>Places that are susceptible to erosion and accretion have been identified by long-term coastal changes. This study assessed accretional and erosional trends in three study zones using DSAS computations. The three zones (A, B, and C) of the study coast allow for a more focused interpretation of the accretion and erosion rates and a better comprehension of the spatial variety of shoreline dynamics. These results show that different portions of the coastline undergo different rates of accretion and erosion over a 36-year period.</w:t>
      </w:r>
    </w:p>
    <w:p w14:paraId="3AA0C7FA" w14:textId="77777777" w:rsidR="0013544B" w:rsidRDefault="0013544B" w:rsidP="00F83B04">
      <w:pPr>
        <w:spacing w:after="240" w:line="360" w:lineRule="auto"/>
        <w:ind w:left="0" w:firstLine="0"/>
        <w:rPr>
          <w:rFonts w:ascii="Arial" w:eastAsia="Times New Roman" w:hAnsi="Arial" w:cs="Arial"/>
          <w:color w:val="auto"/>
          <w:szCs w:val="20"/>
          <w:lang w:val="en-US" w:eastAsia="en-US"/>
        </w:rPr>
      </w:pPr>
      <w:r w:rsidRPr="0013544B">
        <w:rPr>
          <w:rFonts w:ascii="Arial" w:eastAsia="Times New Roman" w:hAnsi="Arial" w:cs="Arial"/>
          <w:color w:val="auto"/>
          <w:szCs w:val="20"/>
          <w:lang w:val="en-US" w:eastAsia="en-US"/>
        </w:rPr>
        <w:t>Zone A: Although erosion is the predominant trend in zone A, the data show low overall average values, with an average accretion of 0.91 m/</w:t>
      </w:r>
      <w:proofErr w:type="spellStart"/>
      <w:r w:rsidRPr="0013544B">
        <w:rPr>
          <w:rFonts w:ascii="Arial" w:eastAsia="Times New Roman" w:hAnsi="Arial" w:cs="Arial"/>
          <w:color w:val="auto"/>
          <w:szCs w:val="20"/>
          <w:lang w:val="en-US" w:eastAsia="en-US"/>
        </w:rPr>
        <w:t>yr</w:t>
      </w:r>
      <w:proofErr w:type="spellEnd"/>
      <w:r w:rsidRPr="0013544B">
        <w:rPr>
          <w:rFonts w:ascii="Arial" w:eastAsia="Times New Roman" w:hAnsi="Arial" w:cs="Arial"/>
          <w:color w:val="auto"/>
          <w:szCs w:val="20"/>
          <w:lang w:val="en-US" w:eastAsia="en-US"/>
        </w:rPr>
        <w:t>, an average erosion rate of -1.91 m/</w:t>
      </w:r>
      <w:proofErr w:type="spellStart"/>
      <w:r w:rsidRPr="0013544B">
        <w:rPr>
          <w:rFonts w:ascii="Arial" w:eastAsia="Times New Roman" w:hAnsi="Arial" w:cs="Arial"/>
          <w:color w:val="auto"/>
          <w:szCs w:val="20"/>
          <w:lang w:val="en-US" w:eastAsia="en-US"/>
        </w:rPr>
        <w:t>yr</w:t>
      </w:r>
      <w:proofErr w:type="spellEnd"/>
      <w:r w:rsidRPr="0013544B">
        <w:rPr>
          <w:rFonts w:ascii="Arial" w:eastAsia="Times New Roman" w:hAnsi="Arial" w:cs="Arial"/>
          <w:color w:val="auto"/>
          <w:szCs w:val="20"/>
          <w:lang w:val="en-US" w:eastAsia="en-US"/>
        </w:rPr>
        <w:t>, and an LRR of -0.54+0.13 m/yr. A number of factors that are covered in more detail later on may be connected to these low average values. Nonetheless, there are regional differences in the rates of accretion and erosion, with some places seeing higher rates than others.</w:t>
      </w:r>
      <w:r>
        <w:rPr>
          <w:rFonts w:ascii="Arial" w:eastAsia="Times New Roman" w:hAnsi="Arial" w:cs="Arial"/>
          <w:color w:val="auto"/>
          <w:szCs w:val="20"/>
          <w:lang w:val="en-US" w:eastAsia="en-US"/>
        </w:rPr>
        <w:t xml:space="preserve"> </w:t>
      </w:r>
      <w:r w:rsidRPr="0013544B">
        <w:rPr>
          <w:rFonts w:ascii="Arial" w:eastAsia="Times New Roman" w:hAnsi="Arial" w:cs="Arial"/>
          <w:color w:val="auto"/>
          <w:szCs w:val="20"/>
          <w:lang w:val="en-US" w:eastAsia="en-US"/>
        </w:rPr>
        <w:t>This is due to the generally low average LRR values. The fact that two of the three locations in this zone (</w:t>
      </w:r>
      <w:proofErr w:type="spellStart"/>
      <w:r w:rsidRPr="0013544B">
        <w:rPr>
          <w:rFonts w:ascii="Arial" w:eastAsia="Times New Roman" w:hAnsi="Arial" w:cs="Arial"/>
          <w:color w:val="auto"/>
          <w:szCs w:val="20"/>
          <w:lang w:val="en-US" w:eastAsia="en-US"/>
        </w:rPr>
        <w:t>Opobo</w:t>
      </w:r>
      <w:proofErr w:type="spellEnd"/>
      <w:r w:rsidRPr="0013544B">
        <w:rPr>
          <w:rFonts w:ascii="Arial" w:eastAsia="Times New Roman" w:hAnsi="Arial" w:cs="Arial"/>
          <w:color w:val="auto"/>
          <w:szCs w:val="20"/>
          <w:lang w:val="en-US" w:eastAsia="en-US"/>
        </w:rPr>
        <w:t xml:space="preserve">) have parts of their coastlines embanked to lessen the effects of erosion, even though some parts of the coast are still vulnerable and unprotected, makes it possible to explain these variations and low rates. </w:t>
      </w:r>
      <w:proofErr w:type="spellStart"/>
      <w:r w:rsidRPr="0013544B">
        <w:rPr>
          <w:rFonts w:ascii="Arial" w:eastAsia="Times New Roman" w:hAnsi="Arial" w:cs="Arial"/>
          <w:color w:val="auto"/>
          <w:szCs w:val="20"/>
          <w:lang w:val="en-US" w:eastAsia="en-US"/>
        </w:rPr>
        <w:t>Opobo</w:t>
      </w:r>
      <w:proofErr w:type="spellEnd"/>
      <w:r w:rsidRPr="0013544B">
        <w:rPr>
          <w:rFonts w:ascii="Arial" w:eastAsia="Times New Roman" w:hAnsi="Arial" w:cs="Arial"/>
          <w:color w:val="auto"/>
          <w:szCs w:val="20"/>
          <w:lang w:val="en-US" w:eastAsia="en-US"/>
        </w:rPr>
        <w:t>, which also boasts the oldest wood carving in Africa, numerous ancestor sculptures (masquerades), and a history museum established in 1958, is home to these robust erosion control measures (embankments).</w:t>
      </w:r>
      <w:r>
        <w:rPr>
          <w:rFonts w:ascii="Arial" w:eastAsia="Times New Roman" w:hAnsi="Arial" w:cs="Arial"/>
          <w:color w:val="auto"/>
          <w:szCs w:val="20"/>
          <w:lang w:val="en-US" w:eastAsia="en-US"/>
        </w:rPr>
        <w:t xml:space="preserve"> </w:t>
      </w:r>
      <w:r w:rsidRPr="0013544B">
        <w:rPr>
          <w:rFonts w:ascii="Arial" w:eastAsia="Times New Roman" w:hAnsi="Arial" w:cs="Arial"/>
          <w:color w:val="auto"/>
          <w:szCs w:val="20"/>
          <w:lang w:val="en-US" w:eastAsia="en-US"/>
        </w:rPr>
        <w:t xml:space="preserve">The area's low susceptibility to erosion and lower rates of erosion are most likely caused by the embankment of some heavily populated areas. Hard erosion controls have received a lot of attention as one </w:t>
      </w:r>
      <w:r w:rsidRPr="0013544B">
        <w:rPr>
          <w:rFonts w:ascii="Arial" w:eastAsia="Times New Roman" w:hAnsi="Arial" w:cs="Arial"/>
          <w:color w:val="auto"/>
          <w:szCs w:val="20"/>
          <w:lang w:val="en-US" w:eastAsia="en-US"/>
        </w:rPr>
        <w:lastRenderedPageBreak/>
        <w:t>of the most effective ways to reduce coastal erosion, despite the fact that there are some disadvantages (Rangel-Buitrago et al., 2018). One such prohibition on the Russian Baltic shoreline dates back to the 1800s (</w:t>
      </w:r>
      <w:proofErr w:type="spellStart"/>
      <w:r w:rsidRPr="0013544B">
        <w:rPr>
          <w:rFonts w:ascii="Arial" w:eastAsia="Times New Roman" w:hAnsi="Arial" w:cs="Arial"/>
          <w:color w:val="auto"/>
          <w:szCs w:val="20"/>
          <w:lang w:val="en-US" w:eastAsia="en-US"/>
        </w:rPr>
        <w:t>Pranzini</w:t>
      </w:r>
      <w:proofErr w:type="spellEnd"/>
      <w:r w:rsidRPr="0013544B">
        <w:rPr>
          <w:rFonts w:ascii="Arial" w:eastAsia="Times New Roman" w:hAnsi="Arial" w:cs="Arial"/>
          <w:color w:val="auto"/>
          <w:szCs w:val="20"/>
          <w:lang w:val="en-US" w:eastAsia="en-US"/>
        </w:rPr>
        <w:t xml:space="preserve"> et al., 2015). When the challenging hard structures there became problematic years later, they had to be replaced with more effective soft erosion control methods. Only 15% to 20% of the shore is covered by the zone </w:t>
      </w:r>
      <w:proofErr w:type="spellStart"/>
      <w:r w:rsidRPr="0013544B">
        <w:rPr>
          <w:rFonts w:ascii="Arial" w:eastAsia="Times New Roman" w:hAnsi="Arial" w:cs="Arial"/>
          <w:color w:val="auto"/>
          <w:szCs w:val="20"/>
          <w:lang w:val="en-US" w:eastAsia="en-US"/>
        </w:rPr>
        <w:t>A</w:t>
      </w:r>
      <w:proofErr w:type="spellEnd"/>
      <w:r w:rsidRPr="0013544B">
        <w:rPr>
          <w:rFonts w:ascii="Arial" w:eastAsia="Times New Roman" w:hAnsi="Arial" w:cs="Arial"/>
          <w:color w:val="auto"/>
          <w:szCs w:val="20"/>
          <w:lang w:val="en-US" w:eastAsia="en-US"/>
        </w:rPr>
        <w:t xml:space="preserve"> embankment, which puts other places at risk of downdrift or flanking erosion.</w:t>
      </w:r>
      <w:r>
        <w:rPr>
          <w:rFonts w:ascii="Arial" w:eastAsia="Times New Roman" w:hAnsi="Arial" w:cs="Arial"/>
          <w:color w:val="auto"/>
          <w:szCs w:val="20"/>
          <w:lang w:val="en-US" w:eastAsia="en-US"/>
        </w:rPr>
        <w:t xml:space="preserve"> </w:t>
      </w:r>
      <w:r w:rsidRPr="0013544B">
        <w:rPr>
          <w:rFonts w:ascii="Arial" w:eastAsia="Times New Roman" w:hAnsi="Arial" w:cs="Arial"/>
          <w:color w:val="auto"/>
          <w:szCs w:val="20"/>
          <w:lang w:val="en-US" w:eastAsia="en-US"/>
        </w:rPr>
        <w:t xml:space="preserve">Several fish terminals and villages in this area, including the </w:t>
      </w:r>
      <w:proofErr w:type="spellStart"/>
      <w:r w:rsidRPr="0013544B">
        <w:rPr>
          <w:rFonts w:ascii="Arial" w:eastAsia="Times New Roman" w:hAnsi="Arial" w:cs="Arial"/>
          <w:color w:val="auto"/>
          <w:szCs w:val="20"/>
          <w:lang w:val="en-US" w:eastAsia="en-US"/>
        </w:rPr>
        <w:t>Brama</w:t>
      </w:r>
      <w:proofErr w:type="spellEnd"/>
      <w:r w:rsidRPr="0013544B">
        <w:rPr>
          <w:rFonts w:ascii="Arial" w:eastAsia="Times New Roman" w:hAnsi="Arial" w:cs="Arial"/>
          <w:color w:val="auto"/>
          <w:szCs w:val="20"/>
          <w:lang w:val="en-US" w:eastAsia="en-US"/>
        </w:rPr>
        <w:t xml:space="preserve"> community, which is located directly behind the </w:t>
      </w:r>
      <w:proofErr w:type="spellStart"/>
      <w:r w:rsidRPr="0013544B">
        <w:rPr>
          <w:rFonts w:ascii="Arial" w:eastAsia="Times New Roman" w:hAnsi="Arial" w:cs="Arial"/>
          <w:color w:val="auto"/>
          <w:szCs w:val="20"/>
          <w:lang w:val="en-US" w:eastAsia="en-US"/>
        </w:rPr>
        <w:t>Ibaka</w:t>
      </w:r>
      <w:proofErr w:type="spellEnd"/>
      <w:r w:rsidRPr="0013544B">
        <w:rPr>
          <w:rFonts w:ascii="Arial" w:eastAsia="Times New Roman" w:hAnsi="Arial" w:cs="Arial"/>
          <w:color w:val="auto"/>
          <w:szCs w:val="20"/>
          <w:lang w:val="en-US" w:eastAsia="en-US"/>
        </w:rPr>
        <w:t xml:space="preserve"> settlement and has a sea port with an embankment, have been impacted by downdrift erosion. Zone A's embankment has a similar effect on coastal erosion to the findings of </w:t>
      </w:r>
      <w:proofErr w:type="spellStart"/>
      <w:r w:rsidRPr="0013544B">
        <w:rPr>
          <w:rFonts w:ascii="Arial" w:eastAsia="Times New Roman" w:hAnsi="Arial" w:cs="Arial"/>
          <w:color w:val="auto"/>
          <w:szCs w:val="20"/>
          <w:lang w:val="en-US" w:eastAsia="en-US"/>
        </w:rPr>
        <w:t>Frihy</w:t>
      </w:r>
      <w:proofErr w:type="spellEnd"/>
      <w:r w:rsidRPr="0013544B">
        <w:rPr>
          <w:rFonts w:ascii="Arial" w:eastAsia="Times New Roman" w:hAnsi="Arial" w:cs="Arial"/>
          <w:color w:val="auto"/>
          <w:szCs w:val="20"/>
          <w:lang w:val="en-US" w:eastAsia="en-US"/>
        </w:rPr>
        <w:t xml:space="preserve"> et al. (2013), which show the effects of coastal erosion in different areas of Egypt's Mediterranean coast.</w:t>
      </w:r>
      <w:r>
        <w:rPr>
          <w:rFonts w:ascii="Arial" w:eastAsia="Times New Roman" w:hAnsi="Arial" w:cs="Arial"/>
          <w:color w:val="auto"/>
          <w:szCs w:val="20"/>
          <w:lang w:val="en-US" w:eastAsia="en-US"/>
        </w:rPr>
        <w:t xml:space="preserve"> </w:t>
      </w:r>
      <w:r w:rsidRPr="0013544B">
        <w:rPr>
          <w:rFonts w:ascii="Arial" w:eastAsia="Times New Roman" w:hAnsi="Arial" w:cs="Arial"/>
          <w:color w:val="auto"/>
          <w:szCs w:val="20"/>
          <w:lang w:val="en-US" w:eastAsia="en-US"/>
        </w:rPr>
        <w:t>According to the study's findings, beach erosion significantly affects the Nile delta because dunes make up roughly 60% of the coast in Alexandria, whereas other coastal areas that are not protected from erosion, such as the northwest coast of Alexandria, which is shielded by roughly 67% consolidated carbonate ridge and 20% engineered structures. The Sinai coastline is just as safe, with the exception of the low-lying areas. A similar study was carried out in Egypt by Darwish et al. (2016), who evaluated a 70-year change in the coast's morphology between 1945 and 2015.</w:t>
      </w:r>
      <w:r>
        <w:rPr>
          <w:rFonts w:ascii="Arial" w:eastAsia="Times New Roman" w:hAnsi="Arial" w:cs="Arial"/>
          <w:color w:val="auto"/>
          <w:szCs w:val="20"/>
          <w:lang w:val="en-US" w:eastAsia="en-US"/>
        </w:rPr>
        <w:t xml:space="preserve"> </w:t>
      </w:r>
      <w:r w:rsidRPr="0013544B">
        <w:rPr>
          <w:rFonts w:ascii="Arial" w:eastAsia="Times New Roman" w:hAnsi="Arial" w:cs="Arial"/>
          <w:color w:val="auto"/>
          <w:szCs w:val="20"/>
          <w:lang w:val="en-US" w:eastAsia="en-US"/>
        </w:rPr>
        <w:t>They discovered that although the engineered structure along the Alexandria coast has maintained stability, erosion is happening more quickly in the Damietta section of the coast because of this. According to their data, the area's erosion trended steadily upward before the sea wall was built, indicating that the management system in place had reduced erosion and consequently improved accretion.</w:t>
      </w:r>
    </w:p>
    <w:p w14:paraId="588E42C3" w14:textId="77777777" w:rsidR="0013544B" w:rsidRDefault="0013544B" w:rsidP="00F83B04">
      <w:pPr>
        <w:spacing w:after="240" w:line="360" w:lineRule="auto"/>
        <w:ind w:left="0" w:firstLine="0"/>
        <w:rPr>
          <w:rFonts w:ascii="Arial" w:eastAsia="Times New Roman" w:hAnsi="Arial" w:cs="Arial"/>
          <w:color w:val="auto"/>
          <w:szCs w:val="20"/>
          <w:lang w:val="en-US" w:eastAsia="en-US"/>
        </w:rPr>
      </w:pPr>
      <w:r w:rsidRPr="0013544B">
        <w:rPr>
          <w:rFonts w:ascii="Arial" w:eastAsia="Times New Roman" w:hAnsi="Arial" w:cs="Arial"/>
          <w:color w:val="auto"/>
          <w:szCs w:val="20"/>
          <w:lang w:val="en-US" w:eastAsia="en-US"/>
        </w:rPr>
        <w:t xml:space="preserve">This was not true of comparable breakwater structures built in the Lekki area of the Nigerian Barrier Lagoon. </w:t>
      </w:r>
      <w:proofErr w:type="spellStart"/>
      <w:r w:rsidRPr="0013544B">
        <w:rPr>
          <w:rFonts w:ascii="Arial" w:eastAsia="Times New Roman" w:hAnsi="Arial" w:cs="Arial"/>
          <w:color w:val="auto"/>
          <w:szCs w:val="20"/>
          <w:lang w:val="en-US" w:eastAsia="en-US"/>
        </w:rPr>
        <w:t>Danladi</w:t>
      </w:r>
      <w:proofErr w:type="spellEnd"/>
      <w:r w:rsidRPr="0013544B">
        <w:rPr>
          <w:rFonts w:ascii="Arial" w:eastAsia="Times New Roman" w:hAnsi="Arial" w:cs="Arial"/>
          <w:color w:val="auto"/>
          <w:szCs w:val="20"/>
          <w:lang w:val="en-US" w:eastAsia="en-US"/>
        </w:rPr>
        <w:t xml:space="preserve"> et al. (2017) examined sediment loss caused by SLR over a 43-year period in the Lekki section of the Barrier-Lagoon coast using remote sensing technology. The study was conducted both prior to and following the installation of a breakwater to prevent coastal erosion. This study also examined the variations in erosional patterns that took place prior to and following the installation of a breakwater structure.</w:t>
      </w:r>
      <w:r>
        <w:rPr>
          <w:rFonts w:ascii="Arial" w:eastAsia="Times New Roman" w:hAnsi="Arial" w:cs="Arial"/>
          <w:color w:val="auto"/>
          <w:szCs w:val="20"/>
          <w:lang w:val="en-US" w:eastAsia="en-US"/>
        </w:rPr>
        <w:t xml:space="preserve"> </w:t>
      </w:r>
      <w:r w:rsidRPr="0013544B">
        <w:rPr>
          <w:rFonts w:ascii="Arial" w:eastAsia="Times New Roman" w:hAnsi="Arial" w:cs="Arial"/>
          <w:color w:val="auto"/>
          <w:szCs w:val="20"/>
          <w:lang w:val="en-US" w:eastAsia="en-US"/>
        </w:rPr>
        <w:t>The results showed that the area experienced more erosion in 2011 and more accretion in 2012, indicating a pattern of alternating coastal erosion and accretion between 2010 and 2012. The study contends that although a breakwater was constructed in 2013 to stop erosion, it actually made things worse by creating a cumulative erosion pattern and disrupting the erosion-accretion pattern. There was a notable loss of roughly 66.1 meters to the ocean along the Goshen Beach Estate axis after a continuous erosion trend was discovered between 2013 and 2016.</w:t>
      </w:r>
      <w:r>
        <w:rPr>
          <w:rFonts w:ascii="Arial" w:eastAsia="Times New Roman" w:hAnsi="Arial" w:cs="Arial"/>
          <w:color w:val="auto"/>
          <w:szCs w:val="20"/>
          <w:lang w:val="en-US" w:eastAsia="en-US"/>
        </w:rPr>
        <w:t xml:space="preserve"> </w:t>
      </w:r>
      <w:r w:rsidR="004E5EE0" w:rsidRPr="005E1DF6">
        <w:rPr>
          <w:rFonts w:ascii="Arial" w:eastAsia="Times New Roman" w:hAnsi="Arial" w:cs="Arial"/>
          <w:color w:val="auto"/>
          <w:szCs w:val="20"/>
          <w:lang w:val="en-US" w:eastAsia="en-US"/>
        </w:rPr>
        <w:t xml:space="preserve"> </w:t>
      </w:r>
      <w:r w:rsidRPr="0013544B">
        <w:rPr>
          <w:rFonts w:ascii="Arial" w:eastAsia="Times New Roman" w:hAnsi="Arial" w:cs="Arial"/>
          <w:color w:val="auto"/>
          <w:szCs w:val="20"/>
          <w:lang w:val="en-US" w:eastAsia="en-US"/>
        </w:rPr>
        <w:t>There are about 77 meters of land lateral to the beach here as of 2013. But when the barrier was constructed, the sea level dropped by nearly 6.1 meters. Although hard-coastal defenses seem to protect the shoreline, Rangel-Buitrago et al. (2018) contend that they have drawbacks and generally support the idea that nations employing hard defense strategies should switch to more realistic and cost-effective soft strategies, like ecosystem-based coastal erosion management.</w:t>
      </w:r>
      <w:r w:rsidR="004E5EE0" w:rsidRPr="005E1DF6">
        <w:rPr>
          <w:rFonts w:ascii="Arial" w:eastAsia="Times New Roman" w:hAnsi="Arial" w:cs="Arial"/>
          <w:color w:val="auto"/>
          <w:szCs w:val="20"/>
          <w:lang w:val="en-US" w:eastAsia="en-US"/>
        </w:rPr>
        <w:t xml:space="preserve"> </w:t>
      </w:r>
      <w:r w:rsidRPr="0013544B">
        <w:rPr>
          <w:rFonts w:ascii="Arial" w:eastAsia="Times New Roman" w:hAnsi="Arial" w:cs="Arial"/>
          <w:color w:val="auto"/>
          <w:szCs w:val="20"/>
          <w:lang w:val="en-US" w:eastAsia="en-US"/>
        </w:rPr>
        <w:t xml:space="preserve">Although there are advantages to employing ecosystem-based erosion control (such as restoring the natural wetland close to the shore), </w:t>
      </w:r>
      <w:proofErr w:type="spellStart"/>
      <w:r w:rsidRPr="0013544B">
        <w:rPr>
          <w:rFonts w:ascii="Arial" w:eastAsia="Times New Roman" w:hAnsi="Arial" w:cs="Arial"/>
          <w:color w:val="auto"/>
          <w:szCs w:val="20"/>
          <w:lang w:val="en-US" w:eastAsia="en-US"/>
        </w:rPr>
        <w:t>Gracia</w:t>
      </w:r>
      <w:proofErr w:type="spellEnd"/>
      <w:r w:rsidRPr="0013544B">
        <w:rPr>
          <w:rFonts w:ascii="Arial" w:eastAsia="Times New Roman" w:hAnsi="Arial" w:cs="Arial"/>
          <w:color w:val="auto"/>
          <w:szCs w:val="20"/>
          <w:lang w:val="en-US" w:eastAsia="en-US"/>
        </w:rPr>
        <w:t xml:space="preserve"> et al. (2018) and Rangel-Buitrago et al. (2018) point out that in order for this method to be effective, there needs to be enough land separating the community from the beach. A comprehensive analysis of the implementation of soft erosion treatments, such as the ecosystem-based management program, is given by </w:t>
      </w:r>
      <w:proofErr w:type="spellStart"/>
      <w:r w:rsidRPr="0013544B">
        <w:rPr>
          <w:rFonts w:ascii="Arial" w:eastAsia="Times New Roman" w:hAnsi="Arial" w:cs="Arial"/>
          <w:color w:val="auto"/>
          <w:szCs w:val="20"/>
          <w:lang w:val="en-US" w:eastAsia="en-US"/>
        </w:rPr>
        <w:t>Gracia</w:t>
      </w:r>
      <w:proofErr w:type="spellEnd"/>
      <w:r w:rsidRPr="0013544B">
        <w:rPr>
          <w:rFonts w:ascii="Arial" w:eastAsia="Times New Roman" w:hAnsi="Arial" w:cs="Arial"/>
          <w:color w:val="auto"/>
          <w:szCs w:val="20"/>
          <w:lang w:val="en-US" w:eastAsia="en-US"/>
        </w:rPr>
        <w:t xml:space="preserve"> et al. (2018). Second, the rates of coastline change there are significantly influenced by geology and geomorphology. According to Boateng (2012), geology affects a rock's resistance to erosion, with harder rocks having a higher resistance than softer rocks. According to the research, one of the elements controlling erosion in Keta, Ghana, where the study coast is comparable to this one, is the softer rock geology. According to fieldwork for this study, significant layers of worn laterites that are </w:t>
      </w:r>
      <w:r w:rsidRPr="0013544B">
        <w:rPr>
          <w:rFonts w:ascii="Arial" w:eastAsia="Times New Roman" w:hAnsi="Arial" w:cs="Arial"/>
          <w:color w:val="auto"/>
          <w:szCs w:val="20"/>
          <w:lang w:val="en-US" w:eastAsia="en-US"/>
        </w:rPr>
        <w:lastRenderedPageBreak/>
        <w:t>visible at the base support the region's unusually high topography. These weathered laterites, which contain clay, are more resilient to erosion and stronger than the other low-lying, readily eroded loose coastal plain sand zones along the study coast.</w:t>
      </w:r>
      <w:r>
        <w:rPr>
          <w:rFonts w:ascii="Arial" w:eastAsia="Times New Roman" w:hAnsi="Arial" w:cs="Arial"/>
          <w:color w:val="auto"/>
          <w:szCs w:val="20"/>
          <w:lang w:val="en-US" w:eastAsia="en-US"/>
        </w:rPr>
        <w:t xml:space="preserve"> </w:t>
      </w:r>
      <w:r w:rsidR="004E5EE0" w:rsidRPr="005E1DF6">
        <w:rPr>
          <w:rFonts w:ascii="Arial" w:eastAsia="Times New Roman" w:hAnsi="Arial" w:cs="Arial"/>
          <w:color w:val="auto"/>
          <w:szCs w:val="20"/>
          <w:lang w:val="en-US" w:eastAsia="en-US"/>
        </w:rPr>
        <w:t xml:space="preserve"> </w:t>
      </w:r>
      <w:r w:rsidRPr="0013544B">
        <w:rPr>
          <w:rFonts w:ascii="Arial" w:eastAsia="Times New Roman" w:hAnsi="Arial" w:cs="Arial"/>
          <w:color w:val="auto"/>
          <w:szCs w:val="20"/>
          <w:lang w:val="en-US" w:eastAsia="en-US"/>
        </w:rPr>
        <w:t>Using a textural feel analysis of the soil's cohesiveness and stickiness, the erodibility factor was assessed in the field to determine the soil's resistance to deformation (FAO 2006). Compared to the other zones in the study area, the zone has the highest topography, and the majority of its shoreline is relatively high. Its geology is enhanced by these features.</w:t>
      </w:r>
      <w:r>
        <w:rPr>
          <w:rFonts w:ascii="Arial" w:eastAsia="Times New Roman" w:hAnsi="Arial" w:cs="Arial"/>
          <w:color w:val="auto"/>
          <w:szCs w:val="20"/>
          <w:lang w:val="en-US" w:eastAsia="en-US"/>
        </w:rPr>
        <w:t xml:space="preserve"> </w:t>
      </w:r>
    </w:p>
    <w:p w14:paraId="38760BFC" w14:textId="77777777" w:rsidR="0013544B" w:rsidRDefault="0013544B" w:rsidP="00F83B04">
      <w:pPr>
        <w:spacing w:after="240" w:line="360" w:lineRule="auto"/>
        <w:ind w:left="0" w:firstLine="0"/>
        <w:rPr>
          <w:rFonts w:ascii="Arial" w:eastAsia="Times New Roman" w:hAnsi="Arial" w:cs="Arial"/>
          <w:color w:val="auto"/>
          <w:szCs w:val="20"/>
          <w:lang w:val="en-US" w:eastAsia="en-US"/>
        </w:rPr>
      </w:pPr>
      <w:r w:rsidRPr="0013544B">
        <w:rPr>
          <w:rFonts w:ascii="Arial" w:eastAsia="Times New Roman" w:hAnsi="Arial" w:cs="Arial"/>
          <w:color w:val="auto"/>
          <w:szCs w:val="20"/>
          <w:lang w:val="en-US" w:eastAsia="en-US"/>
        </w:rPr>
        <w:t>Zone B: The most active area of the study coast, zone B has an average erosion rate of -5.23 m/</w:t>
      </w:r>
      <w:proofErr w:type="spellStart"/>
      <w:r w:rsidRPr="0013544B">
        <w:rPr>
          <w:rFonts w:ascii="Arial" w:eastAsia="Times New Roman" w:hAnsi="Arial" w:cs="Arial"/>
          <w:color w:val="auto"/>
          <w:szCs w:val="20"/>
          <w:lang w:val="en-US" w:eastAsia="en-US"/>
        </w:rPr>
        <w:t>yr</w:t>
      </w:r>
      <w:proofErr w:type="spellEnd"/>
      <w:r w:rsidRPr="0013544B">
        <w:rPr>
          <w:rFonts w:ascii="Arial" w:eastAsia="Times New Roman" w:hAnsi="Arial" w:cs="Arial"/>
          <w:color w:val="auto"/>
          <w:szCs w:val="20"/>
          <w:lang w:val="en-US" w:eastAsia="en-US"/>
        </w:rPr>
        <w:t xml:space="preserve"> and an average accretion rate of 3.44 m/</w:t>
      </w:r>
      <w:proofErr w:type="spellStart"/>
      <w:r w:rsidRPr="0013544B">
        <w:rPr>
          <w:rFonts w:ascii="Arial" w:eastAsia="Times New Roman" w:hAnsi="Arial" w:cs="Arial"/>
          <w:color w:val="auto"/>
          <w:szCs w:val="20"/>
          <w:lang w:val="en-US" w:eastAsia="en-US"/>
        </w:rPr>
        <w:t>yr</w:t>
      </w:r>
      <w:proofErr w:type="spellEnd"/>
      <w:r w:rsidRPr="0013544B">
        <w:rPr>
          <w:rFonts w:ascii="Arial" w:eastAsia="Times New Roman" w:hAnsi="Arial" w:cs="Arial"/>
          <w:color w:val="auto"/>
          <w:szCs w:val="20"/>
          <w:lang w:val="en-US" w:eastAsia="en-US"/>
        </w:rPr>
        <w:t xml:space="preserve">, based on long-term data. Thus, the primary trend in the zone is coastal erosion. This erosional tendency was also shown during the fieldwork for the study. Furthermore, the results align with and reflect those of </w:t>
      </w:r>
      <w:proofErr w:type="spellStart"/>
      <w:r w:rsidRPr="0013544B">
        <w:rPr>
          <w:rFonts w:ascii="Arial" w:eastAsia="Times New Roman" w:hAnsi="Arial" w:cs="Arial"/>
          <w:color w:val="auto"/>
          <w:szCs w:val="20"/>
          <w:lang w:val="en-US" w:eastAsia="en-US"/>
        </w:rPr>
        <w:t>Ituen</w:t>
      </w:r>
      <w:proofErr w:type="spellEnd"/>
      <w:r w:rsidRPr="0013544B">
        <w:rPr>
          <w:rFonts w:ascii="Arial" w:eastAsia="Times New Roman" w:hAnsi="Arial" w:cs="Arial"/>
          <w:color w:val="auto"/>
          <w:szCs w:val="20"/>
          <w:lang w:val="en-US" w:eastAsia="en-US"/>
        </w:rPr>
        <w:t xml:space="preserve"> et al. (2014), who studied shoreline changes in zone B between 1986 and 2008 and discovered accretion and erosion rates of 2 m/</w:t>
      </w:r>
      <w:proofErr w:type="spellStart"/>
      <w:r w:rsidRPr="0013544B">
        <w:rPr>
          <w:rFonts w:ascii="Arial" w:eastAsia="Times New Roman" w:hAnsi="Arial" w:cs="Arial"/>
          <w:color w:val="auto"/>
          <w:szCs w:val="20"/>
          <w:lang w:val="en-US" w:eastAsia="en-US"/>
        </w:rPr>
        <w:t>yr</w:t>
      </w:r>
      <w:proofErr w:type="spellEnd"/>
      <w:r w:rsidRPr="0013544B">
        <w:rPr>
          <w:rFonts w:ascii="Arial" w:eastAsia="Times New Roman" w:hAnsi="Arial" w:cs="Arial"/>
          <w:color w:val="auto"/>
          <w:szCs w:val="20"/>
          <w:lang w:val="en-US" w:eastAsia="en-US"/>
        </w:rPr>
        <w:t xml:space="preserve"> and -3.9 m/</w:t>
      </w:r>
      <w:proofErr w:type="spellStart"/>
      <w:r w:rsidRPr="0013544B">
        <w:rPr>
          <w:rFonts w:ascii="Arial" w:eastAsia="Times New Roman" w:hAnsi="Arial" w:cs="Arial"/>
          <w:color w:val="auto"/>
          <w:szCs w:val="20"/>
          <w:lang w:val="en-US" w:eastAsia="en-US"/>
        </w:rPr>
        <w:t>yr</w:t>
      </w:r>
      <w:proofErr w:type="spellEnd"/>
      <w:r w:rsidRPr="0013544B">
        <w:rPr>
          <w:rFonts w:ascii="Arial" w:eastAsia="Times New Roman" w:hAnsi="Arial" w:cs="Arial"/>
          <w:color w:val="auto"/>
          <w:szCs w:val="20"/>
          <w:lang w:val="en-US" w:eastAsia="en-US"/>
        </w:rPr>
        <w:t>, respectively.</w:t>
      </w:r>
      <w:r>
        <w:rPr>
          <w:rFonts w:ascii="Arial" w:eastAsia="Times New Roman" w:hAnsi="Arial" w:cs="Arial"/>
          <w:color w:val="auto"/>
          <w:szCs w:val="20"/>
          <w:lang w:val="en-US" w:eastAsia="en-US"/>
        </w:rPr>
        <w:t xml:space="preserve"> </w:t>
      </w:r>
      <w:r w:rsidRPr="0013544B">
        <w:rPr>
          <w:rFonts w:ascii="Arial" w:eastAsia="Times New Roman" w:hAnsi="Arial" w:cs="Arial"/>
          <w:color w:val="auto"/>
          <w:szCs w:val="20"/>
          <w:lang w:val="en-US" w:eastAsia="en-US"/>
        </w:rPr>
        <w:t>According to the DSAS data, the zone is particularly vulnerable to SLR because of its high rates of erosion, which are probably caused by its closeness to the Atlantic Ocean and sense of community. Williams et al. (2017) state that the community's closeness to the ocean has a major impact on its vulnerability to coastal erosion. According to Williams et al. (2017), setback restrictions for coastal management are in place for a variety of different types of coastal regions worldwide. One such law requires buildings to be at least a certain distance from the Mean High-Water Mark.</w:t>
      </w:r>
      <w:r>
        <w:rPr>
          <w:rFonts w:ascii="Arial" w:eastAsia="Times New Roman" w:hAnsi="Arial" w:cs="Arial"/>
          <w:color w:val="auto"/>
          <w:szCs w:val="20"/>
          <w:lang w:val="en-US" w:eastAsia="en-US"/>
        </w:rPr>
        <w:t xml:space="preserve"> </w:t>
      </w:r>
      <w:r w:rsidR="004E5EE0" w:rsidRPr="005E1DF6">
        <w:rPr>
          <w:rFonts w:ascii="Arial" w:eastAsia="Times New Roman" w:hAnsi="Arial" w:cs="Arial"/>
          <w:color w:val="auto"/>
          <w:szCs w:val="20"/>
          <w:lang w:val="en-US" w:eastAsia="en-US"/>
        </w:rPr>
        <w:t xml:space="preserve"> </w:t>
      </w:r>
      <w:r w:rsidRPr="0013544B">
        <w:rPr>
          <w:rFonts w:ascii="Arial" w:eastAsia="Times New Roman" w:hAnsi="Arial" w:cs="Arial"/>
          <w:color w:val="auto"/>
          <w:szCs w:val="20"/>
          <w:lang w:val="en-US" w:eastAsia="en-US"/>
        </w:rPr>
        <w:t>Based on the different types of coastlines and the regulatory body responsible for coastal planning in the area, they emphasized that different beaches have varying lengths. For coastal areas, there is no set minimum distance. A typical example of various setbacks on various types of beaches along the same coast was provided by Williams et al. (2017). They demonstrated that the minimal setback was 30 meters along the sandy Barbados beach and 10 meters along the edge of the cliff. Although many nations have adopted this management approach, it is not without issues.</w:t>
      </w:r>
      <w:r>
        <w:rPr>
          <w:rFonts w:ascii="Arial" w:eastAsia="Times New Roman" w:hAnsi="Arial" w:cs="Arial"/>
          <w:color w:val="auto"/>
          <w:szCs w:val="20"/>
          <w:lang w:val="en-US" w:eastAsia="en-US"/>
        </w:rPr>
        <w:t xml:space="preserve"> </w:t>
      </w:r>
      <w:r w:rsidRPr="0013544B">
        <w:rPr>
          <w:rFonts w:ascii="Arial" w:eastAsia="Times New Roman" w:hAnsi="Arial" w:cs="Arial"/>
          <w:color w:val="auto"/>
          <w:szCs w:val="20"/>
          <w:lang w:val="en-US" w:eastAsia="en-US"/>
        </w:rPr>
        <w:t xml:space="preserve">It is unclear what the appropriate minimum distance to use is because of concerns about homes that experience sea level rise during severe weather (Williams et al. 2017). The implementation of developmental setbacks in the study coast is difficult because there are no minimum setbacks on the distance to the mean high-water mark. </w:t>
      </w:r>
      <w:proofErr w:type="spellStart"/>
      <w:r w:rsidRPr="0013544B">
        <w:rPr>
          <w:rFonts w:ascii="Arial" w:eastAsia="Times New Roman" w:hAnsi="Arial" w:cs="Arial"/>
          <w:color w:val="auto"/>
          <w:szCs w:val="20"/>
          <w:lang w:val="en-US" w:eastAsia="en-US"/>
        </w:rPr>
        <w:t>Ekong</w:t>
      </w:r>
      <w:proofErr w:type="spellEnd"/>
      <w:r w:rsidRPr="0013544B">
        <w:rPr>
          <w:rFonts w:ascii="Arial" w:eastAsia="Times New Roman" w:hAnsi="Arial" w:cs="Arial"/>
          <w:color w:val="auto"/>
          <w:szCs w:val="20"/>
          <w:lang w:val="en-US" w:eastAsia="en-US"/>
        </w:rPr>
        <w:t xml:space="preserve"> (2017) suggests this as one way to lessen the effects of coastal erosion.</w:t>
      </w:r>
      <w:r>
        <w:rPr>
          <w:rFonts w:ascii="Arial" w:eastAsia="Times New Roman" w:hAnsi="Arial" w:cs="Arial"/>
          <w:color w:val="auto"/>
          <w:szCs w:val="20"/>
          <w:lang w:val="en-US" w:eastAsia="en-US"/>
        </w:rPr>
        <w:t xml:space="preserve"> </w:t>
      </w:r>
    </w:p>
    <w:p w14:paraId="4F1CE87C" w14:textId="77777777" w:rsidR="0013544B" w:rsidRDefault="0013544B" w:rsidP="00F83B04">
      <w:pPr>
        <w:spacing w:after="240" w:line="360" w:lineRule="auto"/>
        <w:ind w:left="0" w:firstLine="0"/>
        <w:rPr>
          <w:rFonts w:ascii="Arial" w:eastAsia="Times New Roman" w:hAnsi="Arial" w:cs="Arial"/>
          <w:color w:val="auto"/>
          <w:szCs w:val="20"/>
          <w:lang w:val="en-US" w:eastAsia="en-US"/>
        </w:rPr>
      </w:pPr>
      <w:r w:rsidRPr="0013544B">
        <w:rPr>
          <w:rFonts w:ascii="Arial" w:eastAsia="Times New Roman" w:hAnsi="Arial" w:cs="Arial"/>
          <w:color w:val="auto"/>
          <w:szCs w:val="20"/>
          <w:lang w:val="en-US" w:eastAsia="en-US"/>
        </w:rPr>
        <w:t xml:space="preserve">A community's openness to the ocean and proximity to the coast are not the only factors that affect coastal erosion. Geology, wave action, and substratum load are significant factors influencing the rate of coastal erosion, claim Fourie et al. (2015). Zone B and </w:t>
      </w:r>
      <w:proofErr w:type="spellStart"/>
      <w:r w:rsidRPr="0013544B">
        <w:rPr>
          <w:rFonts w:ascii="Arial" w:eastAsia="Times New Roman" w:hAnsi="Arial" w:cs="Arial"/>
          <w:color w:val="auto"/>
          <w:szCs w:val="20"/>
          <w:lang w:val="en-US" w:eastAsia="en-US"/>
        </w:rPr>
        <w:t>Monwabisi</w:t>
      </w:r>
      <w:proofErr w:type="spellEnd"/>
      <w:r w:rsidRPr="0013544B">
        <w:rPr>
          <w:rFonts w:ascii="Arial" w:eastAsia="Times New Roman" w:hAnsi="Arial" w:cs="Arial"/>
          <w:color w:val="auto"/>
          <w:szCs w:val="20"/>
          <w:lang w:val="en-US" w:eastAsia="en-US"/>
        </w:rPr>
        <w:t>, Northern, have the same geomorphology. Erosion occurs frequently along Cape Town's False Bay beachfront because of the numerous estuaries that dot the area. The beach is mostly sandy and extremely erodible due to wave action (Fourie et al. 2015). Based on DSAS data, Zone B's long-term overall average LRR of -4.46+0.34 m/</w:t>
      </w:r>
      <w:proofErr w:type="spellStart"/>
      <w:r w:rsidRPr="0013544B">
        <w:rPr>
          <w:rFonts w:ascii="Arial" w:eastAsia="Times New Roman" w:hAnsi="Arial" w:cs="Arial"/>
          <w:color w:val="auto"/>
          <w:szCs w:val="20"/>
          <w:lang w:val="en-US" w:eastAsia="en-US"/>
        </w:rPr>
        <w:t>yr</w:t>
      </w:r>
      <w:proofErr w:type="spellEnd"/>
      <w:r w:rsidRPr="0013544B">
        <w:rPr>
          <w:rFonts w:ascii="Arial" w:eastAsia="Times New Roman" w:hAnsi="Arial" w:cs="Arial"/>
          <w:color w:val="auto"/>
          <w:szCs w:val="20"/>
          <w:lang w:val="en-US" w:eastAsia="en-US"/>
        </w:rPr>
        <w:t xml:space="preserve"> suggests that erosion is the zone's main tendency.</w:t>
      </w:r>
      <w:r>
        <w:rPr>
          <w:rFonts w:ascii="Arial" w:eastAsia="Times New Roman" w:hAnsi="Arial" w:cs="Arial"/>
          <w:color w:val="auto"/>
          <w:szCs w:val="20"/>
          <w:lang w:val="en-US" w:eastAsia="en-US"/>
        </w:rPr>
        <w:t xml:space="preserve"> </w:t>
      </w:r>
      <w:r w:rsidRPr="0013544B">
        <w:rPr>
          <w:rFonts w:ascii="Arial" w:eastAsia="Times New Roman" w:hAnsi="Arial" w:cs="Arial"/>
          <w:color w:val="auto"/>
          <w:szCs w:val="20"/>
          <w:lang w:val="en-US" w:eastAsia="en-US"/>
        </w:rPr>
        <w:t>This illustrates the region's vulnerability to coastal erosion. Comparing this zone to other coastal zones, the overall average LRR result indicates that it is more vulnerable to coastal erosion. This barrier island, zone B, was the flattest of the three zones, according to the ground truthing operation. This low elevation coastal zone (LECZ), which is defined as heights of 10 meters or less, is significantly impacted by the tides, waves, and currents of the sea.</w:t>
      </w:r>
      <w:r>
        <w:rPr>
          <w:rFonts w:ascii="Arial" w:eastAsia="Times New Roman" w:hAnsi="Arial" w:cs="Arial"/>
          <w:color w:val="auto"/>
          <w:szCs w:val="20"/>
          <w:lang w:val="en-US" w:eastAsia="en-US"/>
        </w:rPr>
        <w:t xml:space="preserve"> </w:t>
      </w:r>
      <w:r w:rsidRPr="0013544B">
        <w:rPr>
          <w:rFonts w:ascii="Arial" w:eastAsia="Times New Roman" w:hAnsi="Arial" w:cs="Arial"/>
          <w:color w:val="auto"/>
          <w:szCs w:val="20"/>
          <w:lang w:val="en-US" w:eastAsia="en-US"/>
        </w:rPr>
        <w:t>The late Cretaceous to Quaternary sediments that make up the beach ridge complex, alluvium, and coastal plain sands geologically underlie the study area (</w:t>
      </w:r>
      <w:proofErr w:type="spellStart"/>
      <w:r w:rsidRPr="0013544B">
        <w:rPr>
          <w:rFonts w:ascii="Arial" w:eastAsia="Times New Roman" w:hAnsi="Arial" w:cs="Arial"/>
          <w:color w:val="auto"/>
          <w:szCs w:val="20"/>
          <w:lang w:val="en-US" w:eastAsia="en-US"/>
        </w:rPr>
        <w:t>Edet</w:t>
      </w:r>
      <w:proofErr w:type="spellEnd"/>
      <w:r w:rsidRPr="0013544B">
        <w:rPr>
          <w:rFonts w:ascii="Arial" w:eastAsia="Times New Roman" w:hAnsi="Arial" w:cs="Arial"/>
          <w:color w:val="auto"/>
          <w:szCs w:val="20"/>
          <w:lang w:val="en-US" w:eastAsia="en-US"/>
        </w:rPr>
        <w:t xml:space="preserve"> et al. 2014). </w:t>
      </w:r>
      <w:proofErr w:type="spellStart"/>
      <w:r w:rsidRPr="0013544B">
        <w:rPr>
          <w:rFonts w:ascii="Arial" w:eastAsia="Times New Roman" w:hAnsi="Arial" w:cs="Arial"/>
          <w:color w:val="auto"/>
          <w:szCs w:val="20"/>
          <w:lang w:val="en-US" w:eastAsia="en-US"/>
        </w:rPr>
        <w:t>Edet</w:t>
      </w:r>
      <w:proofErr w:type="spellEnd"/>
      <w:r w:rsidRPr="0013544B">
        <w:rPr>
          <w:rFonts w:ascii="Arial" w:eastAsia="Times New Roman" w:hAnsi="Arial" w:cs="Arial"/>
          <w:color w:val="auto"/>
          <w:szCs w:val="20"/>
          <w:lang w:val="en-US" w:eastAsia="en-US"/>
        </w:rPr>
        <w:t xml:space="preserve"> (2017) states that the alluvial sands' sea level </w:t>
      </w:r>
      <w:proofErr w:type="spellStart"/>
      <w:r w:rsidRPr="0013544B">
        <w:rPr>
          <w:rFonts w:ascii="Arial" w:eastAsia="Times New Roman" w:hAnsi="Arial" w:cs="Arial"/>
          <w:color w:val="auto"/>
          <w:szCs w:val="20"/>
          <w:lang w:val="en-US" w:eastAsia="en-US"/>
        </w:rPr>
        <w:t>riseplain</w:t>
      </w:r>
      <w:proofErr w:type="spellEnd"/>
      <w:r w:rsidRPr="0013544B">
        <w:rPr>
          <w:rFonts w:ascii="Arial" w:eastAsia="Times New Roman" w:hAnsi="Arial" w:cs="Arial"/>
          <w:color w:val="auto"/>
          <w:szCs w:val="20"/>
          <w:lang w:val="en-US" w:eastAsia="en-US"/>
        </w:rPr>
        <w:t xml:space="preserve"> mud and clays are light grey in color and contain fine to very coarse granules.</w:t>
      </w:r>
    </w:p>
    <w:p w14:paraId="4073DD6B" w14:textId="58927964" w:rsidR="007D3D1A" w:rsidRPr="005E1DF6" w:rsidRDefault="0013544B" w:rsidP="00F83B04">
      <w:pPr>
        <w:spacing w:after="240" w:line="360" w:lineRule="auto"/>
        <w:ind w:left="0" w:firstLine="0"/>
        <w:rPr>
          <w:rFonts w:ascii="Arial" w:eastAsia="Times New Roman" w:hAnsi="Arial" w:cs="Arial"/>
          <w:color w:val="auto"/>
          <w:szCs w:val="20"/>
          <w:lang w:val="en-US" w:eastAsia="en-US"/>
        </w:rPr>
      </w:pPr>
      <w:r w:rsidRPr="0013544B">
        <w:rPr>
          <w:rFonts w:ascii="Arial" w:eastAsia="Times New Roman" w:hAnsi="Arial" w:cs="Arial"/>
          <w:color w:val="auto"/>
          <w:szCs w:val="20"/>
          <w:lang w:val="en-US" w:eastAsia="en-US"/>
        </w:rPr>
        <w:lastRenderedPageBreak/>
        <w:t>Similar to other coastal zones, Zone C exhibits an erosional tendency with an average annual LRR of -2.44+0.99m/yr. The findings indicate that the main process at work in the area being studied is erosion. This zone has an average erosion rate of -3.82 m/</w:t>
      </w:r>
      <w:proofErr w:type="spellStart"/>
      <w:r w:rsidRPr="0013544B">
        <w:rPr>
          <w:rFonts w:ascii="Arial" w:eastAsia="Times New Roman" w:hAnsi="Arial" w:cs="Arial"/>
          <w:color w:val="auto"/>
          <w:szCs w:val="20"/>
          <w:lang w:val="en-US" w:eastAsia="en-US"/>
        </w:rPr>
        <w:t>yr</w:t>
      </w:r>
      <w:proofErr w:type="spellEnd"/>
      <w:r w:rsidRPr="0013544B">
        <w:rPr>
          <w:rFonts w:ascii="Arial" w:eastAsia="Times New Roman" w:hAnsi="Arial" w:cs="Arial"/>
          <w:color w:val="auto"/>
          <w:szCs w:val="20"/>
          <w:lang w:val="en-US" w:eastAsia="en-US"/>
        </w:rPr>
        <w:t xml:space="preserve"> and an average accretion rate of 3.28 m/</w:t>
      </w:r>
      <w:proofErr w:type="spellStart"/>
      <w:r w:rsidRPr="0013544B">
        <w:rPr>
          <w:rFonts w:ascii="Arial" w:eastAsia="Times New Roman" w:hAnsi="Arial" w:cs="Arial"/>
          <w:color w:val="auto"/>
          <w:szCs w:val="20"/>
          <w:lang w:val="en-US" w:eastAsia="en-US"/>
        </w:rPr>
        <w:t>yr</w:t>
      </w:r>
      <w:proofErr w:type="spellEnd"/>
      <w:r w:rsidRPr="0013544B">
        <w:rPr>
          <w:rFonts w:ascii="Arial" w:eastAsia="Times New Roman" w:hAnsi="Arial" w:cs="Arial"/>
          <w:color w:val="auto"/>
          <w:szCs w:val="20"/>
          <w:lang w:val="en-US" w:eastAsia="en-US"/>
        </w:rPr>
        <w:t>, making it the second most dynamic section of the examined coast according to the data. Due to the noticeable vegetation backstop (see figure 3) along a significant portion of the shore, the effect of erosion from direct field observation is currently lower than that of zone B, despite the fact that there is a noticeable amount of erosion occurring here.</w:t>
      </w:r>
      <w:r>
        <w:rPr>
          <w:rFonts w:ascii="Arial" w:eastAsia="Times New Roman" w:hAnsi="Arial" w:cs="Arial"/>
          <w:color w:val="auto"/>
          <w:szCs w:val="20"/>
          <w:lang w:val="en-US" w:eastAsia="en-US"/>
        </w:rPr>
        <w:t xml:space="preserve"> </w:t>
      </w:r>
      <w:r w:rsidRPr="0013544B">
        <w:rPr>
          <w:rFonts w:ascii="Arial" w:eastAsia="Times New Roman" w:hAnsi="Arial" w:cs="Arial"/>
          <w:color w:val="auto"/>
          <w:szCs w:val="20"/>
          <w:lang w:val="en-US" w:eastAsia="en-US"/>
        </w:rPr>
        <w:t>Additionally, mangroves' natural engineering qualities are crucial for halting coastal erosion (</w:t>
      </w:r>
      <w:proofErr w:type="spellStart"/>
      <w:r w:rsidRPr="0013544B">
        <w:rPr>
          <w:rFonts w:ascii="Arial" w:eastAsia="Times New Roman" w:hAnsi="Arial" w:cs="Arial"/>
          <w:color w:val="auto"/>
          <w:szCs w:val="20"/>
          <w:lang w:val="en-US" w:eastAsia="en-US"/>
        </w:rPr>
        <w:t>Gracia</w:t>
      </w:r>
      <w:proofErr w:type="spellEnd"/>
      <w:r w:rsidRPr="0013544B">
        <w:rPr>
          <w:rFonts w:ascii="Arial" w:eastAsia="Times New Roman" w:hAnsi="Arial" w:cs="Arial"/>
          <w:color w:val="auto"/>
          <w:szCs w:val="20"/>
          <w:lang w:val="en-US" w:eastAsia="en-US"/>
        </w:rPr>
        <w:t xml:space="preserve"> et al. 2018; </w:t>
      </w:r>
      <w:proofErr w:type="spellStart"/>
      <w:r w:rsidRPr="0013544B">
        <w:rPr>
          <w:rFonts w:ascii="Arial" w:eastAsia="Times New Roman" w:hAnsi="Arial" w:cs="Arial"/>
          <w:color w:val="auto"/>
          <w:szCs w:val="20"/>
          <w:lang w:val="en-US" w:eastAsia="en-US"/>
        </w:rPr>
        <w:t>Brunier</w:t>
      </w:r>
      <w:proofErr w:type="spellEnd"/>
      <w:r w:rsidRPr="0013544B">
        <w:rPr>
          <w:rFonts w:ascii="Arial" w:eastAsia="Times New Roman" w:hAnsi="Arial" w:cs="Arial"/>
          <w:color w:val="auto"/>
          <w:szCs w:val="20"/>
          <w:lang w:val="en-US" w:eastAsia="en-US"/>
        </w:rPr>
        <w:t xml:space="preserve"> et al. 2019). A 38-year (1976–2014) study by </w:t>
      </w:r>
      <w:proofErr w:type="spellStart"/>
      <w:r w:rsidRPr="0013544B">
        <w:rPr>
          <w:rFonts w:ascii="Arial" w:eastAsia="Times New Roman" w:hAnsi="Arial" w:cs="Arial"/>
          <w:color w:val="auto"/>
          <w:szCs w:val="20"/>
          <w:lang w:val="en-US" w:eastAsia="en-US"/>
        </w:rPr>
        <w:t>Brunier</w:t>
      </w:r>
      <w:proofErr w:type="spellEnd"/>
      <w:r w:rsidRPr="0013544B">
        <w:rPr>
          <w:rFonts w:ascii="Arial" w:eastAsia="Times New Roman" w:hAnsi="Arial" w:cs="Arial"/>
          <w:color w:val="auto"/>
          <w:szCs w:val="20"/>
          <w:lang w:val="en-US" w:eastAsia="en-US"/>
        </w:rPr>
        <w:t xml:space="preserve"> et al. (2019) found that the Guianas' coast was losing mangrove-dominated rice polders at a rate of up to -200 m/yr. But before these buffer wetlands and mangroves were turned into rice polders, the rates of erosion were less than -100 m/yr. </w:t>
      </w:r>
      <w:proofErr w:type="spellStart"/>
      <w:r w:rsidRPr="0013544B">
        <w:rPr>
          <w:rFonts w:ascii="Arial" w:eastAsia="Times New Roman" w:hAnsi="Arial" w:cs="Arial"/>
          <w:color w:val="auto"/>
          <w:szCs w:val="20"/>
          <w:lang w:val="en-US" w:eastAsia="en-US"/>
        </w:rPr>
        <w:t>Winterwerp</w:t>
      </w:r>
      <w:proofErr w:type="spellEnd"/>
      <w:r w:rsidRPr="0013544B">
        <w:rPr>
          <w:rFonts w:ascii="Arial" w:eastAsia="Times New Roman" w:hAnsi="Arial" w:cs="Arial"/>
          <w:color w:val="auto"/>
          <w:szCs w:val="20"/>
          <w:lang w:val="en-US" w:eastAsia="en-US"/>
        </w:rPr>
        <w:t xml:space="preserve"> et al. (2020) give another excellent illustration of how mangroves facilitated accretion on the Suriname portion of the Guyana coast and how the removal of mangroves has been connected to ongoing erosion in some coastal areas.</w:t>
      </w:r>
      <w:r>
        <w:rPr>
          <w:rFonts w:ascii="Arial" w:eastAsia="Times New Roman" w:hAnsi="Arial" w:cs="Arial"/>
          <w:color w:val="auto"/>
          <w:szCs w:val="20"/>
          <w:lang w:val="en-US" w:eastAsia="en-US"/>
        </w:rPr>
        <w:t xml:space="preserve"> </w:t>
      </w:r>
      <w:r w:rsidRPr="0013544B">
        <w:rPr>
          <w:rFonts w:ascii="Arial" w:eastAsia="Times New Roman" w:hAnsi="Arial" w:cs="Arial"/>
          <w:color w:val="auto"/>
          <w:szCs w:val="20"/>
          <w:lang w:val="en-US" w:eastAsia="en-US"/>
        </w:rPr>
        <w:t>There are still areas of that beach with communities that are directly exposed to the sea, despite the fact that the community in zone C has moved behind the vegetation backstop. As a result, those areas are more vulnerable to erosion than the areas along river channels. This is understandable since narrower channels might lessen the force of the wind and waves traveling through them and their effect on the coastline (</w:t>
      </w:r>
      <w:proofErr w:type="spellStart"/>
      <w:r w:rsidRPr="0013544B">
        <w:rPr>
          <w:rFonts w:ascii="Arial" w:eastAsia="Times New Roman" w:hAnsi="Arial" w:cs="Arial"/>
          <w:color w:val="auto"/>
          <w:szCs w:val="20"/>
          <w:lang w:val="en-US" w:eastAsia="en-US"/>
        </w:rPr>
        <w:t>Gracia</w:t>
      </w:r>
      <w:proofErr w:type="spellEnd"/>
      <w:r w:rsidRPr="0013544B">
        <w:rPr>
          <w:rFonts w:ascii="Arial" w:eastAsia="Times New Roman" w:hAnsi="Arial" w:cs="Arial"/>
          <w:color w:val="auto"/>
          <w:szCs w:val="20"/>
          <w:lang w:val="en-US" w:eastAsia="en-US"/>
        </w:rPr>
        <w:t xml:space="preserve"> et al., 2018). Furthermore, the vegetative backstop protects against wave and wind action. The settlement movement behind the vegetative backstop in this area also helped to lessen the effects of coastal erosion.</w:t>
      </w:r>
    </w:p>
    <w:p w14:paraId="2A70AE5D" w14:textId="77777777" w:rsidR="0013544B" w:rsidRDefault="0013544B" w:rsidP="00F83B04">
      <w:pPr>
        <w:spacing w:after="240" w:line="360" w:lineRule="auto"/>
        <w:ind w:left="0" w:firstLine="0"/>
        <w:rPr>
          <w:rFonts w:ascii="Arial" w:eastAsia="Times New Roman" w:hAnsi="Arial" w:cs="Arial"/>
          <w:color w:val="auto"/>
          <w:szCs w:val="20"/>
          <w:lang w:val="en-US" w:eastAsia="en-US"/>
        </w:rPr>
      </w:pPr>
      <w:r w:rsidRPr="0013544B">
        <w:rPr>
          <w:rFonts w:ascii="Arial" w:eastAsia="Times New Roman" w:hAnsi="Arial" w:cs="Arial"/>
          <w:color w:val="auto"/>
          <w:szCs w:val="20"/>
          <w:lang w:val="en-US" w:eastAsia="en-US"/>
        </w:rPr>
        <w:t>Overall, the findings also demonstrated that regions exposed to the Atlantic Ocean experience higher rates of erosion. This is probably because climate change would make these regions more vulnerable to tidal currents, winds, tsunamis, and SLR—all of which are constant in these regions. The frequency and intensity of strong boat waves—a wave pattern produced by moving boats or vessels—are a significant human activity that may explain and contribute to the erosion in these areas, in addition to the impact that climate change is having on erosion rates. According to Herbert et al. (2018), high-energy boat waves may be a factor in the erosion and eradication of salt marshes and other beachside vegetation.</w:t>
      </w:r>
      <w:r>
        <w:rPr>
          <w:rFonts w:ascii="Arial" w:eastAsia="Times New Roman" w:hAnsi="Arial" w:cs="Arial"/>
          <w:color w:val="auto"/>
          <w:szCs w:val="20"/>
          <w:lang w:val="en-US" w:eastAsia="en-US"/>
        </w:rPr>
        <w:t xml:space="preserve"> </w:t>
      </w:r>
      <w:r w:rsidRPr="0013544B">
        <w:rPr>
          <w:rFonts w:ascii="Arial" w:eastAsia="Times New Roman" w:hAnsi="Arial" w:cs="Arial"/>
          <w:color w:val="auto"/>
          <w:szCs w:val="20"/>
          <w:lang w:val="en-US" w:eastAsia="en-US"/>
        </w:rPr>
        <w:t xml:space="preserve">There is a lot of waterway traffic and boat wakes because the primary economic activities in the </w:t>
      </w:r>
      <w:proofErr w:type="spellStart"/>
      <w:r w:rsidRPr="0013544B">
        <w:rPr>
          <w:rFonts w:ascii="Arial" w:eastAsia="Times New Roman" w:hAnsi="Arial" w:cs="Arial"/>
          <w:color w:val="auto"/>
          <w:szCs w:val="20"/>
          <w:lang w:val="en-US" w:eastAsia="en-US"/>
        </w:rPr>
        <w:t>Opobo</w:t>
      </w:r>
      <w:proofErr w:type="spellEnd"/>
      <w:r w:rsidRPr="0013544B">
        <w:rPr>
          <w:rFonts w:ascii="Arial" w:eastAsia="Times New Roman" w:hAnsi="Arial" w:cs="Arial"/>
          <w:color w:val="auto"/>
          <w:szCs w:val="20"/>
          <w:lang w:val="en-US" w:eastAsia="en-US"/>
        </w:rPr>
        <w:t xml:space="preserve"> shoreline region are fishing and operating commercial and recreational boats. This is most likely exacerbating the erosion on the study coast. </w:t>
      </w:r>
      <w:proofErr w:type="spellStart"/>
      <w:r w:rsidRPr="0013544B">
        <w:rPr>
          <w:rFonts w:ascii="Arial" w:eastAsia="Times New Roman" w:hAnsi="Arial" w:cs="Arial"/>
          <w:color w:val="auto"/>
          <w:szCs w:val="20"/>
          <w:lang w:val="en-US" w:eastAsia="en-US"/>
        </w:rPr>
        <w:t>Bilkovic</w:t>
      </w:r>
      <w:proofErr w:type="spellEnd"/>
      <w:r w:rsidRPr="0013544B">
        <w:rPr>
          <w:rFonts w:ascii="Arial" w:eastAsia="Times New Roman" w:hAnsi="Arial" w:cs="Arial"/>
          <w:color w:val="auto"/>
          <w:szCs w:val="20"/>
          <w:lang w:val="en-US" w:eastAsia="en-US"/>
        </w:rPr>
        <w:t xml:space="preserve"> et al. (2017) found a connection between boat wakes, coastal erosion, and turbidity in the Chesapeake Bay.</w:t>
      </w:r>
    </w:p>
    <w:bookmarkEnd w:id="11"/>
    <w:p w14:paraId="6F7A5398" w14:textId="2C87460A" w:rsidR="0013544B" w:rsidRDefault="0013544B" w:rsidP="0013544B">
      <w:pPr>
        <w:spacing w:after="240" w:line="360" w:lineRule="auto"/>
        <w:ind w:firstLine="0"/>
        <w:rPr>
          <w:rFonts w:ascii="Arial" w:eastAsia="Times New Roman" w:hAnsi="Arial" w:cs="Arial"/>
          <w:color w:val="auto"/>
          <w:szCs w:val="20"/>
          <w:lang w:val="en-US" w:eastAsia="en-US"/>
        </w:rPr>
      </w:pPr>
      <w:r w:rsidRPr="0013544B">
        <w:rPr>
          <w:rFonts w:ascii="Arial" w:eastAsia="Times New Roman" w:hAnsi="Arial" w:cs="Arial"/>
          <w:color w:val="auto"/>
          <w:szCs w:val="20"/>
          <w:lang w:val="en-US" w:eastAsia="en-US"/>
        </w:rPr>
        <w:t>Due to the complexity of the factors causing coastal erosion, an assessment necessitates a more flexible approach that incorporates both social and physical knowledge in order to comprehend the situation and offer practical management recommendations, particularly in low-coastal and data-poor environments. We should encourage this strategy. According to Oppenheimer et al. (2019), the IPCC has promoted adaptation as a means of reducing coastal erosion. Their desire is supported by this recommendation.</w:t>
      </w:r>
    </w:p>
    <w:p w14:paraId="5C96C11A" w14:textId="77777777" w:rsidR="0013544B" w:rsidRDefault="0013544B">
      <w:pPr>
        <w:spacing w:after="160" w:line="259" w:lineRule="auto"/>
        <w:ind w:left="0" w:firstLine="0"/>
        <w:jc w:val="left"/>
        <w:rPr>
          <w:rFonts w:ascii="Arial" w:eastAsia="Times New Roman" w:hAnsi="Arial" w:cs="Arial"/>
          <w:color w:val="auto"/>
          <w:szCs w:val="20"/>
          <w:lang w:val="en-US" w:eastAsia="en-US"/>
        </w:rPr>
      </w:pPr>
      <w:r>
        <w:rPr>
          <w:rFonts w:ascii="Arial" w:eastAsia="Times New Roman" w:hAnsi="Arial" w:cs="Arial"/>
          <w:color w:val="auto"/>
          <w:szCs w:val="20"/>
          <w:lang w:val="en-US" w:eastAsia="en-US"/>
        </w:rPr>
        <w:br w:type="page"/>
      </w:r>
    </w:p>
    <w:p w14:paraId="4073DD6D" w14:textId="038527C7" w:rsidR="00FA0F1C" w:rsidRPr="0013544B" w:rsidRDefault="00FA0F1C" w:rsidP="0013544B">
      <w:pPr>
        <w:pStyle w:val="ListParagraph"/>
        <w:numPr>
          <w:ilvl w:val="0"/>
          <w:numId w:val="19"/>
        </w:numPr>
        <w:spacing w:after="240" w:line="360" w:lineRule="auto"/>
        <w:rPr>
          <w:rFonts w:ascii="Arial" w:eastAsia="Times New Roman" w:hAnsi="Arial" w:cs="Arial"/>
          <w:b/>
          <w:color w:val="auto"/>
          <w:sz w:val="22"/>
          <w:lang w:val="en-US" w:eastAsia="en-US"/>
        </w:rPr>
      </w:pPr>
      <w:r w:rsidRPr="0013544B">
        <w:rPr>
          <w:rFonts w:ascii="Arial" w:eastAsia="Times New Roman" w:hAnsi="Arial" w:cs="Arial"/>
          <w:b/>
          <w:color w:val="auto"/>
          <w:sz w:val="22"/>
          <w:lang w:val="en-US" w:eastAsia="en-US"/>
        </w:rPr>
        <w:lastRenderedPageBreak/>
        <w:t>CONCLUSION</w:t>
      </w:r>
    </w:p>
    <w:p w14:paraId="18A25AC2" w14:textId="77777777" w:rsidR="0013544B" w:rsidRDefault="0013544B" w:rsidP="00A50357">
      <w:pPr>
        <w:pStyle w:val="NormalWeb"/>
        <w:spacing w:line="360" w:lineRule="auto"/>
        <w:rPr>
          <w:rFonts w:ascii="Arial" w:hAnsi="Arial" w:cs="Arial"/>
          <w:sz w:val="20"/>
          <w:szCs w:val="20"/>
          <w:lang w:val="en-US" w:eastAsia="en-US"/>
        </w:rPr>
      </w:pPr>
      <w:r w:rsidRPr="0013544B">
        <w:rPr>
          <w:rFonts w:ascii="Arial" w:hAnsi="Arial" w:cs="Arial"/>
          <w:sz w:val="20"/>
          <w:szCs w:val="20"/>
          <w:lang w:val="en-US" w:eastAsia="en-US"/>
        </w:rPr>
        <w:t>Although climate change has existed throughout Earth's geologic history, human activity—particularly that of industrialized nations—is primarily responsible for its current, severe, and swift manifestations. Coastal flooding, shoreline erosion, and relative sea level rise have become major environmental concerns in the Niger Delta. The region's low elevation, dense population, and inadequate mitigation infrastructure all contribute to its vulnerability. According to this study, only 23.85% of shoreline transects exhibit accretion, while 76.15% (351 out of 591) experience erosion. The long-term average Linear Regression Rate (LRR) from 1984 to 2020 was -2.7 ± 0.18 m/year.</w:t>
      </w:r>
      <w:r>
        <w:rPr>
          <w:rFonts w:ascii="Arial" w:hAnsi="Arial" w:cs="Arial"/>
          <w:sz w:val="20"/>
          <w:szCs w:val="20"/>
          <w:lang w:val="en-US" w:eastAsia="en-US"/>
        </w:rPr>
        <w:t xml:space="preserve"> </w:t>
      </w:r>
      <w:r w:rsidR="00A50357">
        <w:rPr>
          <w:rFonts w:ascii="Arial" w:hAnsi="Arial" w:cs="Arial"/>
          <w:sz w:val="20"/>
          <w:szCs w:val="20"/>
          <w:lang w:val="en-US" w:eastAsia="en-US"/>
        </w:rPr>
        <w:t xml:space="preserve"> </w:t>
      </w:r>
      <w:r w:rsidRPr="0013544B">
        <w:rPr>
          <w:rFonts w:ascii="Arial" w:hAnsi="Arial" w:cs="Arial"/>
          <w:sz w:val="20"/>
          <w:szCs w:val="20"/>
          <w:lang w:val="en-US" w:eastAsia="en-US"/>
        </w:rPr>
        <w:t>Zone A showed the least amount of erosional impact, while Zone B, the most dynamic and critically exposed of the designated coastal zones, recorded the highest erosion rates with LRR values as high as -5.89 ± 3.0 m/year. Zone C displayed intermediate dynamics, with large areas still at risk from insufficient coverage, but isolated pockets benefited from earlier shoreline reinforcement projects.</w:t>
      </w:r>
      <w:r>
        <w:rPr>
          <w:rFonts w:ascii="Arial" w:hAnsi="Arial" w:cs="Arial"/>
          <w:sz w:val="20"/>
          <w:szCs w:val="20"/>
          <w:lang w:val="en-US" w:eastAsia="en-US"/>
        </w:rPr>
        <w:t xml:space="preserve"> </w:t>
      </w:r>
    </w:p>
    <w:p w14:paraId="0416B518" w14:textId="77777777" w:rsidR="0013544B" w:rsidRDefault="0013544B" w:rsidP="00A50357">
      <w:pPr>
        <w:pStyle w:val="NormalWeb"/>
        <w:spacing w:line="360" w:lineRule="auto"/>
        <w:rPr>
          <w:rFonts w:ascii="Arial" w:hAnsi="Arial" w:cs="Arial"/>
          <w:sz w:val="20"/>
          <w:szCs w:val="20"/>
          <w:lang w:val="en-US" w:eastAsia="en-US"/>
        </w:rPr>
      </w:pPr>
      <w:r w:rsidRPr="0013544B">
        <w:rPr>
          <w:rFonts w:ascii="Arial" w:hAnsi="Arial" w:cs="Arial"/>
          <w:sz w:val="20"/>
          <w:szCs w:val="20"/>
          <w:lang w:val="en-US" w:eastAsia="en-US"/>
        </w:rPr>
        <w:t>The Residents' Response Index (RRI), which averages 3.67 throughout the study area, indicates a moderate but increasing level of awareness and coping effort among communities in response to the effects of climate change. However, there was a severe lack of proactive or preemptive adaptation measures, such as land use controls, disaster risk reduction measures, and storm surge barriers erected by the government. This disparity implies that instead of receiving proactive structural protection or policy support, residents are compelled to use reactive coping.</w:t>
      </w:r>
    </w:p>
    <w:p w14:paraId="5B607CD3" w14:textId="436BF1BB" w:rsidR="00A50357" w:rsidRPr="00A50357" w:rsidRDefault="0013544B" w:rsidP="00F83B04">
      <w:pPr>
        <w:pStyle w:val="BodyText"/>
        <w:spacing w:before="157" w:line="360" w:lineRule="auto"/>
        <w:ind w:right="116"/>
        <w:jc w:val="both"/>
        <w:rPr>
          <w:rFonts w:ascii="Arial" w:hAnsi="Arial" w:cs="Arial"/>
          <w:sz w:val="20"/>
          <w:szCs w:val="20"/>
          <w:lang w:val="en-GB"/>
        </w:rPr>
      </w:pPr>
      <w:r w:rsidRPr="0013544B">
        <w:rPr>
          <w:rFonts w:ascii="Arial" w:hAnsi="Arial" w:cs="Arial"/>
          <w:sz w:val="20"/>
          <w:szCs w:val="20"/>
        </w:rPr>
        <w:t>Given these results, Zone B needs to receive immediate attention because it has the worst erosion and the fewest mitigation measures, putting communities at serious risk. Reforestation of mangroves, the installation of engineered coastal defenses, and the incorporation of community-based early warning systems ought to be prioritized interventions. In order to direct future coastal planning and adaptation in this deltaic area, shoreline monitoring through satellite and ground-based surveys should also be institutionalized. To ensure sustainable management of the Niger Delta's delicate coastline in the face of rising seas, strategic cooperation between local, state, and federal authorities is essential.</w:t>
      </w:r>
    </w:p>
    <w:p w14:paraId="4073DD70" w14:textId="01926B72" w:rsidR="005E283F" w:rsidRPr="00A46250" w:rsidRDefault="00A46250" w:rsidP="00F83B04">
      <w:pPr>
        <w:tabs>
          <w:tab w:val="num" w:pos="720"/>
        </w:tabs>
        <w:spacing w:line="360" w:lineRule="auto"/>
        <w:ind w:left="0" w:firstLine="0"/>
        <w:rPr>
          <w:rFonts w:ascii="Arial" w:hAnsi="Arial" w:cs="Arial"/>
          <w:b/>
          <w:color w:val="auto"/>
          <w:sz w:val="22"/>
          <w:lang w:val="en-US"/>
        </w:rPr>
      </w:pPr>
      <w:r w:rsidRPr="00A46250">
        <w:rPr>
          <w:rFonts w:ascii="Arial" w:hAnsi="Arial" w:cs="Arial"/>
          <w:b/>
          <w:color w:val="auto"/>
          <w:sz w:val="22"/>
          <w:lang w:val="en-US"/>
        </w:rPr>
        <w:t>RECOMMENDATIONS</w:t>
      </w:r>
    </w:p>
    <w:p w14:paraId="281D99D2" w14:textId="77777777" w:rsidR="00FC6725" w:rsidRDefault="00FC6725" w:rsidP="00FC6725">
      <w:pPr>
        <w:pStyle w:val="ListParagraph"/>
        <w:numPr>
          <w:ilvl w:val="0"/>
          <w:numId w:val="24"/>
        </w:numPr>
        <w:tabs>
          <w:tab w:val="num" w:pos="720"/>
        </w:tabs>
        <w:spacing w:line="360" w:lineRule="auto"/>
        <w:rPr>
          <w:rFonts w:ascii="Arial" w:hAnsi="Arial" w:cs="Arial"/>
          <w:color w:val="auto"/>
          <w:szCs w:val="20"/>
        </w:rPr>
      </w:pPr>
      <w:r w:rsidRPr="00FC6725">
        <w:rPr>
          <w:rFonts w:ascii="Arial" w:hAnsi="Arial" w:cs="Arial"/>
          <w:color w:val="auto"/>
          <w:szCs w:val="20"/>
        </w:rPr>
        <w:t xml:space="preserve">Given the significance of the Nigerian Coastal Zone to the country's economy, sufficient attention should be paid to it by putting in place location-specific, sustainable mitigation strategies that ensure the region's successful adaptation to climate change. </w:t>
      </w:r>
    </w:p>
    <w:p w14:paraId="31A6A8CC" w14:textId="36885B26" w:rsidR="00FC6725" w:rsidRPr="00FC6725" w:rsidRDefault="00FC6725" w:rsidP="00FC6725">
      <w:pPr>
        <w:pStyle w:val="ListParagraph"/>
        <w:numPr>
          <w:ilvl w:val="0"/>
          <w:numId w:val="24"/>
        </w:numPr>
        <w:tabs>
          <w:tab w:val="num" w:pos="720"/>
        </w:tabs>
        <w:spacing w:line="360" w:lineRule="auto"/>
        <w:rPr>
          <w:rFonts w:ascii="Arial" w:hAnsi="Arial" w:cs="Arial"/>
          <w:color w:val="auto"/>
          <w:szCs w:val="20"/>
        </w:rPr>
      </w:pPr>
      <w:r w:rsidRPr="00FC6725">
        <w:rPr>
          <w:rFonts w:ascii="Arial" w:hAnsi="Arial" w:cs="Arial"/>
          <w:color w:val="auto"/>
          <w:szCs w:val="20"/>
        </w:rPr>
        <w:t>Given the current climate variation, the state and federal governments of Nigeria, development partners, and private sector actors should carry out their assigned roles in climate change responses, measures, and actions to implement context-specific policies to address barriers to the adoption of advanced sea level rise adaptation strategies across various residential densities in Opobo and other areas with comparable characteristics.</w:t>
      </w:r>
    </w:p>
    <w:p w14:paraId="6D0DC2C5" w14:textId="4726B6EE" w:rsidR="0050640D" w:rsidRPr="00FC6725" w:rsidRDefault="0050640D" w:rsidP="0050640D">
      <w:pPr>
        <w:tabs>
          <w:tab w:val="num" w:pos="720"/>
        </w:tabs>
        <w:spacing w:line="360" w:lineRule="auto"/>
        <w:ind w:left="0" w:firstLine="217"/>
        <w:rPr>
          <w:rFonts w:ascii="Arial" w:hAnsi="Arial" w:cs="Arial"/>
          <w:color w:val="auto"/>
          <w:szCs w:val="20"/>
        </w:rPr>
      </w:pPr>
    </w:p>
    <w:p w14:paraId="6E0173E3" w14:textId="77777777" w:rsidR="0050640D" w:rsidRPr="00394842" w:rsidRDefault="0050640D" w:rsidP="0050640D">
      <w:pPr>
        <w:rPr>
          <w:highlight w:val="yellow"/>
        </w:rPr>
      </w:pPr>
      <w:r w:rsidRPr="00394842">
        <w:rPr>
          <w:highlight w:val="yellow"/>
        </w:rPr>
        <w:t>Disclaimer (Artificial intelligence)</w:t>
      </w:r>
    </w:p>
    <w:p w14:paraId="48C7C9CB" w14:textId="77777777" w:rsidR="0050640D" w:rsidRPr="00394842" w:rsidRDefault="0050640D" w:rsidP="0050640D">
      <w:pPr>
        <w:rPr>
          <w:highlight w:val="yellow"/>
        </w:rPr>
      </w:pPr>
    </w:p>
    <w:p w14:paraId="3395542D" w14:textId="77777777" w:rsidR="0050640D" w:rsidRPr="00394842" w:rsidRDefault="0050640D" w:rsidP="0050640D">
      <w:pPr>
        <w:rPr>
          <w:highlight w:val="yellow"/>
        </w:rPr>
      </w:pPr>
      <w:r w:rsidRPr="00394842">
        <w:rPr>
          <w:highlight w:val="yellow"/>
        </w:rPr>
        <w:t xml:space="preserve">Option 1: </w:t>
      </w:r>
    </w:p>
    <w:p w14:paraId="02CB1D9D" w14:textId="77777777" w:rsidR="0050640D" w:rsidRPr="00394842" w:rsidRDefault="0050640D" w:rsidP="0050640D">
      <w:pPr>
        <w:rPr>
          <w:highlight w:val="yellow"/>
        </w:rPr>
      </w:pPr>
    </w:p>
    <w:p w14:paraId="453BCCA7" w14:textId="77777777" w:rsidR="0050640D" w:rsidRPr="00394842" w:rsidRDefault="0050640D" w:rsidP="0050640D">
      <w:pPr>
        <w:rPr>
          <w:highlight w:val="yellow"/>
        </w:rPr>
      </w:pPr>
      <w:r w:rsidRPr="00394842">
        <w:rPr>
          <w:highlight w:val="yellow"/>
        </w:rPr>
        <w:lastRenderedPageBreak/>
        <w:t>Author(s) hereby declare that NO generative AI technologies such as Large Language Models (</w:t>
      </w:r>
      <w:proofErr w:type="spellStart"/>
      <w:r w:rsidRPr="00394842">
        <w:rPr>
          <w:highlight w:val="yellow"/>
        </w:rPr>
        <w:t>ChatGPT</w:t>
      </w:r>
      <w:proofErr w:type="spellEnd"/>
      <w:r w:rsidRPr="00394842">
        <w:rPr>
          <w:highlight w:val="yellow"/>
        </w:rPr>
        <w:t xml:space="preserve">, COPILOT, etc.) and text-to-image generators have been used during the writing or editing of this manuscript. </w:t>
      </w:r>
    </w:p>
    <w:p w14:paraId="2226FA7D" w14:textId="77777777" w:rsidR="0050640D" w:rsidRPr="00394842" w:rsidRDefault="0050640D" w:rsidP="0050640D">
      <w:pPr>
        <w:rPr>
          <w:highlight w:val="yellow"/>
        </w:rPr>
      </w:pPr>
    </w:p>
    <w:p w14:paraId="4C645365" w14:textId="77777777" w:rsidR="0050640D" w:rsidRPr="00394842" w:rsidRDefault="0050640D" w:rsidP="0050640D">
      <w:pPr>
        <w:rPr>
          <w:highlight w:val="yellow"/>
        </w:rPr>
      </w:pPr>
      <w:r w:rsidRPr="00394842">
        <w:rPr>
          <w:highlight w:val="yellow"/>
        </w:rPr>
        <w:t xml:space="preserve">Option 2: </w:t>
      </w:r>
    </w:p>
    <w:p w14:paraId="3FE01632" w14:textId="77777777" w:rsidR="0050640D" w:rsidRPr="00394842" w:rsidRDefault="0050640D" w:rsidP="0050640D">
      <w:pPr>
        <w:rPr>
          <w:highlight w:val="yellow"/>
        </w:rPr>
      </w:pPr>
    </w:p>
    <w:p w14:paraId="12C0411A" w14:textId="77777777" w:rsidR="0050640D" w:rsidRPr="00394842" w:rsidRDefault="0050640D" w:rsidP="0050640D">
      <w:pPr>
        <w:rPr>
          <w:highlight w:val="yellow"/>
        </w:rPr>
      </w:pPr>
      <w:r w:rsidRPr="0039484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48E3A1D" w14:textId="77777777" w:rsidR="0050640D" w:rsidRPr="00394842" w:rsidRDefault="0050640D" w:rsidP="0050640D">
      <w:pPr>
        <w:rPr>
          <w:highlight w:val="yellow"/>
        </w:rPr>
      </w:pPr>
    </w:p>
    <w:p w14:paraId="0F58692B" w14:textId="77777777" w:rsidR="0050640D" w:rsidRPr="00394842" w:rsidRDefault="0050640D" w:rsidP="0050640D">
      <w:pPr>
        <w:rPr>
          <w:highlight w:val="yellow"/>
        </w:rPr>
      </w:pPr>
      <w:r w:rsidRPr="00394842">
        <w:rPr>
          <w:highlight w:val="yellow"/>
        </w:rPr>
        <w:t>Details of the AI usage are given below:</w:t>
      </w:r>
    </w:p>
    <w:p w14:paraId="4DC74932" w14:textId="77777777" w:rsidR="0050640D" w:rsidRPr="00394842" w:rsidRDefault="0050640D" w:rsidP="0050640D">
      <w:pPr>
        <w:rPr>
          <w:highlight w:val="yellow"/>
        </w:rPr>
      </w:pPr>
      <w:r w:rsidRPr="00394842">
        <w:rPr>
          <w:highlight w:val="yellow"/>
        </w:rPr>
        <w:t>1.</w:t>
      </w:r>
    </w:p>
    <w:p w14:paraId="714FF44E" w14:textId="77777777" w:rsidR="0050640D" w:rsidRPr="00394842" w:rsidRDefault="0050640D" w:rsidP="0050640D">
      <w:pPr>
        <w:rPr>
          <w:highlight w:val="yellow"/>
        </w:rPr>
      </w:pPr>
      <w:r w:rsidRPr="00394842">
        <w:rPr>
          <w:highlight w:val="yellow"/>
        </w:rPr>
        <w:t>2.</w:t>
      </w:r>
    </w:p>
    <w:p w14:paraId="235C38D1" w14:textId="77777777" w:rsidR="0050640D" w:rsidRPr="00165217" w:rsidRDefault="0050640D" w:rsidP="0050640D">
      <w:r w:rsidRPr="00394842">
        <w:rPr>
          <w:highlight w:val="yellow"/>
        </w:rPr>
        <w:t>3.</w:t>
      </w:r>
    </w:p>
    <w:p w14:paraId="3344B5DB" w14:textId="77777777" w:rsidR="0050640D" w:rsidRPr="0050640D" w:rsidRDefault="0050640D" w:rsidP="0050640D">
      <w:pPr>
        <w:tabs>
          <w:tab w:val="num" w:pos="720"/>
        </w:tabs>
        <w:spacing w:line="360" w:lineRule="auto"/>
        <w:ind w:left="0" w:firstLine="217"/>
        <w:rPr>
          <w:rFonts w:ascii="Arial" w:hAnsi="Arial" w:cs="Arial"/>
          <w:color w:val="auto"/>
          <w:szCs w:val="20"/>
          <w:lang w:val="en-US"/>
        </w:rPr>
      </w:pPr>
    </w:p>
    <w:p w14:paraId="4073DD73" w14:textId="52B3C188" w:rsidR="00F35FE1" w:rsidRPr="00A46250" w:rsidRDefault="00A46250" w:rsidP="00F83B04">
      <w:pPr>
        <w:spacing w:line="360" w:lineRule="auto"/>
        <w:ind w:left="0" w:firstLine="0"/>
        <w:rPr>
          <w:rFonts w:ascii="Arial" w:hAnsi="Arial" w:cs="Arial"/>
          <w:b/>
          <w:color w:val="auto"/>
          <w:sz w:val="22"/>
          <w:lang w:val="en-US"/>
        </w:rPr>
      </w:pPr>
      <w:r w:rsidRPr="00A46250">
        <w:rPr>
          <w:rFonts w:ascii="Arial" w:hAnsi="Arial" w:cs="Arial"/>
          <w:b/>
          <w:color w:val="auto"/>
          <w:sz w:val="22"/>
          <w:lang w:val="en-US"/>
        </w:rPr>
        <w:t xml:space="preserve">REFERENCES </w:t>
      </w:r>
    </w:p>
    <w:p w14:paraId="70C37701" w14:textId="77777777" w:rsidR="00A50357" w:rsidRPr="00A50357" w:rsidRDefault="00A50357" w:rsidP="00A50357">
      <w:pPr>
        <w:spacing w:line="360" w:lineRule="auto"/>
        <w:ind w:left="0" w:firstLine="0"/>
        <w:rPr>
          <w:rFonts w:ascii="Arial" w:hAnsi="Arial" w:cs="Arial"/>
          <w:color w:val="auto"/>
          <w:szCs w:val="20"/>
        </w:rPr>
      </w:pPr>
      <w:r w:rsidRPr="00A50357">
        <w:rPr>
          <w:rFonts w:ascii="Arial" w:hAnsi="Arial" w:cs="Arial"/>
          <w:color w:val="auto"/>
          <w:szCs w:val="20"/>
        </w:rPr>
        <w:t xml:space="preserve">Clay, N., &amp; King, B. (2019). Smallholders’ uneven capacities to adapt to climate change amid Africa’s “green revolution”: Case study of Rwanda’s crop intensification program. </w:t>
      </w:r>
      <w:r w:rsidRPr="00A50357">
        <w:rPr>
          <w:rFonts w:ascii="Arial" w:hAnsi="Arial" w:cs="Arial"/>
          <w:i/>
          <w:iCs/>
          <w:color w:val="auto"/>
          <w:szCs w:val="20"/>
        </w:rPr>
        <w:t>Global Environmental Change, 57</w:t>
      </w:r>
      <w:r w:rsidRPr="00A50357">
        <w:rPr>
          <w:rFonts w:ascii="Arial" w:hAnsi="Arial" w:cs="Arial"/>
          <w:color w:val="auto"/>
          <w:szCs w:val="20"/>
        </w:rPr>
        <w:t>, 101944. https://doi.org/10.1016/j.gloenvcha.2019.101944</w:t>
      </w:r>
    </w:p>
    <w:p w14:paraId="15B95E92" w14:textId="77777777" w:rsidR="00A50357" w:rsidRPr="00A50357" w:rsidRDefault="00A50357" w:rsidP="00A50357">
      <w:pPr>
        <w:spacing w:line="360" w:lineRule="auto"/>
        <w:ind w:left="0" w:firstLine="0"/>
        <w:rPr>
          <w:rFonts w:ascii="Arial" w:hAnsi="Arial" w:cs="Arial"/>
          <w:color w:val="auto"/>
          <w:szCs w:val="20"/>
        </w:rPr>
      </w:pPr>
      <w:r w:rsidRPr="00A50357">
        <w:rPr>
          <w:rFonts w:ascii="Arial" w:hAnsi="Arial" w:cs="Arial"/>
          <w:color w:val="auto"/>
          <w:szCs w:val="20"/>
        </w:rPr>
        <w:t>Dike, E. C., Ameme, B. G., &amp; Efeovbokhan, O. (2024). Shoreline position trends in the Niger Delta: Analyzing spatial and temporal changes through Sentinel</w:t>
      </w:r>
      <w:r w:rsidRPr="00A50357">
        <w:rPr>
          <w:rFonts w:ascii="Arial" w:hAnsi="Arial" w:cs="Arial"/>
          <w:color w:val="auto"/>
          <w:szCs w:val="20"/>
        </w:rPr>
        <w:noBreakHyphen/>
        <w:t xml:space="preserve">1 SAR imagery. </w:t>
      </w:r>
      <w:r w:rsidRPr="00A50357">
        <w:rPr>
          <w:rFonts w:ascii="Arial" w:hAnsi="Arial" w:cs="Arial"/>
          <w:i/>
          <w:iCs/>
          <w:color w:val="auto"/>
          <w:szCs w:val="20"/>
        </w:rPr>
        <w:t>Journal of Coastal Zone Studies</w:t>
      </w:r>
      <w:r w:rsidRPr="00A50357">
        <w:rPr>
          <w:rFonts w:ascii="Arial" w:hAnsi="Arial" w:cs="Arial"/>
          <w:color w:val="auto"/>
          <w:szCs w:val="20"/>
        </w:rPr>
        <w:t xml:space="preserve">. </w:t>
      </w:r>
      <w:hyperlink r:id="rId9" w:tgtFrame="_new" w:history="1">
        <w:r w:rsidRPr="00A50357">
          <w:rPr>
            <w:rStyle w:val="Hyperlink"/>
            <w:rFonts w:ascii="Arial" w:hAnsi="Arial" w:cs="Arial"/>
            <w:szCs w:val="20"/>
          </w:rPr>
          <w:t>https://doi.org/10.1080/19475705.2024.2346150</w:t>
        </w:r>
      </w:hyperlink>
    </w:p>
    <w:p w14:paraId="37E24D37" w14:textId="77777777" w:rsidR="00A50357" w:rsidRPr="00A50357" w:rsidRDefault="00A50357" w:rsidP="00A50357">
      <w:pPr>
        <w:spacing w:line="360" w:lineRule="auto"/>
        <w:ind w:left="0" w:firstLine="0"/>
        <w:rPr>
          <w:rFonts w:ascii="Arial" w:hAnsi="Arial" w:cs="Arial"/>
          <w:color w:val="auto"/>
          <w:szCs w:val="20"/>
        </w:rPr>
      </w:pPr>
      <w:r w:rsidRPr="00A50357">
        <w:rPr>
          <w:rFonts w:ascii="Arial" w:hAnsi="Arial" w:cs="Arial"/>
          <w:color w:val="auto"/>
          <w:szCs w:val="20"/>
        </w:rPr>
        <w:t>Gómez</w:t>
      </w:r>
      <w:r w:rsidRPr="00A50357">
        <w:rPr>
          <w:rFonts w:ascii="Arial" w:hAnsi="Arial" w:cs="Arial"/>
          <w:color w:val="auto"/>
          <w:szCs w:val="20"/>
        </w:rPr>
        <w:noBreakHyphen/>
        <w:t xml:space="preserve">de la Peña, E., Coco, G., Whittaker, C., &amp; Montaño, J. (2023). On the use of convolutional deep learning to predict shoreline change. </w:t>
      </w:r>
      <w:r w:rsidRPr="00A50357">
        <w:rPr>
          <w:rFonts w:ascii="Arial" w:hAnsi="Arial" w:cs="Arial"/>
          <w:i/>
          <w:iCs/>
          <w:color w:val="auto"/>
          <w:szCs w:val="20"/>
        </w:rPr>
        <w:t>Earth Surface Dynamics, 11</w:t>
      </w:r>
      <w:r w:rsidRPr="00A50357">
        <w:rPr>
          <w:rFonts w:ascii="Arial" w:hAnsi="Arial" w:cs="Arial"/>
          <w:color w:val="auto"/>
          <w:szCs w:val="20"/>
        </w:rPr>
        <w:t xml:space="preserve">, 1145–1160. </w:t>
      </w:r>
      <w:hyperlink r:id="rId10" w:tgtFrame="_new" w:history="1">
        <w:r w:rsidRPr="00A50357">
          <w:rPr>
            <w:rStyle w:val="Hyperlink"/>
            <w:rFonts w:ascii="Arial" w:hAnsi="Arial" w:cs="Arial"/>
            <w:szCs w:val="20"/>
          </w:rPr>
          <w:t>https://doi.org/10.5194/esurf-11-1145-2023</w:t>
        </w:r>
      </w:hyperlink>
    </w:p>
    <w:p w14:paraId="75D6275A" w14:textId="77777777" w:rsidR="00A50357" w:rsidRPr="00A50357" w:rsidRDefault="00A50357" w:rsidP="00A50357">
      <w:pPr>
        <w:spacing w:line="360" w:lineRule="auto"/>
        <w:ind w:left="0" w:firstLine="0"/>
        <w:rPr>
          <w:rFonts w:ascii="Arial" w:hAnsi="Arial" w:cs="Arial"/>
          <w:color w:val="auto"/>
          <w:szCs w:val="20"/>
        </w:rPr>
      </w:pPr>
      <w:proofErr w:type="spellStart"/>
      <w:r w:rsidRPr="00A50357">
        <w:rPr>
          <w:rFonts w:ascii="Arial" w:hAnsi="Arial" w:cs="Arial"/>
          <w:color w:val="auto"/>
          <w:szCs w:val="20"/>
        </w:rPr>
        <w:t>Kreibich</w:t>
      </w:r>
      <w:proofErr w:type="spellEnd"/>
      <w:r w:rsidRPr="00A50357">
        <w:rPr>
          <w:rFonts w:ascii="Arial" w:hAnsi="Arial" w:cs="Arial"/>
          <w:color w:val="auto"/>
          <w:szCs w:val="20"/>
        </w:rPr>
        <w:t xml:space="preserve">, H., Seifert, I., Thieken, A. H., Lindquist, E., Wagner, K., &amp; Merz, B. (2011). Recent changes in flood preparedness of private households and businesses in Germany. </w:t>
      </w:r>
      <w:r w:rsidRPr="00A50357">
        <w:rPr>
          <w:rFonts w:ascii="Arial" w:hAnsi="Arial" w:cs="Arial"/>
          <w:i/>
          <w:iCs/>
          <w:color w:val="auto"/>
          <w:szCs w:val="20"/>
        </w:rPr>
        <w:t>Regional Environmental Change, 11</w:t>
      </w:r>
      <w:r w:rsidRPr="00A50357">
        <w:rPr>
          <w:rFonts w:ascii="Arial" w:hAnsi="Arial" w:cs="Arial"/>
          <w:color w:val="auto"/>
          <w:szCs w:val="20"/>
        </w:rPr>
        <w:t>(1), 59–71. https://doi.org/10.1007/s10113-010-0119-3</w:t>
      </w:r>
    </w:p>
    <w:p w14:paraId="33B09C36" w14:textId="77777777" w:rsidR="00A50357" w:rsidRPr="00A50357" w:rsidRDefault="00A50357" w:rsidP="00A50357">
      <w:pPr>
        <w:spacing w:line="360" w:lineRule="auto"/>
        <w:ind w:left="0" w:firstLine="0"/>
        <w:rPr>
          <w:rFonts w:ascii="Arial" w:hAnsi="Arial" w:cs="Arial"/>
          <w:color w:val="auto"/>
          <w:szCs w:val="20"/>
        </w:rPr>
      </w:pPr>
      <w:r w:rsidRPr="00D90CFE">
        <w:rPr>
          <w:rFonts w:ascii="Arial" w:hAnsi="Arial" w:cs="Arial"/>
          <w:color w:val="auto"/>
          <w:szCs w:val="20"/>
          <w:highlight w:val="yellow"/>
        </w:rPr>
        <w:t xml:space="preserve">Li, N., Piguet, E., &amp; Vesely, C. (2018). Global migration induced by sea-level rise. </w:t>
      </w:r>
      <w:r w:rsidRPr="00D90CFE">
        <w:rPr>
          <w:rFonts w:ascii="Arial" w:hAnsi="Arial" w:cs="Arial"/>
          <w:i/>
          <w:iCs/>
          <w:color w:val="auto"/>
          <w:szCs w:val="20"/>
          <w:highlight w:val="yellow"/>
        </w:rPr>
        <w:t>Environmental Research Letters, 13</w:t>
      </w:r>
      <w:r w:rsidRPr="00D90CFE">
        <w:rPr>
          <w:rFonts w:ascii="Arial" w:hAnsi="Arial" w:cs="Arial"/>
          <w:color w:val="auto"/>
          <w:szCs w:val="20"/>
          <w:highlight w:val="yellow"/>
        </w:rPr>
        <w:t>(4), 044019. https://doi.org/10.1088/1748-9326/aab9b1</w:t>
      </w:r>
    </w:p>
    <w:p w14:paraId="1965887B" w14:textId="77777777" w:rsidR="00A50357" w:rsidRPr="00A50357" w:rsidRDefault="00A50357" w:rsidP="00A50357">
      <w:pPr>
        <w:spacing w:line="360" w:lineRule="auto"/>
        <w:ind w:left="0" w:firstLine="0"/>
        <w:rPr>
          <w:rFonts w:ascii="Arial" w:hAnsi="Arial" w:cs="Arial"/>
          <w:color w:val="auto"/>
          <w:szCs w:val="20"/>
        </w:rPr>
      </w:pPr>
      <w:r w:rsidRPr="00A50357">
        <w:rPr>
          <w:rFonts w:ascii="Arial" w:hAnsi="Arial" w:cs="Arial"/>
          <w:color w:val="auto"/>
          <w:szCs w:val="20"/>
        </w:rPr>
        <w:t xml:space="preserve">Lutz, W., &amp; Muttarak, R. (2017). Forecasting societies’ adaptive capacities through a demographic metabolism model. </w:t>
      </w:r>
      <w:r w:rsidRPr="00A50357">
        <w:rPr>
          <w:rFonts w:ascii="Arial" w:hAnsi="Arial" w:cs="Arial"/>
          <w:i/>
          <w:iCs/>
          <w:color w:val="auto"/>
          <w:szCs w:val="20"/>
        </w:rPr>
        <w:t>Nature Climate Change, 7</w:t>
      </w:r>
      <w:r w:rsidRPr="00A50357">
        <w:rPr>
          <w:rFonts w:ascii="Arial" w:hAnsi="Arial" w:cs="Arial"/>
          <w:color w:val="auto"/>
          <w:szCs w:val="20"/>
        </w:rPr>
        <w:t>(3), 177–184. https://doi.org/10.1038/nclimate3222</w:t>
      </w:r>
    </w:p>
    <w:p w14:paraId="67318763" w14:textId="77777777" w:rsidR="00A50357" w:rsidRPr="00A50357" w:rsidRDefault="00A50357" w:rsidP="00A50357">
      <w:pPr>
        <w:spacing w:line="360" w:lineRule="auto"/>
        <w:ind w:left="0" w:firstLine="0"/>
        <w:rPr>
          <w:rFonts w:ascii="Arial" w:hAnsi="Arial" w:cs="Arial"/>
          <w:color w:val="auto"/>
          <w:szCs w:val="20"/>
        </w:rPr>
      </w:pPr>
      <w:r w:rsidRPr="00A50357">
        <w:rPr>
          <w:rFonts w:ascii="Arial" w:hAnsi="Arial" w:cs="Arial"/>
          <w:color w:val="auto"/>
          <w:szCs w:val="20"/>
        </w:rPr>
        <w:t>Nyadzi, E., Bessah, E., &amp; Kranjac</w:t>
      </w:r>
      <w:r w:rsidRPr="00A50357">
        <w:rPr>
          <w:rFonts w:ascii="Arial" w:hAnsi="Arial" w:cs="Arial"/>
          <w:color w:val="auto"/>
          <w:szCs w:val="20"/>
        </w:rPr>
        <w:noBreakHyphen/>
        <w:t xml:space="preserve">Berisavljevic, G. (2020). Taking stock of climate change induced sea level rise across the West African coast. </w:t>
      </w:r>
      <w:r w:rsidRPr="00A50357">
        <w:rPr>
          <w:rFonts w:ascii="Arial" w:hAnsi="Arial" w:cs="Arial"/>
          <w:i/>
          <w:iCs/>
          <w:color w:val="auto"/>
          <w:szCs w:val="20"/>
        </w:rPr>
        <w:t>Environmental Claims Journal, 33</w:t>
      </w:r>
      <w:r w:rsidRPr="00A50357">
        <w:rPr>
          <w:rFonts w:ascii="Arial" w:hAnsi="Arial" w:cs="Arial"/>
          <w:color w:val="auto"/>
          <w:szCs w:val="20"/>
        </w:rPr>
        <w:t xml:space="preserve">(1), 77–90. </w:t>
      </w:r>
      <w:hyperlink r:id="rId11" w:tgtFrame="_new" w:history="1">
        <w:r w:rsidRPr="00A50357">
          <w:rPr>
            <w:rStyle w:val="Hyperlink"/>
            <w:rFonts w:ascii="Arial" w:hAnsi="Arial" w:cs="Arial"/>
            <w:szCs w:val="20"/>
          </w:rPr>
          <w:t>https://doi.org/10.1080/10406026.2020.1847873</w:t>
        </w:r>
      </w:hyperlink>
    </w:p>
    <w:p w14:paraId="5FD85EE6" w14:textId="77777777" w:rsidR="00A50357" w:rsidRPr="00A50357" w:rsidRDefault="00A50357" w:rsidP="00A50357">
      <w:pPr>
        <w:spacing w:line="360" w:lineRule="auto"/>
        <w:ind w:left="0" w:firstLine="0"/>
        <w:rPr>
          <w:rFonts w:ascii="Arial" w:hAnsi="Arial" w:cs="Arial"/>
          <w:color w:val="auto"/>
          <w:szCs w:val="20"/>
        </w:rPr>
      </w:pPr>
      <w:r w:rsidRPr="00A50357">
        <w:rPr>
          <w:rFonts w:ascii="Arial" w:hAnsi="Arial" w:cs="Arial"/>
          <w:color w:val="auto"/>
          <w:szCs w:val="20"/>
        </w:rPr>
        <w:t>Papadopoulos, D. (2020). The role of well</w:t>
      </w:r>
      <w:r w:rsidRPr="00A50357">
        <w:rPr>
          <w:rFonts w:ascii="Arial" w:hAnsi="Arial" w:cs="Arial"/>
          <w:color w:val="auto"/>
          <w:szCs w:val="20"/>
        </w:rPr>
        <w:noBreakHyphen/>
        <w:t xml:space="preserve">being, spirituality, and religiosity for successful aging in late life: A brief review. </w:t>
      </w:r>
      <w:r w:rsidRPr="00A50357">
        <w:rPr>
          <w:rFonts w:ascii="Arial" w:hAnsi="Arial" w:cs="Arial"/>
          <w:i/>
          <w:iCs/>
          <w:color w:val="auto"/>
          <w:szCs w:val="20"/>
        </w:rPr>
        <w:t>Advances in Aging Research, 9</w:t>
      </w:r>
      <w:r w:rsidRPr="00A50357">
        <w:rPr>
          <w:rFonts w:ascii="Arial" w:hAnsi="Arial" w:cs="Arial"/>
          <w:color w:val="auto"/>
          <w:szCs w:val="20"/>
        </w:rPr>
        <w:t xml:space="preserve">(2), 23–31. </w:t>
      </w:r>
      <w:hyperlink r:id="rId12" w:tgtFrame="_new" w:history="1">
        <w:r w:rsidRPr="00A50357">
          <w:rPr>
            <w:rStyle w:val="Hyperlink"/>
            <w:rFonts w:ascii="Arial" w:hAnsi="Arial" w:cs="Arial"/>
            <w:szCs w:val="20"/>
          </w:rPr>
          <w:t>https://doi.org/10.4236/aar.2020.92003</w:t>
        </w:r>
      </w:hyperlink>
    </w:p>
    <w:p w14:paraId="0ABD7885" w14:textId="77777777" w:rsidR="00A50357" w:rsidRPr="00A50357" w:rsidRDefault="00A50357" w:rsidP="00A50357">
      <w:pPr>
        <w:spacing w:line="360" w:lineRule="auto"/>
        <w:ind w:left="0" w:firstLine="0"/>
        <w:rPr>
          <w:rFonts w:ascii="Arial" w:hAnsi="Arial" w:cs="Arial"/>
          <w:color w:val="auto"/>
          <w:szCs w:val="20"/>
        </w:rPr>
      </w:pPr>
      <w:r w:rsidRPr="00A50357">
        <w:rPr>
          <w:rFonts w:ascii="Arial" w:hAnsi="Arial" w:cs="Arial"/>
          <w:color w:val="auto"/>
          <w:szCs w:val="20"/>
        </w:rPr>
        <w:t xml:space="preserve">Pugh, D. T., &amp; Woodworth, P. L. (2014). </w:t>
      </w:r>
      <w:r w:rsidRPr="00A50357">
        <w:rPr>
          <w:rFonts w:ascii="Arial" w:hAnsi="Arial" w:cs="Arial"/>
          <w:i/>
          <w:iCs/>
          <w:color w:val="auto"/>
          <w:szCs w:val="20"/>
        </w:rPr>
        <w:t>Sea-level science: Understanding tides, surges, tsunamis and mean sea-level changes</w:t>
      </w:r>
      <w:r w:rsidRPr="00A50357">
        <w:rPr>
          <w:rFonts w:ascii="Arial" w:hAnsi="Arial" w:cs="Arial"/>
          <w:color w:val="auto"/>
          <w:szCs w:val="20"/>
        </w:rPr>
        <w:t>. Cambridge University Press.</w:t>
      </w:r>
    </w:p>
    <w:p w14:paraId="21C54D6D" w14:textId="77777777" w:rsidR="00A50357" w:rsidRPr="00A50357" w:rsidRDefault="00A50357" w:rsidP="00A50357">
      <w:pPr>
        <w:spacing w:line="360" w:lineRule="auto"/>
        <w:ind w:left="0" w:firstLine="0"/>
        <w:rPr>
          <w:rFonts w:ascii="Arial" w:hAnsi="Arial" w:cs="Arial"/>
          <w:color w:val="auto"/>
          <w:szCs w:val="20"/>
        </w:rPr>
      </w:pPr>
      <w:r w:rsidRPr="00A50357">
        <w:rPr>
          <w:rFonts w:ascii="Arial" w:hAnsi="Arial" w:cs="Arial"/>
          <w:color w:val="auto"/>
          <w:szCs w:val="20"/>
        </w:rPr>
        <w:t xml:space="preserve">Rahman, M. K., Crawford, T. W., &amp; Islam, M. S. (2022). Shoreline change analysis along rivers and deltas: A systematic review and bibliometric analysis. </w:t>
      </w:r>
      <w:r w:rsidRPr="00A50357">
        <w:rPr>
          <w:rFonts w:ascii="Arial" w:hAnsi="Arial" w:cs="Arial"/>
          <w:i/>
          <w:iCs/>
          <w:color w:val="auto"/>
          <w:szCs w:val="20"/>
        </w:rPr>
        <w:t>Geosciences, 12</w:t>
      </w:r>
      <w:r w:rsidRPr="00A50357">
        <w:rPr>
          <w:rFonts w:ascii="Arial" w:hAnsi="Arial" w:cs="Arial"/>
          <w:color w:val="auto"/>
          <w:szCs w:val="20"/>
        </w:rPr>
        <w:t xml:space="preserve">(11), Article 410. </w:t>
      </w:r>
      <w:hyperlink r:id="rId13" w:tgtFrame="_new" w:history="1">
        <w:r w:rsidRPr="00A50357">
          <w:rPr>
            <w:rStyle w:val="Hyperlink"/>
            <w:rFonts w:ascii="Arial" w:hAnsi="Arial" w:cs="Arial"/>
            <w:szCs w:val="20"/>
          </w:rPr>
          <w:t>https://doi.org/10.3390/geosciences12110410</w:t>
        </w:r>
      </w:hyperlink>
    </w:p>
    <w:p w14:paraId="3FB3E4EF" w14:textId="77777777" w:rsidR="00D90CFE" w:rsidRDefault="00D90CFE" w:rsidP="00A50357">
      <w:pPr>
        <w:spacing w:line="360" w:lineRule="auto"/>
        <w:ind w:left="0" w:firstLine="0"/>
        <w:rPr>
          <w:rFonts w:ascii="Arial" w:hAnsi="Arial" w:cs="Arial"/>
          <w:color w:val="auto"/>
          <w:szCs w:val="20"/>
        </w:rPr>
      </w:pPr>
      <w:proofErr w:type="spellStart"/>
      <w:r w:rsidRPr="00D90CFE">
        <w:rPr>
          <w:rFonts w:ascii="Arial" w:hAnsi="Arial" w:cs="Arial"/>
          <w:color w:val="auto"/>
          <w:szCs w:val="20"/>
        </w:rPr>
        <w:lastRenderedPageBreak/>
        <w:t>Tejedor</w:t>
      </w:r>
      <w:proofErr w:type="spellEnd"/>
      <w:r w:rsidRPr="00D90CFE">
        <w:rPr>
          <w:rFonts w:ascii="Arial" w:hAnsi="Arial" w:cs="Arial"/>
          <w:color w:val="auto"/>
          <w:szCs w:val="20"/>
        </w:rPr>
        <w:t xml:space="preserve">, A., </w:t>
      </w:r>
      <w:proofErr w:type="spellStart"/>
      <w:r w:rsidRPr="00D90CFE">
        <w:rPr>
          <w:rFonts w:ascii="Arial" w:hAnsi="Arial" w:cs="Arial"/>
          <w:color w:val="auto"/>
          <w:szCs w:val="20"/>
        </w:rPr>
        <w:t>Longjas</w:t>
      </w:r>
      <w:proofErr w:type="spellEnd"/>
      <w:r w:rsidRPr="00D90CFE">
        <w:rPr>
          <w:rFonts w:ascii="Arial" w:hAnsi="Arial" w:cs="Arial"/>
          <w:color w:val="auto"/>
          <w:szCs w:val="20"/>
        </w:rPr>
        <w:t xml:space="preserve">, A., </w:t>
      </w:r>
      <w:proofErr w:type="spellStart"/>
      <w:r w:rsidRPr="00D90CFE">
        <w:rPr>
          <w:rFonts w:ascii="Arial" w:hAnsi="Arial" w:cs="Arial"/>
          <w:color w:val="auto"/>
          <w:szCs w:val="20"/>
        </w:rPr>
        <w:t>Passalacqua</w:t>
      </w:r>
      <w:proofErr w:type="spellEnd"/>
      <w:r w:rsidRPr="00D90CFE">
        <w:rPr>
          <w:rFonts w:ascii="Arial" w:hAnsi="Arial" w:cs="Arial"/>
          <w:color w:val="auto"/>
          <w:szCs w:val="20"/>
        </w:rPr>
        <w:t xml:space="preserve">, P., Moreno, Y., &amp; </w:t>
      </w:r>
      <w:proofErr w:type="spellStart"/>
      <w:r w:rsidRPr="00D90CFE">
        <w:rPr>
          <w:rFonts w:ascii="Arial" w:hAnsi="Arial" w:cs="Arial"/>
          <w:color w:val="auto"/>
          <w:szCs w:val="20"/>
        </w:rPr>
        <w:t>Foufoula</w:t>
      </w:r>
      <w:proofErr w:type="spellEnd"/>
      <w:r w:rsidRPr="00D90CFE">
        <w:rPr>
          <w:rFonts w:ascii="Cambria Math" w:hAnsi="Cambria Math" w:cs="Cambria Math"/>
          <w:color w:val="auto"/>
          <w:szCs w:val="20"/>
        </w:rPr>
        <w:t>‐</w:t>
      </w:r>
      <w:r w:rsidRPr="00D90CFE">
        <w:rPr>
          <w:rFonts w:ascii="Arial" w:hAnsi="Arial" w:cs="Arial"/>
          <w:color w:val="auto"/>
          <w:szCs w:val="20"/>
        </w:rPr>
        <w:t xml:space="preserve">Georgiou, E. (2018). Multiplex networks: A framework for studying </w:t>
      </w:r>
      <w:proofErr w:type="spellStart"/>
      <w:r w:rsidRPr="00D90CFE">
        <w:rPr>
          <w:rFonts w:ascii="Arial" w:hAnsi="Arial" w:cs="Arial"/>
          <w:color w:val="auto"/>
          <w:szCs w:val="20"/>
        </w:rPr>
        <w:t>multiprocess</w:t>
      </w:r>
      <w:proofErr w:type="spellEnd"/>
      <w:r w:rsidRPr="00D90CFE">
        <w:rPr>
          <w:rFonts w:ascii="Arial" w:hAnsi="Arial" w:cs="Arial"/>
          <w:color w:val="auto"/>
          <w:szCs w:val="20"/>
        </w:rPr>
        <w:t xml:space="preserve"> multiscale connectivity via coupled</w:t>
      </w:r>
      <w:r w:rsidRPr="00D90CFE">
        <w:rPr>
          <w:rFonts w:ascii="Cambria Math" w:hAnsi="Cambria Math" w:cs="Cambria Math"/>
          <w:color w:val="auto"/>
          <w:szCs w:val="20"/>
        </w:rPr>
        <w:t>‐</w:t>
      </w:r>
      <w:r w:rsidRPr="00D90CFE">
        <w:rPr>
          <w:rFonts w:ascii="Arial" w:hAnsi="Arial" w:cs="Arial"/>
          <w:color w:val="auto"/>
          <w:szCs w:val="20"/>
        </w:rPr>
        <w:t>network theory with an application to river deltas. Geophysical Research Letters, 45(18), 9681-9689.</w:t>
      </w:r>
    </w:p>
    <w:p w14:paraId="6306036D" w14:textId="0234D3F4" w:rsidR="00A50357" w:rsidRPr="00A50357" w:rsidRDefault="00A50357" w:rsidP="00A50357">
      <w:pPr>
        <w:spacing w:line="360" w:lineRule="auto"/>
        <w:ind w:left="0" w:firstLine="0"/>
        <w:rPr>
          <w:rFonts w:ascii="Arial" w:hAnsi="Arial" w:cs="Arial"/>
          <w:color w:val="auto"/>
          <w:szCs w:val="20"/>
        </w:rPr>
      </w:pPr>
      <w:r w:rsidRPr="00A50357">
        <w:rPr>
          <w:rFonts w:ascii="Arial" w:hAnsi="Arial" w:cs="Arial"/>
          <w:color w:val="auto"/>
          <w:szCs w:val="20"/>
        </w:rPr>
        <w:t xml:space="preserve">UN-HABITAT. (2016). </w:t>
      </w:r>
      <w:r w:rsidRPr="00A50357">
        <w:rPr>
          <w:rFonts w:ascii="Arial" w:hAnsi="Arial" w:cs="Arial"/>
          <w:i/>
          <w:iCs/>
          <w:color w:val="auto"/>
          <w:szCs w:val="20"/>
        </w:rPr>
        <w:t>World Cities Report 2016: Urbanization and Development—Emerging Futures</w:t>
      </w:r>
      <w:r w:rsidRPr="00A50357">
        <w:rPr>
          <w:rFonts w:ascii="Arial" w:hAnsi="Arial" w:cs="Arial"/>
          <w:color w:val="auto"/>
          <w:szCs w:val="20"/>
        </w:rPr>
        <w:t>. United Nations Human Settlements Programme.</w:t>
      </w:r>
    </w:p>
    <w:p w14:paraId="78BE4589" w14:textId="77777777" w:rsidR="00A50357" w:rsidRPr="00A50357" w:rsidRDefault="00A50357" w:rsidP="00A50357">
      <w:pPr>
        <w:spacing w:line="360" w:lineRule="auto"/>
        <w:ind w:left="0" w:firstLine="0"/>
        <w:rPr>
          <w:rFonts w:ascii="Arial" w:hAnsi="Arial" w:cs="Arial"/>
          <w:color w:val="auto"/>
          <w:szCs w:val="20"/>
        </w:rPr>
      </w:pPr>
      <w:r w:rsidRPr="00A50357">
        <w:rPr>
          <w:rFonts w:ascii="Arial" w:hAnsi="Arial" w:cs="Arial"/>
          <w:color w:val="auto"/>
          <w:szCs w:val="20"/>
        </w:rPr>
        <w:t xml:space="preserve">Uddin, M. N., Bokelmann, W., &amp; Entsminger, J. S. (2014). Factors affecting farmers’ adaptation strategies to environmental degradation and climate change effects: A farm-level study in Bangladesh. </w:t>
      </w:r>
      <w:r w:rsidRPr="00A50357">
        <w:rPr>
          <w:rFonts w:ascii="Arial" w:hAnsi="Arial" w:cs="Arial"/>
          <w:i/>
          <w:iCs/>
          <w:color w:val="auto"/>
          <w:szCs w:val="20"/>
        </w:rPr>
        <w:t>Ecological Indicators, 48</w:t>
      </w:r>
      <w:r w:rsidRPr="00A50357">
        <w:rPr>
          <w:rFonts w:ascii="Arial" w:hAnsi="Arial" w:cs="Arial"/>
          <w:color w:val="auto"/>
          <w:szCs w:val="20"/>
        </w:rPr>
        <w:t>, 83–93. https://doi.org/10.1016/j.ecolind.2014.07.006</w:t>
      </w:r>
    </w:p>
    <w:p w14:paraId="367E89EA" w14:textId="77777777" w:rsidR="00A50357" w:rsidRPr="00A50357" w:rsidRDefault="00A50357" w:rsidP="00A50357">
      <w:pPr>
        <w:spacing w:line="360" w:lineRule="auto"/>
        <w:ind w:left="0" w:firstLine="0"/>
        <w:rPr>
          <w:rFonts w:ascii="Arial" w:hAnsi="Arial" w:cs="Arial"/>
          <w:color w:val="auto"/>
          <w:szCs w:val="20"/>
        </w:rPr>
      </w:pPr>
      <w:r w:rsidRPr="00A50357">
        <w:rPr>
          <w:rFonts w:ascii="Arial" w:hAnsi="Arial" w:cs="Arial"/>
          <w:color w:val="auto"/>
          <w:szCs w:val="20"/>
        </w:rPr>
        <w:t xml:space="preserve">Wood, S., Aerts, J., et al. (2024). Upscaling marine forest restoration: Challenges, solutions and best practices. </w:t>
      </w:r>
      <w:r w:rsidRPr="00A50357">
        <w:rPr>
          <w:rFonts w:ascii="Arial" w:hAnsi="Arial" w:cs="Arial"/>
          <w:i/>
          <w:iCs/>
          <w:color w:val="auto"/>
          <w:szCs w:val="20"/>
        </w:rPr>
        <w:t>Frontiers in Marine Science, 11</w:t>
      </w:r>
      <w:r w:rsidRPr="00A50357">
        <w:rPr>
          <w:rFonts w:ascii="Arial" w:hAnsi="Arial" w:cs="Arial"/>
          <w:color w:val="auto"/>
          <w:szCs w:val="20"/>
        </w:rPr>
        <w:t>, Article 1364263. https://doi.org/10.3389/fmars.2024.1364263</w:t>
      </w:r>
    </w:p>
    <w:p w14:paraId="7FAE1918" w14:textId="77777777" w:rsidR="00A50357" w:rsidRPr="00A50357" w:rsidRDefault="00A50357" w:rsidP="00A50357">
      <w:pPr>
        <w:spacing w:line="360" w:lineRule="auto"/>
        <w:ind w:left="0" w:firstLine="0"/>
        <w:rPr>
          <w:rFonts w:ascii="Arial" w:hAnsi="Arial" w:cs="Arial"/>
          <w:color w:val="auto"/>
          <w:szCs w:val="20"/>
        </w:rPr>
      </w:pPr>
      <w:r w:rsidRPr="00A50357">
        <w:rPr>
          <w:rFonts w:ascii="Arial" w:hAnsi="Arial" w:cs="Arial"/>
          <w:color w:val="auto"/>
          <w:szCs w:val="20"/>
        </w:rPr>
        <w:t xml:space="preserve">World Bank. (2021). </w:t>
      </w:r>
      <w:r w:rsidRPr="00A50357">
        <w:rPr>
          <w:rFonts w:ascii="Arial" w:hAnsi="Arial" w:cs="Arial"/>
          <w:i/>
          <w:iCs/>
          <w:color w:val="auto"/>
          <w:szCs w:val="20"/>
        </w:rPr>
        <w:t>Climate change and development in Nigeria</w:t>
      </w:r>
      <w:r w:rsidRPr="00A50357">
        <w:rPr>
          <w:rFonts w:ascii="Arial" w:hAnsi="Arial" w:cs="Arial"/>
          <w:color w:val="auto"/>
          <w:szCs w:val="20"/>
        </w:rPr>
        <w:t xml:space="preserve">. World Bank Country Environmental Analysis Report. </w:t>
      </w:r>
      <w:hyperlink r:id="rId14" w:tgtFrame="_new" w:history="1">
        <w:r w:rsidRPr="00A50357">
          <w:rPr>
            <w:rStyle w:val="Hyperlink"/>
            <w:rFonts w:ascii="Arial" w:hAnsi="Arial" w:cs="Arial"/>
            <w:szCs w:val="20"/>
          </w:rPr>
          <w:t>https://climateknowledgeportal.worldbank.org/country/nigeria</w:t>
        </w:r>
      </w:hyperlink>
    </w:p>
    <w:p w14:paraId="55059B7D" w14:textId="77777777" w:rsidR="00A50357" w:rsidRPr="00A50357" w:rsidRDefault="00A50357" w:rsidP="00A50357">
      <w:pPr>
        <w:spacing w:line="360" w:lineRule="auto"/>
        <w:ind w:left="0" w:firstLine="0"/>
        <w:rPr>
          <w:rFonts w:ascii="Arial" w:hAnsi="Arial" w:cs="Arial"/>
          <w:color w:val="auto"/>
          <w:szCs w:val="20"/>
        </w:rPr>
      </w:pPr>
      <w:r w:rsidRPr="00A50357">
        <w:rPr>
          <w:rFonts w:ascii="Arial" w:hAnsi="Arial" w:cs="Arial"/>
          <w:color w:val="auto"/>
          <w:szCs w:val="20"/>
        </w:rPr>
        <w:t xml:space="preserve">Zhang, Z., Wang, Z., Liang, B., Leng, X., Yang, B., &amp; Shi, L. (2024). Shoreline change analysis in the estuarine area of Rizhao based on remote sensing images and numerical simulation. </w:t>
      </w:r>
      <w:r w:rsidRPr="00A50357">
        <w:rPr>
          <w:rFonts w:ascii="Arial" w:hAnsi="Arial" w:cs="Arial"/>
          <w:i/>
          <w:iCs/>
          <w:color w:val="auto"/>
          <w:szCs w:val="20"/>
        </w:rPr>
        <w:t>Frontiers in Marine Science, 11</w:t>
      </w:r>
      <w:r w:rsidRPr="00A50357">
        <w:rPr>
          <w:rFonts w:ascii="Arial" w:hAnsi="Arial" w:cs="Arial"/>
          <w:color w:val="auto"/>
          <w:szCs w:val="20"/>
        </w:rPr>
        <w:t xml:space="preserve">, Article 1488577. </w:t>
      </w:r>
      <w:hyperlink r:id="rId15" w:tgtFrame="_new" w:history="1">
        <w:r w:rsidRPr="00A50357">
          <w:rPr>
            <w:rStyle w:val="Hyperlink"/>
            <w:rFonts w:ascii="Arial" w:hAnsi="Arial" w:cs="Arial"/>
            <w:szCs w:val="20"/>
          </w:rPr>
          <w:t>https://doi.org/10.3389/fmars.2024.1488577</w:t>
        </w:r>
      </w:hyperlink>
    </w:p>
    <w:p w14:paraId="4073DD9E" w14:textId="77777777" w:rsidR="00F35FE1" w:rsidRPr="005E1DF6" w:rsidRDefault="00F35FE1" w:rsidP="00F83B04">
      <w:pPr>
        <w:spacing w:line="360" w:lineRule="auto"/>
        <w:ind w:left="0" w:firstLine="0"/>
        <w:rPr>
          <w:rFonts w:ascii="Arial" w:hAnsi="Arial" w:cs="Arial"/>
          <w:color w:val="auto"/>
          <w:szCs w:val="20"/>
          <w:lang w:val="en-US"/>
        </w:rPr>
      </w:pPr>
      <w:bookmarkStart w:id="12" w:name="_GoBack"/>
      <w:bookmarkEnd w:id="12"/>
    </w:p>
    <w:sectPr w:rsidR="00F35FE1" w:rsidRPr="005E1DF6" w:rsidSect="0019460E">
      <w:headerReference w:type="even" r:id="rId16"/>
      <w:headerReference w:type="default" r:id="rId17"/>
      <w:footerReference w:type="even" r:id="rId18"/>
      <w:footerReference w:type="default" r:id="rId19"/>
      <w:headerReference w:type="first" r:id="rId20"/>
      <w:footerReference w:type="first" r:id="rId21"/>
      <w:pgSz w:w="11910" w:h="16840" w:code="9"/>
      <w:pgMar w:top="993" w:right="1080" w:bottom="1440" w:left="108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CD8CB" w14:textId="77777777" w:rsidR="00B070B6" w:rsidRDefault="00B070B6" w:rsidP="003E57C7">
      <w:pPr>
        <w:spacing w:after="0" w:line="240" w:lineRule="auto"/>
      </w:pPr>
      <w:r>
        <w:separator/>
      </w:r>
    </w:p>
  </w:endnote>
  <w:endnote w:type="continuationSeparator" w:id="0">
    <w:p w14:paraId="0C4F2F1B" w14:textId="77777777" w:rsidR="00B070B6" w:rsidRDefault="00B070B6" w:rsidP="003E57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3BFB6" w14:textId="77777777" w:rsidR="00B55BB0" w:rsidRDefault="00B55B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3DDA6" w14:textId="77777777" w:rsidR="009005FE" w:rsidRDefault="009005FE">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CFC10" w14:textId="77777777" w:rsidR="00B55BB0" w:rsidRDefault="00B55B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76D263" w14:textId="77777777" w:rsidR="00B070B6" w:rsidRDefault="00B070B6" w:rsidP="003E57C7">
      <w:pPr>
        <w:spacing w:after="0" w:line="240" w:lineRule="auto"/>
      </w:pPr>
      <w:r>
        <w:separator/>
      </w:r>
    </w:p>
  </w:footnote>
  <w:footnote w:type="continuationSeparator" w:id="0">
    <w:p w14:paraId="12359DC0" w14:textId="77777777" w:rsidR="00B070B6" w:rsidRDefault="00B070B6" w:rsidP="003E57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D8DF0" w14:textId="344B00E0" w:rsidR="00B55BB0" w:rsidRDefault="00CE065F">
    <w:pPr>
      <w:pStyle w:val="Header"/>
    </w:pPr>
    <w:r>
      <w:rPr>
        <w:noProof/>
      </w:rPr>
      <w:pict w14:anchorId="32DBC6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704063" o:spid="_x0000_s2050" type="#_x0000_t136" style="position:absolute;left:0;text-align:left;margin-left:0;margin-top:0;width:578.75pt;height:108.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F8572" w14:textId="463BDA88" w:rsidR="00B55BB0" w:rsidRDefault="00CE065F">
    <w:pPr>
      <w:pStyle w:val="Header"/>
    </w:pPr>
    <w:r>
      <w:rPr>
        <w:noProof/>
      </w:rPr>
      <w:pict w14:anchorId="2839A3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704064" o:spid="_x0000_s2051" type="#_x0000_t136" style="position:absolute;left:0;text-align:left;margin-left:0;margin-top:0;width:578.75pt;height:108.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37B1E" w14:textId="1BCF2A95" w:rsidR="00B55BB0" w:rsidRDefault="00CE065F">
    <w:pPr>
      <w:pStyle w:val="Header"/>
    </w:pPr>
    <w:r>
      <w:rPr>
        <w:noProof/>
      </w:rPr>
      <w:pict w14:anchorId="515A99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704062" o:spid="_x0000_s2049" type="#_x0000_t136" style="position:absolute;left:0;text-align:left;margin-left:0;margin-top:0;width:578.75pt;height:108.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07D40"/>
    <w:multiLevelType w:val="multilevel"/>
    <w:tmpl w:val="9A683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2C5152"/>
    <w:multiLevelType w:val="hybridMultilevel"/>
    <w:tmpl w:val="0F78D152"/>
    <w:lvl w:ilvl="0" w:tplc="FFFFFFFF">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 w15:restartNumberingAfterBreak="0">
    <w:nsid w:val="03993F09"/>
    <w:multiLevelType w:val="multilevel"/>
    <w:tmpl w:val="43B857BC"/>
    <w:lvl w:ilvl="0">
      <w:start w:val="2"/>
      <w:numFmt w:val="decimal"/>
      <w:lvlText w:val="%1"/>
      <w:lvlJc w:val="left"/>
      <w:pPr>
        <w:ind w:left="519" w:hanging="403"/>
      </w:pPr>
      <w:rPr>
        <w:rFonts w:hint="default"/>
        <w:lang w:val="en-US" w:eastAsia="en-US" w:bidi="ar-SA"/>
      </w:rPr>
    </w:lvl>
    <w:lvl w:ilvl="1">
      <w:start w:val="1"/>
      <w:numFmt w:val="decimal"/>
      <w:lvlText w:val="%1.%2"/>
      <w:lvlJc w:val="left"/>
      <w:pPr>
        <w:ind w:left="519" w:hanging="403"/>
      </w:pPr>
      <w:rPr>
        <w:rFonts w:ascii="Verdana" w:eastAsia="Verdana" w:hAnsi="Verdana" w:cs="Verdana" w:hint="default"/>
        <w:b/>
        <w:bCs/>
        <w:i/>
        <w:iCs/>
        <w:color w:val="10137D"/>
        <w:spacing w:val="0"/>
        <w:w w:val="75"/>
        <w:sz w:val="21"/>
        <w:szCs w:val="21"/>
        <w:lang w:val="en-US" w:eastAsia="en-US" w:bidi="ar-SA"/>
      </w:rPr>
    </w:lvl>
    <w:lvl w:ilvl="2">
      <w:start w:val="1"/>
      <w:numFmt w:val="upperRoman"/>
      <w:lvlText w:val="(%3)"/>
      <w:lvlJc w:val="left"/>
      <w:pPr>
        <w:ind w:left="722" w:hanging="252"/>
        <w:jc w:val="right"/>
      </w:pPr>
      <w:rPr>
        <w:rFonts w:ascii="Trebuchet MS" w:eastAsia="Trebuchet MS" w:hAnsi="Trebuchet MS" w:cs="Trebuchet MS" w:hint="default"/>
        <w:b w:val="0"/>
        <w:bCs w:val="0"/>
        <w:i w:val="0"/>
        <w:iCs w:val="0"/>
        <w:spacing w:val="0"/>
        <w:w w:val="79"/>
        <w:sz w:val="20"/>
        <w:szCs w:val="20"/>
        <w:lang w:val="en-US" w:eastAsia="en-US" w:bidi="ar-SA"/>
      </w:rPr>
    </w:lvl>
    <w:lvl w:ilvl="3">
      <w:numFmt w:val="bullet"/>
      <w:lvlText w:val="•"/>
      <w:lvlJc w:val="left"/>
      <w:pPr>
        <w:ind w:left="2272" w:hanging="252"/>
      </w:pPr>
      <w:rPr>
        <w:rFonts w:hint="default"/>
        <w:lang w:val="en-US" w:eastAsia="en-US" w:bidi="ar-SA"/>
      </w:rPr>
    </w:lvl>
    <w:lvl w:ilvl="4">
      <w:numFmt w:val="bullet"/>
      <w:lvlText w:val="•"/>
      <w:lvlJc w:val="left"/>
      <w:pPr>
        <w:ind w:left="3048" w:hanging="252"/>
      </w:pPr>
      <w:rPr>
        <w:rFonts w:hint="default"/>
        <w:lang w:val="en-US" w:eastAsia="en-US" w:bidi="ar-SA"/>
      </w:rPr>
    </w:lvl>
    <w:lvl w:ilvl="5">
      <w:numFmt w:val="bullet"/>
      <w:lvlText w:val="•"/>
      <w:lvlJc w:val="left"/>
      <w:pPr>
        <w:ind w:left="3824" w:hanging="252"/>
      </w:pPr>
      <w:rPr>
        <w:rFonts w:hint="default"/>
        <w:lang w:val="en-US" w:eastAsia="en-US" w:bidi="ar-SA"/>
      </w:rPr>
    </w:lvl>
    <w:lvl w:ilvl="6">
      <w:numFmt w:val="bullet"/>
      <w:lvlText w:val="•"/>
      <w:lvlJc w:val="left"/>
      <w:pPr>
        <w:ind w:left="4600" w:hanging="252"/>
      </w:pPr>
      <w:rPr>
        <w:rFonts w:hint="default"/>
        <w:lang w:val="en-US" w:eastAsia="en-US" w:bidi="ar-SA"/>
      </w:rPr>
    </w:lvl>
    <w:lvl w:ilvl="7">
      <w:numFmt w:val="bullet"/>
      <w:lvlText w:val="•"/>
      <w:lvlJc w:val="left"/>
      <w:pPr>
        <w:ind w:left="5376" w:hanging="252"/>
      </w:pPr>
      <w:rPr>
        <w:rFonts w:hint="default"/>
        <w:lang w:val="en-US" w:eastAsia="en-US" w:bidi="ar-SA"/>
      </w:rPr>
    </w:lvl>
    <w:lvl w:ilvl="8">
      <w:numFmt w:val="bullet"/>
      <w:lvlText w:val="•"/>
      <w:lvlJc w:val="left"/>
      <w:pPr>
        <w:ind w:left="6152" w:hanging="252"/>
      </w:pPr>
      <w:rPr>
        <w:rFonts w:hint="default"/>
        <w:lang w:val="en-US" w:eastAsia="en-US" w:bidi="ar-SA"/>
      </w:rPr>
    </w:lvl>
  </w:abstractNum>
  <w:abstractNum w:abstractNumId="3" w15:restartNumberingAfterBreak="0">
    <w:nsid w:val="05095014"/>
    <w:multiLevelType w:val="hybridMultilevel"/>
    <w:tmpl w:val="874021DA"/>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 w15:restartNumberingAfterBreak="0">
    <w:nsid w:val="07A27251"/>
    <w:multiLevelType w:val="hybridMultilevel"/>
    <w:tmpl w:val="E05E0506"/>
    <w:lvl w:ilvl="0" w:tplc="FFFFFFF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90F2FA3"/>
    <w:multiLevelType w:val="multilevel"/>
    <w:tmpl w:val="97B68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4F6E27"/>
    <w:multiLevelType w:val="multilevel"/>
    <w:tmpl w:val="C40234D2"/>
    <w:lvl w:ilvl="0">
      <w:start w:val="2"/>
      <w:numFmt w:val="decimal"/>
      <w:lvlText w:val="%1"/>
      <w:lvlJc w:val="left"/>
      <w:pPr>
        <w:ind w:left="680" w:hanging="360"/>
      </w:pPr>
      <w:rPr>
        <w:rFonts w:hint="default"/>
        <w:lang w:val="en-US" w:eastAsia="en-US" w:bidi="ar-SA"/>
      </w:rPr>
    </w:lvl>
    <w:lvl w:ilvl="1">
      <w:start w:val="1"/>
      <w:numFmt w:val="decimal"/>
      <w:lvlText w:val="%1.%2"/>
      <w:lvlJc w:val="left"/>
      <w:pPr>
        <w:ind w:left="680" w:hanging="360"/>
        <w:jc w:val="righ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860"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1.%2.%3.%4"/>
      <w:lvlJc w:val="left"/>
      <w:pPr>
        <w:ind w:left="1040" w:hanging="720"/>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2283" w:hanging="720"/>
      </w:pPr>
      <w:rPr>
        <w:rFonts w:hint="default"/>
        <w:lang w:val="en-US" w:eastAsia="en-US" w:bidi="ar-SA"/>
      </w:rPr>
    </w:lvl>
    <w:lvl w:ilvl="5">
      <w:numFmt w:val="bullet"/>
      <w:lvlText w:val="•"/>
      <w:lvlJc w:val="left"/>
      <w:pPr>
        <w:ind w:left="3527" w:hanging="720"/>
      </w:pPr>
      <w:rPr>
        <w:rFonts w:hint="default"/>
        <w:lang w:val="en-US" w:eastAsia="en-US" w:bidi="ar-SA"/>
      </w:rPr>
    </w:lvl>
    <w:lvl w:ilvl="6">
      <w:numFmt w:val="bullet"/>
      <w:lvlText w:val="•"/>
      <w:lvlJc w:val="left"/>
      <w:pPr>
        <w:ind w:left="4771" w:hanging="720"/>
      </w:pPr>
      <w:rPr>
        <w:rFonts w:hint="default"/>
        <w:lang w:val="en-US" w:eastAsia="en-US" w:bidi="ar-SA"/>
      </w:rPr>
    </w:lvl>
    <w:lvl w:ilvl="7">
      <w:numFmt w:val="bullet"/>
      <w:lvlText w:val="•"/>
      <w:lvlJc w:val="left"/>
      <w:pPr>
        <w:ind w:left="6015" w:hanging="720"/>
      </w:pPr>
      <w:rPr>
        <w:rFonts w:hint="default"/>
        <w:lang w:val="en-US" w:eastAsia="en-US" w:bidi="ar-SA"/>
      </w:rPr>
    </w:lvl>
    <w:lvl w:ilvl="8">
      <w:numFmt w:val="bullet"/>
      <w:lvlText w:val="•"/>
      <w:lvlJc w:val="left"/>
      <w:pPr>
        <w:ind w:left="7258" w:hanging="720"/>
      </w:pPr>
      <w:rPr>
        <w:rFonts w:hint="default"/>
        <w:lang w:val="en-US" w:eastAsia="en-US" w:bidi="ar-SA"/>
      </w:rPr>
    </w:lvl>
  </w:abstractNum>
  <w:abstractNum w:abstractNumId="7" w15:restartNumberingAfterBreak="0">
    <w:nsid w:val="0FCB0FD4"/>
    <w:multiLevelType w:val="multilevel"/>
    <w:tmpl w:val="221AA202"/>
    <w:lvl w:ilvl="0">
      <w:start w:val="3"/>
      <w:numFmt w:val="decimal"/>
      <w:lvlText w:val="%1."/>
      <w:lvlJc w:val="left"/>
      <w:pPr>
        <w:ind w:left="416" w:hanging="300"/>
      </w:pPr>
      <w:rPr>
        <w:rFonts w:ascii="Tahoma" w:eastAsia="Tahoma" w:hAnsi="Tahoma" w:cs="Tahoma" w:hint="default"/>
        <w:b/>
        <w:bCs/>
        <w:i w:val="0"/>
        <w:iCs w:val="0"/>
        <w:color w:val="10137D"/>
        <w:spacing w:val="0"/>
        <w:w w:val="85"/>
        <w:sz w:val="22"/>
        <w:szCs w:val="22"/>
        <w:lang w:val="en-US" w:eastAsia="en-US" w:bidi="ar-SA"/>
      </w:rPr>
    </w:lvl>
    <w:lvl w:ilvl="1">
      <w:start w:val="1"/>
      <w:numFmt w:val="decimal"/>
      <w:lvlText w:val="%1.%2"/>
      <w:lvlJc w:val="left"/>
      <w:pPr>
        <w:ind w:left="519" w:hanging="403"/>
      </w:pPr>
      <w:rPr>
        <w:rFonts w:ascii="Verdana" w:eastAsia="Verdana" w:hAnsi="Verdana" w:cs="Verdana" w:hint="default"/>
        <w:b/>
        <w:bCs/>
        <w:i/>
        <w:iCs/>
        <w:color w:val="10137D"/>
        <w:spacing w:val="0"/>
        <w:w w:val="75"/>
        <w:sz w:val="21"/>
        <w:szCs w:val="21"/>
        <w:lang w:val="en-US" w:eastAsia="en-US" w:bidi="ar-SA"/>
      </w:rPr>
    </w:lvl>
    <w:lvl w:ilvl="2">
      <w:numFmt w:val="bullet"/>
      <w:lvlText w:val="•"/>
      <w:lvlJc w:val="left"/>
      <w:pPr>
        <w:ind w:left="1318" w:hanging="403"/>
      </w:pPr>
      <w:rPr>
        <w:rFonts w:hint="default"/>
        <w:lang w:val="en-US" w:eastAsia="en-US" w:bidi="ar-SA"/>
      </w:rPr>
    </w:lvl>
    <w:lvl w:ilvl="3">
      <w:numFmt w:val="bullet"/>
      <w:lvlText w:val="•"/>
      <w:lvlJc w:val="left"/>
      <w:pPr>
        <w:ind w:left="2116" w:hanging="403"/>
      </w:pPr>
      <w:rPr>
        <w:rFonts w:hint="default"/>
        <w:lang w:val="en-US" w:eastAsia="en-US" w:bidi="ar-SA"/>
      </w:rPr>
    </w:lvl>
    <w:lvl w:ilvl="4">
      <w:numFmt w:val="bullet"/>
      <w:lvlText w:val="•"/>
      <w:lvlJc w:val="left"/>
      <w:pPr>
        <w:ind w:left="2914" w:hanging="403"/>
      </w:pPr>
      <w:rPr>
        <w:rFonts w:hint="default"/>
        <w:lang w:val="en-US" w:eastAsia="en-US" w:bidi="ar-SA"/>
      </w:rPr>
    </w:lvl>
    <w:lvl w:ilvl="5">
      <w:numFmt w:val="bullet"/>
      <w:lvlText w:val="•"/>
      <w:lvlJc w:val="left"/>
      <w:pPr>
        <w:ind w:left="3713" w:hanging="403"/>
      </w:pPr>
      <w:rPr>
        <w:rFonts w:hint="default"/>
        <w:lang w:val="en-US" w:eastAsia="en-US" w:bidi="ar-SA"/>
      </w:rPr>
    </w:lvl>
    <w:lvl w:ilvl="6">
      <w:numFmt w:val="bullet"/>
      <w:lvlText w:val="•"/>
      <w:lvlJc w:val="left"/>
      <w:pPr>
        <w:ind w:left="4511" w:hanging="403"/>
      </w:pPr>
      <w:rPr>
        <w:rFonts w:hint="default"/>
        <w:lang w:val="en-US" w:eastAsia="en-US" w:bidi="ar-SA"/>
      </w:rPr>
    </w:lvl>
    <w:lvl w:ilvl="7">
      <w:numFmt w:val="bullet"/>
      <w:lvlText w:val="•"/>
      <w:lvlJc w:val="left"/>
      <w:pPr>
        <w:ind w:left="5309" w:hanging="403"/>
      </w:pPr>
      <w:rPr>
        <w:rFonts w:hint="default"/>
        <w:lang w:val="en-US" w:eastAsia="en-US" w:bidi="ar-SA"/>
      </w:rPr>
    </w:lvl>
    <w:lvl w:ilvl="8">
      <w:numFmt w:val="bullet"/>
      <w:lvlText w:val="•"/>
      <w:lvlJc w:val="left"/>
      <w:pPr>
        <w:ind w:left="6108" w:hanging="403"/>
      </w:pPr>
      <w:rPr>
        <w:rFonts w:hint="default"/>
        <w:lang w:val="en-US" w:eastAsia="en-US" w:bidi="ar-SA"/>
      </w:rPr>
    </w:lvl>
  </w:abstractNum>
  <w:abstractNum w:abstractNumId="8" w15:restartNumberingAfterBreak="0">
    <w:nsid w:val="16061700"/>
    <w:multiLevelType w:val="hybridMultilevel"/>
    <w:tmpl w:val="6566576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79B4BCF"/>
    <w:multiLevelType w:val="multilevel"/>
    <w:tmpl w:val="8D80E3C2"/>
    <w:lvl w:ilvl="0">
      <w:start w:val="1"/>
      <w:numFmt w:val="lowerRoman"/>
      <w:lvlText w:val="%1."/>
      <w:lvlJc w:val="left"/>
      <w:pPr>
        <w:ind w:left="720" w:hanging="360"/>
      </w:pPr>
      <w:rPr>
        <w:rFonts w:ascii="Times New Roman" w:eastAsiaTheme="minorHAnsi" w:hAnsi="Times New Roman" w:cs="Times New Roman"/>
      </w:rPr>
    </w:lvl>
    <w:lvl w:ilvl="1">
      <w:start w:val="6"/>
      <w:numFmt w:val="decimal"/>
      <w:isLgl/>
      <w:lvlText w:val="%1.%2"/>
      <w:lvlJc w:val="left"/>
      <w:pPr>
        <w:ind w:left="960" w:hanging="60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DFC64DB"/>
    <w:multiLevelType w:val="hybridMultilevel"/>
    <w:tmpl w:val="B908F0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5C56BA"/>
    <w:multiLevelType w:val="hybridMultilevel"/>
    <w:tmpl w:val="CC1609DC"/>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2" w15:restartNumberingAfterBreak="0">
    <w:nsid w:val="3E6D125F"/>
    <w:multiLevelType w:val="multilevel"/>
    <w:tmpl w:val="E11ED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11E4E21"/>
    <w:multiLevelType w:val="multilevel"/>
    <w:tmpl w:val="1E726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313B22"/>
    <w:multiLevelType w:val="hybridMultilevel"/>
    <w:tmpl w:val="AA843A64"/>
    <w:lvl w:ilvl="0" w:tplc="6B0058F4">
      <w:numFmt w:val="bullet"/>
      <w:lvlText w:val="●"/>
      <w:lvlJc w:val="left"/>
      <w:pPr>
        <w:ind w:left="345" w:hanging="199"/>
      </w:pPr>
      <w:rPr>
        <w:rFonts w:ascii="Times New Roman" w:eastAsia="Times New Roman" w:hAnsi="Times New Roman" w:cs="Times New Roman" w:hint="default"/>
        <w:spacing w:val="0"/>
        <w:w w:val="99"/>
        <w:lang w:val="en-US" w:eastAsia="en-US" w:bidi="ar-SA"/>
      </w:rPr>
    </w:lvl>
    <w:lvl w:ilvl="1" w:tplc="095A3E00">
      <w:numFmt w:val="bullet"/>
      <w:lvlText w:val="•"/>
      <w:lvlJc w:val="left"/>
      <w:pPr>
        <w:ind w:left="1076" w:hanging="199"/>
      </w:pPr>
      <w:rPr>
        <w:rFonts w:hint="default"/>
        <w:lang w:val="en-US" w:eastAsia="en-US" w:bidi="ar-SA"/>
      </w:rPr>
    </w:lvl>
    <w:lvl w:ilvl="2" w:tplc="EE36457E">
      <w:numFmt w:val="bullet"/>
      <w:lvlText w:val="•"/>
      <w:lvlJc w:val="left"/>
      <w:pPr>
        <w:ind w:left="1812" w:hanging="199"/>
      </w:pPr>
      <w:rPr>
        <w:rFonts w:hint="default"/>
        <w:lang w:val="en-US" w:eastAsia="en-US" w:bidi="ar-SA"/>
      </w:rPr>
    </w:lvl>
    <w:lvl w:ilvl="3" w:tplc="65107358">
      <w:numFmt w:val="bullet"/>
      <w:lvlText w:val="•"/>
      <w:lvlJc w:val="left"/>
      <w:pPr>
        <w:ind w:left="2549" w:hanging="199"/>
      </w:pPr>
      <w:rPr>
        <w:rFonts w:hint="default"/>
        <w:lang w:val="en-US" w:eastAsia="en-US" w:bidi="ar-SA"/>
      </w:rPr>
    </w:lvl>
    <w:lvl w:ilvl="4" w:tplc="7472A614">
      <w:numFmt w:val="bullet"/>
      <w:lvlText w:val="•"/>
      <w:lvlJc w:val="left"/>
      <w:pPr>
        <w:ind w:left="3285" w:hanging="199"/>
      </w:pPr>
      <w:rPr>
        <w:rFonts w:hint="default"/>
        <w:lang w:val="en-US" w:eastAsia="en-US" w:bidi="ar-SA"/>
      </w:rPr>
    </w:lvl>
    <w:lvl w:ilvl="5" w:tplc="B8763EC8">
      <w:numFmt w:val="bullet"/>
      <w:lvlText w:val="•"/>
      <w:lvlJc w:val="left"/>
      <w:pPr>
        <w:ind w:left="4022" w:hanging="199"/>
      </w:pPr>
      <w:rPr>
        <w:rFonts w:hint="default"/>
        <w:lang w:val="en-US" w:eastAsia="en-US" w:bidi="ar-SA"/>
      </w:rPr>
    </w:lvl>
    <w:lvl w:ilvl="6" w:tplc="E1204CC4">
      <w:numFmt w:val="bullet"/>
      <w:lvlText w:val="•"/>
      <w:lvlJc w:val="left"/>
      <w:pPr>
        <w:ind w:left="4758" w:hanging="199"/>
      </w:pPr>
      <w:rPr>
        <w:rFonts w:hint="default"/>
        <w:lang w:val="en-US" w:eastAsia="en-US" w:bidi="ar-SA"/>
      </w:rPr>
    </w:lvl>
    <w:lvl w:ilvl="7" w:tplc="7D44062E">
      <w:numFmt w:val="bullet"/>
      <w:lvlText w:val="•"/>
      <w:lvlJc w:val="left"/>
      <w:pPr>
        <w:ind w:left="5495" w:hanging="199"/>
      </w:pPr>
      <w:rPr>
        <w:rFonts w:hint="default"/>
        <w:lang w:val="en-US" w:eastAsia="en-US" w:bidi="ar-SA"/>
      </w:rPr>
    </w:lvl>
    <w:lvl w:ilvl="8" w:tplc="7204A3B0">
      <w:numFmt w:val="bullet"/>
      <w:lvlText w:val="•"/>
      <w:lvlJc w:val="left"/>
      <w:pPr>
        <w:ind w:left="6231" w:hanging="199"/>
      </w:pPr>
      <w:rPr>
        <w:rFonts w:hint="default"/>
        <w:lang w:val="en-US" w:eastAsia="en-US" w:bidi="ar-SA"/>
      </w:rPr>
    </w:lvl>
  </w:abstractNum>
  <w:abstractNum w:abstractNumId="15" w15:restartNumberingAfterBreak="0">
    <w:nsid w:val="53494D0C"/>
    <w:multiLevelType w:val="multilevel"/>
    <w:tmpl w:val="C40234D2"/>
    <w:lvl w:ilvl="0">
      <w:start w:val="2"/>
      <w:numFmt w:val="decimal"/>
      <w:lvlText w:val="%1"/>
      <w:lvlJc w:val="left"/>
      <w:pPr>
        <w:ind w:left="680" w:hanging="360"/>
      </w:pPr>
      <w:rPr>
        <w:rFonts w:hint="default"/>
        <w:lang w:val="en-US" w:eastAsia="en-US" w:bidi="ar-SA"/>
      </w:rPr>
    </w:lvl>
    <w:lvl w:ilvl="1">
      <w:start w:val="1"/>
      <w:numFmt w:val="decimal"/>
      <w:lvlText w:val="%1.%2"/>
      <w:lvlJc w:val="left"/>
      <w:pPr>
        <w:ind w:left="680" w:hanging="360"/>
        <w:jc w:val="righ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860"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1.%2.%3.%4"/>
      <w:lvlJc w:val="left"/>
      <w:pPr>
        <w:ind w:left="1040" w:hanging="720"/>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2283" w:hanging="720"/>
      </w:pPr>
      <w:rPr>
        <w:rFonts w:hint="default"/>
        <w:lang w:val="en-US" w:eastAsia="en-US" w:bidi="ar-SA"/>
      </w:rPr>
    </w:lvl>
    <w:lvl w:ilvl="5">
      <w:numFmt w:val="bullet"/>
      <w:lvlText w:val="•"/>
      <w:lvlJc w:val="left"/>
      <w:pPr>
        <w:ind w:left="3527" w:hanging="720"/>
      </w:pPr>
      <w:rPr>
        <w:rFonts w:hint="default"/>
        <w:lang w:val="en-US" w:eastAsia="en-US" w:bidi="ar-SA"/>
      </w:rPr>
    </w:lvl>
    <w:lvl w:ilvl="6">
      <w:numFmt w:val="bullet"/>
      <w:lvlText w:val="•"/>
      <w:lvlJc w:val="left"/>
      <w:pPr>
        <w:ind w:left="4771" w:hanging="720"/>
      </w:pPr>
      <w:rPr>
        <w:rFonts w:hint="default"/>
        <w:lang w:val="en-US" w:eastAsia="en-US" w:bidi="ar-SA"/>
      </w:rPr>
    </w:lvl>
    <w:lvl w:ilvl="7">
      <w:numFmt w:val="bullet"/>
      <w:lvlText w:val="•"/>
      <w:lvlJc w:val="left"/>
      <w:pPr>
        <w:ind w:left="6015" w:hanging="720"/>
      </w:pPr>
      <w:rPr>
        <w:rFonts w:hint="default"/>
        <w:lang w:val="en-US" w:eastAsia="en-US" w:bidi="ar-SA"/>
      </w:rPr>
    </w:lvl>
    <w:lvl w:ilvl="8">
      <w:numFmt w:val="bullet"/>
      <w:lvlText w:val="•"/>
      <w:lvlJc w:val="left"/>
      <w:pPr>
        <w:ind w:left="7258" w:hanging="720"/>
      </w:pPr>
      <w:rPr>
        <w:rFonts w:hint="default"/>
        <w:lang w:val="en-US" w:eastAsia="en-US" w:bidi="ar-SA"/>
      </w:rPr>
    </w:lvl>
  </w:abstractNum>
  <w:abstractNum w:abstractNumId="16" w15:restartNumberingAfterBreak="0">
    <w:nsid w:val="542266AD"/>
    <w:multiLevelType w:val="multilevel"/>
    <w:tmpl w:val="1CDA3D68"/>
    <w:lvl w:ilvl="0">
      <w:start w:val="3"/>
      <w:numFmt w:val="decimal"/>
      <w:lvlText w:val="%1"/>
      <w:lvlJc w:val="left"/>
      <w:pPr>
        <w:ind w:left="480" w:hanging="360"/>
      </w:pPr>
      <w:rPr>
        <w:rFonts w:hint="default"/>
        <w:lang w:val="en-US" w:eastAsia="en-US" w:bidi="ar-SA"/>
      </w:rPr>
    </w:lvl>
    <w:lvl w:ilvl="1">
      <w:start w:val="1"/>
      <w:numFmt w:val="decimal"/>
      <w:lvlText w:val="%1.%2"/>
      <w:lvlJc w:val="left"/>
      <w:pPr>
        <w:ind w:left="48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2880"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1.%2.%3.%4"/>
      <w:lvlJc w:val="left"/>
      <w:pPr>
        <w:ind w:left="840" w:hanging="720"/>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820" w:hanging="720"/>
      </w:pPr>
      <w:rPr>
        <w:rFonts w:hint="default"/>
        <w:lang w:val="en-US" w:eastAsia="en-US" w:bidi="ar-SA"/>
      </w:rPr>
    </w:lvl>
    <w:lvl w:ilvl="5">
      <w:numFmt w:val="bullet"/>
      <w:lvlText w:val="•"/>
      <w:lvlJc w:val="left"/>
      <w:pPr>
        <w:ind w:left="840" w:hanging="720"/>
      </w:pPr>
      <w:rPr>
        <w:rFonts w:hint="default"/>
        <w:lang w:val="en-US" w:eastAsia="en-US" w:bidi="ar-SA"/>
      </w:rPr>
    </w:lvl>
    <w:lvl w:ilvl="6">
      <w:numFmt w:val="bullet"/>
      <w:lvlText w:val="•"/>
      <w:lvlJc w:val="left"/>
      <w:pPr>
        <w:ind w:left="880" w:hanging="720"/>
      </w:pPr>
      <w:rPr>
        <w:rFonts w:hint="default"/>
        <w:lang w:val="en-US" w:eastAsia="en-US" w:bidi="ar-SA"/>
      </w:rPr>
    </w:lvl>
    <w:lvl w:ilvl="7">
      <w:numFmt w:val="bullet"/>
      <w:lvlText w:val="•"/>
      <w:lvlJc w:val="left"/>
      <w:pPr>
        <w:ind w:left="2981" w:hanging="720"/>
      </w:pPr>
      <w:rPr>
        <w:rFonts w:hint="default"/>
        <w:lang w:val="en-US" w:eastAsia="en-US" w:bidi="ar-SA"/>
      </w:rPr>
    </w:lvl>
    <w:lvl w:ilvl="8">
      <w:numFmt w:val="bullet"/>
      <w:lvlText w:val="•"/>
      <w:lvlJc w:val="left"/>
      <w:pPr>
        <w:ind w:left="5083" w:hanging="720"/>
      </w:pPr>
      <w:rPr>
        <w:rFonts w:hint="default"/>
        <w:lang w:val="en-US" w:eastAsia="en-US" w:bidi="ar-SA"/>
      </w:rPr>
    </w:lvl>
  </w:abstractNum>
  <w:abstractNum w:abstractNumId="17" w15:restartNumberingAfterBreak="0">
    <w:nsid w:val="60C77468"/>
    <w:multiLevelType w:val="hybridMultilevel"/>
    <w:tmpl w:val="6566576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64957B50"/>
    <w:multiLevelType w:val="multilevel"/>
    <w:tmpl w:val="0C325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E06B4C"/>
    <w:multiLevelType w:val="hybridMultilevel"/>
    <w:tmpl w:val="35EE73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F6F3752"/>
    <w:multiLevelType w:val="hybridMultilevel"/>
    <w:tmpl w:val="43706BC8"/>
    <w:lvl w:ilvl="0" w:tplc="88162B72">
      <w:start w:val="1"/>
      <w:numFmt w:val="decimal"/>
      <w:lvlText w:val="%1."/>
      <w:lvlJc w:val="left"/>
      <w:pPr>
        <w:ind w:left="577" w:hanging="360"/>
      </w:pPr>
      <w:rPr>
        <w:rFonts w:hint="default"/>
      </w:rPr>
    </w:lvl>
    <w:lvl w:ilvl="1" w:tplc="20000019" w:tentative="1">
      <w:start w:val="1"/>
      <w:numFmt w:val="lowerLetter"/>
      <w:lvlText w:val="%2."/>
      <w:lvlJc w:val="left"/>
      <w:pPr>
        <w:ind w:left="1297" w:hanging="360"/>
      </w:pPr>
    </w:lvl>
    <w:lvl w:ilvl="2" w:tplc="2000001B" w:tentative="1">
      <w:start w:val="1"/>
      <w:numFmt w:val="lowerRoman"/>
      <w:lvlText w:val="%3."/>
      <w:lvlJc w:val="right"/>
      <w:pPr>
        <w:ind w:left="2017" w:hanging="180"/>
      </w:pPr>
    </w:lvl>
    <w:lvl w:ilvl="3" w:tplc="2000000F" w:tentative="1">
      <w:start w:val="1"/>
      <w:numFmt w:val="decimal"/>
      <w:lvlText w:val="%4."/>
      <w:lvlJc w:val="left"/>
      <w:pPr>
        <w:ind w:left="2737" w:hanging="360"/>
      </w:pPr>
    </w:lvl>
    <w:lvl w:ilvl="4" w:tplc="20000019" w:tentative="1">
      <w:start w:val="1"/>
      <w:numFmt w:val="lowerLetter"/>
      <w:lvlText w:val="%5."/>
      <w:lvlJc w:val="left"/>
      <w:pPr>
        <w:ind w:left="3457" w:hanging="360"/>
      </w:pPr>
    </w:lvl>
    <w:lvl w:ilvl="5" w:tplc="2000001B" w:tentative="1">
      <w:start w:val="1"/>
      <w:numFmt w:val="lowerRoman"/>
      <w:lvlText w:val="%6."/>
      <w:lvlJc w:val="right"/>
      <w:pPr>
        <w:ind w:left="4177" w:hanging="180"/>
      </w:pPr>
    </w:lvl>
    <w:lvl w:ilvl="6" w:tplc="2000000F" w:tentative="1">
      <w:start w:val="1"/>
      <w:numFmt w:val="decimal"/>
      <w:lvlText w:val="%7."/>
      <w:lvlJc w:val="left"/>
      <w:pPr>
        <w:ind w:left="4897" w:hanging="360"/>
      </w:pPr>
    </w:lvl>
    <w:lvl w:ilvl="7" w:tplc="20000019" w:tentative="1">
      <w:start w:val="1"/>
      <w:numFmt w:val="lowerLetter"/>
      <w:lvlText w:val="%8."/>
      <w:lvlJc w:val="left"/>
      <w:pPr>
        <w:ind w:left="5617" w:hanging="360"/>
      </w:pPr>
    </w:lvl>
    <w:lvl w:ilvl="8" w:tplc="2000001B" w:tentative="1">
      <w:start w:val="1"/>
      <w:numFmt w:val="lowerRoman"/>
      <w:lvlText w:val="%9."/>
      <w:lvlJc w:val="right"/>
      <w:pPr>
        <w:ind w:left="6337" w:hanging="180"/>
      </w:pPr>
    </w:lvl>
  </w:abstractNum>
  <w:abstractNum w:abstractNumId="21" w15:restartNumberingAfterBreak="0">
    <w:nsid w:val="76BE35A1"/>
    <w:multiLevelType w:val="multilevel"/>
    <w:tmpl w:val="1F80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435EE5"/>
    <w:multiLevelType w:val="multilevel"/>
    <w:tmpl w:val="6FA22DD8"/>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AFC72F7"/>
    <w:multiLevelType w:val="hybridMultilevel"/>
    <w:tmpl w:val="9CF03E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9"/>
  </w:num>
  <w:num w:numId="3">
    <w:abstractNumId w:val="6"/>
  </w:num>
  <w:num w:numId="4">
    <w:abstractNumId w:val="16"/>
  </w:num>
  <w:num w:numId="5">
    <w:abstractNumId w:val="15"/>
  </w:num>
  <w:num w:numId="6">
    <w:abstractNumId w:val="10"/>
  </w:num>
  <w:num w:numId="7">
    <w:abstractNumId w:val="7"/>
  </w:num>
  <w:num w:numId="8">
    <w:abstractNumId w:val="14"/>
  </w:num>
  <w:num w:numId="9">
    <w:abstractNumId w:val="2"/>
  </w:num>
  <w:num w:numId="10">
    <w:abstractNumId w:val="21"/>
  </w:num>
  <w:num w:numId="11">
    <w:abstractNumId w:val="18"/>
  </w:num>
  <w:num w:numId="12">
    <w:abstractNumId w:val="17"/>
  </w:num>
  <w:num w:numId="13">
    <w:abstractNumId w:val="3"/>
  </w:num>
  <w:num w:numId="14">
    <w:abstractNumId w:val="11"/>
  </w:num>
  <w:num w:numId="15">
    <w:abstractNumId w:val="23"/>
  </w:num>
  <w:num w:numId="16">
    <w:abstractNumId w:val="13"/>
  </w:num>
  <w:num w:numId="17">
    <w:abstractNumId w:val="5"/>
  </w:num>
  <w:num w:numId="18">
    <w:abstractNumId w:val="0"/>
  </w:num>
  <w:num w:numId="19">
    <w:abstractNumId w:val="22"/>
  </w:num>
  <w:num w:numId="20">
    <w:abstractNumId w:val="1"/>
  </w:num>
  <w:num w:numId="21">
    <w:abstractNumId w:val="4"/>
  </w:num>
  <w:num w:numId="22">
    <w:abstractNumId w:val="12"/>
  </w:num>
  <w:num w:numId="23">
    <w:abstractNumId w:val="8"/>
  </w:num>
  <w:num w:numId="24">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AzNDQwsbQ0tTS0NDdT0lEKTi0uzszPAykwrAUABmavuiwAAAA="/>
  </w:docVars>
  <w:rsids>
    <w:rsidRoot w:val="0082219D"/>
    <w:rsid w:val="0000040D"/>
    <w:rsid w:val="00020F76"/>
    <w:rsid w:val="000262ED"/>
    <w:rsid w:val="0003038D"/>
    <w:rsid w:val="000367E4"/>
    <w:rsid w:val="000437DC"/>
    <w:rsid w:val="000467C1"/>
    <w:rsid w:val="00046B0B"/>
    <w:rsid w:val="00047EB7"/>
    <w:rsid w:val="0005641D"/>
    <w:rsid w:val="00057A97"/>
    <w:rsid w:val="00060463"/>
    <w:rsid w:val="00064199"/>
    <w:rsid w:val="00072C8B"/>
    <w:rsid w:val="000745D6"/>
    <w:rsid w:val="00082986"/>
    <w:rsid w:val="000865AC"/>
    <w:rsid w:val="000873D5"/>
    <w:rsid w:val="00091AE7"/>
    <w:rsid w:val="000963B5"/>
    <w:rsid w:val="0009765E"/>
    <w:rsid w:val="000A29E3"/>
    <w:rsid w:val="000B1221"/>
    <w:rsid w:val="000B2A27"/>
    <w:rsid w:val="000B2F25"/>
    <w:rsid w:val="000D406F"/>
    <w:rsid w:val="000E0EB2"/>
    <w:rsid w:val="000E1AA3"/>
    <w:rsid w:val="000E28FD"/>
    <w:rsid w:val="000E38E8"/>
    <w:rsid w:val="000E66B3"/>
    <w:rsid w:val="000E7BD4"/>
    <w:rsid w:val="00102862"/>
    <w:rsid w:val="00106238"/>
    <w:rsid w:val="0013544B"/>
    <w:rsid w:val="001449B6"/>
    <w:rsid w:val="00147A21"/>
    <w:rsid w:val="00147BE9"/>
    <w:rsid w:val="0015079C"/>
    <w:rsid w:val="00162627"/>
    <w:rsid w:val="001678E9"/>
    <w:rsid w:val="0017695B"/>
    <w:rsid w:val="001840F6"/>
    <w:rsid w:val="001845AD"/>
    <w:rsid w:val="00192066"/>
    <w:rsid w:val="0019360A"/>
    <w:rsid w:val="0019460E"/>
    <w:rsid w:val="00194AE6"/>
    <w:rsid w:val="001A2DE6"/>
    <w:rsid w:val="001A543A"/>
    <w:rsid w:val="001B794C"/>
    <w:rsid w:val="001C020F"/>
    <w:rsid w:val="001C665F"/>
    <w:rsid w:val="001C6995"/>
    <w:rsid w:val="001C7452"/>
    <w:rsid w:val="001D2EB1"/>
    <w:rsid w:val="001D43EC"/>
    <w:rsid w:val="001E06D0"/>
    <w:rsid w:val="001E2041"/>
    <w:rsid w:val="001E39E3"/>
    <w:rsid w:val="0022481E"/>
    <w:rsid w:val="00225D81"/>
    <w:rsid w:val="00227703"/>
    <w:rsid w:val="0023742D"/>
    <w:rsid w:val="00237DFD"/>
    <w:rsid w:val="00240EAE"/>
    <w:rsid w:val="002423A9"/>
    <w:rsid w:val="00242801"/>
    <w:rsid w:val="0024346D"/>
    <w:rsid w:val="00245984"/>
    <w:rsid w:val="00247432"/>
    <w:rsid w:val="002552B4"/>
    <w:rsid w:val="00261317"/>
    <w:rsid w:val="0026203D"/>
    <w:rsid w:val="00262821"/>
    <w:rsid w:val="00265897"/>
    <w:rsid w:val="00265DE5"/>
    <w:rsid w:val="002704A0"/>
    <w:rsid w:val="002717C2"/>
    <w:rsid w:val="002731CF"/>
    <w:rsid w:val="00273D7D"/>
    <w:rsid w:val="00285492"/>
    <w:rsid w:val="00285EB4"/>
    <w:rsid w:val="0029666A"/>
    <w:rsid w:val="002D4778"/>
    <w:rsid w:val="002D5197"/>
    <w:rsid w:val="002D6E74"/>
    <w:rsid w:val="002E171C"/>
    <w:rsid w:val="002E4903"/>
    <w:rsid w:val="002E6F98"/>
    <w:rsid w:val="003039B9"/>
    <w:rsid w:val="00303A35"/>
    <w:rsid w:val="003110C6"/>
    <w:rsid w:val="00313C9C"/>
    <w:rsid w:val="00320BF5"/>
    <w:rsid w:val="003234FD"/>
    <w:rsid w:val="003263AD"/>
    <w:rsid w:val="00327809"/>
    <w:rsid w:val="003326FE"/>
    <w:rsid w:val="00334653"/>
    <w:rsid w:val="00342B67"/>
    <w:rsid w:val="00347D9A"/>
    <w:rsid w:val="00351753"/>
    <w:rsid w:val="0035787D"/>
    <w:rsid w:val="00362420"/>
    <w:rsid w:val="00367A00"/>
    <w:rsid w:val="003827FB"/>
    <w:rsid w:val="003D224D"/>
    <w:rsid w:val="003E17D2"/>
    <w:rsid w:val="003E3962"/>
    <w:rsid w:val="003E57C7"/>
    <w:rsid w:val="003E7036"/>
    <w:rsid w:val="003F0466"/>
    <w:rsid w:val="003F14BD"/>
    <w:rsid w:val="003F4B4D"/>
    <w:rsid w:val="003F4F8D"/>
    <w:rsid w:val="00401B07"/>
    <w:rsid w:val="00401BE8"/>
    <w:rsid w:val="00405BDE"/>
    <w:rsid w:val="00407855"/>
    <w:rsid w:val="00414D84"/>
    <w:rsid w:val="00415E30"/>
    <w:rsid w:val="004265B8"/>
    <w:rsid w:val="004452D3"/>
    <w:rsid w:val="00446D96"/>
    <w:rsid w:val="00461A49"/>
    <w:rsid w:val="00463792"/>
    <w:rsid w:val="004665FC"/>
    <w:rsid w:val="00474FD6"/>
    <w:rsid w:val="00477791"/>
    <w:rsid w:val="00493C28"/>
    <w:rsid w:val="0049499B"/>
    <w:rsid w:val="00497F50"/>
    <w:rsid w:val="004A1528"/>
    <w:rsid w:val="004B1FFA"/>
    <w:rsid w:val="004B2F5E"/>
    <w:rsid w:val="004B6E93"/>
    <w:rsid w:val="004C1254"/>
    <w:rsid w:val="004C5B7E"/>
    <w:rsid w:val="004C629D"/>
    <w:rsid w:val="004C6625"/>
    <w:rsid w:val="004D1B61"/>
    <w:rsid w:val="004E0E34"/>
    <w:rsid w:val="004E5EE0"/>
    <w:rsid w:val="004E73AB"/>
    <w:rsid w:val="004F2AE5"/>
    <w:rsid w:val="00502F7D"/>
    <w:rsid w:val="00503449"/>
    <w:rsid w:val="005047B9"/>
    <w:rsid w:val="0050640D"/>
    <w:rsid w:val="00506BAE"/>
    <w:rsid w:val="0051477E"/>
    <w:rsid w:val="0052688D"/>
    <w:rsid w:val="00533125"/>
    <w:rsid w:val="00533404"/>
    <w:rsid w:val="005500B6"/>
    <w:rsid w:val="005607FF"/>
    <w:rsid w:val="0056572A"/>
    <w:rsid w:val="0058082B"/>
    <w:rsid w:val="00584B20"/>
    <w:rsid w:val="005A0F9E"/>
    <w:rsid w:val="005A6E4C"/>
    <w:rsid w:val="005B26D7"/>
    <w:rsid w:val="005B3299"/>
    <w:rsid w:val="005B5833"/>
    <w:rsid w:val="005C00F5"/>
    <w:rsid w:val="005C46C7"/>
    <w:rsid w:val="005C4AB2"/>
    <w:rsid w:val="005D35DD"/>
    <w:rsid w:val="005D5326"/>
    <w:rsid w:val="005D6D37"/>
    <w:rsid w:val="005E1DF6"/>
    <w:rsid w:val="005E283F"/>
    <w:rsid w:val="005E6E06"/>
    <w:rsid w:val="005E7B49"/>
    <w:rsid w:val="005F126F"/>
    <w:rsid w:val="0060455E"/>
    <w:rsid w:val="00605286"/>
    <w:rsid w:val="006129C9"/>
    <w:rsid w:val="00612BEF"/>
    <w:rsid w:val="00622157"/>
    <w:rsid w:val="0062360B"/>
    <w:rsid w:val="00626DB0"/>
    <w:rsid w:val="006439C2"/>
    <w:rsid w:val="0064563C"/>
    <w:rsid w:val="0064686F"/>
    <w:rsid w:val="0065264E"/>
    <w:rsid w:val="00664AE5"/>
    <w:rsid w:val="00666101"/>
    <w:rsid w:val="00686687"/>
    <w:rsid w:val="00687BF6"/>
    <w:rsid w:val="006B46A2"/>
    <w:rsid w:val="006B521F"/>
    <w:rsid w:val="006B7360"/>
    <w:rsid w:val="006B7676"/>
    <w:rsid w:val="006B7FEF"/>
    <w:rsid w:val="006C1472"/>
    <w:rsid w:val="006C2B94"/>
    <w:rsid w:val="006C5115"/>
    <w:rsid w:val="006C5C95"/>
    <w:rsid w:val="006C6181"/>
    <w:rsid w:val="006D0C5F"/>
    <w:rsid w:val="006D1588"/>
    <w:rsid w:val="006D1643"/>
    <w:rsid w:val="006D177B"/>
    <w:rsid w:val="006D1838"/>
    <w:rsid w:val="006D58C7"/>
    <w:rsid w:val="006D7948"/>
    <w:rsid w:val="006E3196"/>
    <w:rsid w:val="006E34BD"/>
    <w:rsid w:val="006E48C9"/>
    <w:rsid w:val="006E5633"/>
    <w:rsid w:val="006F2C54"/>
    <w:rsid w:val="00701116"/>
    <w:rsid w:val="00714157"/>
    <w:rsid w:val="00716D9D"/>
    <w:rsid w:val="00717967"/>
    <w:rsid w:val="00724942"/>
    <w:rsid w:val="00750D61"/>
    <w:rsid w:val="007520D2"/>
    <w:rsid w:val="00752D92"/>
    <w:rsid w:val="00753097"/>
    <w:rsid w:val="007530DF"/>
    <w:rsid w:val="00755278"/>
    <w:rsid w:val="00765775"/>
    <w:rsid w:val="0077260C"/>
    <w:rsid w:val="00773B9C"/>
    <w:rsid w:val="007746A1"/>
    <w:rsid w:val="00777B41"/>
    <w:rsid w:val="0078577B"/>
    <w:rsid w:val="007859D9"/>
    <w:rsid w:val="00796FBD"/>
    <w:rsid w:val="007A32E2"/>
    <w:rsid w:val="007A36C1"/>
    <w:rsid w:val="007A3F4F"/>
    <w:rsid w:val="007A4946"/>
    <w:rsid w:val="007A6978"/>
    <w:rsid w:val="007A7AD3"/>
    <w:rsid w:val="007B278A"/>
    <w:rsid w:val="007B50BB"/>
    <w:rsid w:val="007C14E1"/>
    <w:rsid w:val="007C2301"/>
    <w:rsid w:val="007C2F22"/>
    <w:rsid w:val="007C4F6B"/>
    <w:rsid w:val="007D0F09"/>
    <w:rsid w:val="007D3D1A"/>
    <w:rsid w:val="007E1012"/>
    <w:rsid w:val="007E508A"/>
    <w:rsid w:val="007E5891"/>
    <w:rsid w:val="007E5930"/>
    <w:rsid w:val="007F15A2"/>
    <w:rsid w:val="007F3805"/>
    <w:rsid w:val="007F3C7C"/>
    <w:rsid w:val="007F60A3"/>
    <w:rsid w:val="0080052F"/>
    <w:rsid w:val="00811CA8"/>
    <w:rsid w:val="008166F2"/>
    <w:rsid w:val="0081695A"/>
    <w:rsid w:val="0082219D"/>
    <w:rsid w:val="00835F24"/>
    <w:rsid w:val="00837B1C"/>
    <w:rsid w:val="00842003"/>
    <w:rsid w:val="00844201"/>
    <w:rsid w:val="00844B6B"/>
    <w:rsid w:val="00846744"/>
    <w:rsid w:val="008545DB"/>
    <w:rsid w:val="00855493"/>
    <w:rsid w:val="00865F61"/>
    <w:rsid w:val="00866BF3"/>
    <w:rsid w:val="00872502"/>
    <w:rsid w:val="00884F9C"/>
    <w:rsid w:val="00892B9C"/>
    <w:rsid w:val="0089357C"/>
    <w:rsid w:val="00895E35"/>
    <w:rsid w:val="008A64DB"/>
    <w:rsid w:val="008B21FD"/>
    <w:rsid w:val="008B6CA6"/>
    <w:rsid w:val="008C0EE8"/>
    <w:rsid w:val="008C16ED"/>
    <w:rsid w:val="008C4FD3"/>
    <w:rsid w:val="008C5166"/>
    <w:rsid w:val="008C7B74"/>
    <w:rsid w:val="008D5323"/>
    <w:rsid w:val="008D5588"/>
    <w:rsid w:val="008D6C7B"/>
    <w:rsid w:val="008E1621"/>
    <w:rsid w:val="008E2F26"/>
    <w:rsid w:val="008E4CA5"/>
    <w:rsid w:val="008F04FA"/>
    <w:rsid w:val="008F2158"/>
    <w:rsid w:val="008F4248"/>
    <w:rsid w:val="008F4ABF"/>
    <w:rsid w:val="009005FE"/>
    <w:rsid w:val="0090372E"/>
    <w:rsid w:val="00904171"/>
    <w:rsid w:val="00907C8F"/>
    <w:rsid w:val="00913ED6"/>
    <w:rsid w:val="00914848"/>
    <w:rsid w:val="00922D8B"/>
    <w:rsid w:val="00925C3A"/>
    <w:rsid w:val="009549A3"/>
    <w:rsid w:val="0095730D"/>
    <w:rsid w:val="009706B8"/>
    <w:rsid w:val="00973D2B"/>
    <w:rsid w:val="009809A4"/>
    <w:rsid w:val="0099026E"/>
    <w:rsid w:val="009A30C0"/>
    <w:rsid w:val="009A34CE"/>
    <w:rsid w:val="009B6C40"/>
    <w:rsid w:val="009B70EA"/>
    <w:rsid w:val="009C42D4"/>
    <w:rsid w:val="009C6355"/>
    <w:rsid w:val="009D34A5"/>
    <w:rsid w:val="009F2F20"/>
    <w:rsid w:val="009F6A1C"/>
    <w:rsid w:val="00A17647"/>
    <w:rsid w:val="00A17CFF"/>
    <w:rsid w:val="00A2238D"/>
    <w:rsid w:val="00A329DE"/>
    <w:rsid w:val="00A32B3B"/>
    <w:rsid w:val="00A40DBD"/>
    <w:rsid w:val="00A44687"/>
    <w:rsid w:val="00A45243"/>
    <w:rsid w:val="00A45B64"/>
    <w:rsid w:val="00A46250"/>
    <w:rsid w:val="00A50357"/>
    <w:rsid w:val="00A51547"/>
    <w:rsid w:val="00A53F03"/>
    <w:rsid w:val="00A5420D"/>
    <w:rsid w:val="00A55452"/>
    <w:rsid w:val="00A6265F"/>
    <w:rsid w:val="00A62E47"/>
    <w:rsid w:val="00A77785"/>
    <w:rsid w:val="00A77C4B"/>
    <w:rsid w:val="00A81A02"/>
    <w:rsid w:val="00A95358"/>
    <w:rsid w:val="00AA0DBA"/>
    <w:rsid w:val="00AA6BBB"/>
    <w:rsid w:val="00AB22C7"/>
    <w:rsid w:val="00AB636A"/>
    <w:rsid w:val="00AC022B"/>
    <w:rsid w:val="00AC2E6E"/>
    <w:rsid w:val="00AC6B1E"/>
    <w:rsid w:val="00AD1916"/>
    <w:rsid w:val="00AE2744"/>
    <w:rsid w:val="00AE4185"/>
    <w:rsid w:val="00AE6472"/>
    <w:rsid w:val="00AE64D4"/>
    <w:rsid w:val="00AF64F4"/>
    <w:rsid w:val="00B05850"/>
    <w:rsid w:val="00B06A19"/>
    <w:rsid w:val="00B070B6"/>
    <w:rsid w:val="00B1085F"/>
    <w:rsid w:val="00B132CB"/>
    <w:rsid w:val="00B1565B"/>
    <w:rsid w:val="00B2287D"/>
    <w:rsid w:val="00B25DF9"/>
    <w:rsid w:val="00B320C8"/>
    <w:rsid w:val="00B33D01"/>
    <w:rsid w:val="00B42853"/>
    <w:rsid w:val="00B44BC9"/>
    <w:rsid w:val="00B55BB0"/>
    <w:rsid w:val="00B74E43"/>
    <w:rsid w:val="00B766AF"/>
    <w:rsid w:val="00B8587A"/>
    <w:rsid w:val="00B86BC2"/>
    <w:rsid w:val="00B8710F"/>
    <w:rsid w:val="00BA17D0"/>
    <w:rsid w:val="00BA3404"/>
    <w:rsid w:val="00BB219A"/>
    <w:rsid w:val="00BB2CD0"/>
    <w:rsid w:val="00BB357B"/>
    <w:rsid w:val="00BB63DE"/>
    <w:rsid w:val="00BB64B9"/>
    <w:rsid w:val="00BC52E8"/>
    <w:rsid w:val="00BE547C"/>
    <w:rsid w:val="00BE7A0A"/>
    <w:rsid w:val="00BF045C"/>
    <w:rsid w:val="00C178BF"/>
    <w:rsid w:val="00C17C4D"/>
    <w:rsid w:val="00C206F7"/>
    <w:rsid w:val="00C224B8"/>
    <w:rsid w:val="00C30A0F"/>
    <w:rsid w:val="00C33AA0"/>
    <w:rsid w:val="00C34B45"/>
    <w:rsid w:val="00C34CBD"/>
    <w:rsid w:val="00C40215"/>
    <w:rsid w:val="00C42F6F"/>
    <w:rsid w:val="00C46C65"/>
    <w:rsid w:val="00C50095"/>
    <w:rsid w:val="00C52DBD"/>
    <w:rsid w:val="00C5670C"/>
    <w:rsid w:val="00C61B42"/>
    <w:rsid w:val="00C61BA2"/>
    <w:rsid w:val="00C71E97"/>
    <w:rsid w:val="00C732D0"/>
    <w:rsid w:val="00C7434D"/>
    <w:rsid w:val="00C8395A"/>
    <w:rsid w:val="00C95023"/>
    <w:rsid w:val="00C97525"/>
    <w:rsid w:val="00C97557"/>
    <w:rsid w:val="00CB2293"/>
    <w:rsid w:val="00CB397A"/>
    <w:rsid w:val="00CC04A5"/>
    <w:rsid w:val="00CC0A17"/>
    <w:rsid w:val="00CC7CC1"/>
    <w:rsid w:val="00CE065F"/>
    <w:rsid w:val="00CE25F1"/>
    <w:rsid w:val="00CE6548"/>
    <w:rsid w:val="00CE66EA"/>
    <w:rsid w:val="00D030A1"/>
    <w:rsid w:val="00D0552B"/>
    <w:rsid w:val="00D06F2E"/>
    <w:rsid w:val="00D102A8"/>
    <w:rsid w:val="00D203BF"/>
    <w:rsid w:val="00D237BF"/>
    <w:rsid w:val="00D256BE"/>
    <w:rsid w:val="00D34F3E"/>
    <w:rsid w:val="00D421F1"/>
    <w:rsid w:val="00D46B1B"/>
    <w:rsid w:val="00D537B3"/>
    <w:rsid w:val="00D64A36"/>
    <w:rsid w:val="00D74B91"/>
    <w:rsid w:val="00D77BA2"/>
    <w:rsid w:val="00D862E2"/>
    <w:rsid w:val="00D9073A"/>
    <w:rsid w:val="00D90CFE"/>
    <w:rsid w:val="00D92524"/>
    <w:rsid w:val="00D97635"/>
    <w:rsid w:val="00DA3810"/>
    <w:rsid w:val="00DA4A60"/>
    <w:rsid w:val="00DA53B1"/>
    <w:rsid w:val="00DD0BBE"/>
    <w:rsid w:val="00DD194C"/>
    <w:rsid w:val="00DD1DA0"/>
    <w:rsid w:val="00DD4751"/>
    <w:rsid w:val="00DE5D72"/>
    <w:rsid w:val="00DF4112"/>
    <w:rsid w:val="00DF5CDC"/>
    <w:rsid w:val="00E0328D"/>
    <w:rsid w:val="00E0362D"/>
    <w:rsid w:val="00E03A32"/>
    <w:rsid w:val="00E04286"/>
    <w:rsid w:val="00E04581"/>
    <w:rsid w:val="00E11DCA"/>
    <w:rsid w:val="00E23E58"/>
    <w:rsid w:val="00E308C4"/>
    <w:rsid w:val="00E35D52"/>
    <w:rsid w:val="00E40465"/>
    <w:rsid w:val="00E519EE"/>
    <w:rsid w:val="00E51FBB"/>
    <w:rsid w:val="00E535D9"/>
    <w:rsid w:val="00E602B0"/>
    <w:rsid w:val="00E7370C"/>
    <w:rsid w:val="00E75CD9"/>
    <w:rsid w:val="00E807D6"/>
    <w:rsid w:val="00E97034"/>
    <w:rsid w:val="00EB3A40"/>
    <w:rsid w:val="00EC1B75"/>
    <w:rsid w:val="00EC78EC"/>
    <w:rsid w:val="00ED5952"/>
    <w:rsid w:val="00EE0519"/>
    <w:rsid w:val="00EE0D84"/>
    <w:rsid w:val="00EE398B"/>
    <w:rsid w:val="00EF0E4A"/>
    <w:rsid w:val="00F021F7"/>
    <w:rsid w:val="00F03DCE"/>
    <w:rsid w:val="00F03FE3"/>
    <w:rsid w:val="00F051D1"/>
    <w:rsid w:val="00F055E2"/>
    <w:rsid w:val="00F116BB"/>
    <w:rsid w:val="00F12D37"/>
    <w:rsid w:val="00F12F80"/>
    <w:rsid w:val="00F13B8C"/>
    <w:rsid w:val="00F14560"/>
    <w:rsid w:val="00F34651"/>
    <w:rsid w:val="00F35FE1"/>
    <w:rsid w:val="00F65F77"/>
    <w:rsid w:val="00F667B0"/>
    <w:rsid w:val="00F70825"/>
    <w:rsid w:val="00F71646"/>
    <w:rsid w:val="00F83B04"/>
    <w:rsid w:val="00FA0F1C"/>
    <w:rsid w:val="00FB1533"/>
    <w:rsid w:val="00FB2000"/>
    <w:rsid w:val="00FB5DED"/>
    <w:rsid w:val="00FB7809"/>
    <w:rsid w:val="00FC6725"/>
    <w:rsid w:val="00FD2D03"/>
    <w:rsid w:val="00FD3C3D"/>
    <w:rsid w:val="00FF538C"/>
    <w:rsid w:val="00FF5F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073DCBC"/>
  <w15:chartTrackingRefBased/>
  <w15:docId w15:val="{BFE9A9B9-A5EE-4BA2-88B5-C577A3F8E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3F03"/>
    <w:pPr>
      <w:spacing w:after="49" w:line="263" w:lineRule="auto"/>
      <w:ind w:left="-13" w:firstLine="230"/>
      <w:jc w:val="both"/>
    </w:pPr>
    <w:rPr>
      <w:rFonts w:ascii="Calibri" w:eastAsia="Calibri" w:hAnsi="Calibri" w:cs="Calibri"/>
      <w:color w:val="000000"/>
      <w:sz w:val="20"/>
      <w:lang w:eastAsia="en-GB"/>
    </w:rPr>
  </w:style>
  <w:style w:type="paragraph" w:styleId="Heading1">
    <w:name w:val="heading 1"/>
    <w:basedOn w:val="Normal"/>
    <w:next w:val="Normal"/>
    <w:link w:val="Heading1Char"/>
    <w:uiPriority w:val="1"/>
    <w:qFormat/>
    <w:rsid w:val="00907C8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1"/>
    <w:unhideWhenUsed/>
    <w:qFormat/>
    <w:rsid w:val="004C1254"/>
    <w:pPr>
      <w:keepNext/>
      <w:keepLines/>
      <w:spacing w:before="400" w:after="360"/>
      <w:jc w:val="center"/>
      <w:outlineLvl w:val="1"/>
    </w:pPr>
    <w:rPr>
      <w:rFonts w:ascii="Times New Roman" w:eastAsiaTheme="majorEastAsia" w:hAnsi="Times New Roman" w:cstheme="majorBidi"/>
      <w:b/>
      <w:color w:val="auto"/>
      <w:sz w:val="28"/>
      <w:szCs w:val="26"/>
    </w:rPr>
  </w:style>
  <w:style w:type="paragraph" w:styleId="Heading3">
    <w:name w:val="heading 3"/>
    <w:basedOn w:val="Normal"/>
    <w:next w:val="Normal"/>
    <w:link w:val="Heading3Char"/>
    <w:autoRedefine/>
    <w:uiPriority w:val="1"/>
    <w:unhideWhenUsed/>
    <w:qFormat/>
    <w:rsid w:val="00C71E97"/>
    <w:pPr>
      <w:keepNext/>
      <w:keepLines/>
      <w:spacing w:before="400" w:after="360"/>
      <w:ind w:left="0" w:firstLine="0"/>
      <w:jc w:val="left"/>
      <w:outlineLvl w:val="2"/>
    </w:pPr>
    <w:rPr>
      <w:rFonts w:ascii="Times New Roman" w:eastAsiaTheme="majorEastAsia" w:hAnsi="Times New Roman" w:cs="Times New Roman"/>
      <w:b/>
      <w:color w:val="auto"/>
      <w:sz w:val="28"/>
      <w:szCs w:val="28"/>
    </w:rPr>
  </w:style>
  <w:style w:type="paragraph" w:styleId="Heading4">
    <w:name w:val="heading 4"/>
    <w:next w:val="Normal"/>
    <w:link w:val="Heading4Char"/>
    <w:uiPriority w:val="1"/>
    <w:unhideWhenUsed/>
    <w:qFormat/>
    <w:rsid w:val="0082219D"/>
    <w:pPr>
      <w:keepNext/>
      <w:keepLines/>
      <w:spacing w:after="4" w:line="234" w:lineRule="auto"/>
      <w:ind w:left="-3" w:right="-1" w:hanging="10"/>
      <w:outlineLvl w:val="3"/>
    </w:pPr>
    <w:rPr>
      <w:rFonts w:ascii="Calibri" w:eastAsia="Calibri" w:hAnsi="Calibri" w:cs="Calibri"/>
      <w:color w:val="000000"/>
      <w:sz w:val="1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07C8F"/>
    <w:rPr>
      <w:rFonts w:asciiTheme="majorHAnsi" w:eastAsiaTheme="majorEastAsia" w:hAnsiTheme="majorHAnsi" w:cstheme="majorBidi"/>
      <w:color w:val="2E74B5" w:themeColor="accent1" w:themeShade="BF"/>
      <w:sz w:val="32"/>
      <w:szCs w:val="32"/>
      <w:lang w:eastAsia="en-GB"/>
    </w:rPr>
  </w:style>
  <w:style w:type="character" w:customStyle="1" w:styleId="Heading2Char">
    <w:name w:val="Heading 2 Char"/>
    <w:basedOn w:val="DefaultParagraphFont"/>
    <w:link w:val="Heading2"/>
    <w:uiPriority w:val="1"/>
    <w:rsid w:val="004C1254"/>
    <w:rPr>
      <w:rFonts w:ascii="Times New Roman" w:eastAsiaTheme="majorEastAsia" w:hAnsi="Times New Roman" w:cstheme="majorBidi"/>
      <w:b/>
      <w:sz w:val="28"/>
      <w:szCs w:val="26"/>
      <w:lang w:eastAsia="en-GB"/>
    </w:rPr>
  </w:style>
  <w:style w:type="character" w:customStyle="1" w:styleId="Heading3Char">
    <w:name w:val="Heading 3 Char"/>
    <w:basedOn w:val="DefaultParagraphFont"/>
    <w:link w:val="Heading3"/>
    <w:uiPriority w:val="9"/>
    <w:rsid w:val="00C71E97"/>
    <w:rPr>
      <w:rFonts w:ascii="Times New Roman" w:eastAsiaTheme="majorEastAsia" w:hAnsi="Times New Roman" w:cs="Times New Roman"/>
      <w:b/>
      <w:sz w:val="28"/>
      <w:szCs w:val="28"/>
      <w:lang w:eastAsia="en-GB"/>
    </w:rPr>
  </w:style>
  <w:style w:type="character" w:customStyle="1" w:styleId="Heading4Char">
    <w:name w:val="Heading 4 Char"/>
    <w:basedOn w:val="DefaultParagraphFont"/>
    <w:link w:val="Heading4"/>
    <w:uiPriority w:val="9"/>
    <w:rsid w:val="0082219D"/>
    <w:rPr>
      <w:rFonts w:ascii="Calibri" w:eastAsia="Calibri" w:hAnsi="Calibri" w:cs="Calibri"/>
      <w:color w:val="000000"/>
      <w:sz w:val="16"/>
      <w:lang w:eastAsia="en-GB"/>
    </w:rPr>
  </w:style>
  <w:style w:type="paragraph" w:styleId="ListParagraph">
    <w:name w:val="List Paragraph"/>
    <w:basedOn w:val="Normal"/>
    <w:uiPriority w:val="1"/>
    <w:qFormat/>
    <w:rsid w:val="007A3F4F"/>
    <w:pPr>
      <w:ind w:left="720"/>
      <w:contextualSpacing/>
    </w:pPr>
  </w:style>
  <w:style w:type="table" w:customStyle="1" w:styleId="TableGrid">
    <w:name w:val="TableGrid"/>
    <w:rsid w:val="00907C8F"/>
    <w:pPr>
      <w:spacing w:after="0" w:line="240" w:lineRule="auto"/>
    </w:pPr>
    <w:rPr>
      <w:rFonts w:eastAsiaTheme="minorEastAsia"/>
      <w:lang w:eastAsia="en-GB"/>
    </w:rPr>
    <w:tblPr>
      <w:tblCellMar>
        <w:top w:w="0" w:type="dxa"/>
        <w:left w:w="0" w:type="dxa"/>
        <w:bottom w:w="0" w:type="dxa"/>
        <w:right w:w="0" w:type="dxa"/>
      </w:tblCellMar>
    </w:tblPr>
  </w:style>
  <w:style w:type="paragraph" w:styleId="NormalWeb">
    <w:name w:val="Normal (Web)"/>
    <w:basedOn w:val="Normal"/>
    <w:uiPriority w:val="99"/>
    <w:unhideWhenUsed/>
    <w:rsid w:val="00E75CD9"/>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character" w:customStyle="1" w:styleId="cursor-pointer">
    <w:name w:val="cursor-pointer"/>
    <w:basedOn w:val="DefaultParagraphFont"/>
    <w:rsid w:val="00E75CD9"/>
  </w:style>
  <w:style w:type="character" w:styleId="Hyperlink">
    <w:name w:val="Hyperlink"/>
    <w:basedOn w:val="DefaultParagraphFont"/>
    <w:uiPriority w:val="99"/>
    <w:unhideWhenUsed/>
    <w:rsid w:val="00E75CD9"/>
    <w:rPr>
      <w:color w:val="0000FF"/>
      <w:u w:val="single"/>
    </w:rPr>
  </w:style>
  <w:style w:type="paragraph" w:styleId="Header">
    <w:name w:val="header"/>
    <w:basedOn w:val="Normal"/>
    <w:link w:val="HeaderChar"/>
    <w:uiPriority w:val="99"/>
    <w:unhideWhenUsed/>
    <w:rsid w:val="003E57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57C7"/>
    <w:rPr>
      <w:rFonts w:ascii="Calibri" w:eastAsia="Calibri" w:hAnsi="Calibri" w:cs="Calibri"/>
      <w:color w:val="000000"/>
      <w:sz w:val="20"/>
      <w:lang w:eastAsia="en-GB"/>
    </w:rPr>
  </w:style>
  <w:style w:type="paragraph" w:styleId="Footer">
    <w:name w:val="footer"/>
    <w:basedOn w:val="Normal"/>
    <w:link w:val="FooterChar"/>
    <w:uiPriority w:val="99"/>
    <w:unhideWhenUsed/>
    <w:rsid w:val="003E57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57C7"/>
    <w:rPr>
      <w:rFonts w:ascii="Calibri" w:eastAsia="Calibri" w:hAnsi="Calibri" w:cs="Calibri"/>
      <w:color w:val="000000"/>
      <w:sz w:val="20"/>
      <w:lang w:eastAsia="en-GB"/>
    </w:rPr>
  </w:style>
  <w:style w:type="character" w:styleId="HTMLCite">
    <w:name w:val="HTML Cite"/>
    <w:basedOn w:val="DefaultParagraphFont"/>
    <w:uiPriority w:val="99"/>
    <w:semiHidden/>
    <w:unhideWhenUsed/>
    <w:rsid w:val="004B2F5E"/>
    <w:rPr>
      <w:i/>
      <w:iCs/>
    </w:rPr>
  </w:style>
  <w:style w:type="paragraph" w:styleId="TOC2">
    <w:name w:val="toc 2"/>
    <w:basedOn w:val="Normal"/>
    <w:next w:val="Normal"/>
    <w:autoRedefine/>
    <w:uiPriority w:val="39"/>
    <w:unhideWhenUsed/>
    <w:qFormat/>
    <w:rsid w:val="00265DE5"/>
    <w:pPr>
      <w:tabs>
        <w:tab w:val="left" w:pos="880"/>
        <w:tab w:val="right" w:pos="9016"/>
      </w:tabs>
      <w:spacing w:after="100" w:line="360" w:lineRule="auto"/>
      <w:ind w:left="0" w:firstLine="0"/>
      <w:jc w:val="left"/>
    </w:pPr>
    <w:rPr>
      <w:rFonts w:ascii="Times New Roman" w:hAnsi="Times New Roman" w:cs="Times New Roman"/>
      <w:noProof/>
      <w:color w:val="auto"/>
      <w:sz w:val="24"/>
    </w:rPr>
  </w:style>
  <w:style w:type="paragraph" w:styleId="TOC3">
    <w:name w:val="toc 3"/>
    <w:basedOn w:val="Normal"/>
    <w:next w:val="Normal"/>
    <w:autoRedefine/>
    <w:uiPriority w:val="39"/>
    <w:unhideWhenUsed/>
    <w:qFormat/>
    <w:rsid w:val="00A329DE"/>
    <w:pPr>
      <w:spacing w:after="100"/>
      <w:ind w:left="400"/>
    </w:pPr>
  </w:style>
  <w:style w:type="paragraph" w:styleId="TOC1">
    <w:name w:val="toc 1"/>
    <w:basedOn w:val="Normal"/>
    <w:next w:val="Normal"/>
    <w:autoRedefine/>
    <w:uiPriority w:val="39"/>
    <w:unhideWhenUsed/>
    <w:qFormat/>
    <w:rsid w:val="0049499B"/>
    <w:pPr>
      <w:tabs>
        <w:tab w:val="right" w:pos="9016"/>
      </w:tabs>
      <w:spacing w:after="100" w:line="360" w:lineRule="auto"/>
      <w:ind w:left="0"/>
    </w:pPr>
  </w:style>
  <w:style w:type="paragraph" w:styleId="TOC4">
    <w:name w:val="toc 4"/>
    <w:basedOn w:val="Normal"/>
    <w:uiPriority w:val="39"/>
    <w:qFormat/>
    <w:rsid w:val="00FD3C3D"/>
    <w:pPr>
      <w:widowControl w:val="0"/>
      <w:autoSpaceDE w:val="0"/>
      <w:autoSpaceDN w:val="0"/>
      <w:spacing w:before="183" w:after="0" w:line="240" w:lineRule="auto"/>
      <w:ind w:left="1340" w:hanging="540"/>
      <w:jc w:val="left"/>
    </w:pPr>
    <w:rPr>
      <w:rFonts w:ascii="Times New Roman" w:eastAsia="Times New Roman" w:hAnsi="Times New Roman" w:cs="Times New Roman"/>
      <w:color w:val="auto"/>
      <w:sz w:val="24"/>
      <w:szCs w:val="24"/>
      <w:lang w:val="en-US" w:eastAsia="en-US"/>
    </w:rPr>
  </w:style>
  <w:style w:type="paragraph" w:styleId="BodyText">
    <w:name w:val="Body Text"/>
    <w:basedOn w:val="Normal"/>
    <w:link w:val="BodyTextChar"/>
    <w:uiPriority w:val="1"/>
    <w:qFormat/>
    <w:rsid w:val="00FD3C3D"/>
    <w:pPr>
      <w:widowControl w:val="0"/>
      <w:autoSpaceDE w:val="0"/>
      <w:autoSpaceDN w:val="0"/>
      <w:spacing w:after="0" w:line="240" w:lineRule="auto"/>
      <w:ind w:left="0" w:firstLine="0"/>
      <w:jc w:val="left"/>
    </w:pPr>
    <w:rPr>
      <w:rFonts w:ascii="Times New Roman" w:eastAsia="Times New Roman" w:hAnsi="Times New Roman" w:cs="Times New Roman"/>
      <w:color w:val="auto"/>
      <w:sz w:val="24"/>
      <w:szCs w:val="24"/>
      <w:lang w:val="en-US" w:eastAsia="en-US"/>
    </w:rPr>
  </w:style>
  <w:style w:type="character" w:customStyle="1" w:styleId="BodyTextChar">
    <w:name w:val="Body Text Char"/>
    <w:basedOn w:val="DefaultParagraphFont"/>
    <w:link w:val="BodyText"/>
    <w:uiPriority w:val="1"/>
    <w:rsid w:val="00FD3C3D"/>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FD3C3D"/>
    <w:pPr>
      <w:widowControl w:val="0"/>
      <w:autoSpaceDE w:val="0"/>
      <w:autoSpaceDN w:val="0"/>
      <w:spacing w:after="0" w:line="240" w:lineRule="auto"/>
      <w:ind w:left="0" w:firstLine="0"/>
      <w:jc w:val="left"/>
    </w:pPr>
    <w:rPr>
      <w:rFonts w:ascii="Times New Roman" w:eastAsia="Times New Roman" w:hAnsi="Times New Roman" w:cs="Times New Roman"/>
      <w:color w:val="auto"/>
      <w:sz w:val="22"/>
      <w:lang w:val="en-US" w:eastAsia="en-US"/>
    </w:rPr>
  </w:style>
  <w:style w:type="paragraph" w:styleId="TOC5">
    <w:name w:val="toc 5"/>
    <w:basedOn w:val="Normal"/>
    <w:uiPriority w:val="39"/>
    <w:qFormat/>
    <w:rsid w:val="004E73AB"/>
    <w:pPr>
      <w:widowControl w:val="0"/>
      <w:autoSpaceDE w:val="0"/>
      <w:autoSpaceDN w:val="0"/>
      <w:spacing w:before="929" w:after="0" w:line="240" w:lineRule="auto"/>
      <w:ind w:left="1348" w:firstLine="0"/>
      <w:jc w:val="left"/>
    </w:pPr>
    <w:rPr>
      <w:rFonts w:ascii="Times New Roman" w:eastAsia="Times New Roman" w:hAnsi="Times New Roman" w:cs="Times New Roman"/>
      <w:color w:val="auto"/>
      <w:sz w:val="24"/>
      <w:szCs w:val="24"/>
      <w:lang w:val="en-US" w:eastAsia="en-US"/>
    </w:rPr>
  </w:style>
  <w:style w:type="paragraph" w:styleId="TOC6">
    <w:name w:val="toc 6"/>
    <w:basedOn w:val="Normal"/>
    <w:uiPriority w:val="39"/>
    <w:qFormat/>
    <w:rsid w:val="004E73AB"/>
    <w:pPr>
      <w:widowControl w:val="0"/>
      <w:autoSpaceDE w:val="0"/>
      <w:autoSpaceDN w:val="0"/>
      <w:spacing w:before="276" w:after="0" w:line="240" w:lineRule="auto"/>
      <w:ind w:left="2229" w:hanging="683"/>
      <w:jc w:val="left"/>
    </w:pPr>
    <w:rPr>
      <w:rFonts w:ascii="Times New Roman" w:eastAsia="Times New Roman" w:hAnsi="Times New Roman" w:cs="Times New Roman"/>
      <w:color w:val="auto"/>
      <w:sz w:val="24"/>
      <w:szCs w:val="24"/>
      <w:lang w:val="en-US" w:eastAsia="en-US"/>
    </w:rPr>
  </w:style>
  <w:style w:type="paragraph" w:styleId="TOC7">
    <w:name w:val="toc 7"/>
    <w:basedOn w:val="Normal"/>
    <w:uiPriority w:val="39"/>
    <w:qFormat/>
    <w:rsid w:val="004E73AB"/>
    <w:pPr>
      <w:widowControl w:val="0"/>
      <w:autoSpaceDE w:val="0"/>
      <w:autoSpaceDN w:val="0"/>
      <w:spacing w:before="276" w:after="0" w:line="240" w:lineRule="auto"/>
      <w:ind w:left="2668" w:hanging="920"/>
      <w:jc w:val="left"/>
    </w:pPr>
    <w:rPr>
      <w:rFonts w:ascii="Times New Roman" w:eastAsia="Times New Roman" w:hAnsi="Times New Roman" w:cs="Times New Roman"/>
      <w:color w:val="auto"/>
      <w:sz w:val="24"/>
      <w:szCs w:val="24"/>
      <w:lang w:val="en-US" w:eastAsia="en-US"/>
    </w:rPr>
  </w:style>
  <w:style w:type="paragraph" w:styleId="TOC8">
    <w:name w:val="toc 8"/>
    <w:basedOn w:val="Normal"/>
    <w:uiPriority w:val="39"/>
    <w:qFormat/>
    <w:rsid w:val="004E73AB"/>
    <w:pPr>
      <w:widowControl w:val="0"/>
      <w:autoSpaceDE w:val="0"/>
      <w:autoSpaceDN w:val="0"/>
      <w:spacing w:before="276" w:after="0" w:line="240" w:lineRule="auto"/>
      <w:ind w:left="3168" w:hanging="1161"/>
      <w:jc w:val="left"/>
    </w:pPr>
    <w:rPr>
      <w:rFonts w:ascii="Times New Roman" w:eastAsia="Times New Roman" w:hAnsi="Times New Roman" w:cs="Times New Roman"/>
      <w:color w:val="auto"/>
      <w:sz w:val="24"/>
      <w:szCs w:val="24"/>
      <w:lang w:val="en-US" w:eastAsia="en-US"/>
    </w:rPr>
  </w:style>
  <w:style w:type="paragraph" w:styleId="Title">
    <w:name w:val="Title"/>
    <w:basedOn w:val="Normal"/>
    <w:link w:val="TitleChar"/>
    <w:uiPriority w:val="1"/>
    <w:qFormat/>
    <w:rsid w:val="004E73AB"/>
    <w:pPr>
      <w:widowControl w:val="0"/>
      <w:autoSpaceDE w:val="0"/>
      <w:autoSpaceDN w:val="0"/>
      <w:spacing w:before="206" w:after="0" w:line="240" w:lineRule="auto"/>
      <w:ind w:left="100" w:right="1776" w:firstLine="0"/>
      <w:jc w:val="left"/>
    </w:pPr>
    <w:rPr>
      <w:rFonts w:ascii="Arial MT" w:eastAsia="Arial MT" w:hAnsi="Arial MT" w:cs="Arial MT"/>
      <w:color w:val="auto"/>
      <w:sz w:val="52"/>
      <w:szCs w:val="52"/>
      <w:lang w:val="en-US" w:eastAsia="en-US"/>
    </w:rPr>
  </w:style>
  <w:style w:type="character" w:customStyle="1" w:styleId="TitleChar">
    <w:name w:val="Title Char"/>
    <w:basedOn w:val="DefaultParagraphFont"/>
    <w:link w:val="Title"/>
    <w:uiPriority w:val="1"/>
    <w:rsid w:val="004E73AB"/>
    <w:rPr>
      <w:rFonts w:ascii="Arial MT" w:eastAsia="Arial MT" w:hAnsi="Arial MT" w:cs="Arial MT"/>
      <w:sz w:val="52"/>
      <w:szCs w:val="52"/>
      <w:lang w:val="en-US"/>
    </w:rPr>
  </w:style>
  <w:style w:type="table" w:styleId="TableGrid0">
    <w:name w:val="Table Grid"/>
    <w:basedOn w:val="TableNormal"/>
    <w:uiPriority w:val="59"/>
    <w:rsid w:val="004E73A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AA6BBB"/>
  </w:style>
  <w:style w:type="character" w:customStyle="1" w:styleId="mw-editsection-like">
    <w:name w:val="mw-editsection-like"/>
    <w:basedOn w:val="DefaultParagraphFont"/>
    <w:rsid w:val="00AA6BBB"/>
  </w:style>
  <w:style w:type="character" w:customStyle="1" w:styleId="mw-editsection-bracket">
    <w:name w:val="mw-editsection-bracket"/>
    <w:basedOn w:val="DefaultParagraphFont"/>
    <w:rsid w:val="00AA6BBB"/>
  </w:style>
  <w:style w:type="table" w:styleId="TableGridLight">
    <w:name w:val="Grid Table Light"/>
    <w:basedOn w:val="TableNormal"/>
    <w:uiPriority w:val="40"/>
    <w:rsid w:val="0072494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C30A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BB63DE"/>
    <w:pPr>
      <w:spacing w:line="259" w:lineRule="auto"/>
      <w:ind w:left="0" w:firstLine="0"/>
      <w:jc w:val="left"/>
      <w:outlineLvl w:val="9"/>
    </w:pPr>
    <w:rPr>
      <w:lang w:val="en-US" w:eastAsia="en-US"/>
    </w:rPr>
  </w:style>
  <w:style w:type="character" w:styleId="Strong">
    <w:name w:val="Strong"/>
    <w:basedOn w:val="DefaultParagraphFont"/>
    <w:uiPriority w:val="22"/>
    <w:qFormat/>
    <w:rsid w:val="000865AC"/>
    <w:rPr>
      <w:b/>
      <w:bCs/>
    </w:rPr>
  </w:style>
  <w:style w:type="character" w:styleId="Emphasis">
    <w:name w:val="Emphasis"/>
    <w:basedOn w:val="DefaultParagraphFont"/>
    <w:uiPriority w:val="20"/>
    <w:qFormat/>
    <w:rsid w:val="00D030A1"/>
    <w:rPr>
      <w:i/>
      <w:iCs/>
    </w:rPr>
  </w:style>
  <w:style w:type="character" w:customStyle="1" w:styleId="UnresolvedMention1">
    <w:name w:val="Unresolved Mention1"/>
    <w:basedOn w:val="DefaultParagraphFont"/>
    <w:uiPriority w:val="99"/>
    <w:semiHidden/>
    <w:unhideWhenUsed/>
    <w:rsid w:val="002D5197"/>
    <w:rPr>
      <w:color w:val="605E5C"/>
      <w:shd w:val="clear" w:color="auto" w:fill="E1DFDD"/>
    </w:rPr>
  </w:style>
  <w:style w:type="character" w:customStyle="1" w:styleId="UnresolvedMention2">
    <w:name w:val="Unresolved Mention2"/>
    <w:basedOn w:val="DefaultParagraphFont"/>
    <w:uiPriority w:val="99"/>
    <w:semiHidden/>
    <w:unhideWhenUsed/>
    <w:rsid w:val="00A503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462316">
      <w:bodyDiv w:val="1"/>
      <w:marLeft w:val="0"/>
      <w:marRight w:val="0"/>
      <w:marTop w:val="0"/>
      <w:marBottom w:val="0"/>
      <w:divBdr>
        <w:top w:val="none" w:sz="0" w:space="0" w:color="auto"/>
        <w:left w:val="none" w:sz="0" w:space="0" w:color="auto"/>
        <w:bottom w:val="none" w:sz="0" w:space="0" w:color="auto"/>
        <w:right w:val="none" w:sz="0" w:space="0" w:color="auto"/>
      </w:divBdr>
    </w:div>
    <w:div w:id="191890153">
      <w:bodyDiv w:val="1"/>
      <w:marLeft w:val="0"/>
      <w:marRight w:val="0"/>
      <w:marTop w:val="0"/>
      <w:marBottom w:val="0"/>
      <w:divBdr>
        <w:top w:val="none" w:sz="0" w:space="0" w:color="auto"/>
        <w:left w:val="none" w:sz="0" w:space="0" w:color="auto"/>
        <w:bottom w:val="none" w:sz="0" w:space="0" w:color="auto"/>
        <w:right w:val="none" w:sz="0" w:space="0" w:color="auto"/>
      </w:divBdr>
    </w:div>
    <w:div w:id="241066649">
      <w:bodyDiv w:val="1"/>
      <w:marLeft w:val="0"/>
      <w:marRight w:val="0"/>
      <w:marTop w:val="0"/>
      <w:marBottom w:val="0"/>
      <w:divBdr>
        <w:top w:val="none" w:sz="0" w:space="0" w:color="auto"/>
        <w:left w:val="none" w:sz="0" w:space="0" w:color="auto"/>
        <w:bottom w:val="none" w:sz="0" w:space="0" w:color="auto"/>
        <w:right w:val="none" w:sz="0" w:space="0" w:color="auto"/>
      </w:divBdr>
    </w:div>
    <w:div w:id="241718910">
      <w:bodyDiv w:val="1"/>
      <w:marLeft w:val="0"/>
      <w:marRight w:val="0"/>
      <w:marTop w:val="0"/>
      <w:marBottom w:val="0"/>
      <w:divBdr>
        <w:top w:val="none" w:sz="0" w:space="0" w:color="auto"/>
        <w:left w:val="none" w:sz="0" w:space="0" w:color="auto"/>
        <w:bottom w:val="none" w:sz="0" w:space="0" w:color="auto"/>
        <w:right w:val="none" w:sz="0" w:space="0" w:color="auto"/>
      </w:divBdr>
    </w:div>
    <w:div w:id="262810526">
      <w:bodyDiv w:val="1"/>
      <w:marLeft w:val="0"/>
      <w:marRight w:val="0"/>
      <w:marTop w:val="0"/>
      <w:marBottom w:val="0"/>
      <w:divBdr>
        <w:top w:val="none" w:sz="0" w:space="0" w:color="auto"/>
        <w:left w:val="none" w:sz="0" w:space="0" w:color="auto"/>
        <w:bottom w:val="none" w:sz="0" w:space="0" w:color="auto"/>
        <w:right w:val="none" w:sz="0" w:space="0" w:color="auto"/>
      </w:divBdr>
    </w:div>
    <w:div w:id="291863838">
      <w:bodyDiv w:val="1"/>
      <w:marLeft w:val="0"/>
      <w:marRight w:val="0"/>
      <w:marTop w:val="0"/>
      <w:marBottom w:val="0"/>
      <w:divBdr>
        <w:top w:val="none" w:sz="0" w:space="0" w:color="auto"/>
        <w:left w:val="none" w:sz="0" w:space="0" w:color="auto"/>
        <w:bottom w:val="none" w:sz="0" w:space="0" w:color="auto"/>
        <w:right w:val="none" w:sz="0" w:space="0" w:color="auto"/>
      </w:divBdr>
      <w:divsChild>
        <w:div w:id="968703023">
          <w:marLeft w:val="360"/>
          <w:marRight w:val="0"/>
          <w:marTop w:val="200"/>
          <w:marBottom w:val="0"/>
          <w:divBdr>
            <w:top w:val="none" w:sz="0" w:space="0" w:color="auto"/>
            <w:left w:val="none" w:sz="0" w:space="0" w:color="auto"/>
            <w:bottom w:val="none" w:sz="0" w:space="0" w:color="auto"/>
            <w:right w:val="none" w:sz="0" w:space="0" w:color="auto"/>
          </w:divBdr>
        </w:div>
        <w:div w:id="2055346099">
          <w:marLeft w:val="360"/>
          <w:marRight w:val="0"/>
          <w:marTop w:val="200"/>
          <w:marBottom w:val="0"/>
          <w:divBdr>
            <w:top w:val="none" w:sz="0" w:space="0" w:color="auto"/>
            <w:left w:val="none" w:sz="0" w:space="0" w:color="auto"/>
            <w:bottom w:val="none" w:sz="0" w:space="0" w:color="auto"/>
            <w:right w:val="none" w:sz="0" w:space="0" w:color="auto"/>
          </w:divBdr>
        </w:div>
        <w:div w:id="874583492">
          <w:marLeft w:val="360"/>
          <w:marRight w:val="0"/>
          <w:marTop w:val="200"/>
          <w:marBottom w:val="0"/>
          <w:divBdr>
            <w:top w:val="none" w:sz="0" w:space="0" w:color="auto"/>
            <w:left w:val="none" w:sz="0" w:space="0" w:color="auto"/>
            <w:bottom w:val="none" w:sz="0" w:space="0" w:color="auto"/>
            <w:right w:val="none" w:sz="0" w:space="0" w:color="auto"/>
          </w:divBdr>
        </w:div>
        <w:div w:id="226384949">
          <w:marLeft w:val="360"/>
          <w:marRight w:val="0"/>
          <w:marTop w:val="200"/>
          <w:marBottom w:val="0"/>
          <w:divBdr>
            <w:top w:val="none" w:sz="0" w:space="0" w:color="auto"/>
            <w:left w:val="none" w:sz="0" w:space="0" w:color="auto"/>
            <w:bottom w:val="none" w:sz="0" w:space="0" w:color="auto"/>
            <w:right w:val="none" w:sz="0" w:space="0" w:color="auto"/>
          </w:divBdr>
        </w:div>
      </w:divsChild>
    </w:div>
    <w:div w:id="418911577">
      <w:bodyDiv w:val="1"/>
      <w:marLeft w:val="0"/>
      <w:marRight w:val="0"/>
      <w:marTop w:val="0"/>
      <w:marBottom w:val="0"/>
      <w:divBdr>
        <w:top w:val="none" w:sz="0" w:space="0" w:color="auto"/>
        <w:left w:val="none" w:sz="0" w:space="0" w:color="auto"/>
        <w:bottom w:val="none" w:sz="0" w:space="0" w:color="auto"/>
        <w:right w:val="none" w:sz="0" w:space="0" w:color="auto"/>
      </w:divBdr>
    </w:div>
    <w:div w:id="427237050">
      <w:bodyDiv w:val="1"/>
      <w:marLeft w:val="0"/>
      <w:marRight w:val="0"/>
      <w:marTop w:val="0"/>
      <w:marBottom w:val="0"/>
      <w:divBdr>
        <w:top w:val="none" w:sz="0" w:space="0" w:color="auto"/>
        <w:left w:val="none" w:sz="0" w:space="0" w:color="auto"/>
        <w:bottom w:val="none" w:sz="0" w:space="0" w:color="auto"/>
        <w:right w:val="none" w:sz="0" w:space="0" w:color="auto"/>
      </w:divBdr>
    </w:div>
    <w:div w:id="444689053">
      <w:bodyDiv w:val="1"/>
      <w:marLeft w:val="0"/>
      <w:marRight w:val="0"/>
      <w:marTop w:val="0"/>
      <w:marBottom w:val="0"/>
      <w:divBdr>
        <w:top w:val="none" w:sz="0" w:space="0" w:color="auto"/>
        <w:left w:val="none" w:sz="0" w:space="0" w:color="auto"/>
        <w:bottom w:val="none" w:sz="0" w:space="0" w:color="auto"/>
        <w:right w:val="none" w:sz="0" w:space="0" w:color="auto"/>
      </w:divBdr>
    </w:div>
    <w:div w:id="473447528">
      <w:bodyDiv w:val="1"/>
      <w:marLeft w:val="0"/>
      <w:marRight w:val="0"/>
      <w:marTop w:val="0"/>
      <w:marBottom w:val="0"/>
      <w:divBdr>
        <w:top w:val="none" w:sz="0" w:space="0" w:color="auto"/>
        <w:left w:val="none" w:sz="0" w:space="0" w:color="auto"/>
        <w:bottom w:val="none" w:sz="0" w:space="0" w:color="auto"/>
        <w:right w:val="none" w:sz="0" w:space="0" w:color="auto"/>
      </w:divBdr>
    </w:div>
    <w:div w:id="491531144">
      <w:bodyDiv w:val="1"/>
      <w:marLeft w:val="0"/>
      <w:marRight w:val="0"/>
      <w:marTop w:val="0"/>
      <w:marBottom w:val="0"/>
      <w:divBdr>
        <w:top w:val="none" w:sz="0" w:space="0" w:color="auto"/>
        <w:left w:val="none" w:sz="0" w:space="0" w:color="auto"/>
        <w:bottom w:val="none" w:sz="0" w:space="0" w:color="auto"/>
        <w:right w:val="none" w:sz="0" w:space="0" w:color="auto"/>
      </w:divBdr>
    </w:div>
    <w:div w:id="719868060">
      <w:bodyDiv w:val="1"/>
      <w:marLeft w:val="0"/>
      <w:marRight w:val="0"/>
      <w:marTop w:val="0"/>
      <w:marBottom w:val="0"/>
      <w:divBdr>
        <w:top w:val="none" w:sz="0" w:space="0" w:color="auto"/>
        <w:left w:val="none" w:sz="0" w:space="0" w:color="auto"/>
        <w:bottom w:val="none" w:sz="0" w:space="0" w:color="auto"/>
        <w:right w:val="none" w:sz="0" w:space="0" w:color="auto"/>
      </w:divBdr>
    </w:div>
    <w:div w:id="721290036">
      <w:bodyDiv w:val="1"/>
      <w:marLeft w:val="0"/>
      <w:marRight w:val="0"/>
      <w:marTop w:val="0"/>
      <w:marBottom w:val="0"/>
      <w:divBdr>
        <w:top w:val="none" w:sz="0" w:space="0" w:color="auto"/>
        <w:left w:val="none" w:sz="0" w:space="0" w:color="auto"/>
        <w:bottom w:val="none" w:sz="0" w:space="0" w:color="auto"/>
        <w:right w:val="none" w:sz="0" w:space="0" w:color="auto"/>
      </w:divBdr>
    </w:div>
    <w:div w:id="724716355">
      <w:bodyDiv w:val="1"/>
      <w:marLeft w:val="0"/>
      <w:marRight w:val="0"/>
      <w:marTop w:val="0"/>
      <w:marBottom w:val="0"/>
      <w:divBdr>
        <w:top w:val="none" w:sz="0" w:space="0" w:color="auto"/>
        <w:left w:val="none" w:sz="0" w:space="0" w:color="auto"/>
        <w:bottom w:val="none" w:sz="0" w:space="0" w:color="auto"/>
        <w:right w:val="none" w:sz="0" w:space="0" w:color="auto"/>
      </w:divBdr>
    </w:div>
    <w:div w:id="788476289">
      <w:bodyDiv w:val="1"/>
      <w:marLeft w:val="0"/>
      <w:marRight w:val="0"/>
      <w:marTop w:val="0"/>
      <w:marBottom w:val="0"/>
      <w:divBdr>
        <w:top w:val="none" w:sz="0" w:space="0" w:color="auto"/>
        <w:left w:val="none" w:sz="0" w:space="0" w:color="auto"/>
        <w:bottom w:val="none" w:sz="0" w:space="0" w:color="auto"/>
        <w:right w:val="none" w:sz="0" w:space="0" w:color="auto"/>
      </w:divBdr>
    </w:div>
    <w:div w:id="791438841">
      <w:bodyDiv w:val="1"/>
      <w:marLeft w:val="0"/>
      <w:marRight w:val="0"/>
      <w:marTop w:val="0"/>
      <w:marBottom w:val="0"/>
      <w:divBdr>
        <w:top w:val="none" w:sz="0" w:space="0" w:color="auto"/>
        <w:left w:val="none" w:sz="0" w:space="0" w:color="auto"/>
        <w:bottom w:val="none" w:sz="0" w:space="0" w:color="auto"/>
        <w:right w:val="none" w:sz="0" w:space="0" w:color="auto"/>
      </w:divBdr>
    </w:div>
    <w:div w:id="796488950">
      <w:bodyDiv w:val="1"/>
      <w:marLeft w:val="0"/>
      <w:marRight w:val="0"/>
      <w:marTop w:val="0"/>
      <w:marBottom w:val="0"/>
      <w:divBdr>
        <w:top w:val="none" w:sz="0" w:space="0" w:color="auto"/>
        <w:left w:val="none" w:sz="0" w:space="0" w:color="auto"/>
        <w:bottom w:val="none" w:sz="0" w:space="0" w:color="auto"/>
        <w:right w:val="none" w:sz="0" w:space="0" w:color="auto"/>
      </w:divBdr>
    </w:div>
    <w:div w:id="906455669">
      <w:bodyDiv w:val="1"/>
      <w:marLeft w:val="0"/>
      <w:marRight w:val="0"/>
      <w:marTop w:val="0"/>
      <w:marBottom w:val="0"/>
      <w:divBdr>
        <w:top w:val="none" w:sz="0" w:space="0" w:color="auto"/>
        <w:left w:val="none" w:sz="0" w:space="0" w:color="auto"/>
        <w:bottom w:val="none" w:sz="0" w:space="0" w:color="auto"/>
        <w:right w:val="none" w:sz="0" w:space="0" w:color="auto"/>
      </w:divBdr>
    </w:div>
    <w:div w:id="931158463">
      <w:bodyDiv w:val="1"/>
      <w:marLeft w:val="0"/>
      <w:marRight w:val="0"/>
      <w:marTop w:val="0"/>
      <w:marBottom w:val="0"/>
      <w:divBdr>
        <w:top w:val="none" w:sz="0" w:space="0" w:color="auto"/>
        <w:left w:val="none" w:sz="0" w:space="0" w:color="auto"/>
        <w:bottom w:val="none" w:sz="0" w:space="0" w:color="auto"/>
        <w:right w:val="none" w:sz="0" w:space="0" w:color="auto"/>
      </w:divBdr>
    </w:div>
    <w:div w:id="991518767">
      <w:bodyDiv w:val="1"/>
      <w:marLeft w:val="0"/>
      <w:marRight w:val="0"/>
      <w:marTop w:val="0"/>
      <w:marBottom w:val="0"/>
      <w:divBdr>
        <w:top w:val="none" w:sz="0" w:space="0" w:color="auto"/>
        <w:left w:val="none" w:sz="0" w:space="0" w:color="auto"/>
        <w:bottom w:val="none" w:sz="0" w:space="0" w:color="auto"/>
        <w:right w:val="none" w:sz="0" w:space="0" w:color="auto"/>
      </w:divBdr>
    </w:div>
    <w:div w:id="1159689390">
      <w:bodyDiv w:val="1"/>
      <w:marLeft w:val="0"/>
      <w:marRight w:val="0"/>
      <w:marTop w:val="0"/>
      <w:marBottom w:val="0"/>
      <w:divBdr>
        <w:top w:val="none" w:sz="0" w:space="0" w:color="auto"/>
        <w:left w:val="none" w:sz="0" w:space="0" w:color="auto"/>
        <w:bottom w:val="none" w:sz="0" w:space="0" w:color="auto"/>
        <w:right w:val="none" w:sz="0" w:space="0" w:color="auto"/>
      </w:divBdr>
    </w:div>
    <w:div w:id="1328901140">
      <w:bodyDiv w:val="1"/>
      <w:marLeft w:val="0"/>
      <w:marRight w:val="0"/>
      <w:marTop w:val="0"/>
      <w:marBottom w:val="0"/>
      <w:divBdr>
        <w:top w:val="none" w:sz="0" w:space="0" w:color="auto"/>
        <w:left w:val="none" w:sz="0" w:space="0" w:color="auto"/>
        <w:bottom w:val="none" w:sz="0" w:space="0" w:color="auto"/>
        <w:right w:val="none" w:sz="0" w:space="0" w:color="auto"/>
      </w:divBdr>
    </w:div>
    <w:div w:id="1381592391">
      <w:bodyDiv w:val="1"/>
      <w:marLeft w:val="0"/>
      <w:marRight w:val="0"/>
      <w:marTop w:val="0"/>
      <w:marBottom w:val="0"/>
      <w:divBdr>
        <w:top w:val="none" w:sz="0" w:space="0" w:color="auto"/>
        <w:left w:val="none" w:sz="0" w:space="0" w:color="auto"/>
        <w:bottom w:val="none" w:sz="0" w:space="0" w:color="auto"/>
        <w:right w:val="none" w:sz="0" w:space="0" w:color="auto"/>
      </w:divBdr>
    </w:div>
    <w:div w:id="1394307590">
      <w:bodyDiv w:val="1"/>
      <w:marLeft w:val="0"/>
      <w:marRight w:val="0"/>
      <w:marTop w:val="0"/>
      <w:marBottom w:val="0"/>
      <w:divBdr>
        <w:top w:val="none" w:sz="0" w:space="0" w:color="auto"/>
        <w:left w:val="none" w:sz="0" w:space="0" w:color="auto"/>
        <w:bottom w:val="none" w:sz="0" w:space="0" w:color="auto"/>
        <w:right w:val="none" w:sz="0" w:space="0" w:color="auto"/>
      </w:divBdr>
    </w:div>
    <w:div w:id="1484539770">
      <w:bodyDiv w:val="1"/>
      <w:marLeft w:val="0"/>
      <w:marRight w:val="0"/>
      <w:marTop w:val="0"/>
      <w:marBottom w:val="0"/>
      <w:divBdr>
        <w:top w:val="none" w:sz="0" w:space="0" w:color="auto"/>
        <w:left w:val="none" w:sz="0" w:space="0" w:color="auto"/>
        <w:bottom w:val="none" w:sz="0" w:space="0" w:color="auto"/>
        <w:right w:val="none" w:sz="0" w:space="0" w:color="auto"/>
      </w:divBdr>
    </w:div>
    <w:div w:id="1523592394">
      <w:bodyDiv w:val="1"/>
      <w:marLeft w:val="0"/>
      <w:marRight w:val="0"/>
      <w:marTop w:val="0"/>
      <w:marBottom w:val="0"/>
      <w:divBdr>
        <w:top w:val="none" w:sz="0" w:space="0" w:color="auto"/>
        <w:left w:val="none" w:sz="0" w:space="0" w:color="auto"/>
        <w:bottom w:val="none" w:sz="0" w:space="0" w:color="auto"/>
        <w:right w:val="none" w:sz="0" w:space="0" w:color="auto"/>
      </w:divBdr>
    </w:div>
    <w:div w:id="1648047829">
      <w:bodyDiv w:val="1"/>
      <w:marLeft w:val="0"/>
      <w:marRight w:val="0"/>
      <w:marTop w:val="0"/>
      <w:marBottom w:val="0"/>
      <w:divBdr>
        <w:top w:val="none" w:sz="0" w:space="0" w:color="auto"/>
        <w:left w:val="none" w:sz="0" w:space="0" w:color="auto"/>
        <w:bottom w:val="none" w:sz="0" w:space="0" w:color="auto"/>
        <w:right w:val="none" w:sz="0" w:space="0" w:color="auto"/>
      </w:divBdr>
      <w:divsChild>
        <w:div w:id="940604405">
          <w:marLeft w:val="0"/>
          <w:marRight w:val="0"/>
          <w:marTop w:val="0"/>
          <w:marBottom w:val="0"/>
          <w:divBdr>
            <w:top w:val="none" w:sz="0" w:space="0" w:color="auto"/>
            <w:left w:val="none" w:sz="0" w:space="0" w:color="auto"/>
            <w:bottom w:val="none" w:sz="0" w:space="0" w:color="auto"/>
            <w:right w:val="none" w:sz="0" w:space="0" w:color="auto"/>
          </w:divBdr>
        </w:div>
        <w:div w:id="2000571743">
          <w:marLeft w:val="0"/>
          <w:marRight w:val="0"/>
          <w:marTop w:val="0"/>
          <w:marBottom w:val="0"/>
          <w:divBdr>
            <w:top w:val="none" w:sz="0" w:space="0" w:color="auto"/>
            <w:left w:val="none" w:sz="0" w:space="0" w:color="auto"/>
            <w:bottom w:val="none" w:sz="0" w:space="0" w:color="auto"/>
            <w:right w:val="none" w:sz="0" w:space="0" w:color="auto"/>
          </w:divBdr>
          <w:divsChild>
            <w:div w:id="601109034">
              <w:marLeft w:val="0"/>
              <w:marRight w:val="0"/>
              <w:marTop w:val="0"/>
              <w:marBottom w:val="0"/>
              <w:divBdr>
                <w:top w:val="none" w:sz="0" w:space="0" w:color="auto"/>
                <w:left w:val="none" w:sz="0" w:space="0" w:color="auto"/>
                <w:bottom w:val="none" w:sz="0" w:space="0" w:color="auto"/>
                <w:right w:val="none" w:sz="0" w:space="0" w:color="auto"/>
              </w:divBdr>
            </w:div>
            <w:div w:id="40811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5479">
      <w:bodyDiv w:val="1"/>
      <w:marLeft w:val="0"/>
      <w:marRight w:val="0"/>
      <w:marTop w:val="0"/>
      <w:marBottom w:val="0"/>
      <w:divBdr>
        <w:top w:val="none" w:sz="0" w:space="0" w:color="auto"/>
        <w:left w:val="none" w:sz="0" w:space="0" w:color="auto"/>
        <w:bottom w:val="none" w:sz="0" w:space="0" w:color="auto"/>
        <w:right w:val="none" w:sz="0" w:space="0" w:color="auto"/>
      </w:divBdr>
    </w:div>
    <w:div w:id="1749108712">
      <w:bodyDiv w:val="1"/>
      <w:marLeft w:val="0"/>
      <w:marRight w:val="0"/>
      <w:marTop w:val="0"/>
      <w:marBottom w:val="0"/>
      <w:divBdr>
        <w:top w:val="none" w:sz="0" w:space="0" w:color="auto"/>
        <w:left w:val="none" w:sz="0" w:space="0" w:color="auto"/>
        <w:bottom w:val="none" w:sz="0" w:space="0" w:color="auto"/>
        <w:right w:val="none" w:sz="0" w:space="0" w:color="auto"/>
      </w:divBdr>
    </w:div>
    <w:div w:id="1769426424">
      <w:bodyDiv w:val="1"/>
      <w:marLeft w:val="0"/>
      <w:marRight w:val="0"/>
      <w:marTop w:val="0"/>
      <w:marBottom w:val="0"/>
      <w:divBdr>
        <w:top w:val="none" w:sz="0" w:space="0" w:color="auto"/>
        <w:left w:val="none" w:sz="0" w:space="0" w:color="auto"/>
        <w:bottom w:val="none" w:sz="0" w:space="0" w:color="auto"/>
        <w:right w:val="none" w:sz="0" w:space="0" w:color="auto"/>
      </w:divBdr>
    </w:div>
    <w:div w:id="1844203717">
      <w:bodyDiv w:val="1"/>
      <w:marLeft w:val="0"/>
      <w:marRight w:val="0"/>
      <w:marTop w:val="0"/>
      <w:marBottom w:val="0"/>
      <w:divBdr>
        <w:top w:val="none" w:sz="0" w:space="0" w:color="auto"/>
        <w:left w:val="none" w:sz="0" w:space="0" w:color="auto"/>
        <w:bottom w:val="none" w:sz="0" w:space="0" w:color="auto"/>
        <w:right w:val="none" w:sz="0" w:space="0" w:color="auto"/>
      </w:divBdr>
      <w:divsChild>
        <w:div w:id="1766612485">
          <w:marLeft w:val="0"/>
          <w:marRight w:val="0"/>
          <w:marTop w:val="0"/>
          <w:marBottom w:val="0"/>
          <w:divBdr>
            <w:top w:val="none" w:sz="0" w:space="0" w:color="auto"/>
            <w:left w:val="none" w:sz="0" w:space="0" w:color="auto"/>
            <w:bottom w:val="none" w:sz="0" w:space="0" w:color="auto"/>
            <w:right w:val="none" w:sz="0" w:space="0" w:color="auto"/>
          </w:divBdr>
        </w:div>
        <w:div w:id="195242402">
          <w:marLeft w:val="0"/>
          <w:marRight w:val="0"/>
          <w:marTop w:val="0"/>
          <w:marBottom w:val="0"/>
          <w:divBdr>
            <w:top w:val="none" w:sz="0" w:space="0" w:color="auto"/>
            <w:left w:val="none" w:sz="0" w:space="0" w:color="auto"/>
            <w:bottom w:val="none" w:sz="0" w:space="0" w:color="auto"/>
            <w:right w:val="none" w:sz="0" w:space="0" w:color="auto"/>
          </w:divBdr>
          <w:divsChild>
            <w:div w:id="2973469">
              <w:marLeft w:val="0"/>
              <w:marRight w:val="0"/>
              <w:marTop w:val="0"/>
              <w:marBottom w:val="0"/>
              <w:divBdr>
                <w:top w:val="none" w:sz="0" w:space="0" w:color="auto"/>
                <w:left w:val="none" w:sz="0" w:space="0" w:color="auto"/>
                <w:bottom w:val="none" w:sz="0" w:space="0" w:color="auto"/>
                <w:right w:val="none" w:sz="0" w:space="0" w:color="auto"/>
              </w:divBdr>
            </w:div>
            <w:div w:id="1897428146">
              <w:marLeft w:val="0"/>
              <w:marRight w:val="0"/>
              <w:marTop w:val="0"/>
              <w:marBottom w:val="0"/>
              <w:divBdr>
                <w:top w:val="none" w:sz="0" w:space="0" w:color="auto"/>
                <w:left w:val="none" w:sz="0" w:space="0" w:color="auto"/>
                <w:bottom w:val="none" w:sz="0" w:space="0" w:color="auto"/>
                <w:right w:val="none" w:sz="0" w:space="0" w:color="auto"/>
              </w:divBdr>
            </w:div>
          </w:divsChild>
        </w:div>
        <w:div w:id="1844585605">
          <w:marLeft w:val="0"/>
          <w:marRight w:val="0"/>
          <w:marTop w:val="0"/>
          <w:marBottom w:val="0"/>
          <w:divBdr>
            <w:top w:val="none" w:sz="0" w:space="0" w:color="auto"/>
            <w:left w:val="none" w:sz="0" w:space="0" w:color="auto"/>
            <w:bottom w:val="none" w:sz="0" w:space="0" w:color="auto"/>
            <w:right w:val="none" w:sz="0" w:space="0" w:color="auto"/>
          </w:divBdr>
          <w:divsChild>
            <w:div w:id="1017848979">
              <w:marLeft w:val="0"/>
              <w:marRight w:val="0"/>
              <w:marTop w:val="0"/>
              <w:marBottom w:val="0"/>
              <w:divBdr>
                <w:top w:val="none" w:sz="0" w:space="0" w:color="auto"/>
                <w:left w:val="none" w:sz="0" w:space="0" w:color="auto"/>
                <w:bottom w:val="none" w:sz="0" w:space="0" w:color="auto"/>
                <w:right w:val="none" w:sz="0" w:space="0" w:color="auto"/>
              </w:divBdr>
            </w:div>
            <w:div w:id="928195389">
              <w:marLeft w:val="0"/>
              <w:marRight w:val="0"/>
              <w:marTop w:val="0"/>
              <w:marBottom w:val="0"/>
              <w:divBdr>
                <w:top w:val="none" w:sz="0" w:space="0" w:color="auto"/>
                <w:left w:val="none" w:sz="0" w:space="0" w:color="auto"/>
                <w:bottom w:val="none" w:sz="0" w:space="0" w:color="auto"/>
                <w:right w:val="none" w:sz="0" w:space="0" w:color="auto"/>
              </w:divBdr>
            </w:div>
          </w:divsChild>
        </w:div>
        <w:div w:id="323556299">
          <w:marLeft w:val="0"/>
          <w:marRight w:val="0"/>
          <w:marTop w:val="0"/>
          <w:marBottom w:val="0"/>
          <w:divBdr>
            <w:top w:val="none" w:sz="0" w:space="0" w:color="auto"/>
            <w:left w:val="none" w:sz="0" w:space="0" w:color="auto"/>
            <w:bottom w:val="none" w:sz="0" w:space="0" w:color="auto"/>
            <w:right w:val="none" w:sz="0" w:space="0" w:color="auto"/>
          </w:divBdr>
          <w:divsChild>
            <w:div w:id="453712440">
              <w:marLeft w:val="0"/>
              <w:marRight w:val="0"/>
              <w:marTop w:val="0"/>
              <w:marBottom w:val="0"/>
              <w:divBdr>
                <w:top w:val="none" w:sz="0" w:space="0" w:color="auto"/>
                <w:left w:val="none" w:sz="0" w:space="0" w:color="auto"/>
                <w:bottom w:val="none" w:sz="0" w:space="0" w:color="auto"/>
                <w:right w:val="none" w:sz="0" w:space="0" w:color="auto"/>
              </w:divBdr>
            </w:div>
            <w:div w:id="182027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61046">
      <w:bodyDiv w:val="1"/>
      <w:marLeft w:val="0"/>
      <w:marRight w:val="0"/>
      <w:marTop w:val="0"/>
      <w:marBottom w:val="0"/>
      <w:divBdr>
        <w:top w:val="none" w:sz="0" w:space="0" w:color="auto"/>
        <w:left w:val="none" w:sz="0" w:space="0" w:color="auto"/>
        <w:bottom w:val="none" w:sz="0" w:space="0" w:color="auto"/>
        <w:right w:val="none" w:sz="0" w:space="0" w:color="auto"/>
      </w:divBdr>
    </w:div>
    <w:div w:id="2077700208">
      <w:bodyDiv w:val="1"/>
      <w:marLeft w:val="0"/>
      <w:marRight w:val="0"/>
      <w:marTop w:val="0"/>
      <w:marBottom w:val="0"/>
      <w:divBdr>
        <w:top w:val="none" w:sz="0" w:space="0" w:color="auto"/>
        <w:left w:val="none" w:sz="0" w:space="0" w:color="auto"/>
        <w:bottom w:val="none" w:sz="0" w:space="0" w:color="auto"/>
        <w:right w:val="none" w:sz="0" w:space="0" w:color="auto"/>
      </w:divBdr>
    </w:div>
    <w:div w:id="2082560168">
      <w:bodyDiv w:val="1"/>
      <w:marLeft w:val="0"/>
      <w:marRight w:val="0"/>
      <w:marTop w:val="0"/>
      <w:marBottom w:val="0"/>
      <w:divBdr>
        <w:top w:val="none" w:sz="0" w:space="0" w:color="auto"/>
        <w:left w:val="none" w:sz="0" w:space="0" w:color="auto"/>
        <w:bottom w:val="none" w:sz="0" w:space="0" w:color="auto"/>
        <w:right w:val="none" w:sz="0" w:space="0" w:color="auto"/>
      </w:divBdr>
    </w:div>
    <w:div w:id="2104835175">
      <w:bodyDiv w:val="1"/>
      <w:marLeft w:val="0"/>
      <w:marRight w:val="0"/>
      <w:marTop w:val="0"/>
      <w:marBottom w:val="0"/>
      <w:divBdr>
        <w:top w:val="none" w:sz="0" w:space="0" w:color="auto"/>
        <w:left w:val="none" w:sz="0" w:space="0" w:color="auto"/>
        <w:bottom w:val="none" w:sz="0" w:space="0" w:color="auto"/>
        <w:right w:val="none" w:sz="0" w:space="0" w:color="auto"/>
      </w:divBdr>
    </w:div>
    <w:div w:id="2120831622">
      <w:bodyDiv w:val="1"/>
      <w:marLeft w:val="0"/>
      <w:marRight w:val="0"/>
      <w:marTop w:val="0"/>
      <w:marBottom w:val="0"/>
      <w:divBdr>
        <w:top w:val="none" w:sz="0" w:space="0" w:color="auto"/>
        <w:left w:val="none" w:sz="0" w:space="0" w:color="auto"/>
        <w:bottom w:val="none" w:sz="0" w:space="0" w:color="auto"/>
        <w:right w:val="none" w:sz="0" w:space="0" w:color="auto"/>
      </w:divBdr>
    </w:div>
    <w:div w:id="2123111228">
      <w:bodyDiv w:val="1"/>
      <w:marLeft w:val="0"/>
      <w:marRight w:val="0"/>
      <w:marTop w:val="0"/>
      <w:marBottom w:val="0"/>
      <w:divBdr>
        <w:top w:val="none" w:sz="0" w:space="0" w:color="auto"/>
        <w:left w:val="none" w:sz="0" w:space="0" w:color="auto"/>
        <w:bottom w:val="none" w:sz="0" w:space="0" w:color="auto"/>
        <w:right w:val="none" w:sz="0" w:space="0" w:color="auto"/>
      </w:divBdr>
      <w:divsChild>
        <w:div w:id="1151140521">
          <w:marLeft w:val="0"/>
          <w:marRight w:val="0"/>
          <w:marTop w:val="0"/>
          <w:marBottom w:val="0"/>
          <w:divBdr>
            <w:top w:val="none" w:sz="0" w:space="0" w:color="auto"/>
            <w:left w:val="none" w:sz="0" w:space="0" w:color="auto"/>
            <w:bottom w:val="none" w:sz="0" w:space="0" w:color="auto"/>
            <w:right w:val="none" w:sz="0" w:space="0" w:color="auto"/>
          </w:divBdr>
        </w:div>
      </w:divsChild>
    </w:div>
    <w:div w:id="2123528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3390/geosciences12110410"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doi.org/10.4236/aar.2020.92003"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80/10406026.2020.1847873" TargetMode="External"/><Relationship Id="rId5" Type="http://schemas.openxmlformats.org/officeDocument/2006/relationships/webSettings" Target="webSettings.xml"/><Relationship Id="rId15" Type="http://schemas.openxmlformats.org/officeDocument/2006/relationships/hyperlink" Target="https://doi.org/10.3389/fmars.2024.1488577" TargetMode="External"/><Relationship Id="rId23" Type="http://schemas.openxmlformats.org/officeDocument/2006/relationships/theme" Target="theme/theme1.xml"/><Relationship Id="rId10" Type="http://schemas.openxmlformats.org/officeDocument/2006/relationships/hyperlink" Target="https://doi.org/10.5194/esurf-11-1145-2023"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doi.org/10.1080/19475705.2024.2346150" TargetMode="External"/><Relationship Id="rId14" Type="http://schemas.openxmlformats.org/officeDocument/2006/relationships/hyperlink" Target="https://climateknowledgeportal.worldbank.org/country/nigeria"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827B23-C29E-426E-BBFF-6110DD29D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14</Pages>
  <Words>6695</Words>
  <Characters>38511</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PC New 16</cp:lastModifiedBy>
  <cp:revision>107</cp:revision>
  <cp:lastPrinted>2023-12-04T15:29:00Z</cp:lastPrinted>
  <dcterms:created xsi:type="dcterms:W3CDTF">2025-06-23T16:37:00Z</dcterms:created>
  <dcterms:modified xsi:type="dcterms:W3CDTF">2025-08-02T12:28:00Z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7917ae75-0d63-4c55-b3d4-ecd7719648f2</vt:lpwstr>
  </property>
</Properties>
</file>