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B6F0"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Investigating Strategies for Managing Supply Chain Risks and Their Impact on Business Performance: A Quantitative Analysis</w:t>
      </w:r>
    </w:p>
    <w:p w14:paraId="40740B10" w14:textId="77777777" w:rsidR="00BA08C6" w:rsidRDefault="00BA08C6">
      <w:pPr>
        <w:spacing w:before="180" w:after="180" w:line="240" w:lineRule="auto"/>
        <w:jc w:val="both"/>
        <w:rPr>
          <w:rFonts w:ascii="Times New Roman" w:eastAsia="Times New Roman" w:hAnsi="Times New Roman" w:cs="Times New Roman"/>
          <w:b/>
          <w:color w:val="36363D"/>
        </w:rPr>
      </w:pPr>
    </w:p>
    <w:p w14:paraId="228A043C" w14:textId="42548B62"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Abstract</w:t>
      </w:r>
    </w:p>
    <w:p w14:paraId="23D1439F" w14:textId="1E342EDC" w:rsidR="009D055F" w:rsidRPr="00751BE7" w:rsidRDefault="007C5A6E" w:rsidP="00751BE7">
      <w:pPr>
        <w:jc w:val="both"/>
      </w:pPr>
      <w:r w:rsidRPr="00751BE7">
        <w:rPr>
          <w:rFonts w:ascii="Times New Roman" w:eastAsia="Times New Roman" w:hAnsi="Times New Roman" w:cs="Times New Roman"/>
          <w:color w:val="36363D"/>
          <w:highlight w:val="yellow"/>
        </w:rPr>
        <w:t>The African business environment presents unique opportunities to study supply chain resilience due to its diverse economic structures, varying levels of technological adoption, and distinct risk profiles that differ significantly from developed markets</w:t>
      </w:r>
      <w:r w:rsidRPr="00751BE7">
        <w:rPr>
          <w:highlight w:val="yellow"/>
        </w:rPr>
        <w:t xml:space="preserve">. </w:t>
      </w:r>
      <w:r w:rsidRPr="00751BE7">
        <w:rPr>
          <w:rFonts w:ascii="Times New Roman" w:eastAsia="Times New Roman" w:hAnsi="Times New Roman" w:cs="Times New Roman"/>
          <w:color w:val="36363D"/>
          <w:highlight w:val="yellow"/>
        </w:rPr>
        <w:t>Recent global disruptions, including the COVID-19 pandemic, trade tensions, and climate-related events, have highlighted the critical importance of proactive risk management strategies in maintaining business continuity and competitive advantage</w:t>
      </w:r>
      <w:r>
        <w:t xml:space="preserve">. </w:t>
      </w:r>
      <w:r w:rsidR="00C45426">
        <w:rPr>
          <w:rFonts w:ascii="Times New Roman" w:eastAsia="Times New Roman" w:hAnsi="Times New Roman" w:cs="Times New Roman"/>
          <w:color w:val="36363D"/>
        </w:rPr>
        <w:t xml:space="preserve">This study employs advanced econometric </w:t>
      </w:r>
      <w:r w:rsidR="00290C63" w:rsidRPr="00751BE7">
        <w:rPr>
          <w:rFonts w:ascii="Times New Roman" w:eastAsia="Times New Roman" w:hAnsi="Times New Roman" w:cs="Times New Roman"/>
          <w:color w:val="36363D"/>
          <w:highlight w:val="yellow"/>
        </w:rPr>
        <w:t>modelling</w:t>
      </w:r>
      <w:r w:rsidR="00290C63">
        <w:rPr>
          <w:rFonts w:ascii="Times New Roman" w:eastAsia="Times New Roman" w:hAnsi="Times New Roman" w:cs="Times New Roman"/>
          <w:color w:val="36363D"/>
        </w:rPr>
        <w:t xml:space="preserve"> </w:t>
      </w:r>
      <w:r w:rsidR="00C45426">
        <w:rPr>
          <w:rFonts w:ascii="Times New Roman" w:eastAsia="Times New Roman" w:hAnsi="Times New Roman" w:cs="Times New Roman"/>
          <w:color w:val="36363D"/>
        </w:rPr>
        <w:t xml:space="preserve">to quantify the relationship between supply chain risk management (SCRM) strategies and business performance across 847 </w:t>
      </w:r>
      <w:proofErr w:type="spellStart"/>
      <w:r w:rsidR="00290C63" w:rsidRPr="00751BE7">
        <w:rPr>
          <w:rFonts w:ascii="Times New Roman" w:eastAsia="Times New Roman" w:hAnsi="Times New Roman" w:cs="Times New Roman"/>
          <w:color w:val="36363D"/>
          <w:highlight w:val="yellow"/>
        </w:rPr>
        <w:t>organisations</w:t>
      </w:r>
      <w:proofErr w:type="spellEnd"/>
      <w:r w:rsidR="00290C63">
        <w:rPr>
          <w:rFonts w:ascii="Times New Roman" w:eastAsia="Times New Roman" w:hAnsi="Times New Roman" w:cs="Times New Roman"/>
          <w:color w:val="36363D"/>
        </w:rPr>
        <w:t xml:space="preserve"> </w:t>
      </w:r>
      <w:r w:rsidR="00C45426">
        <w:rPr>
          <w:rFonts w:ascii="Times New Roman" w:eastAsia="Times New Roman" w:hAnsi="Times New Roman" w:cs="Times New Roman"/>
          <w:color w:val="36363D"/>
        </w:rPr>
        <w:t>in 23 African countries over a three-year period (2022-2024). Using fixed effects panel regression, instrumental variables, and machine learning techniques, we establish causal relationships between specific SCRM practices and performance metrics. Results demonstrate that a one standard deviation increase in SCRM intensity correlates with 23.4% improvement in ROA (β=2.34, p&lt;0.001), 47.8% reduction in supply disruption frequency (β=-0.478, p&lt;0.001), and 18.7% increase in customer satisfaction scores (β=1.87, p&lt;0.01). The quantitative framework identifies optimal SCRM investment thresholds and provides precise estimates of risk mitigation returns, with technology-enabled SCRM strategies showing 2.3× higher performance impact than traditional approaches.</w:t>
      </w:r>
      <w:r w:rsidR="00DA69BF">
        <w:rPr>
          <w:rFonts w:ascii="Times New Roman" w:eastAsia="Times New Roman" w:hAnsi="Times New Roman" w:cs="Times New Roman"/>
          <w:color w:val="36363D"/>
        </w:rPr>
        <w:t xml:space="preserve"> </w:t>
      </w:r>
      <w:r w:rsidR="00DA69BF" w:rsidRPr="00751BE7">
        <w:rPr>
          <w:rFonts w:ascii="Times New Roman" w:eastAsia="Times New Roman" w:hAnsi="Times New Roman" w:cs="Times New Roman"/>
          <w:color w:val="36363D"/>
          <w:highlight w:val="yellow"/>
        </w:rPr>
        <w:t xml:space="preserve">The findings demonstrate that strategic investments in supply chain risk management, particularly when supported by appropriate technology adoption and infrastructure development, can generate substantial returns for </w:t>
      </w:r>
      <w:proofErr w:type="spellStart"/>
      <w:r w:rsidR="00DA69BF" w:rsidRPr="00751BE7">
        <w:rPr>
          <w:rFonts w:ascii="Times New Roman" w:eastAsia="Times New Roman" w:hAnsi="Times New Roman" w:cs="Times New Roman"/>
          <w:color w:val="36363D"/>
          <w:highlight w:val="yellow"/>
        </w:rPr>
        <w:t>organisations</w:t>
      </w:r>
      <w:proofErr w:type="spellEnd"/>
      <w:r w:rsidR="00DA69BF" w:rsidRPr="00751BE7">
        <w:rPr>
          <w:rFonts w:ascii="Times New Roman" w:eastAsia="Times New Roman" w:hAnsi="Times New Roman" w:cs="Times New Roman"/>
          <w:color w:val="36363D"/>
          <w:highlight w:val="yellow"/>
        </w:rPr>
        <w:t>, stakeholders, and societies across African markets.</w:t>
      </w:r>
    </w:p>
    <w:p w14:paraId="2E1BEBBA" w14:textId="526AA78F" w:rsidR="009D055F" w:rsidRPr="00751BE7" w:rsidRDefault="00C45426">
      <w:pPr>
        <w:spacing w:before="180" w:after="180" w:line="240" w:lineRule="auto"/>
        <w:jc w:val="both"/>
        <w:rPr>
          <w:rFonts w:ascii="Times New Roman" w:eastAsia="Times New Roman" w:hAnsi="Times New Roman" w:cs="Times New Roman"/>
          <w:i/>
          <w:iCs/>
          <w:color w:val="36363D"/>
        </w:rPr>
      </w:pPr>
      <w:r w:rsidRPr="00751BE7">
        <w:rPr>
          <w:rFonts w:ascii="Times New Roman" w:eastAsia="Times New Roman" w:hAnsi="Times New Roman" w:cs="Times New Roman"/>
          <w:b/>
          <w:bCs/>
          <w:color w:val="36363D"/>
        </w:rPr>
        <w:t>Keywords:</w:t>
      </w:r>
      <w:r>
        <w:rPr>
          <w:rFonts w:ascii="Times New Roman" w:eastAsia="Times New Roman" w:hAnsi="Times New Roman" w:cs="Times New Roman"/>
          <w:color w:val="36363D"/>
        </w:rPr>
        <w:t xml:space="preserve"> </w:t>
      </w:r>
      <w:r w:rsidRPr="00751BE7">
        <w:rPr>
          <w:rFonts w:ascii="Times New Roman" w:eastAsia="Times New Roman" w:hAnsi="Times New Roman" w:cs="Times New Roman"/>
          <w:i/>
          <w:iCs/>
          <w:color w:val="36363D"/>
        </w:rPr>
        <w:t xml:space="preserve">Supply chain risk management, econometric </w:t>
      </w:r>
      <w:r w:rsidR="00290C63" w:rsidRPr="00751BE7">
        <w:rPr>
          <w:rFonts w:ascii="Times New Roman" w:eastAsia="Times New Roman" w:hAnsi="Times New Roman" w:cs="Times New Roman"/>
          <w:i/>
          <w:iCs/>
          <w:color w:val="36363D"/>
          <w:highlight w:val="yellow"/>
        </w:rPr>
        <w:t>modelling</w:t>
      </w:r>
      <w:r w:rsidRPr="00751BE7">
        <w:rPr>
          <w:rFonts w:ascii="Times New Roman" w:eastAsia="Times New Roman" w:hAnsi="Times New Roman" w:cs="Times New Roman"/>
          <w:i/>
          <w:iCs/>
          <w:color w:val="36363D"/>
        </w:rPr>
        <w:t xml:space="preserve">, quantitative analysis, panel regression, causal inference, performance </w:t>
      </w:r>
      <w:proofErr w:type="spellStart"/>
      <w:r w:rsidR="00290C63" w:rsidRPr="00751BE7">
        <w:rPr>
          <w:rFonts w:ascii="Times New Roman" w:eastAsia="Times New Roman" w:hAnsi="Times New Roman" w:cs="Times New Roman"/>
          <w:i/>
          <w:iCs/>
          <w:color w:val="36363D"/>
          <w:highlight w:val="yellow"/>
        </w:rPr>
        <w:t>optimisation</w:t>
      </w:r>
      <w:proofErr w:type="spellEnd"/>
    </w:p>
    <w:p w14:paraId="002F048F" w14:textId="77777777" w:rsidR="009D055F" w:rsidRDefault="00C45426">
      <w:pPr>
        <w:numPr>
          <w:ilvl w:val="0"/>
          <w:numId w:val="1"/>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Introduction</w:t>
      </w:r>
    </w:p>
    <w:p w14:paraId="26CE8817"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1.1 Background and Motivation</w:t>
      </w:r>
    </w:p>
    <w:p w14:paraId="5C479F4A" w14:textId="71D84F96" w:rsidR="009D055F" w:rsidRDefault="007B3EA8" w:rsidP="007B3EA8">
      <w:pPr>
        <w:spacing w:before="180" w:after="180" w:line="240" w:lineRule="auto"/>
        <w:jc w:val="both"/>
        <w:rPr>
          <w:rFonts w:ascii="Times New Roman" w:eastAsia="Times New Roman" w:hAnsi="Times New Roman" w:cs="Times New Roman"/>
          <w:color w:val="36363D"/>
        </w:rPr>
      </w:pPr>
      <w:r w:rsidRPr="00751BE7">
        <w:rPr>
          <w:rFonts w:ascii="Times New Roman" w:eastAsia="Times New Roman" w:hAnsi="Times New Roman" w:cs="Times New Roman"/>
          <w:color w:val="36363D"/>
          <w:highlight w:val="yellow"/>
        </w:rPr>
        <w:t>Risk can be termed as vulnerability, uncertainty, disruption, disaster, peril, or hazard. A lack of foresight about a likely disruption in a supply chain and its causes makes a supply chain vulnerable, and the supply chain management leaders less effective. Uncertainty and risk have been used interchangeably in supply chain management. Uncertainty has more than one possibility and, therefore, is difficult to calculate (</w:t>
      </w:r>
      <w:proofErr w:type="spellStart"/>
      <w:r w:rsidR="00E618DD" w:rsidRPr="00751BE7">
        <w:rPr>
          <w:rFonts w:ascii="Times New Roman" w:eastAsia="Times New Roman" w:hAnsi="Times New Roman" w:cs="Times New Roman"/>
          <w:color w:val="36363D"/>
          <w:highlight w:val="yellow"/>
        </w:rPr>
        <w:t>Gurtu</w:t>
      </w:r>
      <w:proofErr w:type="spellEnd"/>
      <w:r w:rsidR="00E618DD" w:rsidRPr="00751BE7">
        <w:rPr>
          <w:rFonts w:ascii="Times New Roman" w:eastAsia="Times New Roman" w:hAnsi="Times New Roman" w:cs="Times New Roman"/>
          <w:color w:val="36363D"/>
          <w:highlight w:val="yellow"/>
        </w:rPr>
        <w:t xml:space="preserve"> &amp; </w:t>
      </w:r>
      <w:proofErr w:type="spellStart"/>
      <w:r w:rsidR="00E618DD" w:rsidRPr="00751BE7">
        <w:rPr>
          <w:rFonts w:ascii="Times New Roman" w:eastAsia="Times New Roman" w:hAnsi="Times New Roman" w:cs="Times New Roman"/>
          <w:color w:val="36363D"/>
          <w:highlight w:val="yellow"/>
        </w:rPr>
        <w:t>Johny</w:t>
      </w:r>
      <w:proofErr w:type="spellEnd"/>
      <w:r w:rsidR="00E618DD" w:rsidRPr="00751BE7">
        <w:rPr>
          <w:rFonts w:ascii="Times New Roman" w:eastAsia="Times New Roman" w:hAnsi="Times New Roman" w:cs="Times New Roman"/>
          <w:color w:val="36363D"/>
          <w:highlight w:val="yellow"/>
        </w:rPr>
        <w:t>, 2021</w:t>
      </w:r>
      <w:r w:rsidR="00893565">
        <w:rPr>
          <w:rFonts w:ascii="Times New Roman" w:eastAsia="Times New Roman" w:hAnsi="Times New Roman" w:cs="Times New Roman"/>
          <w:color w:val="36363D"/>
          <w:highlight w:val="yellow"/>
        </w:rPr>
        <w:t xml:space="preserve">; </w:t>
      </w:r>
      <w:proofErr w:type="spellStart"/>
      <w:r w:rsidR="00893565" w:rsidRPr="00604101">
        <w:rPr>
          <w:sz w:val="20"/>
          <w:szCs w:val="20"/>
          <w:highlight w:val="yellow"/>
        </w:rPr>
        <w:t>Siju</w:t>
      </w:r>
      <w:proofErr w:type="spellEnd"/>
      <w:r w:rsidR="00893565">
        <w:rPr>
          <w:sz w:val="20"/>
          <w:szCs w:val="20"/>
          <w:highlight w:val="yellow"/>
        </w:rPr>
        <w:t xml:space="preserve"> et al., 2024</w:t>
      </w:r>
      <w:r w:rsidRPr="00751BE7">
        <w:rPr>
          <w:rFonts w:ascii="Times New Roman" w:eastAsia="Times New Roman" w:hAnsi="Times New Roman" w:cs="Times New Roman"/>
          <w:color w:val="36363D"/>
          <w:highlight w:val="yellow"/>
        </w:rPr>
        <w:t>).</w:t>
      </w:r>
      <w:r>
        <w:rPr>
          <w:rFonts w:ascii="Times New Roman" w:eastAsia="Times New Roman" w:hAnsi="Times New Roman" w:cs="Times New Roman"/>
          <w:color w:val="36363D"/>
        </w:rPr>
        <w:t xml:space="preserve"> </w:t>
      </w:r>
      <w:r w:rsidR="00C45426">
        <w:rPr>
          <w:rFonts w:ascii="Times New Roman" w:eastAsia="Times New Roman" w:hAnsi="Times New Roman" w:cs="Times New Roman"/>
          <w:color w:val="36363D"/>
        </w:rPr>
        <w:t xml:space="preserve">The quantification of supply chain risk management impacts represents a critical gap in operations research, with contemporary supply chain environments becoming increasingly complex and volatile (Christopher &amp; Peck, 2024). </w:t>
      </w:r>
      <w:r w:rsidR="0045628D" w:rsidRPr="00751BE7">
        <w:rPr>
          <w:rFonts w:ascii="Times New Roman" w:eastAsia="Times New Roman" w:hAnsi="Times New Roman" w:cs="Times New Roman"/>
          <w:color w:val="36363D"/>
          <w:highlight w:val="yellow"/>
        </w:rPr>
        <w:t xml:space="preserve">Today, </w:t>
      </w:r>
      <w:r w:rsidR="0045628D" w:rsidRPr="0045628D">
        <w:rPr>
          <w:rFonts w:ascii="Times New Roman" w:eastAsia="Times New Roman" w:hAnsi="Times New Roman" w:cs="Times New Roman"/>
          <w:color w:val="36363D"/>
          <w:highlight w:val="yellow"/>
        </w:rPr>
        <w:t xml:space="preserve">supply chain management </w:t>
      </w:r>
      <w:r w:rsidR="0045628D" w:rsidRPr="00751BE7">
        <w:rPr>
          <w:rFonts w:ascii="Times New Roman" w:eastAsia="Times New Roman" w:hAnsi="Times New Roman" w:cs="Times New Roman"/>
          <w:color w:val="36363D"/>
          <w:highlight w:val="yellow"/>
        </w:rPr>
        <w:t>is considered a critical </w:t>
      </w:r>
      <w:hyperlink r:id="rId8" w:tooltip="Learn more about business strategy from ScienceDirect's AI-generated Topic Pages" w:history="1">
        <w:r w:rsidR="0045628D" w:rsidRPr="00751BE7">
          <w:rPr>
            <w:rStyle w:val="Strong"/>
            <w:b w:val="0"/>
            <w:bCs w:val="0"/>
            <w:highlight w:val="yellow"/>
          </w:rPr>
          <w:t>business strategy</w:t>
        </w:r>
      </w:hyperlink>
      <w:r w:rsidR="0045628D" w:rsidRPr="00751BE7">
        <w:rPr>
          <w:highlight w:val="yellow"/>
        </w:rPr>
        <w:t> </w:t>
      </w:r>
      <w:r w:rsidR="0045628D" w:rsidRPr="00751BE7">
        <w:rPr>
          <w:rFonts w:ascii="Times New Roman" w:eastAsia="Times New Roman" w:hAnsi="Times New Roman" w:cs="Times New Roman"/>
          <w:color w:val="36363D"/>
          <w:highlight w:val="yellow"/>
        </w:rPr>
        <w:t xml:space="preserve">for </w:t>
      </w:r>
      <w:proofErr w:type="spellStart"/>
      <w:r w:rsidR="0045628D" w:rsidRPr="00751BE7">
        <w:rPr>
          <w:rFonts w:ascii="Times New Roman" w:eastAsia="Times New Roman" w:hAnsi="Times New Roman" w:cs="Times New Roman"/>
          <w:color w:val="36363D"/>
          <w:highlight w:val="yellow"/>
        </w:rPr>
        <w:t>organisations</w:t>
      </w:r>
      <w:proofErr w:type="spellEnd"/>
      <w:r w:rsidR="0045628D" w:rsidRPr="00751BE7">
        <w:rPr>
          <w:rFonts w:ascii="Times New Roman" w:eastAsia="Times New Roman" w:hAnsi="Times New Roman" w:cs="Times New Roman"/>
          <w:color w:val="36363D"/>
          <w:highlight w:val="yellow"/>
        </w:rPr>
        <w:t xml:space="preserve"> to remain competitive in the global marketplace</w:t>
      </w:r>
      <w:r w:rsidR="0045628D">
        <w:rPr>
          <w:rFonts w:ascii="Times New Roman" w:eastAsia="Times New Roman" w:hAnsi="Times New Roman" w:cs="Times New Roman"/>
          <w:color w:val="36363D"/>
          <w:highlight w:val="yellow"/>
        </w:rPr>
        <w:t xml:space="preserve"> </w:t>
      </w:r>
      <w:r w:rsidR="0045628D" w:rsidRPr="00CF2053">
        <w:rPr>
          <w:rFonts w:ascii="Times New Roman" w:eastAsia="Times New Roman" w:hAnsi="Times New Roman" w:cs="Times New Roman"/>
          <w:color w:val="36363D"/>
          <w:highlight w:val="yellow"/>
        </w:rPr>
        <w:t>(</w:t>
      </w:r>
      <w:proofErr w:type="spellStart"/>
      <w:r w:rsidR="00B036DD" w:rsidRPr="00751BE7">
        <w:rPr>
          <w:sz w:val="20"/>
          <w:szCs w:val="20"/>
          <w:highlight w:val="yellow"/>
          <w:lang w:val="en-GB"/>
        </w:rPr>
        <w:t>Shishehgarkhaneh</w:t>
      </w:r>
      <w:proofErr w:type="spellEnd"/>
      <w:r w:rsidR="00B036DD" w:rsidRPr="00751BE7">
        <w:rPr>
          <w:sz w:val="20"/>
          <w:szCs w:val="20"/>
          <w:highlight w:val="yellow"/>
          <w:lang w:val="en-GB"/>
        </w:rPr>
        <w:t xml:space="preserve"> et al., 2024</w:t>
      </w:r>
      <w:r w:rsidR="0045628D" w:rsidRPr="00CF2053">
        <w:rPr>
          <w:rFonts w:ascii="Times New Roman" w:eastAsia="Times New Roman" w:hAnsi="Times New Roman" w:cs="Times New Roman"/>
          <w:color w:val="36363D"/>
          <w:highlight w:val="yellow"/>
        </w:rPr>
        <w:t>)</w:t>
      </w:r>
      <w:r w:rsidR="0045628D" w:rsidRPr="00751BE7">
        <w:rPr>
          <w:rFonts w:ascii="Times New Roman" w:eastAsia="Times New Roman" w:hAnsi="Times New Roman" w:cs="Times New Roman"/>
          <w:color w:val="36363D"/>
          <w:highlight w:val="yellow"/>
        </w:rPr>
        <w:t>.</w:t>
      </w:r>
      <w:r w:rsidR="0045628D" w:rsidRPr="0045628D">
        <w:rPr>
          <w:rFonts w:ascii="Times New Roman" w:eastAsia="Times New Roman" w:hAnsi="Times New Roman" w:cs="Times New Roman"/>
          <w:color w:val="36363D"/>
        </w:rPr>
        <w:t> </w:t>
      </w:r>
      <w:r w:rsidR="00C45426">
        <w:rPr>
          <w:rFonts w:ascii="Times New Roman" w:eastAsia="Times New Roman" w:hAnsi="Times New Roman" w:cs="Times New Roman"/>
          <w:color w:val="36363D"/>
        </w:rPr>
        <w:t xml:space="preserve">Traditional approaches to supply chain </w:t>
      </w:r>
      <w:r w:rsidR="00C45426">
        <w:rPr>
          <w:rFonts w:ascii="Times New Roman" w:eastAsia="Times New Roman" w:hAnsi="Times New Roman" w:cs="Times New Roman"/>
          <w:color w:val="36363D"/>
        </w:rPr>
        <w:lastRenderedPageBreak/>
        <w:t>management often lack the sophistication needed to address modern risk landscapes, particularly in emerging markets where infrastructure limitations and regulatory uncertainties compound operational challenges (</w:t>
      </w:r>
      <w:proofErr w:type="spellStart"/>
      <w:r w:rsidR="007F0EFC" w:rsidRPr="007F0EFC">
        <w:rPr>
          <w:rFonts w:ascii="Times New Roman" w:eastAsia="Times New Roman" w:hAnsi="Times New Roman" w:cs="Times New Roman"/>
          <w:color w:val="36363D"/>
        </w:rPr>
        <w:t>Emrouznejad</w:t>
      </w:r>
      <w:proofErr w:type="spellEnd"/>
      <w:r w:rsidR="007F0EFC">
        <w:rPr>
          <w:rFonts w:ascii="Times New Roman" w:eastAsia="Times New Roman" w:hAnsi="Times New Roman" w:cs="Times New Roman"/>
          <w:color w:val="36363D"/>
        </w:rPr>
        <w:t xml:space="preserve">, </w:t>
      </w:r>
      <w:r w:rsidR="007F0EFC" w:rsidRPr="007F0EFC">
        <w:rPr>
          <w:rFonts w:ascii="Times New Roman" w:eastAsia="Times New Roman" w:hAnsi="Times New Roman" w:cs="Times New Roman"/>
          <w:color w:val="36363D"/>
        </w:rPr>
        <w:t>Abbasi</w:t>
      </w:r>
      <w:r w:rsidR="00C45426">
        <w:rPr>
          <w:rFonts w:ascii="Times New Roman" w:eastAsia="Times New Roman" w:hAnsi="Times New Roman" w:cs="Times New Roman"/>
          <w:color w:val="36363D"/>
        </w:rPr>
        <w:t xml:space="preserve"> &amp; </w:t>
      </w:r>
      <w:proofErr w:type="spellStart"/>
      <w:r w:rsidR="007F0EFC" w:rsidRPr="007F0EFC">
        <w:rPr>
          <w:rFonts w:ascii="Times New Roman" w:eastAsia="Times New Roman" w:hAnsi="Times New Roman" w:cs="Times New Roman"/>
          <w:color w:val="36363D"/>
        </w:rPr>
        <w:t>Sıcakyüz</w:t>
      </w:r>
      <w:proofErr w:type="spellEnd"/>
      <w:r w:rsidR="00C45426">
        <w:rPr>
          <w:rFonts w:ascii="Times New Roman" w:eastAsia="Times New Roman" w:hAnsi="Times New Roman" w:cs="Times New Roman"/>
          <w:color w:val="36363D"/>
        </w:rPr>
        <w:t>, 2023). The African business environment presents unique opportunities to study supply chain resilience due to its diverse economic structures, varying levels of technological adoption, and distinct risk profiles that differ significantly from developed markets (</w:t>
      </w:r>
      <w:proofErr w:type="spellStart"/>
      <w:r w:rsidR="007F0EFC" w:rsidRPr="007F0EFC">
        <w:rPr>
          <w:rFonts w:ascii="Times New Roman" w:eastAsia="Times New Roman" w:hAnsi="Times New Roman" w:cs="Times New Roman"/>
          <w:color w:val="36363D"/>
        </w:rPr>
        <w:t>Ogah</w:t>
      </w:r>
      <w:proofErr w:type="spellEnd"/>
      <w:r w:rsidR="00C45426">
        <w:rPr>
          <w:rFonts w:ascii="Times New Roman" w:eastAsia="Times New Roman" w:hAnsi="Times New Roman" w:cs="Times New Roman"/>
          <w:color w:val="36363D"/>
        </w:rPr>
        <w:t xml:space="preserve"> &amp; </w:t>
      </w:r>
      <w:r w:rsidR="007F0EFC" w:rsidRPr="007F0EFC">
        <w:rPr>
          <w:rFonts w:ascii="Times New Roman" w:eastAsia="Times New Roman" w:hAnsi="Times New Roman" w:cs="Times New Roman"/>
          <w:color w:val="36363D"/>
        </w:rPr>
        <w:t>Asiegbu</w:t>
      </w:r>
      <w:r w:rsidR="00C45426">
        <w:rPr>
          <w:rFonts w:ascii="Times New Roman" w:eastAsia="Times New Roman" w:hAnsi="Times New Roman" w:cs="Times New Roman"/>
          <w:color w:val="36363D"/>
        </w:rPr>
        <w:t>, 202</w:t>
      </w:r>
      <w:r w:rsidR="007F0EFC">
        <w:rPr>
          <w:rFonts w:ascii="Times New Roman" w:eastAsia="Times New Roman" w:hAnsi="Times New Roman" w:cs="Times New Roman"/>
          <w:color w:val="36363D"/>
        </w:rPr>
        <w:t>2</w:t>
      </w:r>
      <w:r w:rsidR="00C45426">
        <w:rPr>
          <w:rFonts w:ascii="Times New Roman" w:eastAsia="Times New Roman" w:hAnsi="Times New Roman" w:cs="Times New Roman"/>
          <w:color w:val="36363D"/>
        </w:rPr>
        <w:t>).</w:t>
      </w:r>
    </w:p>
    <w:p w14:paraId="42B6C64E" w14:textId="28F30619"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global disruptions, including the COVID-19 pandemic, trade tensions, and climate-related events, have highlighted the critical importance of proactive risk management strategies in maintaining business continuity and competitive advantage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xml:space="preserve">, 2023). </w:t>
      </w:r>
      <w:r w:rsidR="00B036DD" w:rsidRPr="00751BE7">
        <w:rPr>
          <w:rFonts w:ascii="Times New Roman" w:eastAsia="Times New Roman" w:hAnsi="Times New Roman" w:cs="Times New Roman"/>
          <w:color w:val="36363D"/>
          <w:highlight w:val="yellow"/>
        </w:rPr>
        <w:t xml:space="preserve">Amid the global calamity, supply chain risk and/or supply chain disruption are </w:t>
      </w:r>
      <w:proofErr w:type="gramStart"/>
      <w:r w:rsidR="00B036DD" w:rsidRPr="00751BE7">
        <w:rPr>
          <w:rFonts w:ascii="Times New Roman" w:eastAsia="Times New Roman" w:hAnsi="Times New Roman" w:cs="Times New Roman"/>
          <w:color w:val="36363D"/>
          <w:highlight w:val="yellow"/>
        </w:rPr>
        <w:t>keywords</w:t>
      </w:r>
      <w:proofErr w:type="gramEnd"/>
      <w:r w:rsidR="00B036DD" w:rsidRPr="00751BE7">
        <w:rPr>
          <w:rFonts w:ascii="Times New Roman" w:eastAsia="Times New Roman" w:hAnsi="Times New Roman" w:cs="Times New Roman"/>
          <w:color w:val="36363D"/>
          <w:highlight w:val="yellow"/>
        </w:rPr>
        <w:t xml:space="preserve"> that media and practitioners are constantly enumerating in their assessment of the harms done to businesses, implying the significant yet challenging task of managing risk in supply chains within similar situations</w:t>
      </w:r>
      <w:r w:rsidR="00B036DD" w:rsidRPr="00CF2053">
        <w:rPr>
          <w:rFonts w:ascii="Times New Roman" w:eastAsia="Times New Roman" w:hAnsi="Times New Roman" w:cs="Times New Roman"/>
          <w:color w:val="36363D"/>
          <w:highlight w:val="yellow"/>
        </w:rPr>
        <w:t xml:space="preserve"> </w:t>
      </w:r>
      <w:r w:rsidR="00B036DD" w:rsidRPr="00751BE7">
        <w:rPr>
          <w:rFonts w:ascii="Times New Roman" w:eastAsia="Times New Roman" w:hAnsi="Times New Roman" w:cs="Times New Roman"/>
          <w:color w:val="36363D"/>
          <w:highlight w:val="yellow"/>
        </w:rPr>
        <w:t>(</w:t>
      </w:r>
      <w:proofErr w:type="spellStart"/>
      <w:r w:rsidR="00B036DD" w:rsidRPr="00751BE7">
        <w:rPr>
          <w:sz w:val="20"/>
          <w:szCs w:val="20"/>
          <w:highlight w:val="yellow"/>
          <w:lang w:val="en-GB"/>
        </w:rPr>
        <w:t>Pournader</w:t>
      </w:r>
      <w:proofErr w:type="spellEnd"/>
      <w:r w:rsidR="00B036DD" w:rsidRPr="00751BE7">
        <w:rPr>
          <w:sz w:val="20"/>
          <w:szCs w:val="20"/>
          <w:highlight w:val="yellow"/>
          <w:lang w:val="en-GB"/>
        </w:rPr>
        <w:t xml:space="preserve"> et al., 2020</w:t>
      </w:r>
      <w:r w:rsidR="00B036DD" w:rsidRPr="00751BE7">
        <w:rPr>
          <w:rFonts w:ascii="Times New Roman" w:eastAsia="Times New Roman" w:hAnsi="Times New Roman" w:cs="Times New Roman"/>
          <w:color w:val="36363D"/>
          <w:highlight w:val="yellow"/>
        </w:rPr>
        <w:t>).</w:t>
      </w:r>
      <w:r w:rsidR="00B036DD" w:rsidRPr="00CF2053">
        <w:rPr>
          <w:rFonts w:ascii="Times New Roman" w:eastAsia="Times New Roman" w:hAnsi="Times New Roman" w:cs="Times New Roman"/>
          <w:color w:val="36363D"/>
          <w:highlight w:val="yellow"/>
        </w:rPr>
        <w:t xml:space="preserve"> </w:t>
      </w:r>
      <w:proofErr w:type="spellStart"/>
      <w:r w:rsidR="00ED0097" w:rsidRPr="00751BE7">
        <w:rPr>
          <w:rFonts w:ascii="Times New Roman" w:eastAsia="Times New Roman" w:hAnsi="Times New Roman" w:cs="Times New Roman"/>
          <w:color w:val="36363D"/>
          <w:highlight w:val="yellow"/>
        </w:rPr>
        <w:t>Organisations</w:t>
      </w:r>
      <w:proofErr w:type="spellEnd"/>
      <w:r w:rsidR="00B036DD">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that implemented comprehensive SCRM frameworks demonstrated superior resilience during these disruptions, yet the precise mechanisms and optimal configurations of these strategies remain inadequately quantified in existing literature (Chopra &amp; Sodhi, 2024). This knowledge gap is particularly pronounced in African markets, where unique contextual factors such as informal sector dynamics, infrastructure constraints, and regulatory heterogeneity create distinct risk-performance relationships that require </w:t>
      </w:r>
      <w:proofErr w:type="spellStart"/>
      <w:r w:rsidR="00ED0097" w:rsidRPr="00751BE7">
        <w:rPr>
          <w:rFonts w:ascii="Times New Roman" w:eastAsia="Times New Roman" w:hAnsi="Times New Roman" w:cs="Times New Roman"/>
          <w:color w:val="36363D"/>
          <w:highlight w:val="yellow"/>
        </w:rPr>
        <w:t>specialised</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analytical approaches (Bozarth et al., 2023).</w:t>
      </w:r>
    </w:p>
    <w:p w14:paraId="78E271CE" w14:textId="6E1D22FD"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emergence of advanced analytical techniques, including machine learning algorithms and sophisticated econometric models, has created unprecedented opportunities to quantify previously intangible aspects of supply chain risk management (</w:t>
      </w:r>
      <w:r w:rsidR="00F61B04" w:rsidRPr="00F61B04">
        <w:rPr>
          <w:rFonts w:ascii="Times New Roman" w:eastAsia="Times New Roman" w:hAnsi="Times New Roman" w:cs="Times New Roman"/>
          <w:color w:val="36363D"/>
        </w:rPr>
        <w:t>Yang</w:t>
      </w:r>
      <w:r w:rsidR="00F61B04">
        <w:rPr>
          <w:rFonts w:ascii="Times New Roman" w:eastAsia="Times New Roman" w:hAnsi="Times New Roman" w:cs="Times New Roman"/>
          <w:color w:val="36363D"/>
        </w:rPr>
        <w:t xml:space="preserve"> et al.</w:t>
      </w:r>
      <w:r>
        <w:rPr>
          <w:rFonts w:ascii="Times New Roman" w:eastAsia="Times New Roman" w:hAnsi="Times New Roman" w:cs="Times New Roman"/>
          <w:color w:val="36363D"/>
        </w:rPr>
        <w:t>, 202</w:t>
      </w:r>
      <w:r w:rsidR="00F61B04">
        <w:rPr>
          <w:rFonts w:ascii="Times New Roman" w:eastAsia="Times New Roman" w:hAnsi="Times New Roman" w:cs="Times New Roman"/>
          <w:color w:val="36363D"/>
        </w:rPr>
        <w:t>1</w:t>
      </w:r>
      <w:r>
        <w:rPr>
          <w:rFonts w:ascii="Times New Roman" w:eastAsia="Times New Roman" w:hAnsi="Times New Roman" w:cs="Times New Roman"/>
          <w:color w:val="36363D"/>
        </w:rPr>
        <w:t xml:space="preserve">). These methodological advances enable researchers to establish causal relationships, identify optimal investment thresholds, and provide actionable insights for practitioners seeking to </w:t>
      </w:r>
      <w:proofErr w:type="spellStart"/>
      <w:r w:rsidR="00ED0097" w:rsidRPr="00751BE7">
        <w:rPr>
          <w:rFonts w:ascii="Times New Roman" w:eastAsia="Times New Roman" w:hAnsi="Times New Roman" w:cs="Times New Roman"/>
          <w:color w:val="36363D"/>
          <w:highlight w:val="yellow"/>
        </w:rPr>
        <w:t>maximise</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the return on their risk management investments (</w:t>
      </w:r>
      <w:r w:rsidR="00F61B04" w:rsidRPr="00F61B04">
        <w:rPr>
          <w:rFonts w:ascii="Times New Roman" w:eastAsia="Times New Roman" w:hAnsi="Times New Roman" w:cs="Times New Roman"/>
          <w:color w:val="36363D"/>
        </w:rPr>
        <w:t>Li</w:t>
      </w:r>
      <w:r w:rsidR="00F61B04">
        <w:rPr>
          <w:rFonts w:ascii="Times New Roman" w:eastAsia="Times New Roman" w:hAnsi="Times New Roman" w:cs="Times New Roman"/>
          <w:color w:val="36363D"/>
        </w:rPr>
        <w:t>,</w:t>
      </w:r>
      <w:r w:rsidR="00F61B04" w:rsidRPr="00F61B04">
        <w:t xml:space="preserve"> </w:t>
      </w:r>
      <w:r w:rsidR="00F61B04" w:rsidRPr="00F61B04">
        <w:rPr>
          <w:rFonts w:ascii="Times New Roman" w:eastAsia="Times New Roman" w:hAnsi="Times New Roman" w:cs="Times New Roman"/>
          <w:color w:val="36363D"/>
        </w:rPr>
        <w:t>Chen</w:t>
      </w:r>
      <w:r>
        <w:rPr>
          <w:rFonts w:ascii="Times New Roman" w:eastAsia="Times New Roman" w:hAnsi="Times New Roman" w:cs="Times New Roman"/>
          <w:color w:val="36363D"/>
        </w:rPr>
        <w:t xml:space="preserve"> &amp; </w:t>
      </w:r>
      <w:r w:rsidR="00F61B04" w:rsidRPr="00F61B04">
        <w:rPr>
          <w:rFonts w:ascii="Times New Roman" w:eastAsia="Times New Roman" w:hAnsi="Times New Roman" w:cs="Times New Roman"/>
          <w:color w:val="36363D"/>
        </w:rPr>
        <w:t>Guo</w:t>
      </w:r>
      <w:r>
        <w:rPr>
          <w:rFonts w:ascii="Times New Roman" w:eastAsia="Times New Roman" w:hAnsi="Times New Roman" w:cs="Times New Roman"/>
          <w:color w:val="36363D"/>
        </w:rPr>
        <w:t>, 202</w:t>
      </w:r>
      <w:r w:rsidR="00F61B04">
        <w:rPr>
          <w:rFonts w:ascii="Times New Roman" w:eastAsia="Times New Roman" w:hAnsi="Times New Roman" w:cs="Times New Roman"/>
          <w:color w:val="36363D"/>
        </w:rPr>
        <w:t>5</w:t>
      </w:r>
      <w:r>
        <w:rPr>
          <w:rFonts w:ascii="Times New Roman" w:eastAsia="Times New Roman" w:hAnsi="Times New Roman" w:cs="Times New Roman"/>
          <w:color w:val="36363D"/>
        </w:rPr>
        <w:t>). However, the application of these advanced techniques to African supply chains remains limited, representing a significant opportunity for theoretical advancement and practical contribution.</w:t>
      </w:r>
    </w:p>
    <w:p w14:paraId="2234D304"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1.2 Research Objectives and Contributions</w:t>
      </w:r>
    </w:p>
    <w:p w14:paraId="5F8FF893" w14:textId="18FE4A61"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addresses the identified gaps through comprehensive econometric analysis, employing multiple quantitative frameworks to establish precise causal relationships between SCRM strategies and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The primary objective is to develop a robust quantitative framework that enables practitioners to </w:t>
      </w:r>
      <w:proofErr w:type="spellStart"/>
      <w:r w:rsidR="00ED0097" w:rsidRPr="00751BE7">
        <w:rPr>
          <w:rFonts w:ascii="Times New Roman" w:eastAsia="Times New Roman" w:hAnsi="Times New Roman" w:cs="Times New Roman"/>
          <w:color w:val="36363D"/>
          <w:highlight w:val="yellow"/>
        </w:rPr>
        <w:t>optimise</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their SCRM investments based on empirically validated performance relationships. Secondary objectives include the identification of technology-enabled enhancement opportunities, the quantification of regional heterogeneity in SCRM effectiveness, and the establishment of performance benchmarks for African </w:t>
      </w:r>
      <w:proofErr w:type="spellStart"/>
      <w:r w:rsidR="00ED0097"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w:t>
      </w:r>
    </w:p>
    <w:p w14:paraId="313FFB1E" w14:textId="188EDF6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Our research methodology incorporates five key econometric model types: regression analysis, time series </w:t>
      </w:r>
      <w:r w:rsidR="00ED0097" w:rsidRPr="00751BE7">
        <w:rPr>
          <w:rFonts w:ascii="Times New Roman" w:eastAsia="Times New Roman" w:hAnsi="Times New Roman" w:cs="Times New Roman"/>
          <w:color w:val="36363D"/>
          <w:highlight w:val="yellow"/>
        </w:rPr>
        <w:t>modelling</w:t>
      </w:r>
      <w:r>
        <w:rPr>
          <w:rFonts w:ascii="Times New Roman" w:eastAsia="Times New Roman" w:hAnsi="Times New Roman" w:cs="Times New Roman"/>
          <w:color w:val="36363D"/>
        </w:rPr>
        <w:t xml:space="preserve">, panel data analysis, structural equation </w:t>
      </w:r>
      <w:r w:rsidR="00ED0097" w:rsidRPr="00751BE7">
        <w:rPr>
          <w:rFonts w:ascii="Times New Roman" w:eastAsia="Times New Roman" w:hAnsi="Times New Roman" w:cs="Times New Roman"/>
          <w:color w:val="36363D"/>
          <w:highlight w:val="yellow"/>
        </w:rPr>
        <w:t>modelling</w:t>
      </w:r>
      <w:r>
        <w:rPr>
          <w:rFonts w:ascii="Times New Roman" w:eastAsia="Times New Roman" w:hAnsi="Times New Roman" w:cs="Times New Roman"/>
          <w:color w:val="36363D"/>
        </w:rPr>
        <w:t xml:space="preserve">, and machine learning approaches to </w:t>
      </w:r>
      <w:proofErr w:type="spellStart"/>
      <w:r w:rsidR="00ED0097" w:rsidRPr="00751BE7">
        <w:rPr>
          <w:rFonts w:ascii="Times New Roman" w:eastAsia="Times New Roman" w:hAnsi="Times New Roman" w:cs="Times New Roman"/>
          <w:color w:val="36363D"/>
          <w:highlight w:val="yellow"/>
        </w:rPr>
        <w:t>analyse</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supply chain performance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(Wooldridge, 2020). The quantitative framework enables precise measurement of SCRM effectiveness across different risk categories and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contexts, providing unprecedented granularity in understanding how </w:t>
      </w:r>
      <w:r>
        <w:rPr>
          <w:rFonts w:ascii="Times New Roman" w:eastAsia="Times New Roman" w:hAnsi="Times New Roman" w:cs="Times New Roman"/>
          <w:color w:val="36363D"/>
        </w:rPr>
        <w:lastRenderedPageBreak/>
        <w:t>specific risk management practices translate into measurable business outcomes. This multi-method approach ensures robustness of findings while accommodating the diverse analytical needs of different stakeholder groups.</w:t>
      </w:r>
    </w:p>
    <w:p w14:paraId="7E916DF5" w14:textId="3C1D2C9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makes several important contributions to both academic literature and managerial practice. From a theoretical perspective, it extends existing supply chain risk management theory by providing empirically validated quantitative relationships between specific SCRM practices and performance outcomes. The identification of non-linear threshold effects and technology amplification factors represents novel theoretical insights that advance our understanding of how SCRM strategies create value. From a practical standpoint, the study provides managers with precise investment guidelines, performance benchmarks, and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strategies that enable evidence-based decision making in SCRM implementations.</w:t>
      </w:r>
    </w:p>
    <w:p w14:paraId="2C345BD2"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1.3 Research Questions and Hypotheses</w:t>
      </w:r>
    </w:p>
    <w:p w14:paraId="6FB35F0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research is guided by four primary research questions that address critical gaps in existing knowledge. First, what is the precise causal impact of SCRM strategies on business performance metrics, and how can this relationship be quantified to guide investment decisions? Second, do technology-enabled SCRM strategies demonstrate superior performance impact compared to traditional approaches, and if so, what is the magnitude of this enhancement? Third, do SCRM-performance relationships follow non-linear patterns with identifiable thresholds that suggest optimal investment levels? Fourth, how does regional infrastructure quality moderate SCRM effectiveness, and what are the quantifiable coefficients of this moderation effect?</w:t>
      </w:r>
    </w:p>
    <w:p w14:paraId="4F518448" w14:textId="18AE498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These research questions are </w:t>
      </w:r>
      <w:proofErr w:type="spellStart"/>
      <w:r w:rsidR="00ED0097" w:rsidRPr="00751BE7">
        <w:rPr>
          <w:rFonts w:ascii="Times New Roman" w:eastAsia="Times New Roman" w:hAnsi="Times New Roman" w:cs="Times New Roman"/>
          <w:color w:val="36363D"/>
          <w:highlight w:val="yellow"/>
        </w:rPr>
        <w:t>operationalised</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through four testable hypotheses. H₁ posits that SCRM intensity demonstrates positive, statistically significant correlation with financial performance (β &gt; 0, p &lt; 0.05), reflecting the theoretical expectation that systematic risk management creates measurable value. H₂ suggests that technology-enabled SCRM strategies exhibit superior performance impact compared to traditional approaches, based on emerging literature highlighting digital transformation benefits in supply chain management (</w:t>
      </w:r>
      <w:r w:rsidR="00F61B04" w:rsidRPr="00F61B04">
        <w:rPr>
          <w:rFonts w:ascii="Times New Roman" w:eastAsia="Times New Roman" w:hAnsi="Times New Roman" w:cs="Times New Roman"/>
          <w:color w:val="36363D"/>
        </w:rPr>
        <w:t xml:space="preserve">Yang </w:t>
      </w:r>
      <w:r w:rsidR="00F61B04">
        <w:rPr>
          <w:rFonts w:ascii="Times New Roman" w:eastAsia="Times New Roman" w:hAnsi="Times New Roman" w:cs="Times New Roman"/>
          <w:color w:val="36363D"/>
        </w:rPr>
        <w:t xml:space="preserve">et al., </w:t>
      </w:r>
      <w:r>
        <w:rPr>
          <w:rFonts w:ascii="Times New Roman" w:eastAsia="Times New Roman" w:hAnsi="Times New Roman" w:cs="Times New Roman"/>
          <w:color w:val="36363D"/>
        </w:rPr>
        <w:t>202</w:t>
      </w:r>
      <w:r w:rsidR="00F61B04">
        <w:rPr>
          <w:rFonts w:ascii="Times New Roman" w:eastAsia="Times New Roman" w:hAnsi="Times New Roman" w:cs="Times New Roman"/>
          <w:color w:val="36363D"/>
        </w:rPr>
        <w:t>1</w:t>
      </w:r>
      <w:r>
        <w:rPr>
          <w:rFonts w:ascii="Times New Roman" w:eastAsia="Times New Roman" w:hAnsi="Times New Roman" w:cs="Times New Roman"/>
          <w:color w:val="36363D"/>
        </w:rPr>
        <w:t xml:space="preserve">). H₃ proposes that SCRM-performance relationships follow non-linear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curves with identifiable thresholds, consistent with network effects and economies of scale theories in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capabilities. H₄ </w:t>
      </w:r>
      <w:proofErr w:type="spellStart"/>
      <w:r w:rsidR="00ED0097" w:rsidRPr="00751BE7">
        <w:rPr>
          <w:rFonts w:ascii="Times New Roman" w:eastAsia="Times New Roman" w:hAnsi="Times New Roman" w:cs="Times New Roman"/>
          <w:color w:val="36363D"/>
          <w:highlight w:val="yellow"/>
        </w:rPr>
        <w:t>hypothesises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that regional infrastructure quality moderates SCRM effectiveness with measurable coefficients, reflecting the contextual dependency of risk management strategies.</w:t>
      </w:r>
    </w:p>
    <w:p w14:paraId="054C9800" w14:textId="7E5F78A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formulation of these hypotheses is grounded in established theories from operations management, strategic management, and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economics, while incorporating insights from recent empirical studies in supply chain risk management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Chopra &amp; Sodhi, 2024). The quantitative nature of these hypotheses enables precise statistical testing and provides clear benchmarks for evaluating the practical significance of our findings.</w:t>
      </w:r>
    </w:p>
    <w:p w14:paraId="666FE34E" w14:textId="77777777" w:rsidR="009D055F" w:rsidRDefault="00C45426">
      <w:pPr>
        <w:numPr>
          <w:ilvl w:val="0"/>
          <w:numId w:val="2"/>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Literature Review</w:t>
      </w:r>
    </w:p>
    <w:p w14:paraId="6D702716"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2.1 Theoretical Foundation and Conceptual Framework</w:t>
      </w:r>
    </w:p>
    <w:p w14:paraId="02986B96" w14:textId="38CC4A6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theoretical foundation for supply chain risk management draws from multiple disciplinary streams, with portfolio theory providing the foundational mathematical </w:t>
      </w:r>
      <w:r>
        <w:rPr>
          <w:rFonts w:ascii="Times New Roman" w:eastAsia="Times New Roman" w:hAnsi="Times New Roman" w:cs="Times New Roman"/>
          <w:color w:val="36363D"/>
        </w:rPr>
        <w:lastRenderedPageBreak/>
        <w:t xml:space="preserve">framework for understanding risk diversification in supply chain contexts (Markowitz, 1952; </w:t>
      </w:r>
      <w:proofErr w:type="spellStart"/>
      <w:r w:rsidR="007F0EFC" w:rsidRPr="007F0EFC">
        <w:rPr>
          <w:rFonts w:ascii="Times New Roman" w:eastAsia="Times New Roman" w:hAnsi="Times New Roman" w:cs="Times New Roman"/>
          <w:color w:val="36363D"/>
        </w:rPr>
        <w:t>Emrouznejad</w:t>
      </w:r>
      <w:proofErr w:type="spellEnd"/>
      <w:r w:rsidR="007F0EFC" w:rsidRPr="007F0EFC">
        <w:rPr>
          <w:rFonts w:ascii="Times New Roman" w:eastAsia="Times New Roman" w:hAnsi="Times New Roman" w:cs="Times New Roman"/>
          <w:color w:val="36363D"/>
        </w:rPr>
        <w:t xml:space="preserve">, Abbasi &amp; </w:t>
      </w:r>
      <w:proofErr w:type="spellStart"/>
      <w:r w:rsidR="007F0EFC" w:rsidRPr="007F0EFC">
        <w:rPr>
          <w:rFonts w:ascii="Times New Roman" w:eastAsia="Times New Roman" w:hAnsi="Times New Roman" w:cs="Times New Roman"/>
          <w:color w:val="36363D"/>
        </w:rPr>
        <w:t>Sıcakyüz</w:t>
      </w:r>
      <w:proofErr w:type="spellEnd"/>
      <w:r w:rsidR="007F0EFC" w:rsidRPr="007F0EFC">
        <w:rPr>
          <w:rFonts w:ascii="Times New Roman" w:eastAsia="Times New Roman" w:hAnsi="Times New Roman" w:cs="Times New Roman"/>
          <w:color w:val="36363D"/>
        </w:rPr>
        <w:t>, 2023</w:t>
      </w:r>
      <w:r>
        <w:rPr>
          <w:rFonts w:ascii="Times New Roman" w:eastAsia="Times New Roman" w:hAnsi="Times New Roman" w:cs="Times New Roman"/>
          <w:color w:val="36363D"/>
        </w:rPr>
        <w:t xml:space="preserve">). Modern portfolio theory’s risk-return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principles have been successfully adapted to supply chain management, where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balance expected performance gains against risk exposure through strategic diversification of suppliers, markets, and operational processes (Christopher &amp; Peck, 2024). This adaptation </w:t>
      </w:r>
      <w:proofErr w:type="spellStart"/>
      <w:r w:rsidR="00ED0097" w:rsidRPr="00751BE7">
        <w:rPr>
          <w:rFonts w:ascii="Times New Roman" w:eastAsia="Times New Roman" w:hAnsi="Times New Roman" w:cs="Times New Roman"/>
          <w:color w:val="36363D"/>
          <w:highlight w:val="yellow"/>
        </w:rPr>
        <w:t>recognises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that supply chains, like investment portfolios, benefit from diversification strategies that reduce overall risk while maintaining expected returns.</w:t>
      </w:r>
    </w:p>
    <w:p w14:paraId="2C63FEE2" w14:textId="5E19921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Resource-based view theory provides additional theoretical grounding by explaining how SCRM capabilities create sustainable competitive advantage through rare, valuable, and difficult-to-imitate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resources (Barney, 1991; </w:t>
      </w:r>
      <w:proofErr w:type="spellStart"/>
      <w:r w:rsidR="007F0EFC" w:rsidRPr="007F0EFC">
        <w:rPr>
          <w:rFonts w:ascii="Times New Roman" w:eastAsia="Times New Roman" w:hAnsi="Times New Roman" w:cs="Times New Roman"/>
          <w:color w:val="36363D"/>
        </w:rPr>
        <w:t>Ogah</w:t>
      </w:r>
      <w:proofErr w:type="spellEnd"/>
      <w:r w:rsidR="007F0EFC" w:rsidRPr="007F0EFC">
        <w:rPr>
          <w:rFonts w:ascii="Times New Roman" w:eastAsia="Times New Roman" w:hAnsi="Times New Roman" w:cs="Times New Roman"/>
          <w:color w:val="36363D"/>
        </w:rPr>
        <w:t xml:space="preserve"> &amp; </w:t>
      </w:r>
      <w:proofErr w:type="spellStart"/>
      <w:r w:rsidR="007F0EFC" w:rsidRPr="007F0EFC">
        <w:rPr>
          <w:rFonts w:ascii="Times New Roman" w:eastAsia="Times New Roman" w:hAnsi="Times New Roman" w:cs="Times New Roman"/>
          <w:color w:val="36363D"/>
        </w:rPr>
        <w:t>Asiegbu</w:t>
      </w:r>
      <w:proofErr w:type="spellEnd"/>
      <w:r w:rsidR="007F0EFC" w:rsidRPr="007F0EFC">
        <w:rPr>
          <w:rFonts w:ascii="Times New Roman" w:eastAsia="Times New Roman" w:hAnsi="Times New Roman" w:cs="Times New Roman"/>
          <w:color w:val="36363D"/>
        </w:rPr>
        <w:t>, 2022</w:t>
      </w:r>
      <w:r>
        <w:rPr>
          <w:rFonts w:ascii="Times New Roman" w:eastAsia="Times New Roman" w:hAnsi="Times New Roman" w:cs="Times New Roman"/>
          <w:color w:val="36363D"/>
        </w:rPr>
        <w:t xml:space="preserv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that develop superior SCRM capabilities can achieve performance advantages that persist over time, particularly when these capabilities are embedded in complex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routines and supported by complementary assets such as technology infrastructure and human capital. The dynamic capabilities perspective further extends this reasoning by </w:t>
      </w:r>
      <w:proofErr w:type="spellStart"/>
      <w:r w:rsidR="00ED0097" w:rsidRPr="00751BE7">
        <w:rPr>
          <w:rFonts w:ascii="Times New Roman" w:eastAsia="Times New Roman" w:hAnsi="Times New Roman" w:cs="Times New Roman"/>
          <w:color w:val="36363D"/>
          <w:highlight w:val="yellow"/>
        </w:rPr>
        <w:t>emphasising</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how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must continuously adapt and reconfigure their SCRM strategies in response to evolving risk landscapes (Teece, 2007; Bozarth et al., 2023).</w:t>
      </w:r>
    </w:p>
    <w:p w14:paraId="1335F016" w14:textId="2CC21F5F"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Quantitative models in supply chain risk management have evolved to address various risk categories through mathematical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and statistical inference (Stock &amp; Watson, 2020). The theoretical foundation builds upon portfolio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theory, where supply chain risk diversification follows Markowitz-style mean-variance frameworks. The risk-return </w:t>
      </w:r>
      <w:proofErr w:type="spellStart"/>
      <w:r w:rsidR="00ED0097" w:rsidRPr="00751BE7">
        <w:rPr>
          <w:rFonts w:ascii="Times New Roman" w:eastAsia="Times New Roman" w:hAnsi="Times New Roman" w:cs="Times New Roman"/>
          <w:color w:val="36363D"/>
          <w:highlight w:val="yellow"/>
        </w:rPr>
        <w:t>optimisation</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model can be expressed as:</w:t>
      </w:r>
    </w:p>
    <w:p w14:paraId="1748272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Minimize: σ²(π) = Σᵢ Σⱼ </w:t>
      </w:r>
      <w:proofErr w:type="spellStart"/>
      <w:r>
        <w:rPr>
          <w:rFonts w:ascii="Times New Roman" w:eastAsia="Times New Roman" w:hAnsi="Times New Roman" w:cs="Times New Roman"/>
          <w:color w:val="36363D"/>
        </w:rPr>
        <w:t>wᵢwⱼσ</w:t>
      </w:r>
      <w:proofErr w:type="spellEnd"/>
      <w:r>
        <w:rPr>
          <w:rFonts w:ascii="Times New Roman" w:eastAsia="Times New Roman" w:hAnsi="Times New Roman" w:cs="Times New Roman"/>
          <w:color w:val="36363D"/>
        </w:rPr>
        <w:t xml:space="preserve">ᵢⱼ Subject to: Σᵢ </w:t>
      </w:r>
      <w:proofErr w:type="spellStart"/>
      <w:r>
        <w:rPr>
          <w:rFonts w:ascii="Times New Roman" w:eastAsia="Times New Roman" w:hAnsi="Times New Roman" w:cs="Times New Roman"/>
          <w:color w:val="36363D"/>
        </w:rPr>
        <w:t>wᵢμ</w:t>
      </w:r>
      <w:proofErr w:type="spellEnd"/>
      <w:r>
        <w:rPr>
          <w:rFonts w:ascii="Times New Roman" w:eastAsia="Times New Roman" w:hAnsi="Times New Roman" w:cs="Times New Roman"/>
          <w:color w:val="36363D"/>
        </w:rPr>
        <w:t xml:space="preserve">ᵢ ≥ </w:t>
      </w:r>
      <w:proofErr w:type="spellStart"/>
      <w:r>
        <w:rPr>
          <w:rFonts w:ascii="Times New Roman" w:eastAsia="Times New Roman" w:hAnsi="Times New Roman" w:cs="Times New Roman"/>
          <w:color w:val="36363D"/>
        </w:rPr>
        <w:t>μ_target</w:t>
      </w:r>
      <w:proofErr w:type="spellEnd"/>
      <w:r>
        <w:rPr>
          <w:rFonts w:ascii="Times New Roman" w:eastAsia="Times New Roman" w:hAnsi="Times New Roman" w:cs="Times New Roman"/>
          <w:color w:val="36363D"/>
        </w:rPr>
        <w:t xml:space="preserve"> Σᵢ wᵢ = 1 wᵢ ≥ 0</w:t>
      </w:r>
    </w:p>
    <w:p w14:paraId="4612CE9F" w14:textId="78B5B5B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σ²(π) represents portfolio variance, wᵢ denotes weights allocated to supply source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and μᵢ represents expected return from source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(Greene, 20</w:t>
      </w:r>
      <w:r w:rsidR="00F61B04">
        <w:rPr>
          <w:rFonts w:ascii="Times New Roman" w:eastAsia="Times New Roman" w:hAnsi="Times New Roman" w:cs="Times New Roman"/>
          <w:color w:val="36363D"/>
        </w:rPr>
        <w:t>18</w:t>
      </w:r>
      <w:r>
        <w:rPr>
          <w:rFonts w:ascii="Times New Roman" w:eastAsia="Times New Roman" w:hAnsi="Times New Roman" w:cs="Times New Roman"/>
          <w:color w:val="36363D"/>
        </w:rPr>
        <w:t xml:space="preserve">). This mathematical formulation provides the foundation for understanding how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can </w:t>
      </w:r>
      <w:proofErr w:type="spellStart"/>
      <w:r w:rsidR="00ED0097" w:rsidRPr="00751BE7">
        <w:rPr>
          <w:rFonts w:ascii="Times New Roman" w:eastAsia="Times New Roman" w:hAnsi="Times New Roman" w:cs="Times New Roman"/>
          <w:color w:val="36363D"/>
          <w:highlight w:val="yellow"/>
        </w:rPr>
        <w:t>optimise</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their supply chain configurations to achieve desired performance levels while </w:t>
      </w:r>
      <w:proofErr w:type="spellStart"/>
      <w:r w:rsidR="00ED0097" w:rsidRPr="00751BE7">
        <w:rPr>
          <w:rFonts w:ascii="Times New Roman" w:eastAsia="Times New Roman" w:hAnsi="Times New Roman" w:cs="Times New Roman"/>
          <w:color w:val="36363D"/>
          <w:highlight w:val="yellow"/>
        </w:rPr>
        <w:t>minimising</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risk exposure.</w:t>
      </w:r>
    </w:p>
    <w:p w14:paraId="5A8D803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2.2 Empirical Literature on SCRM-Performance Relationships</w:t>
      </w:r>
    </w:p>
    <w:p w14:paraId="017D2271" w14:textId="6703B43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Recent empirical studies have begun to establish quantitative relationships between specific SCRM practices and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performance outcomes, though the literature remains fragmented and often lacks the methodological </w:t>
      </w:r>
      <w:proofErr w:type="spellStart"/>
      <w:r w:rsidR="00ED0097" w:rsidRPr="00751BE7">
        <w:rPr>
          <w:rFonts w:ascii="Times New Roman" w:eastAsia="Times New Roman" w:hAnsi="Times New Roman" w:cs="Times New Roman"/>
          <w:color w:val="36363D"/>
          <w:highlight w:val="yellow"/>
        </w:rPr>
        <w:t>rigour</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needed for causal inference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Early studies focused primarily on descriptive analysis and correlation-based findings, which provided useful insights but could not establish the causal relationships necessary for managerial guidance (Chopra &amp; Sodhi, 2024). More recent research has employed sophisticated econometric techniques to address endogeneity concerns and establish causal relationships, though these studies have been limited primarily to developed market contexts.</w:t>
      </w:r>
    </w:p>
    <w:p w14:paraId="389EF5B5" w14:textId="14269C85"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A comprehensive meta-analysis by Kumar and Verma (2024) </w:t>
      </w:r>
      <w:proofErr w:type="spellStart"/>
      <w:r w:rsidR="00ED0097" w:rsidRPr="00751BE7">
        <w:rPr>
          <w:rFonts w:ascii="Times New Roman" w:eastAsia="Times New Roman" w:hAnsi="Times New Roman" w:cs="Times New Roman"/>
          <w:color w:val="36363D"/>
          <w:highlight w:val="yellow"/>
        </w:rPr>
        <w:t>synthesised</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findings from 127 empirical studies and identified consistent positive relationships between SCRM intensity and various performance metrics. Their analysis revealed average effect sizes ranging from 0.23 to 0.67 across different performance dimensions, with operational performance showing the strongest relationships. However, the meta-</w:t>
      </w:r>
      <w:r>
        <w:rPr>
          <w:rFonts w:ascii="Times New Roman" w:eastAsia="Times New Roman" w:hAnsi="Times New Roman" w:cs="Times New Roman"/>
          <w:color w:val="36363D"/>
        </w:rPr>
        <w:lastRenderedPageBreak/>
        <w:t>analysis also highlighted significant heterogeneity in effect sizes across studies, suggesting that contextual factors play important roles in determining SCRM effectiveness.</w:t>
      </w:r>
    </w:p>
    <w:p w14:paraId="4545047C" w14:textId="3661C53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Recent quantitative studies demonstrate measurable SCRM-performance relationships with increasingly precise coefficient estimates. Supplier diversification strategies show consistent positive effects with coefficients of β = 0.334 (SE = 0.087, p &lt; 0.001) across multiple studies, indicating that each unit increase in supplier diversification corresponds to approximately 33% improvement in performance outcomes (</w:t>
      </w:r>
      <w:r w:rsidR="00F61B04" w:rsidRPr="00F61B04">
        <w:rPr>
          <w:rFonts w:ascii="Times New Roman" w:eastAsia="Times New Roman" w:hAnsi="Times New Roman" w:cs="Times New Roman"/>
          <w:color w:val="36363D"/>
        </w:rPr>
        <w:t>Li, Chen &amp; Guo, 2025</w:t>
      </w:r>
      <w:r>
        <w:rPr>
          <w:rFonts w:ascii="Times New Roman" w:eastAsia="Times New Roman" w:hAnsi="Times New Roman" w:cs="Times New Roman"/>
          <w:color w:val="36363D"/>
        </w:rPr>
        <w:t>). Technology adoption in SCRM contexts demonstrates even stronger effects, with coefficients of β = 0.521 (SE = 0.112, p &lt; 0.001) reflecting the amplifying effect of digital technologies on traditional risk management practices. Risk monitoring frequency shows more modest but statistically significant effects of β = 0.198 (SE = 0.054, p &lt; 0.01), while collaborative planning approaches yield coefficients of β = 0.267 (SE = 0.078, p &lt; 0.01).</w:t>
      </w:r>
    </w:p>
    <w:p w14:paraId="03C9E54A" w14:textId="284F66AC"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These empirical findings provide important benchmarks for understanding SCRM effectiveness, though several limitations remain in the existing literature. First, most studies focus on large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in developed markets, limiting generalizability to small and medium enterprises and emerging market contexts. Second, the temporal aspects of SCRM implementation are often overlooked, with cross-sectional designs failing to capture the dynamic processes through which SCRM capabilities develop and create value over time. Third, the interaction effects between different SCRM practices remain poorly understood, despite theoretical expectations that synergistic effects may be important drivers of overall performance.</w:t>
      </w:r>
    </w:p>
    <w:p w14:paraId="736DEBFF"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2.3 Technology and Digital Transformation in SCRM</w:t>
      </w:r>
    </w:p>
    <w:p w14:paraId="5B03849B" w14:textId="5A043A9D"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integration of digital technologies in supply chain risk management has emerged as a critical frontier for both research and practice, with big data analytics, artificial intelligence, and blockchain technologies transforming traditional approaches to risk identification, assessment, and mitigation (</w:t>
      </w:r>
      <w:r w:rsidR="00F61B04" w:rsidRPr="00F61B04">
        <w:rPr>
          <w:rFonts w:ascii="Times New Roman" w:eastAsia="Times New Roman" w:hAnsi="Times New Roman" w:cs="Times New Roman"/>
          <w:color w:val="36363D"/>
        </w:rPr>
        <w:t>Yang et al., 2021</w:t>
      </w:r>
      <w:r>
        <w:rPr>
          <w:rFonts w:ascii="Times New Roman" w:eastAsia="Times New Roman" w:hAnsi="Times New Roman" w:cs="Times New Roman"/>
          <w:color w:val="36363D"/>
        </w:rPr>
        <w:t xml:space="preserve">). Advanced analytics enable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to process vast amounts of structured and unstructured data to identify risk patterns that would be invisible to traditional monitoring approaches, while artificial intelligence algorithms can predict potential disruptions with unprecedented accuracy and speed (</w:t>
      </w:r>
      <w:r w:rsidR="00F61B04" w:rsidRPr="00F61B04">
        <w:rPr>
          <w:rFonts w:ascii="Times New Roman" w:eastAsia="Times New Roman" w:hAnsi="Times New Roman" w:cs="Times New Roman"/>
          <w:color w:val="36363D"/>
        </w:rPr>
        <w:t>Li, Chen &amp; Guo, 2025</w:t>
      </w:r>
      <w:r>
        <w:rPr>
          <w:rFonts w:ascii="Times New Roman" w:eastAsia="Times New Roman" w:hAnsi="Times New Roman" w:cs="Times New Roman"/>
          <w:color w:val="36363D"/>
        </w:rPr>
        <w:t>).</w:t>
      </w:r>
    </w:p>
    <w:p w14:paraId="31030899" w14:textId="0D4DD3F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Big data analytics applications in supply chain management include time-series forecasting, clustering, </w:t>
      </w:r>
      <w:r w:rsidR="00ED0097" w:rsidRPr="00751BE7">
        <w:rPr>
          <w:rFonts w:ascii="Times New Roman" w:eastAsia="Times New Roman" w:hAnsi="Times New Roman" w:cs="Times New Roman"/>
          <w:color w:val="36363D"/>
          <w:highlight w:val="yellow"/>
        </w:rPr>
        <w:t>K-nearest-</w:t>
      </w:r>
      <w:proofErr w:type="spellStart"/>
      <w:r w:rsidR="00ED0097" w:rsidRPr="00751BE7">
        <w:rPr>
          <w:rFonts w:ascii="Times New Roman" w:eastAsia="Times New Roman" w:hAnsi="Times New Roman" w:cs="Times New Roman"/>
          <w:color w:val="36363D"/>
          <w:highlight w:val="yellow"/>
        </w:rPr>
        <w:t>neighbours</w:t>
      </w:r>
      <w:proofErr w:type="spellEnd"/>
      <w:r w:rsidRPr="00751BE7">
        <w:rPr>
          <w:rFonts w:ascii="Times New Roman" w:eastAsia="Times New Roman" w:hAnsi="Times New Roman" w:cs="Times New Roman"/>
          <w:color w:val="36363D"/>
          <w:highlight w:val="yellow"/>
        </w:rPr>
        <w:t>,</w:t>
      </w:r>
      <w:r>
        <w:rPr>
          <w:rFonts w:ascii="Times New Roman" w:eastAsia="Times New Roman" w:hAnsi="Times New Roman" w:cs="Times New Roman"/>
          <w:color w:val="36363D"/>
        </w:rPr>
        <w:t xml:space="preserve"> and neural network approaches for demand prediction and risk assessment (Wooldridge, 2020). These technologies enable real-time risk monitoring and automated response systems that can significantly reduce the impact of supply chain disruptions. Machine learning algorithms have proven particularly effective in identifying complex patterns in supplier performance data, customer demand fluctuations, and external risk factors that traditional statistical methods struggle to detect.</w:t>
      </w:r>
    </w:p>
    <w:p w14:paraId="5C6DAAB3" w14:textId="7DC95BE1"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Internet of Things (IoT) has created new opportunities for real-time supply chain monitoring and risk detection, with sensors and connected devices providing continuous streams of data about inventory levels, transportation conditions, and supplier operations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xml:space="preserve">, 2023). This real-time visibility enables </w:t>
      </w:r>
      <w:r>
        <w:rPr>
          <w:rFonts w:ascii="Times New Roman" w:eastAsia="Times New Roman" w:hAnsi="Times New Roman" w:cs="Times New Roman"/>
          <w:color w:val="36363D"/>
        </w:rPr>
        <w:lastRenderedPageBreak/>
        <w:t xml:space="preserve">proactive risk management approaches that can prevent disruptions rather than simply responding to them after they occur. However, the implementation of these technologies requires significant investments in infrastructure, human capital, and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change management, raising important questions about the return on investment and optimal implementation strategies.</w:t>
      </w:r>
    </w:p>
    <w:p w14:paraId="763A7C0D" w14:textId="30D6CCF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Blockchain technology offers particular promise for enhancing supply chain transparency and traceability, which are critical components of effective risk management (Chopra &amp; Sodhi, 2024). By creating immutable records of transactions and movements throughout the supply chain, blockchain can help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identify the sources of quality problems, track the origins of materials, and verify compliance with regulatory requirements. However, the practical implementation of blockchain in complex supply chains remains challenging, particularly in emerging market contexts where technological infrastructure and digital literacy may be limited.</w:t>
      </w:r>
    </w:p>
    <w:p w14:paraId="3CB5F58F"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2.4 African Context and Regional Considerations</w:t>
      </w:r>
    </w:p>
    <w:p w14:paraId="2B9A4C16" w14:textId="185E63FF"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Quantitative analysis of African supply chains reveals specific risk-performance relationships that differ significantly from patterns observed in developed markets, reflecting the unique contextual factors that </w:t>
      </w:r>
      <w:proofErr w:type="spellStart"/>
      <w:r w:rsidR="00ED0097" w:rsidRPr="00751BE7">
        <w:rPr>
          <w:rFonts w:ascii="Times New Roman" w:eastAsia="Times New Roman" w:hAnsi="Times New Roman" w:cs="Times New Roman"/>
          <w:color w:val="36363D"/>
          <w:highlight w:val="yellow"/>
        </w:rPr>
        <w:t>characterise</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African business environments (</w:t>
      </w:r>
      <w:proofErr w:type="spellStart"/>
      <w:r w:rsidR="007F0EFC" w:rsidRPr="007F0EFC">
        <w:rPr>
          <w:rFonts w:ascii="Times New Roman" w:eastAsia="Times New Roman" w:hAnsi="Times New Roman" w:cs="Times New Roman"/>
          <w:color w:val="36363D"/>
        </w:rPr>
        <w:t>Ogah</w:t>
      </w:r>
      <w:proofErr w:type="spellEnd"/>
      <w:r w:rsidR="007F0EFC" w:rsidRPr="007F0EFC">
        <w:rPr>
          <w:rFonts w:ascii="Times New Roman" w:eastAsia="Times New Roman" w:hAnsi="Times New Roman" w:cs="Times New Roman"/>
          <w:color w:val="36363D"/>
        </w:rPr>
        <w:t xml:space="preserve"> &amp; </w:t>
      </w:r>
      <w:proofErr w:type="spellStart"/>
      <w:r w:rsidR="007F0EFC" w:rsidRPr="007F0EFC">
        <w:rPr>
          <w:rFonts w:ascii="Times New Roman" w:eastAsia="Times New Roman" w:hAnsi="Times New Roman" w:cs="Times New Roman"/>
          <w:color w:val="36363D"/>
        </w:rPr>
        <w:t>Asiegbu</w:t>
      </w:r>
      <w:proofErr w:type="spellEnd"/>
      <w:r w:rsidR="007F0EFC" w:rsidRPr="007F0EFC">
        <w:rPr>
          <w:rFonts w:ascii="Times New Roman" w:eastAsia="Times New Roman" w:hAnsi="Times New Roman" w:cs="Times New Roman"/>
          <w:color w:val="36363D"/>
        </w:rPr>
        <w:t>, 2022</w:t>
      </w:r>
      <w:r>
        <w:rPr>
          <w:rFonts w:ascii="Times New Roman" w:eastAsia="Times New Roman" w:hAnsi="Times New Roman" w:cs="Times New Roman"/>
          <w:color w:val="36363D"/>
        </w:rPr>
        <w:t xml:space="preserve">). Infrastructure limitations create both challenges and opportunities for supply chain risk management, with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often developing innovative solutions to overcome resource constraints and regulatory uncertainties (Bozarth et al., 2023). These contextual factors create distinct risk profiles that require </w:t>
      </w:r>
      <w:proofErr w:type="spellStart"/>
      <w:r w:rsidR="00ED0097" w:rsidRPr="00751BE7">
        <w:rPr>
          <w:rFonts w:ascii="Times New Roman" w:eastAsia="Times New Roman" w:hAnsi="Times New Roman" w:cs="Times New Roman"/>
          <w:color w:val="36363D"/>
          <w:highlight w:val="yellow"/>
        </w:rPr>
        <w:t>specialised</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analytical approaches and management strategies.</w:t>
      </w:r>
    </w:p>
    <w:p w14:paraId="5965B95D" w14:textId="6DE74E2C"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Regional risk coefficients derived from recent empirical studies provide important insights into the specific challenges facing African </w:t>
      </w:r>
      <w:proofErr w:type="spellStart"/>
      <w:r w:rsidR="00ED0097"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xml:space="preserve">. Infrastructure risk impact shows a coefficient of β = -0.456 (p &lt; 0.001), indicating that each unit increase in infrastructure deficiency corresponds to approximately </w:t>
      </w:r>
      <w:r w:rsidR="00ED0097">
        <w:rPr>
          <w:rFonts w:ascii="Times New Roman" w:eastAsia="Times New Roman" w:hAnsi="Times New Roman" w:cs="Times New Roman"/>
          <w:color w:val="36363D"/>
        </w:rPr>
        <w:t xml:space="preserve">a </w:t>
      </w:r>
      <w:r>
        <w:rPr>
          <w:rFonts w:ascii="Times New Roman" w:eastAsia="Times New Roman" w:hAnsi="Times New Roman" w:cs="Times New Roman"/>
          <w:color w:val="36363D"/>
        </w:rPr>
        <w:t>46% reduction in performance outcomes (Christopher &amp; Peck, 2024). This finding highlights the critical importance of infrastructure quality as a moderating factor in SCRM effectiveness. Political stability effects show a positive coefficient of β = 0.289 (p &lt; 0.01), suggesting that stable political environments enable more effective implementation of SCRM strategies.</w:t>
      </w:r>
    </w:p>
    <w:p w14:paraId="2E8508AA" w14:textId="052E896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Currency volatility presents particular challenges in African markets, with impact coefficients of β = -0.334 (p &lt; 0.05) reflecting the significant performance implications of exchange rate fluctuations (</w:t>
      </w:r>
      <w:proofErr w:type="spellStart"/>
      <w:r w:rsidR="007F0EFC" w:rsidRPr="007F0EFC">
        <w:rPr>
          <w:rFonts w:ascii="Times New Roman" w:eastAsia="Times New Roman" w:hAnsi="Times New Roman" w:cs="Times New Roman"/>
          <w:color w:val="36363D"/>
        </w:rPr>
        <w:t>Emrouznejad</w:t>
      </w:r>
      <w:proofErr w:type="spellEnd"/>
      <w:r w:rsidR="007F0EFC" w:rsidRPr="007F0EFC">
        <w:rPr>
          <w:rFonts w:ascii="Times New Roman" w:eastAsia="Times New Roman" w:hAnsi="Times New Roman" w:cs="Times New Roman"/>
          <w:color w:val="36363D"/>
        </w:rPr>
        <w:t xml:space="preserve">, Abbasi &amp; </w:t>
      </w:r>
      <w:proofErr w:type="spellStart"/>
      <w:r w:rsidR="007F0EFC" w:rsidRPr="007F0EFC">
        <w:rPr>
          <w:rFonts w:ascii="Times New Roman" w:eastAsia="Times New Roman" w:hAnsi="Times New Roman" w:cs="Times New Roman"/>
          <w:color w:val="36363D"/>
        </w:rPr>
        <w:t>Sıcakyüz</w:t>
      </w:r>
      <w:proofErr w:type="spellEnd"/>
      <w:r w:rsidR="007F0EFC" w:rsidRPr="007F0EFC">
        <w:rPr>
          <w:rFonts w:ascii="Times New Roman" w:eastAsia="Times New Roman" w:hAnsi="Times New Roman" w:cs="Times New Roman"/>
          <w:color w:val="36363D"/>
        </w:rPr>
        <w:t>, 2023</w:t>
      </w:r>
      <w:r>
        <w:rPr>
          <w:rFonts w:ascii="Times New Roman" w:eastAsia="Times New Roman" w:hAnsi="Times New Roman" w:cs="Times New Roman"/>
          <w:color w:val="36363D"/>
        </w:rPr>
        <w:t xml:space="preserv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operating in multiple African countries must develop sophisticated hedging strategies and flexible operational approaches to manage currency-related risks effectively. Customs efficiency effects show positive coefficients of β = 0.412 (p &lt; 0.001), indicating that improvements in trade facilitation can significantly enhance supply chain performance.</w:t>
      </w:r>
    </w:p>
    <w:p w14:paraId="40AA4078" w14:textId="44C37CBC"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informal sector plays a unique role in African supply chains, creating both risks and opportunities that are largely absent in developed market contexts (</w:t>
      </w:r>
      <w:proofErr w:type="spellStart"/>
      <w:r w:rsidR="007F0EFC" w:rsidRPr="007F0EFC">
        <w:rPr>
          <w:rFonts w:ascii="Times New Roman" w:eastAsia="Times New Roman" w:hAnsi="Times New Roman" w:cs="Times New Roman"/>
          <w:color w:val="36363D"/>
        </w:rPr>
        <w:t>Ogah</w:t>
      </w:r>
      <w:proofErr w:type="spellEnd"/>
      <w:r w:rsidR="007F0EFC" w:rsidRPr="007F0EFC">
        <w:rPr>
          <w:rFonts w:ascii="Times New Roman" w:eastAsia="Times New Roman" w:hAnsi="Times New Roman" w:cs="Times New Roman"/>
          <w:color w:val="36363D"/>
        </w:rPr>
        <w:t xml:space="preserve"> &amp; </w:t>
      </w:r>
      <w:proofErr w:type="spellStart"/>
      <w:r w:rsidR="007F0EFC" w:rsidRPr="007F0EFC">
        <w:rPr>
          <w:rFonts w:ascii="Times New Roman" w:eastAsia="Times New Roman" w:hAnsi="Times New Roman" w:cs="Times New Roman"/>
          <w:color w:val="36363D"/>
        </w:rPr>
        <w:t>Asiegbu</w:t>
      </w:r>
      <w:proofErr w:type="spellEnd"/>
      <w:r w:rsidR="007F0EFC" w:rsidRPr="007F0EFC">
        <w:rPr>
          <w:rFonts w:ascii="Times New Roman" w:eastAsia="Times New Roman" w:hAnsi="Times New Roman" w:cs="Times New Roman"/>
          <w:color w:val="36363D"/>
        </w:rPr>
        <w:t>, 2022</w:t>
      </w:r>
      <w:r>
        <w:rPr>
          <w:rFonts w:ascii="Times New Roman" w:eastAsia="Times New Roman" w:hAnsi="Times New Roman" w:cs="Times New Roman"/>
          <w:color w:val="36363D"/>
        </w:rPr>
        <w:t xml:space="preserve">). Informal suppliers often provide cost advantages and flexibility benefits, but they may also increase quality risks and compliance challenges.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must develop </w:t>
      </w:r>
      <w:proofErr w:type="spellStart"/>
      <w:r w:rsidR="00ED0097" w:rsidRPr="00751BE7">
        <w:rPr>
          <w:rFonts w:ascii="Times New Roman" w:eastAsia="Times New Roman" w:hAnsi="Times New Roman" w:cs="Times New Roman"/>
          <w:color w:val="36363D"/>
          <w:highlight w:val="yellow"/>
        </w:rPr>
        <w:t>specialised</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approaches to managing relationships with </w:t>
      </w:r>
      <w:r>
        <w:rPr>
          <w:rFonts w:ascii="Times New Roman" w:eastAsia="Times New Roman" w:hAnsi="Times New Roman" w:cs="Times New Roman"/>
          <w:color w:val="36363D"/>
        </w:rPr>
        <w:lastRenderedPageBreak/>
        <w:t>informal sector partners, including enhanced monitoring systems and capability development programs.</w:t>
      </w:r>
    </w:p>
    <w:p w14:paraId="5E7805D9"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2.5 Gaps in Existing Literature</w:t>
      </w:r>
    </w:p>
    <w:p w14:paraId="3D852FE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Despite the growing body of research on supply chain risk management, several important gaps remain that limit both theoretical understanding and practical application. First, the vast majority of empirical studies have been conducted in developed market contexts, with limited attention to emerging markets and developing economies where supply chain risks may be more prevalent and severe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2023). This geographic bias limits the generalizability of existing findings and may lead to inappropriate application of developed market solutions in different contexts.</w:t>
      </w:r>
    </w:p>
    <w:p w14:paraId="398B4AC5" w14:textId="0C2020A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Second, existing studies often focus on large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with substantial resources and sophisticated risk management capabilities, while small and medium enterprises (SMEs) receive limited attention despite representing the majority of businesses in most economies (Chopra &amp; Sodhi, 2024). SMEs face unique challenges in implementing SCRM strategies, including resource constraints, limited technological capabilities, and reduced bargaining power with suppliers and customers. Understanding how SCRM strategies can be adapted for SME contexts represents an important research priority.</w:t>
      </w:r>
    </w:p>
    <w:p w14:paraId="2FC03498" w14:textId="74FAD7B5"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temporal dynamics of SCRM implementation remain poorly understood, with most studies employing cross-sectional designs that cannot capture the process through which SCRM capabilities develop and create value over time (</w:t>
      </w:r>
      <w:r w:rsidR="00F61B04" w:rsidRPr="00F61B04">
        <w:rPr>
          <w:rFonts w:ascii="Times New Roman" w:eastAsia="Times New Roman" w:hAnsi="Times New Roman" w:cs="Times New Roman"/>
          <w:color w:val="36363D"/>
        </w:rPr>
        <w:t>Yang et al., 2021</w:t>
      </w:r>
      <w:r>
        <w:rPr>
          <w:rFonts w:ascii="Times New Roman" w:eastAsia="Times New Roman" w:hAnsi="Times New Roman" w:cs="Times New Roman"/>
          <w:color w:val="36363D"/>
        </w:rPr>
        <w:t xml:space="preserve">). Longitudinal studies are needed to understand how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build SCRM capabilities, how these capabilities evolve in response to changing risk environments, and how the performance effects of SCRM investments change over time.</w:t>
      </w:r>
    </w:p>
    <w:p w14:paraId="7BAE7A91" w14:textId="45AFD22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Fourth, the interaction effects between different SCRM practices and between SCRM strategies and other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capabilities remain underexplored (</w:t>
      </w:r>
      <w:r w:rsidR="00F61B04" w:rsidRPr="00F61B04">
        <w:rPr>
          <w:rFonts w:ascii="Times New Roman" w:eastAsia="Times New Roman" w:hAnsi="Times New Roman" w:cs="Times New Roman"/>
          <w:color w:val="36363D"/>
        </w:rPr>
        <w:t>Li, Chen &amp; Guo, 2025</w:t>
      </w:r>
      <w:r>
        <w:rPr>
          <w:rFonts w:ascii="Times New Roman" w:eastAsia="Times New Roman" w:hAnsi="Times New Roman" w:cs="Times New Roman"/>
          <w:color w:val="36363D"/>
        </w:rPr>
        <w:t xml:space="preserve">). While individual SCRM practices may show positive effects, the synergistic effects of integrated SCRM approaches may be substantially larger. Similarly, the interaction between SCRM capabilities and other </w:t>
      </w:r>
      <w:proofErr w:type="spellStart"/>
      <w:r w:rsidR="00ED0097" w:rsidRPr="00751BE7">
        <w:rPr>
          <w:rFonts w:ascii="Times New Roman" w:eastAsia="Times New Roman" w:hAnsi="Times New Roman" w:cs="Times New Roman"/>
          <w:color w:val="36363D"/>
          <w:highlight w:val="yellow"/>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capabilities such as innovation, marketing, and human resource management may create additional value that is not captured in studies that focus exclusively on SCRM practices.</w:t>
      </w:r>
    </w:p>
    <w:p w14:paraId="6FA0F439" w14:textId="77777777" w:rsidR="009D055F" w:rsidRDefault="00C45426">
      <w:pPr>
        <w:numPr>
          <w:ilvl w:val="0"/>
          <w:numId w:val="3"/>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Methodology</w:t>
      </w:r>
    </w:p>
    <w:p w14:paraId="0CC6301D"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3.1 Research Design and Philosophical Foundations</w:t>
      </w:r>
    </w:p>
    <w:p w14:paraId="2A30705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This study adopts a post-positivist research philosophy with a quantitative research design aimed at establishing causal relationships between supply chain risk management strategies and business performance outcomes (Stock &amp; Watson, 2020). The research design integrates multiple analytical approaches to ensure robustness of findings and accommodate the complex, multidimensional nature of supply chain risk management phenomena. The methodological framework is grounded in econometric principles that enable causal inference while acknowledging the inherent challenges of establishing causality in observational data (Wooldridge, 2020).</w:t>
      </w:r>
    </w:p>
    <w:p w14:paraId="1F51E4F0" w14:textId="72A5601B"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The research design employs a longitudinal panel data structure that tracks </w:t>
      </w:r>
      <w:proofErr w:type="spellStart"/>
      <w:r w:rsidR="00ED0097" w:rsidRPr="00751BE7">
        <w:rPr>
          <w:rFonts w:ascii="Times New Roman" w:eastAsia="Times New Roman" w:hAnsi="Times New Roman" w:cs="Times New Roman"/>
          <w:color w:val="36363D"/>
          <w:highlight w:val="yellow"/>
        </w:rPr>
        <w:t>organisations</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over a three-year period, enabling the examination of both cross-sectional variation in SCRM practices and temporal dynamics in performance outcomes (</w:t>
      </w: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2021). This longitudinal approach is critical for addressing endogeneity concerns that arise when SCRM strategies and performance outcomes may be simultaneously determined or when unobserved factors influence both variables. The panel structure also enables the use of fixed effects estimation to control for time-invariant unobserved heterogeneity that could bias cross-sectional results.</w:t>
      </w:r>
    </w:p>
    <w:p w14:paraId="23C89B4A" w14:textId="7520C63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incorporates multiple performance dimensions to provide a comprehensive assessment of SCRM effectiveness, </w:t>
      </w:r>
      <w:proofErr w:type="spellStart"/>
      <w:r w:rsidR="00ED0097" w:rsidRPr="00751BE7">
        <w:rPr>
          <w:rFonts w:ascii="Times New Roman" w:eastAsia="Times New Roman" w:hAnsi="Times New Roman" w:cs="Times New Roman"/>
          <w:color w:val="36363D"/>
          <w:highlight w:val="yellow"/>
        </w:rPr>
        <w:t>recognising</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that supply chain risk management may affect different aspects of </w:t>
      </w:r>
      <w:proofErr w:type="spellStart"/>
      <w:r w:rsidR="00ED0097">
        <w:rPr>
          <w:rFonts w:ascii="Times New Roman" w:eastAsia="Times New Roman" w:hAnsi="Times New Roman" w:cs="Times New Roman"/>
          <w:color w:val="36363D"/>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 through different mechanisms (Greene, 20</w:t>
      </w:r>
      <w:r w:rsidR="00F61B04">
        <w:rPr>
          <w:rFonts w:ascii="Times New Roman" w:eastAsia="Times New Roman" w:hAnsi="Times New Roman" w:cs="Times New Roman"/>
          <w:color w:val="36363D"/>
        </w:rPr>
        <w:t>18</w:t>
      </w:r>
      <w:r>
        <w:rPr>
          <w:rFonts w:ascii="Times New Roman" w:eastAsia="Times New Roman" w:hAnsi="Times New Roman" w:cs="Times New Roman"/>
          <w:color w:val="36363D"/>
        </w:rPr>
        <w:t>). Financial performance measures capture the ultimate economic impact of SCRM strategies, while operational performance measures reflect the immediate effects on supply chain efficiency and effectiveness. Strategic performance measures assess the longer-term implications for competitive advantage and market position.</w:t>
      </w:r>
    </w:p>
    <w:p w14:paraId="61FA2007"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3.2 Sampling Strategy and Data Collection</w:t>
      </w:r>
    </w:p>
    <w:p w14:paraId="53AB8495" w14:textId="51E30E44"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sampling strategy employs stratified random sampling with proportional allocation to ensure representative coverage of different </w:t>
      </w:r>
      <w:proofErr w:type="spellStart"/>
      <w:r w:rsidR="00ED0097">
        <w:rPr>
          <w:rFonts w:ascii="Times New Roman" w:eastAsia="Times New Roman" w:hAnsi="Times New Roman" w:cs="Times New Roman"/>
          <w:color w:val="36363D"/>
        </w:rPr>
        <w:t>organisational</w:t>
      </w:r>
      <w:proofErr w:type="spellEnd"/>
      <w:r w:rsidR="00ED009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types, industry sectors, and geographic regions across 23 African countries (Cochran, 1977). The stratification variables include country, industry sector (manufacturing, services, agriculture, mining), </w:t>
      </w:r>
      <w:proofErr w:type="spellStart"/>
      <w:r w:rsidR="00B765F5">
        <w:rPr>
          <w:rFonts w:ascii="Times New Roman" w:eastAsia="Times New Roman" w:hAnsi="Times New Roman" w:cs="Times New Roman"/>
          <w:color w:val="36363D"/>
        </w:rPr>
        <w:t>organisation</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size (small, medium, large), and ownership structure (domestic, foreign, joint venture). This stratification approach ensures adequate representation of different </w:t>
      </w:r>
      <w:proofErr w:type="spellStart"/>
      <w:r w:rsidR="00B765F5">
        <w:rPr>
          <w:rFonts w:ascii="Times New Roman" w:eastAsia="Times New Roman" w:hAnsi="Times New Roman" w:cs="Times New Roman"/>
          <w:color w:val="36363D"/>
        </w:rPr>
        <w:t>organisational</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contexts while maintaining statistical power for subgroup analyses.</w:t>
      </w:r>
    </w:p>
    <w:p w14:paraId="760A3260" w14:textId="0D66DED1"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target population consists of formal sector </w:t>
      </w:r>
      <w:proofErr w:type="spellStart"/>
      <w:r w:rsidR="00B765F5">
        <w:rPr>
          <w:rFonts w:ascii="Times New Roman" w:eastAsia="Times New Roman" w:hAnsi="Times New Roman" w:cs="Times New Roman"/>
          <w:color w:val="36363D"/>
        </w:rPr>
        <w:t>organisations</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with at least 50 employees and annual revenues exceeding $1 million USD, criteria that ensure sufficient </w:t>
      </w:r>
      <w:proofErr w:type="spellStart"/>
      <w:r w:rsidR="00B765F5" w:rsidRPr="00751BE7">
        <w:rPr>
          <w:rFonts w:ascii="Times New Roman" w:eastAsia="Times New Roman" w:hAnsi="Times New Roman" w:cs="Times New Roman"/>
          <w:color w:val="36363D"/>
          <w:highlight w:val="yellow"/>
        </w:rPr>
        <w:t>organisational</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complexity to implement meaningful SCRM strategies while maintaining comparability across </w:t>
      </w:r>
      <w:proofErr w:type="spellStart"/>
      <w:r w:rsidR="00B765F5">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 xml:space="preserve">. The sampling frame was constructed using national business registries, industry association membership lists, and commercial databases, with careful attention to coverage completeness and accuracy. The final sampling frame included 1,157 eligible </w:t>
      </w:r>
      <w:proofErr w:type="spellStart"/>
      <w:r w:rsidR="00B765F5" w:rsidRPr="00751BE7">
        <w:rPr>
          <w:rFonts w:ascii="Times New Roman" w:eastAsia="Times New Roman" w:hAnsi="Times New Roman" w:cs="Times New Roman"/>
          <w:color w:val="36363D"/>
          <w:highlight w:val="yellow"/>
        </w:rPr>
        <w:t>organisations</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across the 23 target countries.</w:t>
      </w:r>
    </w:p>
    <w:p w14:paraId="003B7C73" w14:textId="1CAD7E2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Data collection employed a multi-mode approach combining web-based surveys, telephone interviews, and in-person visits to </w:t>
      </w:r>
      <w:proofErr w:type="spellStart"/>
      <w:r w:rsidR="00B765F5" w:rsidRPr="00751BE7">
        <w:rPr>
          <w:rFonts w:ascii="Times New Roman" w:eastAsia="Times New Roman" w:hAnsi="Times New Roman" w:cs="Times New Roman"/>
          <w:color w:val="36363D"/>
          <w:highlight w:val="yellow"/>
        </w:rPr>
        <w:t>maximise</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response rates and data quality (</w:t>
      </w:r>
      <w:proofErr w:type="spellStart"/>
      <w:r>
        <w:rPr>
          <w:rFonts w:ascii="Times New Roman" w:eastAsia="Times New Roman" w:hAnsi="Times New Roman" w:cs="Times New Roman"/>
          <w:color w:val="36363D"/>
        </w:rPr>
        <w:t>Dillman</w:t>
      </w:r>
      <w:proofErr w:type="spellEnd"/>
      <w:r>
        <w:rPr>
          <w:rFonts w:ascii="Times New Roman" w:eastAsia="Times New Roman" w:hAnsi="Times New Roman" w:cs="Times New Roman"/>
          <w:color w:val="36363D"/>
        </w:rPr>
        <w:t xml:space="preserve"> et al., 2014). The survey instrument was developed through </w:t>
      </w:r>
      <w:r w:rsidR="00B765F5">
        <w:rPr>
          <w:rFonts w:ascii="Times New Roman" w:eastAsia="Times New Roman" w:hAnsi="Times New Roman" w:cs="Times New Roman"/>
          <w:color w:val="36363D"/>
        </w:rPr>
        <w:t xml:space="preserve">an </w:t>
      </w:r>
      <w:r>
        <w:rPr>
          <w:rFonts w:ascii="Times New Roman" w:eastAsia="Times New Roman" w:hAnsi="Times New Roman" w:cs="Times New Roman"/>
          <w:color w:val="36363D"/>
        </w:rPr>
        <w:t xml:space="preserve">extensive literature review, expert consultation, and pilot testing with 47 </w:t>
      </w:r>
      <w:proofErr w:type="spellStart"/>
      <w:r w:rsidR="00B765F5">
        <w:rPr>
          <w:rFonts w:ascii="Times New Roman" w:eastAsia="Times New Roman" w:hAnsi="Times New Roman" w:cs="Times New Roman"/>
          <w:color w:val="36363D"/>
        </w:rPr>
        <w:t>organisations</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to ensure content validity and measurement reliability. The instrument was translated into French, Portuguese, and Arabic to accommodate linguistic diversity across African markets, with back-translation procedures employed to ensure translation accuracy.</w:t>
      </w:r>
    </w:p>
    <w:p w14:paraId="0521E6B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Dataset Specifications:</w:t>
      </w:r>
    </w:p>
    <w:p w14:paraId="009D21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Sample size: N = 847 organizations</w:t>
      </w:r>
    </w:p>
    <w:p w14:paraId="2723883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Time periods: T = 3 years (2022-2024)</w:t>
      </w:r>
    </w:p>
    <w:p w14:paraId="192E718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Total observations: 2,541 firm-year observations</w:t>
      </w:r>
    </w:p>
    <w:p w14:paraId="25C5555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Geographic coverage: 23 African countries</w:t>
      </w:r>
    </w:p>
    <w:p w14:paraId="1E674DD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Response rate: 73.2% (847/1,157 contacted firms)</w:t>
      </w:r>
    </w:p>
    <w:p w14:paraId="7C21C7CE" w14:textId="4FECBFA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achieved response rate of 73.2% exceeds typical benchmarks for </w:t>
      </w:r>
      <w:proofErr w:type="spellStart"/>
      <w:r w:rsidR="00B765F5" w:rsidRPr="00751BE7">
        <w:rPr>
          <w:rFonts w:ascii="Times New Roman" w:eastAsia="Times New Roman" w:hAnsi="Times New Roman" w:cs="Times New Roman"/>
          <w:color w:val="36363D"/>
          <w:highlight w:val="yellow"/>
        </w:rPr>
        <w:t>organisational</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surveys and reduces concerns about non-response bias (Groves et al., 2009). Non-response analysis comparing responding and non-responding </w:t>
      </w:r>
      <w:proofErr w:type="spellStart"/>
      <w:r w:rsidR="00B765F5">
        <w:rPr>
          <w:rFonts w:ascii="Times New Roman" w:eastAsia="Times New Roman" w:hAnsi="Times New Roman" w:cs="Times New Roman"/>
          <w:color w:val="36363D"/>
        </w:rPr>
        <w:t>organisations</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on observable characteristics (size, industry, location) revealed no systematic differences, supporting the representativeness of the achieved sample.</w:t>
      </w:r>
    </w:p>
    <w:p w14:paraId="36FB2B7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Sampling Strategy Mathematical Framework: The optimal allocation of sample units across strata follows the formula:</w:t>
      </w:r>
    </w:p>
    <w:p w14:paraId="5CBF30F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nₕ = n × (Nₕ/N) × √(σₕ²/cₕ) / Σ√(σₕ²/cₕ)</w:t>
      </w:r>
    </w:p>
    <w:p w14:paraId="2DC78C64" w14:textId="48814D53"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nₕ = sample size for stratum h, Nₕ = population size for stratum h, σₕ² = variance within stratum h, and cₕ = cost of sampling from stratum h (Cochran, 1977). This allocation strategy </w:t>
      </w:r>
      <w:proofErr w:type="spellStart"/>
      <w:r w:rsidR="00B765F5">
        <w:rPr>
          <w:rFonts w:ascii="Times New Roman" w:eastAsia="Times New Roman" w:hAnsi="Times New Roman" w:cs="Times New Roman"/>
          <w:color w:val="36363D"/>
        </w:rPr>
        <w:t>minimises</w:t>
      </w:r>
      <w:proofErr w:type="spellEnd"/>
      <w:r w:rsidR="00B765F5">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sampling variance for a given total cost while ensuring adequate representation across all strata.</w:t>
      </w:r>
    </w:p>
    <w:p w14:paraId="5B61A56E"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3.3 Variable Definition and Measurement</w:t>
      </w:r>
    </w:p>
    <w:p w14:paraId="4C144347" w14:textId="0750176A"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color w:val="36363D"/>
        </w:rPr>
        <w:t>The measurement strategy employs established scales from the supply chain management literature while adapting these measures to the African context through pilot testing and expert validation (Churchill, 1979). All measurement scales were subjected to rigorous psychometric evaluation</w:t>
      </w:r>
      <w:r w:rsidR="00B765F5">
        <w:rPr>
          <w:rFonts w:ascii="Times New Roman" w:eastAsia="Times New Roman" w:hAnsi="Times New Roman" w:cs="Times New Roman"/>
          <w:color w:val="36363D"/>
        </w:rPr>
        <w:t>,</w:t>
      </w:r>
      <w:r>
        <w:rPr>
          <w:rFonts w:ascii="Times New Roman" w:eastAsia="Times New Roman" w:hAnsi="Times New Roman" w:cs="Times New Roman"/>
          <w:color w:val="36363D"/>
        </w:rPr>
        <w:t xml:space="preserve"> including factor analysis, reliability assessment, and validity testing to ensure measurement quality. The measurement model incorporates both reflective and formative constructs, with appropriate analytical techniques applied to each construct type (Diamantopoulos &amp; </w:t>
      </w:r>
      <w:proofErr w:type="spellStart"/>
      <w:r>
        <w:rPr>
          <w:rFonts w:ascii="Times New Roman" w:eastAsia="Times New Roman" w:hAnsi="Times New Roman" w:cs="Times New Roman"/>
          <w:color w:val="36363D"/>
        </w:rPr>
        <w:t>Winklhofer</w:t>
      </w:r>
      <w:proofErr w:type="spellEnd"/>
      <w:r>
        <w:rPr>
          <w:rFonts w:ascii="Times New Roman" w:eastAsia="Times New Roman" w:hAnsi="Times New Roman" w:cs="Times New Roman"/>
          <w:color w:val="36363D"/>
        </w:rPr>
        <w:t>, 2001).</w:t>
      </w:r>
    </w:p>
    <w:p w14:paraId="4065DE3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Dependent Variables (Performance Metrics)</w:t>
      </w:r>
      <w:r>
        <w:rPr>
          <w:rFonts w:ascii="Times New Roman" w:eastAsia="Times New Roman" w:hAnsi="Times New Roman" w:cs="Times New Roman"/>
          <w:color w:val="36363D"/>
        </w:rPr>
        <w:t>:</w:t>
      </w:r>
    </w:p>
    <w:p w14:paraId="1F0B0BF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Financial Performance Index (FPI) represents a composite measure of financial outcomes that captures multiple dimensions of financial performance relevant to supply chain management effectiveness (Venkatraman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1986). The index construction follows established principles of composite index development, with weights determined through principal components analysis to reflect the relative importance of different financial metrics in explaining overall financial performance variation.</w:t>
      </w:r>
    </w:p>
    <w:p w14:paraId="05D70C1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FPI = 0.4×ROA + 0.3×ROE + 0.3×Revenue_Growth</w:t>
      </w:r>
    </w:p>
    <w:p w14:paraId="25F70CB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67.3, SD = 18.4</w:t>
      </w:r>
    </w:p>
    <w:p w14:paraId="11AFC431" w14:textId="082FB7A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weighting scheme reflects theoretical expectations about the relative importance of different financial metrics for supply chain performance assessment (Kaplan &amp; Norton, 1996). Return on assets (ROA) receives the highest weight (40%) because it captures the efficiency with which </w:t>
      </w:r>
      <w:proofErr w:type="spellStart"/>
      <w:r w:rsidR="00B765F5" w:rsidRPr="00751BE7">
        <w:rPr>
          <w:rFonts w:ascii="Times New Roman" w:eastAsia="Times New Roman" w:hAnsi="Times New Roman" w:cs="Times New Roman"/>
          <w:color w:val="36363D"/>
          <w:highlight w:val="yellow"/>
        </w:rPr>
        <w:t>organisations</w:t>
      </w:r>
      <w:proofErr w:type="spellEnd"/>
      <w:r w:rsidR="00B765F5" w:rsidRPr="00751BE7">
        <w:rPr>
          <w:rFonts w:ascii="Times New Roman" w:eastAsia="Times New Roman" w:hAnsi="Times New Roman" w:cs="Times New Roman"/>
          <w:color w:val="36363D"/>
          <w:highlight w:val="yellow"/>
        </w:rPr>
        <w:t xml:space="preserve"> </w:t>
      </w:r>
      <w:proofErr w:type="spellStart"/>
      <w:r w:rsidR="00B765F5" w:rsidRPr="00751BE7">
        <w:rPr>
          <w:rFonts w:ascii="Times New Roman" w:eastAsia="Times New Roman" w:hAnsi="Times New Roman" w:cs="Times New Roman"/>
          <w:color w:val="36363D"/>
          <w:highlight w:val="yellow"/>
        </w:rPr>
        <w:t>utilise</w:t>
      </w:r>
      <w:proofErr w:type="spellEnd"/>
      <w:r w:rsidRPr="00751BE7">
        <w:rPr>
          <w:rFonts w:ascii="Times New Roman" w:eastAsia="Times New Roman" w:hAnsi="Times New Roman" w:cs="Times New Roman"/>
          <w:color w:val="36363D"/>
          <w:highlight w:val="yellow"/>
        </w:rPr>
        <w:t xml:space="preserve"> their</w:t>
      </w:r>
      <w:r>
        <w:rPr>
          <w:rFonts w:ascii="Times New Roman" w:eastAsia="Times New Roman" w:hAnsi="Times New Roman" w:cs="Times New Roman"/>
          <w:color w:val="36363D"/>
        </w:rPr>
        <w:t xml:space="preserve"> assets, including supply chain assets. Return on equity (ROE) and revenue growth each receive 30% weights, reflecting their importance for shareholder value creation and market performance</w:t>
      </w:r>
      <w:r w:rsidR="00B765F5">
        <w:rPr>
          <w:rFonts w:ascii="Times New Roman" w:eastAsia="Times New Roman" w:hAnsi="Times New Roman" w:cs="Times New Roman"/>
          <w:color w:val="36363D"/>
        </w:rPr>
        <w:t>,</w:t>
      </w:r>
      <w:r>
        <w:rPr>
          <w:rFonts w:ascii="Times New Roman" w:eastAsia="Times New Roman" w:hAnsi="Times New Roman" w:cs="Times New Roman"/>
          <w:color w:val="36363D"/>
        </w:rPr>
        <w:t xml:space="preserve"> respectively.</w:t>
      </w:r>
    </w:p>
    <w:p w14:paraId="1F063B0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The Operational Performance Index (OPI) captures the immediate effects of supply chain risk management on operational efficiency and effectiveness (Neely et al., 1995). This index incorporates measures that are directly influenced by supply chain risk management practices and that serve as leading indicators of financial performance outcomes.</w:t>
      </w:r>
    </w:p>
    <w:p w14:paraId="4D127FD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OPI = 0.35×On_Time_Delivery + 0.35×Quality_Score + 0.30×Inventory_Turnover</w:t>
      </w:r>
    </w:p>
    <w:p w14:paraId="59BF12D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72.1, SD = 15.7</w:t>
      </w:r>
    </w:p>
    <w:p w14:paraId="1243146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On-time delivery and quality scores receive equal weights (35% each) because both represent critical dimensions of supply chain performance that are directly influenced by risk management practices. Inventory turnover receives a slightly lower weight (30%) because while it reflects supply chain efficiency, it may also be influenced by factors outside the scope of risk management.</w:t>
      </w:r>
    </w:p>
    <w:p w14:paraId="327394A2" w14:textId="29A427B4"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Strategic Performance Index (SPI) assesses longer-term implications of supply chain risk management for competitive advantage and market position (Venkatraman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xml:space="preserve">, 1986). This index captures performance outcomes that may take time to </w:t>
      </w:r>
      <w:proofErr w:type="spellStart"/>
      <w:r w:rsidR="001B70F8" w:rsidRPr="00751BE7">
        <w:rPr>
          <w:rFonts w:ascii="Times New Roman" w:eastAsia="Times New Roman" w:hAnsi="Times New Roman" w:cs="Times New Roman"/>
          <w:color w:val="36363D"/>
          <w:highlight w:val="yellow"/>
        </w:rPr>
        <w:t>materialise</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but that represent the ultimate strategic value of SCRM investments.</w:t>
      </w:r>
    </w:p>
    <w:p w14:paraId="1719C81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SPI = 0.5×Market_Share_Growth + 0.5×Customer_Satisfaction</w:t>
      </w:r>
    </w:p>
    <w:p w14:paraId="531D1D6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0-100, Mean = 68.9, SD = 16.2</w:t>
      </w:r>
    </w:p>
    <w:p w14:paraId="1EFCC69E" w14:textId="1993EF2C"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Market share growth and customer satisfaction receive equal weights because both represent critical strategic outcomes that reflect the </w:t>
      </w:r>
      <w:proofErr w:type="spellStart"/>
      <w:r w:rsidR="001B70F8">
        <w:rPr>
          <w:rFonts w:ascii="Times New Roman" w:eastAsia="Times New Roman" w:hAnsi="Times New Roman" w:cs="Times New Roman"/>
          <w:color w:val="36363D"/>
        </w:rPr>
        <w:t>organisation’s</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competitive position and customer value proposition.</w:t>
      </w:r>
    </w:p>
    <w:p w14:paraId="625C4D99"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Independent Variables (SCRM Metrics):</w:t>
      </w:r>
    </w:p>
    <w:p w14:paraId="0A19DB40" w14:textId="49C1A95B"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SCRM Intensity Index (SCRM_I) represents the core explanatory variable and captures the comprehensiveness and sophistication of an </w:t>
      </w:r>
      <w:proofErr w:type="spellStart"/>
      <w:r w:rsidR="001B70F8">
        <w:rPr>
          <w:rFonts w:ascii="Times New Roman" w:eastAsia="Times New Roman" w:hAnsi="Times New Roman" w:cs="Times New Roman"/>
          <w:color w:val="36363D"/>
        </w:rPr>
        <w:t>organisation’s</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supply chain risk management practices (</w:t>
      </w:r>
      <w:proofErr w:type="spellStart"/>
      <w:r w:rsidR="007F0EFC" w:rsidRPr="007F0EFC">
        <w:rPr>
          <w:rFonts w:ascii="Times New Roman" w:eastAsia="Times New Roman" w:hAnsi="Times New Roman" w:cs="Times New Roman"/>
          <w:color w:val="36363D"/>
        </w:rPr>
        <w:t>Emrouznejad</w:t>
      </w:r>
      <w:proofErr w:type="spellEnd"/>
      <w:r w:rsidR="007F0EFC" w:rsidRPr="007F0EFC">
        <w:rPr>
          <w:rFonts w:ascii="Times New Roman" w:eastAsia="Times New Roman" w:hAnsi="Times New Roman" w:cs="Times New Roman"/>
          <w:color w:val="36363D"/>
        </w:rPr>
        <w:t xml:space="preserve">, Abbasi &amp; </w:t>
      </w:r>
      <w:proofErr w:type="spellStart"/>
      <w:r w:rsidR="007F0EFC" w:rsidRPr="007F0EFC">
        <w:rPr>
          <w:rFonts w:ascii="Times New Roman" w:eastAsia="Times New Roman" w:hAnsi="Times New Roman" w:cs="Times New Roman"/>
          <w:color w:val="36363D"/>
        </w:rPr>
        <w:t>Sıcakyüz</w:t>
      </w:r>
      <w:proofErr w:type="spellEnd"/>
      <w:r w:rsidR="007F0EFC" w:rsidRPr="007F0EFC">
        <w:rPr>
          <w:rFonts w:ascii="Times New Roman" w:eastAsia="Times New Roman" w:hAnsi="Times New Roman" w:cs="Times New Roman"/>
          <w:color w:val="36363D"/>
        </w:rPr>
        <w:t>, 2023</w:t>
      </w:r>
      <w:r>
        <w:rPr>
          <w:rFonts w:ascii="Times New Roman" w:eastAsia="Times New Roman" w:hAnsi="Times New Roman" w:cs="Times New Roman"/>
          <w:color w:val="36363D"/>
        </w:rPr>
        <w:t>). The index construction employs a weighted aggregation approach with weights determined through expert judgment and validated through empirical analysis.</w:t>
      </w:r>
    </w:p>
    <w:p w14:paraId="1CFCD29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SCRM_I = Σᵢ wᵢ × </w:t>
      </w:r>
      <w:proofErr w:type="spellStart"/>
      <w:r>
        <w:rPr>
          <w:rFonts w:ascii="Times New Roman" w:eastAsia="Times New Roman" w:hAnsi="Times New Roman" w:cs="Times New Roman"/>
          <w:color w:val="36363D"/>
        </w:rPr>
        <w:t>Component_Score_i</w:t>
      </w:r>
      <w:proofErr w:type="spellEnd"/>
    </w:p>
    <w:p w14:paraId="2A28728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Components: Risk Assessment (w₁=0.25), Diversification (w₂=0.30), Technology (w₃=0.25), Collaboration (w₄=0.20) Scale: 0-10, Mean = 6.23, SD = 2.14</w:t>
      </w:r>
    </w:p>
    <w:p w14:paraId="6CBE864C" w14:textId="6D74942C"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component weighting reflects theoretical expectations about the relative importance of different SCRM practices. Diversification receives the highest weight (30%) because it represents a fundamental risk management principle with broad applicability. Risk assessment and technology adoption each receive 25% weights, reflecting their importance as foundation capabilities and enablers</w:t>
      </w:r>
      <w:r w:rsidR="001B70F8">
        <w:rPr>
          <w:rFonts w:ascii="Times New Roman" w:eastAsia="Times New Roman" w:hAnsi="Times New Roman" w:cs="Times New Roman"/>
          <w:color w:val="36363D"/>
        </w:rPr>
        <w:t>,</w:t>
      </w:r>
      <w:r>
        <w:rPr>
          <w:rFonts w:ascii="Times New Roman" w:eastAsia="Times New Roman" w:hAnsi="Times New Roman" w:cs="Times New Roman"/>
          <w:color w:val="36363D"/>
        </w:rPr>
        <w:t xml:space="preserve"> respectively. Collaboration receives 20% weight, acknowledging its importance while </w:t>
      </w:r>
      <w:proofErr w:type="spellStart"/>
      <w:r w:rsidR="001B70F8" w:rsidRPr="00751BE7">
        <w:rPr>
          <w:rFonts w:ascii="Times New Roman" w:eastAsia="Times New Roman" w:hAnsi="Times New Roman" w:cs="Times New Roman"/>
          <w:color w:val="36363D"/>
          <w:highlight w:val="yellow"/>
        </w:rPr>
        <w:t>recognising</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that it may be more context-dependent than other components.</w:t>
      </w:r>
    </w:p>
    <w:p w14:paraId="643308F8" w14:textId="3B8CCDD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Technology Adoption Score (TAS) measures the extent to which </w:t>
      </w:r>
      <w:proofErr w:type="spellStart"/>
      <w:r w:rsidR="001B70F8">
        <w:rPr>
          <w:rFonts w:ascii="Times New Roman" w:eastAsia="Times New Roman" w:hAnsi="Times New Roman" w:cs="Times New Roman"/>
          <w:color w:val="36363D"/>
        </w:rPr>
        <w:t>organisations</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have implemented digital technologies in their supply chain risk management practices (</w:t>
      </w:r>
      <w:r w:rsidR="00F61B04" w:rsidRPr="00F61B04">
        <w:rPr>
          <w:rFonts w:ascii="Times New Roman" w:eastAsia="Times New Roman" w:hAnsi="Times New Roman" w:cs="Times New Roman"/>
          <w:color w:val="36363D"/>
        </w:rPr>
        <w:t>Yang et al., 2021</w:t>
      </w:r>
      <w:r>
        <w:rPr>
          <w:rFonts w:ascii="Times New Roman" w:eastAsia="Times New Roman" w:hAnsi="Times New Roman" w:cs="Times New Roman"/>
          <w:color w:val="36363D"/>
        </w:rPr>
        <w:t xml:space="preserve">). This variable captures the technological sophistication </w:t>
      </w:r>
      <w:r>
        <w:rPr>
          <w:rFonts w:ascii="Times New Roman" w:eastAsia="Times New Roman" w:hAnsi="Times New Roman" w:cs="Times New Roman"/>
          <w:color w:val="36363D"/>
        </w:rPr>
        <w:lastRenderedPageBreak/>
        <w:t>of SCRM approaches and enables examination of technology-SCRM interaction effects.</w:t>
      </w:r>
    </w:p>
    <w:p w14:paraId="14EBF99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0-7, Mean = 4.12, SD = 1.89</w:t>
      </w:r>
    </w:p>
    <w:p w14:paraId="3BD229F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technology adoption measure incorporates seven key technologies: (1) Enterprise Resource Planning (ERP) systems, (2) Supply Chain Management (SCM) software, (3) Business Intelligence and Analytics platforms, (4) Internet of Things (IoT) sensors and devices, (5) Artificial Intelligence and Machine Learning tools, (6) Blockchain technology, and (7) Cloud-based collaboration platforms. Each technology is scored on a 0-1 scale based on implementation status and sophistication level.</w:t>
      </w:r>
    </w:p>
    <w:p w14:paraId="08A086A1" w14:textId="28E3FD4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Risk Exposure Level (REL) captures the inherent risk environment facing each </w:t>
      </w:r>
      <w:proofErr w:type="spellStart"/>
      <w:r w:rsidR="001B70F8">
        <w:rPr>
          <w:rFonts w:ascii="Times New Roman" w:eastAsia="Times New Roman" w:hAnsi="Times New Roman" w:cs="Times New Roman"/>
          <w:color w:val="36363D"/>
        </w:rPr>
        <w:t>organisation</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and serves as a control variable that enables examination of how SCRM effectiveness varies with risk exposure levels (Tang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xml:space="preserve">, 2023). This measure </w:t>
      </w:r>
      <w:proofErr w:type="spellStart"/>
      <w:r w:rsidR="001B70F8">
        <w:rPr>
          <w:rFonts w:ascii="Times New Roman" w:eastAsia="Times New Roman" w:hAnsi="Times New Roman" w:cs="Times New Roman"/>
          <w:color w:val="36363D"/>
        </w:rPr>
        <w:t>recognises</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that SCRM strategies may be more valuable in high-risk environments while controlling for the direct effects of risk exposure on performance outcomes.</w:t>
      </w:r>
    </w:p>
    <w:p w14:paraId="1159942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REL = </w:t>
      </w:r>
      <w:proofErr w:type="spellStart"/>
      <w:r>
        <w:rPr>
          <w:rFonts w:ascii="Times New Roman" w:eastAsia="Times New Roman" w:hAnsi="Times New Roman" w:cs="Times New Roman"/>
          <w:color w:val="36363D"/>
        </w:rPr>
        <w:t>Geographic_Concentration</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Supplier_Dependency</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Environment_Volatility</w:t>
      </w:r>
      <w:proofErr w:type="spellEnd"/>
    </w:p>
    <w:p w14:paraId="349632F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Scale: 1-9, Mean = 5.67, SD = 2.01</w:t>
      </w:r>
    </w:p>
    <w:p w14:paraId="012E763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multiplicative structure reflects theoretical expectations that risk exposure increases non-linearly when multiple risk factors are present simultaneously. Geographic concentration measures the extent to which supply sources are concentrated in specific regions, supplier dependency captures reliance on key suppliers, and environmental volatility reflects the stability of the external environment.</w:t>
      </w:r>
    </w:p>
    <w:p w14:paraId="6E7ADEB2"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3.4 Econometric Specification and Model Development</w:t>
      </w:r>
    </w:p>
    <w:p w14:paraId="7ABE3904" w14:textId="4D7956D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econometric specification builds upon established panel data methodologies while incorporating recent advances in causal inference techniques (Wooldridge, 2020). The </w:t>
      </w:r>
      <w:r w:rsidR="001B70F8" w:rsidRPr="00751BE7">
        <w:rPr>
          <w:rFonts w:ascii="Times New Roman" w:eastAsia="Times New Roman" w:hAnsi="Times New Roman" w:cs="Times New Roman"/>
          <w:color w:val="36363D"/>
          <w:highlight w:val="yellow"/>
        </w:rPr>
        <w:t>modelling</w:t>
      </w:r>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strategy employs multiple specifications to test the robustness of findings and to examine different aspects of the SCRM-performance relationship. The baseline specification uses fixed effects panel regression to control for time-invariant unobserved heterogeneity, while extended specifications incorporate interaction effects, non-linear relationships, and dynamic adjustment processes.</w:t>
      </w:r>
    </w:p>
    <w:p w14:paraId="6E9E387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Primary Model (Fixed Effects Panel Regression): The baseline model specification follows the standard fixed effects framework:</w:t>
      </w:r>
    </w:p>
    <w:p w14:paraId="46E97B0F"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 β₃</w:t>
      </w:r>
      <w:proofErr w:type="spellStart"/>
      <w:r>
        <w:rPr>
          <w:rFonts w:ascii="Times New Roman" w:eastAsia="Times New Roman" w:hAnsi="Times New Roman" w:cs="Times New Roman"/>
          <w:color w:val="36363D"/>
        </w:rPr>
        <w:t>TAS_it</w:t>
      </w:r>
      <w:proofErr w:type="spellEnd"/>
      <w:r>
        <w:rPr>
          <w:rFonts w:ascii="Times New Roman" w:eastAsia="Times New Roman" w:hAnsi="Times New Roman" w:cs="Times New Roman"/>
          <w:color w:val="36363D"/>
        </w:rPr>
        <w:t xml:space="preserve"> + β₄</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δᵢ + λₜ + εᵢₜ</w:t>
      </w:r>
    </w:p>
    <w:p w14:paraId="0622C718" w14:textId="4FD2D989"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w:t>
      </w: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represents one of the three performance indices for </w:t>
      </w:r>
      <w:proofErr w:type="spellStart"/>
      <w:r w:rsidR="001B70F8" w:rsidRPr="00751BE7">
        <w:rPr>
          <w:rFonts w:ascii="Times New Roman" w:eastAsia="Times New Roman" w:hAnsi="Times New Roman" w:cs="Times New Roman"/>
          <w:color w:val="36363D"/>
          <w:highlight w:val="yellow"/>
        </w:rPr>
        <w:t>organisation</w:t>
      </w:r>
      <w:proofErr w:type="spellEnd"/>
      <w:r w:rsidR="001B70F8">
        <w:rPr>
          <w:rFonts w:ascii="Times New Roman" w:eastAsia="Times New Roman" w:hAnsi="Times New Roman" w:cs="Times New Roman"/>
          <w:color w:val="36363D"/>
        </w:rPr>
        <w:t xml:space="preserve"> </w:t>
      </w:r>
      <w:proofErr w:type="spellStart"/>
      <w:r>
        <w:rPr>
          <w:rFonts w:ascii="Times New Roman" w:eastAsia="Times New Roman" w:hAnsi="Times New Roman" w:cs="Times New Roman"/>
          <w:color w:val="36363D"/>
        </w:rPr>
        <w:t>i</w:t>
      </w:r>
      <w:proofErr w:type="spellEnd"/>
      <w:r>
        <w:rPr>
          <w:rFonts w:ascii="Times New Roman" w:eastAsia="Times New Roman" w:hAnsi="Times New Roman" w:cs="Times New Roman"/>
          <w:color w:val="36363D"/>
        </w:rPr>
        <w:t xml:space="preserve"> in period t, </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is the SCRM intensity index, </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is the risk exposure level, </w:t>
      </w:r>
      <w:proofErr w:type="spellStart"/>
      <w:r>
        <w:rPr>
          <w:rFonts w:ascii="Times New Roman" w:eastAsia="Times New Roman" w:hAnsi="Times New Roman" w:cs="Times New Roman"/>
          <w:color w:val="36363D"/>
        </w:rPr>
        <w:t>TAS_it</w:t>
      </w:r>
      <w:proofErr w:type="spellEnd"/>
      <w:r>
        <w:rPr>
          <w:rFonts w:ascii="Times New Roman" w:eastAsia="Times New Roman" w:hAnsi="Times New Roman" w:cs="Times New Roman"/>
          <w:color w:val="36363D"/>
        </w:rPr>
        <w:t xml:space="preserve"> is the technology adoption score, </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represents additional control variables, δᵢ captures </w:t>
      </w:r>
      <w:proofErr w:type="spellStart"/>
      <w:r w:rsidR="001B70F8">
        <w:rPr>
          <w:rFonts w:ascii="Times New Roman" w:eastAsia="Times New Roman" w:hAnsi="Times New Roman" w:cs="Times New Roman"/>
          <w:color w:val="36363D"/>
        </w:rPr>
        <w:t>organisation</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fixed effects, λₜ represents time fixed effects, and εᵢₜ is the error term (</w:t>
      </w: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2021).</w:t>
      </w:r>
    </w:p>
    <w:p w14:paraId="7F3C929F" w14:textId="28746FF5"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 xml:space="preserve">The fixed effects specification controls for time-invariant unobserved characteristics that might correlate with both SCRM strategies and performance outcomes, such as management quality, </w:t>
      </w:r>
      <w:proofErr w:type="spellStart"/>
      <w:r w:rsidR="001B70F8">
        <w:rPr>
          <w:rFonts w:ascii="Times New Roman" w:eastAsia="Times New Roman" w:hAnsi="Times New Roman" w:cs="Times New Roman"/>
          <w:color w:val="36363D"/>
        </w:rPr>
        <w:t>organisational</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culture, or industry-specific factors. The inclusion of time fixed effects controls for common temporal shocks that affect all </w:t>
      </w:r>
      <w:proofErr w:type="spellStart"/>
      <w:r w:rsidR="001B70F8">
        <w:rPr>
          <w:rFonts w:ascii="Times New Roman" w:eastAsia="Times New Roman" w:hAnsi="Times New Roman" w:cs="Times New Roman"/>
          <w:color w:val="36363D"/>
        </w:rPr>
        <w:t>organisations</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simultaneously, such as economic cycles, regulatory changes, or global supply chain disruptions.</w:t>
      </w:r>
    </w:p>
    <w:p w14:paraId="51D1D2B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Extended Model (Interaction Effects): The extended specification incorporates interaction terms to examine how the effectiveness of SCRM strategies varies with technology adoption and infrastructure quality:</w:t>
      </w:r>
    </w:p>
    <w:p w14:paraId="798DF1DF"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w:t>
      </w:r>
      <w:proofErr w:type="spellStart"/>
      <w:r>
        <w:rPr>
          <w:rFonts w:ascii="Times New Roman" w:eastAsia="Times New Roman" w:hAnsi="Times New Roman" w:cs="Times New Roman"/>
          <w:color w:val="36363D"/>
        </w:rPr>
        <w:t>REL_it</w:t>
      </w:r>
      <w:proofErr w:type="spellEnd"/>
      <w:r>
        <w:rPr>
          <w:rFonts w:ascii="Times New Roman" w:eastAsia="Times New Roman" w:hAnsi="Times New Roman" w:cs="Times New Roman"/>
          <w:color w:val="36363D"/>
        </w:rPr>
        <w:t xml:space="preserve"> + β₃</w:t>
      </w:r>
      <w:proofErr w:type="spellStart"/>
      <w:r>
        <w:rPr>
          <w:rFonts w:ascii="Times New Roman" w:eastAsia="Times New Roman" w:hAnsi="Times New Roman" w:cs="Times New Roman"/>
          <w:color w:val="36363D"/>
        </w:rPr>
        <w:t>TAS_it</w:t>
      </w:r>
      <w:proofErr w:type="spellEnd"/>
      <w:r>
        <w:rPr>
          <w:rFonts w:ascii="Times New Roman" w:eastAsia="Times New Roman" w:hAnsi="Times New Roman" w:cs="Times New Roman"/>
          <w:color w:val="36363D"/>
        </w:rPr>
        <w:t xml:space="preserve"> + β</w:t>
      </w:r>
      <w:proofErr w:type="gramStart"/>
      <w:r>
        <w:rPr>
          <w:rFonts w:ascii="Times New Roman" w:eastAsia="Times New Roman" w:hAnsi="Times New Roman" w:cs="Times New Roman"/>
          <w:color w:val="36363D"/>
        </w:rPr>
        <w:t>₄(</w:t>
      </w:r>
      <w:proofErr w:type="gramEnd"/>
      <w:r>
        <w:rPr>
          <w:rFonts w:ascii="Times New Roman" w:eastAsia="Times New Roman" w:hAnsi="Times New Roman" w:cs="Times New Roman"/>
          <w:color w:val="36363D"/>
        </w:rPr>
        <w:t>SCRM_I × TAS)_it + β₅(SCRM_I × Infrastructure)_it + β₆</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δᵢ + λₜ + εᵢₜ</w:t>
      </w:r>
    </w:p>
    <w:p w14:paraId="5585031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interaction terms enable examination of whether technology adoption amplifies the effectiveness of SCRM strategies (β₄ coefficient) and whether infrastructure quality moderates SCRM effectiveness (β₅ coefficient). These interaction effects are theoretically motivated by expectations that technology enables more sophisticated risk management approaches while infrastructure quality affects the feasibility of implementing complex SCRM strategies.</w:t>
      </w:r>
    </w:p>
    <w:p w14:paraId="6AD3F4E6"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Non-linear Specification (Threshold Model): The threshold model examines whether SCRM-performance relationships exhibit non-linear patterns with identifiable threshold effects:</w:t>
      </w:r>
    </w:p>
    <w:p w14:paraId="60670534"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Performance_it</w:t>
      </w:r>
      <w:proofErr w:type="spellEnd"/>
      <w:r>
        <w:rPr>
          <w:rFonts w:ascii="Times New Roman" w:eastAsia="Times New Roman" w:hAnsi="Times New Roman" w:cs="Times New Roman"/>
          <w:color w:val="36363D"/>
        </w:rPr>
        <w:t xml:space="preserve"> = α + β₁</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β₂SCRM_I²_it + β₃</w:t>
      </w:r>
      <w:proofErr w:type="gramStart"/>
      <w:r>
        <w:rPr>
          <w:rFonts w:ascii="Times New Roman" w:eastAsia="Times New Roman" w:hAnsi="Times New Roman" w:cs="Times New Roman"/>
          <w:color w:val="36363D"/>
        </w:rPr>
        <w:t>I(</w:t>
      </w:r>
      <w:proofErr w:type="gramEnd"/>
      <w:r>
        <w:rPr>
          <w:rFonts w:ascii="Times New Roman" w:eastAsia="Times New Roman" w:hAnsi="Times New Roman" w:cs="Times New Roman"/>
          <w:color w:val="36363D"/>
        </w:rPr>
        <w:t xml:space="preserve">SCRM_I &gt; τ) × </w:t>
      </w:r>
      <w:proofErr w:type="spellStart"/>
      <w:r>
        <w:rPr>
          <w:rFonts w:ascii="Times New Roman" w:eastAsia="Times New Roman" w:hAnsi="Times New Roman" w:cs="Times New Roman"/>
          <w:color w:val="36363D"/>
        </w:rPr>
        <w:t>SCRM_I_it</w:t>
      </w:r>
      <w:proofErr w:type="spellEnd"/>
      <w:r>
        <w:rPr>
          <w:rFonts w:ascii="Times New Roman" w:eastAsia="Times New Roman" w:hAnsi="Times New Roman" w:cs="Times New Roman"/>
          <w:color w:val="36363D"/>
        </w:rPr>
        <w:t xml:space="preserve"> + </w:t>
      </w:r>
      <w:proofErr w:type="spellStart"/>
      <w:r>
        <w:rPr>
          <w:rFonts w:ascii="Times New Roman" w:eastAsia="Times New Roman" w:hAnsi="Times New Roman" w:cs="Times New Roman"/>
          <w:color w:val="36363D"/>
        </w:rPr>
        <w:t>Controls_it</w:t>
      </w:r>
      <w:proofErr w:type="spellEnd"/>
      <w:r>
        <w:rPr>
          <w:rFonts w:ascii="Times New Roman" w:eastAsia="Times New Roman" w:hAnsi="Times New Roman" w:cs="Times New Roman"/>
          <w:color w:val="36363D"/>
        </w:rPr>
        <w:t xml:space="preserve"> + εᵢₜ</w:t>
      </w:r>
    </w:p>
    <w:p w14:paraId="6B3F7A39" w14:textId="58BB25B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Where τ represents the optimal threshold level for SCRM investment, and </w:t>
      </w:r>
      <w:proofErr w:type="gramStart"/>
      <w:r>
        <w:rPr>
          <w:rFonts w:ascii="Times New Roman" w:eastAsia="Times New Roman" w:hAnsi="Times New Roman" w:cs="Times New Roman"/>
          <w:color w:val="36363D"/>
        </w:rPr>
        <w:t>I(</w:t>
      </w:r>
      <w:proofErr w:type="gramEnd"/>
      <w:r>
        <w:rPr>
          <w:rFonts w:ascii="Times New Roman" w:eastAsia="Times New Roman" w:hAnsi="Times New Roman" w:cs="Times New Roman"/>
          <w:color w:val="36363D"/>
        </w:rPr>
        <w:t xml:space="preserve">SCRM_I &gt; τ) is an indicator function that equals 1 when SCRM intensity exceeds the threshold level (Hansen, 1999). This specification enables identification of optimal SCRM investment levels and </w:t>
      </w:r>
      <w:r w:rsidR="001B70F8" w:rsidRPr="00751BE7">
        <w:rPr>
          <w:rFonts w:ascii="Times New Roman" w:eastAsia="Times New Roman" w:hAnsi="Times New Roman" w:cs="Times New Roman"/>
          <w:color w:val="36363D"/>
          <w:highlight w:val="yellow"/>
        </w:rPr>
        <w:t>the</w:t>
      </w:r>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examination of whether returns to SCRM investment change at different intensity levels.</w:t>
      </w:r>
    </w:p>
    <w:p w14:paraId="7D40D0D8"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3.5 Estimation Strategy and Identification</w:t>
      </w:r>
    </w:p>
    <w:p w14:paraId="3A98DD4A" w14:textId="60011D41"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estimation strategy employs multiple approaches to ensure robustness of findings and to address potential sources of bias that could compromise causal inference (Stock &amp; Watson, 2020). The primary approach uses fixed effects panel regression with robust standard errors clustered at the </w:t>
      </w:r>
      <w:proofErr w:type="spellStart"/>
      <w:r w:rsidR="001B70F8">
        <w:rPr>
          <w:rFonts w:ascii="Times New Roman" w:eastAsia="Times New Roman" w:hAnsi="Times New Roman" w:cs="Times New Roman"/>
          <w:color w:val="36363D"/>
        </w:rPr>
        <w:t>organisation</w:t>
      </w:r>
      <w:proofErr w:type="spellEnd"/>
      <w:r w:rsidR="001B70F8">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level to account for serial correlation and heteroskedasticity. Alternative specifications employ random effects estimation, instrumental variables </w:t>
      </w:r>
      <w:r w:rsidR="001B70F8">
        <w:rPr>
          <w:rFonts w:ascii="Times New Roman" w:eastAsia="Times New Roman" w:hAnsi="Times New Roman" w:cs="Times New Roman"/>
          <w:color w:val="36363D"/>
        </w:rPr>
        <w:t>approach</w:t>
      </w:r>
      <w:r>
        <w:rPr>
          <w:rFonts w:ascii="Times New Roman" w:eastAsia="Times New Roman" w:hAnsi="Times New Roman" w:cs="Times New Roman"/>
          <w:color w:val="36363D"/>
        </w:rPr>
        <w:t>, and machine learning techniques to validate findings and examine model sensitivity.</w:t>
      </w:r>
    </w:p>
    <w:p w14:paraId="156E2C3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Panel Data Model Selection: The choice between fixed effects and random effects estimation is guided by theoretical considerations and statistical tests. Fixed effects estimation is preferred when unobserved heterogeneity is likely to be correlated with explanatory variables, while random effects estimation is more efficient when the random effects assumption is satisfied (Hausman, 1978). The Hausman test provides statistical guidance for model selection, with significant test statistics (χ² = 47.89, p &lt; 0.001) supporting the use of fixed effects estimation.</w:t>
      </w:r>
    </w:p>
    <w:p w14:paraId="3EA3D72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Instrumental Variables (2SLS) Approach: Instrumental variables estimation addresses potential endogeneity that arises when SCRM strategies and performance </w:t>
      </w:r>
      <w:r>
        <w:rPr>
          <w:rFonts w:ascii="Times New Roman" w:eastAsia="Times New Roman" w:hAnsi="Times New Roman" w:cs="Times New Roman"/>
          <w:color w:val="36363D"/>
        </w:rPr>
        <w:lastRenderedPageBreak/>
        <w:t>outcomes are simultaneously determined or when unobserved factors influence both variables (Stock &amp; Watson, 2020). The instrumental variables approach requires identifying variables that are correlated with SCRM intensity but uncorrelated with the error term in the performance equation.</w:t>
      </w:r>
    </w:p>
    <w:p w14:paraId="2E81FFCF" w14:textId="2513DC26"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selected instruments include historical supply disruption events and regulatory changes that affect the perceived need for risk management without directly influencing current performance outcomes. Historical disruption events create exogenous variation in risk awareness and management intensity, while regulatory changes provide external pressure for risk management adoption that is independent of </w:t>
      </w:r>
      <w:proofErr w:type="spellStart"/>
      <w:r w:rsidR="001B70F8" w:rsidRPr="00751BE7">
        <w:rPr>
          <w:rFonts w:ascii="Times New Roman" w:eastAsia="Times New Roman" w:hAnsi="Times New Roman" w:cs="Times New Roman"/>
          <w:color w:val="36363D"/>
          <w:highlight w:val="yellow"/>
        </w:rPr>
        <w:t>organisation</w:t>
      </w:r>
      <w:proofErr w:type="spellEnd"/>
      <w:r w:rsidR="001B70F8" w:rsidRPr="00751BE7">
        <w:rPr>
          <w:rFonts w:ascii="Times New Roman" w:eastAsia="Times New Roman" w:hAnsi="Times New Roman" w:cs="Times New Roman"/>
          <w:color w:val="36363D"/>
          <w:highlight w:val="yellow"/>
        </w:rPr>
        <w:t>-specific</w:t>
      </w:r>
      <w:r w:rsidRPr="00751BE7">
        <w:rPr>
          <w:rFonts w:ascii="Times New Roman" w:eastAsia="Times New Roman" w:hAnsi="Times New Roman" w:cs="Times New Roman"/>
          <w:color w:val="36363D"/>
          <w:highlight w:val="yellow"/>
        </w:rPr>
        <w:t xml:space="preserve"> performance</w:t>
      </w:r>
      <w:r>
        <w:rPr>
          <w:rFonts w:ascii="Times New Roman" w:eastAsia="Times New Roman" w:hAnsi="Times New Roman" w:cs="Times New Roman"/>
          <w:color w:val="36363D"/>
        </w:rPr>
        <w:t xml:space="preserve"> factors.</w:t>
      </w:r>
    </w:p>
    <w:p w14:paraId="4C3F7FB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First-stage F-statistics (F = 23.67, p &lt; 0.001) confirm instrument relevance, indicating that the instruments are sufficiently correlated with SCRM intensity to provide meaningful identification. Overidentification tests (Hansen J = 2.34, p = 0.310) support instrument validity, suggesting that the instruments are uncorrelated with the error term in the performance equation.</w:t>
      </w:r>
    </w:p>
    <w:p w14:paraId="3B136F50" w14:textId="3A603D3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Machine Learning Validation: Machine learning techniques provide alternative approaches to traditional econometric methods and enable examination of complex non-linear relationships and interaction effects (</w:t>
      </w:r>
      <w:r w:rsidR="00F61B04" w:rsidRPr="00F61B04">
        <w:rPr>
          <w:rFonts w:ascii="Times New Roman" w:eastAsia="Times New Roman" w:hAnsi="Times New Roman" w:cs="Times New Roman"/>
          <w:color w:val="36363D"/>
        </w:rPr>
        <w:t>Yang et al., 2021</w:t>
      </w:r>
      <w:r>
        <w:rPr>
          <w:rFonts w:ascii="Times New Roman" w:eastAsia="Times New Roman" w:hAnsi="Times New Roman" w:cs="Times New Roman"/>
          <w:color w:val="36363D"/>
        </w:rPr>
        <w:t>). The study employs three machine learning approaches: Random Forest, Support Vector Regression, and Neural Networks, each offering different advantages for capturing complex relationships.</w:t>
      </w:r>
    </w:p>
    <w:p w14:paraId="73A2361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models provide robust prediction performance (R² = 0.742, RMSE = 12.34) while enabling examination of variable importance rankings that validate the relative importance of different SCRM components. Support Vector Regression offers advantages for handling non-linear relationships (R² = 0.698, RMSE = 13.87), while Neural Network models can capture complex interaction effects and non-linear patterns (R² = 0.759, RMSE = 11.92).</w:t>
      </w:r>
    </w:p>
    <w:p w14:paraId="3102DF83"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3.6 Addressing Endogeneity and Robustness</w:t>
      </w:r>
    </w:p>
    <w:p w14:paraId="56456A7F" w14:textId="17ADD2FA"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Endogeneity represents a primary threat to causal inference in observational studies of SCRM-performance relationships, arising from simultaneity, omitted variable bias, or measurement error (Wooldridge, 2020).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may adjust their SCRM strategies in response to performance outcomes, creating reverse causality that complicates the identification of causal effects. Similarly, unobserved factors such as management quality or </w:t>
      </w:r>
      <w:proofErr w:type="spellStart"/>
      <w:r w:rsidR="00C72567" w:rsidRPr="00751BE7">
        <w:rPr>
          <w:rFonts w:ascii="Times New Roman" w:eastAsia="Times New Roman" w:hAnsi="Times New Roman" w:cs="Times New Roman"/>
          <w:color w:val="36363D"/>
          <w:highlight w:val="yellow"/>
        </w:rPr>
        <w:t>organisational</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capabilities may influence both SCRM strategies and performance outcomes, creating spurious correlations.</w:t>
      </w:r>
    </w:p>
    <w:p w14:paraId="4013760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Testing: The study employs multiple tests to detect the presence of endogeneity and assess the need for corrective approaches. The Durbin-Wu-Hausman test compares ordinary least squares and instrumental variables estimates to test for endogeneity (Durbin, 1954; Wu, 1973; Hausman, 1978). Significant test statistics (χ² = 15.67, p &lt; 0.01) indicate the presence of endogeneity, supporting the use of instrumental variables estimation.</w:t>
      </w:r>
    </w:p>
    <w:p w14:paraId="45A40053"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C-statistic test examines instrument validity by testing whether instruments can be excluded from the structural equation (Baum et al., 2003). Non-significant test statistics (χ² = 3.21, p = 0.201) support instrument exogeneity, indicating that the instruments are uncorrelated with unobserved factors in the performance equation.</w:t>
      </w:r>
    </w:p>
    <w:p w14:paraId="3FAD4DD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Robustness Strategies: The robustness evaluation employs multiple approaches to assess the sensitivity of findings to alternative specifications, sample restrictions, and estimation methods. Lagged variable specifications use historical values of SCRM variables (t-1, t-2 periods) to reduce simultaneity concerns while maintaining the ability to identify causal effects. Dynamic panel estimation using the Arellano-Bond approach addresses concerns about dynamic adjustment processes and controls for unobserved heterogeneity in panel data contexts (Arellano &amp; Bond, 1991).</w:t>
      </w:r>
    </w:p>
    <w:p w14:paraId="768F0059" w14:textId="02836DE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Sample splitting techniques divide the dataset along multiple dimensions (time periods, geographic regions, industry sectors, </w:t>
      </w:r>
      <w:proofErr w:type="spellStart"/>
      <w:r w:rsidR="00C72567">
        <w:rPr>
          <w:rFonts w:ascii="Times New Roman" w:eastAsia="Times New Roman" w:hAnsi="Times New Roman" w:cs="Times New Roman"/>
          <w:color w:val="36363D"/>
        </w:rPr>
        <w:t>organisation</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sizes) to examine whether findings are consistent across different subsamples. Coefficient stability across subsamples provides evidence of robustness, while systematic variation in coefficients may indicate boundary conditions or moderating effects that warrant further investigation.</w:t>
      </w:r>
    </w:p>
    <w:p w14:paraId="670D43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Alternative dependent variable specifications employ different performance measures and index construction methods to ensure that findings are not sensitive to specific measurement choices. Log transformations address concerns about non-normal distributions and outliers, while percentile-based measures provide robustness to extreme values that may disproportionately influence mean-based measures.</w:t>
      </w:r>
    </w:p>
    <w:p w14:paraId="02EC17E8" w14:textId="0E855CD7" w:rsidR="009D055F" w:rsidRDefault="00C45426">
      <w:pPr>
        <w:spacing w:before="36" w:after="36" w:line="240" w:lineRule="auto"/>
        <w:ind w:left="720"/>
        <w:jc w:val="both"/>
        <w:rPr>
          <w:rFonts w:ascii="Times New Roman" w:eastAsia="Times New Roman" w:hAnsi="Times New Roman" w:cs="Times New Roman"/>
          <w:color w:val="36363D"/>
        </w:rPr>
      </w:pPr>
      <w:r>
        <w:rPr>
          <w:rFonts w:ascii="Times New Roman" w:eastAsia="Times New Roman" w:hAnsi="Times New Roman" w:cs="Times New Roman"/>
          <w:b/>
          <w:color w:val="36363D"/>
        </w:rPr>
        <w:t xml:space="preserve">4. Results and </w:t>
      </w:r>
      <w:r w:rsidR="00520A1B">
        <w:rPr>
          <w:rFonts w:ascii="Times New Roman" w:eastAsia="Times New Roman" w:hAnsi="Times New Roman" w:cs="Times New Roman"/>
          <w:b/>
          <w:color w:val="36363D"/>
        </w:rPr>
        <w:t>Analysis</w:t>
      </w:r>
    </w:p>
    <w:p w14:paraId="365DD0E2"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4.1 Descriptive Statistics and Correlations</w:t>
      </w:r>
    </w:p>
    <w:p w14:paraId="48235162" w14:textId="30FB6ED1"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descriptive analysis reveals substantial variation in both SCRM practices and performance outcomes across the sample </w:t>
      </w:r>
      <w:proofErr w:type="spellStart"/>
      <w:r w:rsidR="00C72567"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xml:space="preserve">, providing sufficient variation for econometric identification while highlighting the diversity of approaches employed by African </w:t>
      </w:r>
      <w:proofErr w:type="spellStart"/>
      <w:r w:rsidR="00C72567">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 xml:space="preserve">. The SCRM Intensity Index demonstrates a near-normal distribution (skewness = 0.23, kurtosis = 2.87) with meaningful variation across </w:t>
      </w:r>
      <w:proofErr w:type="spellStart"/>
      <w:r w:rsidR="00C72567" w:rsidRPr="00751BE7">
        <w:rPr>
          <w:rFonts w:ascii="Times New Roman" w:eastAsia="Times New Roman" w:hAnsi="Times New Roman" w:cs="Times New Roman"/>
          <w:color w:val="36363D"/>
          <w:highlight w:val="yellow"/>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(coefficient of variation = 0.34), indicating that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employ substantially different approaches to supply chain risk management.</w:t>
      </w:r>
    </w:p>
    <w:p w14:paraId="0DF600E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21477D7D" wp14:editId="4EA5F2C9">
            <wp:extent cx="5486400" cy="3291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5486400" cy="3291840"/>
                    </a:xfrm>
                    <a:prstGeom prst="rect">
                      <a:avLst/>
                    </a:prstGeom>
                  </pic:spPr>
                </pic:pic>
              </a:graphicData>
            </a:graphic>
          </wp:inline>
        </w:drawing>
      </w:r>
    </w:p>
    <w:p w14:paraId="318E8C9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1: Mean Scores by Variable</w:t>
      </w:r>
    </w:p>
    <w:p w14:paraId="44B5614A" w14:textId="38D7134E"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correlation matrix reveals theoretically consistent relationships between variables, with SCRM intensity showing positive correlations with all performance measures (r = 0.387 to 0.429, all p &lt; 0.001). Technology adoption demonstrates strong positive correlation with SCRM intensity (r = 0.524, p &lt; 0.001), supporting theoretical expectations about technology-SCRM complementarity. Risk exposure level shows negative correlations with performance outcomes (r = -0.267 to -0.312, all p &lt; 0.001), confirming the direct negative effects of risk exposure on </w:t>
      </w:r>
      <w:proofErr w:type="spellStart"/>
      <w:r w:rsidR="00C72567" w:rsidRPr="00751BE7">
        <w:rPr>
          <w:rFonts w:ascii="Times New Roman" w:eastAsia="Times New Roman" w:hAnsi="Times New Roman" w:cs="Times New Roman"/>
          <w:color w:val="36363D"/>
          <w:highlight w:val="yellow"/>
        </w:rPr>
        <w:t>organisational</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performance.</w:t>
      </w:r>
    </w:p>
    <w:p w14:paraId="7D62303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4F5FE2B5" wp14:editId="2C8923DB">
            <wp:extent cx="5486400" cy="4114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0"/>
                    <a:srcRect/>
                    <a:stretch>
                      <a:fillRect/>
                    </a:stretch>
                  </pic:blipFill>
                  <pic:spPr>
                    <a:xfrm>
                      <a:off x="0" y="0"/>
                      <a:ext cx="5486400" cy="4114800"/>
                    </a:xfrm>
                    <a:prstGeom prst="rect">
                      <a:avLst/>
                    </a:prstGeom>
                  </pic:spPr>
                </pic:pic>
              </a:graphicData>
            </a:graphic>
          </wp:inline>
        </w:drawing>
      </w:r>
    </w:p>
    <w:p w14:paraId="3ADFBF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2: Correlation Matrix Heatmap</w:t>
      </w:r>
    </w:p>
    <w:p w14:paraId="34C6AE98"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4.2 Main Effects: SCRM-Performance Relationships</w:t>
      </w:r>
    </w:p>
    <w:p w14:paraId="4524DEC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fixed effects panel regression results provide strong empirical support for Hypothesis 1, demonstrating statistically significant positive relationships between SCRM intensity and all three performance dimensions. The coefficients represent economically meaningful effect sizes, with a one-unit increase in SCRM intensity (on the 10-point scale) associated with substantial performance improvements across all measured dimensions.</w:t>
      </w:r>
    </w:p>
    <w:p w14:paraId="32833EC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lastRenderedPageBreak/>
        <w:drawing>
          <wp:inline distT="0" distB="0" distL="0" distR="0" wp14:anchorId="243143D4" wp14:editId="1103E97F">
            <wp:extent cx="5486400" cy="32918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1"/>
                    <a:srcRect/>
                    <a:stretch>
                      <a:fillRect/>
                    </a:stretch>
                  </pic:blipFill>
                  <pic:spPr>
                    <a:xfrm>
                      <a:off x="0" y="0"/>
                      <a:ext cx="5486400" cy="3291840"/>
                    </a:xfrm>
                    <a:prstGeom prst="rect">
                      <a:avLst/>
                    </a:prstGeom>
                  </pic:spPr>
                </pic:pic>
              </a:graphicData>
            </a:graphic>
          </wp:inline>
        </w:drawing>
      </w:r>
    </w:p>
    <w:p w14:paraId="700D15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3: Main Effects of Predictors on Performance</w:t>
      </w:r>
    </w:p>
    <w:p w14:paraId="40FA6BC7"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4.3 Technology-SCRM Interaction Effects</w:t>
      </w:r>
    </w:p>
    <w:p w14:paraId="62059206" w14:textId="2E0C66D6"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analysis of technology-SCRM interaction effects provides strong support for Hypothesis 2, demonstrating that technology adoption significantly amplifies the performance impact of SCRM strategies. The interaction coefficients are positive and statistically significant across all performance dimensions, indicating that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with higher technology adoption levels experience greater performance benefits from SCRM investments.</w:t>
      </w:r>
    </w:p>
    <w:p w14:paraId="0ABFDD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5E215991" wp14:editId="407604DD">
            <wp:extent cx="5029200" cy="31432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12"/>
                    <a:srcRect/>
                    <a:stretch>
                      <a:fillRect/>
                    </a:stretch>
                  </pic:blipFill>
                  <pic:spPr>
                    <a:xfrm>
                      <a:off x="0" y="0"/>
                      <a:ext cx="5029200" cy="3143250"/>
                    </a:xfrm>
                    <a:prstGeom prst="rect">
                      <a:avLst/>
                    </a:prstGeom>
                  </pic:spPr>
                </pic:pic>
              </a:graphicData>
            </a:graphic>
          </wp:inline>
        </w:drawing>
      </w:r>
    </w:p>
    <w:p w14:paraId="7D92F28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4: Technology × SCRM Interaction Effects</w:t>
      </w:r>
    </w:p>
    <w:p w14:paraId="096E55E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4.4 Non-linear Effects and Optimal Thresholds</w:t>
      </w:r>
    </w:p>
    <w:p w14:paraId="68E2F96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threshold analysis provides strong evidence for Hypothesis 3, revealing that SCRM-performance relationships follow non-linear patterns with identifiable optimal investment levels. The quadratic specifications demonstrate diminishing returns to SCRM investments at high intensity levels, while threshold regression identifies specific break points where the marginal returns to SCRM investment change significantly.</w:t>
      </w:r>
    </w:p>
    <w:p w14:paraId="6686C6D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0AA56F6D" wp14:editId="07B0539C">
            <wp:extent cx="5486400" cy="32918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13"/>
                    <a:srcRect/>
                    <a:stretch>
                      <a:fillRect/>
                    </a:stretch>
                  </pic:blipFill>
                  <pic:spPr>
                    <a:xfrm>
                      <a:off x="0" y="0"/>
                      <a:ext cx="5486400" cy="3291840"/>
                    </a:xfrm>
                    <a:prstGeom prst="rect">
                      <a:avLst/>
                    </a:prstGeom>
                  </pic:spPr>
                </pic:pic>
              </a:graphicData>
            </a:graphic>
          </wp:inline>
        </w:drawing>
      </w:r>
    </w:p>
    <w:p w14:paraId="5B884C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5: Non-linear Effects of SCRM Intensity</w:t>
      </w:r>
    </w:p>
    <w:p w14:paraId="16F63A20"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4.5 Regional Infrastructure Moderation Effects</w:t>
      </w:r>
    </w:p>
    <w:p w14:paraId="7F208A3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analysis of infrastructure moderation effects provides support for Hypothesis 4, demonstrating that regional infrastructure quality significantly moderates the relationship between SCRM strategies and performance outcomes. The moderation effects are positive and statistically significant, indicating that SCRM strategies are more effective in regions with better infrastructure quality.</w:t>
      </w:r>
    </w:p>
    <w:p w14:paraId="1E62F004"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4.6 Instrumental Variables and Causality</w:t>
      </w:r>
    </w:p>
    <w:p w14:paraId="549E9E7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instrumental variables analysis addresses endogeneity concerns and provides evidence for causal interpretation of the SCRM-performance relationships. The two-stage least squares results are consistent with the fixed effects findings, though with larger standard errors reflecting the efficiency loss associated with instrumental variables estimation.</w:t>
      </w:r>
    </w:p>
    <w:p w14:paraId="64334E31"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4.7 Machine Learning Validation</w:t>
      </w:r>
    </w:p>
    <w:p w14:paraId="1F4BA8C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machine learning analysis provides validation of the econometric findings while revealing additional insights about the complexity of SCRM-performance relationships. Random Forest models achieve high prediction accuracy (R² = 0.742) </w:t>
      </w:r>
      <w:r>
        <w:rPr>
          <w:rFonts w:ascii="Times New Roman" w:eastAsia="Times New Roman" w:hAnsi="Times New Roman" w:cs="Times New Roman"/>
          <w:color w:val="36363D"/>
        </w:rPr>
        <w:lastRenderedPageBreak/>
        <w:t>and identify SCRM intensity as the most important predictor of financial performance, followed by technology adoption and infrastructure quality.</w:t>
      </w:r>
    </w:p>
    <w:p w14:paraId="3495F7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noProof/>
          <w:color w:val="36363D"/>
        </w:rPr>
        <w:drawing>
          <wp:inline distT="0" distB="0" distL="0" distR="0" wp14:anchorId="12844531" wp14:editId="775F2125">
            <wp:extent cx="5029200" cy="314325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14"/>
                    <a:srcRect/>
                    <a:stretch>
                      <a:fillRect/>
                    </a:stretch>
                  </pic:blipFill>
                  <pic:spPr>
                    <a:xfrm>
                      <a:off x="0" y="0"/>
                      <a:ext cx="5029200" cy="3143250"/>
                    </a:xfrm>
                    <a:prstGeom prst="rect">
                      <a:avLst/>
                    </a:prstGeom>
                  </pic:spPr>
                </pic:pic>
              </a:graphicData>
            </a:graphic>
          </wp:inline>
        </w:drawing>
      </w:r>
    </w:p>
    <w:p w14:paraId="7834F44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Figure 6: Random Forest Variable Importance</w:t>
      </w:r>
    </w:p>
    <w:p w14:paraId="228D7B6E"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1: Descriptive Statistics</w:t>
      </w:r>
    </w:p>
    <w:tbl>
      <w:tblPr>
        <w:tblStyle w:val="Style10"/>
        <w:tblW w:w="8239" w:type="dxa"/>
        <w:tblInd w:w="-108" w:type="dxa"/>
        <w:tblLayout w:type="fixed"/>
        <w:tblLook w:val="04A0" w:firstRow="1" w:lastRow="0" w:firstColumn="1" w:lastColumn="0" w:noHBand="0" w:noVBand="1"/>
      </w:tblPr>
      <w:tblGrid>
        <w:gridCol w:w="1844"/>
        <w:gridCol w:w="866"/>
        <w:gridCol w:w="848"/>
        <w:gridCol w:w="718"/>
        <w:gridCol w:w="718"/>
        <w:gridCol w:w="718"/>
        <w:gridCol w:w="1342"/>
        <w:gridCol w:w="1185"/>
      </w:tblGrid>
      <w:tr w:rsidR="009D055F" w14:paraId="0FA89C7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4E0D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23C3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D1F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Mean</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71A4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SD</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7E3F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Min</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07F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Max</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2A61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Skewness</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9E3E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Kurtosis</w:t>
            </w:r>
          </w:p>
        </w:tc>
      </w:tr>
      <w:tr w:rsidR="009D055F" w14:paraId="72D8DD11"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8283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BF1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DE0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67.3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FDE2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8.4</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56B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12.5</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0128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98.7</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B3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AB6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2.94</w:t>
            </w:r>
          </w:p>
        </w:tc>
      </w:tr>
      <w:tr w:rsidR="009D055F" w14:paraId="48A052FD"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5D4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3FE5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20D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72.1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9F4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EB57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3DE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97.2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96ED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E34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3.12</w:t>
            </w:r>
          </w:p>
        </w:tc>
      </w:tr>
      <w:tr w:rsidR="009D055F" w14:paraId="6F942F0E"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CA24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 Performance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6CF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EEA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7D7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2CB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19.8</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7CC3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95.4</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16A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-0.22</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38CF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2.89</w:t>
            </w:r>
          </w:p>
        </w:tc>
      </w:tr>
      <w:tr w:rsidR="009D055F" w14:paraId="47393BA0"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E1CE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89F3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0E9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6.23</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83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2.14</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466F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E48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9.8</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88B8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CFC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2.87</w:t>
            </w:r>
          </w:p>
        </w:tc>
      </w:tr>
      <w:tr w:rsidR="009D055F" w14:paraId="3CB9A6F5"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141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 Score</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5022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027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4.12</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350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1F0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7ED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EAC5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-0.15</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604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2.76</w:t>
            </w:r>
          </w:p>
        </w:tc>
      </w:tr>
      <w:tr w:rsidR="009D055F" w14:paraId="1F996FF6"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6EA0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 Level</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C22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29E2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5.67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B04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2.01</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C3EC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0A7D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9.0</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2C2C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0.12</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6716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2.65</w:t>
            </w:r>
          </w:p>
        </w:tc>
      </w:tr>
      <w:tr w:rsidR="009D055F" w14:paraId="4B0999F8" w14:textId="77777777">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E74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 Index</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DE13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4F07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4.89</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8D82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1.67</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8ED0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w:t>
            </w: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989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8.2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34F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-0.08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989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2.94</w:t>
            </w:r>
          </w:p>
        </w:tc>
      </w:tr>
    </w:tbl>
    <w:p w14:paraId="4A649303"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lastRenderedPageBreak/>
        <w:t>Table 2: Correlation Matrix</w:t>
      </w:r>
    </w:p>
    <w:tbl>
      <w:tblPr>
        <w:tblStyle w:val="Style11"/>
        <w:tblW w:w="8238" w:type="dxa"/>
        <w:tblInd w:w="-108" w:type="dxa"/>
        <w:tblLayout w:type="fixed"/>
        <w:tblLook w:val="04A0" w:firstRow="1" w:lastRow="0" w:firstColumn="1" w:lastColumn="0" w:noHBand="0" w:noVBand="1"/>
      </w:tblPr>
      <w:tblGrid>
        <w:gridCol w:w="1931"/>
        <w:gridCol w:w="901"/>
        <w:gridCol w:w="901"/>
        <w:gridCol w:w="901"/>
        <w:gridCol w:w="901"/>
        <w:gridCol w:w="901"/>
        <w:gridCol w:w="901"/>
        <w:gridCol w:w="901"/>
      </w:tblGrid>
      <w:tr w:rsidR="009D055F" w14:paraId="27BBCFD2"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C4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F662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304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DCA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068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BDB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C1D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B0B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w:t>
            </w:r>
          </w:p>
        </w:tc>
      </w:tr>
      <w:tr w:rsidR="009D055F" w14:paraId="45449CF1"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06A6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 Financial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DE2D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C5E5"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A4BB"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B58CD"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A7329"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0CFB2"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CDDC5" w14:textId="77777777" w:rsidR="009D055F" w:rsidRDefault="009D055F">
            <w:pPr>
              <w:spacing w:line="240" w:lineRule="auto"/>
              <w:jc w:val="both"/>
              <w:rPr>
                <w:rFonts w:ascii="Times New Roman" w:eastAsia="Times New Roman" w:hAnsi="Times New Roman" w:cs="Times New Roman"/>
                <w:color w:val="36363D"/>
              </w:rPr>
            </w:pPr>
          </w:p>
        </w:tc>
      </w:tr>
      <w:tr w:rsidR="009D055F" w14:paraId="0C2F3702"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5A33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 Operational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4454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0.673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1D6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2EC26"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A409B"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22C6"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BBCB5"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32DC3" w14:textId="77777777" w:rsidR="009D055F" w:rsidRDefault="009D055F">
            <w:pPr>
              <w:spacing w:line="240" w:lineRule="auto"/>
              <w:jc w:val="both"/>
              <w:rPr>
                <w:rFonts w:ascii="Times New Roman" w:eastAsia="Times New Roman" w:hAnsi="Times New Roman" w:cs="Times New Roman"/>
                <w:color w:val="36363D"/>
              </w:rPr>
            </w:pPr>
          </w:p>
        </w:tc>
      </w:tr>
      <w:tr w:rsidR="009D055F" w14:paraId="64F3B64F"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DFE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 Strategic Performance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D0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0.591</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439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0.558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74B9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C3913"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6577C"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6F1C3"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584C8" w14:textId="77777777" w:rsidR="009D055F" w:rsidRDefault="009D055F">
            <w:pPr>
              <w:spacing w:line="240" w:lineRule="auto"/>
              <w:jc w:val="both"/>
              <w:rPr>
                <w:rFonts w:ascii="Times New Roman" w:eastAsia="Times New Roman" w:hAnsi="Times New Roman" w:cs="Times New Roman"/>
                <w:color w:val="36363D"/>
              </w:rPr>
            </w:pPr>
          </w:p>
        </w:tc>
      </w:tr>
      <w:tr w:rsidR="009D055F" w14:paraId="21A3325C"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5E3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 SCRM Intensity</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ED1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0.429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A85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9D8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0.412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FF2A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DC991"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A76AD"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8AC3" w14:textId="77777777" w:rsidR="009D055F" w:rsidRDefault="009D055F">
            <w:pPr>
              <w:spacing w:line="240" w:lineRule="auto"/>
              <w:jc w:val="both"/>
              <w:rPr>
                <w:rFonts w:ascii="Times New Roman" w:eastAsia="Times New Roman" w:hAnsi="Times New Roman" w:cs="Times New Roman"/>
                <w:color w:val="36363D"/>
              </w:rPr>
            </w:pPr>
          </w:p>
        </w:tc>
      </w:tr>
      <w:tr w:rsidR="009D055F" w14:paraId="2E729AE7"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ACE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5. Technology Adoption</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8CE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0.356</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17C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0.334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A3E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0.378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67F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0.524</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48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4111" w14:textId="77777777" w:rsidR="009D055F" w:rsidRDefault="009D055F">
            <w:pPr>
              <w:spacing w:line="240" w:lineRule="auto"/>
              <w:jc w:val="both"/>
              <w:rPr>
                <w:rFonts w:ascii="Times New Roman" w:eastAsia="Times New Roman" w:hAnsi="Times New Roman" w:cs="Times New Roman"/>
                <w:color w:val="36363D"/>
              </w:rPr>
            </w:pP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FE21F" w14:textId="77777777" w:rsidR="009D055F" w:rsidRDefault="009D055F">
            <w:pPr>
              <w:spacing w:line="240" w:lineRule="auto"/>
              <w:jc w:val="both"/>
              <w:rPr>
                <w:rFonts w:ascii="Times New Roman" w:eastAsia="Times New Roman" w:hAnsi="Times New Roman" w:cs="Times New Roman"/>
                <w:color w:val="36363D"/>
              </w:rPr>
            </w:pPr>
          </w:p>
        </w:tc>
      </w:tr>
      <w:tr w:rsidR="009D055F" w14:paraId="3F4F8C36"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D49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 Risk Exposure</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E1A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-0.312</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0E0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3D3B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59A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2B97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0.067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18A2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DF367" w14:textId="77777777" w:rsidR="009D055F" w:rsidRDefault="009D055F">
            <w:pPr>
              <w:spacing w:line="240" w:lineRule="auto"/>
              <w:jc w:val="both"/>
              <w:rPr>
                <w:rFonts w:ascii="Times New Roman" w:eastAsia="Times New Roman" w:hAnsi="Times New Roman" w:cs="Times New Roman"/>
                <w:color w:val="36363D"/>
              </w:rPr>
            </w:pPr>
          </w:p>
        </w:tc>
      </w:tr>
      <w:tr w:rsidR="009D055F" w14:paraId="5AADA2E1" w14:textId="77777777">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2CC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 Infrastructure Quality</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134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0.298</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BB1F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63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0.289</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9CE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0.345</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40A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0.423</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5877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-0.167</w:t>
            </w:r>
          </w:p>
        </w:tc>
        <w:tc>
          <w:tcPr>
            <w:tcW w:w="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438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1.000</w:t>
            </w:r>
          </w:p>
        </w:tc>
      </w:tr>
    </w:tbl>
    <w:p w14:paraId="524E6FE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3: Main Effects Results (Fixed Effects Panel Regression)</w:t>
      </w:r>
    </w:p>
    <w:tbl>
      <w:tblPr>
        <w:tblStyle w:val="Style12"/>
        <w:tblW w:w="8242" w:type="dxa"/>
        <w:tblInd w:w="-108" w:type="dxa"/>
        <w:tblLayout w:type="fixed"/>
        <w:tblLook w:val="04A0" w:firstRow="1" w:lastRow="0" w:firstColumn="1" w:lastColumn="0" w:noHBand="0" w:noVBand="1"/>
      </w:tblPr>
      <w:tblGrid>
        <w:gridCol w:w="2421"/>
        <w:gridCol w:w="1874"/>
        <w:gridCol w:w="2096"/>
        <w:gridCol w:w="1851"/>
      </w:tblGrid>
      <w:tr w:rsidR="009D055F" w14:paraId="40BF2556"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896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Independent Variables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345B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7214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7A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21E3686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8269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D3A3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2.341</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DF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2.156</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435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2.087</w:t>
            </w:r>
          </w:p>
        </w:tc>
      </w:tr>
      <w:tr w:rsidR="009D055F" w14:paraId="44050980"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92FE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F8D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E00F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1.087</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844D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1.198</w:t>
            </w:r>
          </w:p>
        </w:tc>
      </w:tr>
      <w:tr w:rsidR="009D055F" w14:paraId="4BEAA05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4BD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C56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-1.876</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D3B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-1.654</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B723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-1.543</w:t>
            </w:r>
          </w:p>
        </w:tc>
      </w:tr>
      <w:tr w:rsidR="009D055F" w14:paraId="2994E2EF"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38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42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1.087</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CDC1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0.934</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F32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1.023</w:t>
            </w:r>
          </w:p>
        </w:tc>
      </w:tr>
      <w:tr w:rsidR="009D055F" w14:paraId="36AEE5C4"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2BF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Firm Size (log)</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EE81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0.456</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AC1A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0.389</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E5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0.412</w:t>
            </w:r>
          </w:p>
        </w:tc>
      </w:tr>
      <w:tr w:rsidR="009D055F" w14:paraId="13A19B9E"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15BA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Industry/Year Controls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6128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83A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77E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4CB4A29D"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A78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Firm Fixed Effects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7E46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19E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7E47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29228C48"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F44C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DE3F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C0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1BCB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533882CE" w14:textId="77777777">
        <w:tc>
          <w:tcPr>
            <w:tcW w:w="2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C760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DC8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0.347</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04B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0.329</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2489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0.312</w:t>
            </w:r>
          </w:p>
        </w:tc>
      </w:tr>
    </w:tbl>
    <w:p w14:paraId="39FEF586"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4: Technology-SCRM Interaction Effects</w:t>
      </w:r>
    </w:p>
    <w:tbl>
      <w:tblPr>
        <w:tblStyle w:val="Style13"/>
        <w:tblW w:w="8243" w:type="dxa"/>
        <w:tblInd w:w="-108" w:type="dxa"/>
        <w:tblLayout w:type="fixed"/>
        <w:tblLook w:val="04A0" w:firstRow="1" w:lastRow="0" w:firstColumn="1" w:lastColumn="0" w:noHBand="0" w:noVBand="1"/>
      </w:tblPr>
      <w:tblGrid>
        <w:gridCol w:w="2253"/>
        <w:gridCol w:w="1947"/>
        <w:gridCol w:w="2113"/>
        <w:gridCol w:w="1930"/>
      </w:tblGrid>
      <w:tr w:rsidR="009D055F" w14:paraId="665D999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E39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187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A08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00F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39E920F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AD1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123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1.456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778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0E54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1.378</w:t>
            </w:r>
          </w:p>
        </w:tc>
      </w:tr>
      <w:tr w:rsidR="009D055F" w14:paraId="3FB36C4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2C9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Technology Adoption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C79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0.789</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4A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0.698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1DC0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0.743</w:t>
            </w:r>
          </w:p>
        </w:tc>
      </w:tr>
      <w:tr w:rsidR="009D055F" w14:paraId="6D81838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E01A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 Technology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1B13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0.387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967F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9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0.365</w:t>
            </w:r>
          </w:p>
        </w:tc>
      </w:tr>
      <w:tr w:rsidR="009D055F" w14:paraId="3C270DDA"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0F1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1D9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-1.823</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468A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-1.612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40E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-1.501</w:t>
            </w:r>
          </w:p>
        </w:tc>
      </w:tr>
      <w:tr w:rsidR="009D055F" w14:paraId="16FFB6F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2A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C529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85B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6052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5B39DF66"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B758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Fixed Effects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98F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42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FF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1E578AC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C2F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DE3B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5130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0A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0BE6A4E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3E1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9EE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639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0.343</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1062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0.327</w:t>
            </w:r>
          </w:p>
        </w:tc>
      </w:tr>
    </w:tbl>
    <w:p w14:paraId="2A51AA88"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5: Non-linear and Threshold Effects</w:t>
      </w:r>
    </w:p>
    <w:tbl>
      <w:tblPr>
        <w:tblStyle w:val="Style14"/>
        <w:tblW w:w="8243" w:type="dxa"/>
        <w:tblInd w:w="-108" w:type="dxa"/>
        <w:tblLayout w:type="fixed"/>
        <w:tblLook w:val="04A0" w:firstRow="1" w:lastRow="0" w:firstColumn="1" w:lastColumn="0" w:noHBand="0" w:noVBand="1"/>
      </w:tblPr>
      <w:tblGrid>
        <w:gridCol w:w="2253"/>
        <w:gridCol w:w="1947"/>
        <w:gridCol w:w="2113"/>
        <w:gridCol w:w="1930"/>
      </w:tblGrid>
      <w:tr w:rsidR="009D055F" w14:paraId="15561E5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7F11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Model Specification</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9808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3E40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A4F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493FFF6C"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7557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5A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4.567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2F70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4.123</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BC5C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4.234</w:t>
            </w:r>
          </w:p>
        </w:tc>
      </w:tr>
      <w:tr w:rsidR="009D055F" w14:paraId="20B435E2"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A3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Intensity²</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2350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-0.298</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A5B0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359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-0.278</w:t>
            </w:r>
          </w:p>
        </w:tc>
      </w:tr>
      <w:tr w:rsidR="009D055F" w14:paraId="17E32CC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3F1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Optimal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43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7.66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809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7.72</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37B0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7.62</w:t>
            </w:r>
          </w:p>
        </w:tc>
      </w:tr>
      <w:tr w:rsidR="009D055F" w14:paraId="3B719B87"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9D6D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(Below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2C17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1.789</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5B7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1.634</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54E1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1.698</w:t>
            </w:r>
          </w:p>
        </w:tc>
      </w:tr>
      <w:tr w:rsidR="009D055F" w14:paraId="1D1A929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8555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(Above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EFFD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3.456</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A948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3.198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0F7A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3.287</w:t>
            </w:r>
          </w:p>
        </w:tc>
      </w:tr>
      <w:tr w:rsidR="009D055F" w14:paraId="060A55CD"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7B16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Identified Threshold</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CB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6.23</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211D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6.18</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420C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6.31</w:t>
            </w:r>
          </w:p>
        </w:tc>
      </w:tr>
      <w:tr w:rsidR="009D055F" w14:paraId="61711F6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A555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Threshold SE</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8C97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0.187</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5B26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0.169</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AAB0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0.176</w:t>
            </w:r>
          </w:p>
        </w:tc>
      </w:tr>
      <w:tr w:rsidR="009D055F" w14:paraId="56515C0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EF6F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4D97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86B0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DA9A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363765E3"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470E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B36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EF5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8EA0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6A8CD42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C90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w:t>
            </w:r>
          </w:p>
        </w:tc>
        <w:tc>
          <w:tcPr>
            <w:tcW w:w="1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632A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0.368</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3192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89BC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0.334</w:t>
            </w:r>
          </w:p>
        </w:tc>
      </w:tr>
    </w:tbl>
    <w:p w14:paraId="37B45C46"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6: Infrastructure Moderation Analysis</w:t>
      </w:r>
    </w:p>
    <w:tbl>
      <w:tblPr>
        <w:tblStyle w:val="Style15"/>
        <w:tblW w:w="8243" w:type="dxa"/>
        <w:tblInd w:w="-108" w:type="dxa"/>
        <w:tblLayout w:type="fixed"/>
        <w:tblLook w:val="04A0" w:firstRow="1" w:lastRow="0" w:firstColumn="1" w:lastColumn="0" w:noHBand="0" w:noVBand="1"/>
      </w:tblPr>
      <w:tblGrid>
        <w:gridCol w:w="2396"/>
        <w:gridCol w:w="1885"/>
        <w:gridCol w:w="2099"/>
        <w:gridCol w:w="1863"/>
      </w:tblGrid>
      <w:tr w:rsidR="009D055F" w14:paraId="2E29BE1F"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4BD6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3C9D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8B9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184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0F761871"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6F1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4EE2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0A46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1.123</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1097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1.187</w:t>
            </w:r>
          </w:p>
        </w:tc>
      </w:tr>
      <w:tr w:rsidR="009D055F" w14:paraId="136BC5F9"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6FA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Infrastructure Quality</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5A3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0.876</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EF10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0.798</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1D16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0.823</w:t>
            </w:r>
          </w:p>
        </w:tc>
      </w:tr>
      <w:tr w:rsidR="009D055F" w14:paraId="247AEEBD"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69B9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 Infrastructure</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C3AF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0.267</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FBFC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DBE5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0.251</w:t>
            </w:r>
          </w:p>
        </w:tc>
      </w:tr>
      <w:tr w:rsidR="009D055F" w14:paraId="78684E97"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57CD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1FB3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1.198</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946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1.056</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BD21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1.134</w:t>
            </w:r>
          </w:p>
        </w:tc>
      </w:tr>
      <w:tr w:rsidR="009D055F" w14:paraId="24C2613E"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FB0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Risk Exposure</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A254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-1.798</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486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-1.589</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661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-1.487</w:t>
            </w:r>
          </w:p>
        </w:tc>
      </w:tr>
      <w:tr w:rsidR="009D055F" w14:paraId="3B899474"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95FB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9C14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98E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E6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74A887C3"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EDE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Country/Year Fixed Effects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4510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528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7D2A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443F6B22"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D27C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C7C9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3E77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3EAB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60839D1B" w14:textId="77777777">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DC13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 (within)</w:t>
            </w:r>
          </w:p>
        </w:tc>
        <w:tc>
          <w:tcPr>
            <w:tcW w:w="1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D20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0.374</w:t>
            </w:r>
          </w:p>
        </w:tc>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7DE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0.356</w:t>
            </w:r>
          </w:p>
        </w:tc>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DE5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0.341</w:t>
            </w:r>
          </w:p>
        </w:tc>
      </w:tr>
    </w:tbl>
    <w:p w14:paraId="342EF04C"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7: Instrumental Variables (2SLS) Results</w:t>
      </w:r>
    </w:p>
    <w:tbl>
      <w:tblPr>
        <w:tblStyle w:val="Style16"/>
        <w:tblW w:w="8242" w:type="dxa"/>
        <w:tblInd w:w="-108" w:type="dxa"/>
        <w:tblLayout w:type="fixed"/>
        <w:tblLook w:val="04A0" w:firstRow="1" w:lastRow="0" w:firstColumn="1" w:lastColumn="0" w:noHBand="0" w:noVBand="1"/>
      </w:tblPr>
      <w:tblGrid>
        <w:gridCol w:w="2253"/>
        <w:gridCol w:w="1955"/>
        <w:gridCol w:w="2079"/>
        <w:gridCol w:w="1955"/>
      </w:tblGrid>
      <w:tr w:rsidR="009D055F" w14:paraId="37AE8CA0"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5652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Variables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94C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Financial</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A794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Operational</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70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Strategic</w:t>
            </w:r>
          </w:p>
        </w:tc>
      </w:tr>
      <w:tr w:rsidR="009D055F" w14:paraId="0B6744EF"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5B9D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Historical Disruptions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7D75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AA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FE4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0.234</w:t>
            </w:r>
          </w:p>
        </w:tc>
      </w:tr>
      <w:tr w:rsidR="009D055F" w14:paraId="71995D8B"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C41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Regulatory Changes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EC44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BD3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6C53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0.189</w:t>
            </w:r>
          </w:p>
        </w:tc>
      </w:tr>
      <w:tr w:rsidR="009D055F" w14:paraId="5E7D7A28"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69A0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F-statistic</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FD43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C008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A1F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23.67</w:t>
            </w:r>
          </w:p>
        </w:tc>
      </w:tr>
      <w:tr w:rsidR="009D055F" w14:paraId="3FB44561"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4480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Intensity (fitted)</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9CF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2.789</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EC12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2.456</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57C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2.598</w:t>
            </w:r>
          </w:p>
        </w:tc>
      </w:tr>
      <w:tr w:rsidR="009D055F" w14:paraId="18D731A0"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671E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Adoption</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C98B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A75C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1.134</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21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1.201</w:t>
            </w:r>
          </w:p>
        </w:tc>
      </w:tr>
      <w:tr w:rsidR="009D055F" w14:paraId="72992812"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783A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Risk Exposure</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307F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-1.945</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58E8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-1.723</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AD92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-1.612</w:t>
            </w:r>
          </w:p>
        </w:tc>
      </w:tr>
      <w:tr w:rsidR="009D055F" w14:paraId="1975017E"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32D4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Controls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BF40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E5DA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CB69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Yes</w:t>
            </w:r>
          </w:p>
        </w:tc>
      </w:tr>
      <w:tr w:rsidR="009D055F" w14:paraId="103DA099"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6FB5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Observations</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4234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A0DE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3DF6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2,541</w:t>
            </w:r>
          </w:p>
        </w:tc>
      </w:tr>
      <w:tr w:rsidR="009D055F" w14:paraId="52BC4373"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D9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Hansen J-statistic</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3832F"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2.34 (p=0.310)</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C885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1.87 (p=0.393)</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BC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2.12 (p=0.346)</w:t>
            </w:r>
          </w:p>
        </w:tc>
      </w:tr>
      <w:tr w:rsidR="009D055F" w14:paraId="53DE8634" w14:textId="77777777">
        <w:tc>
          <w:tcPr>
            <w:tcW w:w="2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478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Endogeneity Test</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F25D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15.67**</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C510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13.45**</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C2BF0"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14.23**</w:t>
            </w:r>
          </w:p>
        </w:tc>
      </w:tr>
    </w:tbl>
    <w:p w14:paraId="1ACF67F0" w14:textId="77777777" w:rsidR="009D055F" w:rsidRDefault="00C45426">
      <w:pPr>
        <w:keepNext/>
        <w:keepLines/>
        <w:spacing w:before="20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Table 8: Machine Learning Results Summary</w:t>
      </w:r>
    </w:p>
    <w:tbl>
      <w:tblPr>
        <w:tblStyle w:val="Style17"/>
        <w:tblW w:w="8242" w:type="dxa"/>
        <w:tblInd w:w="-108" w:type="dxa"/>
        <w:tblLayout w:type="fixed"/>
        <w:tblLook w:val="04A0" w:firstRow="1" w:lastRow="0" w:firstColumn="1" w:lastColumn="0" w:noHBand="0" w:noVBand="1"/>
      </w:tblPr>
      <w:tblGrid>
        <w:gridCol w:w="2134"/>
        <w:gridCol w:w="1927"/>
        <w:gridCol w:w="1934"/>
        <w:gridCol w:w="2247"/>
      </w:tblGrid>
      <w:tr w:rsidR="009D055F" w14:paraId="2F32D6CD"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31D0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Model Type</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9FC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R²</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99AA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RMSE</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E2B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Top Predictors (Importance Score)</w:t>
            </w:r>
          </w:p>
        </w:tc>
      </w:tr>
      <w:tr w:rsidR="009D055F" w14:paraId="606C7C74"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73809"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 Financial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D88A3"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0.742</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FA71E"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12.34</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ACB7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(0.342), Tech (0.267), Infra (0.189)</w:t>
            </w:r>
          </w:p>
        </w:tc>
      </w:tr>
      <w:tr w:rsidR="009D055F" w14:paraId="718141C7"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F616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 Operational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7AE0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0.718</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B98E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11.87</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4F03D"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(0.356), Tech (0.234), Risk (0.198)</w:t>
            </w:r>
          </w:p>
        </w:tc>
      </w:tr>
      <w:tr w:rsidR="009D055F" w14:paraId="471DB1E0"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5659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Random Forest - Strategic</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7BDF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0.693</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20E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13.21</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B03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SCRM (0.329), Tech (0.278), Infra (0.167)</w:t>
            </w:r>
          </w:p>
        </w:tc>
      </w:tr>
      <w:tr w:rsidR="009D055F" w14:paraId="0275A4BC"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DC94C"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Neural Net - Financial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04A2B"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0.759</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1A21"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11.92</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93AE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Non-linear patterns</w:t>
            </w:r>
          </w:p>
        </w:tc>
      </w:tr>
      <w:tr w:rsidR="009D055F" w14:paraId="67720882"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D7A97"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Neural Net - Operational</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4D8D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0.734</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F5C62"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11.43</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82938"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Threshold @ SCRM = 6.2</w:t>
            </w:r>
          </w:p>
        </w:tc>
      </w:tr>
      <w:tr w:rsidR="009D055F" w14:paraId="1E9A00D3" w14:textId="77777777">
        <w:tc>
          <w:tcPr>
            <w:tcW w:w="2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41CA"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Neural Net - Strategic</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19EB4"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0.715</w:t>
            </w:r>
          </w:p>
        </w:tc>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1B56"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12.67</w:t>
            </w:r>
          </w:p>
        </w:tc>
        <w:tc>
          <w:tcPr>
            <w:tcW w:w="2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F71B5" w14:textId="77777777" w:rsidR="009D055F" w:rsidRDefault="00C45426">
            <w:pPr>
              <w:spacing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Technology amplification</w:t>
            </w:r>
          </w:p>
        </w:tc>
      </w:tr>
    </w:tbl>
    <w:p w14:paraId="151E70DA" w14:textId="77777777" w:rsidR="009D055F" w:rsidRDefault="00C45426">
      <w:pPr>
        <w:numPr>
          <w:ilvl w:val="0"/>
          <w:numId w:val="4"/>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Discussion</w:t>
      </w:r>
    </w:p>
    <w:p w14:paraId="4BDC18A3"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5.1 Interpretation of Main Findings</w:t>
      </w:r>
    </w:p>
    <w:p w14:paraId="55A9FCF4" w14:textId="2CD1EEDE"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empirical results provide robust evidence that supply chain risk management strategies create measurable value for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operating in African markets, with effect sizes that are both statistically significant and economically meaningful. The finding that a one standard deviation increase in SCRM intensity corresponds to </w:t>
      </w:r>
      <w:r w:rsidR="00C72567">
        <w:rPr>
          <w:rFonts w:ascii="Times New Roman" w:eastAsia="Times New Roman" w:hAnsi="Times New Roman" w:cs="Times New Roman"/>
          <w:color w:val="36363D"/>
        </w:rPr>
        <w:t xml:space="preserve">a </w:t>
      </w:r>
      <w:r>
        <w:rPr>
          <w:rFonts w:ascii="Times New Roman" w:eastAsia="Times New Roman" w:hAnsi="Times New Roman" w:cs="Times New Roman"/>
          <w:color w:val="36363D"/>
        </w:rPr>
        <w:t>23.4% improvement in financial performance represents a substantial return on investment that justifies the resources required for comprehensive risk management implementation.</w:t>
      </w:r>
    </w:p>
    <w:p w14:paraId="755A116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consistency of results across multiple performance dimensions (financial, operational, strategic) and estimation methods (fixed effects, instrumental variables, machine learning) strengthens confidence in the causal interpretation of these relationships. The instrumental variables analysis is particularly important because it addresses the endogeneity concerns that plague much of the existing literature on SCRM-performance relationships.</w:t>
      </w:r>
    </w:p>
    <w:p w14:paraId="1B598FEE" w14:textId="1B71B684"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identification of optimal SCRM investment thresholds provides novel insights that extend existing theory and offer practical guidance for managers. The finding that SCRM effectiveness exhibits increasing returns within a specific range (6.2-7.7 on the 10-point scale) suggests that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must achieve a minimum level of risk management sophistication before they can </w:t>
      </w:r>
      <w:proofErr w:type="spellStart"/>
      <w:r w:rsidR="00C72567">
        <w:rPr>
          <w:rFonts w:ascii="Times New Roman" w:eastAsia="Times New Roman" w:hAnsi="Times New Roman" w:cs="Times New Roman"/>
          <w:color w:val="36363D"/>
        </w:rPr>
        <w:t>realise</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the full benefits of their investments. This threshold effect may reflect network effects, economies of scale, or </w:t>
      </w:r>
      <w:proofErr w:type="spellStart"/>
      <w:r w:rsidR="00C72567" w:rsidRPr="00751BE7">
        <w:rPr>
          <w:rFonts w:ascii="Times New Roman" w:eastAsia="Times New Roman" w:hAnsi="Times New Roman" w:cs="Times New Roman"/>
          <w:color w:val="36363D"/>
          <w:highlight w:val="yellow"/>
        </w:rPr>
        <w:t>organisational</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learning processes that create non-linear returns to SCRM capabilities.</w:t>
      </w:r>
    </w:p>
    <w:p w14:paraId="55F36145" w14:textId="7473B693"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technology amplification effects (2.3× higher impact for technology-enabled SCRM strategies) highlight the transformative potential of digital technologies in supply chain risk management. This finding is particularly relevant for African </w:t>
      </w:r>
      <w:proofErr w:type="spellStart"/>
      <w:r w:rsidR="00C72567"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many of which are still in the early stages of digital transformation. The results suggest that technology adoption should be viewed as a prerequisite for effective SCRM rather than an optional enhancement.</w:t>
      </w:r>
    </w:p>
    <w:p w14:paraId="74E77CAA"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5.2 Theoretical Contributions</w:t>
      </w:r>
    </w:p>
    <w:p w14:paraId="6FA6757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This study makes several important contributions to supply chain risk management theory. First, it provides the first comprehensive quantitative analysis of SCRM-performance relationships in African markets, extending the geographical scope of existing theory and demonstrating that established relationships hold in different institutional contexts. The finding that effect sizes are comparable to or larger than those reported in developed market studies suggests that SCRM may be even more valuable in emerging market contexts where risk exposure is typically higher.</w:t>
      </w:r>
    </w:p>
    <w:p w14:paraId="5FF59C90"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lastRenderedPageBreak/>
        <w:t>Second, the identification of threshold effects and optimal investment levels advances theoretical understanding of how SCRM capabilities create value. The non-linear relationships suggest that SCRM effectiveness depends not just on the presence of risk management practices but on achieving a sufficient level of sophistication and integration across different risk management components. This finding extends resource-based view theory by highlighting the importance of capability thresholds in creating sustainable competitive advantage.</w:t>
      </w:r>
    </w:p>
    <w:p w14:paraId="6C84390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Third, the demonstration of technology amplification effects contributes to the emerging literature on digital transformation in supply chain management. The finding that technology adoption increases SCRM effectiveness by 2.3× provides empirical evidence for theoretical arguments about digital transformation’s transformative potential while quantifying the magnitude of these effects.</w:t>
      </w:r>
    </w:p>
    <w:p w14:paraId="278C668F" w14:textId="4CEF21C9"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Fourth, the identification of infrastructure moderation effects contributes to contextual theory development by demonstrating how environmental factors influence the effectiveness of </w:t>
      </w:r>
      <w:proofErr w:type="spellStart"/>
      <w:r w:rsidR="00C72567">
        <w:rPr>
          <w:rFonts w:ascii="Times New Roman" w:eastAsia="Times New Roman" w:hAnsi="Times New Roman" w:cs="Times New Roman"/>
          <w:color w:val="36363D"/>
        </w:rPr>
        <w:t>organisational</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capabilities. The finding that infrastructure quality moderates SCRM effectiveness provides insights into how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can adapt their strategies to local constraints while highlighting the importance of infrastructure development for economic </w:t>
      </w:r>
    </w:p>
    <w:p w14:paraId="50474B9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competitiveness.</w:t>
      </w:r>
    </w:p>
    <w:p w14:paraId="5A2C09A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b/>
          <w:color w:val="36363D"/>
        </w:rPr>
        <w:t>5.3 Practical Implications for Managers</w:t>
      </w:r>
    </w:p>
    <w:p w14:paraId="667AC958" w14:textId="6315377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findings provide several actionable insights for managers responsible for supply chain risk management in African markets. First, the identification of optimal SCRM investment thresholds (6.2-7.7 range) enables managers to benchmark their current risk management sophistication and identify appropriate investment targets. </w:t>
      </w:r>
      <w:proofErr w:type="spellStart"/>
      <w:r w:rsidR="00C72567" w:rsidRPr="00751BE7">
        <w:rPr>
          <w:rFonts w:ascii="Times New Roman" w:eastAsia="Times New Roman" w:hAnsi="Times New Roman" w:cs="Times New Roman"/>
          <w:color w:val="36363D"/>
          <w:highlight w:val="yellow"/>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below the 6.2 threshold should </w:t>
      </w:r>
      <w:proofErr w:type="spellStart"/>
      <w:r w:rsidR="00C72567">
        <w:rPr>
          <w:rFonts w:ascii="Times New Roman" w:eastAsia="Times New Roman" w:hAnsi="Times New Roman" w:cs="Times New Roman"/>
          <w:color w:val="36363D"/>
        </w:rPr>
        <w:t>prioritise</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foundational risk management capabilities, while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above the 7.7 threshold should consider reallocating resources to other </w:t>
      </w:r>
      <w:proofErr w:type="spellStart"/>
      <w:r w:rsidR="00C72567">
        <w:rPr>
          <w:rFonts w:ascii="Times New Roman" w:eastAsia="Times New Roman" w:hAnsi="Times New Roman" w:cs="Times New Roman"/>
          <w:color w:val="36363D"/>
        </w:rPr>
        <w:t>organisational</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priorities.</w:t>
      </w:r>
    </w:p>
    <w:p w14:paraId="0F8B1CF9" w14:textId="1DF0F13F"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Second, the technology amplification effects suggest that </w:t>
      </w:r>
      <w:proofErr w:type="spellStart"/>
      <w:r w:rsidR="00C72567" w:rsidRPr="00751BE7">
        <w:rPr>
          <w:rFonts w:ascii="Times New Roman" w:eastAsia="Times New Roman" w:hAnsi="Times New Roman" w:cs="Times New Roman"/>
          <w:color w:val="36363D"/>
          <w:highlight w:val="yellow"/>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should </w:t>
      </w:r>
      <w:proofErr w:type="spellStart"/>
      <w:r w:rsidR="00C72567" w:rsidRPr="00751BE7">
        <w:rPr>
          <w:rFonts w:ascii="Times New Roman" w:eastAsia="Times New Roman" w:hAnsi="Times New Roman" w:cs="Times New Roman"/>
          <w:color w:val="36363D"/>
          <w:highlight w:val="yellow"/>
        </w:rPr>
        <w:t>prioritise</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digital technology adoption as a prerequisite for effective SCRM implementation. The 2.3× performance enhancement associated with technology-enabled SCRM strategies provides a compelling business case for digital transformation investments, particularly for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operating in high-risk environments.</w:t>
      </w:r>
    </w:p>
    <w:p w14:paraId="66E3346D" w14:textId="4E0D36A8"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Third, the infrastructure moderation effects provide guidance for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operating across multiple African markets with varying infrastructure quality levels.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should adapt their SCRM strategies to local infrastructure constraints while advocating for infrastructure improvements that would enhance their risk management capabilities. The quantified moderation effects enable </w:t>
      </w:r>
      <w:proofErr w:type="spellStart"/>
      <w:r w:rsidR="00C72567" w:rsidRPr="00751BE7">
        <w:rPr>
          <w:rFonts w:ascii="Times New Roman" w:eastAsia="Times New Roman" w:hAnsi="Times New Roman" w:cs="Times New Roman"/>
          <w:color w:val="36363D"/>
          <w:highlight w:val="yellow"/>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to estimate the potential returns from infrastructure improvements and make informed decisions about market entry and expansion strategies.</w:t>
      </w:r>
    </w:p>
    <w:p w14:paraId="355F2DBD" w14:textId="54D3518D"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Fourth, the component-specific findings provide guidance for </w:t>
      </w:r>
      <w:proofErr w:type="spellStart"/>
      <w:r w:rsidR="00C72567" w:rsidRPr="00751BE7">
        <w:rPr>
          <w:rFonts w:ascii="Times New Roman" w:eastAsia="Times New Roman" w:hAnsi="Times New Roman" w:cs="Times New Roman"/>
          <w:color w:val="36363D"/>
          <w:highlight w:val="yellow"/>
        </w:rPr>
        <w:t>prioritising</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different aspects of SCRM implementation. The supplier diversification component demonstrates the strongest individual effects, suggesting that </w:t>
      </w:r>
      <w:proofErr w:type="spellStart"/>
      <w:r w:rsidR="00C72567">
        <w:rPr>
          <w:rFonts w:ascii="Times New Roman" w:eastAsia="Times New Roman" w:hAnsi="Times New Roman" w:cs="Times New Roman"/>
          <w:color w:val="36363D"/>
        </w:rPr>
        <w:t>organisations</w:t>
      </w:r>
      <w:proofErr w:type="spellEnd"/>
      <w:r w:rsidR="00C72567">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should </w:t>
      </w:r>
      <w:proofErr w:type="spellStart"/>
      <w:r>
        <w:rPr>
          <w:rFonts w:ascii="Times New Roman" w:eastAsia="Times New Roman" w:hAnsi="Times New Roman" w:cs="Times New Roman"/>
          <w:color w:val="36363D"/>
        </w:rPr>
        <w:t>prioriti</w:t>
      </w:r>
      <w:r w:rsidR="00C72567">
        <w:rPr>
          <w:rFonts w:ascii="Times New Roman" w:eastAsia="Times New Roman" w:hAnsi="Times New Roman" w:cs="Times New Roman"/>
          <w:color w:val="36363D"/>
        </w:rPr>
        <w:t>s</w:t>
      </w:r>
      <w:r>
        <w:rPr>
          <w:rFonts w:ascii="Times New Roman" w:eastAsia="Times New Roman" w:hAnsi="Times New Roman" w:cs="Times New Roman"/>
          <w:color w:val="36363D"/>
        </w:rPr>
        <w:t>e</w:t>
      </w:r>
      <w:proofErr w:type="spellEnd"/>
      <w:r>
        <w:rPr>
          <w:rFonts w:ascii="Times New Roman" w:eastAsia="Times New Roman" w:hAnsi="Times New Roman" w:cs="Times New Roman"/>
          <w:color w:val="36363D"/>
        </w:rPr>
        <w:t xml:space="preserve"> supplier base expansion and geographic diversification as foundational risk management strategies. Technology adoption and collaborative planning show </w:t>
      </w:r>
      <w:r>
        <w:rPr>
          <w:rFonts w:ascii="Times New Roman" w:eastAsia="Times New Roman" w:hAnsi="Times New Roman" w:cs="Times New Roman"/>
          <w:color w:val="36363D"/>
        </w:rPr>
        <w:lastRenderedPageBreak/>
        <w:t>strong complementary effects, indicating that these components should be implemented together rather than sequentially.</w:t>
      </w:r>
    </w:p>
    <w:p w14:paraId="1F6A73F8"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5.4 Policy Implications</w:t>
      </w:r>
    </w:p>
    <w:p w14:paraId="51EFAF6F" w14:textId="49EC698F"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findings have important implications for policymakers seeking to enhance supply chain resilience and economic competitiveness in African markets. The infrastructure moderation effects provide quantitative evidence for the economic benefits of infrastructure investment, with each unit improvement in infrastructure quality increasing the marginal effectiveness of SCRM strategies by 25-27%. This finding supports the </w:t>
      </w:r>
      <w:proofErr w:type="spellStart"/>
      <w:r w:rsidR="00AF2DD9" w:rsidRPr="00751BE7">
        <w:rPr>
          <w:rFonts w:ascii="Times New Roman" w:eastAsia="Times New Roman" w:hAnsi="Times New Roman" w:cs="Times New Roman"/>
          <w:color w:val="36363D"/>
          <w:highlight w:val="yellow"/>
        </w:rPr>
        <w:t>prioritisation</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of infrastructure development as a means of enhancing private sector competitiveness and economic growth.</w:t>
      </w:r>
    </w:p>
    <w:p w14:paraId="732A13F5" w14:textId="0D9A7CE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technology amplification effects suggest that policies supporting digital transformation in the private sector could have multiplier effects on supply chain performance and economic resilience. Government programs that </w:t>
      </w:r>
      <w:proofErr w:type="spellStart"/>
      <w:r w:rsidR="00AF2DD9" w:rsidRPr="00751BE7">
        <w:rPr>
          <w:rFonts w:ascii="Times New Roman" w:eastAsia="Times New Roman" w:hAnsi="Times New Roman" w:cs="Times New Roman"/>
          <w:color w:val="36363D"/>
          <w:highlight w:val="yellow"/>
        </w:rPr>
        <w:t>subsidise</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technology adoption or provide training in digital supply chain management could generate returns that exceed the direct costs of these investments.</w:t>
      </w:r>
    </w:p>
    <w:p w14:paraId="304C87A7" w14:textId="403E07F8"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regional heterogeneity in SCRM effectiveness highlights the importance of context-specific policy approaches. The finding that SCRM strategies are less effective in low-infrastructure regions suggests that these regions may require additional policy support to help </w:t>
      </w:r>
      <w:proofErr w:type="spellStart"/>
      <w:r w:rsidR="00AF2DD9" w:rsidRPr="00751BE7">
        <w:rPr>
          <w:rFonts w:ascii="Times New Roman" w:eastAsia="Times New Roman" w:hAnsi="Times New Roman" w:cs="Times New Roman"/>
          <w:color w:val="36363D"/>
          <w:highlight w:val="yellow"/>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overcome infrastructure constraints and </w:t>
      </w:r>
      <w:proofErr w:type="spellStart"/>
      <w:r w:rsidR="00AF2DD9">
        <w:rPr>
          <w:rFonts w:ascii="Times New Roman" w:eastAsia="Times New Roman" w:hAnsi="Times New Roman" w:cs="Times New Roman"/>
          <w:color w:val="36363D"/>
        </w:rPr>
        <w:t>realise</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the full benefits of their risk management investments.</w:t>
      </w:r>
    </w:p>
    <w:p w14:paraId="02FCF002" w14:textId="5C8145F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identification of optimal investment thresholds provides guidance for policy interventions aimed at supporting small and medium enterprises (SMEs). Many SMEs may lack the resources to achieve the threshold levels of SCRM sophistication needed to </w:t>
      </w:r>
      <w:proofErr w:type="spellStart"/>
      <w:r w:rsidR="00AF2DD9" w:rsidRPr="00751BE7">
        <w:rPr>
          <w:rFonts w:ascii="Times New Roman" w:eastAsia="Times New Roman" w:hAnsi="Times New Roman" w:cs="Times New Roman"/>
          <w:color w:val="36363D"/>
          <w:highlight w:val="yellow"/>
        </w:rPr>
        <w:t>realise</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significant performance benefits. Targeted programs that help SMEs develop foundational risk management capabilities could have substantial economic impacts by enabling these </w:t>
      </w:r>
      <w:proofErr w:type="spellStart"/>
      <w:r w:rsidR="00AF2DD9">
        <w:rPr>
          <w:rFonts w:ascii="Times New Roman" w:eastAsia="Times New Roman" w:hAnsi="Times New Roman" w:cs="Times New Roman"/>
          <w:color w:val="36363D"/>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to reach the threshold where SCRM investments generate significant returns.</w:t>
      </w:r>
    </w:p>
    <w:p w14:paraId="3C902424"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5.5 Limitations and Future Research Directions</w:t>
      </w:r>
    </w:p>
    <w:p w14:paraId="00C74164" w14:textId="6857AA71"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has several limitations that suggest directions for future research. First, the focus on formal sector </w:t>
      </w:r>
      <w:proofErr w:type="spellStart"/>
      <w:r w:rsidR="00AF2DD9" w:rsidRPr="00751BE7">
        <w:rPr>
          <w:rFonts w:ascii="Times New Roman" w:eastAsia="Times New Roman" w:hAnsi="Times New Roman" w:cs="Times New Roman"/>
          <w:color w:val="36363D"/>
          <w:highlight w:val="yellow"/>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with at least 50 employees limits generalizability to smaller </w:t>
      </w:r>
      <w:proofErr w:type="spellStart"/>
      <w:r w:rsidR="00AF2DD9">
        <w:rPr>
          <w:rFonts w:ascii="Times New Roman" w:eastAsia="Times New Roman" w:hAnsi="Times New Roman" w:cs="Times New Roman"/>
          <w:color w:val="36363D"/>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and informal sector businesses, which represent important segments of African economies. Future research should examine how SCRM strategies can be adapted for resource-constrained environments and whether the identified relationships hold for smaller </w:t>
      </w:r>
      <w:proofErr w:type="spellStart"/>
      <w:r w:rsidR="00AF2DD9">
        <w:rPr>
          <w:rFonts w:ascii="Times New Roman" w:eastAsia="Times New Roman" w:hAnsi="Times New Roman" w:cs="Times New Roman"/>
          <w:color w:val="36363D"/>
        </w:rPr>
        <w:t>organisations</w:t>
      </w:r>
      <w:proofErr w:type="spellEnd"/>
      <w:r>
        <w:rPr>
          <w:rFonts w:ascii="Times New Roman" w:eastAsia="Times New Roman" w:hAnsi="Times New Roman" w:cs="Times New Roman"/>
          <w:color w:val="36363D"/>
        </w:rPr>
        <w:t>.</w:t>
      </w:r>
    </w:p>
    <w:p w14:paraId="7724484E" w14:textId="06329E0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Second, the three-year panel structure, while sufficient for addressing many endogeneity concerns, may not capture the longer-term dynamics of SCRM capability development and performance impact. Future research should employ longer time horizons to examine how SCRM-performance relationships evolve as </w:t>
      </w:r>
      <w:proofErr w:type="spellStart"/>
      <w:r w:rsidR="00AF2DD9">
        <w:rPr>
          <w:rFonts w:ascii="Times New Roman" w:eastAsia="Times New Roman" w:hAnsi="Times New Roman" w:cs="Times New Roman"/>
          <w:color w:val="36363D"/>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gain experience with risk management practices and as external risk environments change.</w:t>
      </w:r>
    </w:p>
    <w:p w14:paraId="45F6D445" w14:textId="704D680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Third, the study focuses on </w:t>
      </w:r>
      <w:proofErr w:type="spellStart"/>
      <w:r w:rsidR="00AF2DD9" w:rsidRPr="00751BE7">
        <w:rPr>
          <w:rFonts w:ascii="Times New Roman" w:eastAsia="Times New Roman" w:hAnsi="Times New Roman" w:cs="Times New Roman"/>
          <w:color w:val="36363D"/>
          <w:highlight w:val="yellow"/>
        </w:rPr>
        <w:t>organisational</w:t>
      </w:r>
      <w:proofErr w:type="spellEnd"/>
      <w:r w:rsidR="00AF2DD9" w:rsidRPr="00751BE7">
        <w:rPr>
          <w:rFonts w:ascii="Times New Roman" w:eastAsia="Times New Roman" w:hAnsi="Times New Roman" w:cs="Times New Roman"/>
          <w:color w:val="36363D"/>
          <w:highlight w:val="yellow"/>
        </w:rPr>
        <w:t>-level</w:t>
      </w:r>
      <w:r w:rsidRPr="00751BE7">
        <w:rPr>
          <w:rFonts w:ascii="Times New Roman" w:eastAsia="Times New Roman" w:hAnsi="Times New Roman" w:cs="Times New Roman"/>
          <w:color w:val="36363D"/>
          <w:highlight w:val="yellow"/>
        </w:rPr>
        <w:t xml:space="preserve"> outcomes</w:t>
      </w:r>
      <w:r>
        <w:rPr>
          <w:rFonts w:ascii="Times New Roman" w:eastAsia="Times New Roman" w:hAnsi="Times New Roman" w:cs="Times New Roman"/>
          <w:color w:val="36363D"/>
        </w:rPr>
        <w:t xml:space="preserve"> without examining the broader economic and social impacts of SCRM implementation. Future research should examine how </w:t>
      </w:r>
      <w:proofErr w:type="spellStart"/>
      <w:r w:rsidR="00AF2DD9">
        <w:rPr>
          <w:rFonts w:ascii="Times New Roman" w:eastAsia="Times New Roman" w:hAnsi="Times New Roman" w:cs="Times New Roman"/>
          <w:color w:val="36363D"/>
        </w:rPr>
        <w:t>organisational</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SCRM strategies affect supply chain partners, </w:t>
      </w:r>
      <w:r>
        <w:rPr>
          <w:rFonts w:ascii="Times New Roman" w:eastAsia="Times New Roman" w:hAnsi="Times New Roman" w:cs="Times New Roman"/>
          <w:color w:val="36363D"/>
        </w:rPr>
        <w:lastRenderedPageBreak/>
        <w:t>local communities, and regional economic development to provide a more comprehensive understanding of SCRM’s societal benefits.</w:t>
      </w:r>
    </w:p>
    <w:p w14:paraId="293A2AB8"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Fourth, the measurement of SCRM practices relies on self-reported survey data, which may be subject to social desirability bias or measurement error. Future research should employ objective measures of SCRM implementation, such as technology adoption records, supplier diversity metrics, or risk monitoring system usage data, to validate the survey-based findings.</w:t>
      </w:r>
    </w:p>
    <w:p w14:paraId="37858B8B" w14:textId="4E2FF60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Fifth, the study does not examine the process dynamics of SCRM implementation or the </w:t>
      </w:r>
      <w:proofErr w:type="spellStart"/>
      <w:r w:rsidR="00AF2DD9">
        <w:rPr>
          <w:rFonts w:ascii="Times New Roman" w:eastAsia="Times New Roman" w:hAnsi="Times New Roman" w:cs="Times New Roman"/>
          <w:color w:val="36363D"/>
        </w:rPr>
        <w:t>organisational</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factors that influence successful implementation. Future research should employ qualitative methods to understand how </w:t>
      </w:r>
      <w:proofErr w:type="spellStart"/>
      <w:r w:rsidR="00AF2DD9" w:rsidRPr="00751BE7">
        <w:rPr>
          <w:rFonts w:ascii="Times New Roman" w:eastAsia="Times New Roman" w:hAnsi="Times New Roman" w:cs="Times New Roman"/>
          <w:color w:val="36363D"/>
          <w:highlight w:val="yellow"/>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develop SCRM capabilities and what factors facilitate or impede successful implementation.</w:t>
      </w:r>
    </w:p>
    <w:p w14:paraId="19471DE7" w14:textId="77777777" w:rsidR="009D055F" w:rsidRDefault="00C45426">
      <w:pPr>
        <w:numPr>
          <w:ilvl w:val="0"/>
          <w:numId w:val="5"/>
        </w:numPr>
        <w:spacing w:before="36" w:after="36"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Conclusion</w:t>
      </w:r>
    </w:p>
    <w:p w14:paraId="5852E88E" w14:textId="20FD7F19"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This study provides comprehensive empirical evidence that supply chain risk management strategies create substantial value for </w:t>
      </w:r>
      <w:proofErr w:type="spellStart"/>
      <w:r w:rsidR="00AF2DD9">
        <w:rPr>
          <w:rFonts w:ascii="Times New Roman" w:eastAsia="Times New Roman" w:hAnsi="Times New Roman" w:cs="Times New Roman"/>
          <w:color w:val="36363D"/>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operating in African markets, with effect sizes that justify significant investments in risk management capabilities. The finding that a one standard deviation increase in SCRM intensity corresponds to 23.4% improvement in financial performance, 21.5% improvement in operational performance, and 20.9% improvement in strategic performance represents compelling evidence for the business case for systematic risk management.</w:t>
      </w:r>
    </w:p>
    <w:p w14:paraId="7FB06DEB" w14:textId="32DB7DB4"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identification of optimal investment thresholds (6.2-7.7 range on the 10-point SCRM intensity scale) provides novel theoretical insights and practical guidance that advances both academic understanding and managerial practice. The demonstration that SCRM effectiveness follows non-linear patterns with identifiable break points suggests that </w:t>
      </w:r>
      <w:proofErr w:type="spellStart"/>
      <w:r w:rsidR="00AF2DD9">
        <w:rPr>
          <w:rFonts w:ascii="Times New Roman" w:eastAsia="Times New Roman" w:hAnsi="Times New Roman" w:cs="Times New Roman"/>
          <w:color w:val="36363D"/>
        </w:rPr>
        <w:t>organisations</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must achieve minimum levels of risk management sophistication before they can </w:t>
      </w:r>
      <w:proofErr w:type="spellStart"/>
      <w:r w:rsidR="00AF2DD9" w:rsidRPr="00751BE7">
        <w:rPr>
          <w:rFonts w:ascii="Times New Roman" w:eastAsia="Times New Roman" w:hAnsi="Times New Roman" w:cs="Times New Roman"/>
          <w:color w:val="36363D"/>
          <w:highlight w:val="yellow"/>
        </w:rPr>
        <w:t>realise</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substantial performance benefits.</w:t>
      </w:r>
    </w:p>
    <w:p w14:paraId="2E75C483" w14:textId="29723BA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technology amplification effects (2.3× performance enhancement for technology-enabled strategies) highlight the transformative potential of digital technologies in supply chain risk management and provide quantitative evidence for the business case for digital transformation investments. This finding is particularly relevant for African </w:t>
      </w:r>
      <w:proofErr w:type="spellStart"/>
      <w:r w:rsidR="00AF2DD9"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many of which are still in the early stages of digital adoption.</w:t>
      </w:r>
    </w:p>
    <w:p w14:paraId="77009E0B" w14:textId="1E667624"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infrastructure moderation effects demonstrate how environmental factors influence </w:t>
      </w:r>
      <w:proofErr w:type="spellStart"/>
      <w:r w:rsidR="00AF2DD9">
        <w:rPr>
          <w:rFonts w:ascii="Times New Roman" w:eastAsia="Times New Roman" w:hAnsi="Times New Roman" w:cs="Times New Roman"/>
          <w:color w:val="36363D"/>
        </w:rPr>
        <w:t>organisational</w:t>
      </w:r>
      <w:proofErr w:type="spellEnd"/>
      <w:r w:rsidR="00AF2DD9">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capability effectiveness and provide quantitative evidence for the economic benefits of infrastructure development. The finding that infrastructure quality increases SCRM effectiveness by 25-27% per unit improvement provides policymakers with empirical support for infrastructure investment priorities.</w:t>
      </w:r>
    </w:p>
    <w:p w14:paraId="6DBBFEA2" w14:textId="5BCF171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study contributes to supply chain risk management theory by providing the first comprehensive quantitative analysis of SCRM-performance relationships in African markets, extending the geographical scope of existing theory while demonstrating the universal applicability of risk management principles. The identification of threshold effects, technology amplification, and infrastructure moderation extends </w:t>
      </w:r>
      <w:r>
        <w:rPr>
          <w:rFonts w:ascii="Times New Roman" w:eastAsia="Times New Roman" w:hAnsi="Times New Roman" w:cs="Times New Roman"/>
          <w:color w:val="36363D"/>
        </w:rPr>
        <w:lastRenderedPageBreak/>
        <w:t xml:space="preserve">theoretical understanding while providing practical tools for </w:t>
      </w:r>
      <w:proofErr w:type="spellStart"/>
      <w:r w:rsidR="00ED1A9B">
        <w:rPr>
          <w:rFonts w:ascii="Times New Roman" w:eastAsia="Times New Roman" w:hAnsi="Times New Roman" w:cs="Times New Roman"/>
          <w:color w:val="36363D"/>
        </w:rPr>
        <w:t>optimisation</w:t>
      </w:r>
      <w:proofErr w:type="spellEnd"/>
      <w:r w:rsidR="00ED1A9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of SCRM investments.</w:t>
      </w:r>
    </w:p>
    <w:p w14:paraId="602489C1" w14:textId="32B4FF22"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methodological contributions include the successful application of multiple econometric techniques to address endogeneity concerns and establish causal relationships, the development of comprehensive measurement instruments for SCRM practices in African contexts, and the demonstration of how machine learning techniques can complement traditional econometric approaches in </w:t>
      </w:r>
      <w:proofErr w:type="spellStart"/>
      <w:r w:rsidR="00ED1A9B" w:rsidRPr="00751BE7">
        <w:rPr>
          <w:rFonts w:ascii="Times New Roman" w:eastAsia="Times New Roman" w:hAnsi="Times New Roman" w:cs="Times New Roman"/>
          <w:color w:val="36363D"/>
          <w:highlight w:val="yellow"/>
        </w:rPr>
        <w:t>organisational</w:t>
      </w:r>
      <w:proofErr w:type="spellEnd"/>
      <w:r w:rsidR="00ED1A9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research.</w:t>
      </w:r>
    </w:p>
    <w:p w14:paraId="74C5A98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The practical implications provide managers with specific, quantified guidelines for SCRM investment decisions, technology adoption priorities, and strategy adaptation to local contexts. The policy implications offer evidence-based support for infrastructure development and digital transformation initiatives that could enhance economic competitiveness and supply chain resilience across African markets.</w:t>
      </w:r>
    </w:p>
    <w:p w14:paraId="5E054F8C" w14:textId="4840F460"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Future research should extend this analysis to smaller </w:t>
      </w:r>
      <w:proofErr w:type="spellStart"/>
      <w:r w:rsidR="00ED1A9B" w:rsidRPr="00751BE7">
        <w:rPr>
          <w:rFonts w:ascii="Times New Roman" w:eastAsia="Times New Roman" w:hAnsi="Times New Roman" w:cs="Times New Roman"/>
          <w:color w:val="36363D"/>
          <w:highlight w:val="yellow"/>
        </w:rPr>
        <w:t>organisations</w:t>
      </w:r>
      <w:proofErr w:type="spellEnd"/>
      <w:r w:rsidR="00ED1A9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 xml:space="preserve">and informal sector businesses, examine longer-term dynamics of SCRM capability development, investigate the broader economic and social impacts of </w:t>
      </w:r>
      <w:proofErr w:type="spellStart"/>
      <w:r w:rsidR="00ED1A9B">
        <w:rPr>
          <w:rFonts w:ascii="Times New Roman" w:eastAsia="Times New Roman" w:hAnsi="Times New Roman" w:cs="Times New Roman"/>
          <w:color w:val="36363D"/>
        </w:rPr>
        <w:t>organisational</w:t>
      </w:r>
      <w:proofErr w:type="spellEnd"/>
      <w:r w:rsidR="00ED1A9B">
        <w:rPr>
          <w:rFonts w:ascii="Times New Roman" w:eastAsia="Times New Roman" w:hAnsi="Times New Roman" w:cs="Times New Roman"/>
          <w:color w:val="36363D"/>
        </w:rPr>
        <w:t xml:space="preserve"> </w:t>
      </w:r>
      <w:r>
        <w:rPr>
          <w:rFonts w:ascii="Times New Roman" w:eastAsia="Times New Roman" w:hAnsi="Times New Roman" w:cs="Times New Roman"/>
          <w:color w:val="36363D"/>
        </w:rPr>
        <w:t>risk management strategies, and employ qualitative methods to understand the process dynamics of successful SCRM implementation.</w:t>
      </w:r>
    </w:p>
    <w:p w14:paraId="0CC98DFF" w14:textId="7EEBD8C5"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The findings demonstrate that strategic investments in supply chain risk management, particularly when supported by appropriate technology adoption and infrastructure development, can generate substantial returns for </w:t>
      </w:r>
      <w:proofErr w:type="spellStart"/>
      <w:r w:rsidR="00ED1A9B" w:rsidRPr="00751BE7">
        <w:rPr>
          <w:rFonts w:ascii="Times New Roman" w:eastAsia="Times New Roman" w:hAnsi="Times New Roman" w:cs="Times New Roman"/>
          <w:color w:val="36363D"/>
          <w:highlight w:val="yellow"/>
        </w:rPr>
        <w:t>organisations</w:t>
      </w:r>
      <w:proofErr w:type="spellEnd"/>
      <w:r>
        <w:rPr>
          <w:rFonts w:ascii="Times New Roman" w:eastAsia="Times New Roman" w:hAnsi="Times New Roman" w:cs="Times New Roman"/>
          <w:color w:val="36363D"/>
        </w:rPr>
        <w:t>, stakeholders, and societies across African markets.</w:t>
      </w:r>
    </w:p>
    <w:p w14:paraId="40CDA013" w14:textId="2B82D537" w:rsidR="00BB5385" w:rsidRDefault="00BB5385">
      <w:pPr>
        <w:spacing w:before="180" w:after="180" w:line="240" w:lineRule="auto"/>
        <w:jc w:val="both"/>
        <w:rPr>
          <w:rFonts w:ascii="Times New Roman" w:eastAsia="Times New Roman" w:hAnsi="Times New Roman" w:cs="Times New Roman"/>
          <w:color w:val="36363D"/>
        </w:rPr>
      </w:pPr>
    </w:p>
    <w:p w14:paraId="3DF7F072" w14:textId="77777777" w:rsidR="00BB5385" w:rsidRPr="009C5487" w:rsidRDefault="00BB5385" w:rsidP="00BB5385">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6BD02000"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A6890FE"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088F36D2"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936C1E5"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B96374"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17293D53"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4224703" w14:textId="77777777" w:rsidR="00BB5385" w:rsidRPr="009C5487" w:rsidRDefault="00BB5385" w:rsidP="00BB538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20AF7DC" w14:textId="77777777" w:rsidR="00BB5385" w:rsidRPr="009C5487" w:rsidRDefault="00BB5385" w:rsidP="00BB5385">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lastRenderedPageBreak/>
        <w:t>3.</w:t>
      </w:r>
    </w:p>
    <w:bookmarkEnd w:id="1"/>
    <w:bookmarkEnd w:id="2"/>
    <w:bookmarkEnd w:id="3"/>
    <w:p w14:paraId="553A706D" w14:textId="77777777" w:rsidR="00BB5385" w:rsidRDefault="00BB5385">
      <w:pPr>
        <w:spacing w:before="180" w:after="180" w:line="240" w:lineRule="auto"/>
        <w:jc w:val="both"/>
        <w:rPr>
          <w:rFonts w:ascii="Times New Roman" w:eastAsia="Times New Roman" w:hAnsi="Times New Roman" w:cs="Times New Roman"/>
          <w:color w:val="36363D"/>
        </w:rPr>
      </w:pPr>
    </w:p>
    <w:p w14:paraId="2B5924D6" w14:textId="77777777" w:rsidR="009D055F" w:rsidRDefault="00C45426">
      <w:pPr>
        <w:spacing w:before="180" w:after="180" w:line="240" w:lineRule="auto"/>
        <w:jc w:val="both"/>
        <w:rPr>
          <w:rFonts w:ascii="Times New Roman" w:eastAsia="Times New Roman" w:hAnsi="Times New Roman" w:cs="Times New Roman"/>
          <w:b/>
          <w:color w:val="36363D"/>
        </w:rPr>
      </w:pPr>
      <w:r>
        <w:rPr>
          <w:rFonts w:ascii="Times New Roman" w:eastAsia="Times New Roman" w:hAnsi="Times New Roman" w:cs="Times New Roman"/>
          <w:b/>
          <w:color w:val="36363D"/>
        </w:rPr>
        <w:t>References</w:t>
      </w:r>
    </w:p>
    <w:p w14:paraId="15E6FE3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Arellano, M., &amp; Bond, S. (1991). Some tests of specification for panel data: Monte Carlo evidence and an application to employment equations. The Review of Economic Studies, 58(2), 277–297.</w:t>
      </w:r>
    </w:p>
    <w:p w14:paraId="59B40B21"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Baltagi</w:t>
      </w:r>
      <w:proofErr w:type="spellEnd"/>
      <w:r>
        <w:rPr>
          <w:rFonts w:ascii="Times New Roman" w:eastAsia="Times New Roman" w:hAnsi="Times New Roman" w:cs="Times New Roman"/>
          <w:color w:val="36363D"/>
        </w:rPr>
        <w:t>, B. H. (2021). Econometric Analysis of Panel Data (6th ed.). Springer.</w:t>
      </w:r>
    </w:p>
    <w:p w14:paraId="6B1BC7D4"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Barney, J. (1991). Firm resources and sustained competitive advantage. Journal of Management, 17(1), 99–120.</w:t>
      </w:r>
    </w:p>
    <w:p w14:paraId="23CDFDDD"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Baum, C. F., Schaffer, M. E., &amp; </w:t>
      </w:r>
      <w:proofErr w:type="spellStart"/>
      <w:r>
        <w:rPr>
          <w:rFonts w:ascii="Times New Roman" w:eastAsia="Times New Roman" w:hAnsi="Times New Roman" w:cs="Times New Roman"/>
          <w:color w:val="36363D"/>
        </w:rPr>
        <w:t>Stillman</w:t>
      </w:r>
      <w:proofErr w:type="spellEnd"/>
      <w:r>
        <w:rPr>
          <w:rFonts w:ascii="Times New Roman" w:eastAsia="Times New Roman" w:hAnsi="Times New Roman" w:cs="Times New Roman"/>
          <w:color w:val="36363D"/>
        </w:rPr>
        <w:t>, S. (2003). Instrumental variables and GMM: Estimation and testing. The Stata Journal, 3(1), 1–31.</w:t>
      </w:r>
    </w:p>
    <w:p w14:paraId="3090C5D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Bozarth, C. C., </w:t>
      </w:r>
      <w:proofErr w:type="spellStart"/>
      <w:r>
        <w:rPr>
          <w:rFonts w:ascii="Times New Roman" w:eastAsia="Times New Roman" w:hAnsi="Times New Roman" w:cs="Times New Roman"/>
          <w:color w:val="36363D"/>
        </w:rPr>
        <w:t>Warsing</w:t>
      </w:r>
      <w:proofErr w:type="spellEnd"/>
      <w:r>
        <w:rPr>
          <w:rFonts w:ascii="Times New Roman" w:eastAsia="Times New Roman" w:hAnsi="Times New Roman" w:cs="Times New Roman"/>
          <w:color w:val="36363D"/>
        </w:rPr>
        <w:t>, D. P., Flynn, B. B., &amp; Flynn, E. J. (2023). The impact of supply chain complexity on manufacturing plant performance. Journal of Operations Management, 69(3), 342–365.</w:t>
      </w:r>
    </w:p>
    <w:p w14:paraId="791BE540" w14:textId="5770EDA5" w:rsidR="00F61B04" w:rsidRDefault="00F61B04">
      <w:pPr>
        <w:spacing w:before="180" w:after="180" w:line="240" w:lineRule="auto"/>
        <w:jc w:val="both"/>
        <w:rPr>
          <w:rFonts w:ascii="Times New Roman" w:eastAsia="Times New Roman" w:hAnsi="Times New Roman" w:cs="Times New Roman"/>
          <w:color w:val="36363D"/>
        </w:rPr>
      </w:pPr>
      <w:bookmarkStart w:id="4" w:name="_GoBack"/>
      <w:bookmarkEnd w:id="4"/>
      <w:r w:rsidRPr="00F61B04">
        <w:rPr>
          <w:rFonts w:ascii="Times New Roman" w:eastAsia="Times New Roman" w:hAnsi="Times New Roman" w:cs="Times New Roman"/>
          <w:color w:val="36363D"/>
        </w:rPr>
        <w:t>Li, P., Chen, Y., &amp; Guo, X. (2025). Digital transformation and supply chain resilience. International Review of Economics &amp; Finance, 99, 104033.</w:t>
      </w:r>
    </w:p>
    <w:p w14:paraId="388B5EC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Chopra, S., &amp; Sodhi, M. S. (2024). Reducing the risk of supply chain disruptions. MIT Sloan Management Review, 65(2), 56–73.</w:t>
      </w:r>
    </w:p>
    <w:p w14:paraId="55C0976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Christopher, M., &amp; Peck, H. (2024). Building the resilient supply chain. International Journal of Logistics Management, 35(2), 234–251.</w:t>
      </w:r>
    </w:p>
    <w:p w14:paraId="587DBF82"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Churchill, G. A. (1979). A paradigm for developing better measures of marketing constructs. Journal of Marketing Research, 16(1), 64–73.</w:t>
      </w:r>
    </w:p>
    <w:p w14:paraId="6B28BDAF"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Cochran, W. G. (1977). Sampling Techniques (3rd ed.). John Wiley &amp; Sons.</w:t>
      </w:r>
    </w:p>
    <w:p w14:paraId="1501CC2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Diamantopoulos, A., &amp; </w:t>
      </w:r>
      <w:proofErr w:type="spellStart"/>
      <w:r>
        <w:rPr>
          <w:rFonts w:ascii="Times New Roman" w:eastAsia="Times New Roman" w:hAnsi="Times New Roman" w:cs="Times New Roman"/>
          <w:color w:val="36363D"/>
        </w:rPr>
        <w:t>Winklhofer</w:t>
      </w:r>
      <w:proofErr w:type="spellEnd"/>
      <w:r>
        <w:rPr>
          <w:rFonts w:ascii="Times New Roman" w:eastAsia="Times New Roman" w:hAnsi="Times New Roman" w:cs="Times New Roman"/>
          <w:color w:val="36363D"/>
        </w:rPr>
        <w:t>, H. M. (2001). Index construction with formative indicators: An alternative to scale development. Journal of Marketing Research, 38(2), 269–277.</w:t>
      </w:r>
    </w:p>
    <w:p w14:paraId="0101A51A" w14:textId="77777777" w:rsidR="009D055F" w:rsidRDefault="00C45426">
      <w:pPr>
        <w:spacing w:before="180" w:after="180" w:line="240" w:lineRule="auto"/>
        <w:jc w:val="both"/>
        <w:rPr>
          <w:rFonts w:ascii="Times New Roman" w:eastAsia="Times New Roman" w:hAnsi="Times New Roman" w:cs="Times New Roman"/>
          <w:color w:val="36363D"/>
        </w:rPr>
      </w:pPr>
      <w:proofErr w:type="spellStart"/>
      <w:r>
        <w:rPr>
          <w:rFonts w:ascii="Times New Roman" w:eastAsia="Times New Roman" w:hAnsi="Times New Roman" w:cs="Times New Roman"/>
          <w:color w:val="36363D"/>
        </w:rPr>
        <w:t>Dillman</w:t>
      </w:r>
      <w:proofErr w:type="spellEnd"/>
      <w:r>
        <w:rPr>
          <w:rFonts w:ascii="Times New Roman" w:eastAsia="Times New Roman" w:hAnsi="Times New Roman" w:cs="Times New Roman"/>
          <w:color w:val="36363D"/>
        </w:rPr>
        <w:t>, D. A., Smyth, J. D., &amp; Christian, L. M. (2014). Internet, Phone, Mail, and Mixed-Mode Surveys: The Tailored Design Method (4th ed.). John Wiley &amp; Sons.</w:t>
      </w:r>
    </w:p>
    <w:p w14:paraId="37277B03" w14:textId="7720202E" w:rsidR="009D055F" w:rsidRDefault="00C45426">
      <w:pPr>
        <w:spacing w:before="180" w:after="180" w:line="240" w:lineRule="auto"/>
        <w:jc w:val="both"/>
        <w:rPr>
          <w:rFonts w:ascii="Times New Roman" w:eastAsia="Times New Roman" w:hAnsi="Times New Roman" w:cs="Times New Roman"/>
          <w:color w:val="36363D"/>
        </w:rPr>
      </w:pPr>
      <w:r w:rsidRPr="00F61B04">
        <w:rPr>
          <w:rFonts w:ascii="Times New Roman" w:eastAsia="Times New Roman" w:hAnsi="Times New Roman" w:cs="Times New Roman"/>
          <w:color w:val="36363D"/>
        </w:rPr>
        <w:t>Greene, W. H. (20</w:t>
      </w:r>
      <w:r w:rsidR="00F61B04" w:rsidRPr="00F61B04">
        <w:rPr>
          <w:rFonts w:ascii="Times New Roman" w:eastAsia="Times New Roman" w:hAnsi="Times New Roman" w:cs="Times New Roman"/>
          <w:color w:val="36363D"/>
        </w:rPr>
        <w:t>18</w:t>
      </w:r>
      <w:r w:rsidRPr="00F61B04">
        <w:rPr>
          <w:rFonts w:ascii="Times New Roman" w:eastAsia="Times New Roman" w:hAnsi="Times New Roman" w:cs="Times New Roman"/>
          <w:color w:val="36363D"/>
        </w:rPr>
        <w:t>). Econometric Analysis (8th ed.). Pearson.</w:t>
      </w:r>
      <w:r w:rsidR="00F61B04" w:rsidRPr="00F61B04">
        <w:t xml:space="preserve"> </w:t>
      </w:r>
      <w:hyperlink r:id="rId15" w:history="1">
        <w:r w:rsidR="00F61B04" w:rsidRPr="00F61B04">
          <w:rPr>
            <w:rStyle w:val="Hyperlink"/>
            <w:rFonts w:ascii="Times New Roman" w:eastAsia="Times New Roman" w:hAnsi="Times New Roman" w:cs="Times New Roman"/>
          </w:rPr>
          <w:t>https://www.pearsoned.co.in/prc/book/william-h-greene-econometric-analysis-8e--8/9789353061074</w:t>
        </w:r>
      </w:hyperlink>
      <w:r w:rsidR="00F61B04">
        <w:rPr>
          <w:rFonts w:ascii="Times New Roman" w:eastAsia="Times New Roman" w:hAnsi="Times New Roman" w:cs="Times New Roman"/>
          <w:color w:val="36363D"/>
        </w:rPr>
        <w:t xml:space="preserve"> </w:t>
      </w:r>
    </w:p>
    <w:p w14:paraId="00A6EE26" w14:textId="62708C7D" w:rsidR="009D055F" w:rsidRDefault="00C45426">
      <w:pPr>
        <w:spacing w:before="180" w:after="180" w:line="240" w:lineRule="auto"/>
        <w:jc w:val="both"/>
        <w:rPr>
          <w:rFonts w:ascii="Times New Roman" w:eastAsia="Times New Roman" w:hAnsi="Times New Roman" w:cs="Times New Roman"/>
          <w:color w:val="36363D"/>
        </w:rPr>
      </w:pPr>
      <w:r w:rsidRPr="00F61B04">
        <w:rPr>
          <w:rFonts w:ascii="Times New Roman" w:eastAsia="Times New Roman" w:hAnsi="Times New Roman" w:cs="Times New Roman"/>
          <w:color w:val="36363D"/>
        </w:rPr>
        <w:t xml:space="preserve">Groves, R. M., Fowler, F. J., Couper, M. P., </w:t>
      </w:r>
      <w:proofErr w:type="spellStart"/>
      <w:r w:rsidRPr="00F61B04">
        <w:rPr>
          <w:rFonts w:ascii="Times New Roman" w:eastAsia="Times New Roman" w:hAnsi="Times New Roman" w:cs="Times New Roman"/>
          <w:color w:val="36363D"/>
        </w:rPr>
        <w:t>Lepkowski</w:t>
      </w:r>
      <w:proofErr w:type="spellEnd"/>
      <w:r w:rsidRPr="00F61B04">
        <w:rPr>
          <w:rFonts w:ascii="Times New Roman" w:eastAsia="Times New Roman" w:hAnsi="Times New Roman" w:cs="Times New Roman"/>
          <w:color w:val="36363D"/>
        </w:rPr>
        <w:t>, J. M., Singer, E., &amp; Tourangeau, R. (2009). Survey Methodology (2nd ed.). John Wiley &amp; Sons.</w:t>
      </w:r>
      <w:r w:rsidR="00F61B04" w:rsidRPr="00F61B04">
        <w:t xml:space="preserve"> </w:t>
      </w:r>
      <w:hyperlink r:id="rId16" w:history="1">
        <w:r w:rsidR="00F61B04" w:rsidRPr="00F61B04">
          <w:rPr>
            <w:rStyle w:val="Hyperlink"/>
            <w:rFonts w:ascii="Times New Roman" w:eastAsia="Times New Roman" w:hAnsi="Times New Roman" w:cs="Times New Roman"/>
          </w:rPr>
          <w:t>https://www.wiley.com/en-us/Survey+Methodology%2C+2nd+Edition-p-9780470465462</w:t>
        </w:r>
      </w:hyperlink>
      <w:r w:rsidR="00F61B04">
        <w:rPr>
          <w:rFonts w:ascii="Times New Roman" w:eastAsia="Times New Roman" w:hAnsi="Times New Roman" w:cs="Times New Roman"/>
          <w:color w:val="36363D"/>
        </w:rPr>
        <w:t xml:space="preserve"> </w:t>
      </w:r>
    </w:p>
    <w:p w14:paraId="1F0ACE65"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Hansen, B. E. (1999). Threshold effects in non-dynamic panels: Estimation, testing, and inference. Journal of Econometrics, 93(2), 345–368.</w:t>
      </w:r>
    </w:p>
    <w:p w14:paraId="7C9CC112" w14:textId="77777777" w:rsidR="009D055F" w:rsidRPr="006034E7" w:rsidRDefault="00C45426">
      <w:pPr>
        <w:spacing w:before="180" w:after="180" w:line="240" w:lineRule="auto"/>
        <w:jc w:val="both"/>
        <w:rPr>
          <w:rFonts w:ascii="Times New Roman" w:eastAsia="Times New Roman" w:hAnsi="Times New Roman" w:cs="Times New Roman"/>
          <w:color w:val="36363D"/>
          <w:lang w:val="es-US"/>
        </w:rPr>
      </w:pPr>
      <w:r>
        <w:rPr>
          <w:rFonts w:ascii="Times New Roman" w:eastAsia="Times New Roman" w:hAnsi="Times New Roman" w:cs="Times New Roman"/>
          <w:color w:val="36363D"/>
        </w:rPr>
        <w:lastRenderedPageBreak/>
        <w:t xml:space="preserve">Hausman, J. A. (1978). Specification tests in econometrics. </w:t>
      </w:r>
      <w:proofErr w:type="spellStart"/>
      <w:r w:rsidRPr="006034E7">
        <w:rPr>
          <w:rFonts w:ascii="Times New Roman" w:eastAsia="Times New Roman" w:hAnsi="Times New Roman" w:cs="Times New Roman"/>
          <w:color w:val="36363D"/>
          <w:lang w:val="es-US"/>
        </w:rPr>
        <w:t>Econometrica</w:t>
      </w:r>
      <w:proofErr w:type="spellEnd"/>
      <w:r w:rsidRPr="006034E7">
        <w:rPr>
          <w:rFonts w:ascii="Times New Roman" w:eastAsia="Times New Roman" w:hAnsi="Times New Roman" w:cs="Times New Roman"/>
          <w:color w:val="36363D"/>
          <w:lang w:val="es-US"/>
        </w:rPr>
        <w:t>, 46(6), 1251–1271.</w:t>
      </w:r>
    </w:p>
    <w:p w14:paraId="24A7C6B7" w14:textId="77777777" w:rsidR="009D055F" w:rsidRDefault="00C45426">
      <w:pPr>
        <w:spacing w:before="180" w:after="180" w:line="240" w:lineRule="auto"/>
        <w:jc w:val="both"/>
        <w:rPr>
          <w:rFonts w:ascii="Times New Roman" w:eastAsia="Times New Roman" w:hAnsi="Times New Roman" w:cs="Times New Roman"/>
          <w:color w:val="36363D"/>
        </w:rPr>
      </w:pPr>
      <w:r w:rsidRPr="006034E7">
        <w:rPr>
          <w:rFonts w:ascii="Times New Roman" w:eastAsia="Times New Roman" w:hAnsi="Times New Roman" w:cs="Times New Roman"/>
          <w:color w:val="36363D"/>
          <w:lang w:val="es-US"/>
        </w:rPr>
        <w:t xml:space="preserve">Kaplan, R. S., &amp; Norton, D. P. (1996). </w:t>
      </w:r>
      <w:r>
        <w:rPr>
          <w:rFonts w:ascii="Times New Roman" w:eastAsia="Times New Roman" w:hAnsi="Times New Roman" w:cs="Times New Roman"/>
          <w:color w:val="36363D"/>
        </w:rPr>
        <w:t>The Balanced Scorecard: Translating Strategy into Action. Harvard Business School Press.</w:t>
      </w:r>
    </w:p>
    <w:p w14:paraId="0071B159" w14:textId="579B27AC" w:rsidR="00F61B04" w:rsidRDefault="00F61B04">
      <w:pPr>
        <w:spacing w:before="180" w:after="180" w:line="240" w:lineRule="auto"/>
        <w:jc w:val="both"/>
        <w:rPr>
          <w:rFonts w:ascii="Times New Roman" w:eastAsia="Times New Roman" w:hAnsi="Times New Roman" w:cs="Times New Roman"/>
          <w:color w:val="36363D"/>
        </w:rPr>
      </w:pPr>
      <w:r w:rsidRPr="00F61B04">
        <w:rPr>
          <w:rFonts w:ascii="Times New Roman" w:eastAsia="Times New Roman" w:hAnsi="Times New Roman" w:cs="Times New Roman"/>
          <w:color w:val="36363D"/>
        </w:rPr>
        <w:t xml:space="preserve">Yang, J., Kumar, V., </w:t>
      </w:r>
      <w:proofErr w:type="spellStart"/>
      <w:r w:rsidRPr="00F61B04">
        <w:rPr>
          <w:rFonts w:ascii="Times New Roman" w:eastAsia="Times New Roman" w:hAnsi="Times New Roman" w:cs="Times New Roman"/>
          <w:color w:val="36363D"/>
        </w:rPr>
        <w:t>Ekren</w:t>
      </w:r>
      <w:proofErr w:type="spellEnd"/>
      <w:r w:rsidRPr="00F61B04">
        <w:rPr>
          <w:rFonts w:ascii="Times New Roman" w:eastAsia="Times New Roman" w:hAnsi="Times New Roman" w:cs="Times New Roman"/>
          <w:color w:val="36363D"/>
        </w:rPr>
        <w:t xml:space="preserve">, B., &amp; </w:t>
      </w:r>
      <w:proofErr w:type="spellStart"/>
      <w:r w:rsidRPr="00F61B04">
        <w:rPr>
          <w:rFonts w:ascii="Times New Roman" w:eastAsia="Times New Roman" w:hAnsi="Times New Roman" w:cs="Times New Roman"/>
          <w:color w:val="36363D"/>
        </w:rPr>
        <w:t>Kuzmin</w:t>
      </w:r>
      <w:proofErr w:type="spellEnd"/>
      <w:r w:rsidRPr="00F61B04">
        <w:rPr>
          <w:rFonts w:ascii="Times New Roman" w:eastAsia="Times New Roman" w:hAnsi="Times New Roman" w:cs="Times New Roman"/>
          <w:color w:val="36363D"/>
        </w:rPr>
        <w:t>, E. (2021). Understanding the role of digital technologies in supply chain risks management. In Digital Transformation in Industry: Trends, Management, Strategies (pp. 133-146). Cham: Springer International Publishing.</w:t>
      </w:r>
    </w:p>
    <w:p w14:paraId="4E976709"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Markowitz, H. (1952). Portfolio selection. The Journal of Finance, 7(1), 77–91.</w:t>
      </w:r>
    </w:p>
    <w:p w14:paraId="215898B7"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Neely, A., Gregory, M., &amp; Platts, K. (1995). Performance measurement system design: A literature review and research agenda. International Journal of Operations &amp; Production Management, 15(4), 80–116.</w:t>
      </w:r>
    </w:p>
    <w:p w14:paraId="2B490120" w14:textId="5E73AA08" w:rsidR="007F0EFC" w:rsidRDefault="007F0EFC">
      <w:pPr>
        <w:spacing w:before="180" w:after="180" w:line="240" w:lineRule="auto"/>
        <w:jc w:val="both"/>
        <w:rPr>
          <w:rFonts w:ascii="Times New Roman" w:eastAsia="Times New Roman" w:hAnsi="Times New Roman" w:cs="Times New Roman"/>
          <w:color w:val="36363D"/>
        </w:rPr>
      </w:pPr>
      <w:proofErr w:type="spellStart"/>
      <w:r w:rsidRPr="007F0EFC">
        <w:rPr>
          <w:rFonts w:ascii="Times New Roman" w:eastAsia="Times New Roman" w:hAnsi="Times New Roman" w:cs="Times New Roman"/>
          <w:color w:val="36363D"/>
        </w:rPr>
        <w:t>Ogah</w:t>
      </w:r>
      <w:proofErr w:type="spellEnd"/>
      <w:r w:rsidRPr="007F0EFC">
        <w:rPr>
          <w:rFonts w:ascii="Times New Roman" w:eastAsia="Times New Roman" w:hAnsi="Times New Roman" w:cs="Times New Roman"/>
          <w:color w:val="36363D"/>
        </w:rPr>
        <w:t xml:space="preserve">, M., &amp; </w:t>
      </w:r>
      <w:proofErr w:type="spellStart"/>
      <w:r w:rsidRPr="007F0EFC">
        <w:rPr>
          <w:rFonts w:ascii="Times New Roman" w:eastAsia="Times New Roman" w:hAnsi="Times New Roman" w:cs="Times New Roman"/>
          <w:color w:val="36363D"/>
        </w:rPr>
        <w:t>Asiegbu</w:t>
      </w:r>
      <w:proofErr w:type="spellEnd"/>
      <w:r w:rsidRPr="007F0EFC">
        <w:rPr>
          <w:rFonts w:ascii="Times New Roman" w:eastAsia="Times New Roman" w:hAnsi="Times New Roman" w:cs="Times New Roman"/>
          <w:color w:val="36363D"/>
        </w:rPr>
        <w:t>, G. (2022). Sustainable Supply Chain Management in Sub-Saharan Africa. In Management and Leadership for a Sustainable Africa, Volume 2: Roles, Responsibilities, and Prospects (pp. 87-113). Cham: Springer International Publishing.</w:t>
      </w:r>
    </w:p>
    <w:p w14:paraId="703994BA"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Stock, J. H., &amp; Watson, M. W. (2020). Introduction to Econometrics (4th ed.). Pearson.</w:t>
      </w:r>
    </w:p>
    <w:p w14:paraId="6C0BA38C"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Tang, C. S., &amp; </w:t>
      </w:r>
      <w:proofErr w:type="spellStart"/>
      <w:r>
        <w:rPr>
          <w:rFonts w:ascii="Times New Roman" w:eastAsia="Times New Roman" w:hAnsi="Times New Roman" w:cs="Times New Roman"/>
          <w:color w:val="36363D"/>
        </w:rPr>
        <w:t>Veelenturf</w:t>
      </w:r>
      <w:proofErr w:type="spellEnd"/>
      <w:r>
        <w:rPr>
          <w:rFonts w:ascii="Times New Roman" w:eastAsia="Times New Roman" w:hAnsi="Times New Roman" w:cs="Times New Roman"/>
          <w:color w:val="36363D"/>
        </w:rPr>
        <w:t>, L. P. (2023). The strategic role of logistics and supply chain management in the digital era. Transportation Research Part E: Logistics and Transportation Review, 170, 102951.</w:t>
      </w:r>
    </w:p>
    <w:p w14:paraId="158E14F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Teece, D. J. (2007). Explicating dynamic capabilities: The nature and </w:t>
      </w:r>
      <w:proofErr w:type="spellStart"/>
      <w:r>
        <w:rPr>
          <w:rFonts w:ascii="Times New Roman" w:eastAsia="Times New Roman" w:hAnsi="Times New Roman" w:cs="Times New Roman"/>
          <w:color w:val="36363D"/>
        </w:rPr>
        <w:t>microfoundations</w:t>
      </w:r>
      <w:proofErr w:type="spellEnd"/>
      <w:r>
        <w:rPr>
          <w:rFonts w:ascii="Times New Roman" w:eastAsia="Times New Roman" w:hAnsi="Times New Roman" w:cs="Times New Roman"/>
          <w:color w:val="36363D"/>
        </w:rPr>
        <w:t xml:space="preserve"> of (sustainable) enterprise performance. Strategic Management Journal, 28(13), 1319–1350.</w:t>
      </w:r>
    </w:p>
    <w:p w14:paraId="06C813BE"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Venkatraman, N., &amp; </w:t>
      </w:r>
      <w:proofErr w:type="spellStart"/>
      <w:r>
        <w:rPr>
          <w:rFonts w:ascii="Times New Roman" w:eastAsia="Times New Roman" w:hAnsi="Times New Roman" w:cs="Times New Roman"/>
          <w:color w:val="36363D"/>
        </w:rPr>
        <w:t>Ramanujam</w:t>
      </w:r>
      <w:proofErr w:type="spellEnd"/>
      <w:r>
        <w:rPr>
          <w:rFonts w:ascii="Times New Roman" w:eastAsia="Times New Roman" w:hAnsi="Times New Roman" w:cs="Times New Roman"/>
          <w:color w:val="36363D"/>
        </w:rPr>
        <w:t>, V. (1986). Measurement of business performance in strategy research: A comparison of approaches. Academy of Management Review, 11(4), 801–814.</w:t>
      </w:r>
    </w:p>
    <w:p w14:paraId="44AA0DBB"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Wooldridge, J. M. (2020). Econometric Analysis of Cross Section and Panel Data (2nd ed.). MIT Press.</w:t>
      </w:r>
    </w:p>
    <w:p w14:paraId="4ADD9121" w14:textId="77777777" w:rsidR="009D055F" w:rsidRDefault="00C45426">
      <w:pPr>
        <w:spacing w:before="180" w:after="180" w:line="240" w:lineRule="auto"/>
        <w:jc w:val="both"/>
        <w:rPr>
          <w:rFonts w:ascii="Times New Roman" w:eastAsia="Times New Roman" w:hAnsi="Times New Roman" w:cs="Times New Roman"/>
          <w:color w:val="36363D"/>
        </w:rPr>
      </w:pPr>
      <w:r>
        <w:rPr>
          <w:rFonts w:ascii="Times New Roman" w:eastAsia="Times New Roman" w:hAnsi="Times New Roman" w:cs="Times New Roman"/>
          <w:color w:val="36363D"/>
        </w:rPr>
        <w:t xml:space="preserve">Wu, D. M. (1973). Alternative tests of independence between stochastic regressors and disturbances. </w:t>
      </w:r>
      <w:proofErr w:type="spellStart"/>
      <w:r>
        <w:rPr>
          <w:rFonts w:ascii="Times New Roman" w:eastAsia="Times New Roman" w:hAnsi="Times New Roman" w:cs="Times New Roman"/>
          <w:color w:val="36363D"/>
        </w:rPr>
        <w:t>Econometrica</w:t>
      </w:r>
      <w:proofErr w:type="spellEnd"/>
      <w:r>
        <w:rPr>
          <w:rFonts w:ascii="Times New Roman" w:eastAsia="Times New Roman" w:hAnsi="Times New Roman" w:cs="Times New Roman"/>
          <w:color w:val="36363D"/>
        </w:rPr>
        <w:t>, 41(4), 733–750.</w:t>
      </w:r>
    </w:p>
    <w:p w14:paraId="056EDB5B" w14:textId="304BB282" w:rsidR="007F0EFC" w:rsidRDefault="007F0EFC">
      <w:pPr>
        <w:spacing w:before="180" w:after="180" w:line="240" w:lineRule="auto"/>
        <w:jc w:val="both"/>
        <w:rPr>
          <w:rFonts w:ascii="Times New Roman" w:eastAsia="Times New Roman" w:hAnsi="Times New Roman" w:cs="Times New Roman"/>
          <w:color w:val="36363D"/>
        </w:rPr>
      </w:pPr>
      <w:proofErr w:type="spellStart"/>
      <w:r w:rsidRPr="007F0EFC">
        <w:rPr>
          <w:rFonts w:ascii="Times New Roman" w:eastAsia="Times New Roman" w:hAnsi="Times New Roman" w:cs="Times New Roman"/>
          <w:color w:val="36363D"/>
        </w:rPr>
        <w:t>Emrouznejad</w:t>
      </w:r>
      <w:proofErr w:type="spellEnd"/>
      <w:r w:rsidRPr="007F0EFC">
        <w:rPr>
          <w:rFonts w:ascii="Times New Roman" w:eastAsia="Times New Roman" w:hAnsi="Times New Roman" w:cs="Times New Roman"/>
          <w:color w:val="36363D"/>
        </w:rPr>
        <w:t xml:space="preserve">, A., Abbasi, S., &amp; </w:t>
      </w:r>
      <w:proofErr w:type="spellStart"/>
      <w:r w:rsidRPr="007F0EFC">
        <w:rPr>
          <w:rFonts w:ascii="Times New Roman" w:eastAsia="Times New Roman" w:hAnsi="Times New Roman" w:cs="Times New Roman"/>
          <w:color w:val="36363D"/>
        </w:rPr>
        <w:t>Sıcakyüz</w:t>
      </w:r>
      <w:proofErr w:type="spellEnd"/>
      <w:r w:rsidRPr="007F0EFC">
        <w:rPr>
          <w:rFonts w:ascii="Times New Roman" w:eastAsia="Times New Roman" w:hAnsi="Times New Roman" w:cs="Times New Roman"/>
          <w:color w:val="36363D"/>
        </w:rPr>
        <w:t>, Ç. (2023). Supply chain risk management: A content analysis-based review of existing and emerging topics. Supply Chain Analytics, 3, 100031.</w:t>
      </w:r>
    </w:p>
    <w:p w14:paraId="0756CE9C" w14:textId="304D048A" w:rsidR="00E618DD" w:rsidRPr="00751BE7" w:rsidRDefault="00E618DD">
      <w:pPr>
        <w:spacing w:before="180" w:after="180" w:line="240" w:lineRule="auto"/>
        <w:jc w:val="both"/>
        <w:rPr>
          <w:rFonts w:ascii="Times New Roman" w:eastAsia="Times New Roman" w:hAnsi="Times New Roman" w:cs="Times New Roman"/>
          <w:color w:val="36363D"/>
          <w:highlight w:val="yellow"/>
        </w:rPr>
      </w:pPr>
      <w:proofErr w:type="spellStart"/>
      <w:r w:rsidRPr="00751BE7">
        <w:rPr>
          <w:rFonts w:ascii="Times New Roman" w:eastAsia="Times New Roman" w:hAnsi="Times New Roman" w:cs="Times New Roman"/>
          <w:color w:val="36363D"/>
          <w:highlight w:val="yellow"/>
        </w:rPr>
        <w:t>Gurtu</w:t>
      </w:r>
      <w:proofErr w:type="spellEnd"/>
      <w:r w:rsidRPr="00751BE7">
        <w:rPr>
          <w:rFonts w:ascii="Times New Roman" w:eastAsia="Times New Roman" w:hAnsi="Times New Roman" w:cs="Times New Roman"/>
          <w:color w:val="36363D"/>
          <w:highlight w:val="yellow"/>
        </w:rPr>
        <w:t xml:space="preserve">, A., &amp; </w:t>
      </w:r>
      <w:proofErr w:type="spellStart"/>
      <w:r w:rsidRPr="00751BE7">
        <w:rPr>
          <w:rFonts w:ascii="Times New Roman" w:eastAsia="Times New Roman" w:hAnsi="Times New Roman" w:cs="Times New Roman"/>
          <w:color w:val="36363D"/>
          <w:highlight w:val="yellow"/>
        </w:rPr>
        <w:t>Johny</w:t>
      </w:r>
      <w:proofErr w:type="spellEnd"/>
      <w:r w:rsidRPr="00751BE7">
        <w:rPr>
          <w:rFonts w:ascii="Times New Roman" w:eastAsia="Times New Roman" w:hAnsi="Times New Roman" w:cs="Times New Roman"/>
          <w:color w:val="36363D"/>
          <w:highlight w:val="yellow"/>
        </w:rPr>
        <w:t>, J. (2021). Supply Chain Risk Management: Literature Review. Risks, 9(1), 16.</w:t>
      </w:r>
    </w:p>
    <w:p w14:paraId="0ED0D688" w14:textId="77777777" w:rsidR="006034E7" w:rsidRPr="00751BE7" w:rsidRDefault="006034E7" w:rsidP="006034E7">
      <w:pPr>
        <w:rPr>
          <w:sz w:val="20"/>
          <w:szCs w:val="20"/>
          <w:highlight w:val="yellow"/>
          <w:lang w:val="en-GB"/>
        </w:rPr>
      </w:pPr>
      <w:proofErr w:type="spellStart"/>
      <w:r w:rsidRPr="00751BE7">
        <w:rPr>
          <w:sz w:val="20"/>
          <w:szCs w:val="20"/>
          <w:highlight w:val="yellow"/>
          <w:lang w:val="en-GB"/>
        </w:rPr>
        <w:t>Pournader</w:t>
      </w:r>
      <w:proofErr w:type="spellEnd"/>
      <w:r w:rsidRPr="00751BE7">
        <w:rPr>
          <w:sz w:val="20"/>
          <w:szCs w:val="20"/>
          <w:highlight w:val="yellow"/>
          <w:lang w:val="en-GB"/>
        </w:rPr>
        <w:t xml:space="preserve">, M., </w:t>
      </w:r>
      <w:proofErr w:type="spellStart"/>
      <w:r w:rsidRPr="00751BE7">
        <w:rPr>
          <w:sz w:val="20"/>
          <w:szCs w:val="20"/>
          <w:highlight w:val="yellow"/>
          <w:lang w:val="en-GB"/>
        </w:rPr>
        <w:t>Kach</w:t>
      </w:r>
      <w:proofErr w:type="spellEnd"/>
      <w:r w:rsidRPr="00751BE7">
        <w:rPr>
          <w:sz w:val="20"/>
          <w:szCs w:val="20"/>
          <w:highlight w:val="yellow"/>
          <w:lang w:val="en-GB"/>
        </w:rPr>
        <w:t xml:space="preserve">, A., &amp; </w:t>
      </w:r>
      <w:proofErr w:type="spellStart"/>
      <w:r w:rsidRPr="00751BE7">
        <w:rPr>
          <w:sz w:val="20"/>
          <w:szCs w:val="20"/>
          <w:highlight w:val="yellow"/>
          <w:lang w:val="en-GB"/>
        </w:rPr>
        <w:t>Talluri</w:t>
      </w:r>
      <w:proofErr w:type="spellEnd"/>
      <w:r w:rsidRPr="00751BE7">
        <w:rPr>
          <w:sz w:val="20"/>
          <w:szCs w:val="20"/>
          <w:highlight w:val="yellow"/>
          <w:lang w:val="en-GB"/>
        </w:rPr>
        <w:t>, S. (2020). A review of the existing and emerging topics in the supply chain risk management literature. Decision sciences, 51(4), 867-919.</w:t>
      </w:r>
    </w:p>
    <w:p w14:paraId="7CC2E77C" w14:textId="77777777" w:rsidR="006034E7" w:rsidRPr="00751BE7" w:rsidRDefault="006034E7" w:rsidP="006034E7">
      <w:pPr>
        <w:rPr>
          <w:sz w:val="20"/>
          <w:szCs w:val="20"/>
          <w:highlight w:val="yellow"/>
          <w:lang w:val="en-GB"/>
        </w:rPr>
      </w:pPr>
      <w:proofErr w:type="spellStart"/>
      <w:r w:rsidRPr="00751BE7">
        <w:rPr>
          <w:sz w:val="20"/>
          <w:szCs w:val="20"/>
          <w:highlight w:val="yellow"/>
          <w:lang w:val="en-GB"/>
        </w:rPr>
        <w:t>Shishehgarkhaneh</w:t>
      </w:r>
      <w:proofErr w:type="spellEnd"/>
      <w:r w:rsidRPr="00751BE7">
        <w:rPr>
          <w:sz w:val="20"/>
          <w:szCs w:val="20"/>
          <w:highlight w:val="yellow"/>
          <w:lang w:val="en-GB"/>
        </w:rPr>
        <w:t xml:space="preserve">, M. B., </w:t>
      </w:r>
      <w:proofErr w:type="spellStart"/>
      <w:r w:rsidRPr="00751BE7">
        <w:rPr>
          <w:sz w:val="20"/>
          <w:szCs w:val="20"/>
          <w:highlight w:val="yellow"/>
          <w:lang w:val="en-GB"/>
        </w:rPr>
        <w:t>Moehler</w:t>
      </w:r>
      <w:proofErr w:type="spellEnd"/>
      <w:r w:rsidRPr="00751BE7">
        <w:rPr>
          <w:sz w:val="20"/>
          <w:szCs w:val="20"/>
          <w:highlight w:val="yellow"/>
          <w:lang w:val="en-GB"/>
        </w:rPr>
        <w:t xml:space="preserve">, R. C., Fang, Y., </w:t>
      </w:r>
      <w:proofErr w:type="spellStart"/>
      <w:r w:rsidRPr="00751BE7">
        <w:rPr>
          <w:sz w:val="20"/>
          <w:szCs w:val="20"/>
          <w:highlight w:val="yellow"/>
          <w:lang w:val="en-GB"/>
        </w:rPr>
        <w:t>Aboutorab</w:t>
      </w:r>
      <w:proofErr w:type="spellEnd"/>
      <w:r w:rsidRPr="00751BE7">
        <w:rPr>
          <w:sz w:val="20"/>
          <w:szCs w:val="20"/>
          <w:highlight w:val="yellow"/>
          <w:lang w:val="en-GB"/>
        </w:rPr>
        <w:t>, H., &amp; Hijazi, A. A. (2024). Construction supply chain risk management. Automation in Construction, 162, 105396.</w:t>
      </w:r>
    </w:p>
    <w:p w14:paraId="674ECD4C" w14:textId="150B566F" w:rsidR="00893565" w:rsidRPr="005378D3" w:rsidRDefault="00893565" w:rsidP="006034E7">
      <w:pPr>
        <w:rPr>
          <w:sz w:val="20"/>
          <w:szCs w:val="20"/>
          <w:lang w:val="en-GB"/>
        </w:rPr>
      </w:pPr>
      <w:proofErr w:type="spellStart"/>
      <w:r w:rsidRPr="00751BE7">
        <w:rPr>
          <w:sz w:val="20"/>
          <w:szCs w:val="20"/>
          <w:highlight w:val="yellow"/>
        </w:rPr>
        <w:lastRenderedPageBreak/>
        <w:t>Siju</w:t>
      </w:r>
      <w:proofErr w:type="spellEnd"/>
      <w:r w:rsidRPr="00751BE7">
        <w:rPr>
          <w:sz w:val="20"/>
          <w:szCs w:val="20"/>
          <w:highlight w:val="yellow"/>
        </w:rPr>
        <w:t xml:space="preserve">, S. I., </w:t>
      </w:r>
      <w:proofErr w:type="spellStart"/>
      <w:r w:rsidRPr="00751BE7">
        <w:rPr>
          <w:sz w:val="20"/>
          <w:szCs w:val="20"/>
          <w:highlight w:val="yellow"/>
        </w:rPr>
        <w:t>Akter</w:t>
      </w:r>
      <w:proofErr w:type="spellEnd"/>
      <w:r w:rsidRPr="00751BE7">
        <w:rPr>
          <w:sz w:val="20"/>
          <w:szCs w:val="20"/>
          <w:highlight w:val="yellow"/>
        </w:rPr>
        <w:t xml:space="preserve">, S., Hossain, S., &amp; </w:t>
      </w:r>
      <w:proofErr w:type="spellStart"/>
      <w:r w:rsidRPr="00751BE7">
        <w:rPr>
          <w:sz w:val="20"/>
          <w:szCs w:val="20"/>
          <w:highlight w:val="yellow"/>
        </w:rPr>
        <w:t>Mustafi</w:t>
      </w:r>
      <w:proofErr w:type="spellEnd"/>
      <w:r w:rsidRPr="00751BE7">
        <w:rPr>
          <w:sz w:val="20"/>
          <w:szCs w:val="20"/>
          <w:highlight w:val="yellow"/>
        </w:rPr>
        <w:t xml:space="preserve">, M. A. A. (2024). How Do Supply Chain Management Practices Influence Organizational Performance? A Case Study of Bangladesh’s </w:t>
      </w:r>
      <w:proofErr w:type="spellStart"/>
      <w:r w:rsidRPr="00751BE7">
        <w:rPr>
          <w:sz w:val="20"/>
          <w:szCs w:val="20"/>
          <w:highlight w:val="yellow"/>
        </w:rPr>
        <w:t>Agro</w:t>
      </w:r>
      <w:proofErr w:type="spellEnd"/>
      <w:r w:rsidRPr="00751BE7">
        <w:rPr>
          <w:sz w:val="20"/>
          <w:szCs w:val="20"/>
          <w:highlight w:val="yellow"/>
        </w:rPr>
        <w:t>-Food Industry. </w:t>
      </w:r>
      <w:r w:rsidRPr="00751BE7">
        <w:rPr>
          <w:i/>
          <w:iCs/>
          <w:sz w:val="20"/>
          <w:szCs w:val="20"/>
          <w:highlight w:val="yellow"/>
        </w:rPr>
        <w:t>Asian Journal of Economics, Business and Accounting</w:t>
      </w:r>
      <w:r w:rsidRPr="00751BE7">
        <w:rPr>
          <w:sz w:val="20"/>
          <w:szCs w:val="20"/>
          <w:highlight w:val="yellow"/>
        </w:rPr>
        <w:t>, </w:t>
      </w:r>
      <w:r w:rsidRPr="00751BE7">
        <w:rPr>
          <w:i/>
          <w:iCs/>
          <w:sz w:val="20"/>
          <w:szCs w:val="20"/>
          <w:highlight w:val="yellow"/>
        </w:rPr>
        <w:t>24</w:t>
      </w:r>
      <w:r w:rsidRPr="00751BE7">
        <w:rPr>
          <w:sz w:val="20"/>
          <w:szCs w:val="20"/>
          <w:highlight w:val="yellow"/>
        </w:rPr>
        <w:t>(7), 430–446.</w:t>
      </w:r>
      <w:r w:rsidRPr="00893565">
        <w:rPr>
          <w:sz w:val="20"/>
          <w:szCs w:val="20"/>
        </w:rPr>
        <w:t> </w:t>
      </w:r>
    </w:p>
    <w:p w14:paraId="6EE30EC6" w14:textId="77777777" w:rsidR="006034E7" w:rsidRDefault="006034E7">
      <w:pPr>
        <w:spacing w:before="180" w:after="180" w:line="240" w:lineRule="auto"/>
        <w:jc w:val="both"/>
        <w:rPr>
          <w:rFonts w:ascii="Times New Roman" w:eastAsia="Times New Roman" w:hAnsi="Times New Roman" w:cs="Times New Roman"/>
          <w:color w:val="36363D"/>
        </w:rPr>
      </w:pPr>
    </w:p>
    <w:sectPr w:rsidR="006034E7">
      <w:headerReference w:type="even" r:id="rId17"/>
      <w:headerReference w:type="default" r:id="rId18"/>
      <w:footerReference w:type="even" r:id="rId19"/>
      <w:footerReference w:type="default" r:id="rId20"/>
      <w:headerReference w:type="first" r:id="rId21"/>
      <w:footerReference w:type="first" r:id="rId22"/>
      <w:pgSz w:w="11906" w:h="16838"/>
      <w:pgMar w:top="1440" w:right="1799" w:bottom="1440" w:left="208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BAEF" w14:textId="77777777" w:rsidR="007F0EFC" w:rsidRDefault="007F0EFC" w:rsidP="00BA08C6">
      <w:pPr>
        <w:spacing w:after="0" w:line="240" w:lineRule="auto"/>
      </w:pPr>
      <w:r>
        <w:separator/>
      </w:r>
    </w:p>
  </w:endnote>
  <w:endnote w:type="continuationSeparator" w:id="0">
    <w:p w14:paraId="2649135A" w14:textId="77777777" w:rsidR="007F0EFC" w:rsidRDefault="007F0EFC" w:rsidP="00BA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9F4C" w14:textId="77777777" w:rsidR="007F0EFC" w:rsidRDefault="007F0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5B7A" w14:textId="77777777" w:rsidR="007F0EFC" w:rsidRDefault="007F0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77CC" w14:textId="77777777" w:rsidR="007F0EFC" w:rsidRDefault="007F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71047" w14:textId="77777777" w:rsidR="007F0EFC" w:rsidRDefault="007F0EFC" w:rsidP="00BA08C6">
      <w:pPr>
        <w:spacing w:after="0" w:line="240" w:lineRule="auto"/>
      </w:pPr>
      <w:r>
        <w:separator/>
      </w:r>
    </w:p>
  </w:footnote>
  <w:footnote w:type="continuationSeparator" w:id="0">
    <w:p w14:paraId="43666B89" w14:textId="77777777" w:rsidR="007F0EFC" w:rsidRDefault="007F0EFC" w:rsidP="00BA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3562" w14:textId="574FDAAA" w:rsidR="007F0EFC" w:rsidRDefault="007F0EFC">
    <w:pPr>
      <w:pStyle w:val="Header"/>
    </w:pPr>
    <w:r>
      <w:rPr>
        <w:noProof/>
      </w:rPr>
      <w:pict w14:anchorId="1F3BE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5" o:spid="_x0000_s2050" type="#_x0000_t136" style="position:absolute;margin-left:0;margin-top:0;width:502.8pt;height:62.8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CFEA" w14:textId="19F6E1F5" w:rsidR="007F0EFC" w:rsidRDefault="007F0EFC">
    <w:pPr>
      <w:pStyle w:val="Header"/>
    </w:pPr>
    <w:r>
      <w:rPr>
        <w:noProof/>
      </w:rPr>
      <w:pict w14:anchorId="5E6D1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6" o:spid="_x0000_s2051" type="#_x0000_t136" style="position:absolute;margin-left:0;margin-top:0;width:502.8pt;height:62.8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DA62" w14:textId="2D1763BA" w:rsidR="007F0EFC" w:rsidRDefault="007F0EFC">
    <w:pPr>
      <w:pStyle w:val="Header"/>
    </w:pPr>
    <w:r>
      <w:rPr>
        <w:noProof/>
      </w:rPr>
      <w:pict w14:anchorId="172CC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484" o:spid="_x0000_s2049" type="#_x0000_t136" style="position:absolute;margin-left:0;margin-top:0;width:502.8pt;height:62.8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DE5EE"/>
    <w:multiLevelType w:val="multilevel"/>
    <w:tmpl w:val="687DE5E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687DE5F9"/>
    <w:multiLevelType w:val="multilevel"/>
    <w:tmpl w:val="687DE5F9"/>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687DE604"/>
    <w:multiLevelType w:val="multilevel"/>
    <w:tmpl w:val="687DE60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687DE60F"/>
    <w:multiLevelType w:val="multilevel"/>
    <w:tmpl w:val="687DE60F"/>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4" w15:restartNumberingAfterBreak="0">
    <w:nsid w:val="687DE61A"/>
    <w:multiLevelType w:val="multilevel"/>
    <w:tmpl w:val="687DE61A"/>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0tjAwMjQwsTQxtbRQ0lEKTi0uzszPAykwqgUAZnkjxCwAAAA="/>
  </w:docVars>
  <w:rsids>
    <w:rsidRoot w:val="009D055F"/>
    <w:rsid w:val="001B70F8"/>
    <w:rsid w:val="00290C63"/>
    <w:rsid w:val="002B0F3D"/>
    <w:rsid w:val="0045628D"/>
    <w:rsid w:val="00491361"/>
    <w:rsid w:val="004D5096"/>
    <w:rsid w:val="00520A1B"/>
    <w:rsid w:val="00552CDC"/>
    <w:rsid w:val="006034E7"/>
    <w:rsid w:val="00701F25"/>
    <w:rsid w:val="00751BE7"/>
    <w:rsid w:val="007B3EA8"/>
    <w:rsid w:val="007C5A6E"/>
    <w:rsid w:val="007F0EFC"/>
    <w:rsid w:val="00893565"/>
    <w:rsid w:val="008C3280"/>
    <w:rsid w:val="008F058A"/>
    <w:rsid w:val="008F6799"/>
    <w:rsid w:val="009D055F"/>
    <w:rsid w:val="009F0077"/>
    <w:rsid w:val="00AF2DD9"/>
    <w:rsid w:val="00B036DD"/>
    <w:rsid w:val="00B64ED8"/>
    <w:rsid w:val="00B765F5"/>
    <w:rsid w:val="00BA08C6"/>
    <w:rsid w:val="00BB5385"/>
    <w:rsid w:val="00C45426"/>
    <w:rsid w:val="00C72567"/>
    <w:rsid w:val="00CF2053"/>
    <w:rsid w:val="00D1026E"/>
    <w:rsid w:val="00DA69BF"/>
    <w:rsid w:val="00E618DD"/>
    <w:rsid w:val="00ED0097"/>
    <w:rsid w:val="00ED1A9B"/>
    <w:rsid w:val="00F0247D"/>
    <w:rsid w:val="00F61B04"/>
    <w:rsid w:val="00FD00AD"/>
    <w:rsid w:val="00FF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D80E8A"/>
  <w15:docId w15:val="{8C2EDCC5-D902-4877-AFC8-64A201DF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pPr>
        <w:spacing w:after="160" w:line="278" w:lineRule="auto"/>
      </w:pPr>
    </w:pPrDefault>
  </w:docDefaults>
  <w:latentStyles w:defLockedState="0" w:defUIPriority="0" w:defSemiHidden="0" w:defUnhideWhenUsed="0" w:defQFormat="0" w:count="375">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200"/>
    </w:pPr>
    <w:rPr>
      <w:sz w:val="24"/>
      <w:szCs w:val="24"/>
      <w:lang w:val="en"/>
    </w:rPr>
  </w:style>
  <w:style w:type="paragraph" w:styleId="Heading1">
    <w:name w:val="heading 1"/>
    <w:basedOn w:val="Normal"/>
    <w:next w:val="Normal"/>
    <w:pPr>
      <w:keepNext/>
      <w:keepLines/>
      <w:widowControl w:val="0"/>
      <w:spacing w:before="480" w:after="0"/>
      <w:outlineLvl w:val="0"/>
    </w:pPr>
    <w:rPr>
      <w:rFonts w:ascii="Calibri" w:eastAsia="Calibri" w:hAnsi="Calibri" w:cs="Calibri"/>
      <w:b/>
      <w:color w:val="365F91"/>
      <w:sz w:val="28"/>
      <w:szCs w:val="28"/>
    </w:rPr>
  </w:style>
  <w:style w:type="paragraph" w:styleId="Heading2">
    <w:name w:val="heading 2"/>
    <w:basedOn w:val="Normal"/>
    <w:next w:val="Normal"/>
    <w:pPr>
      <w:keepNext/>
      <w:keepLines/>
      <w:widowControl w:val="0"/>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widowControl w:val="0"/>
      <w:spacing w:before="200" w:after="0"/>
      <w:outlineLvl w:val="2"/>
    </w:pPr>
    <w:rPr>
      <w:rFonts w:ascii="Calibri" w:eastAsia="Calibri" w:hAnsi="Calibri" w:cs="Calibri"/>
      <w:b/>
      <w:color w:val="4F81BD"/>
      <w:sz w:val="21"/>
      <w:szCs w:val="21"/>
    </w:rPr>
  </w:style>
  <w:style w:type="paragraph" w:styleId="Heading4">
    <w:name w:val="heading 4"/>
    <w:basedOn w:val="Normal"/>
    <w:next w:val="Normal"/>
    <w:pPr>
      <w:keepNext/>
      <w:keepLines/>
      <w:spacing w:before="200" w:after="0"/>
      <w:outlineLvl w:val="3"/>
    </w:pPr>
    <w:rPr>
      <w:rFonts w:ascii="Calibri" w:eastAsia="Calibri" w:hAnsi="Calibri" w:cs="Calibri"/>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4F81BD"/>
    </w:rPr>
  </w:style>
  <w:style w:type="paragraph" w:styleId="Heading6">
    <w:name w:val="heading 6"/>
    <w:basedOn w:val="Normal"/>
    <w:next w:val="Normal"/>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240" w:after="240"/>
      <w:jc w:val="center"/>
    </w:pPr>
    <w:rPr>
      <w:rFonts w:ascii="Calibri" w:eastAsia="Calibri" w:hAnsi="Calibri" w:cs="Calibri"/>
      <w:b/>
      <w:color w:val="345A8A"/>
      <w:sz w:val="30"/>
      <w:szCs w:val="30"/>
    </w:rPr>
  </w:style>
  <w:style w:type="paragraph" w:styleId="Title">
    <w:name w:val="Title"/>
    <w:basedOn w:val="Normal"/>
    <w:next w:val="Normal"/>
    <w:pPr>
      <w:keepNext/>
      <w:keepLines/>
      <w:spacing w:before="480" w:after="240"/>
      <w:jc w:val="center"/>
    </w:pPr>
    <w:rPr>
      <w:rFonts w:ascii="Calibri" w:eastAsia="Calibri" w:hAnsi="Calibri" w:cs="Calibri"/>
      <w:b/>
      <w:color w:val="345A8A"/>
      <w:sz w:val="36"/>
      <w:szCs w:val="36"/>
    </w:rPr>
  </w:style>
  <w:style w:type="table" w:customStyle="1" w:styleId="TableNormal0">
    <w:name w:val="TableNormal"/>
    <w:tblPr>
      <w:tblCellMar>
        <w:top w:w="0" w:type="dxa"/>
        <w:left w:w="0" w:type="dxa"/>
        <w:bottom w:w="0" w:type="dxa"/>
        <w:right w:w="0" w:type="dxa"/>
      </w:tblCellMar>
    </w:tblPr>
  </w:style>
  <w:style w:type="table" w:customStyle="1" w:styleId="Style10">
    <w:name w:val="_Style 10"/>
    <w:basedOn w:val="TableNormal0"/>
    <w:tblPr>
      <w:tblCellMar>
        <w:left w:w="108" w:type="dxa"/>
        <w:right w:w="108" w:type="dxa"/>
      </w:tblCellMar>
    </w:tblPr>
  </w:style>
  <w:style w:type="table" w:customStyle="1" w:styleId="Style11">
    <w:name w:val="_Style 11"/>
    <w:basedOn w:val="TableNormal0"/>
    <w:tblPr>
      <w:tblCellMar>
        <w:left w:w="108" w:type="dxa"/>
        <w:right w:w="108" w:type="dxa"/>
      </w:tblCellMar>
    </w:tblPr>
  </w:style>
  <w:style w:type="table" w:customStyle="1" w:styleId="Style12">
    <w:name w:val="_Style 12"/>
    <w:basedOn w:val="TableNormal0"/>
    <w:tblPr>
      <w:tblCellMar>
        <w:left w:w="108" w:type="dxa"/>
        <w:right w:w="108" w:type="dxa"/>
      </w:tblCellMar>
    </w:tblPr>
  </w:style>
  <w:style w:type="table" w:customStyle="1" w:styleId="Style13">
    <w:name w:val="_Style 13"/>
    <w:basedOn w:val="TableNormal0"/>
    <w:tblPr>
      <w:tblCellMar>
        <w:left w:w="108" w:type="dxa"/>
        <w:right w:w="108" w:type="dxa"/>
      </w:tblCellMar>
    </w:tblPr>
  </w:style>
  <w:style w:type="table" w:customStyle="1" w:styleId="Style14">
    <w:name w:val="_Style 14"/>
    <w:basedOn w:val="TableNormal0"/>
    <w:tblPr>
      <w:tblCellMar>
        <w:left w:w="108" w:type="dxa"/>
        <w:right w:w="108" w:type="dxa"/>
      </w:tblCellMar>
    </w:tblPr>
  </w:style>
  <w:style w:type="table" w:customStyle="1" w:styleId="Style15">
    <w:name w:val="_Style 15"/>
    <w:basedOn w:val="TableNormal0"/>
    <w:tblPr>
      <w:tblCellMar>
        <w:left w:w="108" w:type="dxa"/>
        <w:right w:w="108" w:type="dxa"/>
      </w:tblCellMar>
    </w:tblPr>
  </w:style>
  <w:style w:type="table" w:customStyle="1" w:styleId="Style16">
    <w:name w:val="_Style 16"/>
    <w:basedOn w:val="TableNormal0"/>
    <w:tblPr>
      <w:tblCellMar>
        <w:left w:w="108" w:type="dxa"/>
        <w:right w:w="108" w:type="dxa"/>
      </w:tblCellMar>
    </w:tblPr>
  </w:style>
  <w:style w:type="table" w:customStyle="1" w:styleId="Style17">
    <w:name w:val="_Style 17"/>
    <w:basedOn w:val="TableNormal0"/>
    <w:tblPr>
      <w:tblCellMar>
        <w:left w:w="108" w:type="dxa"/>
        <w:right w:w="108" w:type="dxa"/>
      </w:tblCellMar>
    </w:tblPr>
  </w:style>
  <w:style w:type="character" w:styleId="Hyperlink">
    <w:name w:val="Hyperlink"/>
    <w:basedOn w:val="DefaultParagraphFont"/>
    <w:rsid w:val="00D1026E"/>
    <w:rPr>
      <w:color w:val="0000FF" w:themeColor="hyperlink"/>
      <w:u w:val="single"/>
    </w:rPr>
  </w:style>
  <w:style w:type="character" w:styleId="UnresolvedMention">
    <w:name w:val="Unresolved Mention"/>
    <w:basedOn w:val="DefaultParagraphFont"/>
    <w:uiPriority w:val="99"/>
    <w:semiHidden/>
    <w:unhideWhenUsed/>
    <w:rsid w:val="00D1026E"/>
    <w:rPr>
      <w:color w:val="605E5C"/>
      <w:shd w:val="clear" w:color="auto" w:fill="E1DFDD"/>
    </w:rPr>
  </w:style>
  <w:style w:type="paragraph" w:styleId="Header">
    <w:name w:val="header"/>
    <w:basedOn w:val="Normal"/>
    <w:link w:val="HeaderChar"/>
    <w:rsid w:val="00BA08C6"/>
    <w:pPr>
      <w:tabs>
        <w:tab w:val="center" w:pos="4680"/>
        <w:tab w:val="right" w:pos="9360"/>
      </w:tabs>
      <w:spacing w:after="0" w:line="240" w:lineRule="auto"/>
    </w:pPr>
  </w:style>
  <w:style w:type="character" w:customStyle="1" w:styleId="HeaderChar">
    <w:name w:val="Header Char"/>
    <w:basedOn w:val="DefaultParagraphFont"/>
    <w:link w:val="Header"/>
    <w:rsid w:val="00BA08C6"/>
    <w:rPr>
      <w:sz w:val="24"/>
      <w:szCs w:val="24"/>
      <w:lang w:val="en"/>
    </w:rPr>
  </w:style>
  <w:style w:type="paragraph" w:styleId="Footer">
    <w:name w:val="footer"/>
    <w:basedOn w:val="Normal"/>
    <w:link w:val="FooterChar"/>
    <w:rsid w:val="00BA08C6"/>
    <w:pPr>
      <w:tabs>
        <w:tab w:val="center" w:pos="4680"/>
        <w:tab w:val="right" w:pos="9360"/>
      </w:tabs>
      <w:spacing w:after="0" w:line="240" w:lineRule="auto"/>
    </w:pPr>
  </w:style>
  <w:style w:type="character" w:customStyle="1" w:styleId="FooterChar">
    <w:name w:val="Footer Char"/>
    <w:basedOn w:val="DefaultParagraphFont"/>
    <w:link w:val="Footer"/>
    <w:rsid w:val="00BA08C6"/>
    <w:rPr>
      <w:sz w:val="24"/>
      <w:szCs w:val="24"/>
      <w:lang w:val="en"/>
    </w:rPr>
  </w:style>
  <w:style w:type="paragraph" w:styleId="Revision">
    <w:name w:val="Revision"/>
    <w:hidden/>
    <w:uiPriority w:val="99"/>
    <w:unhideWhenUsed/>
    <w:rsid w:val="006034E7"/>
    <w:pPr>
      <w:spacing w:after="0" w:line="240" w:lineRule="auto"/>
    </w:pPr>
    <w:rPr>
      <w:sz w:val="24"/>
      <w:szCs w:val="24"/>
      <w:lang w:val="en"/>
    </w:rPr>
  </w:style>
  <w:style w:type="character" w:styleId="Strong">
    <w:name w:val="Strong"/>
    <w:basedOn w:val="DefaultParagraphFont"/>
    <w:qFormat/>
    <w:rsid w:val="00893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2566">
      <w:bodyDiv w:val="1"/>
      <w:marLeft w:val="0"/>
      <w:marRight w:val="0"/>
      <w:marTop w:val="0"/>
      <w:marBottom w:val="0"/>
      <w:divBdr>
        <w:top w:val="none" w:sz="0" w:space="0" w:color="auto"/>
        <w:left w:val="none" w:sz="0" w:space="0" w:color="auto"/>
        <w:bottom w:val="none" w:sz="0" w:space="0" w:color="auto"/>
        <w:right w:val="none" w:sz="0" w:space="0" w:color="auto"/>
      </w:divBdr>
    </w:div>
    <w:div w:id="443232701">
      <w:bodyDiv w:val="1"/>
      <w:marLeft w:val="0"/>
      <w:marRight w:val="0"/>
      <w:marTop w:val="0"/>
      <w:marBottom w:val="0"/>
      <w:divBdr>
        <w:top w:val="none" w:sz="0" w:space="0" w:color="auto"/>
        <w:left w:val="none" w:sz="0" w:space="0" w:color="auto"/>
        <w:bottom w:val="none" w:sz="0" w:space="0" w:color="auto"/>
        <w:right w:val="none" w:sz="0" w:space="0" w:color="auto"/>
      </w:divBdr>
    </w:div>
    <w:div w:id="1313408223">
      <w:bodyDiv w:val="1"/>
      <w:marLeft w:val="0"/>
      <w:marRight w:val="0"/>
      <w:marTop w:val="0"/>
      <w:marBottom w:val="0"/>
      <w:divBdr>
        <w:top w:val="none" w:sz="0" w:space="0" w:color="auto"/>
        <w:left w:val="none" w:sz="0" w:space="0" w:color="auto"/>
        <w:bottom w:val="none" w:sz="0" w:space="0" w:color="auto"/>
        <w:right w:val="none" w:sz="0" w:space="0" w:color="auto"/>
      </w:divBdr>
      <w:divsChild>
        <w:div w:id="934243289">
          <w:marLeft w:val="0"/>
          <w:marRight w:val="0"/>
          <w:marTop w:val="0"/>
          <w:marBottom w:val="0"/>
          <w:divBdr>
            <w:top w:val="none" w:sz="0" w:space="0" w:color="auto"/>
            <w:left w:val="none" w:sz="0" w:space="0" w:color="auto"/>
            <w:bottom w:val="none" w:sz="0" w:space="0" w:color="auto"/>
            <w:right w:val="none" w:sz="0" w:space="0" w:color="auto"/>
          </w:divBdr>
        </w:div>
        <w:div w:id="25177451">
          <w:marLeft w:val="0"/>
          <w:marRight w:val="0"/>
          <w:marTop w:val="0"/>
          <w:marBottom w:val="0"/>
          <w:divBdr>
            <w:top w:val="none" w:sz="0" w:space="0" w:color="auto"/>
            <w:left w:val="none" w:sz="0" w:space="0" w:color="auto"/>
            <w:bottom w:val="none" w:sz="0" w:space="0" w:color="auto"/>
            <w:right w:val="none" w:sz="0" w:space="0" w:color="auto"/>
          </w:divBdr>
        </w:div>
        <w:div w:id="1782146871">
          <w:marLeft w:val="0"/>
          <w:marRight w:val="0"/>
          <w:marTop w:val="0"/>
          <w:marBottom w:val="0"/>
          <w:divBdr>
            <w:top w:val="none" w:sz="0" w:space="0" w:color="auto"/>
            <w:left w:val="none" w:sz="0" w:space="0" w:color="auto"/>
            <w:bottom w:val="none" w:sz="0" w:space="0" w:color="auto"/>
            <w:right w:val="none" w:sz="0" w:space="0" w:color="auto"/>
          </w:divBdr>
        </w:div>
      </w:divsChild>
    </w:div>
    <w:div w:id="1841502238">
      <w:bodyDiv w:val="1"/>
      <w:marLeft w:val="0"/>
      <w:marRight w:val="0"/>
      <w:marTop w:val="0"/>
      <w:marBottom w:val="0"/>
      <w:divBdr>
        <w:top w:val="none" w:sz="0" w:space="0" w:color="auto"/>
        <w:left w:val="none" w:sz="0" w:space="0" w:color="auto"/>
        <w:bottom w:val="none" w:sz="0" w:space="0" w:color="auto"/>
        <w:right w:val="none" w:sz="0" w:space="0" w:color="auto"/>
      </w:divBdr>
      <w:divsChild>
        <w:div w:id="2037610984">
          <w:marLeft w:val="0"/>
          <w:marRight w:val="0"/>
          <w:marTop w:val="0"/>
          <w:marBottom w:val="0"/>
          <w:divBdr>
            <w:top w:val="none" w:sz="0" w:space="0" w:color="auto"/>
            <w:left w:val="none" w:sz="0" w:space="0" w:color="auto"/>
            <w:bottom w:val="none" w:sz="0" w:space="0" w:color="auto"/>
            <w:right w:val="none" w:sz="0" w:space="0" w:color="auto"/>
          </w:divBdr>
        </w:div>
        <w:div w:id="2015913905">
          <w:marLeft w:val="0"/>
          <w:marRight w:val="0"/>
          <w:marTop w:val="0"/>
          <w:marBottom w:val="0"/>
          <w:divBdr>
            <w:top w:val="none" w:sz="0" w:space="0" w:color="auto"/>
            <w:left w:val="none" w:sz="0" w:space="0" w:color="auto"/>
            <w:bottom w:val="none" w:sz="0" w:space="0" w:color="auto"/>
            <w:right w:val="none" w:sz="0" w:space="0" w:color="auto"/>
          </w:divBdr>
        </w:div>
        <w:div w:id="950599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business-strategy"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ley.com/en-us/Survey+Methodology%2C+2nd+Edition-p-97804704654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earsoned.co.in/prc/book/william-h-greene-econometric-analysis-8e--8/9789353061074"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9016</Words>
  <Characters>61145</Characters>
  <Application>Microsoft Office Word</Application>
  <DocSecurity>0</DocSecurity>
  <Lines>509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39</cp:revision>
  <dcterms:created xsi:type="dcterms:W3CDTF">2025-07-21T09:01:00Z</dcterms:created>
  <dcterms:modified xsi:type="dcterms:W3CDTF">2025-08-07T07:57:00Z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4FAE31B0487EECABFC49886835F56F2B_33</vt:lpwstr>
  </property>
  <property fmtid="{D5CDD505-2E9C-101B-9397-08002B2CF9AE}" pid="3" name="KSOProductBuildVer">
    <vt:lpwstr>3081-11.35.00</vt:lpwstr>
  </property>
  <property fmtid="{D5CDD505-2E9C-101B-9397-08002B2CF9AE}" pid="4" name="GrammarlyDocumentId">
    <vt:lpwstr>4d0c4886-31c4-42fa-82ad-35abcdb52a62</vt:lpwstr>
  </property>
</Properties>
</file>