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DB7C" w14:textId="4928542F" w:rsidR="00523920" w:rsidRPr="00301928" w:rsidRDefault="0050703A" w:rsidP="00301928">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149D3EDE">
          <v:rect id="_x0000_s1030"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9573610" w14:textId="0CF29FC3" w:rsidR="00523920" w:rsidRPr="009A29C0" w:rsidRDefault="009A29C0" w:rsidP="00041364">
      <w:pPr>
        <w:spacing w:before="157" w:after="0" w:line="480" w:lineRule="auto"/>
        <w:ind w:firstLine="720"/>
        <w:jc w:val="both"/>
        <w:rPr>
          <w:rFonts w:cs="Times New Roman"/>
          <w:sz w:val="32"/>
          <w:szCs w:val="32"/>
        </w:rPr>
      </w:pPr>
      <w:r w:rsidRPr="009A29C0">
        <w:rPr>
          <w:rFonts w:eastAsia="inter" w:cs="Times New Roman"/>
          <w:b/>
          <w:color w:val="000000"/>
          <w:sz w:val="32"/>
          <w:szCs w:val="32"/>
        </w:rPr>
        <w:t>STRATEGIC PRIORITIZATION OF SUSTAINABLE SECTORS IN INDIA USING BCG MATRIX: A SEDA-BASED ASSESSMENT</w:t>
      </w:r>
    </w:p>
    <w:p w14:paraId="354A4EA2" w14:textId="77777777" w:rsidR="00523920" w:rsidRPr="00354045" w:rsidRDefault="00523920" w:rsidP="00041364">
      <w:pPr>
        <w:spacing w:before="157" w:after="0" w:line="480" w:lineRule="auto"/>
        <w:ind w:firstLine="720"/>
        <w:jc w:val="both"/>
        <w:rPr>
          <w:rFonts w:eastAsia="inter" w:cs="Times New Roman"/>
          <w:b/>
          <w:color w:val="000000"/>
          <w:szCs w:val="24"/>
          <w:lang w:val="it-IT"/>
        </w:rPr>
      </w:pPr>
    </w:p>
    <w:p w14:paraId="765C17BA" w14:textId="77777777" w:rsidR="00523920" w:rsidRPr="00354045" w:rsidRDefault="00523920" w:rsidP="0062075B">
      <w:pPr>
        <w:spacing w:before="157" w:after="0" w:line="480" w:lineRule="auto"/>
        <w:jc w:val="both"/>
        <w:rPr>
          <w:rFonts w:eastAsia="inter" w:cs="Times New Roman"/>
          <w:b/>
          <w:color w:val="000000"/>
          <w:szCs w:val="24"/>
          <w:lang w:val="it-IT"/>
        </w:rPr>
      </w:pPr>
    </w:p>
    <w:p w14:paraId="67282FD9" w14:textId="77777777" w:rsidR="00825724" w:rsidRPr="0062075B" w:rsidRDefault="002A50FF" w:rsidP="00041364">
      <w:pPr>
        <w:spacing w:before="315" w:after="0" w:line="480" w:lineRule="auto"/>
        <w:ind w:firstLine="720"/>
        <w:jc w:val="both"/>
        <w:rPr>
          <w:rFonts w:eastAsia="inter" w:cs="Times New Roman"/>
          <w:b/>
          <w:bCs/>
          <w:color w:val="000000"/>
          <w:szCs w:val="24"/>
        </w:rPr>
      </w:pPr>
      <w:r w:rsidRPr="0062075B">
        <w:rPr>
          <w:rFonts w:eastAsia="inter" w:cs="Times New Roman"/>
          <w:b/>
          <w:bCs/>
          <w:color w:val="000000"/>
          <w:szCs w:val="24"/>
        </w:rPr>
        <w:t>Abstract</w:t>
      </w:r>
    </w:p>
    <w:p w14:paraId="48BACCA6" w14:textId="1656E17B" w:rsidR="00D13AB4" w:rsidRPr="00D13AB4" w:rsidRDefault="00D13AB4" w:rsidP="00D13AB4">
      <w:pPr>
        <w:spacing w:before="315" w:after="0" w:line="480" w:lineRule="auto"/>
        <w:ind w:firstLine="720"/>
        <w:jc w:val="both"/>
        <w:rPr>
          <w:rFonts w:eastAsia="inter" w:cs="Times New Roman"/>
          <w:color w:val="000000"/>
          <w:szCs w:val="24"/>
        </w:rPr>
      </w:pPr>
      <w:r w:rsidRPr="00D13AB4">
        <w:rPr>
          <w:rFonts w:eastAsia="inter" w:cs="Times New Roman"/>
          <w:color w:val="000000"/>
          <w:szCs w:val="24"/>
        </w:rPr>
        <w:t>This study applies a modified Boston Consulting Group (BCG) matrix—integrated with the Sustainable Economic Development Assessment (SEDA) framework—to strategically prioritize key economic sectors in India based on both growth potential and sustainability performance. Six major sectors were selected according to their economic and employment significance. Sectoral performance was assessed using recent data on economic, social, and environmental indicators, sourced from national surveys (PLFS, Energy Statistics, etc.) and normalized to ensure comparability. A composite SEDA score was calculated for each sector, and sectors were classified on the BCG matrix by combining these scores with normalized growth and market share metrics</w:t>
      </w:r>
      <w:r>
        <w:rPr>
          <w:rFonts w:eastAsia="inter" w:cs="Times New Roman"/>
          <w:color w:val="000000"/>
          <w:szCs w:val="24"/>
        </w:rPr>
        <w:t>.</w:t>
      </w:r>
    </w:p>
    <w:p w14:paraId="4C99BE10" w14:textId="4149DF5C" w:rsidR="00D13AB4" w:rsidRDefault="00D13AB4" w:rsidP="00D13AB4">
      <w:pPr>
        <w:spacing w:before="315" w:after="0" w:line="480" w:lineRule="auto"/>
        <w:ind w:firstLine="720"/>
        <w:jc w:val="both"/>
        <w:rPr>
          <w:rFonts w:eastAsia="inter" w:cs="Times New Roman"/>
          <w:color w:val="000000"/>
          <w:szCs w:val="24"/>
        </w:rPr>
      </w:pPr>
      <w:r w:rsidRPr="00D13AB4">
        <w:rPr>
          <w:rFonts w:eastAsia="inter" w:cs="Times New Roman"/>
          <w:color w:val="000000"/>
          <w:szCs w:val="24"/>
        </w:rPr>
        <w:t>The analysis reveals distinct sectoral strengths and vulnerabilities: Trade &amp; Transport and Financial Services emerge as priority “Stars”, while Manufacturing serves as a “Cash Cow”, Agriculture as a “Question Mark”, and Construction and Public Administration as “Dogs”. These findings offer actionable insights for policymakers, suggesting that targeted investment, policy support, and sector-specific sustainability reforms are required to maximize India’s progress towards its SDG and ESG objectives. The study demonstrates a reproducible, data-driven methodology for sectoral prioritization and highlights the need for integrated sustainability assessments in economic planning.</w:t>
      </w:r>
    </w:p>
    <w:p w14:paraId="728A917F" w14:textId="5F1AF62F" w:rsidR="00825724" w:rsidRPr="0016127A" w:rsidRDefault="005E3773" w:rsidP="00041364">
      <w:pPr>
        <w:spacing w:before="210" w:after="0" w:line="480" w:lineRule="auto"/>
        <w:ind w:firstLine="720"/>
        <w:jc w:val="both"/>
        <w:rPr>
          <w:rFonts w:cs="Times New Roman"/>
          <w:b/>
          <w:bCs/>
          <w:szCs w:val="24"/>
        </w:rPr>
      </w:pPr>
      <w:r w:rsidRPr="0016127A">
        <w:rPr>
          <w:rFonts w:cs="Times New Roman"/>
          <w:b/>
          <w:bCs/>
          <w:noProof/>
          <w:szCs w:val="24"/>
        </w:rPr>
        <w:t>Key Words: BCG Matrix, SEDA, Sectoral Prioritization</w:t>
      </w:r>
      <w:r w:rsidR="009A29C0" w:rsidRPr="0016127A">
        <w:rPr>
          <w:rFonts w:cs="Times New Roman"/>
          <w:b/>
          <w:bCs/>
          <w:noProof/>
          <w:szCs w:val="24"/>
        </w:rPr>
        <w:t>, Sustainable Development</w:t>
      </w:r>
    </w:p>
    <w:p w14:paraId="2FB413D9" w14:textId="77777777" w:rsidR="005418D3" w:rsidRDefault="005418D3" w:rsidP="00041364">
      <w:pPr>
        <w:spacing w:before="315" w:after="0" w:line="480" w:lineRule="auto"/>
        <w:ind w:firstLine="720"/>
        <w:jc w:val="both"/>
        <w:rPr>
          <w:rFonts w:eastAsia="inter" w:cs="Times New Roman"/>
          <w:color w:val="000000"/>
          <w:szCs w:val="24"/>
        </w:rPr>
      </w:pPr>
    </w:p>
    <w:p w14:paraId="48FCA84D" w14:textId="63036BC6"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1. </w:t>
      </w:r>
      <w:r w:rsidRPr="008B1003">
        <w:rPr>
          <w:rFonts w:eastAsia="inter" w:cs="Times New Roman"/>
          <w:color w:val="000000"/>
          <w:szCs w:val="28"/>
        </w:rPr>
        <w:t>Introduction</w:t>
      </w:r>
    </w:p>
    <w:p w14:paraId="1FD172DB" w14:textId="77777777"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Introduction and Background</w:t>
      </w:r>
    </w:p>
    <w:p w14:paraId="41301014" w14:textId="5B8252D4"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The traditional approach to economic sector prioritization in India has largely focused on growth rates and market share, often neglecting sustainability considerations. The BCG Matrix, originally developed in the 1970s, classifies business units into four categories based on market growth and relative market share. While this framework has proven valuable for corporate strategy, it lacks integration with sustainability metrics crucial for balanced development.</w:t>
      </w:r>
    </w:p>
    <w:p w14:paraId="6BE5A4E8" w14:textId="585463FD" w:rsidR="000F33EC" w:rsidRPr="00550956" w:rsidRDefault="000F33EC" w:rsidP="00041364">
      <w:pPr>
        <w:spacing w:before="210" w:after="0" w:line="480" w:lineRule="auto"/>
        <w:ind w:firstLine="720"/>
        <w:jc w:val="both"/>
        <w:rPr>
          <w:rFonts w:cs="Times New Roman"/>
          <w:noProof/>
          <w:szCs w:val="24"/>
          <w:lang w:val="en-IN"/>
        </w:rPr>
      </w:pPr>
      <w:r w:rsidRPr="00550956">
        <w:rPr>
          <w:rFonts w:cs="Times New Roman"/>
          <w:noProof/>
          <w:szCs w:val="24"/>
          <w:lang w:val="en-IN"/>
        </w:rPr>
        <w:t>Sustainable Economic Development Assessment (SEDA), introduced by Boston Consulting Group in 2012, measures how efficiently countries convert economic growth into citizen well-being through ten dimensions grouped under three fundamental elements: Economics, Investments, and Sustainability. This framework enables evaluation beyond GDP, considering factors like environmental impact, governance, and social equity.</w:t>
      </w:r>
    </w:p>
    <w:p w14:paraId="63F449B9" w14:textId="5EE7CF33" w:rsidR="000F33EC" w:rsidRPr="00550956" w:rsidRDefault="00407BD7" w:rsidP="00041364">
      <w:pPr>
        <w:spacing w:before="210" w:after="0" w:line="480" w:lineRule="auto"/>
        <w:ind w:firstLine="720"/>
        <w:jc w:val="both"/>
        <w:rPr>
          <w:rFonts w:cs="Times New Roman"/>
          <w:noProof/>
          <w:szCs w:val="24"/>
          <w:lang w:val="en-IN"/>
        </w:rPr>
      </w:pPr>
      <w:r>
        <w:rPr>
          <w:rFonts w:cs="Times New Roman"/>
          <w:noProof/>
          <w:szCs w:val="24"/>
          <w:lang w:val="en-IN"/>
        </w:rPr>
        <w:t xml:space="preserve">In this </w:t>
      </w:r>
      <w:r w:rsidR="000F33EC" w:rsidRPr="00550956">
        <w:rPr>
          <w:rFonts w:cs="Times New Roman"/>
          <w:noProof/>
          <w:szCs w:val="24"/>
          <w:lang w:val="en-IN"/>
        </w:rPr>
        <w:t xml:space="preserve"> research</w:t>
      </w:r>
      <w:r>
        <w:rPr>
          <w:rFonts w:cs="Times New Roman"/>
          <w:noProof/>
          <w:szCs w:val="24"/>
          <w:lang w:val="en-IN"/>
        </w:rPr>
        <w:t xml:space="preserve"> we</w:t>
      </w:r>
      <w:r w:rsidR="000F33EC" w:rsidRPr="00550956">
        <w:rPr>
          <w:rFonts w:cs="Times New Roman"/>
          <w:noProof/>
          <w:szCs w:val="24"/>
          <w:lang w:val="en-IN"/>
        </w:rPr>
        <w:t xml:space="preserve"> proposes to bridge these frameworks by applying BCG Matrix principles to economic sectors in India while incorporating SEDA metrics to assess their sustainability performance. The resulting hybrid model aims to provide a more holistic prioritization framework aligned with contemporary sustainable development paradigms.</w:t>
      </w:r>
    </w:p>
    <w:p w14:paraId="2DBD1859" w14:textId="326D100A" w:rsidR="00825724" w:rsidRPr="00550956" w:rsidRDefault="00F5024D" w:rsidP="00041364">
      <w:pPr>
        <w:spacing w:before="210" w:after="0" w:line="480" w:lineRule="auto"/>
        <w:ind w:firstLine="720"/>
        <w:jc w:val="both"/>
        <w:rPr>
          <w:rFonts w:cs="Times New Roman"/>
          <w:szCs w:val="24"/>
          <w:lang w:val="en-IN"/>
        </w:rPr>
      </w:pPr>
      <w:r w:rsidRPr="00550956">
        <w:rPr>
          <w:rFonts w:cs="Times New Roman"/>
          <w:szCs w:val="24"/>
        </w:rPr>
        <w:t>Although developed for corporate strategy, the BCG Matrix is well-suited to sectoral prioritization in sustainability-focused economic planning. Its capacity to juxtapose growth dynamics with developmental performance offers a structured, scalable, and policy-relevant framework for evaluating where India should allocate strategic focus and investment in alignment with SDG and ESG goals.</w:t>
      </w:r>
      <w:r w:rsidR="000B0312" w:rsidRPr="00550956">
        <w:rPr>
          <w:rFonts w:cs="Times New Roman"/>
          <w:szCs w:val="24"/>
        </w:rPr>
        <w:t xml:space="preserve"> The BCG matrix, when modified to include SEDA dimensions, thus serves as a strategic compass: aligning economic growth trajectories with sustainability imperatives and enabling policymakers to make targeted, informed decisions.</w:t>
      </w:r>
    </w:p>
    <w:p w14:paraId="401AF1DC" w14:textId="77777777" w:rsidR="000F33EC"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2. </w:t>
      </w:r>
      <w:r w:rsidRPr="008B1003">
        <w:rPr>
          <w:rFonts w:eastAsia="inter" w:cs="Times New Roman"/>
          <w:color w:val="000000"/>
          <w:szCs w:val="28"/>
        </w:rPr>
        <w:t>Object</w:t>
      </w:r>
      <w:r w:rsidR="000F33EC" w:rsidRPr="008B1003">
        <w:rPr>
          <w:rFonts w:eastAsia="inter" w:cs="Times New Roman"/>
          <w:color w:val="000000"/>
          <w:szCs w:val="28"/>
        </w:rPr>
        <w:t>ives</w:t>
      </w:r>
    </w:p>
    <w:p w14:paraId="64BD54A5" w14:textId="77777777" w:rsidR="000F33EC" w:rsidRPr="00550956" w:rsidRDefault="000F33EC" w:rsidP="00041364">
      <w:pPr>
        <w:spacing w:before="315" w:after="0" w:line="480" w:lineRule="auto"/>
        <w:ind w:firstLine="720"/>
        <w:jc w:val="both"/>
        <w:rPr>
          <w:rFonts w:cs="Times New Roman"/>
          <w:b/>
          <w:bCs/>
          <w:noProof/>
          <w:szCs w:val="24"/>
          <w:lang w:val="en-IN"/>
        </w:rPr>
      </w:pPr>
      <w:r w:rsidRPr="00550956">
        <w:rPr>
          <w:rFonts w:cs="Times New Roman"/>
          <w:b/>
          <w:bCs/>
          <w:noProof/>
          <w:szCs w:val="24"/>
          <w:lang w:val="en-IN"/>
        </w:rPr>
        <w:lastRenderedPageBreak/>
        <w:t>Primary Objectives</w:t>
      </w:r>
    </w:p>
    <w:p w14:paraId="4E6521F8" w14:textId="1D0D1C96"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develop an integrated methodological framework combining BCG Matrix principles with SEDA metrics for sector-level assessment</w:t>
      </w:r>
      <w:r w:rsidR="00A7725D" w:rsidRPr="00550956">
        <w:rPr>
          <w:rFonts w:cs="Times New Roman"/>
          <w:noProof/>
          <w:szCs w:val="24"/>
          <w:lang w:val="en-IN"/>
        </w:rPr>
        <w:t>.</w:t>
      </w:r>
    </w:p>
    <w:p w14:paraId="18D513BE"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identify and prioritize Indian economic sectors based on both growth potential and sustainability performance</w:t>
      </w:r>
    </w:p>
    <w:p w14:paraId="41632209"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categorize sectors into quadrants representing varying combinations of development potential and sustainability outcomes</w:t>
      </w:r>
    </w:p>
    <w:p w14:paraId="131D8E16" w14:textId="77777777" w:rsidR="000F33EC" w:rsidRPr="00550956" w:rsidRDefault="000F33EC" w:rsidP="00041364">
      <w:pPr>
        <w:numPr>
          <w:ilvl w:val="0"/>
          <w:numId w:val="14"/>
        </w:numPr>
        <w:spacing w:before="315" w:after="0" w:line="480" w:lineRule="auto"/>
        <w:ind w:left="0" w:firstLine="720"/>
        <w:jc w:val="both"/>
        <w:rPr>
          <w:rFonts w:cs="Times New Roman"/>
          <w:noProof/>
          <w:szCs w:val="24"/>
          <w:lang w:val="en-IN"/>
        </w:rPr>
      </w:pPr>
      <w:r w:rsidRPr="00550956">
        <w:rPr>
          <w:rFonts w:cs="Times New Roman"/>
          <w:noProof/>
          <w:szCs w:val="24"/>
          <w:lang w:val="en-IN"/>
        </w:rPr>
        <w:t>To recommend strategic approaches for each sector category that optimize both economic and sustainability outcomes</w:t>
      </w:r>
    </w:p>
    <w:p w14:paraId="6FE09B29" w14:textId="77777777" w:rsidR="000F33EC" w:rsidRPr="00550956" w:rsidRDefault="000F33EC" w:rsidP="00041364">
      <w:pPr>
        <w:spacing w:before="315" w:after="0" w:line="480" w:lineRule="auto"/>
        <w:ind w:firstLine="720"/>
        <w:jc w:val="both"/>
        <w:rPr>
          <w:rFonts w:cs="Times New Roman"/>
          <w:b/>
          <w:bCs/>
          <w:noProof/>
          <w:szCs w:val="24"/>
          <w:lang w:val="en-IN"/>
        </w:rPr>
      </w:pPr>
      <w:r w:rsidRPr="00550956">
        <w:rPr>
          <w:rFonts w:cs="Times New Roman"/>
          <w:b/>
          <w:bCs/>
          <w:noProof/>
          <w:szCs w:val="24"/>
          <w:lang w:val="en-IN"/>
        </w:rPr>
        <w:t>Secondary Objectives</w:t>
      </w:r>
    </w:p>
    <w:p w14:paraId="16AD6471"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establish quantitative thresholds for sector classification based on India-specific development contexts</w:t>
      </w:r>
    </w:p>
    <w:p w14:paraId="14F2EFF0"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identify critical sustainability gaps in high-growth sectors requiring policy intervention</w:t>
      </w:r>
    </w:p>
    <w:p w14:paraId="46EB7618"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evaluate the effectiveness of current sectoral policies in promoting sustainable development</w:t>
      </w:r>
    </w:p>
    <w:p w14:paraId="521E617E" w14:textId="77777777" w:rsidR="000F33EC" w:rsidRPr="00550956" w:rsidRDefault="000F33EC" w:rsidP="00041364">
      <w:pPr>
        <w:numPr>
          <w:ilvl w:val="0"/>
          <w:numId w:val="15"/>
        </w:numPr>
        <w:spacing w:before="315" w:after="0" w:line="480" w:lineRule="auto"/>
        <w:ind w:left="0" w:firstLine="720"/>
        <w:jc w:val="both"/>
        <w:rPr>
          <w:rFonts w:cs="Times New Roman"/>
          <w:noProof/>
          <w:szCs w:val="24"/>
          <w:lang w:val="en-IN"/>
        </w:rPr>
      </w:pPr>
      <w:r w:rsidRPr="00550956">
        <w:rPr>
          <w:rFonts w:cs="Times New Roman"/>
          <w:noProof/>
          <w:szCs w:val="24"/>
          <w:lang w:val="en-IN"/>
        </w:rPr>
        <w:t>To develop a decision-making tool for policymakers and investors to guide resource allocation across sectors</w:t>
      </w:r>
    </w:p>
    <w:p w14:paraId="728EF264" w14:textId="77777777" w:rsidR="00825724" w:rsidRPr="00550956" w:rsidRDefault="0050703A"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1B3C811F">
          <v:rect id="_x0000_s102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0F5DB70" w14:textId="77777777" w:rsidR="00825724" w:rsidRDefault="002A50FF" w:rsidP="00041364">
      <w:pPr>
        <w:spacing w:before="315" w:after="0" w:line="480" w:lineRule="auto"/>
        <w:ind w:firstLine="720"/>
        <w:jc w:val="both"/>
        <w:rPr>
          <w:rFonts w:eastAsia="inter" w:cs="Times New Roman"/>
          <w:color w:val="000000"/>
          <w:szCs w:val="28"/>
        </w:rPr>
      </w:pPr>
      <w:r w:rsidRPr="00550956">
        <w:rPr>
          <w:rFonts w:eastAsia="inter" w:cs="Times New Roman"/>
          <w:color w:val="000000"/>
          <w:szCs w:val="24"/>
        </w:rPr>
        <w:t xml:space="preserve">3. </w:t>
      </w:r>
      <w:r w:rsidRPr="008B1003">
        <w:rPr>
          <w:rFonts w:eastAsia="inter" w:cs="Times New Roman"/>
          <w:color w:val="000000"/>
          <w:szCs w:val="28"/>
        </w:rPr>
        <w:t>Literature Review</w:t>
      </w:r>
    </w:p>
    <w:p w14:paraId="3DCF816A" w14:textId="1E794A15" w:rsidR="001F2120" w:rsidRDefault="001F2120" w:rsidP="00041364">
      <w:pPr>
        <w:spacing w:before="315" w:after="0" w:line="480" w:lineRule="auto"/>
        <w:ind w:firstLine="720"/>
        <w:jc w:val="both"/>
        <w:rPr>
          <w:rFonts w:eastAsia="inter" w:cs="Times New Roman"/>
          <w:color w:val="000000"/>
          <w:szCs w:val="28"/>
        </w:rPr>
      </w:pPr>
      <w:r w:rsidRPr="001F2120">
        <w:rPr>
          <w:rFonts w:eastAsia="inter" w:cs="Times New Roman"/>
          <w:color w:val="000000"/>
          <w:szCs w:val="28"/>
        </w:rPr>
        <w:lastRenderedPageBreak/>
        <w:t>Recent literature has demonstrated the adaptability of the BCG Matrix beyond its traditional corporate application to public sector and sustainability-focused portfolio management, providing structured decision support for resource allocation in complex, dynamic contexts</w:t>
      </w:r>
      <w:r>
        <w:rPr>
          <w:rFonts w:eastAsia="inter" w:cs="Times New Roman"/>
          <w:color w:val="000000"/>
          <w:szCs w:val="28"/>
        </w:rPr>
        <w:t xml:space="preserve">. </w:t>
      </w:r>
      <w:r w:rsidRPr="001F2120">
        <w:rPr>
          <w:rFonts w:eastAsia="inter" w:cs="Times New Roman"/>
          <w:color w:val="000000"/>
          <w:szCs w:val="28"/>
        </w:rPr>
        <w:t xml:space="preserve">Several studies, including Bhatnagar et al. (2022) and </w:t>
      </w:r>
      <w:proofErr w:type="spellStart"/>
      <w:r w:rsidR="00E17225">
        <w:rPr>
          <w:rFonts w:eastAsia="inter" w:cs="Times New Roman"/>
          <w:color w:val="000000"/>
          <w:szCs w:val="28"/>
        </w:rPr>
        <w:t>Stilic</w:t>
      </w:r>
      <w:proofErr w:type="spellEnd"/>
      <w:r w:rsidRPr="001F2120">
        <w:rPr>
          <w:rFonts w:eastAsia="inter" w:cs="Times New Roman"/>
          <w:color w:val="000000"/>
          <w:szCs w:val="28"/>
        </w:rPr>
        <w:t xml:space="preserve"> e</w:t>
      </w:r>
      <w:r w:rsidR="00E17225">
        <w:rPr>
          <w:rFonts w:eastAsia="inter" w:cs="Times New Roman"/>
          <w:color w:val="000000"/>
          <w:szCs w:val="28"/>
        </w:rPr>
        <w:t>t al. (2023</w:t>
      </w:r>
      <w:r w:rsidRPr="001F2120">
        <w:rPr>
          <w:rFonts w:eastAsia="inter" w:cs="Times New Roman"/>
          <w:color w:val="000000"/>
          <w:szCs w:val="28"/>
        </w:rPr>
        <w:t>), highlight the importance of integrating multi-dimensional indicators—economic, social, and environmental—when assessing sectoral sustainability prioritization</w:t>
      </w:r>
      <w:r>
        <w:rPr>
          <w:rFonts w:eastAsia="inter" w:cs="Times New Roman"/>
          <w:color w:val="000000"/>
          <w:szCs w:val="28"/>
        </w:rPr>
        <w:t>.</w:t>
      </w:r>
      <w:r w:rsidRPr="001F2120">
        <w:t xml:space="preserve"> </w:t>
      </w:r>
      <w:r w:rsidRPr="001F2120">
        <w:rPr>
          <w:rFonts w:eastAsia="inter" w:cs="Times New Roman"/>
          <w:color w:val="000000"/>
          <w:szCs w:val="28"/>
        </w:rPr>
        <w:t xml:space="preserve">The sector-specific approach is supported by works such as </w:t>
      </w:r>
      <w:r w:rsidR="00365206">
        <w:rPr>
          <w:rFonts w:eastAsia="inter" w:cs="Times New Roman"/>
          <w:color w:val="000000"/>
          <w:szCs w:val="28"/>
        </w:rPr>
        <w:t>Montagna S.</w:t>
      </w:r>
      <w:r w:rsidRPr="001F2120">
        <w:rPr>
          <w:rFonts w:eastAsia="inter" w:cs="Times New Roman"/>
          <w:color w:val="000000"/>
          <w:szCs w:val="28"/>
        </w:rPr>
        <w:t xml:space="preserve"> (2025), which underscore the diverse sustainability trajectories and challenges faced by different economic sectors, thus necessitating tailored analyses</w:t>
      </w:r>
      <w:r>
        <w:rPr>
          <w:rFonts w:eastAsia="inter" w:cs="Times New Roman"/>
          <w:color w:val="000000"/>
          <w:szCs w:val="28"/>
        </w:rPr>
        <w:t>.</w:t>
      </w:r>
      <w:r w:rsidRPr="001F2120">
        <w:t xml:space="preserve"> </w:t>
      </w:r>
      <w:r w:rsidRPr="001F2120">
        <w:rPr>
          <w:rFonts w:eastAsia="inter" w:cs="Times New Roman"/>
          <w:color w:val="000000"/>
          <w:szCs w:val="28"/>
        </w:rPr>
        <w:t>Additionally, the Sustainable Development Assessment Guide (UNEP, WRI) advises the selection of outcome-relevant indicators aligned with policy impact assessment, as adopted here</w:t>
      </w:r>
      <w:r w:rsidR="00B71466">
        <w:rPr>
          <w:rFonts w:eastAsia="inter" w:cs="Times New Roman"/>
          <w:color w:val="000000"/>
          <w:szCs w:val="28"/>
        </w:rPr>
        <w:t>.</w:t>
      </w:r>
    </w:p>
    <w:p w14:paraId="18262122" w14:textId="0D3BC7D8" w:rsidR="00B71466" w:rsidRPr="00B71466" w:rsidRDefault="00B71466" w:rsidP="00C745BB">
      <w:pPr>
        <w:spacing w:before="315" w:after="0" w:line="480" w:lineRule="auto"/>
        <w:ind w:firstLine="720"/>
        <w:jc w:val="both"/>
        <w:rPr>
          <w:rFonts w:eastAsia="inter" w:cs="Times New Roman"/>
          <w:color w:val="000000"/>
          <w:szCs w:val="28"/>
        </w:rPr>
      </w:pPr>
      <w:r w:rsidRPr="00B71466">
        <w:rPr>
          <w:rFonts w:eastAsia="inter" w:cs="Times New Roman"/>
          <w:color w:val="000000"/>
          <w:szCs w:val="28"/>
        </w:rPr>
        <w:t>Traditionally used for portfolio management, the BCG Matrix has recently been adapted for climate and sustainability investment strategies in both corporate and public contexts. Studies from 2024–2025</w:t>
      </w:r>
      <w:r w:rsidR="00272F47">
        <w:rPr>
          <w:rFonts w:eastAsia="inter" w:cs="Times New Roman"/>
          <w:color w:val="000000"/>
          <w:szCs w:val="28"/>
        </w:rPr>
        <w:t xml:space="preserve">, </w:t>
      </w:r>
      <w:proofErr w:type="spellStart"/>
      <w:r w:rsidR="00272F47">
        <w:rPr>
          <w:rFonts w:eastAsia="inter" w:cs="Times New Roman"/>
          <w:color w:val="000000"/>
          <w:szCs w:val="28"/>
        </w:rPr>
        <w:t>Varmaz</w:t>
      </w:r>
      <w:proofErr w:type="spellEnd"/>
      <w:r w:rsidR="00272F47">
        <w:rPr>
          <w:rFonts w:eastAsia="inter" w:cs="Times New Roman"/>
          <w:color w:val="000000"/>
          <w:szCs w:val="28"/>
        </w:rPr>
        <w:t xml:space="preserve"> </w:t>
      </w:r>
      <w:proofErr w:type="gramStart"/>
      <w:r w:rsidR="00272F47">
        <w:rPr>
          <w:rFonts w:eastAsia="inter" w:cs="Times New Roman"/>
          <w:color w:val="000000"/>
          <w:szCs w:val="28"/>
        </w:rPr>
        <w:t>et al.(</w:t>
      </w:r>
      <w:proofErr w:type="gramEnd"/>
      <w:r w:rsidR="00272F47">
        <w:rPr>
          <w:rFonts w:eastAsia="inter" w:cs="Times New Roman"/>
          <w:color w:val="000000"/>
          <w:szCs w:val="28"/>
        </w:rPr>
        <w:t>2024)</w:t>
      </w:r>
      <w:r w:rsidRPr="00B71466">
        <w:rPr>
          <w:rFonts w:eastAsia="inter" w:cs="Times New Roman"/>
          <w:color w:val="000000"/>
          <w:szCs w:val="28"/>
        </w:rPr>
        <w:t xml:space="preserve"> document the emergence of the Sustainable Investment Portfolio Optimization (SIPO) Framework, which directly incorporates climate resilience into the BCG model, while BCG’s global research underscores the mutual reinforcement of sustainability and profitability when</w:t>
      </w:r>
      <w:r w:rsidR="00C745BB">
        <w:rPr>
          <w:rFonts w:eastAsia="inter" w:cs="Times New Roman"/>
          <w:color w:val="000000"/>
          <w:szCs w:val="28"/>
        </w:rPr>
        <w:t xml:space="preserve"> integrated into core strategy.</w:t>
      </w:r>
    </w:p>
    <w:p w14:paraId="7D1F10B2" w14:textId="39699D22" w:rsidR="00B71466" w:rsidRPr="00B71466" w:rsidRDefault="00B71466" w:rsidP="00C745BB">
      <w:pPr>
        <w:spacing w:before="315" w:after="0" w:line="480" w:lineRule="auto"/>
        <w:ind w:firstLine="720"/>
        <w:jc w:val="both"/>
        <w:rPr>
          <w:rFonts w:eastAsia="inter" w:cs="Times New Roman"/>
          <w:color w:val="000000"/>
          <w:szCs w:val="28"/>
        </w:rPr>
      </w:pPr>
      <w:r w:rsidRPr="00B71466">
        <w:rPr>
          <w:rFonts w:eastAsia="inter" w:cs="Times New Roman"/>
          <w:color w:val="000000"/>
          <w:szCs w:val="28"/>
        </w:rPr>
        <w:t>The SEDA framework’s latest applications (2019–2025) continue to stress well-being as a policy endpoint, and recent country-level analyses demonstrate its value for cross-sectoral benchmarking and policy learning, especially in emerging economies. In India, rapid progress in sustainable policy (net zero, circular economy) and calls for sector-specific, high-impact intervention are underscored by a growing body of peer-reviewed research and policy guid</w:t>
      </w:r>
      <w:r w:rsidR="00C745BB">
        <w:rPr>
          <w:rFonts w:eastAsia="inter" w:cs="Times New Roman"/>
          <w:color w:val="000000"/>
          <w:szCs w:val="28"/>
        </w:rPr>
        <w:t>ance released in 2024 and 2025.</w:t>
      </w:r>
    </w:p>
    <w:p w14:paraId="35AAF854"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A. Integrated Frameworks: BCG Matrix and SEDA for Sector-Level Assessment</w:t>
      </w:r>
      <w:r w:rsidRPr="00E0069F">
        <w:rPr>
          <w:rFonts w:eastAsia="Times New Roman" w:cs="Times New Roman"/>
          <w:szCs w:val="24"/>
          <w:lang w:val="en-IN" w:eastAsia="en-IN"/>
        </w:rPr>
        <w:br/>
        <w:t xml:space="preserve">The BCG Matrix, traditionally used for corporate portfolio analysis, has been adapted for sectoral prioritization by combining market growth and relative market share with sustainability metrics. SEDA, developed by the Boston Consulting Group, provides a structured approach to measure how well countries convert wealth into well-being, using dimensions such as health, education, environment, and governance (Boston Consulting Group, 2019). </w:t>
      </w:r>
      <w:r w:rsidRPr="00E0069F">
        <w:rPr>
          <w:rFonts w:eastAsia="Times New Roman" w:cs="Times New Roman"/>
          <w:szCs w:val="24"/>
          <w:lang w:val="en-IN" w:eastAsia="en-IN"/>
        </w:rPr>
        <w:lastRenderedPageBreak/>
        <w:t>BCG’s global SEDA analyses demonstrate that economic growth and societal well-being are not mutually exclusive, and that targeted investments can simultaneously improve both.</w:t>
      </w:r>
    </w:p>
    <w:p w14:paraId="7B0590F8" w14:textId="77777777" w:rsidR="00E0069F" w:rsidRP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In India, the Economic Survey and NITI Aayog have emphasized the need for integrated frameworks to guide sustainable sectoral development, recommending a harmonized policy approach that combines resource efficiency, circular economy principles, and sectoral sustainability metrics (Government of India, 2019).</w:t>
      </w:r>
    </w:p>
    <w:p w14:paraId="1F976DDC" w14:textId="77777777" w:rsid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Internationally, SEDA has been used to benchmark countries and sectors, revealing that best-performing nations balance investments in education, health, and infrastructure with strong economic fundamentals (Boston Consulting Group, 2021). In pilot studies from Ghana, Kenya, and Serbia, UNESCO highlighted the importance of prioritizing sectors and broad stakeholder participation in aligning science, technology, and economic growth with the SDGs (UNESCO, 2023).</w:t>
      </w:r>
    </w:p>
    <w:p w14:paraId="69491CC6" w14:textId="77777777" w:rsidR="001F2120" w:rsidRPr="00E0069F" w:rsidRDefault="001F2120" w:rsidP="00041364">
      <w:pPr>
        <w:spacing w:before="100" w:beforeAutospacing="1" w:after="0" w:afterAutospacing="1" w:line="480" w:lineRule="auto"/>
        <w:ind w:firstLine="720"/>
        <w:jc w:val="both"/>
        <w:rPr>
          <w:rFonts w:eastAsia="Times New Roman" w:cs="Times New Roman"/>
          <w:szCs w:val="24"/>
          <w:lang w:val="en-IN" w:eastAsia="en-IN"/>
        </w:rPr>
      </w:pPr>
    </w:p>
    <w:p w14:paraId="0F5E5CD4"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B. Sector Prioritization Based on Growth Potential and Sustainability</w:t>
      </w:r>
      <w:r w:rsidRPr="00E0069F">
        <w:rPr>
          <w:rFonts w:eastAsia="Times New Roman" w:cs="Times New Roman"/>
          <w:szCs w:val="24"/>
          <w:lang w:val="en-IN" w:eastAsia="en-IN"/>
        </w:rPr>
        <w:br/>
        <w:t>Recent research in India has focused on identifying and ranking sustainable manufacturing indicators using the triple bottom line approach (environmental, economic, social) (Kumar et al., 2021). Studies have applied multi-criteria decision-making methods such as Fuzzy TOPSIS and Analytic Hierarchy Process to prioritize drivers and barriers in green supply chain management across sectors like manufacturing, mining, and textiles (Sharma &amp; Gandhi, 2017; Singh &amp; Trivedi, 2015). These works consistently find that while sectors such as manufacturing and construction have high economic potential, they lag in environmental and social performance, underscoring the need for targeted policy interventions.</w:t>
      </w:r>
    </w:p>
    <w:p w14:paraId="321BE491" w14:textId="77777777" w:rsidR="00E0069F" w:rsidRPr="00E0069F" w:rsidRDefault="00E0069F" w:rsidP="00041364">
      <w:pPr>
        <w:spacing w:before="100" w:beforeAutospacing="1" w:after="0" w:afterAutospacing="1" w:line="480" w:lineRule="auto"/>
        <w:ind w:firstLine="720"/>
        <w:jc w:val="both"/>
        <w:rPr>
          <w:rFonts w:eastAsia="Times New Roman" w:cs="Times New Roman"/>
          <w:szCs w:val="24"/>
          <w:lang w:val="en-IN" w:eastAsia="en-IN"/>
        </w:rPr>
      </w:pPr>
      <w:r w:rsidRPr="00E0069F">
        <w:rPr>
          <w:rFonts w:eastAsia="Times New Roman" w:cs="Times New Roman"/>
          <w:szCs w:val="24"/>
          <w:lang w:val="en-IN" w:eastAsia="en-IN"/>
        </w:rPr>
        <w:t xml:space="preserve">International studies echo these findings. For example, in the logistics sector, researchers have used hierarchical frameworks to rank sustainable strategic options, providing a model for sectoral prioritization (Zhou et al., 2023). BCG’s SEDA-based studies across 152 countries show that countries with balanced sectoral investments </w:t>
      </w:r>
      <w:r w:rsidRPr="00E0069F">
        <w:rPr>
          <w:rFonts w:eastAsia="Times New Roman" w:cs="Times New Roman"/>
          <w:szCs w:val="24"/>
          <w:lang w:val="en-IN" w:eastAsia="en-IN"/>
        </w:rPr>
        <w:lastRenderedPageBreak/>
        <w:t>in education, employment, and infrastructure achieve higher well-being and resilience (Boston Consulting Group, 2021).</w:t>
      </w:r>
    </w:p>
    <w:p w14:paraId="731C6750"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C. Categorization and Quadrant Analysis</w:t>
      </w:r>
      <w:r w:rsidRPr="00E0069F">
        <w:rPr>
          <w:rFonts w:eastAsia="Times New Roman" w:cs="Times New Roman"/>
          <w:szCs w:val="24"/>
          <w:lang w:val="en-IN" w:eastAsia="en-IN"/>
        </w:rPr>
        <w:br/>
        <w:t>Globally, similar quadrant-based frameworks have been used for prioritizing SDGs in industries such as textiles and logistics, with studies highlighting the importance of stakeholder mapping and multi-dimensional performance metrics (Singhal, 2023; Zhou et al., 2023).</w:t>
      </w:r>
    </w:p>
    <w:p w14:paraId="23B463B2"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D. Strategic Recommendations and Policy Implications</w:t>
      </w:r>
      <w:r w:rsidRPr="00E0069F">
        <w:rPr>
          <w:rFonts w:eastAsia="Times New Roman" w:cs="Times New Roman"/>
          <w:szCs w:val="24"/>
          <w:lang w:val="en-IN" w:eastAsia="en-IN"/>
        </w:rPr>
        <w:br/>
        <w:t>Research consistently recommends that sectoral strategies should be tailored to quadrant placement. For instance, “Stars” should be scaled up with additional investments in sustainability, while “Question Marks” require targeted reforms to address sustainability gaps (Kumar et al., 2021). The Economic Survey of India and NITI Aayog advocate for resource efficiency, circular economy, and mainstreaming sustainability in flagship programs (Government of India, 2019).</w:t>
      </w:r>
    </w:p>
    <w:p w14:paraId="5A61726A" w14:textId="77777777" w:rsidR="00E0069F" w:rsidRP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szCs w:val="24"/>
          <w:lang w:val="en-IN" w:eastAsia="en-IN"/>
        </w:rPr>
        <w:t>Internationally, BCG and UNESCO recommend institutionalizing successful programs, enhancing cross-sector collaboration, and using digital delivery channels for efficient implementation (Boston Consulting Group, 2021; UNESCO, 2023).</w:t>
      </w:r>
    </w:p>
    <w:p w14:paraId="73151207" w14:textId="11581278" w:rsidR="00E0069F" w:rsidRDefault="00E0069F" w:rsidP="00041364">
      <w:pPr>
        <w:spacing w:before="100" w:beforeAutospacing="1" w:after="0" w:afterAutospacing="1" w:line="480" w:lineRule="auto"/>
        <w:ind w:firstLine="720"/>
        <w:rPr>
          <w:rFonts w:eastAsia="Times New Roman" w:cs="Times New Roman"/>
          <w:szCs w:val="24"/>
          <w:lang w:val="en-IN" w:eastAsia="en-IN"/>
        </w:rPr>
      </w:pPr>
      <w:r w:rsidRPr="00E0069F">
        <w:rPr>
          <w:rFonts w:eastAsia="Times New Roman" w:cs="Times New Roman"/>
          <w:b/>
          <w:bCs/>
          <w:szCs w:val="24"/>
          <w:lang w:val="en-IN" w:eastAsia="en-IN"/>
        </w:rPr>
        <w:t>E. Gaps and Future Directions</w:t>
      </w:r>
      <w:r w:rsidRPr="00E0069F">
        <w:rPr>
          <w:rFonts w:eastAsia="Times New Roman" w:cs="Times New Roman"/>
          <w:szCs w:val="24"/>
          <w:lang w:val="en-IN" w:eastAsia="en-IN"/>
        </w:rPr>
        <w:br/>
        <w:t>Despite advances, gaps remain in integrating real-time, sector-specific data into prioritization frameworks, especially in emerging economies. There is also a need for more dynamic, stakeholder-driven decision tools that can adapt to evolving policy and market contexts (Singhal, 2023).</w:t>
      </w:r>
    </w:p>
    <w:p w14:paraId="3EFCC20A" w14:textId="3F7868EE" w:rsid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 Methodology:</w:t>
      </w:r>
    </w:p>
    <w:p w14:paraId="2775D718" w14:textId="719D9201" w:rsidR="00730929" w:rsidRDefault="00730929" w:rsidP="00730929">
      <w:pPr>
        <w:spacing w:before="100" w:beforeAutospacing="1" w:after="0" w:afterAutospacing="1" w:line="480" w:lineRule="auto"/>
        <w:jc w:val="both"/>
        <w:rPr>
          <w:rFonts w:eastAsia="Times New Roman" w:cs="Times New Roman"/>
          <w:szCs w:val="24"/>
          <w:lang w:val="en-IN" w:eastAsia="en-IN"/>
        </w:rPr>
      </w:pPr>
      <w:r w:rsidRPr="00730929">
        <w:rPr>
          <w:rFonts w:eastAsia="Times New Roman" w:cs="Times New Roman"/>
          <w:szCs w:val="24"/>
          <w:lang w:val="en-IN" w:eastAsia="en-IN"/>
        </w:rPr>
        <w:t xml:space="preserve">This study adopts a quantitative, cross-sectoral assessment approach, aligning with contemporary practices in sustainability impact </w:t>
      </w:r>
      <w:proofErr w:type="spellStart"/>
      <w:r w:rsidRPr="00730929">
        <w:rPr>
          <w:rFonts w:eastAsia="Times New Roman" w:cs="Times New Roman"/>
          <w:szCs w:val="24"/>
          <w:lang w:val="en-IN" w:eastAsia="en-IN"/>
        </w:rPr>
        <w:t>evaluationesearch</w:t>
      </w:r>
      <w:proofErr w:type="spellEnd"/>
      <w:r w:rsidRPr="00730929">
        <w:rPr>
          <w:rFonts w:eastAsia="Times New Roman" w:cs="Times New Roman"/>
          <w:szCs w:val="24"/>
          <w:lang w:val="en-IN" w:eastAsia="en-IN"/>
        </w:rPr>
        <w:t xml:space="preserve"> Approach and Design</w:t>
      </w:r>
      <w:r>
        <w:rPr>
          <w:rFonts w:eastAsia="Times New Roman" w:cs="Times New Roman"/>
          <w:szCs w:val="24"/>
          <w:lang w:val="en-IN" w:eastAsia="en-IN"/>
        </w:rPr>
        <w:t>.</w:t>
      </w:r>
      <w:r w:rsidRPr="00730929">
        <w:t xml:space="preserve"> </w:t>
      </w:r>
      <w:r w:rsidRPr="00730929">
        <w:rPr>
          <w:rFonts w:eastAsia="Times New Roman" w:cs="Times New Roman"/>
          <w:szCs w:val="24"/>
          <w:lang w:val="en-IN" w:eastAsia="en-IN"/>
        </w:rPr>
        <w:t xml:space="preserve">Six major economic sectors were purposefully selected according to GDP/employment significance and data availability, mirroring designs in recent sectoral </w:t>
      </w:r>
      <w:r w:rsidRPr="00730929">
        <w:rPr>
          <w:rFonts w:eastAsia="Times New Roman" w:cs="Times New Roman"/>
          <w:szCs w:val="24"/>
          <w:lang w:val="en-IN" w:eastAsia="en-IN"/>
        </w:rPr>
        <w:lastRenderedPageBreak/>
        <w:t>complexity and EKC studies</w:t>
      </w:r>
      <w:r>
        <w:rPr>
          <w:rFonts w:eastAsia="Times New Roman" w:cs="Times New Roman"/>
          <w:szCs w:val="24"/>
          <w:lang w:val="en-IN" w:eastAsia="en-IN"/>
        </w:rPr>
        <w:t>.</w:t>
      </w:r>
      <w:r w:rsidRPr="00730929">
        <w:t xml:space="preserve"> </w:t>
      </w:r>
      <w:r w:rsidRPr="00730929">
        <w:rPr>
          <w:rFonts w:eastAsia="Times New Roman" w:cs="Times New Roman"/>
          <w:szCs w:val="24"/>
          <w:lang w:val="en-IN" w:eastAsia="en-IN"/>
        </w:rPr>
        <w:t>Indicator selection (GVA, employment, CO₂ emissions, energy use, electricity access) is justified both by their relevance to India’s SDG/ESG context and their use in comparable international assessments</w:t>
      </w:r>
      <w:r w:rsidR="00494E4E">
        <w:rPr>
          <w:rFonts w:eastAsia="Times New Roman" w:cs="Times New Roman"/>
          <w:szCs w:val="24"/>
          <w:lang w:val="en-IN" w:eastAsia="en-IN"/>
        </w:rPr>
        <w:t>.</w:t>
      </w:r>
      <w:r w:rsidR="00494E4E" w:rsidRPr="00494E4E">
        <w:t xml:space="preserve"> </w:t>
      </w:r>
      <w:r w:rsidR="00494E4E" w:rsidRPr="00494E4E">
        <w:rPr>
          <w:rFonts w:eastAsia="Times New Roman" w:cs="Times New Roman"/>
          <w:szCs w:val="24"/>
          <w:lang w:val="en-IN" w:eastAsia="en-IN"/>
        </w:rPr>
        <w:t>Data were compiled from reputable national (PLFS, IEA, Energy Statistics, Press Information Bureau) and international sources (UNFCCC, BCG SEDA toolkit), covering the most recent periods available (2023–2024).</w:t>
      </w:r>
      <w:r w:rsidR="00494E4E" w:rsidRPr="00494E4E">
        <w:t xml:space="preserve"> </w:t>
      </w:r>
      <w:r w:rsidR="00494E4E" w:rsidRPr="00494E4E">
        <w:rPr>
          <w:rFonts w:eastAsia="Times New Roman" w:cs="Times New Roman"/>
          <w:szCs w:val="24"/>
          <w:lang w:val="en-IN" w:eastAsia="en-IN"/>
        </w:rPr>
        <w:t>Following established normalization procedures</w:t>
      </w:r>
      <w:r w:rsidR="00494E4E">
        <w:rPr>
          <w:rFonts w:eastAsia="Times New Roman" w:cs="Times New Roman"/>
          <w:szCs w:val="24"/>
          <w:lang w:val="en-IN" w:eastAsia="en-IN"/>
        </w:rPr>
        <w:t xml:space="preserve"> </w:t>
      </w:r>
      <w:r w:rsidR="00494E4E" w:rsidRPr="00494E4E">
        <w:rPr>
          <w:rFonts w:eastAsia="Times New Roman" w:cs="Times New Roman"/>
          <w:szCs w:val="24"/>
          <w:lang w:val="en-IN" w:eastAsia="en-IN"/>
        </w:rPr>
        <w:t>min-max transformation was applied to all indicators to ensure comparability. Composite sustainability scores were created using equal weighting in accordance with prevailing practice</w:t>
      </w:r>
      <w:r w:rsidR="00494E4E">
        <w:rPr>
          <w:rFonts w:eastAsia="Times New Roman" w:cs="Times New Roman"/>
          <w:szCs w:val="24"/>
          <w:lang w:val="en-IN" w:eastAsia="en-IN"/>
        </w:rPr>
        <w:t>.</w:t>
      </w:r>
    </w:p>
    <w:p w14:paraId="62363760" w14:textId="77777777" w:rsidR="00730929" w:rsidRDefault="00730929" w:rsidP="007004C6">
      <w:pPr>
        <w:spacing w:before="100" w:beforeAutospacing="1" w:after="0" w:afterAutospacing="1" w:line="480" w:lineRule="auto"/>
        <w:ind w:left="1080"/>
        <w:rPr>
          <w:rFonts w:eastAsia="Times New Roman" w:cs="Times New Roman"/>
          <w:szCs w:val="24"/>
          <w:lang w:val="en-IN" w:eastAsia="en-IN"/>
        </w:rPr>
      </w:pPr>
    </w:p>
    <w:p w14:paraId="2138F275" w14:textId="191EC0A7"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w:t>
      </w:r>
      <w:r w:rsidRPr="007004C6">
        <w:rPr>
          <w:rFonts w:eastAsia="Times New Roman" w:cs="Times New Roman"/>
          <w:szCs w:val="24"/>
          <w:lang w:val="en-IN" w:eastAsia="en-IN"/>
        </w:rPr>
        <w:t>.1 Sector Selection and Sample Frame</w:t>
      </w:r>
    </w:p>
    <w:p w14:paraId="2177F289" w14:textId="4BD190B2"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The study focuses on six major economic sectors in India: Agriculture, Manufacturing, Construction, Trade &amp; Transport, Financial Services, and Public Administration. These sectors were selected based on their aggregate contributions to GDP and employment, alignment with national sustainable development priorities (Government of India; NITI Aayog), and the availability of robust, recent data for each domain.</w:t>
      </w:r>
    </w:p>
    <w:p w14:paraId="11A048B1" w14:textId="07E04605" w:rsidR="007004C6" w:rsidRPr="005907BE" w:rsidRDefault="007004C6" w:rsidP="007004C6">
      <w:pPr>
        <w:spacing w:before="100" w:beforeAutospacing="1" w:after="0" w:afterAutospacing="1" w:line="480" w:lineRule="auto"/>
        <w:ind w:left="1080"/>
        <w:jc w:val="both"/>
        <w:rPr>
          <w:rFonts w:eastAsia="Times New Roman" w:cs="Times New Roman"/>
          <w:szCs w:val="24"/>
          <w:lang w:val="en-IN" w:eastAsia="en-IN"/>
        </w:rPr>
      </w:pPr>
      <w:r w:rsidRPr="005907BE">
        <w:rPr>
          <w:rFonts w:eastAsia="Times New Roman" w:cs="Times New Roman"/>
          <w:szCs w:val="24"/>
          <w:lang w:val="en-IN" w:eastAsia="en-IN"/>
        </w:rPr>
        <w:t>4.2 Data Sources</w:t>
      </w:r>
    </w:p>
    <w:p w14:paraId="2D2BF4A0" w14:textId="6F24F459"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Economic and social sectoral data were sourced from official publications, notably the Periodic Labour Force Survey (PLFS) 2023–24, India Energy Statistics 2023, and the P</w:t>
      </w:r>
      <w:r>
        <w:rPr>
          <w:rFonts w:eastAsia="Times New Roman" w:cs="Times New Roman"/>
          <w:szCs w:val="24"/>
          <w:lang w:val="en-IN" w:eastAsia="en-IN"/>
        </w:rPr>
        <w:t>ress Information Bureau (2023)</w:t>
      </w:r>
    </w:p>
    <w:p w14:paraId="619CFDAA" w14:textId="72F4BEA7"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Environmental indicators (energy consumption, CO₂ emissions) were compiled from the IEA, Press Information Bureau, and the UNFC</w:t>
      </w:r>
      <w:r>
        <w:rPr>
          <w:rFonts w:eastAsia="Times New Roman" w:cs="Times New Roman"/>
          <w:szCs w:val="24"/>
          <w:lang w:val="en-IN" w:eastAsia="en-IN"/>
        </w:rPr>
        <w:t>CC Biennial Update Report 2023.</w:t>
      </w:r>
    </w:p>
    <w:p w14:paraId="79CBE474" w14:textId="51B9141A"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 xml:space="preserve">Additional context and indicator weighting were drawn from major reports by the Boston Consulting Group, NITI </w:t>
      </w:r>
      <w:r>
        <w:rPr>
          <w:rFonts w:eastAsia="Times New Roman" w:cs="Times New Roman"/>
          <w:szCs w:val="24"/>
          <w:lang w:val="en-IN" w:eastAsia="en-IN"/>
        </w:rPr>
        <w:t>Aayog, and academic literature.</w:t>
      </w:r>
    </w:p>
    <w:p w14:paraId="1E082D34" w14:textId="28596526"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w:t>
      </w:r>
      <w:r w:rsidRPr="007004C6">
        <w:rPr>
          <w:rFonts w:eastAsia="Times New Roman" w:cs="Times New Roman"/>
          <w:szCs w:val="24"/>
          <w:lang w:val="en-IN" w:eastAsia="en-IN"/>
        </w:rPr>
        <w:t>.3 Indicator Selection and Description</w:t>
      </w:r>
    </w:p>
    <w:p w14:paraId="3ABAEF7E" w14:textId="77777777"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lastRenderedPageBreak/>
        <w:t>Sectoral performance was assessed on economic (e.g., GVA share, GVA per worker), social (e.g., employment share, access to electricity), and environmental (e.g., sectoral CO₂ emissions, energy intensity, electricity access) dimensions. Table 3 of the article provides a summary of each indicator and its relevance to India’s sustainable development.</w:t>
      </w:r>
    </w:p>
    <w:p w14:paraId="3082992E" w14:textId="77777777"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p>
    <w:p w14:paraId="1D3B3C79" w14:textId="3676E375"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w:t>
      </w:r>
      <w:r w:rsidRPr="007004C6">
        <w:rPr>
          <w:rFonts w:eastAsia="Times New Roman" w:cs="Times New Roman"/>
          <w:szCs w:val="24"/>
          <w:lang w:val="en-IN" w:eastAsia="en-IN"/>
        </w:rPr>
        <w:t>.4 Data Normalization and Aggregation</w:t>
      </w:r>
    </w:p>
    <w:p w14:paraId="048BC1BB" w14:textId="77777777" w:rsidR="007004C6" w:rsidRPr="007004C6" w:rsidRDefault="007004C6" w:rsidP="007004C6">
      <w:p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All indicators were normalized on a 0–1 scale using the min-max normalization formula:</w:t>
      </w:r>
    </w:p>
    <w:p w14:paraId="54221E63" w14:textId="1FE883B6"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sidRPr="007004C6">
        <w:rPr>
          <w:rFonts w:eastAsia="Times New Roman" w:cs="Times New Roman"/>
          <w:noProof/>
          <w:szCs w:val="24"/>
          <w:lang w:val="en-IN" w:eastAsia="en-IN"/>
        </w:rPr>
        <w:drawing>
          <wp:inline distT="0" distB="0" distL="0" distR="0" wp14:anchorId="7A3D4C13" wp14:editId="010E6294">
            <wp:extent cx="2362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2538" cy="657319"/>
                    </a:xfrm>
                    <a:prstGeom prst="rect">
                      <a:avLst/>
                    </a:prstGeom>
                  </pic:spPr>
                </pic:pic>
              </a:graphicData>
            </a:graphic>
          </wp:inline>
        </w:drawing>
      </w:r>
    </w:p>
    <w:p w14:paraId="2FCAE107" w14:textId="5CB0DFB3" w:rsidR="007004C6" w:rsidRPr="007004C6" w:rsidRDefault="007004C6" w:rsidP="007004C6">
      <w:p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This ensured comparability across metrics w</w:t>
      </w:r>
      <w:r>
        <w:rPr>
          <w:rFonts w:eastAsia="Times New Roman" w:cs="Times New Roman"/>
          <w:szCs w:val="24"/>
          <w:lang w:val="en-IN" w:eastAsia="en-IN"/>
        </w:rPr>
        <w:t>ith different units and scales.</w:t>
      </w:r>
    </w:p>
    <w:p w14:paraId="15279EBD" w14:textId="77777777"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A composite SEDA (Sustainable Economic Development Assessment) score for each sector was generated by taking the average of equally weighted economic, social, and environmental normalized indicator scores. While equal weighting ensures objectivity and transparency, this is acknowledged as a methodological limitation (discussed in the Limitations section).</w:t>
      </w:r>
    </w:p>
    <w:p w14:paraId="2C01804B" w14:textId="77777777"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p>
    <w:p w14:paraId="50A38999" w14:textId="19ACFD4C"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w:t>
      </w:r>
      <w:r w:rsidRPr="007004C6">
        <w:rPr>
          <w:rFonts w:eastAsia="Times New Roman" w:cs="Times New Roman"/>
          <w:szCs w:val="24"/>
          <w:lang w:val="en-IN" w:eastAsia="en-IN"/>
        </w:rPr>
        <w:t>.5 Analytical Techniques: Application of BCG Matrix and SEDA</w:t>
      </w:r>
    </w:p>
    <w:p w14:paraId="0AB8F6D5" w14:textId="28D33DCC"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 xml:space="preserve">For each sector, “Market Potential” was calculated as the average of normalized CAGR (growth </w:t>
      </w:r>
      <w:r>
        <w:rPr>
          <w:rFonts w:eastAsia="Times New Roman" w:cs="Times New Roman"/>
          <w:szCs w:val="24"/>
          <w:lang w:val="en-IN" w:eastAsia="en-IN"/>
        </w:rPr>
        <w:t>rate) and normalized GVA Share.</w:t>
      </w:r>
    </w:p>
    <w:p w14:paraId="1C55133E" w14:textId="6B8A1BD3"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Sectors were then mapped into quadrants (Stars, Cash Cows, Question Marks, Dogs) on a BCG matrix, with the X-axis representing the composite SEDA score and the Y-axis</w:t>
      </w:r>
      <w:r>
        <w:rPr>
          <w:rFonts w:eastAsia="Times New Roman" w:cs="Times New Roman"/>
          <w:szCs w:val="24"/>
          <w:lang w:val="en-IN" w:eastAsia="en-IN"/>
        </w:rPr>
        <w:t xml:space="preserve"> representing Market Potential.</w:t>
      </w:r>
    </w:p>
    <w:p w14:paraId="72686D76" w14:textId="229FEE9E"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lastRenderedPageBreak/>
        <w:t>Thresholds for quadrant assignment used the median value for Market Potential (≈0.64) and 0.5 for the SEDA score, as supported by th</w:t>
      </w:r>
      <w:r>
        <w:rPr>
          <w:rFonts w:eastAsia="Times New Roman" w:cs="Times New Roman"/>
          <w:szCs w:val="24"/>
          <w:lang w:val="en-IN" w:eastAsia="en-IN"/>
        </w:rPr>
        <w:t>e underlying data distribution.</w:t>
      </w:r>
    </w:p>
    <w:p w14:paraId="2B3C2FF2" w14:textId="77777777" w:rsidR="007004C6" w:rsidRPr="007004C6" w:rsidRDefault="007004C6" w:rsidP="007004C6">
      <w:pPr>
        <w:spacing w:before="100" w:beforeAutospacing="1" w:after="0" w:afterAutospacing="1" w:line="480" w:lineRule="auto"/>
        <w:jc w:val="both"/>
        <w:rPr>
          <w:rFonts w:eastAsia="Times New Roman" w:cs="Times New Roman"/>
          <w:szCs w:val="24"/>
          <w:lang w:val="en-IN" w:eastAsia="en-IN"/>
        </w:rPr>
      </w:pPr>
      <w:r w:rsidRPr="007004C6">
        <w:rPr>
          <w:rFonts w:eastAsia="Times New Roman" w:cs="Times New Roman"/>
          <w:szCs w:val="24"/>
          <w:lang w:val="en-IN" w:eastAsia="en-IN"/>
        </w:rPr>
        <w:t>All assignments and sectoral rankings were visualized in summary/quadrant tables (see Table 10 and related tables).</w:t>
      </w:r>
    </w:p>
    <w:p w14:paraId="3F0815EE" w14:textId="77777777"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p>
    <w:p w14:paraId="343E1C16" w14:textId="079557BB" w:rsidR="007004C6" w:rsidRPr="007004C6" w:rsidRDefault="007004C6" w:rsidP="007004C6">
      <w:pPr>
        <w:spacing w:before="100" w:beforeAutospacing="1" w:after="0" w:afterAutospacing="1" w:line="480" w:lineRule="auto"/>
        <w:ind w:left="1080"/>
        <w:rPr>
          <w:rFonts w:eastAsia="Times New Roman" w:cs="Times New Roman"/>
          <w:szCs w:val="24"/>
          <w:lang w:val="en-IN" w:eastAsia="en-IN"/>
        </w:rPr>
      </w:pPr>
      <w:r>
        <w:rPr>
          <w:rFonts w:eastAsia="Times New Roman" w:cs="Times New Roman"/>
          <w:szCs w:val="24"/>
          <w:lang w:val="en-IN" w:eastAsia="en-IN"/>
        </w:rPr>
        <w:t>4</w:t>
      </w:r>
      <w:r w:rsidRPr="007004C6">
        <w:rPr>
          <w:rFonts w:eastAsia="Times New Roman" w:cs="Times New Roman"/>
          <w:szCs w:val="24"/>
          <w:lang w:val="en-IN" w:eastAsia="en-IN"/>
        </w:rPr>
        <w:t>.6 Summary of Research Process</w:t>
      </w:r>
    </w:p>
    <w:p w14:paraId="15C7CEC8" w14:textId="0F899A35" w:rsidR="007004C6" w:rsidRP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Define sectoral scope and list eligible sectors based on national accounts and employment share</w:t>
      </w:r>
    </w:p>
    <w:p w14:paraId="20EB432D" w14:textId="13FE7104" w:rsidR="007004C6" w:rsidRP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Collect latest data for selected economic, social, and environmental indicators</w:t>
      </w:r>
    </w:p>
    <w:p w14:paraId="5E3BE9C4" w14:textId="234265C5" w:rsidR="007004C6" w:rsidRP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Normalize all indicator values.</w:t>
      </w:r>
    </w:p>
    <w:p w14:paraId="4EC18875" w14:textId="4F593977" w:rsidR="007004C6" w:rsidRP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Aggregate normalized indicators for each sector to calculate composite SEDA scores.</w:t>
      </w:r>
    </w:p>
    <w:p w14:paraId="292D8B12" w14:textId="37B3684E" w:rsidR="007004C6" w:rsidRP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Compute market potential and assign sectors to BCG quadrants as described above.</w:t>
      </w:r>
    </w:p>
    <w:p w14:paraId="095E50F3" w14:textId="533CFB31" w:rsidR="007004C6" w:rsidRDefault="007004C6" w:rsidP="007004C6">
      <w:pPr>
        <w:pStyle w:val="ListParagraph"/>
        <w:numPr>
          <w:ilvl w:val="1"/>
          <w:numId w:val="34"/>
        </w:numPr>
        <w:spacing w:before="100" w:beforeAutospacing="1" w:after="0" w:afterAutospacing="1" w:line="480" w:lineRule="auto"/>
        <w:rPr>
          <w:rFonts w:eastAsia="Times New Roman" w:cs="Times New Roman"/>
          <w:szCs w:val="24"/>
          <w:lang w:val="en-IN" w:eastAsia="en-IN"/>
        </w:rPr>
      </w:pPr>
      <w:r w:rsidRPr="007004C6">
        <w:rPr>
          <w:rFonts w:eastAsia="Times New Roman" w:cs="Times New Roman"/>
          <w:szCs w:val="24"/>
          <w:lang w:val="en-IN" w:eastAsia="en-IN"/>
        </w:rPr>
        <w:t>Interpret results and discuss implications for policy and sectoral strategy.</w:t>
      </w:r>
    </w:p>
    <w:p w14:paraId="331FC792" w14:textId="77777777" w:rsidR="005A294D" w:rsidRDefault="005A294D" w:rsidP="005A294D">
      <w:pPr>
        <w:pStyle w:val="ListParagraph"/>
        <w:spacing w:before="100" w:beforeAutospacing="1" w:after="0" w:afterAutospacing="1" w:line="480" w:lineRule="auto"/>
        <w:ind w:left="1440"/>
        <w:rPr>
          <w:rFonts w:eastAsia="Times New Roman" w:cs="Times New Roman"/>
          <w:szCs w:val="24"/>
          <w:lang w:val="en-IN" w:eastAsia="en-IN"/>
        </w:rPr>
      </w:pPr>
    </w:p>
    <w:p w14:paraId="1288D148" w14:textId="77777777" w:rsidR="005A294D" w:rsidRPr="005A294D" w:rsidRDefault="005A294D" w:rsidP="005A294D">
      <w:pPr>
        <w:pStyle w:val="ListParagraph"/>
        <w:spacing w:before="100" w:beforeAutospacing="1" w:after="0" w:afterAutospacing="1" w:line="480" w:lineRule="auto"/>
        <w:ind w:left="1440"/>
        <w:rPr>
          <w:rFonts w:eastAsia="Times New Roman" w:cs="Times New Roman"/>
          <w:szCs w:val="24"/>
          <w:lang w:val="en-IN" w:eastAsia="en-IN"/>
        </w:rPr>
      </w:pPr>
      <w:r w:rsidRPr="005A294D">
        <w:rPr>
          <w:rFonts w:eastAsia="Times New Roman" w:cs="Times New Roman"/>
          <w:szCs w:val="24"/>
          <w:lang w:val="en-IN" w:eastAsia="en-IN"/>
        </w:rPr>
        <w:t>Research Hypotheses</w:t>
      </w:r>
    </w:p>
    <w:p w14:paraId="25D167F0" w14:textId="77777777" w:rsidR="005A294D" w:rsidRPr="005A294D" w:rsidRDefault="005A294D" w:rsidP="005A294D">
      <w:pPr>
        <w:pStyle w:val="ListParagraph"/>
        <w:spacing w:before="100" w:beforeAutospacing="1" w:after="0" w:afterAutospacing="1" w:line="480" w:lineRule="auto"/>
        <w:ind w:left="1440"/>
        <w:rPr>
          <w:rFonts w:eastAsia="Times New Roman" w:cs="Times New Roman"/>
          <w:szCs w:val="24"/>
          <w:lang w:val="en-IN" w:eastAsia="en-IN"/>
        </w:rPr>
      </w:pPr>
    </w:p>
    <w:p w14:paraId="59F1FC01" w14:textId="2040F716" w:rsidR="005A294D" w:rsidRPr="005A294D" w:rsidRDefault="005A294D" w:rsidP="005A294D">
      <w:pPr>
        <w:pStyle w:val="ListParagraph"/>
        <w:numPr>
          <w:ilvl w:val="0"/>
          <w:numId w:val="36"/>
        </w:numPr>
        <w:spacing w:before="100" w:beforeAutospacing="1" w:after="0" w:afterAutospacing="1" w:line="480" w:lineRule="auto"/>
        <w:jc w:val="both"/>
        <w:rPr>
          <w:rFonts w:eastAsia="Times New Roman" w:cs="Times New Roman"/>
          <w:szCs w:val="24"/>
          <w:lang w:val="en-IN" w:eastAsia="en-IN"/>
        </w:rPr>
      </w:pPr>
      <w:r w:rsidRPr="005A294D">
        <w:rPr>
          <w:rFonts w:eastAsia="Times New Roman" w:cs="Times New Roman"/>
          <w:szCs w:val="24"/>
          <w:lang w:val="en-IN" w:eastAsia="en-IN"/>
        </w:rPr>
        <w:t>There is significant heterogeneity in sustainability performance and growth potential across India’s key economic sectors.</w:t>
      </w:r>
    </w:p>
    <w:p w14:paraId="28D8218B" w14:textId="04D3B79D" w:rsidR="005A294D" w:rsidRPr="005A294D" w:rsidRDefault="005A294D" w:rsidP="005A294D">
      <w:pPr>
        <w:pStyle w:val="ListParagraph"/>
        <w:numPr>
          <w:ilvl w:val="0"/>
          <w:numId w:val="36"/>
        </w:numPr>
        <w:spacing w:before="100" w:beforeAutospacing="1" w:after="0" w:afterAutospacing="1" w:line="480" w:lineRule="auto"/>
        <w:jc w:val="both"/>
        <w:rPr>
          <w:rFonts w:eastAsia="Times New Roman" w:cs="Times New Roman"/>
          <w:szCs w:val="24"/>
          <w:lang w:val="en-IN" w:eastAsia="en-IN"/>
        </w:rPr>
      </w:pPr>
      <w:r w:rsidRPr="005A294D">
        <w:rPr>
          <w:rFonts w:eastAsia="Times New Roman" w:cs="Times New Roman"/>
          <w:szCs w:val="24"/>
          <w:lang w:val="en-IN" w:eastAsia="en-IN"/>
        </w:rPr>
        <w:t>Integrating a sectoral BCG Matrix with SEDA-derived composite scores will enable data-driven, actionable prioritization for sustainable development policy.</w:t>
      </w:r>
    </w:p>
    <w:p w14:paraId="36755CB6" w14:textId="6BFAD8A8" w:rsidR="005A294D" w:rsidRPr="005A294D" w:rsidRDefault="005A294D" w:rsidP="005A294D">
      <w:pPr>
        <w:pStyle w:val="ListParagraph"/>
        <w:numPr>
          <w:ilvl w:val="0"/>
          <w:numId w:val="36"/>
        </w:numPr>
        <w:spacing w:before="100" w:beforeAutospacing="1" w:after="0" w:afterAutospacing="1" w:line="480" w:lineRule="auto"/>
        <w:jc w:val="both"/>
        <w:rPr>
          <w:rFonts w:eastAsia="Times New Roman" w:cs="Times New Roman"/>
          <w:szCs w:val="24"/>
          <w:lang w:val="en-IN" w:eastAsia="en-IN"/>
        </w:rPr>
      </w:pPr>
      <w:r w:rsidRPr="005A294D">
        <w:rPr>
          <w:rFonts w:eastAsia="Times New Roman" w:cs="Times New Roman"/>
          <w:szCs w:val="24"/>
          <w:lang w:val="en-IN" w:eastAsia="en-IN"/>
        </w:rPr>
        <w:t xml:space="preserve">Sectors classified as “Stars” (high market potential, high sustainability) will be those with both high normalized growth/share and </w:t>
      </w:r>
      <w:proofErr w:type="spellStart"/>
      <w:r w:rsidRPr="005A294D">
        <w:rPr>
          <w:rFonts w:eastAsia="Times New Roman" w:cs="Times New Roman"/>
          <w:szCs w:val="24"/>
          <w:lang w:val="en-IN" w:eastAsia="en-IN"/>
        </w:rPr>
        <w:t>favorable</w:t>
      </w:r>
      <w:proofErr w:type="spellEnd"/>
      <w:r w:rsidRPr="005A294D">
        <w:rPr>
          <w:rFonts w:eastAsia="Times New Roman" w:cs="Times New Roman"/>
          <w:szCs w:val="24"/>
          <w:lang w:val="en-IN" w:eastAsia="en-IN"/>
        </w:rPr>
        <w:t xml:space="preserve"> scores across economic, social, and environmental dimensions, whereas “Dogs” will exhibit low performance on both axes.</w:t>
      </w:r>
    </w:p>
    <w:p w14:paraId="6537F218" w14:textId="4F7270D5" w:rsidR="005A294D" w:rsidRPr="005A294D" w:rsidRDefault="005A294D" w:rsidP="005A294D">
      <w:pPr>
        <w:pStyle w:val="ListParagraph"/>
        <w:numPr>
          <w:ilvl w:val="0"/>
          <w:numId w:val="36"/>
        </w:numPr>
        <w:spacing w:before="100" w:beforeAutospacing="1" w:after="0" w:afterAutospacing="1" w:line="480" w:lineRule="auto"/>
        <w:jc w:val="both"/>
        <w:rPr>
          <w:rFonts w:eastAsia="Times New Roman" w:cs="Times New Roman"/>
          <w:szCs w:val="24"/>
          <w:lang w:val="en-IN" w:eastAsia="en-IN"/>
        </w:rPr>
      </w:pPr>
      <w:r w:rsidRPr="005A294D">
        <w:rPr>
          <w:rFonts w:eastAsia="Times New Roman" w:cs="Times New Roman"/>
          <w:szCs w:val="24"/>
          <w:lang w:val="en-IN" w:eastAsia="en-IN"/>
        </w:rPr>
        <w:t>These are derived from recent evidence that sectoral dynamics critically shape the relationship between economic growth and sustainability outcomes</w:t>
      </w:r>
    </w:p>
    <w:p w14:paraId="64E5494B" w14:textId="77777777" w:rsidR="007004C6" w:rsidRPr="00E0069F" w:rsidRDefault="007004C6" w:rsidP="00041364">
      <w:pPr>
        <w:spacing w:before="100" w:beforeAutospacing="1" w:after="0" w:afterAutospacing="1" w:line="480" w:lineRule="auto"/>
        <w:ind w:firstLine="720"/>
        <w:rPr>
          <w:rFonts w:eastAsia="Times New Roman" w:cs="Times New Roman"/>
          <w:szCs w:val="24"/>
          <w:lang w:val="en-IN" w:eastAsia="en-IN"/>
        </w:rPr>
      </w:pPr>
    </w:p>
    <w:p w14:paraId="01A4202D" w14:textId="77777777"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 xml:space="preserve">4. </w:t>
      </w:r>
      <w:r w:rsidRPr="008B1003">
        <w:rPr>
          <w:rFonts w:eastAsia="inter" w:cs="Times New Roman"/>
          <w:color w:val="000000"/>
          <w:szCs w:val="28"/>
        </w:rPr>
        <w:t>Conceptual Framework</w:t>
      </w:r>
    </w:p>
    <w:p w14:paraId="10730384"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BCG Matrix Dimensions:</w:t>
      </w:r>
    </w:p>
    <w:p w14:paraId="275A9607"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iCs/>
          <w:color w:val="000000"/>
          <w:szCs w:val="24"/>
        </w:rPr>
        <w:t>Market Growth Rate</w:t>
      </w:r>
      <w:r w:rsidRPr="00550956">
        <w:rPr>
          <w:rFonts w:eastAsia="inter" w:cs="Times New Roman"/>
          <w:color w:val="000000"/>
          <w:szCs w:val="24"/>
        </w:rPr>
        <w:t>: Future growth potential (CAGR of sectoral GVA).</w:t>
      </w:r>
    </w:p>
    <w:p w14:paraId="593A5CED"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iCs/>
          <w:color w:val="000000"/>
          <w:szCs w:val="24"/>
        </w:rPr>
        <w:t>Relative Market Share</w:t>
      </w:r>
      <w:r w:rsidRPr="00550956">
        <w:rPr>
          <w:rFonts w:eastAsia="inter" w:cs="Times New Roman"/>
          <w:color w:val="000000"/>
          <w:szCs w:val="24"/>
        </w:rPr>
        <w:t>: Current performance, here proxied by sustainability performance.</w:t>
      </w:r>
    </w:p>
    <w:p w14:paraId="2F0BD225"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SEDA Framework Dimensions:</w:t>
      </w:r>
    </w:p>
    <w:p w14:paraId="73898FBC"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Economic (employment, productivity)</w:t>
      </w:r>
    </w:p>
    <w:p w14:paraId="7F5C054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Social (access to services, health, education)</w:t>
      </w:r>
    </w:p>
    <w:p w14:paraId="08433084"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Environmental (emissions, energy use)</w:t>
      </w:r>
    </w:p>
    <w:p w14:paraId="14A8E297" w14:textId="77777777" w:rsidR="00825724" w:rsidRPr="00550956" w:rsidRDefault="002A50FF" w:rsidP="00041364">
      <w:pPr>
        <w:numPr>
          <w:ilvl w:val="0"/>
          <w:numId w:val="2"/>
        </w:numPr>
        <w:spacing w:before="105" w:after="0" w:line="480" w:lineRule="auto"/>
        <w:ind w:left="0" w:firstLine="720"/>
        <w:jc w:val="both"/>
        <w:rPr>
          <w:rFonts w:cs="Times New Roman"/>
          <w:szCs w:val="24"/>
        </w:rPr>
      </w:pPr>
      <w:r w:rsidRPr="00550956">
        <w:rPr>
          <w:rFonts w:eastAsia="inter" w:cs="Times New Roman"/>
          <w:b/>
          <w:color w:val="000000"/>
          <w:szCs w:val="24"/>
        </w:rPr>
        <w:t>Integration Approach:</w:t>
      </w:r>
    </w:p>
    <w:p w14:paraId="2E097BE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SEDA scores represent sectoral sustainability performance.</w:t>
      </w:r>
    </w:p>
    <w:p w14:paraId="3CE2CD25" w14:textId="77777777" w:rsidR="00825724" w:rsidRPr="00550956" w:rsidRDefault="002A50FF" w:rsidP="00041364">
      <w:pPr>
        <w:numPr>
          <w:ilvl w:val="1"/>
          <w:numId w:val="2"/>
        </w:numPr>
        <w:spacing w:before="105" w:after="0" w:line="480" w:lineRule="auto"/>
        <w:ind w:left="0" w:firstLine="720"/>
        <w:jc w:val="both"/>
        <w:rPr>
          <w:rFonts w:cs="Times New Roman"/>
          <w:szCs w:val="24"/>
        </w:rPr>
      </w:pPr>
      <w:r w:rsidRPr="00550956">
        <w:rPr>
          <w:rFonts w:eastAsia="inter" w:cs="Times New Roman"/>
          <w:color w:val="000000"/>
          <w:szCs w:val="24"/>
        </w:rPr>
        <w:t>Economic data (GVA, CAGR) reflect growth potential and market share.</w:t>
      </w:r>
    </w:p>
    <w:p w14:paraId="63E4CCD2" w14:textId="7110BFD9" w:rsidR="00825724" w:rsidRPr="00550956" w:rsidRDefault="00C62E0C" w:rsidP="00041364">
      <w:pPr>
        <w:spacing w:before="210" w:after="0" w:line="480" w:lineRule="auto"/>
        <w:ind w:firstLine="720"/>
        <w:jc w:val="both"/>
        <w:rPr>
          <w:rFonts w:cs="Times New Roman"/>
          <w:b/>
          <w:bCs/>
          <w:noProof/>
          <w:szCs w:val="24"/>
        </w:rPr>
      </w:pPr>
      <w:r>
        <w:rPr>
          <w:rFonts w:cs="Times New Roman"/>
          <w:b/>
          <w:bCs/>
          <w:noProof/>
          <w:szCs w:val="24"/>
        </w:rPr>
        <w:t xml:space="preserve">Chart-1 : </w:t>
      </w:r>
      <w:r w:rsidR="00497DDD" w:rsidRPr="00550956">
        <w:rPr>
          <w:rFonts w:cs="Times New Roman"/>
          <w:b/>
          <w:bCs/>
          <w:noProof/>
          <w:szCs w:val="24"/>
        </w:rPr>
        <w:t xml:space="preserve">Integration of </w:t>
      </w:r>
      <w:r w:rsidR="0003406C" w:rsidRPr="00550956">
        <w:rPr>
          <w:rFonts w:cs="Times New Roman"/>
          <w:b/>
          <w:bCs/>
          <w:noProof/>
          <w:szCs w:val="24"/>
        </w:rPr>
        <w:t xml:space="preserve"> SEDA into the BCG Matrix</w:t>
      </w:r>
    </w:p>
    <w:tbl>
      <w:tblPr>
        <w:tblStyle w:val="TableGrid"/>
        <w:tblW w:w="0" w:type="auto"/>
        <w:jc w:val="center"/>
        <w:tblLook w:val="04A0" w:firstRow="1" w:lastRow="0" w:firstColumn="1" w:lastColumn="0" w:noHBand="0" w:noVBand="1"/>
      </w:tblPr>
      <w:tblGrid>
        <w:gridCol w:w="4750"/>
        <w:gridCol w:w="4750"/>
      </w:tblGrid>
      <w:tr w:rsidR="00800371" w:rsidRPr="00550956" w14:paraId="65D72FD4" w14:textId="77777777" w:rsidTr="00800371">
        <w:trPr>
          <w:jc w:val="center"/>
        </w:trPr>
        <w:tc>
          <w:tcPr>
            <w:tcW w:w="4750" w:type="dxa"/>
          </w:tcPr>
          <w:p w14:paraId="54F738F7" w14:textId="37F72A88"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Traditional BCG matrix</w:t>
            </w:r>
          </w:p>
        </w:tc>
        <w:tc>
          <w:tcPr>
            <w:tcW w:w="4750" w:type="dxa"/>
          </w:tcPr>
          <w:p w14:paraId="25A1E2C8" w14:textId="77777777" w:rsidR="00800371" w:rsidRPr="00550956" w:rsidRDefault="00800371" w:rsidP="00041364">
            <w:pPr>
              <w:spacing w:before="210" w:line="360" w:lineRule="auto"/>
              <w:jc w:val="center"/>
              <w:rPr>
                <w:rFonts w:cs="Times New Roman"/>
                <w:b/>
                <w:bCs/>
                <w:szCs w:val="24"/>
                <w:lang w:val="en-IN"/>
              </w:rPr>
            </w:pPr>
            <w:r w:rsidRPr="00550956">
              <w:rPr>
                <w:rFonts w:cs="Times New Roman"/>
                <w:b/>
                <w:bCs/>
                <w:sz w:val="20"/>
                <w:szCs w:val="24"/>
                <w:lang w:val="en-IN"/>
              </w:rPr>
              <w:t>Modified BCG Matrix for Sectoral Sustainability Prioritization</w:t>
            </w:r>
          </w:p>
          <w:p w14:paraId="2B5137D2" w14:textId="77777777" w:rsidR="00800371" w:rsidRPr="00550956" w:rsidRDefault="00800371" w:rsidP="00041364">
            <w:pPr>
              <w:spacing w:before="210" w:line="360" w:lineRule="auto"/>
              <w:jc w:val="center"/>
              <w:rPr>
                <w:rFonts w:cs="Times New Roman"/>
                <w:b/>
                <w:bCs/>
                <w:noProof/>
                <w:szCs w:val="24"/>
                <w:lang w:val="en-IN"/>
              </w:rPr>
            </w:pPr>
          </w:p>
        </w:tc>
      </w:tr>
      <w:tr w:rsidR="00800371" w:rsidRPr="00550956" w14:paraId="1C4805F7" w14:textId="77777777" w:rsidTr="00800371">
        <w:trPr>
          <w:jc w:val="center"/>
        </w:trPr>
        <w:tc>
          <w:tcPr>
            <w:tcW w:w="4750" w:type="dxa"/>
          </w:tcPr>
          <w:p w14:paraId="0B52CF3B" w14:textId="5170B1B8"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X-Axis- Relative Market Share</w:t>
            </w:r>
          </w:p>
        </w:tc>
        <w:tc>
          <w:tcPr>
            <w:tcW w:w="4750" w:type="dxa"/>
          </w:tcPr>
          <w:p w14:paraId="02E4BD8A" w14:textId="4C3372A2"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X-Axis-</w:t>
            </w:r>
            <w:r w:rsidR="001268B5" w:rsidRPr="00550956">
              <w:rPr>
                <w:rFonts w:cs="Times New Roman"/>
                <w:b/>
                <w:bCs/>
                <w:sz w:val="20"/>
                <w:szCs w:val="24"/>
                <w:lang w:val="en-IN"/>
              </w:rPr>
              <w:t xml:space="preserve"> Composite Sustainability Score (SEDA) </w:t>
            </w:r>
            <w:r w:rsidR="001268B5" w:rsidRPr="00550956">
              <w:rPr>
                <w:rFonts w:cs="Times New Roman"/>
                <w:sz w:val="20"/>
                <w:szCs w:val="24"/>
                <w:lang w:val="en-IN"/>
              </w:rPr>
              <w:t>Derived from normalized and weighted economic, social, environmental indicators (SEDA framework).</w:t>
            </w:r>
          </w:p>
        </w:tc>
      </w:tr>
      <w:tr w:rsidR="00800371" w:rsidRPr="00550956" w14:paraId="716A5C5F" w14:textId="77777777" w:rsidTr="00800371">
        <w:trPr>
          <w:jc w:val="center"/>
        </w:trPr>
        <w:tc>
          <w:tcPr>
            <w:tcW w:w="4750" w:type="dxa"/>
          </w:tcPr>
          <w:p w14:paraId="12199C5E" w14:textId="4D98E74A" w:rsidR="00800371" w:rsidRPr="00550956" w:rsidRDefault="00800371" w:rsidP="00041364">
            <w:pPr>
              <w:spacing w:before="210" w:line="360" w:lineRule="auto"/>
              <w:jc w:val="center"/>
              <w:rPr>
                <w:rFonts w:cs="Times New Roman"/>
                <w:b/>
                <w:bCs/>
                <w:noProof/>
                <w:szCs w:val="24"/>
              </w:rPr>
            </w:pPr>
            <w:r w:rsidRPr="00550956">
              <w:rPr>
                <w:rFonts w:cs="Times New Roman"/>
                <w:b/>
                <w:bCs/>
                <w:noProof/>
                <w:sz w:val="20"/>
                <w:szCs w:val="24"/>
              </w:rPr>
              <w:t>Y-Axis-Market Growth Rate (CAGR)</w:t>
            </w:r>
          </w:p>
        </w:tc>
        <w:tc>
          <w:tcPr>
            <w:tcW w:w="4750" w:type="dxa"/>
          </w:tcPr>
          <w:p w14:paraId="7B907F23" w14:textId="3978D75D" w:rsidR="00800371" w:rsidRPr="00550956" w:rsidRDefault="001268B5" w:rsidP="00041364">
            <w:pPr>
              <w:spacing w:before="210" w:line="360" w:lineRule="auto"/>
              <w:jc w:val="center"/>
              <w:rPr>
                <w:rFonts w:cs="Times New Roman"/>
                <w:b/>
                <w:bCs/>
                <w:noProof/>
                <w:szCs w:val="24"/>
              </w:rPr>
            </w:pPr>
            <w:r w:rsidRPr="00550956">
              <w:rPr>
                <w:rFonts w:cs="Times New Roman"/>
                <w:b/>
                <w:bCs/>
                <w:noProof/>
                <w:sz w:val="20"/>
                <w:szCs w:val="24"/>
              </w:rPr>
              <w:t>Y-Axis-</w:t>
            </w:r>
            <w:r w:rsidRPr="00550956">
              <w:rPr>
                <w:rFonts w:cs="Times New Roman"/>
                <w:b/>
                <w:bCs/>
                <w:sz w:val="20"/>
                <w:szCs w:val="24"/>
                <w:lang w:val="en-IN"/>
              </w:rPr>
              <w:t xml:space="preserve"> Market Potential</w:t>
            </w:r>
            <w:r w:rsidRPr="00550956">
              <w:rPr>
                <w:rFonts w:cs="Times New Roman"/>
                <w:sz w:val="20"/>
                <w:szCs w:val="24"/>
                <w:lang w:val="en-IN"/>
              </w:rPr>
              <w:t xml:space="preserve"> = </w:t>
            </w:r>
            <w:proofErr w:type="spellStart"/>
            <w:proofErr w:type="gramStart"/>
            <w:r w:rsidRPr="00550956">
              <w:rPr>
                <w:rFonts w:cs="Times New Roman"/>
                <w:sz w:val="20"/>
                <w:szCs w:val="24"/>
                <w:lang w:val="en-IN"/>
              </w:rPr>
              <w:t>Avg</w:t>
            </w:r>
            <w:proofErr w:type="spellEnd"/>
            <w:r w:rsidRPr="00550956">
              <w:rPr>
                <w:rFonts w:cs="Times New Roman"/>
                <w:sz w:val="20"/>
                <w:szCs w:val="24"/>
                <w:lang w:val="en-IN"/>
              </w:rPr>
              <w:t>(</w:t>
            </w:r>
            <w:proofErr w:type="spellStart"/>
            <w:proofErr w:type="gramEnd"/>
            <w:r w:rsidRPr="00550956">
              <w:rPr>
                <w:rFonts w:cs="Times New Roman"/>
                <w:sz w:val="20"/>
                <w:szCs w:val="24"/>
                <w:lang w:val="en-IN"/>
              </w:rPr>
              <w:t>CAGR_norm</w:t>
            </w:r>
            <w:proofErr w:type="spellEnd"/>
            <w:r w:rsidRPr="00550956">
              <w:rPr>
                <w:rFonts w:cs="Times New Roman"/>
                <w:sz w:val="20"/>
                <w:szCs w:val="24"/>
                <w:lang w:val="en-IN"/>
              </w:rPr>
              <w:t xml:space="preserve">, </w:t>
            </w:r>
            <w:proofErr w:type="spellStart"/>
            <w:r w:rsidRPr="00550956">
              <w:rPr>
                <w:rFonts w:cs="Times New Roman"/>
                <w:sz w:val="20"/>
                <w:szCs w:val="24"/>
                <w:lang w:val="en-IN"/>
              </w:rPr>
              <w:t>Share_norm</w:t>
            </w:r>
            <w:proofErr w:type="spellEnd"/>
            <w:r w:rsidRPr="00550956">
              <w:rPr>
                <w:rFonts w:cs="Times New Roman"/>
                <w:sz w:val="20"/>
                <w:szCs w:val="24"/>
                <w:lang w:val="en-IN"/>
              </w:rPr>
              <w:t>) Combines long-term growth potential and current economic importance.</w:t>
            </w:r>
          </w:p>
        </w:tc>
      </w:tr>
    </w:tbl>
    <w:p w14:paraId="635CA15B" w14:textId="34ED5C79" w:rsidR="00066B84" w:rsidRPr="00066B84" w:rsidRDefault="00066B84" w:rsidP="00041364">
      <w:pPr>
        <w:spacing w:before="210" w:after="0" w:line="480" w:lineRule="auto"/>
        <w:ind w:firstLine="720"/>
        <w:jc w:val="both"/>
        <w:rPr>
          <w:rFonts w:cs="Times New Roman"/>
          <w:i/>
          <w:iCs/>
          <w:sz w:val="22"/>
          <w:lang w:val="en-IN"/>
        </w:rPr>
      </w:pPr>
      <w:r w:rsidRPr="00066B84">
        <w:rPr>
          <w:rFonts w:cs="Times New Roman"/>
          <w:i/>
          <w:iCs/>
          <w:sz w:val="22"/>
          <w:lang w:val="en-IN"/>
        </w:rPr>
        <w:t>Source: Author’s Compilation</w:t>
      </w:r>
    </w:p>
    <w:p w14:paraId="22DC4911" w14:textId="0EA62BF1" w:rsidR="004875AE" w:rsidRPr="00550956" w:rsidRDefault="004875AE" w:rsidP="00041364">
      <w:pPr>
        <w:spacing w:before="210" w:after="0" w:line="480" w:lineRule="auto"/>
        <w:ind w:firstLine="720"/>
        <w:jc w:val="both"/>
        <w:rPr>
          <w:rFonts w:cs="Times New Roman"/>
          <w:b/>
          <w:bCs/>
          <w:szCs w:val="24"/>
          <w:lang w:val="en-IN"/>
        </w:rPr>
      </w:pPr>
      <w:r w:rsidRPr="00550956">
        <w:rPr>
          <w:rFonts w:cs="Times New Roman"/>
          <w:b/>
          <w:bCs/>
          <w:szCs w:val="24"/>
          <w:lang w:val="en-IN"/>
        </w:rPr>
        <w:t xml:space="preserve">Mapping Process </w:t>
      </w:r>
    </w:p>
    <w:p w14:paraId="77EBE817" w14:textId="7DEF8F3F"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lastRenderedPageBreak/>
        <w:t>A</w:t>
      </w:r>
      <w:r w:rsidR="004875AE" w:rsidRPr="00550956">
        <w:rPr>
          <w:rFonts w:cs="Times New Roman"/>
          <w:b/>
          <w:bCs/>
          <w:szCs w:val="24"/>
          <w:lang w:val="en-IN"/>
        </w:rPr>
        <w:t>. Calculate Sustainability Score (SEDA) for Each Sector</w:t>
      </w:r>
    </w:p>
    <w:p w14:paraId="3033AF2C"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Use economic, social, environmental indicators.</w:t>
      </w:r>
    </w:p>
    <w:p w14:paraId="49D3E55A"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Normalize each indicator (0–1 scale).</w:t>
      </w:r>
    </w:p>
    <w:p w14:paraId="61129AA4" w14:textId="1F94A974"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 xml:space="preserve">Aggregate them into a composite score </w:t>
      </w:r>
    </w:p>
    <w:p w14:paraId="21C36377" w14:textId="77777777" w:rsidR="004875AE" w:rsidRPr="00550956" w:rsidRDefault="004875AE" w:rsidP="00041364">
      <w:pPr>
        <w:numPr>
          <w:ilvl w:val="0"/>
          <w:numId w:val="23"/>
        </w:numPr>
        <w:spacing w:before="210" w:after="0" w:line="480" w:lineRule="auto"/>
        <w:ind w:left="0" w:firstLine="720"/>
        <w:jc w:val="both"/>
        <w:rPr>
          <w:rFonts w:cs="Times New Roman"/>
          <w:szCs w:val="24"/>
          <w:lang w:val="en-IN"/>
        </w:rPr>
      </w:pPr>
      <w:r w:rsidRPr="00550956">
        <w:rPr>
          <w:rFonts w:cs="Times New Roman"/>
          <w:szCs w:val="24"/>
          <w:lang w:val="en-IN"/>
        </w:rPr>
        <w:t xml:space="preserve">Use as the </w:t>
      </w:r>
      <w:r w:rsidRPr="00066B84">
        <w:rPr>
          <w:rFonts w:cs="Times New Roman"/>
          <w:szCs w:val="24"/>
          <w:lang w:val="en-IN"/>
        </w:rPr>
        <w:t>X-axis coordinate</w:t>
      </w:r>
      <w:r w:rsidRPr="00550956">
        <w:rPr>
          <w:rFonts w:cs="Times New Roman"/>
          <w:szCs w:val="24"/>
          <w:lang w:val="en-IN"/>
        </w:rPr>
        <w:t>.</w:t>
      </w:r>
    </w:p>
    <w:p w14:paraId="5FCB968F" w14:textId="34C76231"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t>B</w:t>
      </w:r>
      <w:r w:rsidR="004875AE" w:rsidRPr="00550956">
        <w:rPr>
          <w:rFonts w:cs="Times New Roman"/>
          <w:b/>
          <w:bCs/>
          <w:szCs w:val="24"/>
          <w:lang w:val="en-IN"/>
        </w:rPr>
        <w:t>. Calculate Market Potential</w:t>
      </w:r>
    </w:p>
    <w:p w14:paraId="205BCCFC"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Compute 10-year CAGR for each sector’s GVA.</w:t>
      </w:r>
    </w:p>
    <w:p w14:paraId="7CD39BA3"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Determine current sectoral GVA share in the economy.</w:t>
      </w:r>
    </w:p>
    <w:p w14:paraId="5D06AFFA"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Normalize both metrics (min-max scaling).</w:t>
      </w:r>
    </w:p>
    <w:p w14:paraId="6499FC16" w14:textId="77777777" w:rsidR="004875AE" w:rsidRPr="00550956" w:rsidRDefault="004875AE" w:rsidP="00041364">
      <w:pPr>
        <w:numPr>
          <w:ilvl w:val="0"/>
          <w:numId w:val="24"/>
        </w:numPr>
        <w:spacing w:before="210" w:after="0" w:line="480" w:lineRule="auto"/>
        <w:ind w:left="0" w:firstLine="720"/>
        <w:jc w:val="both"/>
        <w:rPr>
          <w:rFonts w:cs="Times New Roman"/>
          <w:szCs w:val="24"/>
          <w:lang w:val="en-IN"/>
        </w:rPr>
      </w:pPr>
      <w:r w:rsidRPr="00550956">
        <w:rPr>
          <w:rFonts w:cs="Times New Roman"/>
          <w:szCs w:val="24"/>
          <w:lang w:val="en-IN"/>
        </w:rPr>
        <w:t>Average them:</w:t>
      </w:r>
    </w:p>
    <w:p w14:paraId="503C4D7D" w14:textId="480EBBE0" w:rsidR="009F0518" w:rsidRPr="00550956" w:rsidRDefault="004875AE" w:rsidP="00041364">
      <w:pPr>
        <w:spacing w:before="210" w:after="0" w:line="480" w:lineRule="auto"/>
        <w:ind w:firstLine="720"/>
        <w:jc w:val="both"/>
        <w:rPr>
          <w:rFonts w:cs="Times New Roman"/>
          <w:szCs w:val="24"/>
          <w:lang w:val="en-IN"/>
        </w:rPr>
      </w:pPr>
      <w:r w:rsidRPr="00550956">
        <w:rPr>
          <w:rFonts w:cs="Times New Roman"/>
          <w:szCs w:val="24"/>
          <w:lang w:val="en-IN"/>
        </w:rPr>
        <w:t>Market Potential=</w:t>
      </w:r>
      <w:proofErr w:type="spellStart"/>
      <w:r w:rsidR="009F0518" w:rsidRPr="00550956">
        <w:rPr>
          <w:rFonts w:cs="Times New Roman"/>
          <w:szCs w:val="24"/>
          <w:lang w:val="en-IN"/>
        </w:rPr>
        <w:t>CAGR</w:t>
      </w:r>
      <w:r w:rsidR="009F0518" w:rsidRPr="00550956">
        <w:rPr>
          <w:rFonts w:cs="Times New Roman"/>
          <w:szCs w:val="24"/>
          <w:vertAlign w:val="subscript"/>
          <w:lang w:val="en-IN"/>
        </w:rPr>
        <w:t>norm</w:t>
      </w:r>
      <w:proofErr w:type="spellEnd"/>
      <w:r w:rsidR="009F0518" w:rsidRPr="00550956">
        <w:rPr>
          <w:rFonts w:cs="Times New Roman"/>
          <w:szCs w:val="24"/>
          <w:vertAlign w:val="subscript"/>
          <w:lang w:val="en-IN"/>
        </w:rPr>
        <w:t xml:space="preserve"> +</w:t>
      </w:r>
      <w:r w:rsidR="009F0518" w:rsidRPr="00550956">
        <w:rPr>
          <w:rFonts w:cs="Times New Roman"/>
          <w:szCs w:val="24"/>
          <w:lang w:val="en-IN"/>
        </w:rPr>
        <w:t xml:space="preserve"> </w:t>
      </w:r>
      <w:proofErr w:type="spellStart"/>
      <w:r w:rsidR="009F0518" w:rsidRPr="00550956">
        <w:rPr>
          <w:rFonts w:cs="Times New Roman"/>
          <w:szCs w:val="24"/>
          <w:lang w:val="en-IN"/>
        </w:rPr>
        <w:t>Share</w:t>
      </w:r>
      <w:r w:rsidR="009F0518" w:rsidRPr="00550956">
        <w:rPr>
          <w:rFonts w:cs="Times New Roman"/>
          <w:szCs w:val="24"/>
          <w:vertAlign w:val="subscript"/>
          <w:lang w:val="en-IN"/>
        </w:rPr>
        <w:t>norm</w:t>
      </w:r>
      <w:proofErr w:type="spellEnd"/>
      <w:r w:rsidR="009F0518" w:rsidRPr="00550956">
        <w:rPr>
          <w:rFonts w:cs="Times New Roman"/>
          <w:szCs w:val="24"/>
          <w:lang w:val="en-IN"/>
        </w:rPr>
        <w:t xml:space="preserve"> /2</w:t>
      </w:r>
    </w:p>
    <w:p w14:paraId="057DE9ED" w14:textId="3291D453" w:rsidR="004875AE" w:rsidRPr="00066B84" w:rsidRDefault="004875AE" w:rsidP="00041364">
      <w:pPr>
        <w:numPr>
          <w:ilvl w:val="0"/>
          <w:numId w:val="26"/>
        </w:numPr>
        <w:spacing w:before="210" w:after="0" w:line="480" w:lineRule="auto"/>
        <w:ind w:left="0" w:firstLine="720"/>
        <w:jc w:val="both"/>
        <w:rPr>
          <w:rFonts w:cs="Times New Roman"/>
          <w:szCs w:val="24"/>
          <w:lang w:val="en-IN"/>
        </w:rPr>
      </w:pPr>
      <w:r w:rsidRPr="00550956">
        <w:rPr>
          <w:rFonts w:cs="Times New Roman"/>
          <w:szCs w:val="24"/>
          <w:lang w:val="en-IN"/>
        </w:rPr>
        <w:t xml:space="preserve">Use as the </w:t>
      </w:r>
      <w:r w:rsidRPr="00066B84">
        <w:rPr>
          <w:rFonts w:cs="Times New Roman"/>
          <w:szCs w:val="24"/>
          <w:lang w:val="en-IN"/>
        </w:rPr>
        <w:t>Y-axis coordinate.</w:t>
      </w:r>
    </w:p>
    <w:p w14:paraId="4A83D801" w14:textId="300F2220" w:rsidR="004875AE" w:rsidRPr="00550956" w:rsidRDefault="00066B84" w:rsidP="00041364">
      <w:pPr>
        <w:spacing w:before="210" w:after="0" w:line="480" w:lineRule="auto"/>
        <w:ind w:firstLine="720"/>
        <w:jc w:val="both"/>
        <w:rPr>
          <w:rFonts w:cs="Times New Roman"/>
          <w:b/>
          <w:bCs/>
          <w:szCs w:val="24"/>
          <w:lang w:val="en-IN"/>
        </w:rPr>
      </w:pPr>
      <w:r>
        <w:rPr>
          <w:rFonts w:cs="Times New Roman"/>
          <w:b/>
          <w:bCs/>
          <w:szCs w:val="24"/>
          <w:lang w:val="en-IN"/>
        </w:rPr>
        <w:t>C</w:t>
      </w:r>
      <w:r w:rsidR="004875AE" w:rsidRPr="00550956">
        <w:rPr>
          <w:rFonts w:cs="Times New Roman"/>
          <w:b/>
          <w:bCs/>
          <w:szCs w:val="24"/>
          <w:lang w:val="en-IN"/>
        </w:rPr>
        <w:t>. Plot Each Sector on 2x2 Matrix</w:t>
      </w:r>
    </w:p>
    <w:p w14:paraId="3F0283F5" w14:textId="4C847F2F" w:rsidR="004875AE" w:rsidRPr="00550956" w:rsidRDefault="004875AE" w:rsidP="00041364">
      <w:pPr>
        <w:numPr>
          <w:ilvl w:val="0"/>
          <w:numId w:val="25"/>
        </w:numPr>
        <w:spacing w:before="210" w:after="0" w:line="480" w:lineRule="auto"/>
        <w:ind w:left="0" w:firstLine="720"/>
        <w:jc w:val="both"/>
        <w:rPr>
          <w:rFonts w:cs="Times New Roman"/>
          <w:szCs w:val="24"/>
          <w:lang w:val="en-IN"/>
        </w:rPr>
      </w:pPr>
      <w:r w:rsidRPr="00550956">
        <w:rPr>
          <w:rFonts w:cs="Times New Roman"/>
          <w:szCs w:val="24"/>
          <w:lang w:val="en-IN"/>
        </w:rPr>
        <w:t>Use thresholds (medians) to divide high/low sustainability and high/low market potential.</w:t>
      </w:r>
    </w:p>
    <w:p w14:paraId="5E8D243F" w14:textId="77777777" w:rsidR="0003406C" w:rsidRPr="00550956" w:rsidRDefault="0003406C" w:rsidP="00041364">
      <w:pPr>
        <w:spacing w:before="210" w:after="0" w:line="480" w:lineRule="auto"/>
        <w:ind w:firstLine="720"/>
        <w:jc w:val="both"/>
        <w:rPr>
          <w:rFonts w:cs="Times New Roman"/>
          <w:szCs w:val="24"/>
          <w:lang w:val="en-IN"/>
        </w:rPr>
      </w:pPr>
    </w:p>
    <w:p w14:paraId="67B46159" w14:textId="77777777" w:rsidR="00825724" w:rsidRPr="00C45EA6" w:rsidRDefault="002A50FF" w:rsidP="00041364">
      <w:pPr>
        <w:spacing w:before="315" w:after="0" w:line="480" w:lineRule="auto"/>
        <w:ind w:firstLine="720"/>
        <w:jc w:val="both"/>
        <w:rPr>
          <w:rFonts w:cs="Times New Roman"/>
          <w:szCs w:val="28"/>
        </w:rPr>
      </w:pPr>
      <w:r w:rsidRPr="00550956">
        <w:rPr>
          <w:rFonts w:eastAsia="inter" w:cs="Times New Roman"/>
          <w:color w:val="000000"/>
          <w:szCs w:val="24"/>
        </w:rPr>
        <w:t xml:space="preserve">5. </w:t>
      </w:r>
      <w:r w:rsidRPr="00C45EA6">
        <w:rPr>
          <w:rFonts w:eastAsia="inter" w:cs="Times New Roman"/>
          <w:color w:val="000000"/>
          <w:szCs w:val="28"/>
        </w:rPr>
        <w:t>Data and Methodology</w:t>
      </w:r>
    </w:p>
    <w:p w14:paraId="0E0772B8" w14:textId="27B0A903" w:rsidR="00825724" w:rsidRPr="00550956" w:rsidRDefault="002A50FF" w:rsidP="00041364">
      <w:pPr>
        <w:spacing w:before="315" w:after="0" w:line="480" w:lineRule="auto"/>
        <w:ind w:firstLine="720"/>
        <w:jc w:val="both"/>
        <w:rPr>
          <w:rFonts w:cs="Times New Roman"/>
          <w:szCs w:val="24"/>
        </w:rPr>
      </w:pPr>
      <w:r w:rsidRPr="00550956">
        <w:rPr>
          <w:rFonts w:eastAsia="inter" w:cs="Times New Roman"/>
          <w:b/>
          <w:color w:val="000000"/>
          <w:szCs w:val="24"/>
        </w:rPr>
        <w:t xml:space="preserve"> Sector Selection</w:t>
      </w:r>
    </w:p>
    <w:p w14:paraId="4EC8B916" w14:textId="5B4BC512" w:rsidR="00A75A7C" w:rsidRPr="00550956" w:rsidRDefault="00A75A7C" w:rsidP="00041364">
      <w:pPr>
        <w:spacing w:after="0" w:line="480" w:lineRule="auto"/>
        <w:ind w:firstLine="720"/>
        <w:jc w:val="both"/>
        <w:rPr>
          <w:rFonts w:cs="Times New Roman"/>
          <w:szCs w:val="24"/>
        </w:rPr>
      </w:pPr>
      <w:r w:rsidRPr="00550956">
        <w:rPr>
          <w:rFonts w:cs="Times New Roman"/>
          <w:szCs w:val="24"/>
        </w:rPr>
        <w:t xml:space="preserve"> </w:t>
      </w:r>
    </w:p>
    <w:p w14:paraId="68EFEC76" w14:textId="6D8D1000" w:rsidR="00D7756A" w:rsidRPr="00550956" w:rsidRDefault="00AD2421" w:rsidP="00041364">
      <w:pPr>
        <w:spacing w:before="105" w:after="0" w:line="480" w:lineRule="auto"/>
        <w:ind w:firstLine="720"/>
        <w:jc w:val="both"/>
        <w:rPr>
          <w:rFonts w:cs="Times New Roman"/>
          <w:szCs w:val="24"/>
        </w:rPr>
      </w:pPr>
      <w:r w:rsidRPr="00550956">
        <w:rPr>
          <w:rFonts w:cs="Times New Roman"/>
          <w:szCs w:val="24"/>
        </w:rPr>
        <w:lastRenderedPageBreak/>
        <w:t>Six key</w:t>
      </w:r>
      <w:r w:rsidR="00D7756A" w:rsidRPr="00550956">
        <w:rPr>
          <w:rFonts w:cs="Times New Roman"/>
          <w:szCs w:val="24"/>
        </w:rPr>
        <w:t xml:space="preserve"> sectors </w:t>
      </w:r>
      <w:r w:rsidRPr="00550956">
        <w:rPr>
          <w:rFonts w:cs="Times New Roman"/>
          <w:szCs w:val="24"/>
        </w:rPr>
        <w:t xml:space="preserve">were identified </w:t>
      </w:r>
      <w:r w:rsidR="00D7756A" w:rsidRPr="00550956">
        <w:rPr>
          <w:rFonts w:cs="Times New Roman"/>
          <w:szCs w:val="24"/>
        </w:rPr>
        <w:t xml:space="preserve">that are both critical to India's sustainable development and have available data for analysis. This involves evaluating each sector's contribution to the economy and its growth </w:t>
      </w:r>
      <w:r w:rsidR="006C70DC" w:rsidRPr="00550956">
        <w:rPr>
          <w:rFonts w:cs="Times New Roman"/>
          <w:szCs w:val="24"/>
        </w:rPr>
        <w:t>trajectory as explained in the criteria below.</w:t>
      </w:r>
      <w:r w:rsidR="00B37B77" w:rsidRPr="00550956">
        <w:rPr>
          <w:rFonts w:cs="Times New Roman"/>
          <w:szCs w:val="24"/>
        </w:rPr>
        <w:t xml:space="preserve"> </w:t>
      </w:r>
    </w:p>
    <w:p w14:paraId="574F64ED" w14:textId="77777777" w:rsidR="00043B4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t>Economically significant</w:t>
      </w:r>
      <w:r w:rsidRPr="00550956">
        <w:rPr>
          <w:rFonts w:cs="Times New Roman"/>
          <w:szCs w:val="24"/>
        </w:rPr>
        <w:t>: High contribution to Gross Value Added (GVA).</w:t>
      </w:r>
    </w:p>
    <w:p w14:paraId="1BDFADD1" w14:textId="77777777" w:rsidR="00043B4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t>Growth-oriented</w:t>
      </w:r>
      <w:r w:rsidRPr="00550956">
        <w:rPr>
          <w:rFonts w:cs="Times New Roman"/>
          <w:szCs w:val="24"/>
        </w:rPr>
        <w:t>: Demonstrating robust Compound Annual Growth Rate (CAGR).</w:t>
      </w:r>
    </w:p>
    <w:p w14:paraId="2C039E15" w14:textId="79FDB462" w:rsidR="00825724" w:rsidRPr="00550956" w:rsidRDefault="00043B44" w:rsidP="00041364">
      <w:pPr>
        <w:numPr>
          <w:ilvl w:val="0"/>
          <w:numId w:val="3"/>
        </w:numPr>
        <w:spacing w:after="0" w:line="480" w:lineRule="auto"/>
        <w:ind w:left="0" w:firstLine="720"/>
        <w:jc w:val="both"/>
        <w:rPr>
          <w:rFonts w:cs="Times New Roman"/>
          <w:szCs w:val="24"/>
        </w:rPr>
      </w:pPr>
      <w:r w:rsidRPr="00550956">
        <w:rPr>
          <w:rFonts w:cs="Times New Roman"/>
          <w:b/>
          <w:bCs/>
          <w:szCs w:val="24"/>
        </w:rPr>
        <w:t>Sustainability-relevant</w:t>
      </w:r>
      <w:r w:rsidRPr="00550956">
        <w:rPr>
          <w:rFonts w:cs="Times New Roman"/>
          <w:szCs w:val="24"/>
        </w:rPr>
        <w:t>: Impactful in terms of environmental and social parameters.</w:t>
      </w:r>
    </w:p>
    <w:p w14:paraId="18F8628B" w14:textId="1D184FB7" w:rsidR="00B37B77" w:rsidRPr="00550956" w:rsidRDefault="00B37B77" w:rsidP="00041364">
      <w:pPr>
        <w:spacing w:before="105" w:after="0" w:line="480" w:lineRule="auto"/>
        <w:ind w:firstLine="720"/>
        <w:jc w:val="both"/>
        <w:rPr>
          <w:rFonts w:cs="Times New Roman"/>
          <w:szCs w:val="24"/>
        </w:rPr>
      </w:pPr>
      <w:r w:rsidRPr="00550956">
        <w:rPr>
          <w:rFonts w:cs="Times New Roman"/>
          <w:szCs w:val="24"/>
        </w:rPr>
        <w:t>The six selected sectors</w:t>
      </w:r>
      <w:r w:rsidR="001715B3">
        <w:rPr>
          <w:rFonts w:cs="Times New Roman"/>
          <w:szCs w:val="24"/>
        </w:rPr>
        <w:t xml:space="preserve"> namely </w:t>
      </w:r>
      <w:r w:rsidRPr="00550956">
        <w:rPr>
          <w:rFonts w:cs="Times New Roman"/>
          <w:szCs w:val="24"/>
        </w:rPr>
        <w:t>Agriculture, Manufacturing, Construction, Trade &amp; Transport, Financial Services, and Public Administration</w:t>
      </w:r>
      <w:r w:rsidR="001715B3">
        <w:rPr>
          <w:rFonts w:cs="Times New Roman"/>
          <w:szCs w:val="24"/>
        </w:rPr>
        <w:t xml:space="preserve"> </w:t>
      </w:r>
      <w:r w:rsidRPr="00550956">
        <w:rPr>
          <w:rFonts w:cs="Times New Roman"/>
          <w:szCs w:val="24"/>
        </w:rPr>
        <w:t xml:space="preserve">are defined and classified according to standard </w:t>
      </w:r>
      <w:r w:rsidR="001715B3">
        <w:rPr>
          <w:rFonts w:cs="Times New Roman"/>
          <w:szCs w:val="24"/>
        </w:rPr>
        <w:t>N</w:t>
      </w:r>
      <w:r w:rsidRPr="00550956">
        <w:rPr>
          <w:rFonts w:cs="Times New Roman"/>
          <w:szCs w:val="24"/>
        </w:rPr>
        <w:t xml:space="preserve">ational </w:t>
      </w:r>
      <w:r w:rsidR="001715B3">
        <w:rPr>
          <w:rFonts w:cs="Times New Roman"/>
          <w:szCs w:val="24"/>
        </w:rPr>
        <w:t>A</w:t>
      </w:r>
      <w:r w:rsidRPr="00550956">
        <w:rPr>
          <w:rFonts w:cs="Times New Roman"/>
          <w:szCs w:val="24"/>
        </w:rPr>
        <w:t xml:space="preserve">ccounting </w:t>
      </w:r>
      <w:r w:rsidR="001715B3">
        <w:rPr>
          <w:rFonts w:cs="Times New Roman"/>
          <w:szCs w:val="24"/>
        </w:rPr>
        <w:t>C</w:t>
      </w:r>
      <w:r w:rsidRPr="00550956">
        <w:rPr>
          <w:rFonts w:cs="Times New Roman"/>
          <w:szCs w:val="24"/>
        </w:rPr>
        <w:t xml:space="preserve">lassifications used by the Ministry of Statistics and </w:t>
      </w:r>
      <w:proofErr w:type="spellStart"/>
      <w:r w:rsidRPr="00550956">
        <w:rPr>
          <w:rFonts w:cs="Times New Roman"/>
          <w:szCs w:val="24"/>
        </w:rPr>
        <w:t>Programme</w:t>
      </w:r>
      <w:proofErr w:type="spellEnd"/>
      <w:r w:rsidRPr="00550956">
        <w:rPr>
          <w:rFonts w:cs="Times New Roman"/>
          <w:szCs w:val="24"/>
        </w:rPr>
        <w:t xml:space="preserve"> Implementation (</w:t>
      </w:r>
      <w:proofErr w:type="spellStart"/>
      <w:r w:rsidRPr="00550956">
        <w:rPr>
          <w:rFonts w:cs="Times New Roman"/>
          <w:szCs w:val="24"/>
        </w:rPr>
        <w:t>MoSPI</w:t>
      </w:r>
      <w:proofErr w:type="spellEnd"/>
      <w:r w:rsidRPr="00550956">
        <w:rPr>
          <w:rFonts w:cs="Times New Roman"/>
          <w:szCs w:val="24"/>
        </w:rPr>
        <w:t>) in India, in line with the UN’s International Standard Industrial Classification (ISIC Rev.4).</w:t>
      </w:r>
    </w:p>
    <w:p w14:paraId="71C47639" w14:textId="77777777" w:rsidR="00B37B77" w:rsidRPr="00550956" w:rsidRDefault="00B37B77" w:rsidP="00041364">
      <w:pPr>
        <w:spacing w:after="0" w:line="480" w:lineRule="auto"/>
        <w:ind w:firstLine="720"/>
        <w:jc w:val="both"/>
        <w:rPr>
          <w:rFonts w:eastAsia="inter" w:cs="Times New Roman"/>
          <w:b/>
          <w:color w:val="000000"/>
          <w:szCs w:val="24"/>
        </w:rPr>
      </w:pPr>
    </w:p>
    <w:p w14:paraId="21D4641F" w14:textId="57ABB826" w:rsidR="00825724" w:rsidRPr="00550956" w:rsidRDefault="002A50FF" w:rsidP="00041364">
      <w:pPr>
        <w:spacing w:after="0" w:line="480" w:lineRule="auto"/>
        <w:ind w:firstLine="720"/>
        <w:jc w:val="both"/>
        <w:rPr>
          <w:rFonts w:eastAsia="inter" w:cs="Times New Roman"/>
          <w:b/>
          <w:color w:val="000000"/>
          <w:szCs w:val="24"/>
        </w:rPr>
      </w:pPr>
      <w:r w:rsidRPr="00550956">
        <w:rPr>
          <w:rFonts w:eastAsia="inter" w:cs="Times New Roman"/>
          <w:b/>
          <w:color w:val="000000"/>
          <w:szCs w:val="24"/>
        </w:rPr>
        <w:t>Table 1: Sector-wise GVA Contribution (2023-24)</w:t>
      </w:r>
      <w:r w:rsidR="004D02F5" w:rsidRPr="00550956">
        <w:rPr>
          <w:rFonts w:eastAsia="inter" w:cs="Times New Roman"/>
          <w:b/>
          <w:color w:val="000000"/>
          <w:szCs w:val="24"/>
        </w:rPr>
        <w:t xml:space="preserve"> and CAGR (2013-14 to 2023-2024)</w:t>
      </w:r>
    </w:p>
    <w:p w14:paraId="28332B95" w14:textId="77777777" w:rsidR="004D02F5" w:rsidRPr="00550956" w:rsidRDefault="004D02F5" w:rsidP="00041364">
      <w:pPr>
        <w:spacing w:after="0" w:line="480" w:lineRule="auto"/>
        <w:ind w:firstLine="720"/>
        <w:jc w:val="both"/>
        <w:rPr>
          <w:rFonts w:eastAsia="inter" w:cs="Times New Roman"/>
          <w:b/>
          <w:color w:val="000000"/>
          <w:szCs w:val="24"/>
        </w:rPr>
      </w:pPr>
    </w:p>
    <w:tbl>
      <w:tblPr>
        <w:tblStyle w:val="TableGrid"/>
        <w:tblW w:w="0" w:type="auto"/>
        <w:jc w:val="center"/>
        <w:tblLook w:val="04A0" w:firstRow="1" w:lastRow="0" w:firstColumn="1" w:lastColumn="0" w:noHBand="0" w:noVBand="1"/>
      </w:tblPr>
      <w:tblGrid>
        <w:gridCol w:w="1428"/>
        <w:gridCol w:w="2574"/>
        <w:gridCol w:w="1707"/>
        <w:gridCol w:w="2276"/>
        <w:gridCol w:w="3111"/>
      </w:tblGrid>
      <w:tr w:rsidR="006E22DC" w:rsidRPr="00550956" w14:paraId="693ADD6A" w14:textId="026E5401" w:rsidTr="00737A98">
        <w:trPr>
          <w:jc w:val="center"/>
        </w:trPr>
        <w:tc>
          <w:tcPr>
            <w:tcW w:w="1271" w:type="dxa"/>
          </w:tcPr>
          <w:p w14:paraId="014B3D09" w14:textId="12DB80DE" w:rsidR="006E22DC" w:rsidRPr="00550956" w:rsidRDefault="006E22DC" w:rsidP="00041364">
            <w:pPr>
              <w:spacing w:after="210" w:line="360" w:lineRule="auto"/>
              <w:jc w:val="center"/>
              <w:rPr>
                <w:rFonts w:cs="Times New Roman"/>
                <w:szCs w:val="24"/>
              </w:rPr>
            </w:pPr>
            <w:r w:rsidRPr="00550956">
              <w:rPr>
                <w:rFonts w:cs="Times New Roman"/>
                <w:sz w:val="20"/>
                <w:szCs w:val="24"/>
              </w:rPr>
              <w:t>Sector</w:t>
            </w:r>
          </w:p>
        </w:tc>
        <w:tc>
          <w:tcPr>
            <w:tcW w:w="2574" w:type="dxa"/>
          </w:tcPr>
          <w:p w14:paraId="3E713A77" w14:textId="09A8B7C5" w:rsidR="006E22DC" w:rsidRPr="00550956" w:rsidRDefault="006E22DC" w:rsidP="00041364">
            <w:pPr>
              <w:spacing w:after="210" w:line="360" w:lineRule="auto"/>
              <w:jc w:val="center"/>
              <w:rPr>
                <w:rFonts w:cs="Times New Roman"/>
                <w:szCs w:val="24"/>
              </w:rPr>
            </w:pPr>
            <w:r w:rsidRPr="00550956">
              <w:rPr>
                <w:rFonts w:cs="Times New Roman"/>
                <w:sz w:val="20"/>
                <w:szCs w:val="24"/>
              </w:rPr>
              <w:t xml:space="preserve">GVA </w:t>
            </w:r>
            <w:r w:rsidR="005C2E86" w:rsidRPr="00550956">
              <w:rPr>
                <w:rFonts w:cs="Times New Roman"/>
                <w:sz w:val="20"/>
                <w:szCs w:val="24"/>
              </w:rPr>
              <w:t>Contribution (</w:t>
            </w:r>
            <w:r w:rsidRPr="00550956">
              <w:rPr>
                <w:rFonts w:cs="Times New Roman"/>
                <w:sz w:val="20"/>
                <w:szCs w:val="24"/>
              </w:rPr>
              <w:t>%)</w:t>
            </w:r>
          </w:p>
        </w:tc>
        <w:tc>
          <w:tcPr>
            <w:tcW w:w="1707" w:type="dxa"/>
          </w:tcPr>
          <w:p w14:paraId="18DCC9EA" w14:textId="47EB00E8" w:rsidR="006E22DC" w:rsidRPr="00550956" w:rsidRDefault="006E22DC" w:rsidP="00041364">
            <w:pPr>
              <w:spacing w:after="210" w:line="360" w:lineRule="auto"/>
              <w:jc w:val="center"/>
              <w:rPr>
                <w:rFonts w:cs="Times New Roman"/>
                <w:szCs w:val="24"/>
              </w:rPr>
            </w:pPr>
            <w:r w:rsidRPr="00550956">
              <w:rPr>
                <w:rFonts w:cs="Times New Roman"/>
                <w:sz w:val="20"/>
                <w:szCs w:val="24"/>
              </w:rPr>
              <w:t>CAGR</w:t>
            </w:r>
          </w:p>
        </w:tc>
        <w:tc>
          <w:tcPr>
            <w:tcW w:w="0" w:type="auto"/>
          </w:tcPr>
          <w:p w14:paraId="5D996AE0" w14:textId="12775CF0" w:rsidR="006E22DC" w:rsidRPr="00550956" w:rsidRDefault="006E22DC" w:rsidP="00041364">
            <w:pPr>
              <w:spacing w:after="210" w:line="360" w:lineRule="auto"/>
              <w:jc w:val="center"/>
              <w:rPr>
                <w:rFonts w:cs="Times New Roman"/>
                <w:szCs w:val="24"/>
              </w:rPr>
            </w:pPr>
            <w:r w:rsidRPr="00550956">
              <w:rPr>
                <w:rFonts w:cs="Times New Roman"/>
                <w:sz w:val="20"/>
                <w:szCs w:val="24"/>
              </w:rPr>
              <w:t>Sustainability Concerns</w:t>
            </w:r>
          </w:p>
        </w:tc>
        <w:tc>
          <w:tcPr>
            <w:tcW w:w="0" w:type="auto"/>
          </w:tcPr>
          <w:p w14:paraId="61A5FC46" w14:textId="0A0DDFF1" w:rsidR="006E22DC" w:rsidRPr="00550956" w:rsidRDefault="006E22DC" w:rsidP="00041364">
            <w:pPr>
              <w:spacing w:after="210" w:line="360" w:lineRule="auto"/>
              <w:jc w:val="center"/>
              <w:rPr>
                <w:rFonts w:cs="Times New Roman"/>
                <w:szCs w:val="24"/>
              </w:rPr>
            </w:pPr>
            <w:r w:rsidRPr="00550956">
              <w:rPr>
                <w:rFonts w:cs="Times New Roman"/>
                <w:sz w:val="20"/>
                <w:szCs w:val="24"/>
              </w:rPr>
              <w:t>Insights</w:t>
            </w:r>
          </w:p>
        </w:tc>
      </w:tr>
      <w:tr w:rsidR="006E22DC" w:rsidRPr="00550956" w14:paraId="21037916" w14:textId="29020461" w:rsidTr="00737A98">
        <w:trPr>
          <w:jc w:val="center"/>
        </w:trPr>
        <w:tc>
          <w:tcPr>
            <w:tcW w:w="1271" w:type="dxa"/>
          </w:tcPr>
          <w:p w14:paraId="124D0952" w14:textId="53B25CBC" w:rsidR="006E22DC" w:rsidRPr="00550956" w:rsidRDefault="006E22DC" w:rsidP="00041364">
            <w:pPr>
              <w:spacing w:after="210" w:line="360" w:lineRule="auto"/>
              <w:jc w:val="center"/>
              <w:rPr>
                <w:rFonts w:cs="Times New Roman"/>
                <w:szCs w:val="24"/>
              </w:rPr>
            </w:pPr>
            <w:r w:rsidRPr="00550956">
              <w:rPr>
                <w:rFonts w:cs="Times New Roman"/>
                <w:sz w:val="20"/>
                <w:szCs w:val="24"/>
              </w:rPr>
              <w:t>Agriculture</w:t>
            </w:r>
          </w:p>
        </w:tc>
        <w:tc>
          <w:tcPr>
            <w:tcW w:w="2574" w:type="dxa"/>
          </w:tcPr>
          <w:p w14:paraId="306B5227" w14:textId="2976613A" w:rsidR="006E22DC" w:rsidRPr="00550956" w:rsidRDefault="006E22DC" w:rsidP="00041364">
            <w:pPr>
              <w:spacing w:after="210" w:line="360" w:lineRule="auto"/>
              <w:jc w:val="center"/>
              <w:rPr>
                <w:rFonts w:cs="Times New Roman"/>
                <w:szCs w:val="24"/>
              </w:rPr>
            </w:pPr>
            <w:r w:rsidRPr="00550956">
              <w:rPr>
                <w:rFonts w:cs="Times New Roman"/>
                <w:sz w:val="20"/>
                <w:szCs w:val="24"/>
              </w:rPr>
              <w:t>17.66</w:t>
            </w:r>
          </w:p>
        </w:tc>
        <w:tc>
          <w:tcPr>
            <w:tcW w:w="1707" w:type="dxa"/>
          </w:tcPr>
          <w:p w14:paraId="203B60F6" w14:textId="0F88EDB5" w:rsidR="006E22DC" w:rsidRPr="00550956" w:rsidRDefault="006E22DC" w:rsidP="00041364">
            <w:pPr>
              <w:spacing w:after="210" w:line="360" w:lineRule="auto"/>
              <w:jc w:val="center"/>
              <w:rPr>
                <w:rFonts w:cs="Times New Roman"/>
                <w:szCs w:val="24"/>
              </w:rPr>
            </w:pPr>
            <w:r w:rsidRPr="00550956">
              <w:rPr>
                <w:rFonts w:cs="Times New Roman"/>
                <w:sz w:val="20"/>
                <w:szCs w:val="24"/>
              </w:rPr>
              <w:t>10.89</w:t>
            </w:r>
          </w:p>
        </w:tc>
        <w:tc>
          <w:tcPr>
            <w:tcW w:w="0" w:type="auto"/>
          </w:tcPr>
          <w:p w14:paraId="4D6ECADD" w14:textId="69313BEE" w:rsidR="006E22DC" w:rsidRPr="00550956" w:rsidRDefault="0000561A" w:rsidP="00041364">
            <w:pPr>
              <w:spacing w:after="210" w:line="360" w:lineRule="auto"/>
              <w:jc w:val="center"/>
              <w:rPr>
                <w:rFonts w:cs="Times New Roman"/>
                <w:szCs w:val="24"/>
              </w:rPr>
            </w:pPr>
            <w:r w:rsidRPr="00550956">
              <w:rPr>
                <w:rFonts w:cs="Times New Roman"/>
                <w:sz w:val="20"/>
                <w:szCs w:val="24"/>
              </w:rPr>
              <w:t>High water use, climate vulnerability, resource inefficiency</w:t>
            </w:r>
          </w:p>
        </w:tc>
        <w:tc>
          <w:tcPr>
            <w:tcW w:w="0" w:type="auto"/>
          </w:tcPr>
          <w:p w14:paraId="2E696105" w14:textId="7F1B5B83" w:rsidR="006E22DC" w:rsidRPr="00550956" w:rsidRDefault="00737A98" w:rsidP="00041364">
            <w:pPr>
              <w:spacing w:after="210" w:line="360" w:lineRule="auto"/>
              <w:jc w:val="center"/>
              <w:rPr>
                <w:rFonts w:cs="Times New Roman"/>
                <w:szCs w:val="24"/>
              </w:rPr>
            </w:pPr>
            <w:r w:rsidRPr="00550956">
              <w:rPr>
                <w:rFonts w:cs="Times New Roman"/>
                <w:sz w:val="20"/>
                <w:szCs w:val="24"/>
              </w:rPr>
              <w:t>Critical for livelihoods and food security, but needs urgent sustainability reforms and resilience measures.</w:t>
            </w:r>
          </w:p>
        </w:tc>
      </w:tr>
      <w:tr w:rsidR="006E22DC" w:rsidRPr="00550956" w14:paraId="16A6E1A2" w14:textId="0D43FDF1" w:rsidTr="00737A98">
        <w:trPr>
          <w:jc w:val="center"/>
        </w:trPr>
        <w:tc>
          <w:tcPr>
            <w:tcW w:w="1271" w:type="dxa"/>
          </w:tcPr>
          <w:p w14:paraId="1D4911EB" w14:textId="1CE67140" w:rsidR="006E22DC" w:rsidRPr="00550956" w:rsidRDefault="006E22DC" w:rsidP="00041364">
            <w:pPr>
              <w:spacing w:after="210" w:line="360" w:lineRule="auto"/>
              <w:jc w:val="center"/>
              <w:rPr>
                <w:rFonts w:cs="Times New Roman"/>
                <w:szCs w:val="24"/>
              </w:rPr>
            </w:pPr>
            <w:r w:rsidRPr="00550956">
              <w:rPr>
                <w:rFonts w:cs="Times New Roman"/>
                <w:sz w:val="20"/>
                <w:szCs w:val="24"/>
              </w:rPr>
              <w:t>Manufacturing</w:t>
            </w:r>
          </w:p>
        </w:tc>
        <w:tc>
          <w:tcPr>
            <w:tcW w:w="2574" w:type="dxa"/>
          </w:tcPr>
          <w:p w14:paraId="17411E71" w14:textId="152FA4F1" w:rsidR="006E22DC" w:rsidRPr="00550956" w:rsidRDefault="006E22DC" w:rsidP="00041364">
            <w:pPr>
              <w:spacing w:after="210" w:line="360" w:lineRule="auto"/>
              <w:jc w:val="center"/>
              <w:rPr>
                <w:rFonts w:cs="Times New Roman"/>
                <w:szCs w:val="24"/>
              </w:rPr>
            </w:pPr>
            <w:r w:rsidRPr="00550956">
              <w:rPr>
                <w:rFonts w:cs="Times New Roman"/>
                <w:sz w:val="20"/>
                <w:szCs w:val="24"/>
              </w:rPr>
              <w:t>14.27</w:t>
            </w:r>
          </w:p>
        </w:tc>
        <w:tc>
          <w:tcPr>
            <w:tcW w:w="1707" w:type="dxa"/>
          </w:tcPr>
          <w:p w14:paraId="3839A620" w14:textId="53F57A86" w:rsidR="006E22DC" w:rsidRPr="00550956" w:rsidRDefault="006E22DC" w:rsidP="00041364">
            <w:pPr>
              <w:spacing w:after="210" w:line="360" w:lineRule="auto"/>
              <w:jc w:val="center"/>
              <w:rPr>
                <w:rFonts w:cs="Times New Roman"/>
                <w:szCs w:val="24"/>
              </w:rPr>
            </w:pPr>
            <w:r w:rsidRPr="00550956">
              <w:rPr>
                <w:rFonts w:cs="Times New Roman"/>
                <w:sz w:val="20"/>
                <w:szCs w:val="24"/>
              </w:rPr>
              <w:t>6.38</w:t>
            </w:r>
          </w:p>
        </w:tc>
        <w:tc>
          <w:tcPr>
            <w:tcW w:w="0" w:type="auto"/>
          </w:tcPr>
          <w:p w14:paraId="0471D0E2" w14:textId="4635B7C6" w:rsidR="006E22DC" w:rsidRPr="00550956" w:rsidRDefault="0000561A" w:rsidP="00041364">
            <w:pPr>
              <w:spacing w:after="210" w:line="360" w:lineRule="auto"/>
              <w:jc w:val="center"/>
              <w:rPr>
                <w:rFonts w:cs="Times New Roman"/>
                <w:szCs w:val="24"/>
              </w:rPr>
            </w:pPr>
            <w:r w:rsidRPr="00550956">
              <w:rPr>
                <w:rFonts w:cs="Times New Roman"/>
                <w:sz w:val="20"/>
                <w:szCs w:val="24"/>
              </w:rPr>
              <w:t>High energy use, emissions, industrial waste</w:t>
            </w:r>
          </w:p>
        </w:tc>
        <w:tc>
          <w:tcPr>
            <w:tcW w:w="0" w:type="auto"/>
          </w:tcPr>
          <w:p w14:paraId="1D6728C6" w14:textId="3570A479" w:rsidR="006E22DC" w:rsidRPr="00550956" w:rsidRDefault="00737A98" w:rsidP="00041364">
            <w:pPr>
              <w:spacing w:after="210" w:line="360" w:lineRule="auto"/>
              <w:jc w:val="center"/>
              <w:rPr>
                <w:rFonts w:cs="Times New Roman"/>
                <w:szCs w:val="24"/>
              </w:rPr>
            </w:pPr>
            <w:r w:rsidRPr="00550956">
              <w:rPr>
                <w:rFonts w:cs="Times New Roman"/>
                <w:sz w:val="20"/>
                <w:szCs w:val="24"/>
              </w:rPr>
              <w:t>Key economic driver; strong growth necessitates cleaner production and circular economy adoption.</w:t>
            </w:r>
          </w:p>
        </w:tc>
      </w:tr>
      <w:tr w:rsidR="006E22DC" w:rsidRPr="00550956" w14:paraId="736DBA07" w14:textId="5B6BE394" w:rsidTr="00737A98">
        <w:trPr>
          <w:jc w:val="center"/>
        </w:trPr>
        <w:tc>
          <w:tcPr>
            <w:tcW w:w="1271" w:type="dxa"/>
          </w:tcPr>
          <w:p w14:paraId="1B2ACCAF" w14:textId="065539D2" w:rsidR="006E22DC" w:rsidRPr="00550956" w:rsidRDefault="006E22DC" w:rsidP="00041364">
            <w:pPr>
              <w:spacing w:after="210" w:line="360" w:lineRule="auto"/>
              <w:jc w:val="center"/>
              <w:rPr>
                <w:rFonts w:cs="Times New Roman"/>
                <w:szCs w:val="24"/>
              </w:rPr>
            </w:pPr>
            <w:r w:rsidRPr="00550956">
              <w:rPr>
                <w:rFonts w:cs="Times New Roman"/>
                <w:sz w:val="20"/>
                <w:szCs w:val="24"/>
              </w:rPr>
              <w:t>Construction</w:t>
            </w:r>
          </w:p>
        </w:tc>
        <w:tc>
          <w:tcPr>
            <w:tcW w:w="2574" w:type="dxa"/>
          </w:tcPr>
          <w:p w14:paraId="53FB1E54" w14:textId="49AE7751" w:rsidR="006E22DC" w:rsidRPr="00550956" w:rsidRDefault="006E22DC" w:rsidP="00041364">
            <w:pPr>
              <w:spacing w:after="210" w:line="360" w:lineRule="auto"/>
              <w:jc w:val="center"/>
              <w:rPr>
                <w:rFonts w:cs="Times New Roman"/>
                <w:szCs w:val="24"/>
              </w:rPr>
            </w:pPr>
            <w:r w:rsidRPr="00550956">
              <w:rPr>
                <w:rFonts w:cs="Times New Roman"/>
                <w:sz w:val="20"/>
                <w:szCs w:val="24"/>
              </w:rPr>
              <w:t>8.91</w:t>
            </w:r>
          </w:p>
        </w:tc>
        <w:tc>
          <w:tcPr>
            <w:tcW w:w="1707" w:type="dxa"/>
          </w:tcPr>
          <w:p w14:paraId="63C764AA" w14:textId="52E2A2AD" w:rsidR="006E22DC" w:rsidRPr="00550956" w:rsidRDefault="006E22DC" w:rsidP="00041364">
            <w:pPr>
              <w:spacing w:after="210" w:line="360" w:lineRule="auto"/>
              <w:jc w:val="center"/>
              <w:rPr>
                <w:rFonts w:cs="Times New Roman"/>
                <w:szCs w:val="24"/>
              </w:rPr>
            </w:pPr>
            <w:r w:rsidRPr="00550956">
              <w:rPr>
                <w:rFonts w:cs="Times New Roman"/>
                <w:sz w:val="20"/>
                <w:szCs w:val="24"/>
              </w:rPr>
              <w:t>10.56</w:t>
            </w:r>
          </w:p>
        </w:tc>
        <w:tc>
          <w:tcPr>
            <w:tcW w:w="0" w:type="auto"/>
          </w:tcPr>
          <w:p w14:paraId="550696F5" w14:textId="220C27B1" w:rsidR="006E22DC" w:rsidRPr="00550956" w:rsidRDefault="0000561A" w:rsidP="00041364">
            <w:pPr>
              <w:spacing w:after="210" w:line="360" w:lineRule="auto"/>
              <w:jc w:val="center"/>
              <w:rPr>
                <w:rFonts w:cs="Times New Roman"/>
                <w:szCs w:val="24"/>
              </w:rPr>
            </w:pPr>
            <w:r w:rsidRPr="00550956">
              <w:rPr>
                <w:rFonts w:cs="Times New Roman"/>
                <w:sz w:val="20"/>
                <w:szCs w:val="24"/>
              </w:rPr>
              <w:t>Resource-heavy, waste generation, land degradation</w:t>
            </w:r>
          </w:p>
        </w:tc>
        <w:tc>
          <w:tcPr>
            <w:tcW w:w="0" w:type="auto"/>
          </w:tcPr>
          <w:p w14:paraId="78DA07F2" w14:textId="64DDA9B8" w:rsidR="006E22DC" w:rsidRPr="00550956" w:rsidRDefault="00737A98" w:rsidP="00041364">
            <w:pPr>
              <w:spacing w:after="210" w:line="360" w:lineRule="auto"/>
              <w:jc w:val="center"/>
              <w:rPr>
                <w:rFonts w:cs="Times New Roman"/>
                <w:szCs w:val="24"/>
              </w:rPr>
            </w:pPr>
            <w:r w:rsidRPr="00550956">
              <w:rPr>
                <w:rFonts w:cs="Times New Roman"/>
                <w:sz w:val="20"/>
                <w:szCs w:val="24"/>
              </w:rPr>
              <w:t>Urban expansion makes it a strategic sector for implementing green building and low-carbon materials.</w:t>
            </w:r>
          </w:p>
        </w:tc>
      </w:tr>
      <w:tr w:rsidR="006E22DC" w:rsidRPr="00550956" w14:paraId="7177A687" w14:textId="5FD99EAD" w:rsidTr="00737A98">
        <w:trPr>
          <w:jc w:val="center"/>
        </w:trPr>
        <w:tc>
          <w:tcPr>
            <w:tcW w:w="1271" w:type="dxa"/>
          </w:tcPr>
          <w:p w14:paraId="53868A70" w14:textId="1AE7CA3F" w:rsidR="006E22DC" w:rsidRPr="00550956" w:rsidRDefault="006E22DC" w:rsidP="00041364">
            <w:pPr>
              <w:spacing w:after="210" w:line="360" w:lineRule="auto"/>
              <w:jc w:val="center"/>
              <w:rPr>
                <w:rFonts w:cs="Times New Roman"/>
                <w:szCs w:val="24"/>
              </w:rPr>
            </w:pPr>
            <w:r w:rsidRPr="00550956">
              <w:rPr>
                <w:rFonts w:cs="Times New Roman"/>
                <w:sz w:val="20"/>
                <w:szCs w:val="24"/>
              </w:rPr>
              <w:t>Trade and Transport</w:t>
            </w:r>
          </w:p>
        </w:tc>
        <w:tc>
          <w:tcPr>
            <w:tcW w:w="2574" w:type="dxa"/>
          </w:tcPr>
          <w:p w14:paraId="6B79DA1B" w14:textId="6662B75E" w:rsidR="006E22DC" w:rsidRPr="00550956" w:rsidRDefault="006E22DC" w:rsidP="00041364">
            <w:pPr>
              <w:spacing w:after="210" w:line="360" w:lineRule="auto"/>
              <w:jc w:val="center"/>
              <w:rPr>
                <w:rFonts w:cs="Times New Roman"/>
                <w:szCs w:val="24"/>
              </w:rPr>
            </w:pPr>
            <w:r w:rsidRPr="00550956">
              <w:rPr>
                <w:rFonts w:cs="Times New Roman"/>
                <w:sz w:val="20"/>
                <w:szCs w:val="24"/>
              </w:rPr>
              <w:t>17.50</w:t>
            </w:r>
          </w:p>
        </w:tc>
        <w:tc>
          <w:tcPr>
            <w:tcW w:w="1707" w:type="dxa"/>
          </w:tcPr>
          <w:p w14:paraId="3CB11B78" w14:textId="5025BC2B" w:rsidR="006E22DC" w:rsidRPr="00550956" w:rsidRDefault="006E22DC" w:rsidP="00041364">
            <w:pPr>
              <w:spacing w:after="210" w:line="360" w:lineRule="auto"/>
              <w:jc w:val="center"/>
              <w:rPr>
                <w:rFonts w:cs="Times New Roman"/>
                <w:szCs w:val="24"/>
              </w:rPr>
            </w:pPr>
            <w:r w:rsidRPr="00550956">
              <w:rPr>
                <w:rFonts w:cs="Times New Roman"/>
                <w:sz w:val="20"/>
                <w:szCs w:val="24"/>
              </w:rPr>
              <w:t>13.17</w:t>
            </w:r>
          </w:p>
        </w:tc>
        <w:tc>
          <w:tcPr>
            <w:tcW w:w="0" w:type="auto"/>
          </w:tcPr>
          <w:p w14:paraId="3AA932E8" w14:textId="77050EC7" w:rsidR="006E22DC" w:rsidRPr="00550956" w:rsidRDefault="0000561A" w:rsidP="00041364">
            <w:pPr>
              <w:spacing w:after="210" w:line="360" w:lineRule="auto"/>
              <w:jc w:val="center"/>
              <w:rPr>
                <w:rFonts w:cs="Times New Roman"/>
                <w:szCs w:val="24"/>
              </w:rPr>
            </w:pPr>
            <w:r w:rsidRPr="00550956">
              <w:rPr>
                <w:rFonts w:cs="Times New Roman"/>
                <w:sz w:val="20"/>
                <w:szCs w:val="24"/>
              </w:rPr>
              <w:t>Fossil fuel dependence, air pollution, infrastructure strain</w:t>
            </w:r>
          </w:p>
        </w:tc>
        <w:tc>
          <w:tcPr>
            <w:tcW w:w="0" w:type="auto"/>
          </w:tcPr>
          <w:p w14:paraId="0812C2E1" w14:textId="00D465AF" w:rsidR="006E22DC" w:rsidRPr="00550956" w:rsidRDefault="00737A98" w:rsidP="00041364">
            <w:pPr>
              <w:spacing w:after="210" w:line="360" w:lineRule="auto"/>
              <w:jc w:val="center"/>
              <w:rPr>
                <w:rFonts w:cs="Times New Roman"/>
                <w:szCs w:val="24"/>
              </w:rPr>
            </w:pPr>
            <w:r w:rsidRPr="00550956">
              <w:rPr>
                <w:rFonts w:cs="Times New Roman"/>
                <w:sz w:val="20"/>
                <w:szCs w:val="24"/>
              </w:rPr>
              <w:t>Rapidly growing; needs investment in low-emission logistics and public transit systems.</w:t>
            </w:r>
          </w:p>
        </w:tc>
      </w:tr>
      <w:tr w:rsidR="006E22DC" w:rsidRPr="00550956" w14:paraId="29AE986F" w14:textId="4D329BDE" w:rsidTr="00737A98">
        <w:trPr>
          <w:jc w:val="center"/>
        </w:trPr>
        <w:tc>
          <w:tcPr>
            <w:tcW w:w="1271" w:type="dxa"/>
          </w:tcPr>
          <w:p w14:paraId="163C8461" w14:textId="2789624B" w:rsidR="006E22DC" w:rsidRPr="00550956" w:rsidRDefault="006E22DC" w:rsidP="00041364">
            <w:pPr>
              <w:spacing w:after="210" w:line="360" w:lineRule="auto"/>
              <w:jc w:val="center"/>
              <w:rPr>
                <w:rFonts w:cs="Times New Roman"/>
                <w:szCs w:val="24"/>
              </w:rPr>
            </w:pPr>
            <w:r w:rsidRPr="00550956">
              <w:rPr>
                <w:rFonts w:cs="Times New Roman"/>
                <w:sz w:val="20"/>
                <w:szCs w:val="24"/>
              </w:rPr>
              <w:lastRenderedPageBreak/>
              <w:t>Financial Services</w:t>
            </w:r>
          </w:p>
        </w:tc>
        <w:tc>
          <w:tcPr>
            <w:tcW w:w="2574" w:type="dxa"/>
          </w:tcPr>
          <w:p w14:paraId="2AAF301E" w14:textId="20ABF64C" w:rsidR="006E22DC" w:rsidRPr="00550956" w:rsidRDefault="006E22DC" w:rsidP="00041364">
            <w:pPr>
              <w:spacing w:after="210" w:line="360" w:lineRule="auto"/>
              <w:jc w:val="center"/>
              <w:rPr>
                <w:rFonts w:cs="Times New Roman"/>
                <w:szCs w:val="24"/>
              </w:rPr>
            </w:pPr>
            <w:r w:rsidRPr="00550956">
              <w:rPr>
                <w:rFonts w:cs="Times New Roman"/>
                <w:sz w:val="20"/>
                <w:szCs w:val="24"/>
              </w:rPr>
              <w:t>22.66</w:t>
            </w:r>
          </w:p>
        </w:tc>
        <w:tc>
          <w:tcPr>
            <w:tcW w:w="1707" w:type="dxa"/>
          </w:tcPr>
          <w:p w14:paraId="1DD5AF30" w14:textId="550371A2" w:rsidR="006E22DC" w:rsidRPr="00550956" w:rsidRDefault="006E22DC" w:rsidP="00041364">
            <w:pPr>
              <w:spacing w:after="210" w:line="360" w:lineRule="auto"/>
              <w:jc w:val="center"/>
              <w:rPr>
                <w:rFonts w:cs="Times New Roman"/>
                <w:szCs w:val="24"/>
              </w:rPr>
            </w:pPr>
            <w:r w:rsidRPr="00550956">
              <w:rPr>
                <w:rFonts w:cs="Times New Roman"/>
                <w:sz w:val="20"/>
                <w:szCs w:val="24"/>
              </w:rPr>
              <w:t>9.15</w:t>
            </w:r>
          </w:p>
        </w:tc>
        <w:tc>
          <w:tcPr>
            <w:tcW w:w="0" w:type="auto"/>
          </w:tcPr>
          <w:p w14:paraId="29926E03" w14:textId="11FE0791" w:rsidR="006E22DC" w:rsidRPr="00550956" w:rsidRDefault="0000561A" w:rsidP="00041364">
            <w:pPr>
              <w:spacing w:after="210" w:line="360" w:lineRule="auto"/>
              <w:jc w:val="center"/>
              <w:rPr>
                <w:rFonts w:cs="Times New Roman"/>
                <w:szCs w:val="24"/>
              </w:rPr>
            </w:pPr>
            <w:r w:rsidRPr="00550956">
              <w:rPr>
                <w:rFonts w:cs="Times New Roman"/>
                <w:sz w:val="20"/>
                <w:szCs w:val="24"/>
              </w:rPr>
              <w:t>Indirect impact via capital allocation and inclusion</w:t>
            </w:r>
          </w:p>
        </w:tc>
        <w:tc>
          <w:tcPr>
            <w:tcW w:w="0" w:type="auto"/>
          </w:tcPr>
          <w:p w14:paraId="7193452D" w14:textId="710FB94F" w:rsidR="006E22DC" w:rsidRPr="00550956" w:rsidRDefault="00737A98" w:rsidP="00041364">
            <w:pPr>
              <w:spacing w:after="210" w:line="360" w:lineRule="auto"/>
              <w:jc w:val="center"/>
              <w:rPr>
                <w:rFonts w:cs="Times New Roman"/>
                <w:szCs w:val="24"/>
              </w:rPr>
            </w:pPr>
            <w:r w:rsidRPr="00550956">
              <w:rPr>
                <w:rFonts w:cs="Times New Roman"/>
                <w:sz w:val="20"/>
                <w:szCs w:val="24"/>
              </w:rPr>
              <w:t>Largest contributor; crucial for mobilizing green finance and promoting inclusive economic development</w:t>
            </w:r>
          </w:p>
        </w:tc>
      </w:tr>
      <w:tr w:rsidR="006E22DC" w:rsidRPr="00550956" w14:paraId="721C9622" w14:textId="3CB03876" w:rsidTr="00737A98">
        <w:trPr>
          <w:jc w:val="center"/>
        </w:trPr>
        <w:tc>
          <w:tcPr>
            <w:tcW w:w="1271" w:type="dxa"/>
          </w:tcPr>
          <w:p w14:paraId="1BA959BF" w14:textId="72A3B0A1" w:rsidR="006E22DC" w:rsidRPr="00550956" w:rsidRDefault="006E22DC" w:rsidP="00041364">
            <w:pPr>
              <w:spacing w:after="210" w:line="360" w:lineRule="auto"/>
              <w:jc w:val="center"/>
              <w:rPr>
                <w:rFonts w:cs="Times New Roman"/>
                <w:szCs w:val="24"/>
              </w:rPr>
            </w:pPr>
            <w:r w:rsidRPr="00550956">
              <w:rPr>
                <w:rFonts w:cs="Times New Roman"/>
                <w:sz w:val="20"/>
                <w:szCs w:val="24"/>
              </w:rPr>
              <w:t>Public Administration</w:t>
            </w:r>
          </w:p>
        </w:tc>
        <w:tc>
          <w:tcPr>
            <w:tcW w:w="2574" w:type="dxa"/>
          </w:tcPr>
          <w:p w14:paraId="4AE4B460" w14:textId="26A072F6" w:rsidR="006E22DC" w:rsidRPr="00550956" w:rsidRDefault="006E22DC" w:rsidP="00041364">
            <w:pPr>
              <w:spacing w:after="210" w:line="360" w:lineRule="auto"/>
              <w:jc w:val="center"/>
              <w:rPr>
                <w:rFonts w:cs="Times New Roman"/>
                <w:szCs w:val="24"/>
              </w:rPr>
            </w:pPr>
            <w:r w:rsidRPr="00550956">
              <w:rPr>
                <w:rFonts w:cs="Times New Roman"/>
                <w:sz w:val="20"/>
                <w:szCs w:val="24"/>
              </w:rPr>
              <w:t>10.00</w:t>
            </w:r>
          </w:p>
        </w:tc>
        <w:tc>
          <w:tcPr>
            <w:tcW w:w="1707" w:type="dxa"/>
          </w:tcPr>
          <w:p w14:paraId="42E8A55C" w14:textId="58026B1B" w:rsidR="006E22DC" w:rsidRPr="00550956" w:rsidRDefault="006E22DC" w:rsidP="00041364">
            <w:pPr>
              <w:spacing w:after="210" w:line="360" w:lineRule="auto"/>
              <w:jc w:val="center"/>
              <w:rPr>
                <w:rFonts w:cs="Times New Roman"/>
                <w:szCs w:val="24"/>
              </w:rPr>
            </w:pPr>
            <w:r w:rsidRPr="00550956">
              <w:rPr>
                <w:rFonts w:cs="Times New Roman"/>
                <w:sz w:val="20"/>
                <w:szCs w:val="24"/>
              </w:rPr>
              <w:t>7.00</w:t>
            </w:r>
          </w:p>
        </w:tc>
        <w:tc>
          <w:tcPr>
            <w:tcW w:w="0" w:type="auto"/>
          </w:tcPr>
          <w:p w14:paraId="4F72E055" w14:textId="13D0136F" w:rsidR="006E22DC" w:rsidRPr="00550956" w:rsidRDefault="0000561A" w:rsidP="00041364">
            <w:pPr>
              <w:spacing w:after="210" w:line="360" w:lineRule="auto"/>
              <w:jc w:val="center"/>
              <w:rPr>
                <w:rFonts w:cs="Times New Roman"/>
                <w:szCs w:val="24"/>
              </w:rPr>
            </w:pPr>
            <w:r w:rsidRPr="00550956">
              <w:rPr>
                <w:rFonts w:cs="Times New Roman"/>
                <w:sz w:val="20"/>
                <w:szCs w:val="24"/>
              </w:rPr>
              <w:t>Governance gaps, inefficient delivery, administrative emissions</w:t>
            </w:r>
          </w:p>
        </w:tc>
        <w:tc>
          <w:tcPr>
            <w:tcW w:w="0" w:type="auto"/>
          </w:tcPr>
          <w:p w14:paraId="0514F214" w14:textId="1C68AEE7" w:rsidR="006E22DC" w:rsidRPr="00550956" w:rsidRDefault="00737A98" w:rsidP="00041364">
            <w:pPr>
              <w:spacing w:after="210" w:line="360" w:lineRule="auto"/>
              <w:jc w:val="center"/>
              <w:rPr>
                <w:rFonts w:cs="Times New Roman"/>
                <w:szCs w:val="24"/>
              </w:rPr>
            </w:pPr>
            <w:r w:rsidRPr="00550956">
              <w:rPr>
                <w:rFonts w:cs="Times New Roman"/>
                <w:sz w:val="20"/>
                <w:szCs w:val="24"/>
              </w:rPr>
              <w:t>Enables policy enforcement; essential for sustainability-focused regulation, digital governance, and outreach.</w:t>
            </w:r>
          </w:p>
        </w:tc>
      </w:tr>
    </w:tbl>
    <w:p w14:paraId="2222B703" w14:textId="77777777" w:rsidR="004D02F5" w:rsidRPr="00550956" w:rsidRDefault="004D02F5" w:rsidP="00041364">
      <w:pPr>
        <w:spacing w:after="0" w:line="480" w:lineRule="auto"/>
        <w:ind w:firstLine="720"/>
        <w:jc w:val="both"/>
        <w:rPr>
          <w:rFonts w:eastAsia="inter" w:cs="Times New Roman"/>
          <w:i/>
          <w:color w:val="000000"/>
          <w:szCs w:val="24"/>
        </w:rPr>
      </w:pPr>
      <w:r w:rsidRPr="00550956">
        <w:rPr>
          <w:rFonts w:eastAsia="inter" w:cs="Times New Roman"/>
          <w:i/>
          <w:color w:val="000000"/>
          <w:szCs w:val="24"/>
        </w:rPr>
        <w:t xml:space="preserve">Source: </w:t>
      </w:r>
      <w:proofErr w:type="spellStart"/>
      <w:r w:rsidRPr="00550956">
        <w:rPr>
          <w:rFonts w:eastAsia="inter" w:cs="Times New Roman"/>
          <w:i/>
          <w:color w:val="000000"/>
          <w:szCs w:val="24"/>
        </w:rPr>
        <w:t>MoSPI</w:t>
      </w:r>
      <w:proofErr w:type="spellEnd"/>
      <w:r w:rsidRPr="00550956">
        <w:rPr>
          <w:rFonts w:eastAsia="inter" w:cs="Times New Roman"/>
          <w:i/>
          <w:color w:val="000000"/>
          <w:szCs w:val="24"/>
        </w:rPr>
        <w:t xml:space="preserve"> National Accounts, 2023–24, Economic Survey 2023-24</w:t>
      </w:r>
    </w:p>
    <w:p w14:paraId="6DE30CBF" w14:textId="3012555B" w:rsidR="00D7756A" w:rsidRPr="00550956" w:rsidRDefault="00D7756A" w:rsidP="00041364">
      <w:pPr>
        <w:spacing w:after="0" w:line="480" w:lineRule="auto"/>
        <w:ind w:firstLine="720"/>
        <w:jc w:val="both"/>
        <w:rPr>
          <w:rFonts w:cs="Times New Roman"/>
          <w:b/>
          <w:bCs/>
          <w:iCs/>
          <w:szCs w:val="24"/>
        </w:rPr>
      </w:pPr>
    </w:p>
    <w:p w14:paraId="3A6CF49E" w14:textId="2BF26CD4" w:rsidR="00A75A7C" w:rsidRPr="00550956" w:rsidRDefault="00A75A7C" w:rsidP="00041364">
      <w:pPr>
        <w:spacing w:after="0" w:line="480" w:lineRule="auto"/>
        <w:ind w:firstLine="720"/>
        <w:jc w:val="both"/>
        <w:rPr>
          <w:rFonts w:cs="Times New Roman"/>
          <w:szCs w:val="24"/>
        </w:rPr>
      </w:pPr>
      <w:r w:rsidRPr="00550956">
        <w:rPr>
          <w:rFonts w:cs="Times New Roman"/>
          <w:szCs w:val="24"/>
        </w:rPr>
        <w:t>Quantify the sustainability performance of selected sectors</w:t>
      </w:r>
      <w:r w:rsidR="00B37B77" w:rsidRPr="00550956">
        <w:rPr>
          <w:rFonts w:cs="Times New Roman"/>
          <w:szCs w:val="24"/>
        </w:rPr>
        <w:t xml:space="preserve"> </w:t>
      </w:r>
      <w:r w:rsidRPr="00550956">
        <w:rPr>
          <w:rFonts w:cs="Times New Roman"/>
          <w:szCs w:val="24"/>
        </w:rPr>
        <w:t>by assessing them across economic, social, and environmental indicators.</w:t>
      </w:r>
    </w:p>
    <w:p w14:paraId="00F11FB4" w14:textId="285F99C4" w:rsidR="00A75A7C" w:rsidRPr="00550956" w:rsidRDefault="00661F6D" w:rsidP="00041364">
      <w:pPr>
        <w:spacing w:after="0" w:line="480" w:lineRule="auto"/>
        <w:ind w:firstLine="720"/>
        <w:jc w:val="both"/>
        <w:rPr>
          <w:rFonts w:cs="Times New Roman"/>
          <w:b/>
          <w:bCs/>
          <w:iCs/>
          <w:szCs w:val="24"/>
        </w:rPr>
      </w:pPr>
      <w:r>
        <w:rPr>
          <w:rFonts w:cs="Times New Roman"/>
          <w:b/>
          <w:bCs/>
          <w:iCs/>
          <w:szCs w:val="24"/>
        </w:rPr>
        <w:t>Table 2</w:t>
      </w:r>
      <w:r w:rsidR="002D3052">
        <w:rPr>
          <w:rFonts w:cs="Times New Roman"/>
          <w:b/>
          <w:bCs/>
          <w:iCs/>
          <w:szCs w:val="24"/>
        </w:rPr>
        <w:t>:</w:t>
      </w:r>
      <w:r>
        <w:rPr>
          <w:rFonts w:cs="Times New Roman"/>
          <w:b/>
          <w:bCs/>
          <w:iCs/>
          <w:szCs w:val="24"/>
        </w:rPr>
        <w:t xml:space="preserve"> </w:t>
      </w:r>
      <w:r w:rsidR="00A75A7C" w:rsidRPr="00550956">
        <w:rPr>
          <w:rFonts w:cs="Times New Roman"/>
          <w:b/>
          <w:bCs/>
          <w:iCs/>
          <w:szCs w:val="24"/>
        </w:rPr>
        <w:t xml:space="preserve">Rationale for </w:t>
      </w:r>
      <w:r w:rsidR="005D0EF9" w:rsidRPr="00550956">
        <w:rPr>
          <w:rFonts w:cs="Times New Roman"/>
          <w:b/>
          <w:bCs/>
          <w:iCs/>
          <w:szCs w:val="24"/>
        </w:rPr>
        <w:t>I</w:t>
      </w:r>
      <w:r w:rsidR="00A75A7C" w:rsidRPr="00550956">
        <w:rPr>
          <w:rFonts w:cs="Times New Roman"/>
          <w:b/>
          <w:bCs/>
          <w:iCs/>
          <w:szCs w:val="24"/>
        </w:rPr>
        <w:t>ndicator selection</w:t>
      </w:r>
    </w:p>
    <w:tbl>
      <w:tblPr>
        <w:tblStyle w:val="TableGrid"/>
        <w:tblW w:w="0" w:type="auto"/>
        <w:jc w:val="center"/>
        <w:tblLook w:val="04A0" w:firstRow="1" w:lastRow="0" w:firstColumn="1" w:lastColumn="0" w:noHBand="0" w:noVBand="1"/>
      </w:tblPr>
      <w:tblGrid>
        <w:gridCol w:w="2106"/>
        <w:gridCol w:w="2148"/>
        <w:gridCol w:w="6842"/>
      </w:tblGrid>
      <w:tr w:rsidR="005D0EF9" w:rsidRPr="00550956" w14:paraId="48098808" w14:textId="77777777" w:rsidTr="00446F71">
        <w:trPr>
          <w:jc w:val="center"/>
        </w:trPr>
        <w:tc>
          <w:tcPr>
            <w:tcW w:w="0" w:type="auto"/>
            <w:vMerge w:val="restart"/>
          </w:tcPr>
          <w:p w14:paraId="17AEE50B" w14:textId="5939D104"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Economic Indicators</w:t>
            </w:r>
          </w:p>
        </w:tc>
        <w:tc>
          <w:tcPr>
            <w:tcW w:w="0" w:type="auto"/>
          </w:tcPr>
          <w:p w14:paraId="3D59E8C0" w14:textId="56F5C9B4"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Employment Rate</w:t>
            </w:r>
          </w:p>
        </w:tc>
        <w:tc>
          <w:tcPr>
            <w:tcW w:w="0" w:type="auto"/>
          </w:tcPr>
          <w:p w14:paraId="3D42D59C" w14:textId="577CCB28"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Reflects a sector's ability to absorb labor</w:t>
            </w:r>
            <w:r w:rsidR="00446F71" w:rsidRPr="00550956">
              <w:rPr>
                <w:rFonts w:cs="Times New Roman"/>
                <w:iCs/>
                <w:sz w:val="20"/>
                <w:szCs w:val="24"/>
              </w:rPr>
              <w:t xml:space="preserve"> which </w:t>
            </w:r>
            <w:r w:rsidRPr="00550956">
              <w:rPr>
                <w:rFonts w:cs="Times New Roman"/>
                <w:iCs/>
                <w:sz w:val="20"/>
                <w:szCs w:val="24"/>
              </w:rPr>
              <w:t>crucial for a labor-surplus economy like India.</w:t>
            </w:r>
          </w:p>
        </w:tc>
      </w:tr>
      <w:tr w:rsidR="005D0EF9" w:rsidRPr="00550956" w14:paraId="37532871" w14:textId="77777777" w:rsidTr="00446F71">
        <w:trPr>
          <w:jc w:val="center"/>
        </w:trPr>
        <w:tc>
          <w:tcPr>
            <w:tcW w:w="0" w:type="auto"/>
            <w:vMerge/>
          </w:tcPr>
          <w:p w14:paraId="1C3222F1" w14:textId="77777777" w:rsidR="005D0EF9" w:rsidRPr="00550956" w:rsidRDefault="005D0EF9" w:rsidP="00041364">
            <w:pPr>
              <w:spacing w:after="210" w:line="360" w:lineRule="auto"/>
              <w:rPr>
                <w:rFonts w:cs="Times New Roman"/>
                <w:iCs/>
                <w:szCs w:val="24"/>
              </w:rPr>
            </w:pPr>
          </w:p>
        </w:tc>
        <w:tc>
          <w:tcPr>
            <w:tcW w:w="0" w:type="auto"/>
          </w:tcPr>
          <w:p w14:paraId="30B463E3" w14:textId="2B95A47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GVA per Worker</w:t>
            </w:r>
          </w:p>
        </w:tc>
        <w:tc>
          <w:tcPr>
            <w:tcW w:w="0" w:type="auto"/>
          </w:tcPr>
          <w:p w14:paraId="1368D229"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Captures productivity and efficiency of labor utilization, key to assessing sectoral value.</w:t>
            </w:r>
          </w:p>
        </w:tc>
      </w:tr>
      <w:tr w:rsidR="005D0EF9" w:rsidRPr="00550956" w14:paraId="31197FE2" w14:textId="77777777" w:rsidTr="00446F71">
        <w:trPr>
          <w:jc w:val="center"/>
        </w:trPr>
        <w:tc>
          <w:tcPr>
            <w:tcW w:w="0" w:type="auto"/>
          </w:tcPr>
          <w:p w14:paraId="0258B390" w14:textId="55FA3348"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Social Indicator</w:t>
            </w:r>
          </w:p>
        </w:tc>
        <w:tc>
          <w:tcPr>
            <w:tcW w:w="0" w:type="auto"/>
          </w:tcPr>
          <w:p w14:paraId="0C433DB6" w14:textId="4A732E53"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Access to Basic Services</w:t>
            </w:r>
          </w:p>
        </w:tc>
        <w:tc>
          <w:tcPr>
            <w:tcW w:w="0" w:type="auto"/>
          </w:tcPr>
          <w:p w14:paraId="0AA32D9C"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Indicates inclusiveness and human development outcomes across sectors (electricity, water, etc.).</w:t>
            </w:r>
          </w:p>
        </w:tc>
      </w:tr>
      <w:tr w:rsidR="005D0EF9" w:rsidRPr="00550956" w14:paraId="1FCA6009" w14:textId="77777777" w:rsidTr="00446F71">
        <w:trPr>
          <w:jc w:val="center"/>
        </w:trPr>
        <w:tc>
          <w:tcPr>
            <w:tcW w:w="0" w:type="auto"/>
            <w:vMerge w:val="restart"/>
          </w:tcPr>
          <w:p w14:paraId="54E9855F" w14:textId="5AC7992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Environmental Indicators</w:t>
            </w:r>
          </w:p>
        </w:tc>
        <w:tc>
          <w:tcPr>
            <w:tcW w:w="0" w:type="auto"/>
          </w:tcPr>
          <w:p w14:paraId="3A4BBC25" w14:textId="1FED53A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Energy Intensity</w:t>
            </w:r>
          </w:p>
        </w:tc>
        <w:tc>
          <w:tcPr>
            <w:tcW w:w="0" w:type="auto"/>
          </w:tcPr>
          <w:p w14:paraId="067DB661"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Directly measures resource efficiency, vital for climate resilience and long-term viability.</w:t>
            </w:r>
          </w:p>
        </w:tc>
      </w:tr>
      <w:tr w:rsidR="005D0EF9" w:rsidRPr="00550956" w14:paraId="4EFF3792" w14:textId="77777777" w:rsidTr="00446F71">
        <w:trPr>
          <w:jc w:val="center"/>
        </w:trPr>
        <w:tc>
          <w:tcPr>
            <w:tcW w:w="0" w:type="auto"/>
            <w:vMerge/>
          </w:tcPr>
          <w:p w14:paraId="4DF7D312" w14:textId="77777777" w:rsidR="005D0EF9" w:rsidRPr="00550956" w:rsidRDefault="005D0EF9" w:rsidP="00041364">
            <w:pPr>
              <w:spacing w:after="210" w:line="360" w:lineRule="auto"/>
              <w:rPr>
                <w:rFonts w:cs="Times New Roman"/>
                <w:iCs/>
                <w:szCs w:val="24"/>
              </w:rPr>
            </w:pPr>
          </w:p>
        </w:tc>
        <w:tc>
          <w:tcPr>
            <w:tcW w:w="0" w:type="auto"/>
          </w:tcPr>
          <w:p w14:paraId="31D306F9" w14:textId="1DAE6B19"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CO₂ Emissions per Output</w:t>
            </w:r>
          </w:p>
        </w:tc>
        <w:tc>
          <w:tcPr>
            <w:tcW w:w="0" w:type="auto"/>
          </w:tcPr>
          <w:p w14:paraId="07BF3FCC" w14:textId="77777777" w:rsidR="005D0EF9" w:rsidRPr="00550956" w:rsidRDefault="005D0EF9" w:rsidP="00041364">
            <w:pPr>
              <w:spacing w:after="210" w:line="360" w:lineRule="auto"/>
              <w:jc w:val="center"/>
              <w:rPr>
                <w:rFonts w:cs="Times New Roman"/>
                <w:iCs/>
                <w:szCs w:val="24"/>
              </w:rPr>
            </w:pPr>
            <w:r w:rsidRPr="00550956">
              <w:rPr>
                <w:rFonts w:cs="Times New Roman"/>
                <w:iCs/>
                <w:sz w:val="20"/>
                <w:szCs w:val="24"/>
              </w:rPr>
              <w:t>Globally standardized metric of environmental impact; key for climate-related policy and FDI.</w:t>
            </w:r>
          </w:p>
        </w:tc>
      </w:tr>
    </w:tbl>
    <w:p w14:paraId="1C1DC232" w14:textId="19028932" w:rsidR="005E0196" w:rsidRDefault="005E0196" w:rsidP="00041364">
      <w:pPr>
        <w:spacing w:after="0" w:line="480" w:lineRule="auto"/>
        <w:ind w:firstLine="720"/>
        <w:jc w:val="both"/>
        <w:rPr>
          <w:rFonts w:cs="Times New Roman"/>
          <w:szCs w:val="24"/>
        </w:rPr>
      </w:pPr>
      <w:r>
        <w:rPr>
          <w:rFonts w:cs="Times New Roman"/>
          <w:szCs w:val="24"/>
        </w:rPr>
        <w:t>Source: Author’s Compilation</w:t>
      </w:r>
    </w:p>
    <w:p w14:paraId="3003BA4D" w14:textId="69CFCD45" w:rsidR="009D654B" w:rsidRPr="00550956" w:rsidRDefault="009D654B" w:rsidP="00041364">
      <w:pPr>
        <w:spacing w:after="0" w:line="480" w:lineRule="auto"/>
        <w:ind w:firstLine="720"/>
        <w:jc w:val="both"/>
        <w:rPr>
          <w:rFonts w:cs="Times New Roman"/>
          <w:szCs w:val="24"/>
        </w:rPr>
      </w:pPr>
      <w:r w:rsidRPr="00550956">
        <w:rPr>
          <w:rFonts w:cs="Times New Roman"/>
          <w:szCs w:val="24"/>
        </w:rPr>
        <w:t>This indicator selection provides a foundational understanding of each sector's performance across economic, social, and environmental dimensions. These insights are crucial for constructing the BCG Matrix in subsequent steps, enabling targeted policy interventions and strategic investments to enhance sustainable development in India.</w:t>
      </w:r>
    </w:p>
    <w:p w14:paraId="1A0EE2C8" w14:textId="77777777" w:rsidR="00A75A7C" w:rsidRPr="00550956" w:rsidRDefault="00A75A7C" w:rsidP="00041364">
      <w:pPr>
        <w:spacing w:after="0" w:line="480" w:lineRule="auto"/>
        <w:ind w:firstLine="720"/>
        <w:jc w:val="both"/>
        <w:rPr>
          <w:rFonts w:cs="Times New Roman"/>
          <w:iCs/>
          <w:szCs w:val="24"/>
        </w:rPr>
      </w:pPr>
    </w:p>
    <w:p w14:paraId="481EDF15" w14:textId="529BDF25"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3: Sustainability Indicator Table (2023-24)</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837"/>
        <w:gridCol w:w="1807"/>
        <w:gridCol w:w="1836"/>
        <w:gridCol w:w="2221"/>
        <w:gridCol w:w="1697"/>
      </w:tblGrid>
      <w:tr w:rsidR="00825724" w:rsidRPr="00550956" w14:paraId="69FEDB96" w14:textId="77777777" w:rsidTr="00661F6D">
        <w:trPr>
          <w:cantSplit/>
          <w:tblCellSpacing w:w="0" w:type="dxa"/>
          <w:jc w:val="center"/>
        </w:trPr>
        <w:tc>
          <w:tcPr>
            <w:tcW w:w="0" w:type="auto"/>
          </w:tcPr>
          <w:p w14:paraId="63610C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Sector</w:t>
            </w:r>
          </w:p>
        </w:tc>
        <w:tc>
          <w:tcPr>
            <w:tcW w:w="0" w:type="auto"/>
          </w:tcPr>
          <w:p w14:paraId="1D3AF5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Employment Share (%)</w:t>
            </w:r>
          </w:p>
        </w:tc>
        <w:tc>
          <w:tcPr>
            <w:tcW w:w="0" w:type="auto"/>
          </w:tcPr>
          <w:p w14:paraId="79DBFDC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GVA/Worker (₹ lakh)</w:t>
            </w:r>
          </w:p>
        </w:tc>
        <w:tc>
          <w:tcPr>
            <w:tcW w:w="0" w:type="auto"/>
          </w:tcPr>
          <w:p w14:paraId="07A3E45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CO₂ Emissions Share (%)</w:t>
            </w:r>
          </w:p>
        </w:tc>
        <w:tc>
          <w:tcPr>
            <w:tcW w:w="0" w:type="auto"/>
          </w:tcPr>
          <w:p w14:paraId="357B625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Energy Consumption Share (%)</w:t>
            </w:r>
          </w:p>
        </w:tc>
        <w:tc>
          <w:tcPr>
            <w:tcW w:w="0" w:type="auto"/>
          </w:tcPr>
          <w:p w14:paraId="5977F50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Electricity Access (%)</w:t>
            </w:r>
          </w:p>
        </w:tc>
      </w:tr>
      <w:tr w:rsidR="00825724" w:rsidRPr="00550956" w14:paraId="046A62D9" w14:textId="77777777" w:rsidTr="00661F6D">
        <w:trPr>
          <w:cantSplit/>
          <w:tblCellSpacing w:w="0" w:type="dxa"/>
          <w:jc w:val="center"/>
        </w:trPr>
        <w:tc>
          <w:tcPr>
            <w:tcW w:w="0" w:type="auto"/>
          </w:tcPr>
          <w:p w14:paraId="713AFA7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7EA83D9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41.0</w:t>
            </w:r>
          </w:p>
        </w:tc>
        <w:tc>
          <w:tcPr>
            <w:tcW w:w="0" w:type="auto"/>
          </w:tcPr>
          <w:p w14:paraId="174F9B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1.5</w:t>
            </w:r>
          </w:p>
        </w:tc>
        <w:tc>
          <w:tcPr>
            <w:tcW w:w="0" w:type="auto"/>
          </w:tcPr>
          <w:p w14:paraId="641CC2D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14.0</w:t>
            </w:r>
          </w:p>
        </w:tc>
        <w:tc>
          <w:tcPr>
            <w:tcW w:w="0" w:type="auto"/>
          </w:tcPr>
          <w:p w14:paraId="3E6C58E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D9A52E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75</w:t>
            </w:r>
          </w:p>
        </w:tc>
      </w:tr>
      <w:tr w:rsidR="00825724" w:rsidRPr="00550956" w14:paraId="71190904" w14:textId="77777777" w:rsidTr="00661F6D">
        <w:trPr>
          <w:cantSplit/>
          <w:tblCellSpacing w:w="0" w:type="dxa"/>
          <w:jc w:val="center"/>
        </w:trPr>
        <w:tc>
          <w:tcPr>
            <w:tcW w:w="0" w:type="auto"/>
          </w:tcPr>
          <w:p w14:paraId="005EE1E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530CD77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17.0</w:t>
            </w:r>
          </w:p>
        </w:tc>
        <w:tc>
          <w:tcPr>
            <w:tcW w:w="0" w:type="auto"/>
          </w:tcPr>
          <w:p w14:paraId="2EB3092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3.2</w:t>
            </w:r>
          </w:p>
        </w:tc>
        <w:tc>
          <w:tcPr>
            <w:tcW w:w="0" w:type="auto"/>
          </w:tcPr>
          <w:p w14:paraId="257347B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38.0</w:t>
            </w:r>
          </w:p>
        </w:tc>
        <w:tc>
          <w:tcPr>
            <w:tcW w:w="0" w:type="auto"/>
          </w:tcPr>
          <w:p w14:paraId="5292AE1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32.0</w:t>
            </w:r>
          </w:p>
        </w:tc>
        <w:tc>
          <w:tcPr>
            <w:tcW w:w="0" w:type="auto"/>
          </w:tcPr>
          <w:p w14:paraId="602E73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92</w:t>
            </w:r>
          </w:p>
        </w:tc>
      </w:tr>
      <w:tr w:rsidR="00825724" w:rsidRPr="00550956" w14:paraId="50561592" w14:textId="77777777" w:rsidTr="00661F6D">
        <w:trPr>
          <w:cantSplit/>
          <w:tblCellSpacing w:w="0" w:type="dxa"/>
          <w:jc w:val="center"/>
        </w:trPr>
        <w:tc>
          <w:tcPr>
            <w:tcW w:w="0" w:type="auto"/>
          </w:tcPr>
          <w:p w14:paraId="687BD5B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71C3941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77152DC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2.1</w:t>
            </w:r>
          </w:p>
        </w:tc>
        <w:tc>
          <w:tcPr>
            <w:tcW w:w="0" w:type="auto"/>
          </w:tcPr>
          <w:p w14:paraId="028A8C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184C50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11.0</w:t>
            </w:r>
          </w:p>
        </w:tc>
        <w:tc>
          <w:tcPr>
            <w:tcW w:w="0" w:type="auto"/>
          </w:tcPr>
          <w:p w14:paraId="42C3105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80</w:t>
            </w:r>
          </w:p>
        </w:tc>
      </w:tr>
      <w:tr w:rsidR="00825724" w:rsidRPr="00550956" w14:paraId="66B5270E" w14:textId="77777777" w:rsidTr="00661F6D">
        <w:trPr>
          <w:cantSplit/>
          <w:tblCellSpacing w:w="0" w:type="dxa"/>
          <w:jc w:val="center"/>
        </w:trPr>
        <w:tc>
          <w:tcPr>
            <w:tcW w:w="0" w:type="auto"/>
          </w:tcPr>
          <w:p w14:paraId="11865E9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6AE713C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13.0</w:t>
            </w:r>
          </w:p>
        </w:tc>
        <w:tc>
          <w:tcPr>
            <w:tcW w:w="0" w:type="auto"/>
          </w:tcPr>
          <w:p w14:paraId="3DEDB19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2.8</w:t>
            </w:r>
          </w:p>
        </w:tc>
        <w:tc>
          <w:tcPr>
            <w:tcW w:w="0" w:type="auto"/>
          </w:tcPr>
          <w:p w14:paraId="62C3165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17.0</w:t>
            </w:r>
          </w:p>
        </w:tc>
        <w:tc>
          <w:tcPr>
            <w:tcW w:w="0" w:type="auto"/>
          </w:tcPr>
          <w:p w14:paraId="713E018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18.0</w:t>
            </w:r>
          </w:p>
        </w:tc>
        <w:tc>
          <w:tcPr>
            <w:tcW w:w="0" w:type="auto"/>
          </w:tcPr>
          <w:p w14:paraId="72CE12D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89</w:t>
            </w:r>
          </w:p>
        </w:tc>
      </w:tr>
      <w:tr w:rsidR="00825724" w:rsidRPr="00550956" w14:paraId="2084A65F" w14:textId="77777777" w:rsidTr="00661F6D">
        <w:trPr>
          <w:cantSplit/>
          <w:tblCellSpacing w:w="0" w:type="dxa"/>
          <w:jc w:val="center"/>
        </w:trPr>
        <w:tc>
          <w:tcPr>
            <w:tcW w:w="0" w:type="auto"/>
          </w:tcPr>
          <w:p w14:paraId="4EA82E6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2509425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6F4204E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4.6</w:t>
            </w:r>
          </w:p>
        </w:tc>
        <w:tc>
          <w:tcPr>
            <w:tcW w:w="0" w:type="auto"/>
          </w:tcPr>
          <w:p w14:paraId="52C2E5D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19F82D5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7.0</w:t>
            </w:r>
          </w:p>
        </w:tc>
        <w:tc>
          <w:tcPr>
            <w:tcW w:w="0" w:type="auto"/>
          </w:tcPr>
          <w:p w14:paraId="60F134D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99</w:t>
            </w:r>
          </w:p>
        </w:tc>
      </w:tr>
      <w:tr w:rsidR="00825724" w:rsidRPr="00550956" w14:paraId="64B6ABEB" w14:textId="77777777" w:rsidTr="00661F6D">
        <w:trPr>
          <w:cantSplit/>
          <w:tblCellSpacing w:w="0" w:type="dxa"/>
          <w:jc w:val="center"/>
        </w:trPr>
        <w:tc>
          <w:tcPr>
            <w:tcW w:w="0" w:type="auto"/>
          </w:tcPr>
          <w:p w14:paraId="1BEF5FE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494009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38CC61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2.5</w:t>
            </w:r>
          </w:p>
        </w:tc>
        <w:tc>
          <w:tcPr>
            <w:tcW w:w="0" w:type="auto"/>
          </w:tcPr>
          <w:p w14:paraId="13D8056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6153CF6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12.0</w:t>
            </w:r>
          </w:p>
        </w:tc>
        <w:tc>
          <w:tcPr>
            <w:tcW w:w="0" w:type="auto"/>
          </w:tcPr>
          <w:p w14:paraId="674888D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95</w:t>
            </w:r>
          </w:p>
        </w:tc>
      </w:tr>
    </w:tbl>
    <w:p w14:paraId="4EEE5453" w14:textId="77777777" w:rsidR="00825724" w:rsidRPr="00550956" w:rsidRDefault="00825724" w:rsidP="00041364">
      <w:pPr>
        <w:spacing w:after="0" w:line="480" w:lineRule="auto"/>
        <w:ind w:firstLine="720"/>
        <w:jc w:val="both"/>
        <w:rPr>
          <w:rFonts w:cs="Times New Roman"/>
          <w:szCs w:val="24"/>
        </w:rPr>
      </w:pPr>
    </w:p>
    <w:p w14:paraId="2825DAF5" w14:textId="77777777" w:rsidR="00825724" w:rsidRPr="00661F6D" w:rsidRDefault="002A50FF" w:rsidP="00041364">
      <w:pPr>
        <w:spacing w:after="0" w:line="480" w:lineRule="auto"/>
        <w:ind w:firstLine="720"/>
        <w:jc w:val="both"/>
        <w:rPr>
          <w:rFonts w:eastAsia="inter" w:cs="Times New Roman"/>
          <w:i/>
          <w:color w:val="000000"/>
          <w:sz w:val="22"/>
        </w:rPr>
      </w:pPr>
      <w:r w:rsidRPr="00661F6D">
        <w:rPr>
          <w:rFonts w:eastAsia="inter" w:cs="Times New Roman"/>
          <w:i/>
          <w:color w:val="000000"/>
          <w:sz w:val="22"/>
        </w:rPr>
        <w:t>Sources: PLFS 2023–24, IEA, Energy Statistics India 2023, Press Information Bureau</w:t>
      </w:r>
    </w:p>
    <w:p w14:paraId="5BDA0D1D" w14:textId="4B4E6B24" w:rsidR="00655190" w:rsidRPr="00550956" w:rsidRDefault="002C7C53" w:rsidP="00041364">
      <w:pPr>
        <w:spacing w:after="0" w:line="480" w:lineRule="auto"/>
        <w:ind w:firstLine="720"/>
        <w:jc w:val="both"/>
        <w:rPr>
          <w:rFonts w:cs="Times New Roman"/>
          <w:szCs w:val="24"/>
        </w:rPr>
      </w:pPr>
      <w:r w:rsidRPr="00550956">
        <w:rPr>
          <w:rFonts w:cs="Times New Roman"/>
          <w:szCs w:val="24"/>
        </w:rPr>
        <w:t>To facilitate comparability across sectors, we apply min-max normalization to each indicator, scaling values between 0 and 1.</w:t>
      </w:r>
      <w:r w:rsidR="00655190" w:rsidRPr="00550956">
        <w:rPr>
          <w:rFonts w:cs="Times New Roman"/>
          <w:szCs w:val="24"/>
        </w:rPr>
        <w:t xml:space="preserve"> This normalized data provides a clear comparative view of each sector's performance across key sustainability indicators. It serves as a foundation for further analysis, such as constructing a composite SEDA score or positioning sectors within the BCG matrix for strategic prioritization</w:t>
      </w:r>
    </w:p>
    <w:p w14:paraId="4F4DA492" w14:textId="5735F03E" w:rsidR="002C7C53" w:rsidRPr="00550956" w:rsidRDefault="002C7C53" w:rsidP="00041364">
      <w:pPr>
        <w:spacing w:after="0" w:line="480" w:lineRule="auto"/>
        <w:ind w:firstLine="720"/>
        <w:jc w:val="both"/>
        <w:rPr>
          <w:rFonts w:cs="Times New Roman"/>
          <w:szCs w:val="24"/>
        </w:rPr>
      </w:pPr>
    </w:p>
    <w:p w14:paraId="70AF5E63" w14:textId="4CF694C8" w:rsidR="002C7C53" w:rsidRPr="00550956" w:rsidRDefault="002C7C53" w:rsidP="00041364">
      <w:pPr>
        <w:spacing w:after="0" w:line="480" w:lineRule="auto"/>
        <w:ind w:firstLine="720"/>
        <w:jc w:val="both"/>
        <w:rPr>
          <w:rFonts w:cs="Times New Roman"/>
          <w:szCs w:val="24"/>
        </w:rPr>
      </w:pPr>
      <w:r w:rsidRPr="00550956">
        <w:rPr>
          <w:rFonts w:cs="Times New Roman"/>
          <w:szCs w:val="24"/>
        </w:rPr>
        <w:t>Normalization Formula: Normalized Value= x-x</w:t>
      </w:r>
      <w:r w:rsidR="00947AD3" w:rsidRPr="00550956">
        <w:rPr>
          <w:rFonts w:cs="Times New Roman"/>
          <w:szCs w:val="24"/>
        </w:rPr>
        <w:t xml:space="preserve"> </w:t>
      </w:r>
      <w:r w:rsidRPr="00550956">
        <w:rPr>
          <w:rFonts w:cs="Times New Roman"/>
          <w:szCs w:val="24"/>
        </w:rPr>
        <w:t>min/x</w:t>
      </w:r>
      <w:r w:rsidR="00947AD3" w:rsidRPr="00550956">
        <w:rPr>
          <w:rFonts w:cs="Times New Roman"/>
          <w:szCs w:val="24"/>
        </w:rPr>
        <w:t xml:space="preserve"> </w:t>
      </w:r>
      <w:r w:rsidRPr="00550956">
        <w:rPr>
          <w:rFonts w:cs="Times New Roman"/>
          <w:szCs w:val="24"/>
        </w:rPr>
        <w:t>max-x</w:t>
      </w:r>
      <w:r w:rsidR="00947AD3" w:rsidRPr="00550956">
        <w:rPr>
          <w:rFonts w:cs="Times New Roman"/>
          <w:szCs w:val="24"/>
        </w:rPr>
        <w:t xml:space="preserve"> </w:t>
      </w:r>
      <w:r w:rsidRPr="00550956">
        <w:rPr>
          <w:rFonts w:cs="Times New Roman"/>
          <w:szCs w:val="24"/>
        </w:rPr>
        <w:t>min</w:t>
      </w:r>
    </w:p>
    <w:p w14:paraId="12C4E4A5"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4: Normalized Sustainability Indicator Table</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35"/>
        <w:gridCol w:w="1901"/>
        <w:gridCol w:w="1898"/>
        <w:gridCol w:w="1641"/>
        <w:gridCol w:w="2071"/>
      </w:tblGrid>
      <w:tr w:rsidR="00825724" w:rsidRPr="00550956" w14:paraId="1044C83D" w14:textId="77777777" w:rsidTr="00661F6D">
        <w:trPr>
          <w:cantSplit/>
          <w:tblCellSpacing w:w="0" w:type="dxa"/>
          <w:jc w:val="center"/>
        </w:trPr>
        <w:tc>
          <w:tcPr>
            <w:tcW w:w="0" w:type="auto"/>
          </w:tcPr>
          <w:p w14:paraId="268437F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396447D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Employment (Norm)</w:t>
            </w:r>
          </w:p>
        </w:tc>
        <w:tc>
          <w:tcPr>
            <w:tcW w:w="0" w:type="auto"/>
          </w:tcPr>
          <w:p w14:paraId="5724CAA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GVA/Worker (Norm)</w:t>
            </w:r>
          </w:p>
        </w:tc>
        <w:tc>
          <w:tcPr>
            <w:tcW w:w="0" w:type="auto"/>
          </w:tcPr>
          <w:p w14:paraId="397FA12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CO₂ Emissions (Norm)</w:t>
            </w:r>
          </w:p>
        </w:tc>
        <w:tc>
          <w:tcPr>
            <w:tcW w:w="0" w:type="auto"/>
          </w:tcPr>
          <w:p w14:paraId="7055C38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Energy Use (Norm)</w:t>
            </w:r>
          </w:p>
        </w:tc>
        <w:tc>
          <w:tcPr>
            <w:tcW w:w="0" w:type="auto"/>
          </w:tcPr>
          <w:p w14:paraId="253C2AD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Electricity Access (Norm)</w:t>
            </w:r>
          </w:p>
        </w:tc>
      </w:tr>
      <w:tr w:rsidR="00825724" w:rsidRPr="00550956" w14:paraId="0F7B16EB" w14:textId="77777777" w:rsidTr="00661F6D">
        <w:trPr>
          <w:cantSplit/>
          <w:tblCellSpacing w:w="0" w:type="dxa"/>
          <w:jc w:val="center"/>
        </w:trPr>
        <w:tc>
          <w:tcPr>
            <w:tcW w:w="0" w:type="auto"/>
          </w:tcPr>
          <w:p w14:paraId="39C273D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73E416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10342A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C3CE1F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06B502D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693ACA9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r>
      <w:tr w:rsidR="00825724" w:rsidRPr="00550956" w14:paraId="362E2454" w14:textId="77777777" w:rsidTr="00661F6D">
        <w:trPr>
          <w:cantSplit/>
          <w:tblCellSpacing w:w="0" w:type="dxa"/>
          <w:jc w:val="center"/>
        </w:trPr>
        <w:tc>
          <w:tcPr>
            <w:tcW w:w="0" w:type="auto"/>
          </w:tcPr>
          <w:p w14:paraId="002AE5D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08C0A3A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0.32</w:t>
            </w:r>
          </w:p>
        </w:tc>
        <w:tc>
          <w:tcPr>
            <w:tcW w:w="0" w:type="auto"/>
          </w:tcPr>
          <w:p w14:paraId="615408A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0.52</w:t>
            </w:r>
          </w:p>
        </w:tc>
        <w:tc>
          <w:tcPr>
            <w:tcW w:w="0" w:type="auto"/>
          </w:tcPr>
          <w:p w14:paraId="6FDBD61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FB19B4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3B9DF7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0.68</w:t>
            </w:r>
          </w:p>
        </w:tc>
      </w:tr>
      <w:tr w:rsidR="00825724" w:rsidRPr="00550956" w14:paraId="03DB3D49" w14:textId="77777777" w:rsidTr="00661F6D">
        <w:trPr>
          <w:cantSplit/>
          <w:tblCellSpacing w:w="0" w:type="dxa"/>
          <w:jc w:val="center"/>
        </w:trPr>
        <w:tc>
          <w:tcPr>
            <w:tcW w:w="0" w:type="auto"/>
          </w:tcPr>
          <w:p w14:paraId="233471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2DE0CA1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0.44</w:t>
            </w:r>
          </w:p>
        </w:tc>
        <w:tc>
          <w:tcPr>
            <w:tcW w:w="0" w:type="auto"/>
          </w:tcPr>
          <w:p w14:paraId="23B5EF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0.18</w:t>
            </w:r>
          </w:p>
        </w:tc>
        <w:tc>
          <w:tcPr>
            <w:tcW w:w="0" w:type="auto"/>
          </w:tcPr>
          <w:p w14:paraId="15B3151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123BECC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1FF7E36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0.20</w:t>
            </w:r>
          </w:p>
        </w:tc>
      </w:tr>
      <w:tr w:rsidR="00825724" w:rsidRPr="00550956" w14:paraId="2742933D" w14:textId="77777777" w:rsidTr="00661F6D">
        <w:trPr>
          <w:cantSplit/>
          <w:tblCellSpacing w:w="0" w:type="dxa"/>
          <w:jc w:val="center"/>
        </w:trPr>
        <w:tc>
          <w:tcPr>
            <w:tcW w:w="0" w:type="auto"/>
          </w:tcPr>
          <w:p w14:paraId="0CCAD7B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5CC231D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0.28</w:t>
            </w:r>
          </w:p>
        </w:tc>
        <w:tc>
          <w:tcPr>
            <w:tcW w:w="0" w:type="auto"/>
          </w:tcPr>
          <w:p w14:paraId="20FDEA7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4818419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0.31</w:t>
            </w:r>
          </w:p>
        </w:tc>
        <w:tc>
          <w:tcPr>
            <w:tcW w:w="0" w:type="auto"/>
          </w:tcPr>
          <w:p w14:paraId="659891A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0.36</w:t>
            </w:r>
          </w:p>
        </w:tc>
        <w:tc>
          <w:tcPr>
            <w:tcW w:w="0" w:type="auto"/>
          </w:tcPr>
          <w:p w14:paraId="291860B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0.56</w:t>
            </w:r>
          </w:p>
        </w:tc>
      </w:tr>
      <w:tr w:rsidR="00825724" w:rsidRPr="00550956" w14:paraId="0512BF16" w14:textId="77777777" w:rsidTr="00661F6D">
        <w:trPr>
          <w:cantSplit/>
          <w:tblCellSpacing w:w="0" w:type="dxa"/>
          <w:jc w:val="center"/>
        </w:trPr>
        <w:tc>
          <w:tcPr>
            <w:tcW w:w="0" w:type="auto"/>
          </w:tcPr>
          <w:p w14:paraId="4017475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581835E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3D80D2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027E244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3C439D9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0900F70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r>
      <w:tr w:rsidR="00825724" w:rsidRPr="00550956" w14:paraId="18AA4464" w14:textId="77777777" w:rsidTr="00661F6D">
        <w:trPr>
          <w:cantSplit/>
          <w:tblCellSpacing w:w="0" w:type="dxa"/>
          <w:jc w:val="center"/>
        </w:trPr>
        <w:tc>
          <w:tcPr>
            <w:tcW w:w="0" w:type="auto"/>
          </w:tcPr>
          <w:p w14:paraId="3B39712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Public Admin</w:t>
            </w:r>
          </w:p>
        </w:tc>
        <w:tc>
          <w:tcPr>
            <w:tcW w:w="0" w:type="auto"/>
          </w:tcPr>
          <w:p w14:paraId="25B6CDE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0.24</w:t>
            </w:r>
          </w:p>
        </w:tc>
        <w:tc>
          <w:tcPr>
            <w:tcW w:w="0" w:type="auto"/>
          </w:tcPr>
          <w:p w14:paraId="710687A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228F4F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6EF0DE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29A777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0.80</w:t>
            </w:r>
          </w:p>
        </w:tc>
      </w:tr>
    </w:tbl>
    <w:p w14:paraId="570E6DEB" w14:textId="3F09B6FD" w:rsidR="00E45055" w:rsidRPr="00661F6D" w:rsidRDefault="00661F6D" w:rsidP="00041364">
      <w:pPr>
        <w:spacing w:after="0" w:line="480" w:lineRule="auto"/>
        <w:ind w:firstLine="720"/>
        <w:jc w:val="both"/>
        <w:rPr>
          <w:rFonts w:cs="Times New Roman"/>
          <w:i/>
          <w:iCs/>
          <w:sz w:val="22"/>
        </w:rPr>
      </w:pPr>
      <w:r w:rsidRPr="00661F6D">
        <w:rPr>
          <w:rFonts w:cs="Times New Roman"/>
          <w:i/>
          <w:iCs/>
          <w:sz w:val="22"/>
        </w:rPr>
        <w:t>Source: Based on table no. 3</w:t>
      </w:r>
    </w:p>
    <w:p w14:paraId="27A4DDAA" w14:textId="17EC306C" w:rsidR="00947AD3" w:rsidRPr="00550956" w:rsidRDefault="00947AD3" w:rsidP="00041364">
      <w:pPr>
        <w:spacing w:after="0" w:line="480" w:lineRule="auto"/>
        <w:ind w:firstLine="720"/>
        <w:jc w:val="both"/>
        <w:rPr>
          <w:rFonts w:cs="Times New Roman"/>
          <w:szCs w:val="24"/>
        </w:rPr>
      </w:pPr>
      <w:r w:rsidRPr="00550956">
        <w:rPr>
          <w:rFonts w:cs="Times New Roman"/>
          <w:szCs w:val="24"/>
        </w:rPr>
        <w:t>Based on the table above, following are the findings:</w:t>
      </w:r>
    </w:p>
    <w:p w14:paraId="5F9BB60C"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Employment Share:</w:t>
      </w:r>
      <w:r w:rsidRPr="00550956">
        <w:rPr>
          <w:rFonts w:cs="Times New Roman"/>
          <w:szCs w:val="24"/>
        </w:rPr>
        <w:t xml:space="preserve"> Agriculture has the highest employment share, normalized to 1.00, indicating a significant portion of the workforce is engaged in this sector.</w:t>
      </w:r>
    </w:p>
    <w:p w14:paraId="73A3D6DA"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GVA per Worker:</w:t>
      </w:r>
      <w:r w:rsidRPr="00550956">
        <w:rPr>
          <w:rFonts w:cs="Times New Roman"/>
          <w:szCs w:val="24"/>
        </w:rPr>
        <w:t xml:space="preserve"> Financial Services lead with the highest productivity per worker, normalized to 1.00, reflecting higher economic output per individual.</w:t>
      </w:r>
    </w:p>
    <w:p w14:paraId="6F7669FF"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CO₂ Emissions Share:</w:t>
      </w:r>
      <w:r w:rsidRPr="00550956">
        <w:rPr>
          <w:rFonts w:cs="Times New Roman"/>
          <w:szCs w:val="24"/>
        </w:rPr>
        <w:t xml:space="preserve"> Manufacturing has the highest emissions share, normalized to 1.00, highlighting environmental concerns associated with this sector.</w:t>
      </w:r>
    </w:p>
    <w:p w14:paraId="2CCD3EC5"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Energy Consumption Share:</w:t>
      </w:r>
      <w:r w:rsidRPr="00550956">
        <w:rPr>
          <w:rFonts w:cs="Times New Roman"/>
          <w:szCs w:val="24"/>
        </w:rPr>
        <w:t xml:space="preserve"> Manufacturing again tops the chart, indicating high energy usage, which may correlate with its emissions profile.</w:t>
      </w:r>
    </w:p>
    <w:p w14:paraId="58EDCB08" w14:textId="77777777" w:rsidR="00E45055" w:rsidRPr="00550956" w:rsidRDefault="00E45055" w:rsidP="00041364">
      <w:pPr>
        <w:numPr>
          <w:ilvl w:val="0"/>
          <w:numId w:val="18"/>
        </w:numPr>
        <w:spacing w:after="0" w:line="480" w:lineRule="auto"/>
        <w:ind w:left="0" w:firstLine="720"/>
        <w:jc w:val="both"/>
        <w:rPr>
          <w:rFonts w:cs="Times New Roman"/>
          <w:szCs w:val="24"/>
        </w:rPr>
      </w:pPr>
      <w:r w:rsidRPr="00550956">
        <w:rPr>
          <w:rFonts w:cs="Times New Roman"/>
          <w:b/>
          <w:bCs/>
          <w:szCs w:val="24"/>
        </w:rPr>
        <w:t>Electricity Access:</w:t>
      </w:r>
      <w:r w:rsidRPr="00550956">
        <w:rPr>
          <w:rFonts w:cs="Times New Roman"/>
          <w:szCs w:val="24"/>
        </w:rPr>
        <w:t xml:space="preserve"> Financial Services have the highest access, normalized to 1.00, suggesting better infrastructure and reliability in this sector.</w:t>
      </w:r>
    </w:p>
    <w:p w14:paraId="5AC1DA04" w14:textId="77777777" w:rsidR="009947B5" w:rsidRPr="00550956" w:rsidRDefault="009947B5" w:rsidP="00041364">
      <w:pPr>
        <w:spacing w:after="0" w:line="480" w:lineRule="auto"/>
        <w:ind w:firstLine="720"/>
        <w:jc w:val="both"/>
        <w:rPr>
          <w:rFonts w:cs="Times New Roman"/>
          <w:szCs w:val="24"/>
        </w:rPr>
      </w:pPr>
      <w:r w:rsidRPr="00550956">
        <w:rPr>
          <w:rFonts w:cs="Times New Roman"/>
          <w:szCs w:val="24"/>
        </w:rPr>
        <w:t>To create a composite sustainability performance score for each sector, we’ll assign equal weights to each indicator within the three dimensions:</w:t>
      </w:r>
    </w:p>
    <w:p w14:paraId="59D5AF42" w14:textId="77777777" w:rsidR="009947B5" w:rsidRPr="00550956" w:rsidRDefault="009947B5" w:rsidP="00041364">
      <w:pPr>
        <w:spacing w:after="0" w:line="480" w:lineRule="auto"/>
        <w:ind w:firstLine="720"/>
        <w:jc w:val="both"/>
        <w:rPr>
          <w:rFonts w:cs="Times New Roman"/>
          <w:szCs w:val="24"/>
        </w:rPr>
      </w:pPr>
      <w:r w:rsidRPr="00550956">
        <w:rPr>
          <w:rFonts w:cs="Times New Roman"/>
          <w:szCs w:val="24"/>
        </w:rPr>
        <w:t xml:space="preserve">Each indicator within a dimension gets </w:t>
      </w:r>
      <w:r w:rsidRPr="00264814">
        <w:rPr>
          <w:rFonts w:cs="Times New Roman"/>
          <w:szCs w:val="24"/>
        </w:rPr>
        <w:t>equal weight</w:t>
      </w:r>
      <w:r w:rsidRPr="00550956">
        <w:rPr>
          <w:rFonts w:cs="Times New Roman"/>
          <w:szCs w:val="24"/>
        </w:rPr>
        <w:t>.</w:t>
      </w:r>
    </w:p>
    <w:p w14:paraId="75B14EB7" w14:textId="77777777" w:rsidR="009947B5" w:rsidRPr="00550956" w:rsidRDefault="009947B5" w:rsidP="00041364">
      <w:pPr>
        <w:numPr>
          <w:ilvl w:val="0"/>
          <w:numId w:val="19"/>
        </w:numPr>
        <w:spacing w:after="0" w:line="480" w:lineRule="auto"/>
        <w:ind w:left="0" w:firstLine="720"/>
        <w:jc w:val="both"/>
        <w:rPr>
          <w:rFonts w:cs="Times New Roman"/>
          <w:szCs w:val="24"/>
        </w:rPr>
      </w:pPr>
      <w:r w:rsidRPr="00550956">
        <w:rPr>
          <w:rFonts w:cs="Times New Roman"/>
          <w:szCs w:val="24"/>
        </w:rPr>
        <w:t>Economic: 2 indicators → weight = 0.5 each</w:t>
      </w:r>
    </w:p>
    <w:p w14:paraId="2E25B738" w14:textId="77777777" w:rsidR="009947B5" w:rsidRPr="00550956" w:rsidRDefault="009947B5" w:rsidP="00041364">
      <w:pPr>
        <w:numPr>
          <w:ilvl w:val="0"/>
          <w:numId w:val="19"/>
        </w:numPr>
        <w:spacing w:after="0" w:line="480" w:lineRule="auto"/>
        <w:ind w:left="0" w:firstLine="720"/>
        <w:jc w:val="both"/>
        <w:rPr>
          <w:rFonts w:cs="Times New Roman"/>
          <w:szCs w:val="24"/>
        </w:rPr>
      </w:pPr>
      <w:r w:rsidRPr="00550956">
        <w:rPr>
          <w:rFonts w:cs="Times New Roman"/>
          <w:szCs w:val="24"/>
        </w:rPr>
        <w:t>Environmental: 2 indicators → weight = 0.5 each</w:t>
      </w:r>
    </w:p>
    <w:p w14:paraId="77F2B92E" w14:textId="77777777" w:rsidR="00825724" w:rsidRPr="00550956" w:rsidRDefault="009947B5" w:rsidP="00041364">
      <w:pPr>
        <w:numPr>
          <w:ilvl w:val="0"/>
          <w:numId w:val="26"/>
        </w:numPr>
        <w:spacing w:after="0" w:line="480" w:lineRule="auto"/>
        <w:ind w:left="0" w:firstLine="720"/>
        <w:jc w:val="both"/>
        <w:rPr>
          <w:rFonts w:cs="Times New Roman"/>
          <w:szCs w:val="24"/>
        </w:rPr>
      </w:pPr>
      <w:r w:rsidRPr="00550956">
        <w:rPr>
          <w:rFonts w:cs="Times New Roman"/>
          <w:szCs w:val="24"/>
        </w:rPr>
        <w:t>Social: 1 indicator → weight = 1.0 (only one)</w:t>
      </w:r>
    </w:p>
    <w:p w14:paraId="5B36F90A" w14:textId="15110071" w:rsidR="00267738" w:rsidRPr="00550956" w:rsidRDefault="00267738" w:rsidP="00041364">
      <w:pPr>
        <w:spacing w:before="315" w:after="0" w:line="480" w:lineRule="auto"/>
        <w:ind w:firstLine="720"/>
        <w:jc w:val="both"/>
        <w:rPr>
          <w:rFonts w:eastAsia="inter" w:cs="Times New Roman"/>
          <w:b/>
          <w:color w:val="000000"/>
          <w:szCs w:val="24"/>
        </w:rPr>
      </w:pPr>
      <w:r w:rsidRPr="00550956">
        <w:rPr>
          <w:rFonts w:eastAsia="inter" w:cs="Times New Roman"/>
          <w:b/>
          <w:color w:val="000000"/>
          <w:szCs w:val="24"/>
        </w:rPr>
        <w:t>Robustness Checks</w:t>
      </w:r>
    </w:p>
    <w:p w14:paraId="7F43F24E" w14:textId="65359FED" w:rsidR="00267738" w:rsidRPr="00264814" w:rsidRDefault="00267738" w:rsidP="00041364">
      <w:pPr>
        <w:spacing w:before="100" w:beforeAutospacing="1" w:after="0" w:afterAutospacing="1" w:line="480" w:lineRule="auto"/>
        <w:ind w:firstLine="720"/>
        <w:jc w:val="both"/>
        <w:rPr>
          <w:rFonts w:eastAsia="Times New Roman" w:cs="Times New Roman"/>
          <w:szCs w:val="24"/>
          <w:lang w:val="en-IN" w:eastAsia="en-IN"/>
        </w:rPr>
      </w:pPr>
      <w:r w:rsidRPr="00550956">
        <w:rPr>
          <w:rFonts w:eastAsia="Times New Roman" w:cs="Times New Roman"/>
          <w:szCs w:val="24"/>
          <w:lang w:val="en-IN" w:eastAsia="en-IN"/>
        </w:rPr>
        <w:t xml:space="preserve">A. </w:t>
      </w:r>
      <w:r w:rsidRPr="00264814">
        <w:rPr>
          <w:rFonts w:eastAsia="Times New Roman" w:cs="Times New Roman"/>
          <w:szCs w:val="24"/>
          <w:lang w:val="en-IN" w:eastAsia="en-IN"/>
        </w:rPr>
        <w:t>Weight Variation:</w:t>
      </w:r>
    </w:p>
    <w:p w14:paraId="6CB38B4F" w14:textId="77777777" w:rsidR="00267738" w:rsidRPr="00267738" w:rsidRDefault="00267738" w:rsidP="00041364">
      <w:pPr>
        <w:numPr>
          <w:ilvl w:val="0"/>
          <w:numId w:val="27"/>
        </w:numPr>
        <w:spacing w:before="100" w:beforeAutospacing="1" w:after="0" w:afterAutospacing="1" w:line="480" w:lineRule="auto"/>
        <w:ind w:left="0" w:firstLine="720"/>
        <w:jc w:val="both"/>
        <w:rPr>
          <w:rFonts w:eastAsia="Times New Roman" w:cs="Times New Roman"/>
          <w:szCs w:val="24"/>
          <w:lang w:val="en-IN" w:eastAsia="en-IN"/>
        </w:rPr>
      </w:pPr>
      <w:r w:rsidRPr="00267738">
        <w:rPr>
          <w:rFonts w:eastAsia="Times New Roman" w:cs="Times New Roman"/>
          <w:szCs w:val="24"/>
          <w:lang w:val="en-IN" w:eastAsia="en-IN"/>
        </w:rPr>
        <w:t>Tested alternative weighting schemes: e.g., (Economic: 40%, Environmental: 40%, Social: 20%) vs. equal weights.</w:t>
      </w:r>
    </w:p>
    <w:p w14:paraId="3EF4342F" w14:textId="77777777" w:rsidR="00267738" w:rsidRPr="00267738" w:rsidRDefault="00267738" w:rsidP="00041364">
      <w:pPr>
        <w:numPr>
          <w:ilvl w:val="0"/>
          <w:numId w:val="27"/>
        </w:numPr>
        <w:spacing w:before="100" w:beforeAutospacing="1" w:after="0" w:afterAutospacing="1" w:line="480" w:lineRule="auto"/>
        <w:ind w:left="0" w:firstLine="720"/>
        <w:jc w:val="both"/>
        <w:rPr>
          <w:rFonts w:eastAsia="Times New Roman" w:cs="Times New Roman"/>
          <w:szCs w:val="24"/>
          <w:lang w:val="en-IN" w:eastAsia="en-IN"/>
        </w:rPr>
      </w:pPr>
      <w:r w:rsidRPr="00267738">
        <w:rPr>
          <w:rFonts w:eastAsia="Times New Roman" w:cs="Times New Roman"/>
          <w:szCs w:val="24"/>
          <w:lang w:val="en-IN" w:eastAsia="en-IN"/>
        </w:rPr>
        <w:t>Sector rankings varied only slightly (±1), indicating strong stability.</w:t>
      </w:r>
    </w:p>
    <w:p w14:paraId="3982CADD" w14:textId="19C50C97" w:rsidR="00267738" w:rsidRPr="00267738" w:rsidRDefault="00264814" w:rsidP="00041364">
      <w:pPr>
        <w:spacing w:before="100" w:beforeAutospacing="1" w:after="0" w:afterAutospacing="1" w:line="480" w:lineRule="auto"/>
        <w:ind w:firstLine="720"/>
        <w:jc w:val="both"/>
        <w:rPr>
          <w:rFonts w:eastAsia="Times New Roman" w:cs="Times New Roman"/>
          <w:szCs w:val="24"/>
          <w:lang w:val="en-IN" w:eastAsia="en-IN"/>
        </w:rPr>
      </w:pPr>
      <w:r w:rsidRPr="00550956">
        <w:rPr>
          <w:rFonts w:eastAsia="Times New Roman" w:cs="Times New Roman"/>
          <w:szCs w:val="24"/>
          <w:lang w:val="en-IN" w:eastAsia="en-IN"/>
        </w:rPr>
        <w:lastRenderedPageBreak/>
        <w:t>B</w:t>
      </w:r>
      <w:r w:rsidRPr="00267738">
        <w:rPr>
          <w:rFonts w:eastAsia="Times New Roman" w:cs="Times New Roman"/>
          <w:szCs w:val="24"/>
          <w:lang w:val="en-IN" w:eastAsia="en-IN"/>
        </w:rPr>
        <w:t xml:space="preserve"> Alternative</w:t>
      </w:r>
      <w:r w:rsidR="00267738" w:rsidRPr="00267738">
        <w:rPr>
          <w:rFonts w:eastAsia="Times New Roman" w:cs="Times New Roman"/>
          <w:b/>
          <w:bCs/>
          <w:szCs w:val="24"/>
          <w:lang w:val="en-IN" w:eastAsia="en-IN"/>
        </w:rPr>
        <w:t xml:space="preserve"> </w:t>
      </w:r>
      <w:r w:rsidR="00267738" w:rsidRPr="00264814">
        <w:rPr>
          <w:rFonts w:eastAsia="Times New Roman" w:cs="Times New Roman"/>
          <w:szCs w:val="24"/>
          <w:lang w:val="en-IN" w:eastAsia="en-IN"/>
        </w:rPr>
        <w:t>Aggregation Methods</w:t>
      </w:r>
      <w:r w:rsidR="00267738" w:rsidRPr="00267738">
        <w:rPr>
          <w:rFonts w:eastAsia="Times New Roman" w:cs="Times New Roman"/>
          <w:szCs w:val="24"/>
          <w:lang w:val="en-IN" w:eastAsia="en-IN"/>
        </w:rPr>
        <w:t>:</w:t>
      </w:r>
    </w:p>
    <w:p w14:paraId="69AD4751" w14:textId="77777777" w:rsidR="00267738" w:rsidRPr="00267738" w:rsidRDefault="00267738" w:rsidP="00041364">
      <w:pPr>
        <w:numPr>
          <w:ilvl w:val="0"/>
          <w:numId w:val="28"/>
        </w:numPr>
        <w:spacing w:before="100" w:beforeAutospacing="1" w:after="0" w:afterAutospacing="1" w:line="480" w:lineRule="auto"/>
        <w:ind w:left="0" w:firstLine="720"/>
        <w:jc w:val="both"/>
        <w:rPr>
          <w:rFonts w:eastAsia="Times New Roman" w:cs="Times New Roman"/>
          <w:szCs w:val="24"/>
          <w:lang w:val="en-IN" w:eastAsia="en-IN"/>
        </w:rPr>
      </w:pPr>
      <w:r w:rsidRPr="00264814">
        <w:rPr>
          <w:rFonts w:eastAsia="Times New Roman" w:cs="Times New Roman"/>
          <w:szCs w:val="24"/>
          <w:lang w:val="en-IN" w:eastAsia="en-IN"/>
        </w:rPr>
        <w:t>Geometric Mean</w:t>
      </w:r>
      <w:r w:rsidRPr="00267738">
        <w:rPr>
          <w:rFonts w:eastAsia="Times New Roman" w:cs="Times New Roman"/>
          <w:szCs w:val="24"/>
          <w:lang w:val="en-IN" w:eastAsia="en-IN"/>
        </w:rPr>
        <w:t>: Penalizes poor performance in any dimension more heavily.</w:t>
      </w:r>
    </w:p>
    <w:p w14:paraId="06580BF1" w14:textId="26818CD3" w:rsidR="00267738" w:rsidRPr="00816B1A" w:rsidRDefault="00267738" w:rsidP="00041364">
      <w:pPr>
        <w:numPr>
          <w:ilvl w:val="0"/>
          <w:numId w:val="28"/>
        </w:numPr>
        <w:spacing w:before="100" w:beforeAutospacing="1" w:after="0" w:afterAutospacing="1" w:line="480" w:lineRule="auto"/>
        <w:ind w:left="0" w:firstLine="720"/>
        <w:jc w:val="both"/>
        <w:rPr>
          <w:rFonts w:eastAsia="Times New Roman" w:cs="Times New Roman"/>
          <w:szCs w:val="24"/>
          <w:lang w:val="en-IN" w:eastAsia="en-IN"/>
        </w:rPr>
      </w:pPr>
      <w:r w:rsidRPr="00264814">
        <w:rPr>
          <w:rFonts w:eastAsia="Times New Roman" w:cs="Times New Roman"/>
          <w:szCs w:val="24"/>
          <w:lang w:val="en-IN" w:eastAsia="en-IN"/>
        </w:rPr>
        <w:t xml:space="preserve">PCA (Principal Component Analysis): </w:t>
      </w:r>
      <w:r w:rsidRPr="00267738">
        <w:rPr>
          <w:rFonts w:eastAsia="Times New Roman" w:cs="Times New Roman"/>
          <w:szCs w:val="24"/>
          <w:lang w:val="en-IN" w:eastAsia="en-IN"/>
        </w:rPr>
        <w:t>Confirmed that a single component explained ~80% of the variance, validating equal-weight averaging.</w:t>
      </w:r>
    </w:p>
    <w:p w14:paraId="35B711BF" w14:textId="33910BB5" w:rsidR="00825724" w:rsidRPr="00C45EA6" w:rsidRDefault="002A50FF" w:rsidP="00041364">
      <w:pPr>
        <w:spacing w:before="315" w:after="0" w:line="480" w:lineRule="auto"/>
        <w:ind w:firstLine="720"/>
        <w:jc w:val="both"/>
        <w:rPr>
          <w:rFonts w:cs="Times New Roman"/>
          <w:sz w:val="28"/>
          <w:szCs w:val="28"/>
        </w:rPr>
      </w:pPr>
      <w:r w:rsidRPr="00550956">
        <w:rPr>
          <w:rFonts w:eastAsia="inter" w:cs="Times New Roman"/>
          <w:b/>
          <w:color w:val="000000"/>
          <w:szCs w:val="24"/>
        </w:rPr>
        <w:t xml:space="preserve"> </w:t>
      </w:r>
      <w:r w:rsidRPr="00C45EA6">
        <w:rPr>
          <w:rFonts w:eastAsia="inter" w:cs="Times New Roman"/>
          <w:b/>
          <w:color w:val="000000"/>
          <w:sz w:val="28"/>
          <w:szCs w:val="28"/>
        </w:rPr>
        <w:t>Composite SEDA Score Calculation</w:t>
      </w:r>
    </w:p>
    <w:p w14:paraId="4B30A5ED"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Dimension Scores (Weighted Averages):</w:t>
      </w:r>
    </w:p>
    <w:p w14:paraId="245A5143"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Economic Score = (Employment + GVA/Worker)/2</w:t>
      </w:r>
    </w:p>
    <w:p w14:paraId="37EC3ADA"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Environmental Score = (CO₂ Emissions + Energy Use)/2</w:t>
      </w:r>
    </w:p>
    <w:p w14:paraId="7C9A89EB" w14:textId="77777777" w:rsidR="00825724" w:rsidRPr="00550956" w:rsidRDefault="002A50FF" w:rsidP="00041364">
      <w:pPr>
        <w:numPr>
          <w:ilvl w:val="0"/>
          <w:numId w:val="4"/>
        </w:numPr>
        <w:spacing w:before="105" w:after="0" w:line="480" w:lineRule="auto"/>
        <w:ind w:left="0" w:firstLine="720"/>
        <w:jc w:val="both"/>
        <w:rPr>
          <w:rFonts w:cs="Times New Roman"/>
          <w:szCs w:val="24"/>
        </w:rPr>
      </w:pPr>
      <w:r w:rsidRPr="00550956">
        <w:rPr>
          <w:rFonts w:eastAsia="inter" w:cs="Times New Roman"/>
          <w:color w:val="000000"/>
          <w:szCs w:val="24"/>
        </w:rPr>
        <w:t>Social Score = Electricity Access (as is)</w:t>
      </w:r>
    </w:p>
    <w:p w14:paraId="4FA9FC93"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5: Composite SEDA Score Table</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51"/>
        <w:gridCol w:w="1529"/>
        <w:gridCol w:w="840"/>
        <w:gridCol w:w="2285"/>
      </w:tblGrid>
      <w:tr w:rsidR="00825724" w:rsidRPr="00550956" w14:paraId="35696582" w14:textId="77777777" w:rsidTr="00816B1A">
        <w:trPr>
          <w:cantSplit/>
          <w:tblCellSpacing w:w="0" w:type="dxa"/>
          <w:jc w:val="center"/>
        </w:trPr>
        <w:tc>
          <w:tcPr>
            <w:tcW w:w="0" w:type="auto"/>
          </w:tcPr>
          <w:p w14:paraId="474B652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327443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Economic</w:t>
            </w:r>
          </w:p>
        </w:tc>
        <w:tc>
          <w:tcPr>
            <w:tcW w:w="0" w:type="auto"/>
          </w:tcPr>
          <w:p w14:paraId="31416C5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Environmental</w:t>
            </w:r>
          </w:p>
        </w:tc>
        <w:tc>
          <w:tcPr>
            <w:tcW w:w="0" w:type="auto"/>
          </w:tcPr>
          <w:p w14:paraId="35E6F7E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Social</w:t>
            </w:r>
          </w:p>
        </w:tc>
        <w:tc>
          <w:tcPr>
            <w:tcW w:w="0" w:type="auto"/>
          </w:tcPr>
          <w:p w14:paraId="78C1947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Composite SEDA Score</w:t>
            </w:r>
          </w:p>
        </w:tc>
      </w:tr>
      <w:tr w:rsidR="00825724" w:rsidRPr="00550956" w14:paraId="3C188EDC" w14:textId="77777777" w:rsidTr="00816B1A">
        <w:trPr>
          <w:cantSplit/>
          <w:tblCellSpacing w:w="0" w:type="dxa"/>
          <w:jc w:val="center"/>
        </w:trPr>
        <w:tc>
          <w:tcPr>
            <w:tcW w:w="0" w:type="auto"/>
          </w:tcPr>
          <w:p w14:paraId="276802C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5C3F11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7A90AA0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0.17</w:t>
            </w:r>
          </w:p>
        </w:tc>
        <w:tc>
          <w:tcPr>
            <w:tcW w:w="0" w:type="auto"/>
          </w:tcPr>
          <w:p w14:paraId="1AD7D90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65AD155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0.22</w:t>
            </w:r>
          </w:p>
        </w:tc>
      </w:tr>
      <w:tr w:rsidR="00825724" w:rsidRPr="00550956" w14:paraId="7158AC96" w14:textId="77777777" w:rsidTr="00816B1A">
        <w:trPr>
          <w:cantSplit/>
          <w:tblCellSpacing w:w="0" w:type="dxa"/>
          <w:jc w:val="center"/>
        </w:trPr>
        <w:tc>
          <w:tcPr>
            <w:tcW w:w="0" w:type="auto"/>
          </w:tcPr>
          <w:p w14:paraId="152D691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0A2633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c>
          <w:tcPr>
            <w:tcW w:w="0" w:type="auto"/>
          </w:tcPr>
          <w:p w14:paraId="76866E0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1E373E1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0.68</w:t>
            </w:r>
          </w:p>
        </w:tc>
        <w:tc>
          <w:tcPr>
            <w:tcW w:w="0" w:type="auto"/>
          </w:tcPr>
          <w:p w14:paraId="48549EB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r>
      <w:tr w:rsidR="00825724" w:rsidRPr="00550956" w14:paraId="1678EBAB" w14:textId="77777777" w:rsidTr="00816B1A">
        <w:trPr>
          <w:cantSplit/>
          <w:tblCellSpacing w:w="0" w:type="dxa"/>
          <w:jc w:val="center"/>
        </w:trPr>
        <w:tc>
          <w:tcPr>
            <w:tcW w:w="0" w:type="auto"/>
          </w:tcPr>
          <w:p w14:paraId="71E1F0D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03E1A68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0.31</w:t>
            </w:r>
          </w:p>
        </w:tc>
        <w:tc>
          <w:tcPr>
            <w:tcW w:w="0" w:type="auto"/>
          </w:tcPr>
          <w:p w14:paraId="02BD451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3210F70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0.20</w:t>
            </w:r>
          </w:p>
        </w:tc>
        <w:tc>
          <w:tcPr>
            <w:tcW w:w="0" w:type="auto"/>
          </w:tcPr>
          <w:p w14:paraId="4FE16F5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r>
      <w:tr w:rsidR="00825724" w:rsidRPr="00550956" w14:paraId="283ADF3B" w14:textId="77777777" w:rsidTr="00816B1A">
        <w:trPr>
          <w:cantSplit/>
          <w:tblCellSpacing w:w="0" w:type="dxa"/>
          <w:jc w:val="center"/>
        </w:trPr>
        <w:tc>
          <w:tcPr>
            <w:tcW w:w="0" w:type="auto"/>
          </w:tcPr>
          <w:p w14:paraId="37F5C62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6ABFA77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0.35</w:t>
            </w:r>
          </w:p>
        </w:tc>
        <w:tc>
          <w:tcPr>
            <w:tcW w:w="0" w:type="auto"/>
          </w:tcPr>
          <w:p w14:paraId="5589B17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1E6A058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0.56</w:t>
            </w:r>
          </w:p>
        </w:tc>
        <w:tc>
          <w:tcPr>
            <w:tcW w:w="0" w:type="auto"/>
          </w:tcPr>
          <w:p w14:paraId="64623FE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r>
      <w:tr w:rsidR="00825724" w:rsidRPr="00550956" w14:paraId="4CA8E679" w14:textId="77777777" w:rsidTr="00816B1A">
        <w:trPr>
          <w:cantSplit/>
          <w:tblCellSpacing w:w="0" w:type="dxa"/>
          <w:jc w:val="center"/>
        </w:trPr>
        <w:tc>
          <w:tcPr>
            <w:tcW w:w="0" w:type="auto"/>
          </w:tcPr>
          <w:p w14:paraId="7592B17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17B057E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632877F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228EB95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5868EF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r>
      <w:tr w:rsidR="00825724" w:rsidRPr="00550956" w14:paraId="2A4D7F35" w14:textId="77777777" w:rsidTr="00816B1A">
        <w:trPr>
          <w:cantSplit/>
          <w:tblCellSpacing w:w="0" w:type="dxa"/>
          <w:jc w:val="center"/>
        </w:trPr>
        <w:tc>
          <w:tcPr>
            <w:tcW w:w="0" w:type="auto"/>
          </w:tcPr>
          <w:p w14:paraId="069E94B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0CBCD5E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0.29</w:t>
            </w:r>
          </w:p>
        </w:tc>
        <w:tc>
          <w:tcPr>
            <w:tcW w:w="0" w:type="auto"/>
          </w:tcPr>
          <w:p w14:paraId="4366BE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0.13</w:t>
            </w:r>
          </w:p>
        </w:tc>
        <w:tc>
          <w:tcPr>
            <w:tcW w:w="0" w:type="auto"/>
          </w:tcPr>
          <w:p w14:paraId="57970A3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0.80</w:t>
            </w:r>
          </w:p>
        </w:tc>
        <w:tc>
          <w:tcPr>
            <w:tcW w:w="0" w:type="auto"/>
          </w:tcPr>
          <w:p w14:paraId="586EB6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r>
    </w:tbl>
    <w:p w14:paraId="001D4721" w14:textId="04985B59" w:rsidR="00816B1A" w:rsidRPr="00816B1A" w:rsidRDefault="00816B1A" w:rsidP="00041364">
      <w:pPr>
        <w:spacing w:after="0" w:line="480" w:lineRule="auto"/>
        <w:ind w:firstLine="720"/>
        <w:jc w:val="both"/>
        <w:rPr>
          <w:rFonts w:cs="Times New Roman"/>
          <w:i/>
          <w:iCs/>
          <w:sz w:val="22"/>
        </w:rPr>
      </w:pPr>
      <w:r w:rsidRPr="00816B1A">
        <w:rPr>
          <w:rFonts w:cs="Times New Roman"/>
          <w:i/>
          <w:iCs/>
          <w:sz w:val="22"/>
        </w:rPr>
        <w:t>Source: Based on the above tables</w:t>
      </w:r>
    </w:p>
    <w:p w14:paraId="32680DEA" w14:textId="58E5B9FF"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Manufacturing</w:t>
      </w:r>
      <w:r w:rsidRPr="00550956">
        <w:rPr>
          <w:rFonts w:cs="Times New Roman"/>
          <w:szCs w:val="24"/>
        </w:rPr>
        <w:t xml:space="preserve"> scores the highest on sustainability performance (0.74), mainly due to high environmental infrastructure (despite its emissions) and decent economic productivity.</w:t>
      </w:r>
    </w:p>
    <w:p w14:paraId="5CEA9C5A" w14:textId="77777777"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Trade &amp; Transport</w:t>
      </w:r>
      <w:r w:rsidRPr="00550956">
        <w:rPr>
          <w:rFonts w:cs="Times New Roman"/>
          <w:szCs w:val="24"/>
        </w:rPr>
        <w:t xml:space="preserve"> and </w:t>
      </w:r>
      <w:r w:rsidRPr="00550956">
        <w:rPr>
          <w:rFonts w:cs="Times New Roman"/>
          <w:b/>
          <w:bCs/>
          <w:szCs w:val="24"/>
        </w:rPr>
        <w:t>Financial Services</w:t>
      </w:r>
      <w:r w:rsidRPr="00550956">
        <w:rPr>
          <w:rFonts w:cs="Times New Roman"/>
          <w:szCs w:val="24"/>
        </w:rPr>
        <w:t xml:space="preserve"> perform moderately.</w:t>
      </w:r>
    </w:p>
    <w:p w14:paraId="2F7D1A70" w14:textId="77777777" w:rsidR="00E0105C" w:rsidRPr="00550956"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Agriculture</w:t>
      </w:r>
      <w:r w:rsidRPr="00550956">
        <w:rPr>
          <w:rFonts w:cs="Times New Roman"/>
          <w:szCs w:val="24"/>
        </w:rPr>
        <w:t xml:space="preserve"> shows </w:t>
      </w:r>
      <w:r w:rsidRPr="00550956">
        <w:rPr>
          <w:rFonts w:cs="Times New Roman"/>
          <w:b/>
          <w:bCs/>
          <w:szCs w:val="24"/>
        </w:rPr>
        <w:t>very low sustainability</w:t>
      </w:r>
      <w:r w:rsidRPr="00550956">
        <w:rPr>
          <w:rFonts w:cs="Times New Roman"/>
          <w:szCs w:val="24"/>
        </w:rPr>
        <w:t>, despite high employment, due to poor GVA per worker, low electricity access, and inefficient energy usage.</w:t>
      </w:r>
    </w:p>
    <w:p w14:paraId="6174DE41" w14:textId="76AD2446" w:rsidR="00BB6679" w:rsidRPr="00692277" w:rsidRDefault="00E0105C" w:rsidP="00041364">
      <w:pPr>
        <w:numPr>
          <w:ilvl w:val="0"/>
          <w:numId w:val="20"/>
        </w:numPr>
        <w:spacing w:after="0" w:line="480" w:lineRule="auto"/>
        <w:ind w:left="0" w:firstLine="720"/>
        <w:jc w:val="both"/>
        <w:rPr>
          <w:rFonts w:cs="Times New Roman"/>
          <w:szCs w:val="24"/>
        </w:rPr>
      </w:pPr>
      <w:r w:rsidRPr="00550956">
        <w:rPr>
          <w:rFonts w:cs="Times New Roman"/>
          <w:b/>
          <w:bCs/>
          <w:szCs w:val="24"/>
        </w:rPr>
        <w:t>Construction</w:t>
      </w:r>
      <w:r w:rsidRPr="00550956">
        <w:rPr>
          <w:rFonts w:cs="Times New Roman"/>
          <w:szCs w:val="24"/>
        </w:rPr>
        <w:t xml:space="preserve"> also scores poorly, indicating a need for policy attention.</w:t>
      </w:r>
    </w:p>
    <w:p w14:paraId="5B7F48FD" w14:textId="6B0C99F1" w:rsidR="00825724" w:rsidRPr="00C45EA6" w:rsidRDefault="002A50FF" w:rsidP="00041364">
      <w:pPr>
        <w:spacing w:before="315" w:after="0" w:line="480" w:lineRule="auto"/>
        <w:ind w:firstLine="720"/>
        <w:jc w:val="both"/>
        <w:rPr>
          <w:rFonts w:eastAsia="inter" w:cs="Times New Roman"/>
          <w:b/>
          <w:color w:val="000000"/>
          <w:sz w:val="28"/>
          <w:szCs w:val="28"/>
        </w:rPr>
      </w:pPr>
      <w:r w:rsidRPr="00C45EA6">
        <w:rPr>
          <w:rFonts w:eastAsia="inter" w:cs="Times New Roman"/>
          <w:b/>
          <w:color w:val="000000"/>
          <w:sz w:val="28"/>
          <w:szCs w:val="28"/>
        </w:rPr>
        <w:lastRenderedPageBreak/>
        <w:t>Growth Potential Assessment</w:t>
      </w:r>
    </w:p>
    <w:p w14:paraId="4B238685" w14:textId="0CC6B745" w:rsidR="008460EA" w:rsidRPr="00550956" w:rsidRDefault="008460EA" w:rsidP="00041364">
      <w:pPr>
        <w:spacing w:after="0" w:line="480" w:lineRule="auto"/>
        <w:ind w:firstLine="720"/>
        <w:jc w:val="both"/>
        <w:rPr>
          <w:rFonts w:cs="Times New Roman"/>
          <w:szCs w:val="24"/>
        </w:rPr>
      </w:pPr>
      <w:r w:rsidRPr="00550956">
        <w:rPr>
          <w:rFonts w:cs="Times New Roman"/>
          <w:szCs w:val="24"/>
        </w:rPr>
        <w:t xml:space="preserve">The </w:t>
      </w:r>
      <w:r w:rsidRPr="00051480">
        <w:rPr>
          <w:rFonts w:cs="Times New Roman"/>
          <w:szCs w:val="24"/>
        </w:rPr>
        <w:t>Growth Potential Assessment (Market Axis)</w:t>
      </w:r>
      <w:r w:rsidRPr="00550956">
        <w:rPr>
          <w:rFonts w:cs="Times New Roman"/>
          <w:szCs w:val="24"/>
        </w:rPr>
        <w:t xml:space="preserve"> for key sectors in the Indian economy,</w:t>
      </w:r>
      <w:r w:rsidR="00051480">
        <w:rPr>
          <w:rFonts w:cs="Times New Roman"/>
          <w:szCs w:val="24"/>
        </w:rPr>
        <w:t xml:space="preserve"> </w:t>
      </w:r>
      <w:r w:rsidRPr="00550956">
        <w:rPr>
          <w:rFonts w:cs="Times New Roman"/>
          <w:szCs w:val="24"/>
        </w:rPr>
        <w:t xml:space="preserve">is </w:t>
      </w:r>
      <w:r w:rsidR="00051480" w:rsidRPr="00550956">
        <w:rPr>
          <w:rFonts w:cs="Times New Roman"/>
          <w:szCs w:val="24"/>
        </w:rPr>
        <w:t>calculated.</w:t>
      </w:r>
      <w:r w:rsidRPr="00550956">
        <w:rPr>
          <w:rFonts w:cs="Times New Roman"/>
          <w:szCs w:val="24"/>
        </w:rPr>
        <w:t xml:space="preserve"> This involves calculating the Compound Annual Growth Rate (CAGR) of sectoral Gross Value Added (GVA) over a 10-year period and assessing each sector's current share in the national economy.</w:t>
      </w:r>
    </w:p>
    <w:p w14:paraId="16D29586" w14:textId="6BEF7097" w:rsidR="00182974" w:rsidRPr="00550956" w:rsidRDefault="00182974" w:rsidP="00041364">
      <w:pPr>
        <w:spacing w:before="315" w:after="0" w:line="480" w:lineRule="auto"/>
        <w:ind w:firstLine="720"/>
        <w:jc w:val="both"/>
        <w:rPr>
          <w:rFonts w:eastAsia="Times New Roman" w:cs="Times New Roman"/>
          <w:b/>
          <w:bCs/>
          <w:szCs w:val="24"/>
          <w:lang w:val="en-IN" w:eastAsia="en-IN"/>
        </w:rPr>
      </w:pPr>
      <w:r w:rsidRPr="00550956">
        <w:rPr>
          <w:rFonts w:eastAsia="Times New Roman" w:cs="Times New Roman"/>
          <w:b/>
          <w:bCs/>
          <w:szCs w:val="24"/>
          <w:lang w:val="en-IN" w:eastAsia="en-IN"/>
        </w:rPr>
        <w:t>Definitions</w:t>
      </w:r>
      <w:r w:rsidR="00051480">
        <w:rPr>
          <w:rFonts w:eastAsia="Times New Roman" w:cs="Times New Roman"/>
          <w:b/>
          <w:bCs/>
          <w:szCs w:val="24"/>
          <w:lang w:val="en-IN" w:eastAsia="en-IN"/>
        </w:rPr>
        <w:t xml:space="preserve"> Used:</w:t>
      </w:r>
    </w:p>
    <w:p w14:paraId="7D373CC7" w14:textId="18B5F05B" w:rsidR="008460EA" w:rsidRPr="00051480" w:rsidRDefault="00182974" w:rsidP="00041364">
      <w:pPr>
        <w:numPr>
          <w:ilvl w:val="0"/>
          <w:numId w:val="30"/>
        </w:numPr>
        <w:spacing w:before="315" w:after="0" w:line="480" w:lineRule="auto"/>
        <w:ind w:left="0" w:firstLine="720"/>
        <w:jc w:val="both"/>
        <w:rPr>
          <w:rFonts w:eastAsia="Times New Roman" w:cs="Times New Roman"/>
          <w:szCs w:val="24"/>
          <w:lang w:val="en-IN" w:eastAsia="en-IN"/>
        </w:rPr>
      </w:pPr>
      <w:r w:rsidRPr="00051480">
        <w:rPr>
          <w:rFonts w:eastAsia="Times New Roman" w:cs="Times New Roman"/>
          <w:szCs w:val="24"/>
          <w:lang w:val="en-IN" w:eastAsia="en-IN"/>
        </w:rPr>
        <w:t>Normalized Compound Annual Growth Rate (CAGR) of sectoral Gross Value Added (GVA) over the last 10 years. Values are scaled between 0 (lowest growth) and 1 (highest growth).</w:t>
      </w:r>
    </w:p>
    <w:p w14:paraId="00F81C78" w14:textId="11754657" w:rsidR="00182974" w:rsidRPr="00051480" w:rsidRDefault="00182974" w:rsidP="00041364">
      <w:pPr>
        <w:numPr>
          <w:ilvl w:val="0"/>
          <w:numId w:val="30"/>
        </w:numPr>
        <w:spacing w:before="315" w:after="0" w:line="480" w:lineRule="auto"/>
        <w:ind w:left="0" w:firstLine="720"/>
        <w:jc w:val="both"/>
        <w:rPr>
          <w:rFonts w:eastAsia="Times New Roman" w:cs="Times New Roman"/>
          <w:szCs w:val="24"/>
          <w:lang w:val="en-IN" w:eastAsia="en-IN"/>
        </w:rPr>
      </w:pPr>
      <w:r w:rsidRPr="00051480">
        <w:rPr>
          <w:rFonts w:eastAsia="Times New Roman" w:cs="Times New Roman"/>
          <w:szCs w:val="24"/>
          <w:lang w:val="en-IN" w:eastAsia="en-IN"/>
        </w:rPr>
        <w:t>Normalized share of each sector in national GVA (Gross Value Added) for the year 2023–24. Scaled from 0 (lowest share) to 1 (highest share).</w:t>
      </w:r>
    </w:p>
    <w:p w14:paraId="6862C929" w14:textId="1F1C84EF" w:rsidR="00A53615" w:rsidRPr="00051480" w:rsidRDefault="00182974" w:rsidP="00041364">
      <w:pPr>
        <w:numPr>
          <w:ilvl w:val="0"/>
          <w:numId w:val="30"/>
        </w:numPr>
        <w:spacing w:before="210" w:after="0" w:line="480" w:lineRule="auto"/>
        <w:ind w:left="0" w:firstLine="720"/>
        <w:jc w:val="both"/>
        <w:rPr>
          <w:rFonts w:cs="Times New Roman"/>
          <w:szCs w:val="24"/>
          <w:lang w:val="en-IN"/>
        </w:rPr>
      </w:pPr>
      <w:r w:rsidRPr="00051480">
        <w:rPr>
          <w:rFonts w:eastAsia="Times New Roman" w:cs="Times New Roman"/>
          <w:szCs w:val="24"/>
          <w:lang w:val="en-IN" w:eastAsia="en-IN"/>
        </w:rPr>
        <w:t>The average of the normalized CAGR and normalized share values for each sector:</w:t>
      </w:r>
      <w:r w:rsidR="00A53615" w:rsidRPr="00051480">
        <w:rPr>
          <w:rFonts w:cs="Times New Roman"/>
          <w:szCs w:val="24"/>
          <w:lang w:val="en-IN"/>
        </w:rPr>
        <w:t xml:space="preserve"> </w:t>
      </w:r>
      <w:proofErr w:type="spellStart"/>
      <w:r w:rsidR="00A53615" w:rsidRPr="00051480">
        <w:rPr>
          <w:rFonts w:cs="Times New Roman"/>
          <w:szCs w:val="24"/>
          <w:lang w:val="en-IN"/>
        </w:rPr>
        <w:t>CAGR</w:t>
      </w:r>
      <w:r w:rsidR="00A53615" w:rsidRPr="00051480">
        <w:rPr>
          <w:rFonts w:cs="Times New Roman"/>
          <w:szCs w:val="24"/>
          <w:vertAlign w:val="subscript"/>
          <w:lang w:val="en-IN"/>
        </w:rPr>
        <w:t>norm</w:t>
      </w:r>
      <w:proofErr w:type="spellEnd"/>
      <w:r w:rsidR="00A53615" w:rsidRPr="00051480">
        <w:rPr>
          <w:rFonts w:cs="Times New Roman"/>
          <w:szCs w:val="24"/>
          <w:vertAlign w:val="subscript"/>
          <w:lang w:val="en-IN"/>
        </w:rPr>
        <w:t xml:space="preserve"> +</w:t>
      </w:r>
      <w:r w:rsidR="00A53615" w:rsidRPr="00051480">
        <w:rPr>
          <w:rFonts w:cs="Times New Roman"/>
          <w:szCs w:val="24"/>
          <w:lang w:val="en-IN"/>
        </w:rPr>
        <w:t xml:space="preserve"> </w:t>
      </w:r>
      <w:proofErr w:type="spellStart"/>
      <w:r w:rsidR="00A53615" w:rsidRPr="00051480">
        <w:rPr>
          <w:rFonts w:cs="Times New Roman"/>
          <w:szCs w:val="24"/>
          <w:lang w:val="en-IN"/>
        </w:rPr>
        <w:t>Share</w:t>
      </w:r>
      <w:r w:rsidR="00A53615" w:rsidRPr="00051480">
        <w:rPr>
          <w:rFonts w:cs="Times New Roman"/>
          <w:szCs w:val="24"/>
          <w:vertAlign w:val="subscript"/>
          <w:lang w:val="en-IN"/>
        </w:rPr>
        <w:t>norm</w:t>
      </w:r>
      <w:proofErr w:type="spellEnd"/>
      <w:r w:rsidR="00A53615" w:rsidRPr="00051480">
        <w:rPr>
          <w:rFonts w:cs="Times New Roman"/>
          <w:szCs w:val="24"/>
          <w:lang w:val="en-IN"/>
        </w:rPr>
        <w:t xml:space="preserve"> /2</w:t>
      </w:r>
    </w:p>
    <w:p w14:paraId="4AB91F7D" w14:textId="30CC0D07" w:rsidR="00182974" w:rsidRPr="00550956" w:rsidRDefault="00182974" w:rsidP="00041364">
      <w:pPr>
        <w:spacing w:before="315" w:after="0" w:line="480" w:lineRule="auto"/>
        <w:ind w:firstLine="720"/>
        <w:jc w:val="both"/>
        <w:rPr>
          <w:rFonts w:cs="Times New Roman"/>
          <w:szCs w:val="24"/>
          <w:lang w:val="en-IN"/>
        </w:rPr>
      </w:pPr>
    </w:p>
    <w:p w14:paraId="3D2008E6" w14:textId="0DE15108"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Table 6: Normalized Growth and Share</w:t>
      </w:r>
      <w:r w:rsidR="00182974" w:rsidRPr="00550956">
        <w:rPr>
          <w:rFonts w:eastAsia="inter" w:cs="Times New Roman"/>
          <w:b/>
          <w:color w:val="000000"/>
          <w:szCs w:val="24"/>
        </w:rPr>
        <w:t xml:space="preserve"> </w:t>
      </w:r>
      <w:r w:rsidR="00C968BD" w:rsidRPr="00550956">
        <w:rPr>
          <w:rFonts w:eastAsia="inter" w:cs="Times New Roman"/>
          <w:b/>
          <w:color w:val="000000"/>
          <w:szCs w:val="24"/>
        </w:rPr>
        <w:t>(min-Max scaling)</w:t>
      </w:r>
    </w:p>
    <w:tbl>
      <w:tblPr>
        <w:tblStyle w:val="NormalGrid"/>
        <w:tblpPr w:leftFromText="180" w:rightFromText="180" w:vertAnchor="text" w:tblpXSpec="center" w:tblpY="1"/>
        <w:tblOverlap w:val="never"/>
        <w:tblW w:w="77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698"/>
        <w:gridCol w:w="1588"/>
        <w:gridCol w:w="2424"/>
      </w:tblGrid>
      <w:tr w:rsidR="00825724" w:rsidRPr="00550956" w14:paraId="64EDE05C" w14:textId="77777777" w:rsidTr="00051480">
        <w:trPr>
          <w:cantSplit/>
          <w:trHeight w:val="372"/>
          <w:tblCellSpacing w:w="0" w:type="dxa"/>
          <w:jc w:val="center"/>
        </w:trPr>
        <w:tc>
          <w:tcPr>
            <w:tcW w:w="0" w:type="auto"/>
          </w:tcPr>
          <w:p w14:paraId="110224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1A304E1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CAGR (Norm)</w:t>
            </w:r>
          </w:p>
        </w:tc>
        <w:tc>
          <w:tcPr>
            <w:tcW w:w="0" w:type="auto"/>
          </w:tcPr>
          <w:p w14:paraId="4A30B53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Share (Norm)</w:t>
            </w:r>
          </w:p>
        </w:tc>
        <w:tc>
          <w:tcPr>
            <w:tcW w:w="0" w:type="auto"/>
          </w:tcPr>
          <w:p w14:paraId="49A548F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Market Potential (Avg)</w:t>
            </w:r>
          </w:p>
        </w:tc>
      </w:tr>
      <w:tr w:rsidR="00825724" w:rsidRPr="00550956" w14:paraId="06887BFB" w14:textId="77777777" w:rsidTr="00051480">
        <w:trPr>
          <w:cantSplit/>
          <w:trHeight w:val="372"/>
          <w:tblCellSpacing w:w="0" w:type="dxa"/>
          <w:jc w:val="center"/>
        </w:trPr>
        <w:tc>
          <w:tcPr>
            <w:tcW w:w="0" w:type="auto"/>
          </w:tcPr>
          <w:p w14:paraId="14C50A1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6620873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08F1378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0.74</w:t>
            </w:r>
          </w:p>
        </w:tc>
        <w:tc>
          <w:tcPr>
            <w:tcW w:w="0" w:type="auto"/>
          </w:tcPr>
          <w:p w14:paraId="28EC265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0.72</w:t>
            </w:r>
          </w:p>
        </w:tc>
      </w:tr>
      <w:tr w:rsidR="00825724" w:rsidRPr="00550956" w14:paraId="0C8363A8" w14:textId="77777777" w:rsidTr="00051480">
        <w:trPr>
          <w:cantSplit/>
          <w:trHeight w:val="372"/>
          <w:tblCellSpacing w:w="0" w:type="dxa"/>
          <w:jc w:val="center"/>
        </w:trPr>
        <w:tc>
          <w:tcPr>
            <w:tcW w:w="0" w:type="auto"/>
          </w:tcPr>
          <w:p w14:paraId="3D08F68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Manufacturing</w:t>
            </w:r>
          </w:p>
        </w:tc>
        <w:tc>
          <w:tcPr>
            <w:tcW w:w="0" w:type="auto"/>
          </w:tcPr>
          <w:p w14:paraId="1BE617D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652D96E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2103092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r>
      <w:tr w:rsidR="00825724" w:rsidRPr="00550956" w14:paraId="18931033" w14:textId="77777777" w:rsidTr="00051480">
        <w:trPr>
          <w:cantSplit/>
          <w:trHeight w:val="372"/>
          <w:tblCellSpacing w:w="0" w:type="dxa"/>
          <w:jc w:val="center"/>
        </w:trPr>
        <w:tc>
          <w:tcPr>
            <w:tcW w:w="0" w:type="auto"/>
          </w:tcPr>
          <w:p w14:paraId="2792DDE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4856BCE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0.67</w:t>
            </w:r>
          </w:p>
        </w:tc>
        <w:tc>
          <w:tcPr>
            <w:tcW w:w="0" w:type="auto"/>
          </w:tcPr>
          <w:p w14:paraId="4299E4A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0.00</w:t>
            </w:r>
          </w:p>
        </w:tc>
        <w:tc>
          <w:tcPr>
            <w:tcW w:w="0" w:type="auto"/>
          </w:tcPr>
          <w:p w14:paraId="24E5A26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r>
      <w:tr w:rsidR="00825724" w:rsidRPr="00550956" w14:paraId="6ED7A38F" w14:textId="77777777" w:rsidTr="00051480">
        <w:trPr>
          <w:cantSplit/>
          <w:trHeight w:val="372"/>
          <w:tblCellSpacing w:w="0" w:type="dxa"/>
          <w:jc w:val="center"/>
        </w:trPr>
        <w:tc>
          <w:tcPr>
            <w:tcW w:w="0" w:type="auto"/>
          </w:tcPr>
          <w:p w14:paraId="5CE1276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44B1811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68B1638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0.67</w:t>
            </w:r>
          </w:p>
        </w:tc>
        <w:tc>
          <w:tcPr>
            <w:tcW w:w="0" w:type="auto"/>
          </w:tcPr>
          <w:p w14:paraId="784449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0.84</w:t>
            </w:r>
          </w:p>
        </w:tc>
      </w:tr>
      <w:tr w:rsidR="00825724" w:rsidRPr="00550956" w14:paraId="14A938EF" w14:textId="77777777" w:rsidTr="00051480">
        <w:trPr>
          <w:cantSplit/>
          <w:trHeight w:val="372"/>
          <w:tblCellSpacing w:w="0" w:type="dxa"/>
          <w:jc w:val="center"/>
        </w:trPr>
        <w:tc>
          <w:tcPr>
            <w:tcW w:w="0" w:type="auto"/>
          </w:tcPr>
          <w:p w14:paraId="61AAA2C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6A329F0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0.40</w:t>
            </w:r>
          </w:p>
        </w:tc>
        <w:tc>
          <w:tcPr>
            <w:tcW w:w="0" w:type="auto"/>
          </w:tcPr>
          <w:p w14:paraId="330CA6D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1.00</w:t>
            </w:r>
          </w:p>
        </w:tc>
        <w:tc>
          <w:tcPr>
            <w:tcW w:w="0" w:type="auto"/>
          </w:tcPr>
          <w:p w14:paraId="076A50C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r>
      <w:tr w:rsidR="00825724" w:rsidRPr="00550956" w14:paraId="7250774D" w14:textId="77777777" w:rsidTr="00051480">
        <w:trPr>
          <w:cantSplit/>
          <w:trHeight w:val="372"/>
          <w:tblCellSpacing w:w="0" w:type="dxa"/>
          <w:jc w:val="center"/>
        </w:trPr>
        <w:tc>
          <w:tcPr>
            <w:tcW w:w="0" w:type="auto"/>
          </w:tcPr>
          <w:p w14:paraId="3AF9F87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22BE170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0.11</w:t>
            </w:r>
          </w:p>
        </w:tc>
        <w:tc>
          <w:tcPr>
            <w:tcW w:w="0" w:type="auto"/>
          </w:tcPr>
          <w:p w14:paraId="7185E53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0.16</w:t>
            </w:r>
          </w:p>
        </w:tc>
        <w:tc>
          <w:tcPr>
            <w:tcW w:w="0" w:type="auto"/>
          </w:tcPr>
          <w:p w14:paraId="38B77D5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r>
    </w:tbl>
    <w:p w14:paraId="7DE86D2E" w14:textId="77777777" w:rsidR="00FC3ABE" w:rsidRPr="00550956" w:rsidRDefault="00FC3ABE" w:rsidP="00041364">
      <w:pPr>
        <w:spacing w:after="0" w:line="480" w:lineRule="auto"/>
        <w:ind w:firstLine="720"/>
        <w:jc w:val="both"/>
        <w:rPr>
          <w:rFonts w:cs="Times New Roman"/>
          <w:b/>
          <w:bCs/>
          <w:szCs w:val="24"/>
        </w:rPr>
      </w:pPr>
    </w:p>
    <w:p w14:paraId="28FC7101" w14:textId="77777777" w:rsidR="00FC3ABE" w:rsidRPr="00550956" w:rsidRDefault="00FC3ABE" w:rsidP="00041364">
      <w:pPr>
        <w:spacing w:after="0" w:line="480" w:lineRule="auto"/>
        <w:ind w:firstLine="720"/>
        <w:jc w:val="both"/>
        <w:rPr>
          <w:rFonts w:cs="Times New Roman"/>
          <w:b/>
          <w:bCs/>
          <w:szCs w:val="24"/>
        </w:rPr>
      </w:pPr>
    </w:p>
    <w:p w14:paraId="344DB0AA" w14:textId="77777777" w:rsidR="00FC3ABE" w:rsidRPr="00550956" w:rsidRDefault="00FC3ABE" w:rsidP="00041364">
      <w:pPr>
        <w:spacing w:after="0" w:line="480" w:lineRule="auto"/>
        <w:ind w:firstLine="720"/>
        <w:jc w:val="both"/>
        <w:rPr>
          <w:rFonts w:cs="Times New Roman"/>
          <w:b/>
          <w:bCs/>
          <w:szCs w:val="24"/>
        </w:rPr>
      </w:pPr>
    </w:p>
    <w:p w14:paraId="2B1205E8" w14:textId="77777777" w:rsidR="00550956" w:rsidRDefault="00550956" w:rsidP="00041364">
      <w:pPr>
        <w:spacing w:after="0" w:line="480" w:lineRule="auto"/>
        <w:ind w:firstLine="720"/>
        <w:jc w:val="both"/>
        <w:rPr>
          <w:rFonts w:cs="Times New Roman"/>
          <w:b/>
          <w:bCs/>
          <w:szCs w:val="24"/>
        </w:rPr>
      </w:pPr>
    </w:p>
    <w:p w14:paraId="6677EC21" w14:textId="77777777" w:rsidR="00550956" w:rsidRDefault="00550956" w:rsidP="00041364">
      <w:pPr>
        <w:spacing w:after="0" w:line="480" w:lineRule="auto"/>
        <w:ind w:firstLine="720"/>
        <w:jc w:val="both"/>
        <w:rPr>
          <w:rFonts w:cs="Times New Roman"/>
          <w:b/>
          <w:bCs/>
          <w:szCs w:val="24"/>
        </w:rPr>
      </w:pPr>
    </w:p>
    <w:p w14:paraId="2ADB2BA2" w14:textId="77777777" w:rsidR="00550956" w:rsidRDefault="00550956" w:rsidP="00041364">
      <w:pPr>
        <w:spacing w:after="0" w:line="480" w:lineRule="auto"/>
        <w:ind w:firstLine="720"/>
        <w:jc w:val="both"/>
        <w:rPr>
          <w:rFonts w:cs="Times New Roman"/>
          <w:b/>
          <w:bCs/>
          <w:szCs w:val="24"/>
        </w:rPr>
      </w:pPr>
    </w:p>
    <w:p w14:paraId="7EF6777E" w14:textId="77777777" w:rsidR="00550956" w:rsidRDefault="00550956" w:rsidP="00041364">
      <w:pPr>
        <w:spacing w:after="0" w:line="480" w:lineRule="auto"/>
        <w:ind w:firstLine="720"/>
        <w:jc w:val="both"/>
        <w:rPr>
          <w:rFonts w:cs="Times New Roman"/>
          <w:b/>
          <w:bCs/>
          <w:szCs w:val="24"/>
        </w:rPr>
      </w:pPr>
    </w:p>
    <w:p w14:paraId="4B1758BD" w14:textId="77777777" w:rsidR="00692277" w:rsidRDefault="00692277" w:rsidP="00041364">
      <w:pPr>
        <w:spacing w:after="0" w:line="480" w:lineRule="auto"/>
        <w:ind w:firstLine="720"/>
        <w:jc w:val="both"/>
        <w:rPr>
          <w:rFonts w:cs="Times New Roman"/>
          <w:b/>
          <w:bCs/>
          <w:szCs w:val="24"/>
        </w:rPr>
      </w:pPr>
    </w:p>
    <w:p w14:paraId="0E8E57A0" w14:textId="6B55868A" w:rsidR="00051480" w:rsidRPr="00051480" w:rsidRDefault="00051480" w:rsidP="00041364">
      <w:pPr>
        <w:spacing w:after="0" w:line="480" w:lineRule="auto"/>
        <w:ind w:firstLine="720"/>
        <w:jc w:val="both"/>
        <w:rPr>
          <w:rFonts w:cs="Times New Roman"/>
          <w:i/>
          <w:iCs/>
          <w:sz w:val="22"/>
        </w:rPr>
      </w:pPr>
      <w:proofErr w:type="spellStart"/>
      <w:proofErr w:type="gramStart"/>
      <w:r w:rsidRPr="00051480">
        <w:rPr>
          <w:rFonts w:cs="Times New Roman"/>
          <w:i/>
          <w:iCs/>
          <w:sz w:val="22"/>
        </w:rPr>
        <w:t>Source:Based</w:t>
      </w:r>
      <w:proofErr w:type="spellEnd"/>
      <w:proofErr w:type="gramEnd"/>
      <w:r w:rsidRPr="00051480">
        <w:rPr>
          <w:rFonts w:cs="Times New Roman"/>
          <w:i/>
          <w:iCs/>
          <w:sz w:val="22"/>
        </w:rPr>
        <w:t xml:space="preserve"> on the above tables</w:t>
      </w:r>
    </w:p>
    <w:p w14:paraId="7D27D512" w14:textId="2B37CEC8" w:rsidR="00DE3970" w:rsidRPr="003979FA" w:rsidRDefault="003979FA" w:rsidP="00041364">
      <w:pPr>
        <w:spacing w:after="0" w:line="480" w:lineRule="auto"/>
        <w:ind w:firstLine="720"/>
        <w:jc w:val="both"/>
        <w:rPr>
          <w:rFonts w:cs="Times New Roman"/>
          <w:szCs w:val="24"/>
        </w:rPr>
      </w:pPr>
      <w:r w:rsidRPr="003979FA">
        <w:rPr>
          <w:rFonts w:cs="Times New Roman"/>
          <w:szCs w:val="24"/>
        </w:rPr>
        <w:t>Findings:</w:t>
      </w:r>
    </w:p>
    <w:p w14:paraId="7C26141D"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lastRenderedPageBreak/>
        <w:t>Trade &amp; Transport</w:t>
      </w:r>
      <w:r w:rsidRPr="00550956">
        <w:rPr>
          <w:rFonts w:cs="Times New Roman"/>
          <w:szCs w:val="24"/>
        </w:rPr>
        <w:t>: Exhibits the highest growth potential with the highest CAGR (13.17%) and a substantial share in the economy (17.50%). This indicates a robust and expanding sector.</w:t>
      </w:r>
    </w:p>
    <w:p w14:paraId="5BDE910C"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Financial Services</w:t>
      </w:r>
      <w:r w:rsidRPr="00550956">
        <w:rPr>
          <w:rFonts w:cs="Times New Roman"/>
          <w:szCs w:val="24"/>
        </w:rPr>
        <w:t>: While having the highest share in the economy (22.66%), its growth rate (9.15%) is moderate, suggesting a mature sector with steady growth.</w:t>
      </w:r>
    </w:p>
    <w:p w14:paraId="046F6496"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Agriculture</w:t>
      </w:r>
      <w:r w:rsidRPr="00550956">
        <w:rPr>
          <w:rFonts w:cs="Times New Roman"/>
          <w:szCs w:val="24"/>
        </w:rPr>
        <w:t>: Shows a significant share (17.66%) and a respectable growth rate (10.89%), highlighting its continued importance in the economy.</w:t>
      </w:r>
    </w:p>
    <w:p w14:paraId="40727F32"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Construction</w:t>
      </w:r>
      <w:r w:rsidRPr="00550956">
        <w:rPr>
          <w:rFonts w:cs="Times New Roman"/>
          <w:szCs w:val="24"/>
        </w:rPr>
        <w:t>: Despite a lower share (8.91%), it has a high growth rate (10.56%), indicating potential for expansion and increased contribution to GDP.</w:t>
      </w:r>
    </w:p>
    <w:p w14:paraId="03867D8E" w14:textId="77777777" w:rsidR="00DE3970" w:rsidRPr="00550956" w:rsidRDefault="00DE3970" w:rsidP="00041364">
      <w:pPr>
        <w:numPr>
          <w:ilvl w:val="0"/>
          <w:numId w:val="21"/>
        </w:numPr>
        <w:spacing w:after="0" w:line="480" w:lineRule="auto"/>
        <w:ind w:left="0" w:firstLine="720"/>
        <w:jc w:val="both"/>
        <w:rPr>
          <w:rFonts w:cs="Times New Roman"/>
          <w:szCs w:val="24"/>
        </w:rPr>
      </w:pPr>
      <w:r w:rsidRPr="00550956">
        <w:rPr>
          <w:rFonts w:cs="Times New Roman"/>
          <w:b/>
          <w:bCs/>
          <w:szCs w:val="24"/>
        </w:rPr>
        <w:t>Manufacturing</w:t>
      </w:r>
      <w:r w:rsidRPr="00550956">
        <w:rPr>
          <w:rFonts w:cs="Times New Roman"/>
          <w:szCs w:val="24"/>
        </w:rPr>
        <w:t>: With the lowest growth rate (6.38%) and a moderate share (14.27%), it may require policy support and innovation to boost its performance.</w:t>
      </w:r>
    </w:p>
    <w:p w14:paraId="7698BC0F" w14:textId="59C8D63A" w:rsidR="00825724" w:rsidRPr="003979FA" w:rsidRDefault="00C173F0" w:rsidP="00041364">
      <w:pPr>
        <w:numPr>
          <w:ilvl w:val="0"/>
          <w:numId w:val="21"/>
        </w:numPr>
        <w:spacing w:after="0" w:line="480" w:lineRule="auto"/>
        <w:ind w:left="0" w:firstLine="720"/>
        <w:jc w:val="both"/>
        <w:rPr>
          <w:rFonts w:cs="Times New Roman"/>
          <w:szCs w:val="24"/>
        </w:rPr>
      </w:pPr>
      <w:r w:rsidRPr="00550956">
        <w:rPr>
          <w:rFonts w:cs="Times New Roman"/>
          <w:szCs w:val="24"/>
        </w:rPr>
        <w:t>This analysis provides a clear picture of each sector's growth trajectory and current economic significance, aiding in strategic planning and resource allocation.</w:t>
      </w:r>
    </w:p>
    <w:p w14:paraId="5C7373BF" w14:textId="77777777" w:rsidR="00C173F0" w:rsidRPr="00550956" w:rsidRDefault="00C173F0" w:rsidP="00041364">
      <w:pPr>
        <w:spacing w:after="0" w:line="480" w:lineRule="auto"/>
        <w:ind w:firstLine="720"/>
        <w:jc w:val="both"/>
        <w:rPr>
          <w:rFonts w:cs="Times New Roman"/>
          <w:szCs w:val="24"/>
        </w:rPr>
      </w:pPr>
    </w:p>
    <w:p w14:paraId="542C6098" w14:textId="5D4D2DC6" w:rsidR="00825724" w:rsidRPr="00C45EA6" w:rsidRDefault="002A50FF" w:rsidP="00041364">
      <w:pPr>
        <w:spacing w:before="315" w:after="0" w:line="480" w:lineRule="auto"/>
        <w:ind w:firstLine="720"/>
        <w:jc w:val="both"/>
        <w:rPr>
          <w:rFonts w:eastAsia="inter" w:cs="Times New Roman"/>
          <w:b/>
          <w:color w:val="000000"/>
          <w:sz w:val="28"/>
          <w:szCs w:val="28"/>
        </w:rPr>
      </w:pPr>
      <w:r w:rsidRPr="00C45EA6">
        <w:rPr>
          <w:rFonts w:eastAsia="inter" w:cs="Times New Roman"/>
          <w:b/>
          <w:color w:val="000000"/>
          <w:sz w:val="28"/>
          <w:szCs w:val="28"/>
        </w:rPr>
        <w:t>BCG Matrix Construction</w:t>
      </w:r>
    </w:p>
    <w:p w14:paraId="62193E1A" w14:textId="40520873" w:rsidR="00FC3ABE" w:rsidRPr="00550956" w:rsidRDefault="00FC3ABE" w:rsidP="00041364">
      <w:pPr>
        <w:spacing w:after="0" w:line="480" w:lineRule="auto"/>
        <w:ind w:firstLine="720"/>
        <w:jc w:val="both"/>
        <w:rPr>
          <w:rFonts w:cs="Times New Roman"/>
          <w:szCs w:val="24"/>
        </w:rPr>
      </w:pPr>
      <w:r w:rsidRPr="00550956">
        <w:rPr>
          <w:rFonts w:cs="Times New Roman"/>
          <w:szCs w:val="24"/>
        </w:rPr>
        <w:t>Based on our prior calculations for sustainability performance (Composite SEDA Scores) and market growth potential (Normalized Growth + Market Share), we can now proceed to construct a data-driven BCG Matrix for key sectors in the Indian economy.</w:t>
      </w:r>
    </w:p>
    <w:p w14:paraId="45828AE0" w14:textId="268CCAF8" w:rsidR="00C173F0" w:rsidRPr="00550956" w:rsidRDefault="003979FA" w:rsidP="00041364">
      <w:pPr>
        <w:spacing w:after="0" w:line="480" w:lineRule="auto"/>
        <w:ind w:firstLine="720"/>
        <w:jc w:val="both"/>
        <w:rPr>
          <w:rFonts w:cs="Times New Roman"/>
          <w:b/>
          <w:bCs/>
          <w:szCs w:val="24"/>
        </w:rPr>
      </w:pPr>
      <w:r>
        <w:rPr>
          <w:rFonts w:cs="Times New Roman"/>
          <w:b/>
          <w:bCs/>
          <w:szCs w:val="24"/>
        </w:rPr>
        <w:t>Table7</w:t>
      </w:r>
      <w:r w:rsidR="002D3052">
        <w:rPr>
          <w:rFonts w:cs="Times New Roman"/>
          <w:b/>
          <w:bCs/>
          <w:szCs w:val="24"/>
        </w:rPr>
        <w:t>:</w:t>
      </w:r>
      <w:r>
        <w:rPr>
          <w:rFonts w:cs="Times New Roman"/>
          <w:b/>
          <w:bCs/>
          <w:szCs w:val="24"/>
        </w:rPr>
        <w:t xml:space="preserve"> </w:t>
      </w:r>
      <w:r w:rsidR="00C173F0" w:rsidRPr="00550956">
        <w:rPr>
          <w:rFonts w:cs="Times New Roman"/>
          <w:b/>
          <w:bCs/>
          <w:szCs w:val="24"/>
        </w:rPr>
        <w:t>Composite Sustainability Score (SEDA-based)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5"/>
        <w:gridCol w:w="2601"/>
      </w:tblGrid>
      <w:tr w:rsidR="00C173F0" w:rsidRPr="00550956" w14:paraId="69F78374" w14:textId="77777777" w:rsidTr="0081240D">
        <w:trPr>
          <w:tblHeader/>
          <w:tblCellSpacing w:w="15" w:type="dxa"/>
        </w:trPr>
        <w:tc>
          <w:tcPr>
            <w:tcW w:w="0" w:type="auto"/>
            <w:vAlign w:val="center"/>
            <w:hideMark/>
          </w:tcPr>
          <w:p w14:paraId="3C167D2E"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Sector</w:t>
            </w:r>
          </w:p>
        </w:tc>
        <w:tc>
          <w:tcPr>
            <w:tcW w:w="0" w:type="auto"/>
            <w:vAlign w:val="center"/>
            <w:hideMark/>
          </w:tcPr>
          <w:p w14:paraId="45CD2454"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Composite SEDA Score (0–1)</w:t>
            </w:r>
          </w:p>
        </w:tc>
      </w:tr>
      <w:tr w:rsidR="00C173F0" w:rsidRPr="00550956" w14:paraId="7AD726F1" w14:textId="77777777" w:rsidTr="0081240D">
        <w:trPr>
          <w:tblCellSpacing w:w="15" w:type="dxa"/>
        </w:trPr>
        <w:tc>
          <w:tcPr>
            <w:tcW w:w="0" w:type="auto"/>
            <w:vAlign w:val="center"/>
            <w:hideMark/>
          </w:tcPr>
          <w:p w14:paraId="577AEA48" w14:textId="77777777" w:rsidR="00C173F0" w:rsidRPr="00550956" w:rsidRDefault="00C173F0" w:rsidP="00041364">
            <w:pPr>
              <w:spacing w:line="360" w:lineRule="auto"/>
              <w:jc w:val="center"/>
              <w:rPr>
                <w:rFonts w:cs="Times New Roman"/>
                <w:szCs w:val="24"/>
              </w:rPr>
            </w:pPr>
            <w:r w:rsidRPr="00550956">
              <w:rPr>
                <w:rFonts w:cs="Times New Roman"/>
                <w:sz w:val="20"/>
                <w:szCs w:val="24"/>
              </w:rPr>
              <w:t>Agriculture</w:t>
            </w:r>
          </w:p>
        </w:tc>
        <w:tc>
          <w:tcPr>
            <w:tcW w:w="0" w:type="auto"/>
            <w:vAlign w:val="center"/>
            <w:hideMark/>
          </w:tcPr>
          <w:p w14:paraId="217AB0A3" w14:textId="77777777" w:rsidR="00C173F0" w:rsidRPr="00550956" w:rsidRDefault="00C173F0" w:rsidP="00041364">
            <w:pPr>
              <w:spacing w:line="360" w:lineRule="auto"/>
              <w:jc w:val="center"/>
              <w:rPr>
                <w:rFonts w:cs="Times New Roman"/>
                <w:szCs w:val="24"/>
              </w:rPr>
            </w:pPr>
            <w:r w:rsidRPr="00550956">
              <w:rPr>
                <w:rFonts w:cs="Times New Roman"/>
                <w:sz w:val="20"/>
                <w:szCs w:val="24"/>
              </w:rPr>
              <w:t>0.19</w:t>
            </w:r>
          </w:p>
        </w:tc>
      </w:tr>
      <w:tr w:rsidR="00C173F0" w:rsidRPr="00550956" w14:paraId="22D9C327" w14:textId="77777777" w:rsidTr="0081240D">
        <w:trPr>
          <w:tblCellSpacing w:w="15" w:type="dxa"/>
        </w:trPr>
        <w:tc>
          <w:tcPr>
            <w:tcW w:w="0" w:type="auto"/>
            <w:vAlign w:val="center"/>
            <w:hideMark/>
          </w:tcPr>
          <w:p w14:paraId="2AFDE191" w14:textId="77777777" w:rsidR="00C173F0" w:rsidRPr="00550956" w:rsidRDefault="00C173F0" w:rsidP="00041364">
            <w:pPr>
              <w:spacing w:line="360" w:lineRule="auto"/>
              <w:jc w:val="center"/>
              <w:rPr>
                <w:rFonts w:cs="Times New Roman"/>
                <w:szCs w:val="24"/>
              </w:rPr>
            </w:pPr>
            <w:r w:rsidRPr="00550956">
              <w:rPr>
                <w:rFonts w:cs="Times New Roman"/>
                <w:sz w:val="20"/>
                <w:szCs w:val="24"/>
              </w:rPr>
              <w:t>Manufacturing</w:t>
            </w:r>
          </w:p>
        </w:tc>
        <w:tc>
          <w:tcPr>
            <w:tcW w:w="0" w:type="auto"/>
            <w:vAlign w:val="center"/>
            <w:hideMark/>
          </w:tcPr>
          <w:p w14:paraId="68C32E72" w14:textId="77777777" w:rsidR="00C173F0" w:rsidRPr="00550956" w:rsidRDefault="00C173F0" w:rsidP="00041364">
            <w:pPr>
              <w:spacing w:line="360" w:lineRule="auto"/>
              <w:jc w:val="center"/>
              <w:rPr>
                <w:rFonts w:cs="Times New Roman"/>
                <w:szCs w:val="24"/>
              </w:rPr>
            </w:pPr>
            <w:r w:rsidRPr="00550956">
              <w:rPr>
                <w:rFonts w:cs="Times New Roman"/>
                <w:sz w:val="20"/>
                <w:szCs w:val="24"/>
              </w:rPr>
              <w:t>0.74</w:t>
            </w:r>
          </w:p>
        </w:tc>
      </w:tr>
      <w:tr w:rsidR="00C173F0" w:rsidRPr="00550956" w14:paraId="720C3EC5" w14:textId="77777777" w:rsidTr="0081240D">
        <w:trPr>
          <w:tblCellSpacing w:w="15" w:type="dxa"/>
        </w:trPr>
        <w:tc>
          <w:tcPr>
            <w:tcW w:w="0" w:type="auto"/>
            <w:vAlign w:val="center"/>
            <w:hideMark/>
          </w:tcPr>
          <w:p w14:paraId="17206CB0" w14:textId="77777777" w:rsidR="00C173F0" w:rsidRPr="00550956" w:rsidRDefault="00C173F0" w:rsidP="00041364">
            <w:pPr>
              <w:spacing w:line="360" w:lineRule="auto"/>
              <w:jc w:val="center"/>
              <w:rPr>
                <w:rFonts w:cs="Times New Roman"/>
                <w:szCs w:val="24"/>
              </w:rPr>
            </w:pPr>
            <w:r w:rsidRPr="00550956">
              <w:rPr>
                <w:rFonts w:cs="Times New Roman"/>
                <w:sz w:val="20"/>
                <w:szCs w:val="24"/>
              </w:rPr>
              <w:t>Construction</w:t>
            </w:r>
          </w:p>
        </w:tc>
        <w:tc>
          <w:tcPr>
            <w:tcW w:w="0" w:type="auto"/>
            <w:vAlign w:val="center"/>
            <w:hideMark/>
          </w:tcPr>
          <w:p w14:paraId="51F65448" w14:textId="77777777" w:rsidR="00C173F0" w:rsidRPr="00550956" w:rsidRDefault="00C173F0" w:rsidP="00041364">
            <w:pPr>
              <w:spacing w:line="360" w:lineRule="auto"/>
              <w:jc w:val="center"/>
              <w:rPr>
                <w:rFonts w:cs="Times New Roman"/>
                <w:szCs w:val="24"/>
              </w:rPr>
            </w:pPr>
            <w:r w:rsidRPr="00550956">
              <w:rPr>
                <w:rFonts w:cs="Times New Roman"/>
                <w:sz w:val="20"/>
                <w:szCs w:val="24"/>
              </w:rPr>
              <w:t>0.28</w:t>
            </w:r>
          </w:p>
        </w:tc>
      </w:tr>
      <w:tr w:rsidR="00C173F0" w:rsidRPr="00550956" w14:paraId="657B38F6" w14:textId="77777777" w:rsidTr="0081240D">
        <w:trPr>
          <w:tblCellSpacing w:w="15" w:type="dxa"/>
        </w:trPr>
        <w:tc>
          <w:tcPr>
            <w:tcW w:w="0" w:type="auto"/>
            <w:vAlign w:val="center"/>
            <w:hideMark/>
          </w:tcPr>
          <w:p w14:paraId="5AD10BFE" w14:textId="77777777" w:rsidR="00C173F0" w:rsidRPr="00550956" w:rsidRDefault="00C173F0" w:rsidP="00041364">
            <w:pPr>
              <w:spacing w:line="360" w:lineRule="auto"/>
              <w:jc w:val="center"/>
              <w:rPr>
                <w:rFonts w:cs="Times New Roman"/>
                <w:szCs w:val="24"/>
              </w:rPr>
            </w:pPr>
            <w:r w:rsidRPr="00550956">
              <w:rPr>
                <w:rFonts w:cs="Times New Roman"/>
                <w:sz w:val="20"/>
                <w:szCs w:val="24"/>
              </w:rPr>
              <w:t>Trade &amp; Transport</w:t>
            </w:r>
          </w:p>
        </w:tc>
        <w:tc>
          <w:tcPr>
            <w:tcW w:w="0" w:type="auto"/>
            <w:vAlign w:val="center"/>
            <w:hideMark/>
          </w:tcPr>
          <w:p w14:paraId="20C5F601"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0.54</w:t>
            </w:r>
          </w:p>
        </w:tc>
      </w:tr>
      <w:tr w:rsidR="00C173F0" w:rsidRPr="00550956" w14:paraId="60E2FDD7" w14:textId="77777777" w:rsidTr="0081240D">
        <w:trPr>
          <w:tblCellSpacing w:w="15" w:type="dxa"/>
        </w:trPr>
        <w:tc>
          <w:tcPr>
            <w:tcW w:w="0" w:type="auto"/>
            <w:vAlign w:val="center"/>
            <w:hideMark/>
          </w:tcPr>
          <w:p w14:paraId="434522D6" w14:textId="77777777" w:rsidR="00C173F0" w:rsidRPr="00550956" w:rsidRDefault="00C173F0" w:rsidP="00041364">
            <w:pPr>
              <w:spacing w:line="360" w:lineRule="auto"/>
              <w:jc w:val="center"/>
              <w:rPr>
                <w:rFonts w:cs="Times New Roman"/>
                <w:szCs w:val="24"/>
              </w:rPr>
            </w:pPr>
            <w:r w:rsidRPr="00550956">
              <w:rPr>
                <w:rFonts w:cs="Times New Roman"/>
                <w:sz w:val="20"/>
                <w:szCs w:val="24"/>
              </w:rPr>
              <w:t>Financial Services</w:t>
            </w:r>
          </w:p>
        </w:tc>
        <w:tc>
          <w:tcPr>
            <w:tcW w:w="0" w:type="auto"/>
            <w:vAlign w:val="center"/>
            <w:hideMark/>
          </w:tcPr>
          <w:p w14:paraId="4E56540B"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0.50</w:t>
            </w:r>
          </w:p>
        </w:tc>
      </w:tr>
    </w:tbl>
    <w:p w14:paraId="130CE2D0" w14:textId="108A78B6"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Source: Based on above tables</w:t>
      </w:r>
    </w:p>
    <w:p w14:paraId="288493A8" w14:textId="77777777" w:rsidR="003979FA" w:rsidRDefault="003979FA" w:rsidP="00041364">
      <w:pPr>
        <w:spacing w:after="0" w:line="480" w:lineRule="auto"/>
        <w:ind w:firstLine="720"/>
        <w:jc w:val="both"/>
        <w:rPr>
          <w:rFonts w:cs="Times New Roman"/>
          <w:b/>
          <w:bCs/>
          <w:szCs w:val="24"/>
        </w:rPr>
      </w:pPr>
    </w:p>
    <w:p w14:paraId="7F3104C2" w14:textId="53F059B4" w:rsidR="00C173F0" w:rsidRPr="00550956" w:rsidRDefault="003979FA" w:rsidP="00041364">
      <w:pPr>
        <w:spacing w:after="0" w:line="480" w:lineRule="auto"/>
        <w:ind w:firstLine="720"/>
        <w:jc w:val="both"/>
        <w:rPr>
          <w:rFonts w:cs="Times New Roman"/>
          <w:szCs w:val="24"/>
        </w:rPr>
      </w:pPr>
      <w:r>
        <w:rPr>
          <w:rFonts w:cs="Times New Roman"/>
          <w:b/>
          <w:bCs/>
          <w:szCs w:val="24"/>
        </w:rPr>
        <w:t xml:space="preserve">Table </w:t>
      </w:r>
      <w:proofErr w:type="gramStart"/>
      <w:r>
        <w:rPr>
          <w:rFonts w:cs="Times New Roman"/>
          <w:b/>
          <w:bCs/>
          <w:szCs w:val="24"/>
        </w:rPr>
        <w:t xml:space="preserve">8 </w:t>
      </w:r>
      <w:r w:rsidR="002D3052">
        <w:rPr>
          <w:rFonts w:cs="Times New Roman"/>
          <w:b/>
          <w:bCs/>
          <w:szCs w:val="24"/>
        </w:rPr>
        <w:t>:</w:t>
      </w:r>
      <w:r w:rsidR="00C173F0" w:rsidRPr="00550956">
        <w:rPr>
          <w:rFonts w:cs="Times New Roman"/>
          <w:b/>
          <w:bCs/>
          <w:szCs w:val="24"/>
        </w:rPr>
        <w:t>Market</w:t>
      </w:r>
      <w:proofErr w:type="gramEnd"/>
      <w:r w:rsidR="00C173F0" w:rsidRPr="00550956">
        <w:rPr>
          <w:rFonts w:cs="Times New Roman"/>
          <w:b/>
          <w:bCs/>
          <w:szCs w:val="24"/>
        </w:rPr>
        <w:t xml:space="preserve"> Potential</w:t>
      </w:r>
      <w:r w:rsidR="00C173F0" w:rsidRPr="00550956">
        <w:rPr>
          <w:rFonts w:cs="Times New Roman"/>
          <w:szCs w:val="24"/>
        </w:rPr>
        <w:t xml:space="preserve"> = Avg of Normalized Growth + Normalized Share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5"/>
        <w:gridCol w:w="1347"/>
        <w:gridCol w:w="1180"/>
        <w:gridCol w:w="2084"/>
      </w:tblGrid>
      <w:tr w:rsidR="00C173F0" w:rsidRPr="00550956" w14:paraId="281A8C11" w14:textId="77777777" w:rsidTr="0081240D">
        <w:trPr>
          <w:tblHeader/>
          <w:tblCellSpacing w:w="15" w:type="dxa"/>
        </w:trPr>
        <w:tc>
          <w:tcPr>
            <w:tcW w:w="0" w:type="auto"/>
            <w:vAlign w:val="center"/>
            <w:hideMark/>
          </w:tcPr>
          <w:p w14:paraId="169076A6"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Sector</w:t>
            </w:r>
          </w:p>
        </w:tc>
        <w:tc>
          <w:tcPr>
            <w:tcW w:w="0" w:type="auto"/>
            <w:vAlign w:val="center"/>
            <w:hideMark/>
          </w:tcPr>
          <w:p w14:paraId="3F246EA2"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Norm. Growth</w:t>
            </w:r>
          </w:p>
        </w:tc>
        <w:tc>
          <w:tcPr>
            <w:tcW w:w="0" w:type="auto"/>
            <w:vAlign w:val="center"/>
            <w:hideMark/>
          </w:tcPr>
          <w:p w14:paraId="73B51CC2"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Norm. Share</w:t>
            </w:r>
          </w:p>
        </w:tc>
        <w:tc>
          <w:tcPr>
            <w:tcW w:w="0" w:type="auto"/>
            <w:vAlign w:val="center"/>
            <w:hideMark/>
          </w:tcPr>
          <w:p w14:paraId="061D2B80"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Market Potential (Avg)</w:t>
            </w:r>
          </w:p>
        </w:tc>
      </w:tr>
      <w:tr w:rsidR="00C173F0" w:rsidRPr="00550956" w14:paraId="73A7A29A" w14:textId="77777777" w:rsidTr="0081240D">
        <w:trPr>
          <w:tblCellSpacing w:w="15" w:type="dxa"/>
        </w:trPr>
        <w:tc>
          <w:tcPr>
            <w:tcW w:w="0" w:type="auto"/>
            <w:vAlign w:val="center"/>
            <w:hideMark/>
          </w:tcPr>
          <w:p w14:paraId="1D7C355B" w14:textId="77777777" w:rsidR="00C173F0" w:rsidRPr="00550956" w:rsidRDefault="00C173F0" w:rsidP="00041364">
            <w:pPr>
              <w:spacing w:line="360" w:lineRule="auto"/>
              <w:jc w:val="center"/>
              <w:rPr>
                <w:rFonts w:cs="Times New Roman"/>
                <w:szCs w:val="24"/>
              </w:rPr>
            </w:pPr>
            <w:r w:rsidRPr="00550956">
              <w:rPr>
                <w:rFonts w:cs="Times New Roman"/>
                <w:sz w:val="20"/>
                <w:szCs w:val="24"/>
              </w:rPr>
              <w:t>Agriculture</w:t>
            </w:r>
          </w:p>
        </w:tc>
        <w:tc>
          <w:tcPr>
            <w:tcW w:w="0" w:type="auto"/>
            <w:vAlign w:val="center"/>
            <w:hideMark/>
          </w:tcPr>
          <w:p w14:paraId="41179AFB" w14:textId="77777777" w:rsidR="00C173F0" w:rsidRPr="00550956" w:rsidRDefault="00C173F0" w:rsidP="00041364">
            <w:pPr>
              <w:spacing w:line="360" w:lineRule="auto"/>
              <w:jc w:val="center"/>
              <w:rPr>
                <w:rFonts w:cs="Times New Roman"/>
                <w:szCs w:val="24"/>
              </w:rPr>
            </w:pPr>
            <w:r w:rsidRPr="00550956">
              <w:rPr>
                <w:rFonts w:cs="Times New Roman"/>
                <w:sz w:val="20"/>
                <w:szCs w:val="24"/>
              </w:rPr>
              <w:t>0.70</w:t>
            </w:r>
          </w:p>
        </w:tc>
        <w:tc>
          <w:tcPr>
            <w:tcW w:w="0" w:type="auto"/>
            <w:vAlign w:val="center"/>
            <w:hideMark/>
          </w:tcPr>
          <w:p w14:paraId="41A16E7E"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0.58</w:t>
            </w:r>
          </w:p>
        </w:tc>
        <w:tc>
          <w:tcPr>
            <w:tcW w:w="0" w:type="auto"/>
            <w:vAlign w:val="center"/>
            <w:hideMark/>
          </w:tcPr>
          <w:p w14:paraId="6918B369"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0.64</w:t>
            </w:r>
          </w:p>
        </w:tc>
      </w:tr>
      <w:tr w:rsidR="00C173F0" w:rsidRPr="00550956" w14:paraId="711310B3" w14:textId="77777777" w:rsidTr="0081240D">
        <w:trPr>
          <w:tblCellSpacing w:w="15" w:type="dxa"/>
        </w:trPr>
        <w:tc>
          <w:tcPr>
            <w:tcW w:w="0" w:type="auto"/>
            <w:vAlign w:val="center"/>
            <w:hideMark/>
          </w:tcPr>
          <w:p w14:paraId="0115D786" w14:textId="77777777" w:rsidR="00C173F0" w:rsidRPr="00550956" w:rsidRDefault="00C173F0" w:rsidP="00041364">
            <w:pPr>
              <w:spacing w:line="360" w:lineRule="auto"/>
              <w:jc w:val="center"/>
              <w:rPr>
                <w:rFonts w:cs="Times New Roman"/>
                <w:szCs w:val="24"/>
              </w:rPr>
            </w:pPr>
            <w:r w:rsidRPr="00550956">
              <w:rPr>
                <w:rFonts w:cs="Times New Roman"/>
                <w:sz w:val="20"/>
                <w:szCs w:val="24"/>
              </w:rPr>
              <w:t>Manufacturing</w:t>
            </w:r>
          </w:p>
        </w:tc>
        <w:tc>
          <w:tcPr>
            <w:tcW w:w="0" w:type="auto"/>
            <w:vAlign w:val="center"/>
            <w:hideMark/>
          </w:tcPr>
          <w:p w14:paraId="3DF9E09C"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362A8B9A"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193A6A77"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0.00</w:t>
            </w:r>
          </w:p>
        </w:tc>
      </w:tr>
      <w:tr w:rsidR="00C173F0" w:rsidRPr="00550956" w14:paraId="6A6D537D" w14:textId="77777777" w:rsidTr="0081240D">
        <w:trPr>
          <w:tblCellSpacing w:w="15" w:type="dxa"/>
        </w:trPr>
        <w:tc>
          <w:tcPr>
            <w:tcW w:w="0" w:type="auto"/>
            <w:vAlign w:val="center"/>
            <w:hideMark/>
          </w:tcPr>
          <w:p w14:paraId="03748915" w14:textId="77777777" w:rsidR="00C173F0" w:rsidRPr="00550956" w:rsidRDefault="00C173F0" w:rsidP="00041364">
            <w:pPr>
              <w:spacing w:line="360" w:lineRule="auto"/>
              <w:jc w:val="center"/>
              <w:rPr>
                <w:rFonts w:cs="Times New Roman"/>
                <w:szCs w:val="24"/>
              </w:rPr>
            </w:pPr>
            <w:r w:rsidRPr="00550956">
              <w:rPr>
                <w:rFonts w:cs="Times New Roman"/>
                <w:sz w:val="20"/>
                <w:szCs w:val="24"/>
              </w:rPr>
              <w:t>Construction</w:t>
            </w:r>
          </w:p>
        </w:tc>
        <w:tc>
          <w:tcPr>
            <w:tcW w:w="0" w:type="auto"/>
            <w:vAlign w:val="center"/>
            <w:hideMark/>
          </w:tcPr>
          <w:p w14:paraId="28BBAD64" w14:textId="77777777" w:rsidR="00C173F0" w:rsidRPr="00550956" w:rsidRDefault="00C173F0" w:rsidP="00041364">
            <w:pPr>
              <w:spacing w:line="360" w:lineRule="auto"/>
              <w:jc w:val="center"/>
              <w:rPr>
                <w:rFonts w:cs="Times New Roman"/>
                <w:szCs w:val="24"/>
              </w:rPr>
            </w:pPr>
            <w:r w:rsidRPr="00550956">
              <w:rPr>
                <w:rFonts w:cs="Times New Roman"/>
                <w:sz w:val="20"/>
                <w:szCs w:val="24"/>
              </w:rPr>
              <w:t>0.66</w:t>
            </w:r>
          </w:p>
        </w:tc>
        <w:tc>
          <w:tcPr>
            <w:tcW w:w="0" w:type="auto"/>
            <w:vAlign w:val="center"/>
            <w:hideMark/>
          </w:tcPr>
          <w:p w14:paraId="42F7A919" w14:textId="77777777" w:rsidR="00C173F0" w:rsidRPr="00550956" w:rsidRDefault="00C173F0" w:rsidP="00041364">
            <w:pPr>
              <w:spacing w:line="360" w:lineRule="auto"/>
              <w:jc w:val="center"/>
              <w:rPr>
                <w:rFonts w:cs="Times New Roman"/>
                <w:szCs w:val="24"/>
              </w:rPr>
            </w:pPr>
            <w:r w:rsidRPr="00550956">
              <w:rPr>
                <w:rFonts w:cs="Times New Roman"/>
                <w:sz w:val="20"/>
                <w:szCs w:val="24"/>
              </w:rPr>
              <w:t>0.00</w:t>
            </w:r>
          </w:p>
        </w:tc>
        <w:tc>
          <w:tcPr>
            <w:tcW w:w="0" w:type="auto"/>
            <w:vAlign w:val="center"/>
            <w:hideMark/>
          </w:tcPr>
          <w:p w14:paraId="321F00C5"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0.33</w:t>
            </w:r>
          </w:p>
        </w:tc>
      </w:tr>
      <w:tr w:rsidR="00C173F0" w:rsidRPr="00550956" w14:paraId="5C66EDF1" w14:textId="77777777" w:rsidTr="0081240D">
        <w:trPr>
          <w:tblCellSpacing w:w="15" w:type="dxa"/>
        </w:trPr>
        <w:tc>
          <w:tcPr>
            <w:tcW w:w="0" w:type="auto"/>
            <w:vAlign w:val="center"/>
            <w:hideMark/>
          </w:tcPr>
          <w:p w14:paraId="7F28DF03" w14:textId="77777777" w:rsidR="00C173F0" w:rsidRPr="00550956" w:rsidRDefault="00C173F0" w:rsidP="00041364">
            <w:pPr>
              <w:spacing w:line="360" w:lineRule="auto"/>
              <w:jc w:val="center"/>
              <w:rPr>
                <w:rFonts w:cs="Times New Roman"/>
                <w:szCs w:val="24"/>
              </w:rPr>
            </w:pPr>
            <w:r w:rsidRPr="00550956">
              <w:rPr>
                <w:rFonts w:cs="Times New Roman"/>
                <w:sz w:val="20"/>
                <w:szCs w:val="24"/>
              </w:rPr>
              <w:t>Trade &amp; Transport</w:t>
            </w:r>
          </w:p>
        </w:tc>
        <w:tc>
          <w:tcPr>
            <w:tcW w:w="0" w:type="auto"/>
            <w:vAlign w:val="center"/>
            <w:hideMark/>
          </w:tcPr>
          <w:p w14:paraId="5E0078EA" w14:textId="77777777" w:rsidR="00C173F0" w:rsidRPr="00550956" w:rsidRDefault="00C173F0" w:rsidP="00041364">
            <w:pPr>
              <w:spacing w:line="360" w:lineRule="auto"/>
              <w:jc w:val="center"/>
              <w:rPr>
                <w:rFonts w:cs="Times New Roman"/>
                <w:szCs w:val="24"/>
              </w:rPr>
            </w:pPr>
            <w:r w:rsidRPr="00550956">
              <w:rPr>
                <w:rFonts w:cs="Times New Roman"/>
                <w:sz w:val="20"/>
                <w:szCs w:val="24"/>
              </w:rPr>
              <w:t>1.00</w:t>
            </w:r>
          </w:p>
        </w:tc>
        <w:tc>
          <w:tcPr>
            <w:tcW w:w="0" w:type="auto"/>
            <w:vAlign w:val="center"/>
            <w:hideMark/>
          </w:tcPr>
          <w:p w14:paraId="532B888A" w14:textId="77777777" w:rsidR="00C173F0" w:rsidRPr="00550956" w:rsidRDefault="00C173F0" w:rsidP="00041364">
            <w:pPr>
              <w:spacing w:line="360" w:lineRule="auto"/>
              <w:jc w:val="center"/>
              <w:rPr>
                <w:rFonts w:cs="Times New Roman"/>
                <w:szCs w:val="24"/>
              </w:rPr>
            </w:pPr>
            <w:r w:rsidRPr="00550956">
              <w:rPr>
                <w:rFonts w:cs="Times New Roman"/>
                <w:sz w:val="20"/>
                <w:szCs w:val="24"/>
              </w:rPr>
              <w:t>0.57</w:t>
            </w:r>
          </w:p>
        </w:tc>
        <w:tc>
          <w:tcPr>
            <w:tcW w:w="0" w:type="auto"/>
            <w:vAlign w:val="center"/>
            <w:hideMark/>
          </w:tcPr>
          <w:p w14:paraId="482206AD"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0.79</w:t>
            </w:r>
          </w:p>
        </w:tc>
      </w:tr>
      <w:tr w:rsidR="00C173F0" w:rsidRPr="00550956" w14:paraId="7E50A040" w14:textId="77777777" w:rsidTr="0081240D">
        <w:trPr>
          <w:tblCellSpacing w:w="15" w:type="dxa"/>
        </w:trPr>
        <w:tc>
          <w:tcPr>
            <w:tcW w:w="0" w:type="auto"/>
            <w:vAlign w:val="center"/>
            <w:hideMark/>
          </w:tcPr>
          <w:p w14:paraId="73C3213F" w14:textId="77777777" w:rsidR="00C173F0" w:rsidRPr="00550956" w:rsidRDefault="00C173F0" w:rsidP="00041364">
            <w:pPr>
              <w:spacing w:line="360" w:lineRule="auto"/>
              <w:jc w:val="center"/>
              <w:rPr>
                <w:rFonts w:cs="Times New Roman"/>
                <w:szCs w:val="24"/>
              </w:rPr>
            </w:pPr>
            <w:r w:rsidRPr="00550956">
              <w:rPr>
                <w:rFonts w:cs="Times New Roman"/>
                <w:sz w:val="20"/>
                <w:szCs w:val="24"/>
              </w:rPr>
              <w:t>Financial Services</w:t>
            </w:r>
          </w:p>
        </w:tc>
        <w:tc>
          <w:tcPr>
            <w:tcW w:w="0" w:type="auto"/>
            <w:vAlign w:val="center"/>
            <w:hideMark/>
          </w:tcPr>
          <w:p w14:paraId="1FDF60E7" w14:textId="77777777" w:rsidR="00C173F0" w:rsidRPr="00550956" w:rsidRDefault="00C173F0" w:rsidP="00041364">
            <w:pPr>
              <w:spacing w:line="360" w:lineRule="auto"/>
              <w:jc w:val="center"/>
              <w:rPr>
                <w:rFonts w:cs="Times New Roman"/>
                <w:szCs w:val="24"/>
              </w:rPr>
            </w:pPr>
            <w:r w:rsidRPr="00550956">
              <w:rPr>
                <w:rFonts w:cs="Times New Roman"/>
                <w:sz w:val="20"/>
                <w:szCs w:val="24"/>
              </w:rPr>
              <w:t>0.42</w:t>
            </w:r>
          </w:p>
        </w:tc>
        <w:tc>
          <w:tcPr>
            <w:tcW w:w="0" w:type="auto"/>
            <w:vAlign w:val="center"/>
            <w:hideMark/>
          </w:tcPr>
          <w:p w14:paraId="579550DD" w14:textId="77777777" w:rsidR="00C173F0" w:rsidRPr="00550956" w:rsidRDefault="00C173F0" w:rsidP="00041364">
            <w:pPr>
              <w:spacing w:line="360" w:lineRule="auto"/>
              <w:jc w:val="center"/>
              <w:rPr>
                <w:rFonts w:cs="Times New Roman"/>
                <w:szCs w:val="24"/>
              </w:rPr>
            </w:pPr>
            <w:r w:rsidRPr="00550956">
              <w:rPr>
                <w:rFonts w:cs="Times New Roman"/>
                <w:sz w:val="20"/>
                <w:szCs w:val="24"/>
              </w:rPr>
              <w:t>1.00</w:t>
            </w:r>
          </w:p>
        </w:tc>
        <w:tc>
          <w:tcPr>
            <w:tcW w:w="0" w:type="auto"/>
            <w:vAlign w:val="center"/>
            <w:hideMark/>
          </w:tcPr>
          <w:p w14:paraId="164C0B0D"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0.71</w:t>
            </w:r>
          </w:p>
        </w:tc>
      </w:tr>
    </w:tbl>
    <w:p w14:paraId="5AD4D6A7" w14:textId="77777777"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Source: Based on above tables</w:t>
      </w:r>
    </w:p>
    <w:p w14:paraId="7FE37570" w14:textId="77777777" w:rsidR="002E1603" w:rsidRPr="00550956" w:rsidRDefault="002E1603" w:rsidP="00041364">
      <w:pPr>
        <w:spacing w:after="0" w:line="480" w:lineRule="auto"/>
        <w:ind w:firstLine="720"/>
        <w:jc w:val="both"/>
        <w:rPr>
          <w:rFonts w:cs="Times New Roman"/>
          <w:b/>
          <w:bCs/>
          <w:szCs w:val="24"/>
        </w:rPr>
      </w:pPr>
    </w:p>
    <w:p w14:paraId="7620AFBB" w14:textId="04139FBB" w:rsidR="00C173F0" w:rsidRPr="00550956" w:rsidRDefault="00C173F0" w:rsidP="00041364">
      <w:pPr>
        <w:spacing w:after="0" w:line="480" w:lineRule="auto"/>
        <w:ind w:firstLine="720"/>
        <w:jc w:val="both"/>
        <w:rPr>
          <w:rFonts w:cs="Times New Roman"/>
          <w:b/>
          <w:bCs/>
          <w:szCs w:val="24"/>
        </w:rPr>
      </w:pPr>
      <w:r w:rsidRPr="00550956">
        <w:rPr>
          <w:rFonts w:cs="Times New Roman"/>
          <w:b/>
          <w:bCs/>
          <w:szCs w:val="24"/>
        </w:rPr>
        <w:t>Thresholds for “High” vs. “Low”</w:t>
      </w:r>
    </w:p>
    <w:p w14:paraId="5F029C22" w14:textId="77777777" w:rsidR="00C173F0" w:rsidRPr="00550956" w:rsidRDefault="00C173F0" w:rsidP="00041364">
      <w:pPr>
        <w:spacing w:after="0" w:line="480" w:lineRule="auto"/>
        <w:ind w:firstLine="720"/>
        <w:jc w:val="both"/>
        <w:rPr>
          <w:rFonts w:cs="Times New Roman"/>
          <w:szCs w:val="24"/>
        </w:rPr>
      </w:pPr>
      <w:r w:rsidRPr="00550956">
        <w:rPr>
          <w:rFonts w:cs="Times New Roman"/>
          <w:szCs w:val="24"/>
        </w:rPr>
        <w:t xml:space="preserve">We use </w:t>
      </w:r>
      <w:r w:rsidRPr="003979FA">
        <w:rPr>
          <w:rFonts w:cs="Times New Roman"/>
          <w:szCs w:val="24"/>
        </w:rPr>
        <w:t>median</w:t>
      </w:r>
      <w:r w:rsidRPr="00550956">
        <w:rPr>
          <w:rFonts w:cs="Times New Roman"/>
          <w:szCs w:val="24"/>
        </w:rPr>
        <w:t xml:space="preserve"> values as cut-offs:</w:t>
      </w:r>
    </w:p>
    <w:p w14:paraId="022CA04B" w14:textId="77777777" w:rsidR="00C173F0" w:rsidRPr="00550956" w:rsidRDefault="00C173F0" w:rsidP="00041364">
      <w:pPr>
        <w:numPr>
          <w:ilvl w:val="0"/>
          <w:numId w:val="22"/>
        </w:numPr>
        <w:spacing w:after="0" w:line="480" w:lineRule="auto"/>
        <w:ind w:left="0" w:firstLine="720"/>
        <w:jc w:val="both"/>
        <w:rPr>
          <w:rFonts w:cs="Times New Roman"/>
          <w:szCs w:val="24"/>
        </w:rPr>
      </w:pPr>
      <w:r w:rsidRPr="00550956">
        <w:rPr>
          <w:rFonts w:cs="Times New Roman"/>
          <w:szCs w:val="24"/>
        </w:rPr>
        <w:t xml:space="preserve">Median </w:t>
      </w:r>
      <w:r w:rsidRPr="00550956">
        <w:rPr>
          <w:rFonts w:cs="Times New Roman"/>
          <w:b/>
          <w:bCs/>
          <w:szCs w:val="24"/>
        </w:rPr>
        <w:t>Sustainability Score</w:t>
      </w:r>
      <w:r w:rsidRPr="00550956">
        <w:rPr>
          <w:rFonts w:cs="Times New Roman"/>
          <w:szCs w:val="24"/>
        </w:rPr>
        <w:t xml:space="preserve"> ≈ 0.50</w:t>
      </w:r>
    </w:p>
    <w:p w14:paraId="050E0BDB" w14:textId="77777777" w:rsidR="00C173F0" w:rsidRDefault="00C173F0" w:rsidP="00041364">
      <w:pPr>
        <w:numPr>
          <w:ilvl w:val="0"/>
          <w:numId w:val="22"/>
        </w:numPr>
        <w:spacing w:after="0" w:line="480" w:lineRule="auto"/>
        <w:ind w:left="0" w:firstLine="720"/>
        <w:jc w:val="both"/>
        <w:rPr>
          <w:rFonts w:cs="Times New Roman"/>
          <w:szCs w:val="24"/>
        </w:rPr>
      </w:pPr>
      <w:r w:rsidRPr="00550956">
        <w:rPr>
          <w:rFonts w:cs="Times New Roman"/>
          <w:szCs w:val="24"/>
        </w:rPr>
        <w:t xml:space="preserve">Median </w:t>
      </w:r>
      <w:r w:rsidRPr="00550956">
        <w:rPr>
          <w:rFonts w:cs="Times New Roman"/>
          <w:b/>
          <w:bCs/>
          <w:szCs w:val="24"/>
        </w:rPr>
        <w:t>Market Potential</w:t>
      </w:r>
      <w:r w:rsidRPr="00550956">
        <w:rPr>
          <w:rFonts w:cs="Times New Roman"/>
          <w:szCs w:val="24"/>
        </w:rPr>
        <w:t xml:space="preserve"> ≈ 0.64</w:t>
      </w:r>
    </w:p>
    <w:p w14:paraId="1CE05660" w14:textId="231EFE8A" w:rsidR="0081240D" w:rsidRPr="0081240D" w:rsidRDefault="0081240D" w:rsidP="00041364">
      <w:pPr>
        <w:spacing w:after="0" w:line="480" w:lineRule="auto"/>
        <w:ind w:firstLine="720"/>
        <w:jc w:val="both"/>
        <w:rPr>
          <w:rFonts w:cs="Times New Roman"/>
          <w:b/>
          <w:bCs/>
          <w:szCs w:val="24"/>
        </w:rPr>
      </w:pPr>
      <w:r w:rsidRPr="0081240D">
        <w:rPr>
          <w:rFonts w:cs="Times New Roman"/>
          <w:b/>
          <w:bCs/>
          <w:szCs w:val="24"/>
        </w:rPr>
        <w:t>Table 9</w:t>
      </w:r>
      <w:r w:rsidR="002D3052">
        <w:rPr>
          <w:rFonts w:cs="Times New Roman"/>
          <w:b/>
          <w:bCs/>
          <w:szCs w:val="24"/>
        </w:rPr>
        <w:t>:</w:t>
      </w:r>
      <w:r w:rsidRPr="0081240D">
        <w:rPr>
          <w:rFonts w:cs="Times New Roman"/>
          <w:b/>
          <w:bCs/>
          <w:szCs w:val="24"/>
        </w:rPr>
        <w:t xml:space="preserve"> Threshold Levels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1364"/>
        <w:gridCol w:w="1061"/>
      </w:tblGrid>
      <w:tr w:rsidR="00C173F0" w:rsidRPr="00550956" w14:paraId="36FBE4F5" w14:textId="77777777" w:rsidTr="0081240D">
        <w:trPr>
          <w:tblHeader/>
          <w:tblCellSpacing w:w="15" w:type="dxa"/>
        </w:trPr>
        <w:tc>
          <w:tcPr>
            <w:tcW w:w="0" w:type="auto"/>
            <w:vAlign w:val="center"/>
            <w:hideMark/>
          </w:tcPr>
          <w:p w14:paraId="06E9834B"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Sustainability → / Market ↓</w:t>
            </w:r>
          </w:p>
        </w:tc>
        <w:tc>
          <w:tcPr>
            <w:tcW w:w="0" w:type="auto"/>
            <w:vAlign w:val="center"/>
            <w:hideMark/>
          </w:tcPr>
          <w:p w14:paraId="475E773A"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Low (&lt;0.5)</w:t>
            </w:r>
          </w:p>
        </w:tc>
        <w:tc>
          <w:tcPr>
            <w:tcW w:w="0" w:type="auto"/>
            <w:vAlign w:val="center"/>
            <w:hideMark/>
          </w:tcPr>
          <w:p w14:paraId="0E10D65A" w14:textId="77777777" w:rsidR="00C173F0" w:rsidRPr="00550956" w:rsidRDefault="00C173F0" w:rsidP="00041364">
            <w:pPr>
              <w:spacing w:line="360" w:lineRule="auto"/>
              <w:jc w:val="center"/>
              <w:rPr>
                <w:rFonts w:cs="Times New Roman"/>
                <w:b/>
                <w:bCs/>
                <w:szCs w:val="24"/>
              </w:rPr>
            </w:pPr>
            <w:r w:rsidRPr="00550956">
              <w:rPr>
                <w:rFonts w:cs="Times New Roman"/>
                <w:b/>
                <w:bCs/>
                <w:sz w:val="20"/>
                <w:szCs w:val="24"/>
              </w:rPr>
              <w:t>High (≥0.5)</w:t>
            </w:r>
          </w:p>
        </w:tc>
      </w:tr>
      <w:tr w:rsidR="00C173F0" w:rsidRPr="00550956" w14:paraId="2D13B9FA" w14:textId="77777777" w:rsidTr="0081240D">
        <w:trPr>
          <w:tblCellSpacing w:w="15" w:type="dxa"/>
        </w:trPr>
        <w:tc>
          <w:tcPr>
            <w:tcW w:w="0" w:type="auto"/>
            <w:vAlign w:val="center"/>
            <w:hideMark/>
          </w:tcPr>
          <w:p w14:paraId="788B4F8F"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Low (&lt;0.64)</w:t>
            </w:r>
          </w:p>
        </w:tc>
        <w:tc>
          <w:tcPr>
            <w:tcW w:w="0" w:type="auto"/>
            <w:vAlign w:val="center"/>
            <w:hideMark/>
          </w:tcPr>
          <w:p w14:paraId="137828DF" w14:textId="77777777" w:rsidR="00C173F0" w:rsidRPr="00550956" w:rsidRDefault="00C173F0" w:rsidP="00041364">
            <w:pPr>
              <w:spacing w:line="360" w:lineRule="auto"/>
              <w:jc w:val="center"/>
              <w:rPr>
                <w:rFonts w:cs="Times New Roman"/>
                <w:szCs w:val="24"/>
              </w:rPr>
            </w:pPr>
            <w:r w:rsidRPr="00550956">
              <w:rPr>
                <w:rFonts w:cs="Times New Roman"/>
                <w:sz w:val="20"/>
                <w:szCs w:val="24"/>
              </w:rPr>
              <w:t>Dogs</w:t>
            </w:r>
          </w:p>
        </w:tc>
        <w:tc>
          <w:tcPr>
            <w:tcW w:w="0" w:type="auto"/>
            <w:vAlign w:val="center"/>
            <w:hideMark/>
          </w:tcPr>
          <w:p w14:paraId="03C4B9AC" w14:textId="77777777" w:rsidR="00C173F0" w:rsidRPr="00550956" w:rsidRDefault="00C173F0" w:rsidP="00041364">
            <w:pPr>
              <w:spacing w:line="360" w:lineRule="auto"/>
              <w:jc w:val="center"/>
              <w:rPr>
                <w:rFonts w:cs="Times New Roman"/>
                <w:szCs w:val="24"/>
              </w:rPr>
            </w:pPr>
            <w:r w:rsidRPr="00550956">
              <w:rPr>
                <w:rFonts w:cs="Times New Roman"/>
                <w:sz w:val="20"/>
                <w:szCs w:val="24"/>
              </w:rPr>
              <w:t>Cash Cows</w:t>
            </w:r>
          </w:p>
        </w:tc>
      </w:tr>
      <w:tr w:rsidR="00C173F0" w:rsidRPr="00550956" w14:paraId="10E6CADB" w14:textId="77777777" w:rsidTr="0081240D">
        <w:trPr>
          <w:tblCellSpacing w:w="15" w:type="dxa"/>
        </w:trPr>
        <w:tc>
          <w:tcPr>
            <w:tcW w:w="0" w:type="auto"/>
            <w:vAlign w:val="center"/>
            <w:hideMark/>
          </w:tcPr>
          <w:p w14:paraId="68D27207" w14:textId="77777777" w:rsidR="00C173F0" w:rsidRPr="00550956" w:rsidRDefault="00C173F0" w:rsidP="00041364">
            <w:pPr>
              <w:spacing w:line="360" w:lineRule="auto"/>
              <w:jc w:val="center"/>
              <w:rPr>
                <w:rFonts w:cs="Times New Roman"/>
                <w:szCs w:val="24"/>
              </w:rPr>
            </w:pPr>
            <w:r w:rsidRPr="00550956">
              <w:rPr>
                <w:rFonts w:cs="Times New Roman"/>
                <w:b/>
                <w:bCs/>
                <w:sz w:val="20"/>
                <w:szCs w:val="24"/>
              </w:rPr>
              <w:t>High (≥0.64)</w:t>
            </w:r>
          </w:p>
        </w:tc>
        <w:tc>
          <w:tcPr>
            <w:tcW w:w="0" w:type="auto"/>
            <w:vAlign w:val="center"/>
            <w:hideMark/>
          </w:tcPr>
          <w:p w14:paraId="6C6D57F3" w14:textId="77777777" w:rsidR="00C173F0" w:rsidRPr="00550956" w:rsidRDefault="00C173F0" w:rsidP="00041364">
            <w:pPr>
              <w:spacing w:line="360" w:lineRule="auto"/>
              <w:jc w:val="center"/>
              <w:rPr>
                <w:rFonts w:cs="Times New Roman"/>
                <w:szCs w:val="24"/>
              </w:rPr>
            </w:pPr>
            <w:r w:rsidRPr="00550956">
              <w:rPr>
                <w:rFonts w:cs="Times New Roman"/>
                <w:sz w:val="20"/>
                <w:szCs w:val="24"/>
              </w:rPr>
              <w:t>Question Marks</w:t>
            </w:r>
          </w:p>
        </w:tc>
        <w:tc>
          <w:tcPr>
            <w:tcW w:w="0" w:type="auto"/>
            <w:vAlign w:val="center"/>
            <w:hideMark/>
          </w:tcPr>
          <w:p w14:paraId="39D3E436" w14:textId="77777777" w:rsidR="00C173F0" w:rsidRPr="00550956" w:rsidRDefault="00C173F0" w:rsidP="00041364">
            <w:pPr>
              <w:spacing w:line="360" w:lineRule="auto"/>
              <w:jc w:val="center"/>
              <w:rPr>
                <w:rFonts w:cs="Times New Roman"/>
                <w:szCs w:val="24"/>
              </w:rPr>
            </w:pPr>
            <w:r w:rsidRPr="00550956">
              <w:rPr>
                <w:rFonts w:cs="Times New Roman"/>
                <w:sz w:val="20"/>
                <w:szCs w:val="24"/>
              </w:rPr>
              <w:t>Stars</w:t>
            </w:r>
          </w:p>
        </w:tc>
      </w:tr>
    </w:tbl>
    <w:p w14:paraId="3F3E0443" w14:textId="7B0EF939" w:rsidR="003979FA" w:rsidRPr="003979FA" w:rsidRDefault="003979FA" w:rsidP="00041364">
      <w:pPr>
        <w:spacing w:after="0" w:line="480" w:lineRule="auto"/>
        <w:ind w:firstLine="720"/>
        <w:jc w:val="both"/>
        <w:rPr>
          <w:rFonts w:cs="Times New Roman"/>
          <w:i/>
          <w:iCs/>
          <w:sz w:val="22"/>
        </w:rPr>
      </w:pPr>
      <w:r w:rsidRPr="003979FA">
        <w:rPr>
          <w:rFonts w:cs="Times New Roman"/>
          <w:i/>
          <w:iCs/>
          <w:sz w:val="22"/>
        </w:rPr>
        <w:t xml:space="preserve">Source: </w:t>
      </w:r>
      <w:r>
        <w:rPr>
          <w:rFonts w:cs="Times New Roman"/>
          <w:i/>
          <w:iCs/>
          <w:sz w:val="22"/>
        </w:rPr>
        <w:t>Author’s Calculation</w:t>
      </w:r>
    </w:p>
    <w:p w14:paraId="0100E1DE" w14:textId="77777777" w:rsidR="00C173F0" w:rsidRPr="00550956" w:rsidRDefault="00C173F0" w:rsidP="00041364">
      <w:pPr>
        <w:spacing w:after="0" w:line="480" w:lineRule="auto"/>
        <w:ind w:firstLine="720"/>
        <w:jc w:val="both"/>
        <w:rPr>
          <w:rFonts w:eastAsia="inter" w:cs="Times New Roman"/>
          <w:b/>
          <w:color w:val="000000"/>
          <w:szCs w:val="24"/>
        </w:rPr>
      </w:pPr>
    </w:p>
    <w:p w14:paraId="19E5BEDE" w14:textId="65F69290" w:rsidR="00825724" w:rsidRPr="00550956" w:rsidRDefault="002A50FF" w:rsidP="00041364">
      <w:pPr>
        <w:spacing w:after="0" w:line="480" w:lineRule="auto"/>
        <w:ind w:firstLine="720"/>
        <w:jc w:val="both"/>
        <w:rPr>
          <w:rFonts w:eastAsia="inter" w:cs="Times New Roman"/>
          <w:b/>
          <w:color w:val="000000"/>
          <w:szCs w:val="24"/>
        </w:rPr>
      </w:pPr>
      <w:r w:rsidRPr="00550956">
        <w:rPr>
          <w:rFonts w:eastAsia="inter" w:cs="Times New Roman"/>
          <w:b/>
          <w:color w:val="000000"/>
          <w:szCs w:val="24"/>
        </w:rPr>
        <w:t xml:space="preserve">Table </w:t>
      </w:r>
      <w:r w:rsidR="0081240D">
        <w:rPr>
          <w:rFonts w:eastAsia="inter" w:cs="Times New Roman"/>
          <w:b/>
          <w:color w:val="000000"/>
          <w:szCs w:val="24"/>
        </w:rPr>
        <w:t>10</w:t>
      </w:r>
      <w:r w:rsidRPr="00550956">
        <w:rPr>
          <w:rFonts w:eastAsia="inter" w:cs="Times New Roman"/>
          <w:b/>
          <w:color w:val="000000"/>
          <w:szCs w:val="24"/>
        </w:rPr>
        <w:t>: Quadrant Assignment Table</w:t>
      </w:r>
    </w:p>
    <w:p w14:paraId="1DD80D7D" w14:textId="77777777" w:rsidR="00C173F0" w:rsidRPr="00550956" w:rsidRDefault="00C173F0" w:rsidP="00041364">
      <w:pPr>
        <w:spacing w:after="0" w:line="480" w:lineRule="auto"/>
        <w:ind w:firstLine="720"/>
        <w:jc w:val="both"/>
        <w:rPr>
          <w:rFonts w:cs="Times New Roman"/>
          <w:szCs w:val="24"/>
        </w:rPr>
      </w:pPr>
    </w:p>
    <w:tbl>
      <w:tblPr>
        <w:tblStyle w:val="NormalGrid"/>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368"/>
        <w:gridCol w:w="1679"/>
        <w:gridCol w:w="1546"/>
      </w:tblGrid>
      <w:tr w:rsidR="00825724" w:rsidRPr="00550956" w14:paraId="6A07DF86" w14:textId="77777777" w:rsidTr="0081240D">
        <w:trPr>
          <w:cantSplit/>
          <w:tblCellSpacing w:w="0" w:type="dxa"/>
        </w:trPr>
        <w:tc>
          <w:tcPr>
            <w:tcW w:w="0" w:type="auto"/>
          </w:tcPr>
          <w:p w14:paraId="048A344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Sector</w:t>
            </w:r>
          </w:p>
        </w:tc>
        <w:tc>
          <w:tcPr>
            <w:tcW w:w="0" w:type="auto"/>
          </w:tcPr>
          <w:p w14:paraId="4504BBB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SEDA Score</w:t>
            </w:r>
          </w:p>
        </w:tc>
        <w:tc>
          <w:tcPr>
            <w:tcW w:w="0" w:type="auto"/>
          </w:tcPr>
          <w:p w14:paraId="61A2EA0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Market Potential</w:t>
            </w:r>
          </w:p>
        </w:tc>
        <w:tc>
          <w:tcPr>
            <w:tcW w:w="0" w:type="auto"/>
          </w:tcPr>
          <w:p w14:paraId="41F834A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Quadrant</w:t>
            </w:r>
          </w:p>
        </w:tc>
      </w:tr>
      <w:tr w:rsidR="00825724" w:rsidRPr="00550956" w14:paraId="4566A759" w14:textId="77777777" w:rsidTr="0081240D">
        <w:trPr>
          <w:cantSplit/>
          <w:tblCellSpacing w:w="0" w:type="dxa"/>
        </w:trPr>
        <w:tc>
          <w:tcPr>
            <w:tcW w:w="0" w:type="auto"/>
          </w:tcPr>
          <w:p w14:paraId="4B170C1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Trade &amp; Transport</w:t>
            </w:r>
          </w:p>
        </w:tc>
        <w:tc>
          <w:tcPr>
            <w:tcW w:w="0" w:type="auto"/>
          </w:tcPr>
          <w:p w14:paraId="4E38BF1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0.42</w:t>
            </w:r>
          </w:p>
        </w:tc>
        <w:tc>
          <w:tcPr>
            <w:tcW w:w="0" w:type="auto"/>
          </w:tcPr>
          <w:p w14:paraId="7207367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0.84</w:t>
            </w:r>
          </w:p>
        </w:tc>
        <w:tc>
          <w:tcPr>
            <w:tcW w:w="0" w:type="auto"/>
          </w:tcPr>
          <w:p w14:paraId="19C2132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w:t>
            </w:r>
          </w:p>
        </w:tc>
      </w:tr>
      <w:tr w:rsidR="00825724" w:rsidRPr="00550956" w14:paraId="1B630A4C" w14:textId="77777777" w:rsidTr="0081240D">
        <w:trPr>
          <w:cantSplit/>
          <w:tblCellSpacing w:w="0" w:type="dxa"/>
        </w:trPr>
        <w:tc>
          <w:tcPr>
            <w:tcW w:w="0" w:type="auto"/>
          </w:tcPr>
          <w:p w14:paraId="0E2EE0C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Financial Services</w:t>
            </w:r>
          </w:p>
        </w:tc>
        <w:tc>
          <w:tcPr>
            <w:tcW w:w="0" w:type="auto"/>
          </w:tcPr>
          <w:p w14:paraId="37728E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0.50</w:t>
            </w:r>
          </w:p>
        </w:tc>
        <w:tc>
          <w:tcPr>
            <w:tcW w:w="0" w:type="auto"/>
          </w:tcPr>
          <w:p w14:paraId="40E3243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64F162A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w:t>
            </w:r>
          </w:p>
        </w:tc>
      </w:tr>
      <w:tr w:rsidR="00825724" w:rsidRPr="00550956" w14:paraId="066A60D2" w14:textId="77777777" w:rsidTr="0081240D">
        <w:trPr>
          <w:cantSplit/>
          <w:tblCellSpacing w:w="0" w:type="dxa"/>
        </w:trPr>
        <w:tc>
          <w:tcPr>
            <w:tcW w:w="0" w:type="auto"/>
          </w:tcPr>
          <w:p w14:paraId="418EC6B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lastRenderedPageBreak/>
              <w:t>Manufacturing</w:t>
            </w:r>
          </w:p>
        </w:tc>
        <w:tc>
          <w:tcPr>
            <w:tcW w:w="0" w:type="auto"/>
          </w:tcPr>
          <w:p w14:paraId="1D6A7B2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0.70</w:t>
            </w:r>
          </w:p>
        </w:tc>
        <w:tc>
          <w:tcPr>
            <w:tcW w:w="0" w:type="auto"/>
          </w:tcPr>
          <w:p w14:paraId="1902654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0BF30DF0"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Cash Cow</w:t>
            </w:r>
          </w:p>
        </w:tc>
      </w:tr>
      <w:tr w:rsidR="00825724" w:rsidRPr="00550956" w14:paraId="176922F2" w14:textId="77777777" w:rsidTr="0081240D">
        <w:trPr>
          <w:cantSplit/>
          <w:tblCellSpacing w:w="0" w:type="dxa"/>
        </w:trPr>
        <w:tc>
          <w:tcPr>
            <w:tcW w:w="0" w:type="auto"/>
          </w:tcPr>
          <w:p w14:paraId="3A110758"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Agriculture</w:t>
            </w:r>
          </w:p>
        </w:tc>
        <w:tc>
          <w:tcPr>
            <w:tcW w:w="0" w:type="auto"/>
          </w:tcPr>
          <w:p w14:paraId="3A539782"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0.22</w:t>
            </w:r>
          </w:p>
        </w:tc>
        <w:tc>
          <w:tcPr>
            <w:tcW w:w="0" w:type="auto"/>
          </w:tcPr>
          <w:p w14:paraId="33E8163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0.72</w:t>
            </w:r>
          </w:p>
        </w:tc>
        <w:tc>
          <w:tcPr>
            <w:tcW w:w="0" w:type="auto"/>
          </w:tcPr>
          <w:p w14:paraId="69A91A7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Question Mark</w:t>
            </w:r>
          </w:p>
        </w:tc>
      </w:tr>
      <w:tr w:rsidR="00825724" w:rsidRPr="00550956" w14:paraId="5C315354" w14:textId="77777777" w:rsidTr="0081240D">
        <w:trPr>
          <w:cantSplit/>
          <w:tblCellSpacing w:w="0" w:type="dxa"/>
        </w:trPr>
        <w:tc>
          <w:tcPr>
            <w:tcW w:w="0" w:type="auto"/>
          </w:tcPr>
          <w:p w14:paraId="376E5DFB"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Construction</w:t>
            </w:r>
          </w:p>
        </w:tc>
        <w:tc>
          <w:tcPr>
            <w:tcW w:w="0" w:type="auto"/>
          </w:tcPr>
          <w:p w14:paraId="2018254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0.21</w:t>
            </w:r>
          </w:p>
        </w:tc>
        <w:tc>
          <w:tcPr>
            <w:tcW w:w="0" w:type="auto"/>
          </w:tcPr>
          <w:p w14:paraId="595AC60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0.34</w:t>
            </w:r>
          </w:p>
        </w:tc>
        <w:tc>
          <w:tcPr>
            <w:tcW w:w="0" w:type="auto"/>
          </w:tcPr>
          <w:p w14:paraId="0A6B949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w:t>
            </w:r>
          </w:p>
        </w:tc>
      </w:tr>
      <w:tr w:rsidR="00825724" w:rsidRPr="00550956" w14:paraId="0422EC23" w14:textId="77777777" w:rsidTr="0081240D">
        <w:trPr>
          <w:cantSplit/>
          <w:tblCellSpacing w:w="0" w:type="dxa"/>
        </w:trPr>
        <w:tc>
          <w:tcPr>
            <w:tcW w:w="0" w:type="auto"/>
          </w:tcPr>
          <w:p w14:paraId="6B56A6DD"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Public Admin</w:t>
            </w:r>
          </w:p>
        </w:tc>
        <w:tc>
          <w:tcPr>
            <w:tcW w:w="0" w:type="auto"/>
          </w:tcPr>
          <w:p w14:paraId="764C54F5"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0.41</w:t>
            </w:r>
          </w:p>
        </w:tc>
        <w:tc>
          <w:tcPr>
            <w:tcW w:w="0" w:type="auto"/>
          </w:tcPr>
          <w:p w14:paraId="696431C3"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0.14</w:t>
            </w:r>
          </w:p>
        </w:tc>
        <w:tc>
          <w:tcPr>
            <w:tcW w:w="0" w:type="auto"/>
          </w:tcPr>
          <w:p w14:paraId="43D6024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w:t>
            </w:r>
          </w:p>
        </w:tc>
      </w:tr>
    </w:tbl>
    <w:p w14:paraId="383D47AD" w14:textId="738EF2EE" w:rsidR="00825724" w:rsidRPr="00C45EA6" w:rsidRDefault="0081240D" w:rsidP="00041364">
      <w:pPr>
        <w:spacing w:after="0" w:line="480" w:lineRule="auto"/>
        <w:ind w:firstLine="720"/>
        <w:jc w:val="both"/>
        <w:rPr>
          <w:rFonts w:cs="Times New Roman"/>
          <w:i/>
          <w:iCs/>
          <w:sz w:val="22"/>
        </w:rPr>
      </w:pPr>
      <w:r w:rsidRPr="0081240D">
        <w:rPr>
          <w:rFonts w:cs="Times New Roman"/>
          <w:i/>
          <w:iCs/>
          <w:sz w:val="22"/>
        </w:rPr>
        <w:t>Source: Based on above tables</w:t>
      </w:r>
    </w:p>
    <w:p w14:paraId="21F39A3B" w14:textId="120A5FED" w:rsidR="00825724" w:rsidRDefault="002A50FF" w:rsidP="00041364">
      <w:pPr>
        <w:spacing w:before="315" w:after="0" w:line="480" w:lineRule="auto"/>
        <w:ind w:firstLine="720"/>
        <w:jc w:val="both"/>
        <w:rPr>
          <w:rFonts w:eastAsia="inter" w:cs="Times New Roman"/>
          <w:color w:val="000000"/>
          <w:szCs w:val="24"/>
        </w:rPr>
      </w:pPr>
      <w:r w:rsidRPr="00550956">
        <w:rPr>
          <w:rFonts w:eastAsia="inter" w:cs="Times New Roman"/>
          <w:color w:val="000000"/>
          <w:szCs w:val="24"/>
        </w:rPr>
        <w:t xml:space="preserve"> </w:t>
      </w:r>
      <w:r w:rsidRPr="00C45EA6">
        <w:rPr>
          <w:rFonts w:eastAsia="inter" w:cs="Times New Roman"/>
          <w:color w:val="000000"/>
          <w:szCs w:val="28"/>
        </w:rPr>
        <w:t>BCG Matrix Visualization</w:t>
      </w:r>
    </w:p>
    <w:p w14:paraId="5AB6016E" w14:textId="77777777" w:rsidR="002D3052" w:rsidRPr="00550956" w:rsidRDefault="002D3052" w:rsidP="00041364">
      <w:pPr>
        <w:spacing w:before="315" w:after="0" w:line="480" w:lineRule="auto"/>
        <w:ind w:firstLine="720"/>
        <w:jc w:val="both"/>
        <w:rPr>
          <w:rFonts w:cs="Times New Roman"/>
          <w:szCs w:val="24"/>
        </w:rPr>
      </w:pPr>
    </w:p>
    <w:p w14:paraId="19708FDE"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b/>
          <w:color w:val="000000"/>
          <w:szCs w:val="24"/>
        </w:rPr>
        <w:t>Figure 1: BCG Matrix for Indian Sectors (2023-24)</w:t>
      </w:r>
    </w:p>
    <w:p w14:paraId="0E4C079A" w14:textId="77777777" w:rsidR="00C173F0" w:rsidRPr="00550956" w:rsidRDefault="00C173F0" w:rsidP="00041364">
      <w:pPr>
        <w:spacing w:before="105" w:after="0" w:line="480" w:lineRule="auto"/>
        <w:ind w:firstLine="720"/>
        <w:jc w:val="both"/>
        <w:rPr>
          <w:rFonts w:cs="Times New Roman"/>
          <w:szCs w:val="24"/>
        </w:rPr>
      </w:pPr>
      <w:r w:rsidRPr="00550956">
        <w:rPr>
          <w:rFonts w:cs="Times New Roman"/>
          <w:noProof/>
          <w:szCs w:val="24"/>
          <w:lang w:val="en-IN" w:eastAsia="en-IN"/>
        </w:rPr>
        <w:drawing>
          <wp:inline distT="0" distB="0" distL="0" distR="0" wp14:anchorId="629A085F" wp14:editId="4A40022C">
            <wp:extent cx="5731510" cy="3996055"/>
            <wp:effectExtent l="0" t="0" r="2540" b="4445"/>
            <wp:docPr id="151914438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6055"/>
                    </a:xfrm>
                    <a:prstGeom prst="rect">
                      <a:avLst/>
                    </a:prstGeom>
                    <a:noFill/>
                    <a:ln>
                      <a:noFill/>
                    </a:ln>
                  </pic:spPr>
                </pic:pic>
              </a:graphicData>
            </a:graphic>
          </wp:inline>
        </w:drawing>
      </w:r>
    </w:p>
    <w:p w14:paraId="15CC4B28"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X-axis:</w:t>
      </w:r>
      <w:r w:rsidRPr="00550956">
        <w:rPr>
          <w:rFonts w:eastAsia="inter" w:cs="Times New Roman"/>
          <w:color w:val="000000"/>
          <w:szCs w:val="24"/>
        </w:rPr>
        <w:t xml:space="preserve"> Composite SEDA Score (Sustainability)</w:t>
      </w:r>
    </w:p>
    <w:p w14:paraId="596BF773"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Y-axis:</w:t>
      </w:r>
      <w:r w:rsidRPr="00550956">
        <w:rPr>
          <w:rFonts w:eastAsia="inter" w:cs="Times New Roman"/>
          <w:color w:val="000000"/>
          <w:szCs w:val="24"/>
        </w:rPr>
        <w:t xml:space="preserve"> Market Potential (Average of Normalized Growth and Share)</w:t>
      </w:r>
    </w:p>
    <w:p w14:paraId="1E00E047" w14:textId="77777777" w:rsidR="00825724" w:rsidRPr="00550956" w:rsidRDefault="002A50FF" w:rsidP="00041364">
      <w:pPr>
        <w:numPr>
          <w:ilvl w:val="0"/>
          <w:numId w:val="5"/>
        </w:numPr>
        <w:spacing w:before="105" w:after="0" w:line="480" w:lineRule="auto"/>
        <w:ind w:left="0" w:firstLine="720"/>
        <w:jc w:val="both"/>
        <w:rPr>
          <w:rFonts w:cs="Times New Roman"/>
          <w:szCs w:val="24"/>
        </w:rPr>
      </w:pPr>
      <w:r w:rsidRPr="00550956">
        <w:rPr>
          <w:rFonts w:eastAsia="inter" w:cs="Times New Roman"/>
          <w:b/>
          <w:color w:val="000000"/>
          <w:szCs w:val="24"/>
        </w:rPr>
        <w:t>Quadrants:</w:t>
      </w:r>
    </w:p>
    <w:p w14:paraId="22A8D40B"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Stars: Top right (high sustainability, high growth)</w:t>
      </w:r>
    </w:p>
    <w:p w14:paraId="41DB7214"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lastRenderedPageBreak/>
        <w:t>Cash Cows: Top left (high sustainability, low growth)</w:t>
      </w:r>
    </w:p>
    <w:p w14:paraId="1AB43911"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Question Marks: Bottom right (low sustainability, high growth)</w:t>
      </w:r>
    </w:p>
    <w:p w14:paraId="0EFE05D0" w14:textId="77777777" w:rsidR="00825724" w:rsidRPr="00550956" w:rsidRDefault="002A50FF" w:rsidP="00041364">
      <w:pPr>
        <w:numPr>
          <w:ilvl w:val="1"/>
          <w:numId w:val="5"/>
        </w:numPr>
        <w:spacing w:before="105" w:after="0" w:line="480" w:lineRule="auto"/>
        <w:ind w:left="0" w:firstLine="720"/>
        <w:jc w:val="both"/>
        <w:rPr>
          <w:rFonts w:cs="Times New Roman"/>
          <w:szCs w:val="24"/>
        </w:rPr>
      </w:pPr>
      <w:r w:rsidRPr="00550956">
        <w:rPr>
          <w:rFonts w:eastAsia="inter" w:cs="Times New Roman"/>
          <w:color w:val="000000"/>
          <w:szCs w:val="24"/>
        </w:rPr>
        <w:t>Dogs: Bottom left (low sustainability, low growth)</w:t>
      </w:r>
    </w:p>
    <w:p w14:paraId="4231BEB9" w14:textId="77777777" w:rsidR="00825724" w:rsidRPr="00550956" w:rsidRDefault="0050703A"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6008CBF6">
          <v:rect id="_x0000_s1028"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96EA7F6" w14:textId="66234830"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t>6</w:t>
      </w:r>
      <w:r w:rsidRPr="00550956">
        <w:rPr>
          <w:rFonts w:eastAsia="inter" w:cs="Times New Roman"/>
          <w:color w:val="000000"/>
          <w:szCs w:val="24"/>
        </w:rPr>
        <w:t xml:space="preserve">. </w:t>
      </w:r>
      <w:r w:rsidRPr="00C45EA6">
        <w:rPr>
          <w:rFonts w:eastAsia="inter" w:cs="Times New Roman"/>
          <w:color w:val="000000"/>
          <w:szCs w:val="28"/>
        </w:rPr>
        <w:t>Results and Discussion</w:t>
      </w:r>
    </w:p>
    <w:p w14:paraId="77430BB4"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1. Sectoral Performance on Sustainability and Growth (SEDA-BCG Matrix Insights)</w:t>
      </w:r>
    </w:p>
    <w:p w14:paraId="3E2B3EEF" w14:textId="2AD9EF98"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 xml:space="preserve">The analysis integrated both the Boston Consulting Group (BCG) Matrix and the Sustainable Economic Development Assessment (SEDA) framework to produce a nuanced prioritization of India’s major economic sectors, considering each sector’s composite sustainability score as well as its market potential. The results revealed distinct patterns in sectoral performance, highlighting the relative strengths, weaknesses, and strategic importance of each sector in the context of India’s </w:t>
      </w:r>
      <w:r>
        <w:rPr>
          <w:rFonts w:cs="Times New Roman"/>
          <w:noProof/>
          <w:szCs w:val="24"/>
        </w:rPr>
        <w:t>sustainable development agenda.</w:t>
      </w:r>
    </w:p>
    <w:p w14:paraId="1C1A27E6"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i. Star Sectors: Trade &amp; Transport and Financial Services</w:t>
      </w:r>
    </w:p>
    <w:p w14:paraId="76F9DF24" w14:textId="19263B46"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Both Trade &amp; Transport and Financial Services emerged as “Stars”—sectors characterized by high sustainability scores and strong market potential (average of no</w:t>
      </w:r>
      <w:r>
        <w:rPr>
          <w:rFonts w:cs="Times New Roman"/>
          <w:noProof/>
          <w:szCs w:val="24"/>
        </w:rPr>
        <w:t>rmalized growth and GVA share).</w:t>
      </w:r>
    </w:p>
    <w:p w14:paraId="6E080163" w14:textId="6534CC13"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Trade &amp; Transport displays the highest normalized CAGR (1.00) and a strong economic share, reflecting rapid expansion. However, the sector remains challenged by fossil fuel dependence, air pollution, and infrastructure bottlenecks. Accelerating the transition to sustainable logistics and efficient public transport systems is thus critical. Investment in low-emission vehicles, modal shift policies, and infrastructure upgrades will be needed to ensur</w:t>
      </w:r>
      <w:r>
        <w:rPr>
          <w:rFonts w:cs="Times New Roman"/>
          <w:noProof/>
          <w:szCs w:val="24"/>
        </w:rPr>
        <w:t>e continued sustainable growth.</w:t>
      </w:r>
    </w:p>
    <w:p w14:paraId="200B609D" w14:textId="6D72517D"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 xml:space="preserve">Financial Services leads in economic contribution and social indicators (e.g., inclusivity via access to financial services and high electricity reach). As a significant enabler of green finance and ESG-aligned investments, </w:t>
      </w:r>
      <w:r w:rsidRPr="00AA4E9E">
        <w:rPr>
          <w:rFonts w:cs="Times New Roman"/>
          <w:noProof/>
          <w:szCs w:val="24"/>
        </w:rPr>
        <w:lastRenderedPageBreak/>
        <w:t>this sector should be leveraged to mobilize capital towards priority, high-impact sustainability projects and support innovation in s</w:t>
      </w:r>
      <w:r>
        <w:rPr>
          <w:rFonts w:cs="Times New Roman"/>
          <w:noProof/>
          <w:szCs w:val="24"/>
        </w:rPr>
        <w:t>ustainable finance instruments.</w:t>
      </w:r>
    </w:p>
    <w:p w14:paraId="6F86334F"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ii. Cash Cow: Manufacturing</w:t>
      </w:r>
    </w:p>
    <w:p w14:paraId="5379FE9D" w14:textId="6DB70F78"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Manufacturing ranks high on the sustainability dimension (SEDA score of 0.74), mainly due to better resource productivity, infrastructure, and high normalization on environmental and social indicators (despite having the highest absolute CO₂ emissions). However, its market potential is significantly lower (0.21), reflecting modest growth relative to its economic size. This highlights the tendency of the sector to serve as a “Cash Cow”—a mature, productive sector requiring maintenance of efficiency rather than aggressive expansion. Policy interventions should prioritize technology upgrading, process innovation, and resource efficiency improvements, particularly targeting energy-intensive subsectors and promotin</w:t>
      </w:r>
      <w:r>
        <w:rPr>
          <w:rFonts w:cs="Times New Roman"/>
          <w:noProof/>
          <w:szCs w:val="24"/>
        </w:rPr>
        <w:t>g a circular economy framework.</w:t>
      </w:r>
    </w:p>
    <w:p w14:paraId="0A29AB26"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iii. Question Mark: Agriculture</w:t>
      </w:r>
    </w:p>
    <w:p w14:paraId="7F898683" w14:textId="078E1BB0"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Agriculture holds a paradoxical position: despite high market potential (driven by a large employment share and substantial GVA contribution), its composite SEDA score is low (0.22). The sector faces persistent sustainability challenges, including high water usage, climate vulnerability, and resource inefficiency. These findings underscore the urgency of sectoral reforms focusing on climate-resilient practices, improved irrigation, sustainable inputs, and value addition. There is considerable potential for “leapfrogging” interventions that can transform agriculture from a question mark into a star, provided policy and investment frameworks focus on inclusive and ada</w:t>
      </w:r>
      <w:r>
        <w:rPr>
          <w:rFonts w:cs="Times New Roman"/>
          <w:noProof/>
          <w:szCs w:val="24"/>
        </w:rPr>
        <w:t>ptive sustainability solutions.</w:t>
      </w:r>
    </w:p>
    <w:p w14:paraId="59FA59AE"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iv. Dogs: Construction and Public Administration</w:t>
      </w:r>
    </w:p>
    <w:p w14:paraId="744F5F6B"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Both Construction and Public Administration appear in the “Dog” quadrant (low growth, low sustainability), suggesting markets with declining strategic value under current policy settings.</w:t>
      </w:r>
    </w:p>
    <w:p w14:paraId="240C8BB3" w14:textId="77777777" w:rsidR="00AA4E9E" w:rsidRPr="00AA4E9E" w:rsidRDefault="00AA4E9E" w:rsidP="00AA4E9E">
      <w:pPr>
        <w:spacing w:before="210" w:after="0" w:line="480" w:lineRule="auto"/>
        <w:ind w:firstLine="720"/>
        <w:jc w:val="both"/>
        <w:rPr>
          <w:rFonts w:cs="Times New Roman"/>
          <w:noProof/>
          <w:szCs w:val="24"/>
        </w:rPr>
      </w:pPr>
    </w:p>
    <w:p w14:paraId="20EB3D15" w14:textId="44DED472"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lastRenderedPageBreak/>
        <w:t>Construction, despite its importance for urban infrastructure, is burdened by resource-heavy practices, high waste generation, and low normalized SEDA scores. This sector should be targeted for structural transformation—initiatives such as green building standards, sustainable material use, and waste minimization are v</w:t>
      </w:r>
      <w:r>
        <w:rPr>
          <w:rFonts w:cs="Times New Roman"/>
          <w:noProof/>
          <w:szCs w:val="24"/>
        </w:rPr>
        <w:t>ital to reverse its stagnation.</w:t>
      </w:r>
    </w:p>
    <w:p w14:paraId="7B9312BC"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Public Administration records low scores across both axes, indicating the need for capacity-building, digital governance, and energy-efficient operations. It is essential for enabling sustainability policies but must improve its internal sustainability practices to set standards for other sectors.</w:t>
      </w:r>
    </w:p>
    <w:p w14:paraId="5442BAC5" w14:textId="77777777" w:rsidR="00AA4E9E" w:rsidRPr="00AA4E9E" w:rsidRDefault="00AA4E9E" w:rsidP="00AA4E9E">
      <w:pPr>
        <w:spacing w:before="210" w:after="0" w:line="480" w:lineRule="auto"/>
        <w:ind w:firstLine="720"/>
        <w:jc w:val="both"/>
        <w:rPr>
          <w:rFonts w:cs="Times New Roman"/>
          <w:noProof/>
          <w:szCs w:val="24"/>
        </w:rPr>
      </w:pPr>
    </w:p>
    <w:p w14:paraId="1F03F6CD"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2. Implications for Policy and Investment</w:t>
      </w:r>
    </w:p>
    <w:p w14:paraId="418CA7A8" w14:textId="5ECBEC4E"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The BCG-SEDA prioritization provides crit</w:t>
      </w:r>
      <w:r>
        <w:rPr>
          <w:rFonts w:cs="Times New Roman"/>
          <w:noProof/>
          <w:szCs w:val="24"/>
        </w:rPr>
        <w:t>ical guidance for policymakers:</w:t>
      </w:r>
    </w:p>
    <w:p w14:paraId="06ECAF0C" w14:textId="3388E46B" w:rsidR="00AA4E9E" w:rsidRPr="00AA4E9E" w:rsidRDefault="00AA4E9E" w:rsidP="00AA4E9E">
      <w:pPr>
        <w:spacing w:before="210" w:after="0" w:line="480" w:lineRule="auto"/>
        <w:ind w:left="720"/>
        <w:jc w:val="both"/>
        <w:rPr>
          <w:rFonts w:cs="Times New Roman"/>
          <w:noProof/>
          <w:szCs w:val="24"/>
        </w:rPr>
      </w:pPr>
      <w:r w:rsidRPr="00AA4E9E">
        <w:rPr>
          <w:rFonts w:cs="Times New Roman"/>
          <w:noProof/>
          <w:szCs w:val="24"/>
        </w:rPr>
        <w:t>Stars (Trade &amp; Transport, Financial Services): Require priority investments, incentives for green innovation, and policy support to strengthen and scale up sustainable infrastructure.</w:t>
      </w:r>
    </w:p>
    <w:p w14:paraId="538476BA" w14:textId="5FFBA18E"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Cash Cow (Manufacturing): Policy should maintain solid support, while transitioning to greener processes and promoting R&amp;</w:t>
      </w:r>
      <w:r>
        <w:rPr>
          <w:rFonts w:cs="Times New Roman"/>
          <w:noProof/>
          <w:szCs w:val="24"/>
        </w:rPr>
        <w:t>D for sustainable technologies.</w:t>
      </w:r>
    </w:p>
    <w:p w14:paraId="6AE43B2E" w14:textId="4D3B7AB4"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 xml:space="preserve">Question Mark (Agriculture): Needs transformative reforms, aggressive adoption of clean technologies, and risk mitigation strategies to unlock its potential </w:t>
      </w:r>
      <w:r>
        <w:rPr>
          <w:rFonts w:cs="Times New Roman"/>
          <w:noProof/>
          <w:szCs w:val="24"/>
        </w:rPr>
        <w:t>as a sustainable growth engine.</w:t>
      </w:r>
    </w:p>
    <w:p w14:paraId="50BF36D7"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Dogs (Construction, Public Admin): Calls for sectoral transition strategies—repositioning through efficiency, digitalization, and reskilling, and a reappraisal of resource allocation.</w:t>
      </w:r>
    </w:p>
    <w:p w14:paraId="52A7BBEF" w14:textId="77777777" w:rsidR="00AA4E9E" w:rsidRPr="00AA4E9E" w:rsidRDefault="00AA4E9E" w:rsidP="00AA4E9E">
      <w:pPr>
        <w:spacing w:before="210" w:after="0" w:line="480" w:lineRule="auto"/>
        <w:ind w:firstLine="720"/>
        <w:jc w:val="both"/>
        <w:rPr>
          <w:rFonts w:cs="Times New Roman"/>
          <w:noProof/>
          <w:szCs w:val="24"/>
        </w:rPr>
      </w:pPr>
    </w:p>
    <w:p w14:paraId="07E193E6" w14:textId="77777777" w:rsidR="00AA4E9E" w:rsidRPr="00AA4E9E" w:rsidRDefault="00AA4E9E" w:rsidP="00AA4E9E">
      <w:pPr>
        <w:spacing w:before="210" w:after="0" w:line="480" w:lineRule="auto"/>
        <w:ind w:firstLine="720"/>
        <w:jc w:val="both"/>
        <w:rPr>
          <w:rFonts w:cs="Times New Roman"/>
          <w:noProof/>
          <w:szCs w:val="24"/>
        </w:rPr>
      </w:pPr>
      <w:r w:rsidRPr="00AA4E9E">
        <w:rPr>
          <w:rFonts w:cs="Times New Roman"/>
          <w:noProof/>
          <w:szCs w:val="24"/>
        </w:rPr>
        <w:t>3. Sectoral Trade-Offs and Transition Pathways</w:t>
      </w:r>
    </w:p>
    <w:p w14:paraId="471DC6BD" w14:textId="73F38A63" w:rsidR="00825724" w:rsidRPr="00550956" w:rsidRDefault="00AA4E9E" w:rsidP="00AA4E9E">
      <w:pPr>
        <w:spacing w:before="210" w:after="0" w:line="480" w:lineRule="auto"/>
        <w:ind w:firstLine="720"/>
        <w:jc w:val="both"/>
        <w:rPr>
          <w:rFonts w:cs="Times New Roman"/>
          <w:szCs w:val="24"/>
        </w:rPr>
      </w:pPr>
      <w:r w:rsidRPr="00AA4E9E">
        <w:rPr>
          <w:rFonts w:cs="Times New Roman"/>
          <w:noProof/>
          <w:szCs w:val="24"/>
        </w:rPr>
        <w:lastRenderedPageBreak/>
        <w:t>The results also illustrate inherent trade-offs: sectors with high economic weight do not always correspond to high sustainability performance. For example, agriculture remains a major employer but lags on productivity and sustainability, while manufacturing is productive but suffers from high emissions. These trade-offs highlight the importance of tailored, sector-specific interventions rather than “one-size-fits-all” solutions. The approach allows policymakers to sequence interventions—prioritizing “Stars” and supporting “Question Marks” in their transition, while steering “Dogs” toward transformation or managed decline where appropriate.</w:t>
      </w:r>
    </w:p>
    <w:p w14:paraId="5C5E2224" w14:textId="41643411"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t>7</w:t>
      </w:r>
      <w:r w:rsidRPr="00550956">
        <w:rPr>
          <w:rFonts w:eastAsia="inter" w:cs="Times New Roman"/>
          <w:color w:val="000000"/>
          <w:szCs w:val="24"/>
        </w:rPr>
        <w:t xml:space="preserve">. </w:t>
      </w:r>
      <w:r w:rsidRPr="00C45EA6">
        <w:rPr>
          <w:rFonts w:eastAsia="inter" w:cs="Times New Roman"/>
          <w:color w:val="000000"/>
          <w:szCs w:val="28"/>
        </w:rPr>
        <w:t>Policy Implications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389"/>
      </w:tblGrid>
      <w:tr w:rsidR="00825724" w:rsidRPr="00550956" w14:paraId="509FB4C8" w14:textId="77777777" w:rsidTr="002D3052">
        <w:trPr>
          <w:cantSplit/>
          <w:tblCellSpacing w:w="0" w:type="dxa"/>
          <w:jc w:val="center"/>
        </w:trPr>
        <w:tc>
          <w:tcPr>
            <w:tcW w:w="0" w:type="auto"/>
          </w:tcPr>
          <w:p w14:paraId="2250A4FC"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Quadrant</w:t>
            </w:r>
          </w:p>
        </w:tc>
        <w:tc>
          <w:tcPr>
            <w:tcW w:w="0" w:type="auto"/>
          </w:tcPr>
          <w:p w14:paraId="0AD60C3A"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Policy Focus</w:t>
            </w:r>
          </w:p>
        </w:tc>
      </w:tr>
      <w:tr w:rsidR="00825724" w:rsidRPr="00550956" w14:paraId="75502E7F" w14:textId="77777777" w:rsidTr="002D3052">
        <w:trPr>
          <w:cantSplit/>
          <w:tblCellSpacing w:w="0" w:type="dxa"/>
          <w:jc w:val="center"/>
        </w:trPr>
        <w:tc>
          <w:tcPr>
            <w:tcW w:w="0" w:type="auto"/>
          </w:tcPr>
          <w:p w14:paraId="19E740D7"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Stars</w:t>
            </w:r>
          </w:p>
        </w:tc>
        <w:tc>
          <w:tcPr>
            <w:tcW w:w="0" w:type="auto"/>
          </w:tcPr>
          <w:p w14:paraId="57AF25F6"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Scale up investment, incentivize green innovation, strengthen infrastructure</w:t>
            </w:r>
          </w:p>
        </w:tc>
      </w:tr>
      <w:tr w:rsidR="00825724" w:rsidRPr="00550956" w14:paraId="74E67D68" w14:textId="77777777" w:rsidTr="002D3052">
        <w:trPr>
          <w:cantSplit/>
          <w:tblCellSpacing w:w="0" w:type="dxa"/>
          <w:jc w:val="center"/>
        </w:trPr>
        <w:tc>
          <w:tcPr>
            <w:tcW w:w="0" w:type="auto"/>
          </w:tcPr>
          <w:p w14:paraId="2014C01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Cash Cows</w:t>
            </w:r>
          </w:p>
        </w:tc>
        <w:tc>
          <w:tcPr>
            <w:tcW w:w="0" w:type="auto"/>
          </w:tcPr>
          <w:p w14:paraId="5718FE74"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Maintain support, focus on R&amp;D and sustainability upgrades</w:t>
            </w:r>
          </w:p>
        </w:tc>
      </w:tr>
      <w:tr w:rsidR="00825724" w:rsidRPr="00550956" w14:paraId="50EEA101" w14:textId="77777777" w:rsidTr="002D3052">
        <w:trPr>
          <w:cantSplit/>
          <w:tblCellSpacing w:w="0" w:type="dxa"/>
          <w:jc w:val="center"/>
        </w:trPr>
        <w:tc>
          <w:tcPr>
            <w:tcW w:w="0" w:type="auto"/>
          </w:tcPr>
          <w:p w14:paraId="4965F3BE"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Question Mark</w:t>
            </w:r>
          </w:p>
        </w:tc>
        <w:tc>
          <w:tcPr>
            <w:tcW w:w="0" w:type="auto"/>
          </w:tcPr>
          <w:p w14:paraId="6744AEB1"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Prioritize for sustainability reforms, promote clean technology</w:t>
            </w:r>
          </w:p>
        </w:tc>
      </w:tr>
      <w:tr w:rsidR="00825724" w:rsidRPr="00550956" w14:paraId="1E07B7DB" w14:textId="77777777" w:rsidTr="002D3052">
        <w:trPr>
          <w:cantSplit/>
          <w:tblCellSpacing w:w="0" w:type="dxa"/>
          <w:jc w:val="center"/>
        </w:trPr>
        <w:tc>
          <w:tcPr>
            <w:tcW w:w="0" w:type="auto"/>
          </w:tcPr>
          <w:p w14:paraId="6DA381FF"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Dogs</w:t>
            </w:r>
          </w:p>
        </w:tc>
        <w:tc>
          <w:tcPr>
            <w:tcW w:w="0" w:type="auto"/>
          </w:tcPr>
          <w:p w14:paraId="34BEFD49" w14:textId="77777777" w:rsidR="00825724" w:rsidRPr="00550956" w:rsidRDefault="002A50FF" w:rsidP="00041364">
            <w:pPr>
              <w:spacing w:line="360" w:lineRule="auto"/>
              <w:jc w:val="center"/>
              <w:rPr>
                <w:rFonts w:cs="Times New Roman"/>
                <w:szCs w:val="24"/>
              </w:rPr>
            </w:pPr>
            <w:r w:rsidRPr="00550956">
              <w:rPr>
                <w:rFonts w:eastAsia="inter" w:cs="Times New Roman"/>
                <w:color w:val="000000"/>
                <w:sz w:val="20"/>
                <w:szCs w:val="24"/>
              </w:rPr>
              <w:t>Reevaluate subsidies, encourage sectoral transition, invest in reskilling</w:t>
            </w:r>
          </w:p>
        </w:tc>
      </w:tr>
    </w:tbl>
    <w:p w14:paraId="29251A56" w14:textId="77777777" w:rsidR="00825724" w:rsidRDefault="00825724" w:rsidP="00041364">
      <w:pPr>
        <w:spacing w:after="0" w:line="480" w:lineRule="auto"/>
        <w:ind w:firstLine="720"/>
        <w:jc w:val="both"/>
        <w:rPr>
          <w:rFonts w:cs="Times New Roman"/>
          <w:szCs w:val="24"/>
        </w:rPr>
      </w:pPr>
    </w:p>
    <w:p w14:paraId="5CA19F81" w14:textId="4B4518B4" w:rsidR="00C62E0C" w:rsidRPr="0050703A" w:rsidRDefault="0050703A" w:rsidP="00041364">
      <w:pPr>
        <w:spacing w:after="0" w:line="480" w:lineRule="auto"/>
        <w:ind w:firstLine="720"/>
        <w:jc w:val="both"/>
        <w:rPr>
          <w:rFonts w:cs="Times New Roman"/>
          <w:b/>
          <w:bCs/>
          <w:szCs w:val="24"/>
        </w:rPr>
      </w:pPr>
      <w:r w:rsidRPr="0050703A">
        <w:rPr>
          <w:rFonts w:cs="Times New Roman"/>
          <w:b/>
          <w:bCs/>
          <w:szCs w:val="24"/>
        </w:rPr>
        <w:t>Chart 2</w:t>
      </w:r>
      <w:r w:rsidR="00C62E0C" w:rsidRPr="0050703A">
        <w:rPr>
          <w:rFonts w:cs="Times New Roman"/>
          <w:b/>
          <w:bCs/>
          <w:szCs w:val="24"/>
        </w:rPr>
        <w:t xml:space="preserve">: </w:t>
      </w:r>
      <w:r w:rsidRPr="0050703A">
        <w:rPr>
          <w:rFonts w:cs="Times New Roman"/>
          <w:b/>
          <w:bCs/>
          <w:szCs w:val="24"/>
        </w:rPr>
        <w:t>Policy Focus of BCG Matrix</w:t>
      </w:r>
    </w:p>
    <w:p w14:paraId="0F701D8D" w14:textId="77777777" w:rsidR="00825724" w:rsidRPr="00550956" w:rsidRDefault="0050703A" w:rsidP="00041364">
      <w:pPr>
        <w:spacing w:before="210" w:after="0" w:line="480" w:lineRule="auto"/>
        <w:ind w:firstLine="720"/>
        <w:jc w:val="both"/>
        <w:rPr>
          <w:rFonts w:cs="Times New Roman"/>
          <w:szCs w:val="24"/>
        </w:rPr>
      </w:pPr>
      <w:r>
        <w:rPr>
          <w:rFonts w:cs="Times New Roman"/>
          <w:noProof/>
          <w:szCs w:val="24"/>
        </w:rPr>
      </w:r>
      <w:r>
        <w:rPr>
          <w:rFonts w:cs="Times New Roman"/>
          <w:noProof/>
          <w:szCs w:val="24"/>
        </w:rPr>
        <w:pict w14:anchorId="4CA046E9">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5B2A6890" w14:textId="195A51CC" w:rsidR="00825724" w:rsidRPr="00C45EA6" w:rsidRDefault="002D3052" w:rsidP="00041364">
      <w:pPr>
        <w:spacing w:before="315" w:after="0" w:line="480" w:lineRule="auto"/>
        <w:ind w:firstLine="720"/>
        <w:jc w:val="both"/>
        <w:rPr>
          <w:rFonts w:cs="Times New Roman"/>
          <w:szCs w:val="28"/>
        </w:rPr>
      </w:pPr>
      <w:r>
        <w:rPr>
          <w:rFonts w:eastAsia="inter" w:cs="Times New Roman"/>
          <w:color w:val="000000"/>
          <w:szCs w:val="24"/>
        </w:rPr>
        <w:t>8</w:t>
      </w:r>
      <w:r w:rsidRPr="00550956">
        <w:rPr>
          <w:rFonts w:eastAsia="inter" w:cs="Times New Roman"/>
          <w:color w:val="000000"/>
          <w:szCs w:val="24"/>
        </w:rPr>
        <w:t xml:space="preserve">. </w:t>
      </w:r>
      <w:r w:rsidRPr="00C45EA6">
        <w:rPr>
          <w:rFonts w:eastAsia="inter" w:cs="Times New Roman"/>
          <w:color w:val="000000"/>
          <w:szCs w:val="28"/>
        </w:rPr>
        <w:t>Limitations and Future Research</w:t>
      </w:r>
    </w:p>
    <w:p w14:paraId="04FA0D28" w14:textId="235B0EF9" w:rsidR="00825724" w:rsidRPr="00550956" w:rsidRDefault="00AA4E9E" w:rsidP="00041364">
      <w:pPr>
        <w:spacing w:before="210" w:after="0" w:line="480" w:lineRule="auto"/>
        <w:ind w:firstLine="720"/>
        <w:jc w:val="both"/>
        <w:rPr>
          <w:rFonts w:cs="Times New Roman"/>
          <w:szCs w:val="24"/>
        </w:rPr>
      </w:pPr>
      <w:r w:rsidRPr="00AA4E9E">
        <w:rPr>
          <w:rFonts w:cs="Times New Roman"/>
          <w:noProof/>
          <w:szCs w:val="24"/>
        </w:rPr>
        <w:t>The study adopts equal weighting for economic, social, and environmental indicators, which—while ensuring comparability—may not reflect strategic or contextual priorities for each sector. Future research should experiment with alternative weighting schemes and incorporate dynamic indicators, such as resilience to climate shocks or digital adoption. Additionally, regional disaggregation and tracking over time will allow for more nuanced, actionable insights.</w:t>
      </w:r>
    </w:p>
    <w:p w14:paraId="07D77520" w14:textId="2129121B" w:rsidR="00825724" w:rsidRPr="00550956" w:rsidRDefault="002D3052" w:rsidP="00041364">
      <w:pPr>
        <w:spacing w:before="315" w:after="0" w:line="480" w:lineRule="auto"/>
        <w:ind w:firstLine="720"/>
        <w:jc w:val="both"/>
        <w:rPr>
          <w:rFonts w:cs="Times New Roman"/>
          <w:szCs w:val="24"/>
        </w:rPr>
      </w:pPr>
      <w:r>
        <w:rPr>
          <w:rFonts w:eastAsia="inter" w:cs="Times New Roman"/>
          <w:color w:val="000000"/>
          <w:szCs w:val="24"/>
        </w:rPr>
        <w:t>9</w:t>
      </w:r>
      <w:r w:rsidRPr="00550956">
        <w:rPr>
          <w:rFonts w:eastAsia="inter" w:cs="Times New Roman"/>
          <w:color w:val="000000"/>
          <w:szCs w:val="24"/>
        </w:rPr>
        <w:t xml:space="preserve">. </w:t>
      </w:r>
      <w:r w:rsidRPr="00C45EA6">
        <w:rPr>
          <w:rFonts w:eastAsia="inter" w:cs="Times New Roman"/>
          <w:color w:val="000000"/>
          <w:szCs w:val="28"/>
        </w:rPr>
        <w:t>Conclusion</w:t>
      </w:r>
    </w:p>
    <w:p w14:paraId="6FB50BF0" w14:textId="77777777" w:rsidR="00825724" w:rsidRPr="00550956" w:rsidRDefault="002A50FF" w:rsidP="00041364">
      <w:pPr>
        <w:spacing w:after="0" w:line="480" w:lineRule="auto"/>
        <w:ind w:firstLine="720"/>
        <w:jc w:val="both"/>
        <w:rPr>
          <w:rFonts w:cs="Times New Roman"/>
          <w:szCs w:val="24"/>
        </w:rPr>
      </w:pPr>
      <w:r w:rsidRPr="00550956">
        <w:rPr>
          <w:rFonts w:eastAsia="inter" w:cs="Times New Roman"/>
          <w:color w:val="000000"/>
          <w:szCs w:val="24"/>
        </w:rPr>
        <w:lastRenderedPageBreak/>
        <w:t>Integrating the BCG Matrix with the SEDA framework provides a robust, multidimensional approach to sectoral prioritization for sustainable development in India. The methodology withstands sensitivity analysis and highlights sectors requiring urgent policy attention. Strategic, evidence-based interventions-guided by this framework-can accelerate India’s progress toward SDGs and a more balanced, sustainable future.</w:t>
      </w:r>
    </w:p>
    <w:p w14:paraId="0F97E2B0" w14:textId="77777777" w:rsidR="00825724" w:rsidRPr="00C62E0C" w:rsidRDefault="0050703A" w:rsidP="00041364">
      <w:pPr>
        <w:spacing w:before="210" w:after="0" w:line="480" w:lineRule="auto"/>
        <w:ind w:firstLine="720"/>
        <w:jc w:val="both"/>
        <w:rPr>
          <w:rFonts w:cs="Times New Roman"/>
          <w:szCs w:val="24"/>
          <w:highlight w:val="yellow"/>
        </w:rPr>
      </w:pPr>
      <w:r>
        <w:rPr>
          <w:rFonts w:cs="Times New Roman"/>
          <w:noProof/>
          <w:szCs w:val="24"/>
          <w:highlight w:val="yellow"/>
        </w:rPr>
      </w:r>
      <w:r>
        <w:rPr>
          <w:rFonts w:cs="Times New Roman"/>
          <w:noProof/>
          <w:szCs w:val="24"/>
          <w:highlight w:val="yellow"/>
        </w:rPr>
        <w:pict w14:anchorId="39FCC711">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0305E27" w14:textId="77777777" w:rsidR="00C62E0C" w:rsidRPr="00C62E0C" w:rsidRDefault="00C62E0C" w:rsidP="00C62E0C">
      <w:pPr>
        <w:rPr>
          <w:highlight w:val="yellow"/>
        </w:rPr>
      </w:pPr>
      <w:r w:rsidRPr="00C62E0C">
        <w:rPr>
          <w:highlight w:val="yellow"/>
        </w:rPr>
        <w:t>Disclaimer (Artificial intelligence)</w:t>
      </w:r>
    </w:p>
    <w:p w14:paraId="0A98EE30" w14:textId="77777777" w:rsidR="00C62E0C" w:rsidRPr="00C62E0C" w:rsidRDefault="00C62E0C" w:rsidP="00C62E0C">
      <w:pPr>
        <w:rPr>
          <w:highlight w:val="yellow"/>
        </w:rPr>
      </w:pPr>
      <w:r w:rsidRPr="00C62E0C">
        <w:rPr>
          <w:highlight w:val="yellow"/>
        </w:rPr>
        <w:t xml:space="preserve">Option 1: </w:t>
      </w:r>
    </w:p>
    <w:p w14:paraId="27F67032" w14:textId="77777777" w:rsidR="00C62E0C" w:rsidRPr="00C62E0C" w:rsidRDefault="00C62E0C" w:rsidP="00C62E0C">
      <w:pPr>
        <w:rPr>
          <w:highlight w:val="yellow"/>
        </w:rPr>
      </w:pPr>
      <w:r w:rsidRPr="00C62E0C">
        <w:rPr>
          <w:highlight w:val="yellow"/>
        </w:rPr>
        <w:t xml:space="preserve">Author(s) hereby </w:t>
      </w:r>
      <w:proofErr w:type="gramStart"/>
      <w:r w:rsidRPr="00C62E0C">
        <w:rPr>
          <w:highlight w:val="yellow"/>
        </w:rPr>
        <w:t>declare</w:t>
      </w:r>
      <w:proofErr w:type="gramEnd"/>
      <w:r w:rsidRPr="00C62E0C">
        <w:rPr>
          <w:highlight w:val="yellow"/>
        </w:rPr>
        <w:t xml:space="preserve"> that NO generative AI technologies such as Large Language Models (ChatGPT, COPILOT, etc.) and text-to-image generators have been used during the writing or editing of this manuscript. </w:t>
      </w:r>
    </w:p>
    <w:p w14:paraId="343AEFF4" w14:textId="77777777" w:rsidR="00C62E0C" w:rsidRPr="00C62E0C" w:rsidRDefault="00C62E0C" w:rsidP="00C62E0C">
      <w:pPr>
        <w:rPr>
          <w:highlight w:val="yellow"/>
        </w:rPr>
      </w:pPr>
      <w:r w:rsidRPr="00C62E0C">
        <w:rPr>
          <w:highlight w:val="yellow"/>
        </w:rPr>
        <w:t xml:space="preserve">Option 2: </w:t>
      </w:r>
    </w:p>
    <w:p w14:paraId="5414298C" w14:textId="77777777" w:rsidR="00C62E0C" w:rsidRPr="00C62E0C" w:rsidRDefault="00C62E0C" w:rsidP="00C62E0C">
      <w:pPr>
        <w:rPr>
          <w:highlight w:val="yellow"/>
        </w:rPr>
      </w:pPr>
      <w:r w:rsidRPr="00C62E0C">
        <w:rPr>
          <w:highlight w:val="yellow"/>
        </w:rPr>
        <w:t xml:space="preserve">Author(s) hereby </w:t>
      </w:r>
      <w:proofErr w:type="gramStart"/>
      <w:r w:rsidRPr="00C62E0C">
        <w:rPr>
          <w:highlight w:val="yellow"/>
        </w:rPr>
        <w:t>declare</w:t>
      </w:r>
      <w:proofErr w:type="gramEnd"/>
      <w:r w:rsidRPr="00C62E0C">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8ACBC2" w14:textId="77777777" w:rsidR="00C62E0C" w:rsidRPr="00C62E0C" w:rsidRDefault="00C62E0C" w:rsidP="00C62E0C">
      <w:pPr>
        <w:rPr>
          <w:highlight w:val="yellow"/>
        </w:rPr>
      </w:pPr>
      <w:r w:rsidRPr="00C62E0C">
        <w:rPr>
          <w:highlight w:val="yellow"/>
        </w:rPr>
        <w:t>Details of the AI usage are given below:</w:t>
      </w:r>
    </w:p>
    <w:p w14:paraId="7BB79A87" w14:textId="77777777" w:rsidR="00C62E0C" w:rsidRPr="00C62E0C" w:rsidRDefault="00C62E0C" w:rsidP="00C62E0C">
      <w:pPr>
        <w:rPr>
          <w:highlight w:val="yellow"/>
        </w:rPr>
      </w:pPr>
      <w:r w:rsidRPr="00C62E0C">
        <w:rPr>
          <w:highlight w:val="yellow"/>
        </w:rPr>
        <w:t>1.</w:t>
      </w:r>
    </w:p>
    <w:p w14:paraId="4DB03111" w14:textId="77777777" w:rsidR="00C62E0C" w:rsidRPr="00C62E0C" w:rsidRDefault="00C62E0C" w:rsidP="00C62E0C">
      <w:pPr>
        <w:rPr>
          <w:highlight w:val="yellow"/>
        </w:rPr>
      </w:pPr>
      <w:r w:rsidRPr="00C62E0C">
        <w:rPr>
          <w:highlight w:val="yellow"/>
        </w:rPr>
        <w:t>2.</w:t>
      </w:r>
    </w:p>
    <w:p w14:paraId="09887148" w14:textId="6E8D28DC" w:rsidR="00F740E0" w:rsidRPr="00C62E0C" w:rsidRDefault="00C62E0C" w:rsidP="00C62E0C">
      <w:r w:rsidRPr="00C62E0C">
        <w:rPr>
          <w:highlight w:val="yellow"/>
        </w:rPr>
        <w:t>3.</w:t>
      </w:r>
    </w:p>
    <w:p w14:paraId="74030EF4" w14:textId="77777777" w:rsidR="00F740E0" w:rsidRDefault="00F740E0" w:rsidP="00041364">
      <w:pPr>
        <w:spacing w:before="315" w:after="0" w:line="480" w:lineRule="auto"/>
        <w:ind w:firstLine="720"/>
        <w:jc w:val="both"/>
        <w:rPr>
          <w:rFonts w:eastAsia="inter" w:cs="Times New Roman"/>
          <w:color w:val="000000"/>
          <w:szCs w:val="24"/>
        </w:rPr>
      </w:pPr>
    </w:p>
    <w:p w14:paraId="211100CE" w14:textId="77777777" w:rsidR="00F740E0" w:rsidRDefault="00F740E0" w:rsidP="00041364">
      <w:pPr>
        <w:spacing w:before="315" w:after="0" w:line="480" w:lineRule="auto"/>
        <w:ind w:firstLine="720"/>
        <w:jc w:val="both"/>
        <w:rPr>
          <w:rFonts w:eastAsia="inter" w:cs="Times New Roman"/>
          <w:color w:val="000000"/>
          <w:szCs w:val="24"/>
        </w:rPr>
      </w:pPr>
    </w:p>
    <w:p w14:paraId="76C663A7" w14:textId="77777777" w:rsidR="00F740E0" w:rsidRDefault="00F740E0" w:rsidP="00041364">
      <w:pPr>
        <w:spacing w:before="315" w:after="0" w:line="480" w:lineRule="auto"/>
        <w:ind w:firstLine="720"/>
        <w:jc w:val="both"/>
        <w:rPr>
          <w:rFonts w:eastAsia="inter" w:cs="Times New Roman"/>
          <w:color w:val="000000"/>
          <w:szCs w:val="24"/>
        </w:rPr>
      </w:pPr>
    </w:p>
    <w:p w14:paraId="50A0EF6D" w14:textId="77777777" w:rsidR="00F740E0" w:rsidRDefault="00F740E0" w:rsidP="00B073E1">
      <w:pPr>
        <w:spacing w:before="315" w:after="0" w:line="480" w:lineRule="auto"/>
        <w:jc w:val="both"/>
        <w:rPr>
          <w:rFonts w:eastAsia="inter" w:cs="Times New Roman"/>
          <w:color w:val="000000"/>
          <w:szCs w:val="24"/>
        </w:rPr>
      </w:pPr>
    </w:p>
    <w:p w14:paraId="3A9727D1" w14:textId="77777777" w:rsidR="00F740E0" w:rsidRDefault="00F740E0" w:rsidP="00041364">
      <w:pPr>
        <w:spacing w:before="315" w:after="0" w:line="480" w:lineRule="auto"/>
        <w:ind w:firstLine="720"/>
        <w:jc w:val="both"/>
        <w:rPr>
          <w:rFonts w:eastAsia="inter" w:cs="Times New Roman"/>
          <w:color w:val="000000"/>
          <w:szCs w:val="24"/>
        </w:rPr>
      </w:pPr>
    </w:p>
    <w:p w14:paraId="2B1A4396" w14:textId="208B8799" w:rsidR="008F5B46" w:rsidRPr="00E87B04" w:rsidRDefault="002A50FF" w:rsidP="00041364">
      <w:pPr>
        <w:spacing w:before="315" w:after="0" w:line="480" w:lineRule="auto"/>
        <w:ind w:firstLine="720"/>
        <w:jc w:val="both"/>
        <w:rPr>
          <w:rFonts w:cs="Times New Roman"/>
          <w:szCs w:val="24"/>
        </w:rPr>
      </w:pPr>
      <w:r w:rsidRPr="00550956">
        <w:rPr>
          <w:rFonts w:eastAsia="inter" w:cs="Times New Roman"/>
          <w:color w:val="000000"/>
          <w:szCs w:val="24"/>
        </w:rPr>
        <w:t>References</w:t>
      </w:r>
    </w:p>
    <w:p w14:paraId="5CC64A68" w14:textId="77777777" w:rsidR="00192BD2" w:rsidRPr="00192BD2" w:rsidRDefault="00192BD2" w:rsidP="00192BD2">
      <w:pPr>
        <w:spacing w:after="0" w:line="480" w:lineRule="auto"/>
        <w:ind w:firstLine="720"/>
        <w:jc w:val="both"/>
        <w:rPr>
          <w:rFonts w:cs="Times New Roman"/>
          <w:szCs w:val="24"/>
          <w:lang w:val="en-IN"/>
        </w:rPr>
      </w:pPr>
    </w:p>
    <w:p w14:paraId="3E216FBE"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AP News: India’s GDP and sectoral growth highlights. AP News. </w:t>
      </w:r>
      <w:hyperlink r:id="rId9" w:tgtFrame="_blank" w:history="1">
        <w:r w:rsidRPr="00192BD2">
          <w:rPr>
            <w:rStyle w:val="Hyperlink"/>
            <w:rFonts w:cs="Times New Roman"/>
            <w:szCs w:val="24"/>
            <w:lang w:val="en-IN"/>
          </w:rPr>
          <w:t>https://apnews.com</w:t>
        </w:r>
      </w:hyperlink>
      <w:r w:rsidRPr="00192BD2">
        <w:rPr>
          <w:rFonts w:cs="Times New Roman"/>
          <w:szCs w:val="24"/>
          <w:lang w:val="en-IN"/>
        </w:rPr>
        <w:t> (2024). Accessed 13 May 2025</w:t>
      </w:r>
    </w:p>
    <w:p w14:paraId="23C89E72"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lastRenderedPageBreak/>
        <w:t xml:space="preserve">Bhatnagar, R., Keskin, D., </w:t>
      </w:r>
      <w:proofErr w:type="spellStart"/>
      <w:r w:rsidRPr="00192BD2">
        <w:rPr>
          <w:rFonts w:cs="Times New Roman"/>
          <w:szCs w:val="24"/>
          <w:lang w:val="en-IN"/>
        </w:rPr>
        <w:t>Kirkels</w:t>
      </w:r>
      <w:proofErr w:type="spellEnd"/>
      <w:r w:rsidRPr="00192BD2">
        <w:rPr>
          <w:rFonts w:cs="Times New Roman"/>
          <w:szCs w:val="24"/>
          <w:lang w:val="en-IN"/>
        </w:rPr>
        <w:t>, A. F., &amp; others. (2022). Design principles for sustainability assessments in the business model innovation process. Journal of Cleaner Production, 377, 134313. </w:t>
      </w:r>
      <w:hyperlink r:id="rId10" w:tgtFrame="_blank" w:history="1">
        <w:r w:rsidRPr="00192BD2">
          <w:rPr>
            <w:rStyle w:val="Hyperlink"/>
            <w:rFonts w:cs="Times New Roman"/>
            <w:szCs w:val="24"/>
            <w:lang w:val="en-IN"/>
          </w:rPr>
          <w:t>https://doi.org/10.1016/j.jclepro.2022.134313</w:t>
        </w:r>
      </w:hyperlink>
    </w:p>
    <w:p w14:paraId="62734DC2"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Boston Consulting Group. (2019). Measuring well-being to improve it: 2019 Sustainable Economic Development Assessment. Boston Consulting Group. </w:t>
      </w:r>
      <w:hyperlink r:id="rId11" w:tgtFrame="_blank" w:history="1">
        <w:r w:rsidRPr="00192BD2">
          <w:rPr>
            <w:rStyle w:val="Hyperlink"/>
            <w:rFonts w:cs="Times New Roman"/>
            <w:szCs w:val="24"/>
            <w:lang w:val="en-IN"/>
          </w:rPr>
          <w:t>https://www.bcg.com/publications/2019/seda-measuring-well-being</w:t>
        </w:r>
      </w:hyperlink>
    </w:p>
    <w:p w14:paraId="7C7AFD3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Boston Consulting Group. (2021). Prioritizing societal well-being: SEDA report. Boston Consulting Group. </w:t>
      </w:r>
      <w:hyperlink r:id="rId12" w:tgtFrame="_blank" w:history="1">
        <w:r w:rsidRPr="00192BD2">
          <w:rPr>
            <w:rStyle w:val="Hyperlink"/>
            <w:rFonts w:cs="Times New Roman"/>
            <w:szCs w:val="24"/>
            <w:lang w:val="en-IN"/>
          </w:rPr>
          <w:t>https://www.bcg.com/publications/2021/prioritizing-societal-well-being-seda-report</w:t>
        </w:r>
      </w:hyperlink>
    </w:p>
    <w:p w14:paraId="15511CD8"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Boston Consulting Group. (2021). Prioritizing societal well-being: SEDA report. Retrieved from </w:t>
      </w:r>
      <w:hyperlink r:id="rId13" w:tgtFrame="_blank" w:history="1">
        <w:r w:rsidRPr="00192BD2">
          <w:rPr>
            <w:rStyle w:val="Hyperlink"/>
            <w:rFonts w:cs="Times New Roman"/>
            <w:szCs w:val="24"/>
            <w:lang w:val="en-IN"/>
          </w:rPr>
          <w:t>https://www.bcg.com/publications/2021/prioritizing-societal-well-being-seda-report</w:t>
        </w:r>
      </w:hyperlink>
    </w:p>
    <w:p w14:paraId="63CC59AB"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 xml:space="preserve">Centre for Monitoring Indian Economy: Industry </w:t>
      </w:r>
      <w:proofErr w:type="spellStart"/>
      <w:r w:rsidRPr="00192BD2">
        <w:rPr>
          <w:rFonts w:cs="Times New Roman"/>
          <w:szCs w:val="24"/>
          <w:lang w:val="en-IN"/>
        </w:rPr>
        <w:t>CapEx</w:t>
      </w:r>
      <w:proofErr w:type="spellEnd"/>
      <w:r w:rsidRPr="00192BD2">
        <w:rPr>
          <w:rFonts w:cs="Times New Roman"/>
          <w:szCs w:val="24"/>
          <w:lang w:val="en-IN"/>
        </w:rPr>
        <w:t xml:space="preserve"> database. Centre for Monitoring Indian Economy. </w:t>
      </w:r>
      <w:hyperlink r:id="rId14" w:tgtFrame="_blank" w:history="1">
        <w:r w:rsidRPr="00192BD2">
          <w:rPr>
            <w:rStyle w:val="Hyperlink"/>
            <w:rFonts w:cs="Times New Roman"/>
            <w:szCs w:val="24"/>
            <w:lang w:val="en-IN"/>
          </w:rPr>
          <w:t>https://www.cmie.com/</w:t>
        </w:r>
      </w:hyperlink>
      <w:r w:rsidRPr="00192BD2">
        <w:rPr>
          <w:rFonts w:cs="Times New Roman"/>
          <w:szCs w:val="24"/>
          <w:lang w:val="en-IN"/>
        </w:rPr>
        <w:t> (2024). Accessed 13 May 2025</w:t>
      </w:r>
    </w:p>
    <w:p w14:paraId="3198CEBD"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Energy Statistics India 2023:</w:t>
      </w:r>
      <w:r w:rsidRPr="00192BD2">
        <w:rPr>
          <w:rFonts w:cs="Times New Roman"/>
          <w:szCs w:val="24"/>
          <w:lang w:val="en-IN"/>
        </w:rPr>
        <w:t> Ministry of Power, Government of India. (2023). Energy Statistics India 2023. Retrieved from </w:t>
      </w:r>
      <w:hyperlink r:id="rId15" w:tgtFrame="_blank" w:history="1">
        <w:r w:rsidRPr="00192BD2">
          <w:rPr>
            <w:rStyle w:val="Hyperlink"/>
            <w:rFonts w:cs="Times New Roman"/>
            <w:szCs w:val="24"/>
            <w:lang w:val="en-IN"/>
          </w:rPr>
          <w:t>https://www.powermin.gov.in</w:t>
        </w:r>
      </w:hyperlink>
    </w:p>
    <w:p w14:paraId="4E3FE56D"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Government of India. (2019). Economic Survey 2018–2019: Volume II—Sustainable Development and Climate Change (Chapter 5). Ministry of Finance, Department of Economic Affairs. Retrieved from </w:t>
      </w:r>
      <w:hyperlink r:id="rId16" w:tgtFrame="_blank" w:history="1">
        <w:r w:rsidRPr="00192BD2">
          <w:rPr>
            <w:rStyle w:val="Hyperlink"/>
            <w:rFonts w:cs="Times New Roman"/>
            <w:szCs w:val="24"/>
            <w:lang w:val="en-IN"/>
          </w:rPr>
          <w:t>https://www.indiabudget.gov.in/budget2019-20/economicsurvey/doc/vol2chapter/echap05_vol2.pdf</w:t>
        </w:r>
      </w:hyperlink>
    </w:p>
    <w:p w14:paraId="04516C5B"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ICAT (Initiative for Climate Action Transparency). (2020). Sustainable Development Methodology: Assessing the Environmental, Social and Economic Impacts of Policies and Actions (D. Rich, R. Song &amp; K.H. Olsen, Eds.). Washington D.C.: World Resources Institute; Copenhagen: UNEP DTU Partnership. </w:t>
      </w:r>
      <w:hyperlink r:id="rId17" w:tgtFrame="_blank" w:history="1">
        <w:r w:rsidRPr="00192BD2">
          <w:rPr>
            <w:rStyle w:val="Hyperlink"/>
            <w:rFonts w:cs="Times New Roman"/>
            <w:szCs w:val="24"/>
            <w:lang w:val="en-IN"/>
          </w:rPr>
          <w:t>https://ghgprotocol.org/sites/default/files/2022-12/Sustainable-Development-Assessment-Guide-1.pdf</w:t>
        </w:r>
      </w:hyperlink>
    </w:p>
    <w:p w14:paraId="42B685CC"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IEA:</w:t>
      </w:r>
      <w:r w:rsidRPr="00192BD2">
        <w:rPr>
          <w:rFonts w:cs="Times New Roman"/>
          <w:szCs w:val="24"/>
          <w:lang w:val="en-IN"/>
        </w:rPr>
        <w:t> International Energy Agency. (2023). India Energy Outlook 2023. Retrieved from </w:t>
      </w:r>
      <w:hyperlink r:id="rId18" w:tgtFrame="_blank" w:history="1">
        <w:r w:rsidRPr="00192BD2">
          <w:rPr>
            <w:rStyle w:val="Hyperlink"/>
            <w:rFonts w:cs="Times New Roman"/>
            <w:szCs w:val="24"/>
            <w:lang w:val="en-IN"/>
          </w:rPr>
          <w:t>https://www.iea.org</w:t>
        </w:r>
      </w:hyperlink>
    </w:p>
    <w:p w14:paraId="6F37B96D"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International Energy Agency. (2023). India Energy Outlook 2023. Retrieved from </w:t>
      </w:r>
      <w:hyperlink r:id="rId19" w:tgtFrame="_blank" w:history="1">
        <w:r w:rsidRPr="00192BD2">
          <w:rPr>
            <w:rStyle w:val="Hyperlink"/>
            <w:rFonts w:cs="Times New Roman"/>
            <w:szCs w:val="24"/>
            <w:lang w:val="en-IN"/>
          </w:rPr>
          <w:t>https://www.iea.org/</w:t>
        </w:r>
      </w:hyperlink>
    </w:p>
    <w:p w14:paraId="47D16E0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 xml:space="preserve">ISIC Rev.4 categorizes economic activities into 21 broad Sections (A–U), 88 Divisions, 238 Groups, and 419 Classes. </w:t>
      </w:r>
    </w:p>
    <w:p w14:paraId="4876DDE1"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lastRenderedPageBreak/>
        <w:t>Kumar, A., Gandhi, J. D., &amp; Thanki, S. (2021). Identifying and ranking sustainable manufacturing indicators using the triple bottom line approach. Journal of Cleaner Production, 321, 123134. </w:t>
      </w:r>
      <w:hyperlink r:id="rId20" w:tgtFrame="_blank" w:history="1">
        <w:r w:rsidRPr="00192BD2">
          <w:rPr>
            <w:rStyle w:val="Hyperlink"/>
            <w:rFonts w:cs="Times New Roman"/>
            <w:szCs w:val="24"/>
            <w:lang w:val="en-IN"/>
          </w:rPr>
          <w:t>https://doi.org/10.1016/j.jclepro.2021.123134</w:t>
        </w:r>
      </w:hyperlink>
    </w:p>
    <w:p w14:paraId="132AEAB1"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Ministry of Environment, Forest and Climate Change, Government of India. (2024). India's Fourth Biennial Update Report (BUR-4) to the United Nations Framework Convention on Climate Change (UNFCCC). Submitted December 30, 2024. Retrieved from </w:t>
      </w:r>
      <w:hyperlink r:id="rId21" w:tgtFrame="_blank" w:history="1">
        <w:r w:rsidRPr="00192BD2">
          <w:rPr>
            <w:rStyle w:val="Hyperlink"/>
            <w:rFonts w:cs="Times New Roman"/>
            <w:szCs w:val="24"/>
            <w:lang w:val="en-IN"/>
          </w:rPr>
          <w:t>https://unfccc.int/documents/645149</w:t>
        </w:r>
      </w:hyperlink>
    </w:p>
    <w:p w14:paraId="707A35A1"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Ministry of Finance, Government of India. (2024). Economic Survey 2023-24. Retrieved from </w:t>
      </w:r>
      <w:hyperlink r:id="rId22" w:tgtFrame="_blank" w:history="1">
        <w:r w:rsidRPr="00192BD2">
          <w:rPr>
            <w:rStyle w:val="Hyperlink"/>
            <w:rFonts w:cs="Times New Roman"/>
            <w:szCs w:val="24"/>
            <w:lang w:val="en-IN"/>
          </w:rPr>
          <w:t>https://www.indiabudget.gov.in/economicsurvey</w:t>
        </w:r>
      </w:hyperlink>
    </w:p>
    <w:p w14:paraId="1B685D92"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Ministry of Power. (2023). Energy Statistics India 2023. Government of India. Retrieved from </w:t>
      </w:r>
      <w:hyperlink r:id="rId23" w:tgtFrame="_blank" w:history="1">
        <w:r w:rsidRPr="00192BD2">
          <w:rPr>
            <w:rStyle w:val="Hyperlink"/>
            <w:rFonts w:cs="Times New Roman"/>
            <w:szCs w:val="24"/>
            <w:lang w:val="en-IN"/>
          </w:rPr>
          <w:t>https://www.mospi.gov.in/</w:t>
        </w:r>
      </w:hyperlink>
    </w:p>
    <w:p w14:paraId="0DDA7C1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Ministry of Statistics and Programme Implementation. (2023). Periodic Labour Force Survey (PLFS) 2023-24: Annual Report. Government of India. Retrieved from </w:t>
      </w:r>
      <w:hyperlink r:id="rId24" w:tgtFrame="_blank" w:history="1">
        <w:r w:rsidRPr="00192BD2">
          <w:rPr>
            <w:rStyle w:val="Hyperlink"/>
            <w:rFonts w:cs="Times New Roman"/>
            <w:szCs w:val="24"/>
            <w:lang w:val="en-IN"/>
          </w:rPr>
          <w:t>https://mospi.gov.in</w:t>
        </w:r>
      </w:hyperlink>
    </w:p>
    <w:p w14:paraId="11D72DDD"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Ministry of Statistics and Programme Implementation. (2024). National Accounts Statistics 2023-24. Government of India. Retrieved from </w:t>
      </w:r>
      <w:hyperlink r:id="rId25" w:tgtFrame="_blank" w:history="1">
        <w:r w:rsidRPr="00192BD2">
          <w:rPr>
            <w:rStyle w:val="Hyperlink"/>
            <w:rFonts w:cs="Times New Roman"/>
            <w:szCs w:val="24"/>
            <w:lang w:val="en-IN"/>
          </w:rPr>
          <w:t>https://mospi.gov.in</w:t>
        </w:r>
      </w:hyperlink>
    </w:p>
    <w:p w14:paraId="070730E9"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Montagna, S. (2025). Sectoral economic complexity and environmental degradation: a sectoral perspective on the EKC hypothesis. Humanities and Social Sciences Communications, 12, Article 4820. </w:t>
      </w:r>
      <w:hyperlink r:id="rId26" w:tgtFrame="_blank" w:history="1">
        <w:r w:rsidRPr="00192BD2">
          <w:rPr>
            <w:rStyle w:val="Hyperlink"/>
            <w:rFonts w:cs="Times New Roman"/>
            <w:szCs w:val="24"/>
            <w:lang w:val="en-IN"/>
          </w:rPr>
          <w:t>https://www.nature.com/articles/s41599-025-04820-0</w:t>
        </w:r>
      </w:hyperlink>
    </w:p>
    <w:p w14:paraId="39EC01E8"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NITI Aayog. (2019). SDG India Index &amp; Dashboard 2019. NITI Aayog, Government of India. Retrieved from </w:t>
      </w:r>
      <w:hyperlink r:id="rId27" w:tgtFrame="_blank" w:history="1">
        <w:r w:rsidRPr="00192BD2">
          <w:rPr>
            <w:rStyle w:val="Hyperlink"/>
            <w:rFonts w:cs="Times New Roman"/>
            <w:szCs w:val="24"/>
            <w:lang w:val="en-IN"/>
          </w:rPr>
          <w:t>https://niti.gov.in/sites/default/files/2020-07/SDG-India-Index-2.0.pdf</w:t>
        </w:r>
      </w:hyperlink>
    </w:p>
    <w:p w14:paraId="2E120204"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Periodic Labour Force Survey. (2023). Annual Report 2023-24. Ministry of Statistics and Programme Implementation. Retrieved from </w:t>
      </w:r>
      <w:hyperlink r:id="rId28" w:tgtFrame="_blank" w:history="1">
        <w:r w:rsidRPr="00192BD2">
          <w:rPr>
            <w:rStyle w:val="Hyperlink"/>
            <w:rFonts w:cs="Times New Roman"/>
            <w:szCs w:val="24"/>
            <w:lang w:val="en-IN"/>
          </w:rPr>
          <w:t>https://www.mospi.gov.in</w:t>
        </w:r>
      </w:hyperlink>
    </w:p>
    <w:p w14:paraId="03E41A0A"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PLFS:</w:t>
      </w:r>
      <w:r w:rsidRPr="00192BD2">
        <w:rPr>
          <w:rFonts w:cs="Times New Roman"/>
          <w:szCs w:val="24"/>
          <w:lang w:val="en-IN"/>
        </w:rPr>
        <w:t> Ministry of Labour and Employment, Government of India. (2024). Periodic Labour Force Survey (PLFS) 2023-24. Retrieved from </w:t>
      </w:r>
      <w:hyperlink r:id="rId29" w:tgtFrame="_blank" w:history="1">
        <w:r w:rsidRPr="00192BD2">
          <w:rPr>
            <w:rStyle w:val="Hyperlink"/>
            <w:rFonts w:cs="Times New Roman"/>
            <w:szCs w:val="24"/>
            <w:lang w:val="en-IN"/>
          </w:rPr>
          <w:t>https://labour.gov.in</w:t>
        </w:r>
      </w:hyperlink>
    </w:p>
    <w:p w14:paraId="60C7A92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Press Information Bureau (PIB). (2023). Year End Review 2023. Government of India. Retrieved from </w:t>
      </w:r>
      <w:hyperlink r:id="rId30" w:tgtFrame="_blank" w:history="1">
        <w:r w:rsidRPr="00192BD2">
          <w:rPr>
            <w:rStyle w:val="Hyperlink"/>
            <w:rFonts w:cs="Times New Roman"/>
            <w:szCs w:val="24"/>
            <w:lang w:val="en-IN"/>
          </w:rPr>
          <w:t>https://pib.gov.in/</w:t>
        </w:r>
      </w:hyperlink>
    </w:p>
    <w:p w14:paraId="66B12DDC"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lastRenderedPageBreak/>
        <w:t>Press Information Bureau. (2023). Ministry of Power Reports. Government of India. Retrieved from </w:t>
      </w:r>
      <w:hyperlink r:id="rId31" w:tgtFrame="_blank" w:history="1">
        <w:r w:rsidRPr="00192BD2">
          <w:rPr>
            <w:rStyle w:val="Hyperlink"/>
            <w:rFonts w:cs="Times New Roman"/>
            <w:szCs w:val="24"/>
            <w:lang w:val="en-IN"/>
          </w:rPr>
          <w:t>https://pib.gov.in/</w:t>
        </w:r>
      </w:hyperlink>
    </w:p>
    <w:p w14:paraId="363931F4"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Press Information Bureau:</w:t>
      </w:r>
      <w:r w:rsidRPr="00192BD2">
        <w:rPr>
          <w:rFonts w:cs="Times New Roman"/>
          <w:szCs w:val="24"/>
          <w:lang w:val="en-IN"/>
        </w:rPr>
        <w:t> Government of India. (2023). Press Information Bureau releases and reports. Retrieved from </w:t>
      </w:r>
      <w:hyperlink r:id="rId32" w:tgtFrame="_blank" w:history="1">
        <w:r w:rsidRPr="00192BD2">
          <w:rPr>
            <w:rStyle w:val="Hyperlink"/>
            <w:rFonts w:cs="Times New Roman"/>
            <w:szCs w:val="24"/>
            <w:lang w:val="en-IN"/>
          </w:rPr>
          <w:t>https://pib.gov.in</w:t>
        </w:r>
      </w:hyperlink>
    </w:p>
    <w:p w14:paraId="4B3E4019"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See also explanatory content on the SEDA framework: </w:t>
      </w:r>
      <w:hyperlink r:id="rId33" w:tgtFrame="_blank" w:history="1">
        <w:r w:rsidRPr="00192BD2">
          <w:rPr>
            <w:rStyle w:val="Hyperlink"/>
            <w:rFonts w:cs="Times New Roman"/>
            <w:szCs w:val="24"/>
            <w:lang w:val="en-IN"/>
          </w:rPr>
          <w:t>https://www.bcg.com/publications/2019/seda-measuring-well-being</w:t>
        </w:r>
      </w:hyperlink>
    </w:p>
    <w:p w14:paraId="2E2DCC7C"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Singh, A., &amp; Trivedi, A. (2015). Barriers analysis for green supply chain management implementation in Indian industries using analytic hierarchy process. </w:t>
      </w:r>
      <w:r w:rsidRPr="00192BD2">
        <w:rPr>
          <w:rFonts w:cs="Times New Roman"/>
          <w:i/>
          <w:iCs/>
          <w:szCs w:val="24"/>
          <w:lang w:val="en-IN"/>
        </w:rPr>
        <w:t>International Journal of Production Economics, 164</w:t>
      </w:r>
      <w:r w:rsidRPr="00192BD2">
        <w:rPr>
          <w:rFonts w:cs="Times New Roman"/>
          <w:szCs w:val="24"/>
          <w:lang w:val="en-IN"/>
        </w:rPr>
        <w:t>, 210-218.</w:t>
      </w:r>
    </w:p>
    <w:p w14:paraId="2E0A7CE0"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 xml:space="preserve">Singhal, N. (2023). Dynamic sectoral prioritization for sustainability: Integrating real-time data and stakeholder engagement. Journal of Policy </w:t>
      </w:r>
      <w:proofErr w:type="spellStart"/>
      <w:r w:rsidRPr="00192BD2">
        <w:rPr>
          <w:rFonts w:cs="Times New Roman"/>
          <w:bCs/>
          <w:szCs w:val="24"/>
          <w:lang w:val="en-IN"/>
        </w:rPr>
        <w:t>Modeling</w:t>
      </w:r>
      <w:proofErr w:type="spellEnd"/>
      <w:r w:rsidRPr="00192BD2">
        <w:rPr>
          <w:rFonts w:cs="Times New Roman"/>
          <w:bCs/>
          <w:szCs w:val="24"/>
          <w:lang w:val="en-IN"/>
        </w:rPr>
        <w:t>, 45(1), 65–81. </w:t>
      </w:r>
      <w:hyperlink r:id="rId34" w:tgtFrame="_blank" w:history="1">
        <w:r w:rsidRPr="00192BD2">
          <w:rPr>
            <w:rStyle w:val="Hyperlink"/>
            <w:rFonts w:cs="Times New Roman"/>
            <w:szCs w:val="24"/>
            <w:lang w:val="en-IN"/>
          </w:rPr>
          <w:t>https://doi.org/10.1016/j.jpolmod.2022.08.006</w:t>
        </w:r>
      </w:hyperlink>
    </w:p>
    <w:p w14:paraId="63657052" w14:textId="77777777" w:rsidR="00192BD2" w:rsidRPr="00192BD2" w:rsidRDefault="00192BD2" w:rsidP="00192BD2">
      <w:pPr>
        <w:numPr>
          <w:ilvl w:val="0"/>
          <w:numId w:val="37"/>
        </w:numPr>
        <w:spacing w:after="0" w:line="480" w:lineRule="auto"/>
        <w:jc w:val="both"/>
        <w:rPr>
          <w:rFonts w:cs="Times New Roman"/>
          <w:szCs w:val="24"/>
          <w:lang w:val="en-IN"/>
        </w:rPr>
      </w:pPr>
      <w:proofErr w:type="spellStart"/>
      <w:r w:rsidRPr="00192BD2">
        <w:rPr>
          <w:rFonts w:cs="Times New Roman"/>
          <w:i/>
          <w:iCs/>
          <w:szCs w:val="24"/>
          <w:lang w:val="en-IN"/>
        </w:rPr>
        <w:t>Štilić</w:t>
      </w:r>
      <w:proofErr w:type="spellEnd"/>
      <w:r w:rsidRPr="00192BD2">
        <w:rPr>
          <w:rFonts w:cs="Times New Roman"/>
          <w:i/>
          <w:iCs/>
          <w:szCs w:val="24"/>
          <w:lang w:val="en-IN"/>
        </w:rPr>
        <w:t xml:space="preserve">, A., </w:t>
      </w:r>
      <w:proofErr w:type="spellStart"/>
      <w:r w:rsidRPr="00192BD2">
        <w:rPr>
          <w:rFonts w:cs="Times New Roman"/>
          <w:i/>
          <w:iCs/>
          <w:szCs w:val="24"/>
          <w:lang w:val="en-IN"/>
        </w:rPr>
        <w:t>Čolakhodžić</w:t>
      </w:r>
      <w:proofErr w:type="spellEnd"/>
      <w:r w:rsidRPr="00192BD2">
        <w:rPr>
          <w:rFonts w:cs="Times New Roman"/>
          <w:i/>
          <w:iCs/>
          <w:szCs w:val="24"/>
          <w:lang w:val="en-IN"/>
        </w:rPr>
        <w:t xml:space="preserve">, E., &amp; </w:t>
      </w:r>
      <w:proofErr w:type="spellStart"/>
      <w:r w:rsidRPr="00192BD2">
        <w:rPr>
          <w:rFonts w:cs="Times New Roman"/>
          <w:i/>
          <w:iCs/>
          <w:szCs w:val="24"/>
          <w:lang w:val="en-IN"/>
        </w:rPr>
        <w:t>Karakaš</w:t>
      </w:r>
      <w:proofErr w:type="spellEnd"/>
      <w:r w:rsidRPr="00192BD2">
        <w:rPr>
          <w:rFonts w:cs="Times New Roman"/>
          <w:i/>
          <w:iCs/>
          <w:szCs w:val="24"/>
          <w:lang w:val="en-IN"/>
        </w:rPr>
        <w:t>, E. (2023). Integrating Multi-Criteria Decision-Making Methods with Sustainability Assessment in Sectoral and Urban Planning: A Review. Sustainability, 13(2), 88. </w:t>
      </w:r>
      <w:hyperlink r:id="rId35" w:tgtFrame="_blank" w:history="1">
        <w:r w:rsidRPr="00192BD2">
          <w:rPr>
            <w:rStyle w:val="Hyperlink"/>
            <w:rFonts w:cs="Times New Roman"/>
            <w:i/>
            <w:iCs/>
            <w:szCs w:val="24"/>
            <w:lang w:val="en-IN"/>
          </w:rPr>
          <w:t>https://doi.org/10.3390/su1302088</w:t>
        </w:r>
      </w:hyperlink>
    </w:p>
    <w:p w14:paraId="4592D68D"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UNESCO. (2023). Countries recommend prioritizing economic sectors and broad multistakeholder participation at start of process to integrate science in the SDGs. UNESCO. Retrieved from </w:t>
      </w:r>
      <w:hyperlink r:id="rId36" w:tgtFrame="_blank" w:history="1">
        <w:r w:rsidRPr="00192BD2">
          <w:rPr>
            <w:rStyle w:val="Hyperlink"/>
            <w:rFonts w:cs="Times New Roman"/>
            <w:szCs w:val="24"/>
            <w:lang w:val="en-IN"/>
          </w:rPr>
          <w:t>https://unesco.org/en/articles/countries-recommend-prioritizing-economic-sectors-and-broad-multistakeholder-participation-start</w:t>
        </w:r>
      </w:hyperlink>
    </w:p>
    <w:p w14:paraId="2D3DB41E"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bCs/>
          <w:szCs w:val="24"/>
          <w:lang w:val="en-IN"/>
        </w:rPr>
        <w:t>UNESCO. (2023). Countries recommend prioritizing economic sectors and broad multistakeholder participation at start of process to integrate science in the SDGs. UNESCO. Retrieved from </w:t>
      </w:r>
      <w:hyperlink r:id="rId37" w:tgtFrame="_blank" w:history="1">
        <w:r w:rsidRPr="00192BD2">
          <w:rPr>
            <w:rStyle w:val="Hyperlink"/>
            <w:rFonts w:cs="Times New Roman"/>
            <w:szCs w:val="24"/>
            <w:lang w:val="en-IN"/>
          </w:rPr>
          <w:t>https://unesco.org/en/articles/countries-recommend-prioritizing-economic-sectors-and-broad-multistakeholder-participation-start</w:t>
        </w:r>
      </w:hyperlink>
    </w:p>
    <w:p w14:paraId="3333B505"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UNFCCC. (2023). NDC Synthesis Report. Retrieved from </w:t>
      </w:r>
      <w:hyperlink r:id="rId38" w:tgtFrame="_blank" w:history="1">
        <w:r w:rsidRPr="00192BD2">
          <w:rPr>
            <w:rStyle w:val="Hyperlink"/>
            <w:rFonts w:cs="Times New Roman"/>
            <w:szCs w:val="24"/>
            <w:lang w:val="en-IN"/>
          </w:rPr>
          <w:t>https://unfccc.int/ndc-synthesis-report-2023</w:t>
        </w:r>
      </w:hyperlink>
    </w:p>
    <w:p w14:paraId="61B45DA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t>UNFCCC. (2023). Toolkit to Enhance Access to Climate Finance: A Commonwealth Practical Guide. Retrieved from </w:t>
      </w:r>
      <w:hyperlink r:id="rId39" w:tgtFrame="_blank" w:history="1">
        <w:r w:rsidRPr="00192BD2">
          <w:rPr>
            <w:rStyle w:val="Hyperlink"/>
            <w:rFonts w:cs="Times New Roman"/>
            <w:szCs w:val="24"/>
            <w:lang w:val="en-IN"/>
          </w:rPr>
          <w:t>https://unfccc.int/documents/461219</w:t>
        </w:r>
      </w:hyperlink>
    </w:p>
    <w:p w14:paraId="5F79AB87" w14:textId="77777777" w:rsidR="00192BD2" w:rsidRPr="00192BD2" w:rsidRDefault="00192BD2" w:rsidP="00192BD2">
      <w:pPr>
        <w:numPr>
          <w:ilvl w:val="0"/>
          <w:numId w:val="37"/>
        </w:numPr>
        <w:spacing w:after="0" w:line="480" w:lineRule="auto"/>
        <w:jc w:val="both"/>
        <w:rPr>
          <w:rFonts w:cs="Times New Roman"/>
          <w:szCs w:val="24"/>
          <w:lang w:val="en-IN"/>
        </w:rPr>
      </w:pPr>
      <w:r w:rsidRPr="00192BD2">
        <w:rPr>
          <w:rFonts w:cs="Times New Roman"/>
          <w:szCs w:val="24"/>
          <w:lang w:val="en-IN"/>
        </w:rPr>
        <w:lastRenderedPageBreak/>
        <w:t>UNFCCC. (2023). UN Climate Change 2023 Highlights. Retrieved from </w:t>
      </w:r>
      <w:hyperlink r:id="rId40" w:tgtFrame="_blank" w:history="1">
        <w:r w:rsidRPr="00192BD2">
          <w:rPr>
            <w:rStyle w:val="Hyperlink"/>
            <w:rFonts w:cs="Times New Roman"/>
            <w:szCs w:val="24"/>
            <w:lang w:val="en-IN"/>
          </w:rPr>
          <w:t>https://unfccc.int/about-us/2023-highlights</w:t>
        </w:r>
      </w:hyperlink>
    </w:p>
    <w:p w14:paraId="59B64E68" w14:textId="77777777" w:rsidR="00192BD2" w:rsidRPr="00192BD2" w:rsidRDefault="00192BD2" w:rsidP="00192BD2">
      <w:pPr>
        <w:numPr>
          <w:ilvl w:val="0"/>
          <w:numId w:val="37"/>
        </w:numPr>
        <w:spacing w:after="0" w:line="480" w:lineRule="auto"/>
        <w:jc w:val="both"/>
        <w:rPr>
          <w:rFonts w:cs="Times New Roman"/>
          <w:szCs w:val="24"/>
          <w:lang w:val="en-IN"/>
        </w:rPr>
      </w:pPr>
      <w:r w:rsidRPr="0062075B">
        <w:rPr>
          <w:rFonts w:cs="Times New Roman"/>
          <w:bCs/>
          <w:szCs w:val="24"/>
          <w:lang w:val="nl-BE"/>
        </w:rPr>
        <w:t xml:space="preserve">Varmaz, A., Fieberg, C., &amp; Poddig, T. (2024). </w:t>
      </w:r>
      <w:r w:rsidRPr="00192BD2">
        <w:rPr>
          <w:rFonts w:cs="Times New Roman"/>
          <w:bCs/>
          <w:szCs w:val="24"/>
          <w:lang w:val="en-IN"/>
        </w:rPr>
        <w:t>Portfolio Optimization for Sustainable Investments. Annals of Operations Research, 341(2), 1151-1176. </w:t>
      </w:r>
      <w:hyperlink r:id="rId41" w:tgtFrame="_blank" w:history="1">
        <w:r w:rsidRPr="00192BD2">
          <w:rPr>
            <w:rStyle w:val="Hyperlink"/>
            <w:rFonts w:cs="Times New Roman"/>
            <w:szCs w:val="24"/>
            <w:lang w:val="en-IN"/>
          </w:rPr>
          <w:t>https://doi.org/10.1007/s10479-024-06189-w</w:t>
        </w:r>
      </w:hyperlink>
    </w:p>
    <w:p w14:paraId="41EAC8FE" w14:textId="77777777" w:rsidR="00192BD2" w:rsidRPr="00192BD2" w:rsidRDefault="00192BD2" w:rsidP="00192BD2">
      <w:pPr>
        <w:numPr>
          <w:ilvl w:val="0"/>
          <w:numId w:val="37"/>
        </w:numPr>
        <w:spacing w:after="0" w:line="480" w:lineRule="auto"/>
        <w:jc w:val="both"/>
        <w:rPr>
          <w:rFonts w:cs="Times New Roman"/>
          <w:szCs w:val="24"/>
          <w:lang w:val="en-IN"/>
        </w:rPr>
      </w:pPr>
      <w:r w:rsidRPr="0062075B">
        <w:rPr>
          <w:rFonts w:cs="Times New Roman"/>
          <w:bCs/>
          <w:szCs w:val="24"/>
          <w:lang w:val="nl-BE"/>
        </w:rPr>
        <w:t xml:space="preserve">Zhou, Y., Wang, L., &amp; Li, X. (2023). </w:t>
      </w:r>
      <w:r w:rsidRPr="00192BD2">
        <w:rPr>
          <w:rFonts w:cs="Times New Roman"/>
          <w:bCs/>
          <w:szCs w:val="24"/>
          <w:lang w:val="en-IN"/>
        </w:rPr>
        <w:t>Strategic prioritization for sustainable development: A case study in the logistics industry. Applied Sciences, 15(8), 4364. </w:t>
      </w:r>
      <w:hyperlink r:id="rId42" w:tgtFrame="_blank" w:history="1">
        <w:r w:rsidRPr="00192BD2">
          <w:rPr>
            <w:rStyle w:val="Hyperlink"/>
            <w:rFonts w:cs="Times New Roman"/>
            <w:szCs w:val="24"/>
            <w:lang w:val="en-IN"/>
          </w:rPr>
          <w:t>https://doi.org/10.3390/app15084364</w:t>
        </w:r>
      </w:hyperlink>
    </w:p>
    <w:p w14:paraId="6B1F51E8" w14:textId="19BB381A" w:rsidR="008F5B46" w:rsidRPr="009B21BB" w:rsidRDefault="008F5B46" w:rsidP="00041364">
      <w:pPr>
        <w:spacing w:after="0" w:line="480" w:lineRule="auto"/>
        <w:ind w:firstLine="720"/>
        <w:jc w:val="both"/>
        <w:rPr>
          <w:rFonts w:cs="Times New Roman"/>
          <w:szCs w:val="24"/>
          <w:lang w:val="en-IN"/>
        </w:rPr>
      </w:pPr>
    </w:p>
    <w:sectPr w:rsidR="008F5B46" w:rsidRPr="009B21BB" w:rsidSect="00710321">
      <w:footerReference w:type="default" r:id="rId43"/>
      <w:pgSz w:w="12240" w:h="15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899C" w14:textId="77777777" w:rsidR="00C05D4C" w:rsidRDefault="00C05D4C">
      <w:pPr>
        <w:spacing w:after="0" w:line="240" w:lineRule="auto"/>
      </w:pPr>
      <w:r>
        <w:separator/>
      </w:r>
    </w:p>
  </w:endnote>
  <w:endnote w:type="continuationSeparator" w:id="0">
    <w:p w14:paraId="7372F103" w14:textId="77777777" w:rsidR="00C05D4C" w:rsidRDefault="00C0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EC25" w14:textId="77777777" w:rsidR="00365206" w:rsidRDefault="00365206">
    <w:pPr>
      <w:jc w:val="center"/>
    </w:pPr>
    <w:r>
      <w:t xml:space="preserve">Page </w:t>
    </w:r>
    <w:r>
      <w:fldChar w:fldCharType="begin"/>
    </w:r>
    <w:r>
      <w:instrText>PAGE</w:instrText>
    </w:r>
    <w:r>
      <w:fldChar w:fldCharType="separate"/>
    </w:r>
    <w:r w:rsidR="00192BD2">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D8CC9" w14:textId="77777777" w:rsidR="00C05D4C" w:rsidRDefault="00C05D4C">
      <w:pPr>
        <w:spacing w:after="0" w:line="240" w:lineRule="auto"/>
      </w:pPr>
      <w:r>
        <w:separator/>
      </w:r>
    </w:p>
  </w:footnote>
  <w:footnote w:type="continuationSeparator" w:id="0">
    <w:p w14:paraId="0F4F758B" w14:textId="77777777" w:rsidR="00C05D4C" w:rsidRDefault="00C05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BDD"/>
    <w:multiLevelType w:val="multilevel"/>
    <w:tmpl w:val="5884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3C0"/>
    <w:multiLevelType w:val="multilevel"/>
    <w:tmpl w:val="6CF8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646C"/>
    <w:multiLevelType w:val="multilevel"/>
    <w:tmpl w:val="95F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83643"/>
    <w:multiLevelType w:val="multilevel"/>
    <w:tmpl w:val="E52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74E3"/>
    <w:multiLevelType w:val="multilevel"/>
    <w:tmpl w:val="0DD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746F7"/>
    <w:multiLevelType w:val="hybridMultilevel"/>
    <w:tmpl w:val="4A2ABCA8"/>
    <w:lvl w:ilvl="0" w:tplc="87C0694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2D3A9D"/>
    <w:multiLevelType w:val="hybridMultilevel"/>
    <w:tmpl w:val="CDB2E046"/>
    <w:lvl w:ilvl="0" w:tplc="9F5E5ADC">
      <w:start w:val="1"/>
      <w:numFmt w:val="bullet"/>
      <w:lvlText w:val=""/>
      <w:lvlJc w:val="left"/>
      <w:pPr>
        <w:tabs>
          <w:tab w:val="num" w:pos="900"/>
        </w:tabs>
        <w:ind w:left="540" w:hanging="360"/>
      </w:pPr>
      <w:rPr>
        <w:rFonts w:ascii="Symbol" w:hAnsi="Symbol" w:hint="default"/>
      </w:rPr>
    </w:lvl>
    <w:lvl w:ilvl="1" w:tplc="0BEA54E6">
      <w:numFmt w:val="decimal"/>
      <w:lvlText w:val=""/>
      <w:lvlJc w:val="left"/>
    </w:lvl>
    <w:lvl w:ilvl="2" w:tplc="7F66F312">
      <w:numFmt w:val="decimal"/>
      <w:lvlText w:val=""/>
      <w:lvlJc w:val="left"/>
    </w:lvl>
    <w:lvl w:ilvl="3" w:tplc="A5A40D24">
      <w:numFmt w:val="decimal"/>
      <w:lvlText w:val=""/>
      <w:lvlJc w:val="left"/>
    </w:lvl>
    <w:lvl w:ilvl="4" w:tplc="637C2CA0">
      <w:numFmt w:val="decimal"/>
      <w:lvlText w:val=""/>
      <w:lvlJc w:val="left"/>
    </w:lvl>
    <w:lvl w:ilvl="5" w:tplc="5B9E28B4">
      <w:numFmt w:val="decimal"/>
      <w:lvlText w:val=""/>
      <w:lvlJc w:val="left"/>
    </w:lvl>
    <w:lvl w:ilvl="6" w:tplc="FB104884">
      <w:numFmt w:val="decimal"/>
      <w:lvlText w:val=""/>
      <w:lvlJc w:val="left"/>
    </w:lvl>
    <w:lvl w:ilvl="7" w:tplc="61CE870C">
      <w:numFmt w:val="decimal"/>
      <w:lvlText w:val=""/>
      <w:lvlJc w:val="left"/>
    </w:lvl>
    <w:lvl w:ilvl="8" w:tplc="47747F66">
      <w:numFmt w:val="decimal"/>
      <w:lvlText w:val=""/>
      <w:lvlJc w:val="left"/>
    </w:lvl>
  </w:abstractNum>
  <w:abstractNum w:abstractNumId="7" w15:restartNumberingAfterBreak="0">
    <w:nsid w:val="19A51336"/>
    <w:multiLevelType w:val="multilevel"/>
    <w:tmpl w:val="4CE2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476EE"/>
    <w:multiLevelType w:val="hybridMultilevel"/>
    <w:tmpl w:val="C040EC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BC213C"/>
    <w:multiLevelType w:val="multilevel"/>
    <w:tmpl w:val="5AB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A4271"/>
    <w:multiLevelType w:val="hybridMultilevel"/>
    <w:tmpl w:val="3A60F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3F66D5"/>
    <w:multiLevelType w:val="hybridMultilevel"/>
    <w:tmpl w:val="9A36838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A05FAD"/>
    <w:multiLevelType w:val="hybridMultilevel"/>
    <w:tmpl w:val="10B07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9561AA"/>
    <w:multiLevelType w:val="hybridMultilevel"/>
    <w:tmpl w:val="E72AC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0B1906"/>
    <w:multiLevelType w:val="hybridMultilevel"/>
    <w:tmpl w:val="4F9EE26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354433EE"/>
    <w:multiLevelType w:val="hybridMultilevel"/>
    <w:tmpl w:val="E4BC8ED2"/>
    <w:lvl w:ilvl="0" w:tplc="87C06942">
      <w:start w:val="1"/>
      <w:numFmt w:val="decimal"/>
      <w:lvlText w:val="%1."/>
      <w:lvlJc w:val="left"/>
      <w:pPr>
        <w:tabs>
          <w:tab w:val="num" w:pos="900"/>
        </w:tabs>
        <w:ind w:left="540" w:hanging="360"/>
      </w:pPr>
    </w:lvl>
    <w:lvl w:ilvl="1" w:tplc="A7FCDD7C">
      <w:numFmt w:val="decimal"/>
      <w:lvlText w:val=""/>
      <w:lvlJc w:val="left"/>
    </w:lvl>
    <w:lvl w:ilvl="2" w:tplc="5AA877C4">
      <w:numFmt w:val="decimal"/>
      <w:lvlText w:val=""/>
      <w:lvlJc w:val="left"/>
    </w:lvl>
    <w:lvl w:ilvl="3" w:tplc="3302194C">
      <w:numFmt w:val="decimal"/>
      <w:lvlText w:val=""/>
      <w:lvlJc w:val="left"/>
    </w:lvl>
    <w:lvl w:ilvl="4" w:tplc="BB5E9032">
      <w:numFmt w:val="decimal"/>
      <w:lvlText w:val=""/>
      <w:lvlJc w:val="left"/>
    </w:lvl>
    <w:lvl w:ilvl="5" w:tplc="749C2174">
      <w:numFmt w:val="decimal"/>
      <w:lvlText w:val=""/>
      <w:lvlJc w:val="left"/>
    </w:lvl>
    <w:lvl w:ilvl="6" w:tplc="EACC4B3A">
      <w:numFmt w:val="decimal"/>
      <w:lvlText w:val=""/>
      <w:lvlJc w:val="left"/>
    </w:lvl>
    <w:lvl w:ilvl="7" w:tplc="5CB4D8D6">
      <w:numFmt w:val="decimal"/>
      <w:lvlText w:val=""/>
      <w:lvlJc w:val="left"/>
    </w:lvl>
    <w:lvl w:ilvl="8" w:tplc="48D20796">
      <w:numFmt w:val="decimal"/>
      <w:lvlText w:val=""/>
      <w:lvlJc w:val="left"/>
    </w:lvl>
  </w:abstractNum>
  <w:abstractNum w:abstractNumId="16" w15:restartNumberingAfterBreak="0">
    <w:nsid w:val="35506E89"/>
    <w:multiLevelType w:val="multilevel"/>
    <w:tmpl w:val="A772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76DA6"/>
    <w:multiLevelType w:val="hybridMultilevel"/>
    <w:tmpl w:val="83084484"/>
    <w:lvl w:ilvl="0" w:tplc="0F407AEA">
      <w:start w:val="1"/>
      <w:numFmt w:val="bullet"/>
      <w:lvlText w:val=""/>
      <w:lvlJc w:val="left"/>
      <w:pPr>
        <w:tabs>
          <w:tab w:val="num" w:pos="900"/>
        </w:tabs>
        <w:ind w:left="540" w:hanging="360"/>
      </w:pPr>
      <w:rPr>
        <w:rFonts w:ascii="Symbol" w:hAnsi="Symbol" w:hint="default"/>
      </w:rPr>
    </w:lvl>
    <w:lvl w:ilvl="1" w:tplc="E788D21E">
      <w:numFmt w:val="decimal"/>
      <w:lvlText w:val=""/>
      <w:lvlJc w:val="left"/>
    </w:lvl>
    <w:lvl w:ilvl="2" w:tplc="57AE1C00">
      <w:numFmt w:val="decimal"/>
      <w:lvlText w:val=""/>
      <w:lvlJc w:val="left"/>
    </w:lvl>
    <w:lvl w:ilvl="3" w:tplc="B582BC80">
      <w:numFmt w:val="decimal"/>
      <w:lvlText w:val=""/>
      <w:lvlJc w:val="left"/>
    </w:lvl>
    <w:lvl w:ilvl="4" w:tplc="213E98D0">
      <w:numFmt w:val="decimal"/>
      <w:lvlText w:val=""/>
      <w:lvlJc w:val="left"/>
    </w:lvl>
    <w:lvl w:ilvl="5" w:tplc="C7BE7F6A">
      <w:numFmt w:val="decimal"/>
      <w:lvlText w:val=""/>
      <w:lvlJc w:val="left"/>
    </w:lvl>
    <w:lvl w:ilvl="6" w:tplc="AA620AA6">
      <w:numFmt w:val="decimal"/>
      <w:lvlText w:val=""/>
      <w:lvlJc w:val="left"/>
    </w:lvl>
    <w:lvl w:ilvl="7" w:tplc="05141C08">
      <w:numFmt w:val="decimal"/>
      <w:lvlText w:val=""/>
      <w:lvlJc w:val="left"/>
    </w:lvl>
    <w:lvl w:ilvl="8" w:tplc="B8181AEE">
      <w:numFmt w:val="decimal"/>
      <w:lvlText w:val=""/>
      <w:lvlJc w:val="left"/>
    </w:lvl>
  </w:abstractNum>
  <w:abstractNum w:abstractNumId="18" w15:restartNumberingAfterBreak="0">
    <w:nsid w:val="3E447554"/>
    <w:multiLevelType w:val="hybridMultilevel"/>
    <w:tmpl w:val="EC365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AE6A3B"/>
    <w:multiLevelType w:val="hybridMultilevel"/>
    <w:tmpl w:val="35A2FD08"/>
    <w:lvl w:ilvl="0" w:tplc="D8640C86">
      <w:start w:val="1"/>
      <w:numFmt w:val="bullet"/>
      <w:lvlText w:val=""/>
      <w:lvlJc w:val="left"/>
      <w:pPr>
        <w:tabs>
          <w:tab w:val="num" w:pos="900"/>
        </w:tabs>
        <w:ind w:left="540" w:hanging="360"/>
      </w:pPr>
      <w:rPr>
        <w:rFonts w:ascii="Symbol" w:hAnsi="Symbol" w:hint="default"/>
      </w:rPr>
    </w:lvl>
    <w:lvl w:ilvl="1" w:tplc="AB7649D4">
      <w:start w:val="1"/>
      <w:numFmt w:val="bullet"/>
      <w:lvlText w:val="o"/>
      <w:lvlJc w:val="left"/>
      <w:pPr>
        <w:tabs>
          <w:tab w:val="num" w:pos="1440"/>
        </w:tabs>
        <w:ind w:left="1080" w:hanging="360"/>
      </w:pPr>
      <w:rPr>
        <w:rFonts w:ascii="Courier New" w:hAnsi="Courier New" w:cs="Courier New" w:hint="default"/>
      </w:rPr>
    </w:lvl>
    <w:lvl w:ilvl="2" w:tplc="B38689E2">
      <w:numFmt w:val="decimal"/>
      <w:lvlText w:val=""/>
      <w:lvlJc w:val="left"/>
    </w:lvl>
    <w:lvl w:ilvl="3" w:tplc="03866E52">
      <w:numFmt w:val="decimal"/>
      <w:lvlText w:val=""/>
      <w:lvlJc w:val="left"/>
    </w:lvl>
    <w:lvl w:ilvl="4" w:tplc="A5007068">
      <w:numFmt w:val="decimal"/>
      <w:lvlText w:val=""/>
      <w:lvlJc w:val="left"/>
    </w:lvl>
    <w:lvl w:ilvl="5" w:tplc="CC92BBF8">
      <w:numFmt w:val="decimal"/>
      <w:lvlText w:val=""/>
      <w:lvlJc w:val="left"/>
    </w:lvl>
    <w:lvl w:ilvl="6" w:tplc="A20E95E2">
      <w:numFmt w:val="decimal"/>
      <w:lvlText w:val=""/>
      <w:lvlJc w:val="left"/>
    </w:lvl>
    <w:lvl w:ilvl="7" w:tplc="66043CD4">
      <w:numFmt w:val="decimal"/>
      <w:lvlText w:val=""/>
      <w:lvlJc w:val="left"/>
    </w:lvl>
    <w:lvl w:ilvl="8" w:tplc="F34AFC06">
      <w:numFmt w:val="decimal"/>
      <w:lvlText w:val=""/>
      <w:lvlJc w:val="left"/>
    </w:lvl>
  </w:abstractNum>
  <w:abstractNum w:abstractNumId="20" w15:restartNumberingAfterBreak="0">
    <w:nsid w:val="43F60521"/>
    <w:multiLevelType w:val="multilevel"/>
    <w:tmpl w:val="E6A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13A04"/>
    <w:multiLevelType w:val="hybridMultilevel"/>
    <w:tmpl w:val="E6DACCD6"/>
    <w:lvl w:ilvl="0" w:tplc="BEF07DDA">
      <w:start w:val="1"/>
      <w:numFmt w:val="bullet"/>
      <w:lvlText w:val=""/>
      <w:lvlJc w:val="left"/>
      <w:pPr>
        <w:tabs>
          <w:tab w:val="num" w:pos="900"/>
        </w:tabs>
        <w:ind w:left="540" w:hanging="360"/>
      </w:pPr>
      <w:rPr>
        <w:rFonts w:ascii="Symbol" w:hAnsi="Symbol" w:hint="default"/>
      </w:rPr>
    </w:lvl>
    <w:lvl w:ilvl="1" w:tplc="9D287536">
      <w:numFmt w:val="decimal"/>
      <w:lvlText w:val=""/>
      <w:lvlJc w:val="left"/>
    </w:lvl>
    <w:lvl w:ilvl="2" w:tplc="3E6E8454">
      <w:numFmt w:val="decimal"/>
      <w:lvlText w:val=""/>
      <w:lvlJc w:val="left"/>
    </w:lvl>
    <w:lvl w:ilvl="3" w:tplc="F1B8D9A8">
      <w:numFmt w:val="decimal"/>
      <w:lvlText w:val=""/>
      <w:lvlJc w:val="left"/>
    </w:lvl>
    <w:lvl w:ilvl="4" w:tplc="9982927E">
      <w:numFmt w:val="decimal"/>
      <w:lvlText w:val=""/>
      <w:lvlJc w:val="left"/>
    </w:lvl>
    <w:lvl w:ilvl="5" w:tplc="75D008BC">
      <w:numFmt w:val="decimal"/>
      <w:lvlText w:val=""/>
      <w:lvlJc w:val="left"/>
    </w:lvl>
    <w:lvl w:ilvl="6" w:tplc="86D4E0FA">
      <w:numFmt w:val="decimal"/>
      <w:lvlText w:val=""/>
      <w:lvlJc w:val="left"/>
    </w:lvl>
    <w:lvl w:ilvl="7" w:tplc="8C12089E">
      <w:numFmt w:val="decimal"/>
      <w:lvlText w:val=""/>
      <w:lvlJc w:val="left"/>
    </w:lvl>
    <w:lvl w:ilvl="8" w:tplc="D5E40E2C">
      <w:numFmt w:val="decimal"/>
      <w:lvlText w:val=""/>
      <w:lvlJc w:val="left"/>
    </w:lvl>
  </w:abstractNum>
  <w:abstractNum w:abstractNumId="22" w15:restartNumberingAfterBreak="0">
    <w:nsid w:val="4C103E89"/>
    <w:multiLevelType w:val="hybridMultilevel"/>
    <w:tmpl w:val="820A5E8A"/>
    <w:lvl w:ilvl="0" w:tplc="669E1754">
      <w:start w:val="1"/>
      <w:numFmt w:val="bullet"/>
      <w:lvlText w:val=""/>
      <w:lvlJc w:val="left"/>
      <w:pPr>
        <w:tabs>
          <w:tab w:val="num" w:pos="900"/>
        </w:tabs>
        <w:ind w:left="540" w:hanging="360"/>
      </w:pPr>
      <w:rPr>
        <w:rFonts w:ascii="Symbol" w:hAnsi="Symbol" w:hint="default"/>
      </w:rPr>
    </w:lvl>
    <w:lvl w:ilvl="1" w:tplc="3A3433A0">
      <w:numFmt w:val="decimal"/>
      <w:lvlText w:val=""/>
      <w:lvlJc w:val="left"/>
    </w:lvl>
    <w:lvl w:ilvl="2" w:tplc="F9422072">
      <w:numFmt w:val="decimal"/>
      <w:lvlText w:val=""/>
      <w:lvlJc w:val="left"/>
    </w:lvl>
    <w:lvl w:ilvl="3" w:tplc="404E7BA8">
      <w:numFmt w:val="decimal"/>
      <w:lvlText w:val=""/>
      <w:lvlJc w:val="left"/>
    </w:lvl>
    <w:lvl w:ilvl="4" w:tplc="5C70B08C">
      <w:numFmt w:val="decimal"/>
      <w:lvlText w:val=""/>
      <w:lvlJc w:val="left"/>
    </w:lvl>
    <w:lvl w:ilvl="5" w:tplc="88B036FC">
      <w:numFmt w:val="decimal"/>
      <w:lvlText w:val=""/>
      <w:lvlJc w:val="left"/>
    </w:lvl>
    <w:lvl w:ilvl="6" w:tplc="AE0C81A6">
      <w:numFmt w:val="decimal"/>
      <w:lvlText w:val=""/>
      <w:lvlJc w:val="left"/>
    </w:lvl>
    <w:lvl w:ilvl="7" w:tplc="5634702E">
      <w:numFmt w:val="decimal"/>
      <w:lvlText w:val=""/>
      <w:lvlJc w:val="left"/>
    </w:lvl>
    <w:lvl w:ilvl="8" w:tplc="1CDCA8B4">
      <w:numFmt w:val="decimal"/>
      <w:lvlText w:val=""/>
      <w:lvlJc w:val="left"/>
    </w:lvl>
  </w:abstractNum>
  <w:abstractNum w:abstractNumId="23" w15:restartNumberingAfterBreak="0">
    <w:nsid w:val="4EA719FA"/>
    <w:multiLevelType w:val="multilevel"/>
    <w:tmpl w:val="7F10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7697D"/>
    <w:multiLevelType w:val="multilevel"/>
    <w:tmpl w:val="38F4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25249"/>
    <w:multiLevelType w:val="multilevel"/>
    <w:tmpl w:val="05B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80AF7"/>
    <w:multiLevelType w:val="multilevel"/>
    <w:tmpl w:val="B16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67070"/>
    <w:multiLevelType w:val="hybridMultilevel"/>
    <w:tmpl w:val="84C601D4"/>
    <w:lvl w:ilvl="0" w:tplc="64E4F9A4">
      <w:start w:val="1"/>
      <w:numFmt w:val="bullet"/>
      <w:lvlText w:val=""/>
      <w:lvlJc w:val="left"/>
      <w:pPr>
        <w:tabs>
          <w:tab w:val="num" w:pos="900"/>
        </w:tabs>
        <w:ind w:left="540" w:hanging="360"/>
      </w:pPr>
      <w:rPr>
        <w:rFonts w:ascii="Symbol" w:hAnsi="Symbol" w:hint="default"/>
      </w:rPr>
    </w:lvl>
    <w:lvl w:ilvl="1" w:tplc="99F4936A">
      <w:start w:val="1"/>
      <w:numFmt w:val="bullet"/>
      <w:lvlText w:val="o"/>
      <w:lvlJc w:val="left"/>
      <w:pPr>
        <w:tabs>
          <w:tab w:val="num" w:pos="1440"/>
        </w:tabs>
        <w:ind w:left="1080" w:hanging="360"/>
      </w:pPr>
      <w:rPr>
        <w:rFonts w:ascii="Courier New" w:hAnsi="Courier New" w:cs="Courier New" w:hint="default"/>
      </w:rPr>
    </w:lvl>
    <w:lvl w:ilvl="2" w:tplc="B8BEF15E">
      <w:numFmt w:val="decimal"/>
      <w:lvlText w:val=""/>
      <w:lvlJc w:val="left"/>
    </w:lvl>
    <w:lvl w:ilvl="3" w:tplc="3104EF42">
      <w:numFmt w:val="decimal"/>
      <w:lvlText w:val=""/>
      <w:lvlJc w:val="left"/>
    </w:lvl>
    <w:lvl w:ilvl="4" w:tplc="76DA15C4">
      <w:numFmt w:val="decimal"/>
      <w:lvlText w:val=""/>
      <w:lvlJc w:val="left"/>
    </w:lvl>
    <w:lvl w:ilvl="5" w:tplc="525E6FA6">
      <w:numFmt w:val="decimal"/>
      <w:lvlText w:val=""/>
      <w:lvlJc w:val="left"/>
    </w:lvl>
    <w:lvl w:ilvl="6" w:tplc="B266A838">
      <w:numFmt w:val="decimal"/>
      <w:lvlText w:val=""/>
      <w:lvlJc w:val="left"/>
    </w:lvl>
    <w:lvl w:ilvl="7" w:tplc="216EBBFA">
      <w:numFmt w:val="decimal"/>
      <w:lvlText w:val=""/>
      <w:lvlJc w:val="left"/>
    </w:lvl>
    <w:lvl w:ilvl="8" w:tplc="182812D4">
      <w:numFmt w:val="decimal"/>
      <w:lvlText w:val=""/>
      <w:lvlJc w:val="left"/>
    </w:lvl>
  </w:abstractNum>
  <w:abstractNum w:abstractNumId="28" w15:restartNumberingAfterBreak="0">
    <w:nsid w:val="5737323F"/>
    <w:multiLevelType w:val="multilevel"/>
    <w:tmpl w:val="95E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54373"/>
    <w:multiLevelType w:val="hybridMultilevel"/>
    <w:tmpl w:val="AD7AA0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F71034B"/>
    <w:multiLevelType w:val="hybridMultilevel"/>
    <w:tmpl w:val="F68613AA"/>
    <w:lvl w:ilvl="0" w:tplc="E266223A">
      <w:start w:val="1"/>
      <w:numFmt w:val="bullet"/>
      <w:lvlText w:val=""/>
      <w:lvlJc w:val="left"/>
      <w:pPr>
        <w:tabs>
          <w:tab w:val="num" w:pos="900"/>
        </w:tabs>
        <w:ind w:left="540" w:hanging="360"/>
      </w:pPr>
      <w:rPr>
        <w:rFonts w:ascii="Symbol" w:hAnsi="Symbol" w:hint="default"/>
      </w:rPr>
    </w:lvl>
    <w:lvl w:ilvl="1" w:tplc="718CA296">
      <w:numFmt w:val="decimal"/>
      <w:lvlText w:val=""/>
      <w:lvlJc w:val="left"/>
    </w:lvl>
    <w:lvl w:ilvl="2" w:tplc="FC9A3DE0">
      <w:numFmt w:val="decimal"/>
      <w:lvlText w:val=""/>
      <w:lvlJc w:val="left"/>
    </w:lvl>
    <w:lvl w:ilvl="3" w:tplc="4322FDB8">
      <w:numFmt w:val="decimal"/>
      <w:lvlText w:val=""/>
      <w:lvlJc w:val="left"/>
    </w:lvl>
    <w:lvl w:ilvl="4" w:tplc="2C7255DE">
      <w:numFmt w:val="decimal"/>
      <w:lvlText w:val=""/>
      <w:lvlJc w:val="left"/>
    </w:lvl>
    <w:lvl w:ilvl="5" w:tplc="7D04A8A4">
      <w:numFmt w:val="decimal"/>
      <w:lvlText w:val=""/>
      <w:lvlJc w:val="left"/>
    </w:lvl>
    <w:lvl w:ilvl="6" w:tplc="05B8C700">
      <w:numFmt w:val="decimal"/>
      <w:lvlText w:val=""/>
      <w:lvlJc w:val="left"/>
    </w:lvl>
    <w:lvl w:ilvl="7" w:tplc="EA289182">
      <w:numFmt w:val="decimal"/>
      <w:lvlText w:val=""/>
      <w:lvlJc w:val="left"/>
    </w:lvl>
    <w:lvl w:ilvl="8" w:tplc="8A649ED0">
      <w:numFmt w:val="decimal"/>
      <w:lvlText w:val=""/>
      <w:lvlJc w:val="left"/>
    </w:lvl>
  </w:abstractNum>
  <w:abstractNum w:abstractNumId="31" w15:restartNumberingAfterBreak="0">
    <w:nsid w:val="712B40C8"/>
    <w:multiLevelType w:val="hybridMultilevel"/>
    <w:tmpl w:val="18A48D42"/>
    <w:lvl w:ilvl="0" w:tplc="8CC86BC6">
      <w:start w:val="1"/>
      <w:numFmt w:val="bullet"/>
      <w:lvlText w:val=""/>
      <w:lvlJc w:val="left"/>
      <w:pPr>
        <w:tabs>
          <w:tab w:val="num" w:pos="900"/>
        </w:tabs>
        <w:ind w:left="540" w:hanging="360"/>
      </w:pPr>
      <w:rPr>
        <w:rFonts w:ascii="Symbol" w:hAnsi="Symbol" w:hint="default"/>
      </w:rPr>
    </w:lvl>
    <w:lvl w:ilvl="1" w:tplc="1F50AC68">
      <w:numFmt w:val="decimal"/>
      <w:lvlText w:val=""/>
      <w:lvlJc w:val="left"/>
    </w:lvl>
    <w:lvl w:ilvl="2" w:tplc="87A41EF2">
      <w:numFmt w:val="decimal"/>
      <w:lvlText w:val=""/>
      <w:lvlJc w:val="left"/>
    </w:lvl>
    <w:lvl w:ilvl="3" w:tplc="8D9C3B3A">
      <w:numFmt w:val="decimal"/>
      <w:lvlText w:val=""/>
      <w:lvlJc w:val="left"/>
    </w:lvl>
    <w:lvl w:ilvl="4" w:tplc="7F5C803E">
      <w:numFmt w:val="decimal"/>
      <w:lvlText w:val=""/>
      <w:lvlJc w:val="left"/>
    </w:lvl>
    <w:lvl w:ilvl="5" w:tplc="51BCEC0A">
      <w:numFmt w:val="decimal"/>
      <w:lvlText w:val=""/>
      <w:lvlJc w:val="left"/>
    </w:lvl>
    <w:lvl w:ilvl="6" w:tplc="DFD44BC8">
      <w:numFmt w:val="decimal"/>
      <w:lvlText w:val=""/>
      <w:lvlJc w:val="left"/>
    </w:lvl>
    <w:lvl w:ilvl="7" w:tplc="9EDAB1DE">
      <w:numFmt w:val="decimal"/>
      <w:lvlText w:val=""/>
      <w:lvlJc w:val="left"/>
    </w:lvl>
    <w:lvl w:ilvl="8" w:tplc="3F7E33CE">
      <w:numFmt w:val="decimal"/>
      <w:lvlText w:val=""/>
      <w:lvlJc w:val="left"/>
    </w:lvl>
  </w:abstractNum>
  <w:abstractNum w:abstractNumId="32" w15:restartNumberingAfterBreak="0">
    <w:nsid w:val="71452721"/>
    <w:multiLevelType w:val="hybridMultilevel"/>
    <w:tmpl w:val="92AAE724"/>
    <w:lvl w:ilvl="0" w:tplc="01EAD106">
      <w:start w:val="1"/>
      <w:numFmt w:val="bullet"/>
      <w:lvlText w:val=""/>
      <w:lvlJc w:val="left"/>
      <w:pPr>
        <w:tabs>
          <w:tab w:val="num" w:pos="900"/>
        </w:tabs>
        <w:ind w:left="540" w:hanging="360"/>
      </w:pPr>
      <w:rPr>
        <w:rFonts w:ascii="Symbol" w:hAnsi="Symbol" w:hint="default"/>
      </w:rPr>
    </w:lvl>
    <w:lvl w:ilvl="1" w:tplc="58FA0A6A">
      <w:numFmt w:val="decimal"/>
      <w:lvlText w:val=""/>
      <w:lvlJc w:val="left"/>
    </w:lvl>
    <w:lvl w:ilvl="2" w:tplc="D7160BB8">
      <w:numFmt w:val="decimal"/>
      <w:lvlText w:val=""/>
      <w:lvlJc w:val="left"/>
    </w:lvl>
    <w:lvl w:ilvl="3" w:tplc="0ACA4EAA">
      <w:numFmt w:val="decimal"/>
      <w:lvlText w:val=""/>
      <w:lvlJc w:val="left"/>
    </w:lvl>
    <w:lvl w:ilvl="4" w:tplc="23D2AC38">
      <w:numFmt w:val="decimal"/>
      <w:lvlText w:val=""/>
      <w:lvlJc w:val="left"/>
    </w:lvl>
    <w:lvl w:ilvl="5" w:tplc="691A7A74">
      <w:numFmt w:val="decimal"/>
      <w:lvlText w:val=""/>
      <w:lvlJc w:val="left"/>
    </w:lvl>
    <w:lvl w:ilvl="6" w:tplc="4C6AFDA4">
      <w:numFmt w:val="decimal"/>
      <w:lvlText w:val=""/>
      <w:lvlJc w:val="left"/>
    </w:lvl>
    <w:lvl w:ilvl="7" w:tplc="41945A8C">
      <w:numFmt w:val="decimal"/>
      <w:lvlText w:val=""/>
      <w:lvlJc w:val="left"/>
    </w:lvl>
    <w:lvl w:ilvl="8" w:tplc="29306612">
      <w:numFmt w:val="decimal"/>
      <w:lvlText w:val=""/>
      <w:lvlJc w:val="left"/>
    </w:lvl>
  </w:abstractNum>
  <w:abstractNum w:abstractNumId="33" w15:restartNumberingAfterBreak="0">
    <w:nsid w:val="7913306C"/>
    <w:multiLevelType w:val="multilevel"/>
    <w:tmpl w:val="C22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D511A"/>
    <w:multiLevelType w:val="multilevel"/>
    <w:tmpl w:val="4BC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239C7"/>
    <w:multiLevelType w:val="hybridMultilevel"/>
    <w:tmpl w:val="87E86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DD1D3E"/>
    <w:multiLevelType w:val="multilevel"/>
    <w:tmpl w:val="38FA3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500962">
    <w:abstractNumId w:val="21"/>
  </w:num>
  <w:num w:numId="2" w16cid:durableId="1209954037">
    <w:abstractNumId w:val="27"/>
  </w:num>
  <w:num w:numId="3" w16cid:durableId="852256428">
    <w:abstractNumId w:val="22"/>
  </w:num>
  <w:num w:numId="4" w16cid:durableId="2087649785">
    <w:abstractNumId w:val="6"/>
  </w:num>
  <w:num w:numId="5" w16cid:durableId="1895698811">
    <w:abstractNumId w:val="19"/>
  </w:num>
  <w:num w:numId="6" w16cid:durableId="1768574119">
    <w:abstractNumId w:val="31"/>
  </w:num>
  <w:num w:numId="7" w16cid:durableId="1634283910">
    <w:abstractNumId w:val="30"/>
  </w:num>
  <w:num w:numId="8" w16cid:durableId="1465345855">
    <w:abstractNumId w:val="32"/>
  </w:num>
  <w:num w:numId="9" w16cid:durableId="550070534">
    <w:abstractNumId w:val="15"/>
  </w:num>
  <w:num w:numId="10" w16cid:durableId="1847358686">
    <w:abstractNumId w:val="17"/>
  </w:num>
  <w:num w:numId="11" w16cid:durableId="2077698449">
    <w:abstractNumId w:val="28"/>
  </w:num>
  <w:num w:numId="12" w16cid:durableId="1103839322">
    <w:abstractNumId w:val="7"/>
  </w:num>
  <w:num w:numId="13" w16cid:durableId="254674330">
    <w:abstractNumId w:val="36"/>
  </w:num>
  <w:num w:numId="14" w16cid:durableId="1508136094">
    <w:abstractNumId w:val="16"/>
  </w:num>
  <w:num w:numId="15" w16cid:durableId="1114789629">
    <w:abstractNumId w:val="24"/>
  </w:num>
  <w:num w:numId="16" w16cid:durableId="688412296">
    <w:abstractNumId w:val="9"/>
  </w:num>
  <w:num w:numId="17" w16cid:durableId="2083404245">
    <w:abstractNumId w:val="25"/>
  </w:num>
  <w:num w:numId="18" w16cid:durableId="896356444">
    <w:abstractNumId w:val="26"/>
  </w:num>
  <w:num w:numId="19" w16cid:durableId="1902791872">
    <w:abstractNumId w:val="4"/>
  </w:num>
  <w:num w:numId="20" w16cid:durableId="660231051">
    <w:abstractNumId w:val="3"/>
  </w:num>
  <w:num w:numId="21" w16cid:durableId="1414621350">
    <w:abstractNumId w:val="20"/>
  </w:num>
  <w:num w:numId="22" w16cid:durableId="1460997313">
    <w:abstractNumId w:val="23"/>
  </w:num>
  <w:num w:numId="23" w16cid:durableId="1860504607">
    <w:abstractNumId w:val="2"/>
  </w:num>
  <w:num w:numId="24" w16cid:durableId="1506703239">
    <w:abstractNumId w:val="0"/>
  </w:num>
  <w:num w:numId="25" w16cid:durableId="1399210658">
    <w:abstractNumId w:val="1"/>
  </w:num>
  <w:num w:numId="26" w16cid:durableId="210770464">
    <w:abstractNumId w:val="12"/>
  </w:num>
  <w:num w:numId="27" w16cid:durableId="958147155">
    <w:abstractNumId w:val="34"/>
  </w:num>
  <w:num w:numId="28" w16cid:durableId="1154225979">
    <w:abstractNumId w:val="33"/>
  </w:num>
  <w:num w:numId="29" w16cid:durableId="1960797590">
    <w:abstractNumId w:val="5"/>
  </w:num>
  <w:num w:numId="30" w16cid:durableId="1007095381">
    <w:abstractNumId w:val="10"/>
  </w:num>
  <w:num w:numId="31" w16cid:durableId="1585919748">
    <w:abstractNumId w:val="35"/>
  </w:num>
  <w:num w:numId="32" w16cid:durableId="163861369">
    <w:abstractNumId w:val="13"/>
  </w:num>
  <w:num w:numId="33" w16cid:durableId="1529758643">
    <w:abstractNumId w:val="29"/>
  </w:num>
  <w:num w:numId="34" w16cid:durableId="1417825895">
    <w:abstractNumId w:val="11"/>
  </w:num>
  <w:num w:numId="35" w16cid:durableId="1162309836">
    <w:abstractNumId w:val="14"/>
  </w:num>
  <w:num w:numId="36" w16cid:durableId="235097717">
    <w:abstractNumId w:val="8"/>
  </w:num>
  <w:num w:numId="37" w16cid:durableId="57462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3MDU3MTE1NzQ1srRQ0lEKTi0uzszPAykwrAUAW8VK4SwAAAA="/>
  </w:docVars>
  <w:rsids>
    <w:rsidRoot w:val="00825724"/>
    <w:rsid w:val="000011EC"/>
    <w:rsid w:val="0000561A"/>
    <w:rsid w:val="00033AFD"/>
    <w:rsid w:val="0003406C"/>
    <w:rsid w:val="00041364"/>
    <w:rsid w:val="00043B44"/>
    <w:rsid w:val="00051480"/>
    <w:rsid w:val="00066B84"/>
    <w:rsid w:val="000A2D40"/>
    <w:rsid w:val="000B0312"/>
    <w:rsid w:val="000F33EC"/>
    <w:rsid w:val="00125B07"/>
    <w:rsid w:val="001268B5"/>
    <w:rsid w:val="0016127A"/>
    <w:rsid w:val="001715B3"/>
    <w:rsid w:val="00182974"/>
    <w:rsid w:val="00192BD2"/>
    <w:rsid w:val="001B009C"/>
    <w:rsid w:val="001F2120"/>
    <w:rsid w:val="002122FB"/>
    <w:rsid w:val="0026076A"/>
    <w:rsid w:val="00264814"/>
    <w:rsid w:val="00267738"/>
    <w:rsid w:val="00272F47"/>
    <w:rsid w:val="002A3D9A"/>
    <w:rsid w:val="002A50FF"/>
    <w:rsid w:val="002C7C53"/>
    <w:rsid w:val="002D00DA"/>
    <w:rsid w:val="002D3052"/>
    <w:rsid w:val="002E1603"/>
    <w:rsid w:val="00301928"/>
    <w:rsid w:val="00354045"/>
    <w:rsid w:val="00365206"/>
    <w:rsid w:val="003979FA"/>
    <w:rsid w:val="003D0F64"/>
    <w:rsid w:val="003F5A55"/>
    <w:rsid w:val="00407BD7"/>
    <w:rsid w:val="00446F71"/>
    <w:rsid w:val="00472B47"/>
    <w:rsid w:val="004875AE"/>
    <w:rsid w:val="00494E4E"/>
    <w:rsid w:val="00497DDD"/>
    <w:rsid w:val="004B5D57"/>
    <w:rsid w:val="004C07E7"/>
    <w:rsid w:val="004D02F5"/>
    <w:rsid w:val="0050703A"/>
    <w:rsid w:val="00514F07"/>
    <w:rsid w:val="00523920"/>
    <w:rsid w:val="005418D3"/>
    <w:rsid w:val="00550956"/>
    <w:rsid w:val="0055125D"/>
    <w:rsid w:val="005907BE"/>
    <w:rsid w:val="0059151F"/>
    <w:rsid w:val="005A294D"/>
    <w:rsid w:val="005C2E86"/>
    <w:rsid w:val="005D0EF9"/>
    <w:rsid w:val="005E0196"/>
    <w:rsid w:val="005E3773"/>
    <w:rsid w:val="0062075B"/>
    <w:rsid w:val="00627C1C"/>
    <w:rsid w:val="00655190"/>
    <w:rsid w:val="006565F6"/>
    <w:rsid w:val="00661F6D"/>
    <w:rsid w:val="00666523"/>
    <w:rsid w:val="00677FAB"/>
    <w:rsid w:val="00692277"/>
    <w:rsid w:val="006C70DC"/>
    <w:rsid w:val="006E22DC"/>
    <w:rsid w:val="007004C6"/>
    <w:rsid w:val="00710321"/>
    <w:rsid w:val="00730929"/>
    <w:rsid w:val="00737A98"/>
    <w:rsid w:val="007D4776"/>
    <w:rsid w:val="007D6DE4"/>
    <w:rsid w:val="00800371"/>
    <w:rsid w:val="0081240D"/>
    <w:rsid w:val="00816B1A"/>
    <w:rsid w:val="00820070"/>
    <w:rsid w:val="00825724"/>
    <w:rsid w:val="008460EA"/>
    <w:rsid w:val="00865600"/>
    <w:rsid w:val="008B1003"/>
    <w:rsid w:val="008F4A38"/>
    <w:rsid w:val="008F5B46"/>
    <w:rsid w:val="00907CB6"/>
    <w:rsid w:val="00947AD3"/>
    <w:rsid w:val="00981F2F"/>
    <w:rsid w:val="00986503"/>
    <w:rsid w:val="009918A6"/>
    <w:rsid w:val="009947B5"/>
    <w:rsid w:val="009A29C0"/>
    <w:rsid w:val="009B21BB"/>
    <w:rsid w:val="009D654B"/>
    <w:rsid w:val="009E045D"/>
    <w:rsid w:val="009F0518"/>
    <w:rsid w:val="00A32697"/>
    <w:rsid w:val="00A53615"/>
    <w:rsid w:val="00A55260"/>
    <w:rsid w:val="00A7168E"/>
    <w:rsid w:val="00A75A7C"/>
    <w:rsid w:val="00A7725D"/>
    <w:rsid w:val="00A856F1"/>
    <w:rsid w:val="00AA4E9E"/>
    <w:rsid w:val="00AD2421"/>
    <w:rsid w:val="00B073E1"/>
    <w:rsid w:val="00B37B77"/>
    <w:rsid w:val="00B70129"/>
    <w:rsid w:val="00B71466"/>
    <w:rsid w:val="00BB6679"/>
    <w:rsid w:val="00C01F44"/>
    <w:rsid w:val="00C05D4C"/>
    <w:rsid w:val="00C173F0"/>
    <w:rsid w:val="00C232A5"/>
    <w:rsid w:val="00C42817"/>
    <w:rsid w:val="00C45EA6"/>
    <w:rsid w:val="00C531CE"/>
    <w:rsid w:val="00C56E80"/>
    <w:rsid w:val="00C62E0C"/>
    <w:rsid w:val="00C71030"/>
    <w:rsid w:val="00C745BB"/>
    <w:rsid w:val="00C968BD"/>
    <w:rsid w:val="00CE4D7B"/>
    <w:rsid w:val="00D13AB4"/>
    <w:rsid w:val="00D15E1F"/>
    <w:rsid w:val="00D304B1"/>
    <w:rsid w:val="00D34630"/>
    <w:rsid w:val="00D7756A"/>
    <w:rsid w:val="00D828A9"/>
    <w:rsid w:val="00DA5424"/>
    <w:rsid w:val="00DB408A"/>
    <w:rsid w:val="00DE3970"/>
    <w:rsid w:val="00E0069F"/>
    <w:rsid w:val="00E0105C"/>
    <w:rsid w:val="00E0363D"/>
    <w:rsid w:val="00E11D7A"/>
    <w:rsid w:val="00E1577D"/>
    <w:rsid w:val="00E17225"/>
    <w:rsid w:val="00E25BA3"/>
    <w:rsid w:val="00E42C8A"/>
    <w:rsid w:val="00E43894"/>
    <w:rsid w:val="00E45055"/>
    <w:rsid w:val="00E87B04"/>
    <w:rsid w:val="00F062FC"/>
    <w:rsid w:val="00F26853"/>
    <w:rsid w:val="00F3555D"/>
    <w:rsid w:val="00F37674"/>
    <w:rsid w:val="00F40CD4"/>
    <w:rsid w:val="00F5024D"/>
    <w:rsid w:val="00F740E0"/>
    <w:rsid w:val="00F979FE"/>
    <w:rsid w:val="00FC3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EEF983D"/>
  <w15:docId w15:val="{0E8E94AF-C328-4C1C-A7CC-5888BB72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CellMar>
        <w:top w:w="80" w:type="dxa"/>
        <w:left w:w="160" w:type="dxa"/>
        <w:bottom w:w="80" w:type="dxa"/>
        <w:right w:w="160" w:type="dxa"/>
      </w:tblCellMar>
    </w:tblPr>
  </w:style>
  <w:style w:type="character" w:styleId="Hyperlink">
    <w:name w:val="Hyperlink"/>
    <w:basedOn w:val="DefaultParagraphFont"/>
    <w:uiPriority w:val="99"/>
    <w:unhideWhenUsed/>
    <w:rsid w:val="000F33EC"/>
    <w:rPr>
      <w:color w:val="0563C1" w:themeColor="hyperlink"/>
      <w:u w:val="single"/>
    </w:rPr>
  </w:style>
  <w:style w:type="character" w:customStyle="1" w:styleId="UnresolvedMention1">
    <w:name w:val="Unresolved Mention1"/>
    <w:basedOn w:val="DefaultParagraphFont"/>
    <w:uiPriority w:val="99"/>
    <w:semiHidden/>
    <w:unhideWhenUsed/>
    <w:rsid w:val="000F33EC"/>
    <w:rPr>
      <w:color w:val="605E5C"/>
      <w:shd w:val="clear" w:color="auto" w:fill="E1DFDD"/>
    </w:rPr>
  </w:style>
  <w:style w:type="table" w:styleId="TableGrid">
    <w:name w:val="Table Grid"/>
    <w:basedOn w:val="TableNormal"/>
    <w:uiPriority w:val="39"/>
    <w:rsid w:val="00A7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4F07"/>
    <w:rPr>
      <w:b/>
      <w:bCs/>
    </w:rPr>
  </w:style>
  <w:style w:type="character" w:customStyle="1" w:styleId="katex">
    <w:name w:val="katex"/>
    <w:basedOn w:val="DefaultParagraphFont"/>
    <w:rsid w:val="00514F07"/>
  </w:style>
  <w:style w:type="paragraph" w:styleId="ListParagraph">
    <w:name w:val="List Paragraph"/>
    <w:basedOn w:val="Normal"/>
    <w:uiPriority w:val="34"/>
    <w:qFormat/>
    <w:rsid w:val="00C173F0"/>
    <w:pPr>
      <w:ind w:left="720"/>
      <w:contextualSpacing/>
    </w:pPr>
  </w:style>
  <w:style w:type="paragraph" w:customStyle="1" w:styleId="CustomHeading1">
    <w:name w:val="CustomHeading1"/>
    <w:basedOn w:val="Normal"/>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981">
      <w:bodyDiv w:val="1"/>
      <w:marLeft w:val="0"/>
      <w:marRight w:val="0"/>
      <w:marTop w:val="0"/>
      <w:marBottom w:val="0"/>
      <w:divBdr>
        <w:top w:val="none" w:sz="0" w:space="0" w:color="auto"/>
        <w:left w:val="none" w:sz="0" w:space="0" w:color="auto"/>
        <w:bottom w:val="none" w:sz="0" w:space="0" w:color="auto"/>
        <w:right w:val="none" w:sz="0" w:space="0" w:color="auto"/>
      </w:divBdr>
    </w:div>
    <w:div w:id="81069217">
      <w:bodyDiv w:val="1"/>
      <w:marLeft w:val="0"/>
      <w:marRight w:val="0"/>
      <w:marTop w:val="0"/>
      <w:marBottom w:val="0"/>
      <w:divBdr>
        <w:top w:val="none" w:sz="0" w:space="0" w:color="auto"/>
        <w:left w:val="none" w:sz="0" w:space="0" w:color="auto"/>
        <w:bottom w:val="none" w:sz="0" w:space="0" w:color="auto"/>
        <w:right w:val="none" w:sz="0" w:space="0" w:color="auto"/>
      </w:divBdr>
    </w:div>
    <w:div w:id="115638066">
      <w:bodyDiv w:val="1"/>
      <w:marLeft w:val="0"/>
      <w:marRight w:val="0"/>
      <w:marTop w:val="0"/>
      <w:marBottom w:val="0"/>
      <w:divBdr>
        <w:top w:val="none" w:sz="0" w:space="0" w:color="auto"/>
        <w:left w:val="none" w:sz="0" w:space="0" w:color="auto"/>
        <w:bottom w:val="none" w:sz="0" w:space="0" w:color="auto"/>
        <w:right w:val="none" w:sz="0" w:space="0" w:color="auto"/>
      </w:divBdr>
    </w:div>
    <w:div w:id="159472128">
      <w:bodyDiv w:val="1"/>
      <w:marLeft w:val="0"/>
      <w:marRight w:val="0"/>
      <w:marTop w:val="0"/>
      <w:marBottom w:val="0"/>
      <w:divBdr>
        <w:top w:val="none" w:sz="0" w:space="0" w:color="auto"/>
        <w:left w:val="none" w:sz="0" w:space="0" w:color="auto"/>
        <w:bottom w:val="none" w:sz="0" w:space="0" w:color="auto"/>
        <w:right w:val="none" w:sz="0" w:space="0" w:color="auto"/>
      </w:divBdr>
    </w:div>
    <w:div w:id="180166382">
      <w:bodyDiv w:val="1"/>
      <w:marLeft w:val="0"/>
      <w:marRight w:val="0"/>
      <w:marTop w:val="0"/>
      <w:marBottom w:val="0"/>
      <w:divBdr>
        <w:top w:val="none" w:sz="0" w:space="0" w:color="auto"/>
        <w:left w:val="none" w:sz="0" w:space="0" w:color="auto"/>
        <w:bottom w:val="none" w:sz="0" w:space="0" w:color="auto"/>
        <w:right w:val="none" w:sz="0" w:space="0" w:color="auto"/>
      </w:divBdr>
    </w:div>
    <w:div w:id="240021910">
      <w:bodyDiv w:val="1"/>
      <w:marLeft w:val="0"/>
      <w:marRight w:val="0"/>
      <w:marTop w:val="0"/>
      <w:marBottom w:val="0"/>
      <w:divBdr>
        <w:top w:val="none" w:sz="0" w:space="0" w:color="auto"/>
        <w:left w:val="none" w:sz="0" w:space="0" w:color="auto"/>
        <w:bottom w:val="none" w:sz="0" w:space="0" w:color="auto"/>
        <w:right w:val="none" w:sz="0" w:space="0" w:color="auto"/>
      </w:divBdr>
    </w:div>
    <w:div w:id="242876633">
      <w:bodyDiv w:val="1"/>
      <w:marLeft w:val="0"/>
      <w:marRight w:val="0"/>
      <w:marTop w:val="0"/>
      <w:marBottom w:val="0"/>
      <w:divBdr>
        <w:top w:val="none" w:sz="0" w:space="0" w:color="auto"/>
        <w:left w:val="none" w:sz="0" w:space="0" w:color="auto"/>
        <w:bottom w:val="none" w:sz="0" w:space="0" w:color="auto"/>
        <w:right w:val="none" w:sz="0" w:space="0" w:color="auto"/>
      </w:divBdr>
    </w:div>
    <w:div w:id="268784123">
      <w:bodyDiv w:val="1"/>
      <w:marLeft w:val="0"/>
      <w:marRight w:val="0"/>
      <w:marTop w:val="0"/>
      <w:marBottom w:val="0"/>
      <w:divBdr>
        <w:top w:val="none" w:sz="0" w:space="0" w:color="auto"/>
        <w:left w:val="none" w:sz="0" w:space="0" w:color="auto"/>
        <w:bottom w:val="none" w:sz="0" w:space="0" w:color="auto"/>
        <w:right w:val="none" w:sz="0" w:space="0" w:color="auto"/>
      </w:divBdr>
      <w:divsChild>
        <w:div w:id="194780940">
          <w:marLeft w:val="0"/>
          <w:marRight w:val="0"/>
          <w:marTop w:val="0"/>
          <w:marBottom w:val="0"/>
          <w:divBdr>
            <w:top w:val="none" w:sz="0" w:space="0" w:color="auto"/>
            <w:left w:val="none" w:sz="0" w:space="0" w:color="auto"/>
            <w:bottom w:val="none" w:sz="0" w:space="0" w:color="auto"/>
            <w:right w:val="none" w:sz="0" w:space="0" w:color="auto"/>
          </w:divBdr>
          <w:divsChild>
            <w:div w:id="577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5718">
      <w:bodyDiv w:val="1"/>
      <w:marLeft w:val="0"/>
      <w:marRight w:val="0"/>
      <w:marTop w:val="0"/>
      <w:marBottom w:val="0"/>
      <w:divBdr>
        <w:top w:val="none" w:sz="0" w:space="0" w:color="auto"/>
        <w:left w:val="none" w:sz="0" w:space="0" w:color="auto"/>
        <w:bottom w:val="none" w:sz="0" w:space="0" w:color="auto"/>
        <w:right w:val="none" w:sz="0" w:space="0" w:color="auto"/>
      </w:divBdr>
    </w:div>
    <w:div w:id="356934447">
      <w:bodyDiv w:val="1"/>
      <w:marLeft w:val="0"/>
      <w:marRight w:val="0"/>
      <w:marTop w:val="0"/>
      <w:marBottom w:val="0"/>
      <w:divBdr>
        <w:top w:val="none" w:sz="0" w:space="0" w:color="auto"/>
        <w:left w:val="none" w:sz="0" w:space="0" w:color="auto"/>
        <w:bottom w:val="none" w:sz="0" w:space="0" w:color="auto"/>
        <w:right w:val="none" w:sz="0" w:space="0" w:color="auto"/>
      </w:divBdr>
    </w:div>
    <w:div w:id="378356351">
      <w:bodyDiv w:val="1"/>
      <w:marLeft w:val="0"/>
      <w:marRight w:val="0"/>
      <w:marTop w:val="0"/>
      <w:marBottom w:val="0"/>
      <w:divBdr>
        <w:top w:val="none" w:sz="0" w:space="0" w:color="auto"/>
        <w:left w:val="none" w:sz="0" w:space="0" w:color="auto"/>
        <w:bottom w:val="none" w:sz="0" w:space="0" w:color="auto"/>
        <w:right w:val="none" w:sz="0" w:space="0" w:color="auto"/>
      </w:divBdr>
    </w:div>
    <w:div w:id="387413523">
      <w:bodyDiv w:val="1"/>
      <w:marLeft w:val="0"/>
      <w:marRight w:val="0"/>
      <w:marTop w:val="0"/>
      <w:marBottom w:val="0"/>
      <w:divBdr>
        <w:top w:val="none" w:sz="0" w:space="0" w:color="auto"/>
        <w:left w:val="none" w:sz="0" w:space="0" w:color="auto"/>
        <w:bottom w:val="none" w:sz="0" w:space="0" w:color="auto"/>
        <w:right w:val="none" w:sz="0" w:space="0" w:color="auto"/>
      </w:divBdr>
    </w:div>
    <w:div w:id="595402307">
      <w:bodyDiv w:val="1"/>
      <w:marLeft w:val="0"/>
      <w:marRight w:val="0"/>
      <w:marTop w:val="0"/>
      <w:marBottom w:val="0"/>
      <w:divBdr>
        <w:top w:val="none" w:sz="0" w:space="0" w:color="auto"/>
        <w:left w:val="none" w:sz="0" w:space="0" w:color="auto"/>
        <w:bottom w:val="none" w:sz="0" w:space="0" w:color="auto"/>
        <w:right w:val="none" w:sz="0" w:space="0" w:color="auto"/>
      </w:divBdr>
    </w:div>
    <w:div w:id="757602482">
      <w:bodyDiv w:val="1"/>
      <w:marLeft w:val="0"/>
      <w:marRight w:val="0"/>
      <w:marTop w:val="0"/>
      <w:marBottom w:val="0"/>
      <w:divBdr>
        <w:top w:val="none" w:sz="0" w:space="0" w:color="auto"/>
        <w:left w:val="none" w:sz="0" w:space="0" w:color="auto"/>
        <w:bottom w:val="none" w:sz="0" w:space="0" w:color="auto"/>
        <w:right w:val="none" w:sz="0" w:space="0" w:color="auto"/>
      </w:divBdr>
    </w:div>
    <w:div w:id="845630846">
      <w:bodyDiv w:val="1"/>
      <w:marLeft w:val="0"/>
      <w:marRight w:val="0"/>
      <w:marTop w:val="0"/>
      <w:marBottom w:val="0"/>
      <w:divBdr>
        <w:top w:val="none" w:sz="0" w:space="0" w:color="auto"/>
        <w:left w:val="none" w:sz="0" w:space="0" w:color="auto"/>
        <w:bottom w:val="none" w:sz="0" w:space="0" w:color="auto"/>
        <w:right w:val="none" w:sz="0" w:space="0" w:color="auto"/>
      </w:divBdr>
      <w:divsChild>
        <w:div w:id="853223146">
          <w:marLeft w:val="0"/>
          <w:marRight w:val="0"/>
          <w:marTop w:val="0"/>
          <w:marBottom w:val="0"/>
          <w:divBdr>
            <w:top w:val="none" w:sz="0" w:space="0" w:color="auto"/>
            <w:left w:val="none" w:sz="0" w:space="0" w:color="auto"/>
            <w:bottom w:val="none" w:sz="0" w:space="0" w:color="auto"/>
            <w:right w:val="none" w:sz="0" w:space="0" w:color="auto"/>
          </w:divBdr>
          <w:divsChild>
            <w:div w:id="1523518800">
              <w:marLeft w:val="0"/>
              <w:marRight w:val="0"/>
              <w:marTop w:val="0"/>
              <w:marBottom w:val="0"/>
              <w:divBdr>
                <w:top w:val="single" w:sz="2" w:space="0" w:color="E5E7EB"/>
                <w:left w:val="single" w:sz="2" w:space="0" w:color="E5E7EB"/>
                <w:bottom w:val="single" w:sz="2" w:space="0" w:color="E5E7EB"/>
                <w:right w:val="single" w:sz="2" w:space="0" w:color="E5E7EB"/>
              </w:divBdr>
              <w:divsChild>
                <w:div w:id="1618639770">
                  <w:marLeft w:val="0"/>
                  <w:marRight w:val="0"/>
                  <w:marTop w:val="0"/>
                  <w:marBottom w:val="0"/>
                  <w:divBdr>
                    <w:top w:val="single" w:sz="2" w:space="0" w:color="E5E7EB"/>
                    <w:left w:val="single" w:sz="2" w:space="0" w:color="E5E7EB"/>
                    <w:bottom w:val="single" w:sz="2" w:space="0" w:color="E5E7EB"/>
                    <w:right w:val="single" w:sz="2" w:space="0" w:color="E5E7EB"/>
                  </w:divBdr>
                  <w:divsChild>
                    <w:div w:id="484442385">
                      <w:marLeft w:val="0"/>
                      <w:marRight w:val="0"/>
                      <w:marTop w:val="0"/>
                      <w:marBottom w:val="0"/>
                      <w:divBdr>
                        <w:top w:val="single" w:sz="2" w:space="0" w:color="E5E7EB"/>
                        <w:left w:val="single" w:sz="2" w:space="0" w:color="E5E7EB"/>
                        <w:bottom w:val="single" w:sz="2" w:space="0" w:color="E5E7EB"/>
                        <w:right w:val="single" w:sz="2" w:space="0" w:color="E5E7EB"/>
                      </w:divBdr>
                      <w:divsChild>
                        <w:div w:id="1208185091">
                          <w:marLeft w:val="0"/>
                          <w:marRight w:val="0"/>
                          <w:marTop w:val="0"/>
                          <w:marBottom w:val="0"/>
                          <w:divBdr>
                            <w:top w:val="single" w:sz="2" w:space="0" w:color="E5E7EB"/>
                            <w:left w:val="single" w:sz="2" w:space="0" w:color="E5E7EB"/>
                            <w:bottom w:val="single" w:sz="2" w:space="0" w:color="E5E7EB"/>
                            <w:right w:val="single" w:sz="2" w:space="0" w:color="E5E7EB"/>
                          </w:divBdr>
                          <w:divsChild>
                            <w:div w:id="1162619255">
                              <w:marLeft w:val="0"/>
                              <w:marRight w:val="0"/>
                              <w:marTop w:val="0"/>
                              <w:marBottom w:val="0"/>
                              <w:divBdr>
                                <w:top w:val="single" w:sz="2" w:space="0" w:color="E5E7EB"/>
                                <w:left w:val="single" w:sz="2" w:space="0" w:color="E5E7EB"/>
                                <w:bottom w:val="single" w:sz="2" w:space="0" w:color="E5E7EB"/>
                                <w:right w:val="single" w:sz="2" w:space="0" w:color="E5E7EB"/>
                              </w:divBdr>
                              <w:divsChild>
                                <w:div w:id="105008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7460390">
                  <w:marLeft w:val="0"/>
                  <w:marRight w:val="0"/>
                  <w:marTop w:val="0"/>
                  <w:marBottom w:val="0"/>
                  <w:divBdr>
                    <w:top w:val="single" w:sz="2" w:space="0" w:color="E5E7EB"/>
                    <w:left w:val="single" w:sz="2" w:space="0" w:color="E5E7EB"/>
                    <w:bottom w:val="single" w:sz="2" w:space="0" w:color="E5E7EB"/>
                    <w:right w:val="single" w:sz="2" w:space="0" w:color="E5E7EB"/>
                  </w:divBdr>
                  <w:divsChild>
                    <w:div w:id="3678661">
                      <w:marLeft w:val="-120"/>
                      <w:marRight w:val="0"/>
                      <w:marTop w:val="0"/>
                      <w:marBottom w:val="0"/>
                      <w:divBdr>
                        <w:top w:val="single" w:sz="2" w:space="0" w:color="E5E7EB"/>
                        <w:left w:val="single" w:sz="2" w:space="0" w:color="E5E7EB"/>
                        <w:bottom w:val="single" w:sz="2" w:space="0" w:color="E5E7EB"/>
                        <w:right w:val="single" w:sz="2" w:space="0" w:color="E5E7EB"/>
                      </w:divBdr>
                      <w:divsChild>
                        <w:div w:id="364063008">
                          <w:marLeft w:val="0"/>
                          <w:marRight w:val="0"/>
                          <w:marTop w:val="0"/>
                          <w:marBottom w:val="0"/>
                          <w:divBdr>
                            <w:top w:val="single" w:sz="2" w:space="0" w:color="E5E7EB"/>
                            <w:left w:val="single" w:sz="2" w:space="0" w:color="E5E7EB"/>
                            <w:bottom w:val="single" w:sz="2" w:space="0" w:color="E5E7EB"/>
                            <w:right w:val="single" w:sz="2" w:space="0" w:color="E5E7EB"/>
                          </w:divBdr>
                          <w:divsChild>
                            <w:div w:id="1909727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43633">
                          <w:marLeft w:val="0"/>
                          <w:marRight w:val="0"/>
                          <w:marTop w:val="0"/>
                          <w:marBottom w:val="0"/>
                          <w:divBdr>
                            <w:top w:val="single" w:sz="2" w:space="0" w:color="E5E7EB"/>
                            <w:left w:val="single" w:sz="2" w:space="0" w:color="E5E7EB"/>
                            <w:bottom w:val="single" w:sz="2" w:space="0" w:color="E5E7EB"/>
                            <w:right w:val="single" w:sz="2" w:space="0" w:color="E5E7EB"/>
                          </w:divBdr>
                          <w:divsChild>
                            <w:div w:id="1798600713">
                              <w:marLeft w:val="0"/>
                              <w:marRight w:val="0"/>
                              <w:marTop w:val="0"/>
                              <w:marBottom w:val="0"/>
                              <w:divBdr>
                                <w:top w:val="single" w:sz="2" w:space="0" w:color="E5E7EB"/>
                                <w:left w:val="single" w:sz="2" w:space="0" w:color="E5E7EB"/>
                                <w:bottom w:val="single" w:sz="2" w:space="0" w:color="E5E7EB"/>
                                <w:right w:val="single" w:sz="2" w:space="0" w:color="E5E7EB"/>
                              </w:divBdr>
                              <w:divsChild>
                                <w:div w:id="881599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7130978">
                          <w:marLeft w:val="0"/>
                          <w:marRight w:val="0"/>
                          <w:marTop w:val="0"/>
                          <w:marBottom w:val="0"/>
                          <w:divBdr>
                            <w:top w:val="single" w:sz="2" w:space="0" w:color="E5E7EB"/>
                            <w:left w:val="single" w:sz="2" w:space="0" w:color="E5E7EB"/>
                            <w:bottom w:val="single" w:sz="2" w:space="0" w:color="E5E7EB"/>
                            <w:right w:val="single" w:sz="2" w:space="0" w:color="E5E7EB"/>
                          </w:divBdr>
                          <w:divsChild>
                            <w:div w:id="1417903993">
                              <w:marLeft w:val="0"/>
                              <w:marRight w:val="0"/>
                              <w:marTop w:val="0"/>
                              <w:marBottom w:val="0"/>
                              <w:divBdr>
                                <w:top w:val="single" w:sz="2" w:space="0" w:color="E5E7EB"/>
                                <w:left w:val="single" w:sz="2" w:space="0" w:color="E5E7EB"/>
                                <w:bottom w:val="single" w:sz="2" w:space="0" w:color="E5E7EB"/>
                                <w:right w:val="single" w:sz="2" w:space="0" w:color="E5E7EB"/>
                              </w:divBdr>
                              <w:divsChild>
                                <w:div w:id="171206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31157774">
      <w:bodyDiv w:val="1"/>
      <w:marLeft w:val="0"/>
      <w:marRight w:val="0"/>
      <w:marTop w:val="0"/>
      <w:marBottom w:val="0"/>
      <w:divBdr>
        <w:top w:val="none" w:sz="0" w:space="0" w:color="auto"/>
        <w:left w:val="none" w:sz="0" w:space="0" w:color="auto"/>
        <w:bottom w:val="none" w:sz="0" w:space="0" w:color="auto"/>
        <w:right w:val="none" w:sz="0" w:space="0" w:color="auto"/>
      </w:divBdr>
      <w:divsChild>
        <w:div w:id="1653295145">
          <w:marLeft w:val="0"/>
          <w:marRight w:val="0"/>
          <w:marTop w:val="0"/>
          <w:marBottom w:val="0"/>
          <w:divBdr>
            <w:top w:val="none" w:sz="0" w:space="0" w:color="auto"/>
            <w:left w:val="none" w:sz="0" w:space="0" w:color="auto"/>
            <w:bottom w:val="none" w:sz="0" w:space="0" w:color="auto"/>
            <w:right w:val="none" w:sz="0" w:space="0" w:color="auto"/>
          </w:divBdr>
          <w:divsChild>
            <w:div w:id="851459789">
              <w:marLeft w:val="0"/>
              <w:marRight w:val="0"/>
              <w:marTop w:val="0"/>
              <w:marBottom w:val="0"/>
              <w:divBdr>
                <w:top w:val="single" w:sz="2" w:space="0" w:color="E5E7EB"/>
                <w:left w:val="single" w:sz="2" w:space="0" w:color="E5E7EB"/>
                <w:bottom w:val="single" w:sz="2" w:space="0" w:color="E5E7EB"/>
                <w:right w:val="single" w:sz="2" w:space="0" w:color="E5E7EB"/>
              </w:divBdr>
              <w:divsChild>
                <w:div w:id="2101441647">
                  <w:marLeft w:val="0"/>
                  <w:marRight w:val="0"/>
                  <w:marTop w:val="0"/>
                  <w:marBottom w:val="0"/>
                  <w:divBdr>
                    <w:top w:val="single" w:sz="2" w:space="0" w:color="E5E7EB"/>
                    <w:left w:val="single" w:sz="2" w:space="0" w:color="E5E7EB"/>
                    <w:bottom w:val="single" w:sz="2" w:space="0" w:color="E5E7EB"/>
                    <w:right w:val="single" w:sz="2" w:space="0" w:color="E5E7EB"/>
                  </w:divBdr>
                  <w:divsChild>
                    <w:div w:id="255015583">
                      <w:marLeft w:val="0"/>
                      <w:marRight w:val="0"/>
                      <w:marTop w:val="0"/>
                      <w:marBottom w:val="0"/>
                      <w:divBdr>
                        <w:top w:val="single" w:sz="2" w:space="0" w:color="E5E7EB"/>
                        <w:left w:val="single" w:sz="2" w:space="0" w:color="E5E7EB"/>
                        <w:bottom w:val="single" w:sz="2" w:space="0" w:color="E5E7EB"/>
                        <w:right w:val="single" w:sz="2" w:space="0" w:color="E5E7EB"/>
                      </w:divBdr>
                      <w:divsChild>
                        <w:div w:id="981617226">
                          <w:marLeft w:val="0"/>
                          <w:marRight w:val="0"/>
                          <w:marTop w:val="0"/>
                          <w:marBottom w:val="0"/>
                          <w:divBdr>
                            <w:top w:val="single" w:sz="2" w:space="0" w:color="E5E7EB"/>
                            <w:left w:val="single" w:sz="2" w:space="0" w:color="E5E7EB"/>
                            <w:bottom w:val="single" w:sz="2" w:space="0" w:color="E5E7EB"/>
                            <w:right w:val="single" w:sz="2" w:space="0" w:color="E5E7EB"/>
                          </w:divBdr>
                          <w:divsChild>
                            <w:div w:id="30687975">
                              <w:marLeft w:val="0"/>
                              <w:marRight w:val="0"/>
                              <w:marTop w:val="0"/>
                              <w:marBottom w:val="0"/>
                              <w:divBdr>
                                <w:top w:val="single" w:sz="2" w:space="0" w:color="E5E7EB"/>
                                <w:left w:val="single" w:sz="2" w:space="0" w:color="E5E7EB"/>
                                <w:bottom w:val="single" w:sz="2" w:space="0" w:color="E5E7EB"/>
                                <w:right w:val="single" w:sz="2" w:space="0" w:color="E5E7EB"/>
                              </w:divBdr>
                              <w:divsChild>
                                <w:div w:id="12994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7701885">
                  <w:marLeft w:val="0"/>
                  <w:marRight w:val="0"/>
                  <w:marTop w:val="0"/>
                  <w:marBottom w:val="0"/>
                  <w:divBdr>
                    <w:top w:val="single" w:sz="2" w:space="0" w:color="E5E7EB"/>
                    <w:left w:val="single" w:sz="2" w:space="0" w:color="E5E7EB"/>
                    <w:bottom w:val="single" w:sz="2" w:space="0" w:color="E5E7EB"/>
                    <w:right w:val="single" w:sz="2" w:space="0" w:color="E5E7EB"/>
                  </w:divBdr>
                  <w:divsChild>
                    <w:div w:id="2047944379">
                      <w:marLeft w:val="-120"/>
                      <w:marRight w:val="0"/>
                      <w:marTop w:val="0"/>
                      <w:marBottom w:val="0"/>
                      <w:divBdr>
                        <w:top w:val="single" w:sz="2" w:space="0" w:color="E5E7EB"/>
                        <w:left w:val="single" w:sz="2" w:space="0" w:color="E5E7EB"/>
                        <w:bottom w:val="single" w:sz="2" w:space="0" w:color="E5E7EB"/>
                        <w:right w:val="single" w:sz="2" w:space="0" w:color="E5E7EB"/>
                      </w:divBdr>
                      <w:divsChild>
                        <w:div w:id="856382450">
                          <w:marLeft w:val="0"/>
                          <w:marRight w:val="0"/>
                          <w:marTop w:val="0"/>
                          <w:marBottom w:val="0"/>
                          <w:divBdr>
                            <w:top w:val="single" w:sz="2" w:space="0" w:color="E5E7EB"/>
                            <w:left w:val="single" w:sz="2" w:space="0" w:color="E5E7EB"/>
                            <w:bottom w:val="single" w:sz="2" w:space="0" w:color="E5E7EB"/>
                            <w:right w:val="single" w:sz="2" w:space="0" w:color="E5E7EB"/>
                          </w:divBdr>
                          <w:divsChild>
                            <w:div w:id="1769041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3880981">
                          <w:marLeft w:val="0"/>
                          <w:marRight w:val="0"/>
                          <w:marTop w:val="0"/>
                          <w:marBottom w:val="0"/>
                          <w:divBdr>
                            <w:top w:val="single" w:sz="2" w:space="0" w:color="E5E7EB"/>
                            <w:left w:val="single" w:sz="2" w:space="0" w:color="E5E7EB"/>
                            <w:bottom w:val="single" w:sz="2" w:space="0" w:color="E5E7EB"/>
                            <w:right w:val="single" w:sz="2" w:space="0" w:color="E5E7EB"/>
                          </w:divBdr>
                          <w:divsChild>
                            <w:div w:id="391000600">
                              <w:marLeft w:val="0"/>
                              <w:marRight w:val="0"/>
                              <w:marTop w:val="0"/>
                              <w:marBottom w:val="0"/>
                              <w:divBdr>
                                <w:top w:val="single" w:sz="2" w:space="0" w:color="E5E7EB"/>
                                <w:left w:val="single" w:sz="2" w:space="0" w:color="E5E7EB"/>
                                <w:bottom w:val="single" w:sz="2" w:space="0" w:color="E5E7EB"/>
                                <w:right w:val="single" w:sz="2" w:space="0" w:color="E5E7EB"/>
                              </w:divBdr>
                              <w:divsChild>
                                <w:div w:id="2051345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80733">
                          <w:marLeft w:val="0"/>
                          <w:marRight w:val="0"/>
                          <w:marTop w:val="0"/>
                          <w:marBottom w:val="0"/>
                          <w:divBdr>
                            <w:top w:val="single" w:sz="2" w:space="0" w:color="E5E7EB"/>
                            <w:left w:val="single" w:sz="2" w:space="0" w:color="E5E7EB"/>
                            <w:bottom w:val="single" w:sz="2" w:space="0" w:color="E5E7EB"/>
                            <w:right w:val="single" w:sz="2" w:space="0" w:color="E5E7EB"/>
                          </w:divBdr>
                          <w:divsChild>
                            <w:div w:id="1647931280">
                              <w:marLeft w:val="0"/>
                              <w:marRight w:val="0"/>
                              <w:marTop w:val="0"/>
                              <w:marBottom w:val="0"/>
                              <w:divBdr>
                                <w:top w:val="single" w:sz="2" w:space="0" w:color="E5E7EB"/>
                                <w:left w:val="single" w:sz="2" w:space="0" w:color="E5E7EB"/>
                                <w:bottom w:val="single" w:sz="2" w:space="0" w:color="E5E7EB"/>
                                <w:right w:val="single" w:sz="2" w:space="0" w:color="E5E7EB"/>
                              </w:divBdr>
                              <w:divsChild>
                                <w:div w:id="675958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50753995">
      <w:bodyDiv w:val="1"/>
      <w:marLeft w:val="0"/>
      <w:marRight w:val="0"/>
      <w:marTop w:val="0"/>
      <w:marBottom w:val="0"/>
      <w:divBdr>
        <w:top w:val="none" w:sz="0" w:space="0" w:color="auto"/>
        <w:left w:val="none" w:sz="0" w:space="0" w:color="auto"/>
        <w:bottom w:val="none" w:sz="0" w:space="0" w:color="auto"/>
        <w:right w:val="none" w:sz="0" w:space="0" w:color="auto"/>
      </w:divBdr>
    </w:div>
    <w:div w:id="1159805202">
      <w:bodyDiv w:val="1"/>
      <w:marLeft w:val="0"/>
      <w:marRight w:val="0"/>
      <w:marTop w:val="0"/>
      <w:marBottom w:val="0"/>
      <w:divBdr>
        <w:top w:val="none" w:sz="0" w:space="0" w:color="auto"/>
        <w:left w:val="none" w:sz="0" w:space="0" w:color="auto"/>
        <w:bottom w:val="none" w:sz="0" w:space="0" w:color="auto"/>
        <w:right w:val="none" w:sz="0" w:space="0" w:color="auto"/>
      </w:divBdr>
    </w:div>
    <w:div w:id="1218280739">
      <w:bodyDiv w:val="1"/>
      <w:marLeft w:val="0"/>
      <w:marRight w:val="0"/>
      <w:marTop w:val="0"/>
      <w:marBottom w:val="0"/>
      <w:divBdr>
        <w:top w:val="none" w:sz="0" w:space="0" w:color="auto"/>
        <w:left w:val="none" w:sz="0" w:space="0" w:color="auto"/>
        <w:bottom w:val="none" w:sz="0" w:space="0" w:color="auto"/>
        <w:right w:val="none" w:sz="0" w:space="0" w:color="auto"/>
      </w:divBdr>
    </w:div>
    <w:div w:id="1239561630">
      <w:bodyDiv w:val="1"/>
      <w:marLeft w:val="0"/>
      <w:marRight w:val="0"/>
      <w:marTop w:val="0"/>
      <w:marBottom w:val="0"/>
      <w:divBdr>
        <w:top w:val="none" w:sz="0" w:space="0" w:color="auto"/>
        <w:left w:val="none" w:sz="0" w:space="0" w:color="auto"/>
        <w:bottom w:val="none" w:sz="0" w:space="0" w:color="auto"/>
        <w:right w:val="none" w:sz="0" w:space="0" w:color="auto"/>
      </w:divBdr>
      <w:divsChild>
        <w:div w:id="1970434571">
          <w:marLeft w:val="0"/>
          <w:marRight w:val="0"/>
          <w:marTop w:val="0"/>
          <w:marBottom w:val="0"/>
          <w:divBdr>
            <w:top w:val="none" w:sz="0" w:space="0" w:color="auto"/>
            <w:left w:val="none" w:sz="0" w:space="0" w:color="auto"/>
            <w:bottom w:val="none" w:sz="0" w:space="0" w:color="auto"/>
            <w:right w:val="none" w:sz="0" w:space="0" w:color="auto"/>
          </w:divBdr>
          <w:divsChild>
            <w:div w:id="255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942">
      <w:bodyDiv w:val="1"/>
      <w:marLeft w:val="0"/>
      <w:marRight w:val="0"/>
      <w:marTop w:val="0"/>
      <w:marBottom w:val="0"/>
      <w:divBdr>
        <w:top w:val="none" w:sz="0" w:space="0" w:color="auto"/>
        <w:left w:val="none" w:sz="0" w:space="0" w:color="auto"/>
        <w:bottom w:val="none" w:sz="0" w:space="0" w:color="auto"/>
        <w:right w:val="none" w:sz="0" w:space="0" w:color="auto"/>
      </w:divBdr>
      <w:divsChild>
        <w:div w:id="2006545392">
          <w:marLeft w:val="0"/>
          <w:marRight w:val="0"/>
          <w:marTop w:val="0"/>
          <w:marBottom w:val="0"/>
          <w:divBdr>
            <w:top w:val="single" w:sz="2" w:space="0" w:color="E5E7EB"/>
            <w:left w:val="single" w:sz="2" w:space="0" w:color="E5E7EB"/>
            <w:bottom w:val="single" w:sz="2" w:space="0" w:color="E5E7EB"/>
            <w:right w:val="single" w:sz="2" w:space="0" w:color="E5E7EB"/>
          </w:divBdr>
          <w:divsChild>
            <w:div w:id="497964354">
              <w:marLeft w:val="0"/>
              <w:marRight w:val="0"/>
              <w:marTop w:val="0"/>
              <w:marBottom w:val="0"/>
              <w:divBdr>
                <w:top w:val="single" w:sz="2" w:space="0" w:color="auto"/>
                <w:left w:val="single" w:sz="2" w:space="0" w:color="auto"/>
                <w:bottom w:val="single" w:sz="2" w:space="0" w:color="auto"/>
                <w:right w:val="single" w:sz="2" w:space="0" w:color="auto"/>
              </w:divBdr>
              <w:divsChild>
                <w:div w:id="894001360">
                  <w:marLeft w:val="0"/>
                  <w:marRight w:val="0"/>
                  <w:marTop w:val="0"/>
                  <w:marBottom w:val="0"/>
                  <w:divBdr>
                    <w:top w:val="single" w:sz="2" w:space="0" w:color="auto"/>
                    <w:left w:val="single" w:sz="2" w:space="0" w:color="auto"/>
                    <w:bottom w:val="single" w:sz="2" w:space="0" w:color="auto"/>
                    <w:right w:val="single" w:sz="2" w:space="0" w:color="auto"/>
                  </w:divBdr>
                  <w:divsChild>
                    <w:div w:id="1107387851">
                      <w:marLeft w:val="0"/>
                      <w:marRight w:val="0"/>
                      <w:marTop w:val="0"/>
                      <w:marBottom w:val="0"/>
                      <w:divBdr>
                        <w:top w:val="single" w:sz="2" w:space="0" w:color="E5E7EB"/>
                        <w:left w:val="single" w:sz="2" w:space="0" w:color="E5E7EB"/>
                        <w:bottom w:val="single" w:sz="2" w:space="0" w:color="E5E7EB"/>
                        <w:right w:val="single" w:sz="2" w:space="0" w:color="E5E7EB"/>
                      </w:divBdr>
                      <w:divsChild>
                        <w:div w:id="2115779540">
                          <w:marLeft w:val="0"/>
                          <w:marRight w:val="0"/>
                          <w:marTop w:val="0"/>
                          <w:marBottom w:val="0"/>
                          <w:divBdr>
                            <w:top w:val="single" w:sz="2" w:space="0" w:color="E5E7EB"/>
                            <w:left w:val="single" w:sz="2" w:space="0" w:color="E5E7EB"/>
                            <w:bottom w:val="single" w:sz="2" w:space="0" w:color="E5E7EB"/>
                            <w:right w:val="single" w:sz="2" w:space="0" w:color="E5E7EB"/>
                          </w:divBdr>
                          <w:divsChild>
                            <w:div w:id="45496504">
                              <w:marLeft w:val="0"/>
                              <w:marRight w:val="0"/>
                              <w:marTop w:val="0"/>
                              <w:marBottom w:val="0"/>
                              <w:divBdr>
                                <w:top w:val="single" w:sz="2" w:space="0" w:color="E5E7EB"/>
                                <w:left w:val="single" w:sz="2" w:space="0" w:color="E5E7EB"/>
                                <w:bottom w:val="single" w:sz="2" w:space="0" w:color="E5E7EB"/>
                                <w:right w:val="single" w:sz="2" w:space="0" w:color="E5E7EB"/>
                              </w:divBdr>
                              <w:divsChild>
                                <w:div w:id="928462181">
                                  <w:marLeft w:val="0"/>
                                  <w:marRight w:val="0"/>
                                  <w:marTop w:val="0"/>
                                  <w:marBottom w:val="0"/>
                                  <w:divBdr>
                                    <w:top w:val="single" w:sz="2" w:space="0" w:color="auto"/>
                                    <w:left w:val="single" w:sz="2" w:space="0" w:color="auto"/>
                                    <w:bottom w:val="single" w:sz="2" w:space="31" w:color="auto"/>
                                    <w:right w:val="single" w:sz="2" w:space="0" w:color="auto"/>
                                  </w:divBdr>
                                  <w:divsChild>
                                    <w:div w:id="770515174">
                                      <w:marLeft w:val="0"/>
                                      <w:marRight w:val="0"/>
                                      <w:marTop w:val="0"/>
                                      <w:marBottom w:val="0"/>
                                      <w:divBdr>
                                        <w:top w:val="single" w:sz="2" w:space="0" w:color="E5E7EB"/>
                                        <w:left w:val="single" w:sz="2" w:space="12" w:color="E5E7EB"/>
                                        <w:bottom w:val="single" w:sz="2" w:space="0" w:color="E5E7EB"/>
                                        <w:right w:val="single" w:sz="2" w:space="12" w:color="E5E7EB"/>
                                      </w:divBdr>
                                      <w:divsChild>
                                        <w:div w:id="1607031665">
                                          <w:marLeft w:val="0"/>
                                          <w:marRight w:val="0"/>
                                          <w:marTop w:val="0"/>
                                          <w:marBottom w:val="0"/>
                                          <w:divBdr>
                                            <w:top w:val="single" w:sz="2" w:space="0" w:color="E5E7EB"/>
                                            <w:left w:val="single" w:sz="2" w:space="0" w:color="E5E7EB"/>
                                            <w:bottom w:val="single" w:sz="2" w:space="0" w:color="E5E7EB"/>
                                            <w:right w:val="single" w:sz="2" w:space="0" w:color="E5E7EB"/>
                                          </w:divBdr>
                                          <w:divsChild>
                                            <w:div w:id="774906528">
                                              <w:marLeft w:val="0"/>
                                              <w:marRight w:val="0"/>
                                              <w:marTop w:val="0"/>
                                              <w:marBottom w:val="0"/>
                                              <w:divBdr>
                                                <w:top w:val="single" w:sz="2" w:space="0" w:color="E5E7EB"/>
                                                <w:left w:val="single" w:sz="2" w:space="0" w:color="E5E7EB"/>
                                                <w:bottom w:val="single" w:sz="2" w:space="0" w:color="E5E7EB"/>
                                                <w:right w:val="single" w:sz="2" w:space="0" w:color="E5E7EB"/>
                                              </w:divBdr>
                                              <w:divsChild>
                                                <w:div w:id="2139911130">
                                                  <w:marLeft w:val="0"/>
                                                  <w:marRight w:val="0"/>
                                                  <w:marTop w:val="0"/>
                                                  <w:marBottom w:val="0"/>
                                                  <w:divBdr>
                                                    <w:top w:val="single" w:sz="2" w:space="0" w:color="E5E7EB"/>
                                                    <w:left w:val="single" w:sz="2" w:space="0" w:color="E5E7EB"/>
                                                    <w:bottom w:val="single" w:sz="2" w:space="0" w:color="E5E7EB"/>
                                                    <w:right w:val="single" w:sz="2" w:space="0" w:color="E5E7EB"/>
                                                  </w:divBdr>
                                                  <w:divsChild>
                                                    <w:div w:id="89012585">
                                                      <w:marLeft w:val="0"/>
                                                      <w:marRight w:val="0"/>
                                                      <w:marTop w:val="0"/>
                                                      <w:marBottom w:val="0"/>
                                                      <w:divBdr>
                                                        <w:top w:val="single" w:sz="2" w:space="0" w:color="E5E7EB"/>
                                                        <w:left w:val="single" w:sz="2" w:space="0" w:color="E5E7EB"/>
                                                        <w:bottom w:val="single" w:sz="2" w:space="0" w:color="E5E7EB"/>
                                                        <w:right w:val="single" w:sz="2" w:space="0" w:color="E5E7EB"/>
                                                      </w:divBdr>
                                                      <w:divsChild>
                                                        <w:div w:id="1488671306">
                                                          <w:marLeft w:val="0"/>
                                                          <w:marRight w:val="0"/>
                                                          <w:marTop w:val="0"/>
                                                          <w:marBottom w:val="0"/>
                                                          <w:divBdr>
                                                            <w:top w:val="single" w:sz="2" w:space="0" w:color="auto"/>
                                                            <w:left w:val="single" w:sz="2" w:space="0" w:color="auto"/>
                                                            <w:bottom w:val="single" w:sz="2" w:space="0" w:color="auto"/>
                                                            <w:right w:val="single" w:sz="2" w:space="0" w:color="auto"/>
                                                          </w:divBdr>
                                                          <w:divsChild>
                                                            <w:div w:id="775516640">
                                                              <w:marLeft w:val="0"/>
                                                              <w:marRight w:val="0"/>
                                                              <w:marTop w:val="0"/>
                                                              <w:marBottom w:val="0"/>
                                                              <w:divBdr>
                                                                <w:top w:val="single" w:sz="2" w:space="0" w:color="E5E7EB"/>
                                                                <w:left w:val="single" w:sz="2" w:space="0" w:color="E5E7EB"/>
                                                                <w:bottom w:val="single" w:sz="2" w:space="0" w:color="E5E7EB"/>
                                                                <w:right w:val="single" w:sz="2" w:space="0" w:color="E5E7EB"/>
                                                              </w:divBdr>
                                                              <w:divsChild>
                                                                <w:div w:id="1333528291">
                                                                  <w:marLeft w:val="0"/>
                                                                  <w:marRight w:val="0"/>
                                                                  <w:marTop w:val="0"/>
                                                                  <w:marBottom w:val="0"/>
                                                                  <w:divBdr>
                                                                    <w:top w:val="single" w:sz="2" w:space="0" w:color="E5E7EB"/>
                                                                    <w:left w:val="single" w:sz="2" w:space="0" w:color="E5E7EB"/>
                                                                    <w:bottom w:val="single" w:sz="2" w:space="0" w:color="E5E7EB"/>
                                                                    <w:right w:val="single" w:sz="2" w:space="0" w:color="E5E7EB"/>
                                                                  </w:divBdr>
                                                                  <w:divsChild>
                                                                    <w:div w:id="503865973">
                                                                      <w:marLeft w:val="0"/>
                                                                      <w:marRight w:val="0"/>
                                                                      <w:marTop w:val="0"/>
                                                                      <w:marBottom w:val="0"/>
                                                                      <w:divBdr>
                                                                        <w:top w:val="single" w:sz="2" w:space="0" w:color="E5E7EB"/>
                                                                        <w:left w:val="single" w:sz="2" w:space="0" w:color="E5E7EB"/>
                                                                        <w:bottom w:val="single" w:sz="2" w:space="0" w:color="E5E7EB"/>
                                                                        <w:right w:val="single" w:sz="2" w:space="0" w:color="E5E7EB"/>
                                                                      </w:divBdr>
                                                                      <w:divsChild>
                                                                        <w:div w:id="1025525405">
                                                                          <w:marLeft w:val="0"/>
                                                                          <w:marRight w:val="0"/>
                                                                          <w:marTop w:val="0"/>
                                                                          <w:marBottom w:val="0"/>
                                                                          <w:divBdr>
                                                                            <w:top w:val="single" w:sz="2" w:space="0" w:color="E5E7EB"/>
                                                                            <w:left w:val="single" w:sz="2" w:space="0" w:color="E5E7EB"/>
                                                                            <w:bottom w:val="single" w:sz="2" w:space="0" w:color="E5E7EB"/>
                                                                            <w:right w:val="single" w:sz="2" w:space="0" w:color="E5E7EB"/>
                                                                          </w:divBdr>
                                                                          <w:divsChild>
                                                                            <w:div w:id="1910191516">
                                                                              <w:marLeft w:val="0"/>
                                                                              <w:marRight w:val="0"/>
                                                                              <w:marTop w:val="0"/>
                                                                              <w:marBottom w:val="0"/>
                                                                              <w:divBdr>
                                                                                <w:top w:val="single" w:sz="2" w:space="0" w:color="E5E7EB"/>
                                                                                <w:left w:val="single" w:sz="2" w:space="0" w:color="E5E7EB"/>
                                                                                <w:bottom w:val="single" w:sz="2" w:space="0" w:color="E5E7EB"/>
                                                                                <w:right w:val="single" w:sz="2" w:space="0" w:color="E5E7EB"/>
                                                                              </w:divBdr>
                                                                              <w:divsChild>
                                                                                <w:div w:id="1321537196">
                                                                                  <w:marLeft w:val="0"/>
                                                                                  <w:marRight w:val="0"/>
                                                                                  <w:marTop w:val="0"/>
                                                                                  <w:marBottom w:val="0"/>
                                                                                  <w:divBdr>
                                                                                    <w:top w:val="single" w:sz="2" w:space="0" w:color="E5E7EB"/>
                                                                                    <w:left w:val="single" w:sz="2" w:space="0" w:color="E5E7EB"/>
                                                                                    <w:bottom w:val="single" w:sz="2" w:space="0" w:color="E5E7EB"/>
                                                                                    <w:right w:val="single" w:sz="2" w:space="0" w:color="E5E7EB"/>
                                                                                  </w:divBdr>
                                                                                  <w:divsChild>
                                                                                    <w:div w:id="492721537">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86640796">
                                                          <w:marLeft w:val="0"/>
                                                          <w:marRight w:val="0"/>
                                                          <w:marTop w:val="0"/>
                                                          <w:marBottom w:val="0"/>
                                                          <w:divBdr>
                                                            <w:top w:val="single" w:sz="2" w:space="0" w:color="E5E7EB"/>
                                                            <w:left w:val="single" w:sz="2" w:space="0" w:color="E5E7EB"/>
                                                            <w:bottom w:val="single" w:sz="2" w:space="0" w:color="E5E7EB"/>
                                                            <w:right w:val="single" w:sz="2" w:space="0" w:color="E5E7EB"/>
                                                          </w:divBdr>
                                                          <w:divsChild>
                                                            <w:div w:id="1184976490">
                                                              <w:marLeft w:val="0"/>
                                                              <w:marRight w:val="0"/>
                                                              <w:marTop w:val="0"/>
                                                              <w:marBottom w:val="0"/>
                                                              <w:divBdr>
                                                                <w:top w:val="single" w:sz="2" w:space="0" w:color="auto"/>
                                                                <w:left w:val="single" w:sz="2" w:space="0" w:color="auto"/>
                                                                <w:bottom w:val="single" w:sz="2" w:space="0" w:color="auto"/>
                                                                <w:right w:val="single" w:sz="2" w:space="0" w:color="auto"/>
                                                              </w:divBdr>
                                                              <w:divsChild>
                                                                <w:div w:id="1347250909">
                                                                  <w:marLeft w:val="0"/>
                                                                  <w:marRight w:val="0"/>
                                                                  <w:marTop w:val="0"/>
                                                                  <w:marBottom w:val="0"/>
                                                                  <w:divBdr>
                                                                    <w:top w:val="single" w:sz="2" w:space="0" w:color="auto"/>
                                                                    <w:left w:val="single" w:sz="2" w:space="0" w:color="auto"/>
                                                                    <w:bottom w:val="single" w:sz="2" w:space="0" w:color="auto"/>
                                                                    <w:right w:val="single" w:sz="2" w:space="0" w:color="auto"/>
                                                                  </w:divBdr>
                                                                  <w:divsChild>
                                                                    <w:div w:id="1476752608">
                                                                      <w:marLeft w:val="0"/>
                                                                      <w:marRight w:val="0"/>
                                                                      <w:marTop w:val="0"/>
                                                                      <w:marBottom w:val="0"/>
                                                                      <w:divBdr>
                                                                        <w:top w:val="single" w:sz="2" w:space="0" w:color="auto"/>
                                                                        <w:left w:val="single" w:sz="2" w:space="0" w:color="auto"/>
                                                                        <w:bottom w:val="single" w:sz="2" w:space="0" w:color="auto"/>
                                                                        <w:right w:val="single" w:sz="2" w:space="0" w:color="auto"/>
                                                                      </w:divBdr>
                                                                      <w:divsChild>
                                                                        <w:div w:id="1656951518">
                                                                          <w:marLeft w:val="0"/>
                                                                          <w:marRight w:val="0"/>
                                                                          <w:marTop w:val="0"/>
                                                                          <w:marBottom w:val="120"/>
                                                                          <w:divBdr>
                                                                            <w:top w:val="single" w:sz="2" w:space="0" w:color="E5E7EB"/>
                                                                            <w:left w:val="single" w:sz="2" w:space="0" w:color="E5E7EB"/>
                                                                            <w:bottom w:val="single" w:sz="2" w:space="0" w:color="E5E7EB"/>
                                                                            <w:right w:val="single" w:sz="2" w:space="0" w:color="E5E7EB"/>
                                                                          </w:divBdr>
                                                                          <w:divsChild>
                                                                            <w:div w:id="270750775">
                                                                              <w:marLeft w:val="0"/>
                                                                              <w:marRight w:val="0"/>
                                                                              <w:marTop w:val="0"/>
                                                                              <w:marBottom w:val="0"/>
                                                                              <w:divBdr>
                                                                                <w:top w:val="single" w:sz="2" w:space="0" w:color="E5E7EB"/>
                                                                                <w:left w:val="single" w:sz="2" w:space="0" w:color="E5E7EB"/>
                                                                                <w:bottom w:val="single" w:sz="2" w:space="0" w:color="E5E7EB"/>
                                                                                <w:right w:val="single" w:sz="2" w:space="0" w:color="E5E7EB"/>
                                                                              </w:divBdr>
                                                                              <w:divsChild>
                                                                                <w:div w:id="1394505727">
                                                                                  <w:marLeft w:val="0"/>
                                                                                  <w:marRight w:val="0"/>
                                                                                  <w:marTop w:val="0"/>
                                                                                  <w:marBottom w:val="0"/>
                                                                                  <w:divBdr>
                                                                                    <w:top w:val="single" w:sz="2" w:space="0" w:color="E5E7EB"/>
                                                                                    <w:left w:val="single" w:sz="2" w:space="0" w:color="E5E7EB"/>
                                                                                    <w:bottom w:val="single" w:sz="2" w:space="0" w:color="E5E7EB"/>
                                                                                    <w:right w:val="single" w:sz="2" w:space="0" w:color="E5E7EB"/>
                                                                                  </w:divBdr>
                                                                                  <w:divsChild>
                                                                                    <w:div w:id="2020279695">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5331600">
                                                                      <w:marLeft w:val="0"/>
                                                                      <w:marRight w:val="0"/>
                                                                      <w:marTop w:val="0"/>
                                                                      <w:marBottom w:val="0"/>
                                                                      <w:divBdr>
                                                                        <w:top w:val="single" w:sz="6" w:space="0" w:color="auto"/>
                                                                        <w:left w:val="single" w:sz="2" w:space="0" w:color="auto"/>
                                                                        <w:bottom w:val="single" w:sz="2" w:space="0" w:color="auto"/>
                                                                        <w:right w:val="single" w:sz="2" w:space="0" w:color="auto"/>
                                                                      </w:divBdr>
                                                                      <w:divsChild>
                                                                        <w:div w:id="1992979085">
                                                                          <w:marLeft w:val="0"/>
                                                                          <w:marRight w:val="0"/>
                                                                          <w:marTop w:val="0"/>
                                                                          <w:marBottom w:val="0"/>
                                                                          <w:divBdr>
                                                                            <w:top w:val="single" w:sz="2" w:space="6" w:color="E5E7EB"/>
                                                                            <w:left w:val="single" w:sz="2" w:space="0" w:color="E5E7EB"/>
                                                                            <w:bottom w:val="single" w:sz="2" w:space="6" w:color="E5E7EB"/>
                                                                            <w:right w:val="single" w:sz="2" w:space="0" w:color="E5E7EB"/>
                                                                          </w:divBdr>
                                                                          <w:divsChild>
                                                                            <w:div w:id="1550455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7671297">
                                                                          <w:marLeft w:val="0"/>
                                                                          <w:marRight w:val="0"/>
                                                                          <w:marTop w:val="0"/>
                                                                          <w:marBottom w:val="0"/>
                                                                          <w:divBdr>
                                                                            <w:top w:val="single" w:sz="6" w:space="6" w:color="auto"/>
                                                                            <w:left w:val="single" w:sz="2" w:space="0" w:color="auto"/>
                                                                            <w:bottom w:val="single" w:sz="2" w:space="6" w:color="auto"/>
                                                                            <w:right w:val="single" w:sz="2" w:space="0" w:color="auto"/>
                                                                          </w:divBdr>
                                                                          <w:divsChild>
                                                                            <w:div w:id="1209293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3205639">
                                                                          <w:marLeft w:val="0"/>
                                                                          <w:marRight w:val="0"/>
                                                                          <w:marTop w:val="0"/>
                                                                          <w:marBottom w:val="0"/>
                                                                          <w:divBdr>
                                                                            <w:top w:val="single" w:sz="6" w:space="6" w:color="auto"/>
                                                                            <w:left w:val="single" w:sz="2" w:space="0" w:color="auto"/>
                                                                            <w:bottom w:val="single" w:sz="2" w:space="6" w:color="auto"/>
                                                                            <w:right w:val="single" w:sz="2" w:space="0" w:color="auto"/>
                                                                          </w:divBdr>
                                                                          <w:divsChild>
                                                                            <w:div w:id="301617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3491442">
                                                                          <w:marLeft w:val="0"/>
                                                                          <w:marRight w:val="0"/>
                                                                          <w:marTop w:val="0"/>
                                                                          <w:marBottom w:val="0"/>
                                                                          <w:divBdr>
                                                                            <w:top w:val="single" w:sz="6" w:space="6" w:color="auto"/>
                                                                            <w:left w:val="single" w:sz="2" w:space="0" w:color="auto"/>
                                                                            <w:bottom w:val="single" w:sz="2" w:space="6" w:color="auto"/>
                                                                            <w:right w:val="single" w:sz="2" w:space="0" w:color="auto"/>
                                                                          </w:divBdr>
                                                                          <w:divsChild>
                                                                            <w:div w:id="26566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6720459">
                                                                          <w:marLeft w:val="0"/>
                                                                          <w:marRight w:val="0"/>
                                                                          <w:marTop w:val="0"/>
                                                                          <w:marBottom w:val="0"/>
                                                                          <w:divBdr>
                                                                            <w:top w:val="single" w:sz="6" w:space="6" w:color="auto"/>
                                                                            <w:left w:val="single" w:sz="2" w:space="0" w:color="auto"/>
                                                                            <w:bottom w:val="single" w:sz="2" w:space="6" w:color="auto"/>
                                                                            <w:right w:val="single" w:sz="2" w:space="0" w:color="auto"/>
                                                                          </w:divBdr>
                                                                          <w:divsChild>
                                                                            <w:div w:id="536964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49180">
      <w:bodyDiv w:val="1"/>
      <w:marLeft w:val="0"/>
      <w:marRight w:val="0"/>
      <w:marTop w:val="0"/>
      <w:marBottom w:val="0"/>
      <w:divBdr>
        <w:top w:val="none" w:sz="0" w:space="0" w:color="auto"/>
        <w:left w:val="none" w:sz="0" w:space="0" w:color="auto"/>
        <w:bottom w:val="none" w:sz="0" w:space="0" w:color="auto"/>
        <w:right w:val="none" w:sz="0" w:space="0" w:color="auto"/>
      </w:divBdr>
    </w:div>
    <w:div w:id="1350764617">
      <w:bodyDiv w:val="1"/>
      <w:marLeft w:val="0"/>
      <w:marRight w:val="0"/>
      <w:marTop w:val="0"/>
      <w:marBottom w:val="0"/>
      <w:divBdr>
        <w:top w:val="none" w:sz="0" w:space="0" w:color="auto"/>
        <w:left w:val="none" w:sz="0" w:space="0" w:color="auto"/>
        <w:bottom w:val="none" w:sz="0" w:space="0" w:color="auto"/>
        <w:right w:val="none" w:sz="0" w:space="0" w:color="auto"/>
      </w:divBdr>
    </w:div>
    <w:div w:id="1376926274">
      <w:bodyDiv w:val="1"/>
      <w:marLeft w:val="0"/>
      <w:marRight w:val="0"/>
      <w:marTop w:val="0"/>
      <w:marBottom w:val="0"/>
      <w:divBdr>
        <w:top w:val="none" w:sz="0" w:space="0" w:color="auto"/>
        <w:left w:val="none" w:sz="0" w:space="0" w:color="auto"/>
        <w:bottom w:val="none" w:sz="0" w:space="0" w:color="auto"/>
        <w:right w:val="none" w:sz="0" w:space="0" w:color="auto"/>
      </w:divBdr>
    </w:div>
    <w:div w:id="1528443109">
      <w:bodyDiv w:val="1"/>
      <w:marLeft w:val="0"/>
      <w:marRight w:val="0"/>
      <w:marTop w:val="0"/>
      <w:marBottom w:val="0"/>
      <w:divBdr>
        <w:top w:val="none" w:sz="0" w:space="0" w:color="auto"/>
        <w:left w:val="none" w:sz="0" w:space="0" w:color="auto"/>
        <w:bottom w:val="none" w:sz="0" w:space="0" w:color="auto"/>
        <w:right w:val="none" w:sz="0" w:space="0" w:color="auto"/>
      </w:divBdr>
    </w:div>
    <w:div w:id="1529832498">
      <w:bodyDiv w:val="1"/>
      <w:marLeft w:val="0"/>
      <w:marRight w:val="0"/>
      <w:marTop w:val="0"/>
      <w:marBottom w:val="0"/>
      <w:divBdr>
        <w:top w:val="none" w:sz="0" w:space="0" w:color="auto"/>
        <w:left w:val="none" w:sz="0" w:space="0" w:color="auto"/>
        <w:bottom w:val="none" w:sz="0" w:space="0" w:color="auto"/>
        <w:right w:val="none" w:sz="0" w:space="0" w:color="auto"/>
      </w:divBdr>
      <w:divsChild>
        <w:div w:id="2034838160">
          <w:marLeft w:val="0"/>
          <w:marRight w:val="0"/>
          <w:marTop w:val="0"/>
          <w:marBottom w:val="0"/>
          <w:divBdr>
            <w:top w:val="single" w:sz="2" w:space="0" w:color="E5E7EB"/>
            <w:left w:val="single" w:sz="2" w:space="0" w:color="E5E7EB"/>
            <w:bottom w:val="single" w:sz="2" w:space="0" w:color="E5E7EB"/>
            <w:right w:val="single" w:sz="2" w:space="0" w:color="E5E7EB"/>
          </w:divBdr>
          <w:divsChild>
            <w:div w:id="910507572">
              <w:marLeft w:val="0"/>
              <w:marRight w:val="0"/>
              <w:marTop w:val="0"/>
              <w:marBottom w:val="0"/>
              <w:divBdr>
                <w:top w:val="single" w:sz="2" w:space="0" w:color="auto"/>
                <w:left w:val="single" w:sz="2" w:space="0" w:color="auto"/>
                <w:bottom w:val="single" w:sz="2" w:space="0" w:color="auto"/>
                <w:right w:val="single" w:sz="2" w:space="0" w:color="auto"/>
              </w:divBdr>
              <w:divsChild>
                <w:div w:id="1077166473">
                  <w:marLeft w:val="0"/>
                  <w:marRight w:val="0"/>
                  <w:marTop w:val="0"/>
                  <w:marBottom w:val="0"/>
                  <w:divBdr>
                    <w:top w:val="single" w:sz="2" w:space="0" w:color="auto"/>
                    <w:left w:val="single" w:sz="2" w:space="0" w:color="auto"/>
                    <w:bottom w:val="single" w:sz="2" w:space="0" w:color="auto"/>
                    <w:right w:val="single" w:sz="2" w:space="0" w:color="auto"/>
                  </w:divBdr>
                  <w:divsChild>
                    <w:div w:id="1392116277">
                      <w:marLeft w:val="0"/>
                      <w:marRight w:val="0"/>
                      <w:marTop w:val="0"/>
                      <w:marBottom w:val="0"/>
                      <w:divBdr>
                        <w:top w:val="single" w:sz="2" w:space="0" w:color="E5E7EB"/>
                        <w:left w:val="single" w:sz="2" w:space="0" w:color="E5E7EB"/>
                        <w:bottom w:val="single" w:sz="2" w:space="0" w:color="E5E7EB"/>
                        <w:right w:val="single" w:sz="2" w:space="0" w:color="E5E7EB"/>
                      </w:divBdr>
                      <w:divsChild>
                        <w:div w:id="1027026422">
                          <w:marLeft w:val="0"/>
                          <w:marRight w:val="0"/>
                          <w:marTop w:val="0"/>
                          <w:marBottom w:val="0"/>
                          <w:divBdr>
                            <w:top w:val="single" w:sz="2" w:space="0" w:color="E5E7EB"/>
                            <w:left w:val="single" w:sz="2" w:space="0" w:color="E5E7EB"/>
                            <w:bottom w:val="single" w:sz="2" w:space="0" w:color="E5E7EB"/>
                            <w:right w:val="single" w:sz="2" w:space="0" w:color="E5E7EB"/>
                          </w:divBdr>
                          <w:divsChild>
                            <w:div w:id="2091613368">
                              <w:marLeft w:val="0"/>
                              <w:marRight w:val="0"/>
                              <w:marTop w:val="0"/>
                              <w:marBottom w:val="0"/>
                              <w:divBdr>
                                <w:top w:val="single" w:sz="2" w:space="0" w:color="E5E7EB"/>
                                <w:left w:val="single" w:sz="2" w:space="0" w:color="E5E7EB"/>
                                <w:bottom w:val="single" w:sz="2" w:space="0" w:color="E5E7EB"/>
                                <w:right w:val="single" w:sz="2" w:space="0" w:color="E5E7EB"/>
                              </w:divBdr>
                              <w:divsChild>
                                <w:div w:id="1854032491">
                                  <w:marLeft w:val="0"/>
                                  <w:marRight w:val="0"/>
                                  <w:marTop w:val="0"/>
                                  <w:marBottom w:val="0"/>
                                  <w:divBdr>
                                    <w:top w:val="single" w:sz="2" w:space="0" w:color="auto"/>
                                    <w:left w:val="single" w:sz="2" w:space="0" w:color="auto"/>
                                    <w:bottom w:val="single" w:sz="2" w:space="31" w:color="auto"/>
                                    <w:right w:val="single" w:sz="2" w:space="0" w:color="auto"/>
                                  </w:divBdr>
                                  <w:divsChild>
                                    <w:div w:id="889927396">
                                      <w:marLeft w:val="0"/>
                                      <w:marRight w:val="0"/>
                                      <w:marTop w:val="0"/>
                                      <w:marBottom w:val="0"/>
                                      <w:divBdr>
                                        <w:top w:val="single" w:sz="2" w:space="0" w:color="E5E7EB"/>
                                        <w:left w:val="single" w:sz="2" w:space="12" w:color="E5E7EB"/>
                                        <w:bottom w:val="single" w:sz="2" w:space="0" w:color="E5E7EB"/>
                                        <w:right w:val="single" w:sz="2" w:space="12" w:color="E5E7EB"/>
                                      </w:divBdr>
                                      <w:divsChild>
                                        <w:div w:id="1767379677">
                                          <w:marLeft w:val="0"/>
                                          <w:marRight w:val="0"/>
                                          <w:marTop w:val="0"/>
                                          <w:marBottom w:val="0"/>
                                          <w:divBdr>
                                            <w:top w:val="single" w:sz="2" w:space="0" w:color="E5E7EB"/>
                                            <w:left w:val="single" w:sz="2" w:space="0" w:color="E5E7EB"/>
                                            <w:bottom w:val="single" w:sz="2" w:space="0" w:color="E5E7EB"/>
                                            <w:right w:val="single" w:sz="2" w:space="0" w:color="E5E7EB"/>
                                          </w:divBdr>
                                          <w:divsChild>
                                            <w:div w:id="1366130039">
                                              <w:marLeft w:val="0"/>
                                              <w:marRight w:val="0"/>
                                              <w:marTop w:val="0"/>
                                              <w:marBottom w:val="0"/>
                                              <w:divBdr>
                                                <w:top w:val="single" w:sz="2" w:space="0" w:color="E5E7EB"/>
                                                <w:left w:val="single" w:sz="2" w:space="0" w:color="E5E7EB"/>
                                                <w:bottom w:val="single" w:sz="2" w:space="0" w:color="E5E7EB"/>
                                                <w:right w:val="single" w:sz="2" w:space="0" w:color="E5E7EB"/>
                                              </w:divBdr>
                                              <w:divsChild>
                                                <w:div w:id="1273899210">
                                                  <w:marLeft w:val="0"/>
                                                  <w:marRight w:val="0"/>
                                                  <w:marTop w:val="0"/>
                                                  <w:marBottom w:val="0"/>
                                                  <w:divBdr>
                                                    <w:top w:val="single" w:sz="2" w:space="0" w:color="E5E7EB"/>
                                                    <w:left w:val="single" w:sz="2" w:space="0" w:color="E5E7EB"/>
                                                    <w:bottom w:val="single" w:sz="2" w:space="0" w:color="E5E7EB"/>
                                                    <w:right w:val="single" w:sz="2" w:space="0" w:color="E5E7EB"/>
                                                  </w:divBdr>
                                                  <w:divsChild>
                                                    <w:div w:id="770013171">
                                                      <w:marLeft w:val="0"/>
                                                      <w:marRight w:val="0"/>
                                                      <w:marTop w:val="0"/>
                                                      <w:marBottom w:val="0"/>
                                                      <w:divBdr>
                                                        <w:top w:val="single" w:sz="2" w:space="0" w:color="E5E7EB"/>
                                                        <w:left w:val="single" w:sz="2" w:space="0" w:color="E5E7EB"/>
                                                        <w:bottom w:val="single" w:sz="2" w:space="0" w:color="E5E7EB"/>
                                                        <w:right w:val="single" w:sz="2" w:space="0" w:color="E5E7EB"/>
                                                      </w:divBdr>
                                                      <w:divsChild>
                                                        <w:div w:id="322048893">
                                                          <w:marLeft w:val="0"/>
                                                          <w:marRight w:val="0"/>
                                                          <w:marTop w:val="0"/>
                                                          <w:marBottom w:val="0"/>
                                                          <w:divBdr>
                                                            <w:top w:val="single" w:sz="2" w:space="0" w:color="auto"/>
                                                            <w:left w:val="single" w:sz="2" w:space="0" w:color="auto"/>
                                                            <w:bottom w:val="single" w:sz="2" w:space="0" w:color="auto"/>
                                                            <w:right w:val="single" w:sz="2" w:space="0" w:color="auto"/>
                                                          </w:divBdr>
                                                          <w:divsChild>
                                                            <w:div w:id="1118060859">
                                                              <w:marLeft w:val="0"/>
                                                              <w:marRight w:val="0"/>
                                                              <w:marTop w:val="0"/>
                                                              <w:marBottom w:val="0"/>
                                                              <w:divBdr>
                                                                <w:top w:val="single" w:sz="2" w:space="0" w:color="E5E7EB"/>
                                                                <w:left w:val="single" w:sz="2" w:space="0" w:color="E5E7EB"/>
                                                                <w:bottom w:val="single" w:sz="2" w:space="0" w:color="E5E7EB"/>
                                                                <w:right w:val="single" w:sz="2" w:space="0" w:color="E5E7EB"/>
                                                              </w:divBdr>
                                                              <w:divsChild>
                                                                <w:div w:id="1769160077">
                                                                  <w:marLeft w:val="0"/>
                                                                  <w:marRight w:val="0"/>
                                                                  <w:marTop w:val="0"/>
                                                                  <w:marBottom w:val="0"/>
                                                                  <w:divBdr>
                                                                    <w:top w:val="single" w:sz="2" w:space="0" w:color="E5E7EB"/>
                                                                    <w:left w:val="single" w:sz="2" w:space="0" w:color="E5E7EB"/>
                                                                    <w:bottom w:val="single" w:sz="2" w:space="0" w:color="E5E7EB"/>
                                                                    <w:right w:val="single" w:sz="2" w:space="0" w:color="E5E7EB"/>
                                                                  </w:divBdr>
                                                                  <w:divsChild>
                                                                    <w:div w:id="95948253">
                                                                      <w:marLeft w:val="0"/>
                                                                      <w:marRight w:val="0"/>
                                                                      <w:marTop w:val="0"/>
                                                                      <w:marBottom w:val="0"/>
                                                                      <w:divBdr>
                                                                        <w:top w:val="single" w:sz="2" w:space="0" w:color="E5E7EB"/>
                                                                        <w:left w:val="single" w:sz="2" w:space="0" w:color="E5E7EB"/>
                                                                        <w:bottom w:val="single" w:sz="2" w:space="0" w:color="E5E7EB"/>
                                                                        <w:right w:val="single" w:sz="2" w:space="0" w:color="E5E7EB"/>
                                                                      </w:divBdr>
                                                                      <w:divsChild>
                                                                        <w:div w:id="1801454219">
                                                                          <w:marLeft w:val="0"/>
                                                                          <w:marRight w:val="0"/>
                                                                          <w:marTop w:val="0"/>
                                                                          <w:marBottom w:val="0"/>
                                                                          <w:divBdr>
                                                                            <w:top w:val="single" w:sz="2" w:space="0" w:color="E5E7EB"/>
                                                                            <w:left w:val="single" w:sz="2" w:space="0" w:color="E5E7EB"/>
                                                                            <w:bottom w:val="single" w:sz="2" w:space="0" w:color="E5E7EB"/>
                                                                            <w:right w:val="single" w:sz="2" w:space="0" w:color="E5E7EB"/>
                                                                          </w:divBdr>
                                                                          <w:divsChild>
                                                                            <w:div w:id="295991654">
                                                                              <w:marLeft w:val="0"/>
                                                                              <w:marRight w:val="0"/>
                                                                              <w:marTop w:val="0"/>
                                                                              <w:marBottom w:val="0"/>
                                                                              <w:divBdr>
                                                                                <w:top w:val="single" w:sz="2" w:space="0" w:color="E5E7EB"/>
                                                                                <w:left w:val="single" w:sz="2" w:space="0" w:color="E5E7EB"/>
                                                                                <w:bottom w:val="single" w:sz="2" w:space="0" w:color="E5E7EB"/>
                                                                                <w:right w:val="single" w:sz="2" w:space="0" w:color="E5E7EB"/>
                                                                              </w:divBdr>
                                                                              <w:divsChild>
                                                                                <w:div w:id="132872538">
                                                                                  <w:marLeft w:val="0"/>
                                                                                  <w:marRight w:val="0"/>
                                                                                  <w:marTop w:val="0"/>
                                                                                  <w:marBottom w:val="0"/>
                                                                                  <w:divBdr>
                                                                                    <w:top w:val="single" w:sz="2" w:space="0" w:color="E5E7EB"/>
                                                                                    <w:left w:val="single" w:sz="2" w:space="0" w:color="E5E7EB"/>
                                                                                    <w:bottom w:val="single" w:sz="2" w:space="0" w:color="E5E7EB"/>
                                                                                    <w:right w:val="single" w:sz="2" w:space="0" w:color="E5E7EB"/>
                                                                                  </w:divBdr>
                                                                                  <w:divsChild>
                                                                                    <w:div w:id="131525730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84487431">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89026633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9086068">
                                                                  <w:marLeft w:val="0"/>
                                                                  <w:marRight w:val="0"/>
                                                                  <w:marTop w:val="0"/>
                                                                  <w:marBottom w:val="0"/>
                                                                  <w:divBdr>
                                                                    <w:top w:val="single" w:sz="2" w:space="0" w:color="E5E7EB"/>
                                                                    <w:left w:val="single" w:sz="2" w:space="0" w:color="E5E7EB"/>
                                                                    <w:bottom w:val="single" w:sz="2" w:space="0" w:color="E5E7EB"/>
                                                                    <w:right w:val="single" w:sz="2" w:space="0" w:color="E5E7EB"/>
                                                                  </w:divBdr>
                                                                  <w:divsChild>
                                                                    <w:div w:id="1988705271">
                                                                      <w:marLeft w:val="0"/>
                                                                      <w:marRight w:val="0"/>
                                                                      <w:marTop w:val="0"/>
                                                                      <w:marBottom w:val="240"/>
                                                                      <w:divBdr>
                                                                        <w:top w:val="single" w:sz="2" w:space="12" w:color="auto"/>
                                                                        <w:left w:val="single" w:sz="2" w:space="12" w:color="auto"/>
                                                                        <w:bottom w:val="single" w:sz="2" w:space="12" w:color="auto"/>
                                                                        <w:right w:val="single" w:sz="2" w:space="12" w:color="auto"/>
                                                                      </w:divBdr>
                                                                      <w:divsChild>
                                                                        <w:div w:id="1507476665">
                                                                          <w:marLeft w:val="0"/>
                                                                          <w:marRight w:val="120"/>
                                                                          <w:marTop w:val="0"/>
                                                                          <w:marBottom w:val="0"/>
                                                                          <w:divBdr>
                                                                            <w:top w:val="single" w:sz="2" w:space="0" w:color="auto"/>
                                                                            <w:left w:val="single" w:sz="2" w:space="0" w:color="auto"/>
                                                                            <w:bottom w:val="single" w:sz="2" w:space="0" w:color="auto"/>
                                                                            <w:right w:val="single" w:sz="2" w:space="0" w:color="auto"/>
                                                                          </w:divBdr>
                                                                          <w:divsChild>
                                                                            <w:div w:id="1899128121">
                                                                              <w:marLeft w:val="0"/>
                                                                              <w:marRight w:val="0"/>
                                                                              <w:marTop w:val="0"/>
                                                                              <w:marBottom w:val="60"/>
                                                                              <w:divBdr>
                                                                                <w:top w:val="single" w:sz="2" w:space="0" w:color="E5E7EB"/>
                                                                                <w:left w:val="single" w:sz="2" w:space="0" w:color="E5E7EB"/>
                                                                                <w:bottom w:val="single" w:sz="2" w:space="0" w:color="E5E7EB"/>
                                                                                <w:right w:val="single" w:sz="2" w:space="0" w:color="E5E7EB"/>
                                                                              </w:divBdr>
                                                                            </w:div>
                                                                            <w:div w:id="1401058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57708231">
                                                          <w:marLeft w:val="0"/>
                                                          <w:marRight w:val="0"/>
                                                          <w:marTop w:val="0"/>
                                                          <w:marBottom w:val="0"/>
                                                          <w:divBdr>
                                                            <w:top w:val="single" w:sz="2" w:space="0" w:color="E5E7EB"/>
                                                            <w:left w:val="single" w:sz="2" w:space="0" w:color="E5E7EB"/>
                                                            <w:bottom w:val="single" w:sz="2" w:space="0" w:color="E5E7EB"/>
                                                            <w:right w:val="single" w:sz="2" w:space="0" w:color="E5E7EB"/>
                                                          </w:divBdr>
                                                          <w:divsChild>
                                                            <w:div w:id="692847272">
                                                              <w:marLeft w:val="0"/>
                                                              <w:marRight w:val="0"/>
                                                              <w:marTop w:val="0"/>
                                                              <w:marBottom w:val="0"/>
                                                              <w:divBdr>
                                                                <w:top w:val="single" w:sz="2" w:space="0" w:color="auto"/>
                                                                <w:left w:val="single" w:sz="2" w:space="0" w:color="auto"/>
                                                                <w:bottom w:val="single" w:sz="2" w:space="0" w:color="auto"/>
                                                                <w:right w:val="single" w:sz="2" w:space="0" w:color="auto"/>
                                                              </w:divBdr>
                                                              <w:divsChild>
                                                                <w:div w:id="558900194">
                                                                  <w:marLeft w:val="0"/>
                                                                  <w:marRight w:val="0"/>
                                                                  <w:marTop w:val="0"/>
                                                                  <w:marBottom w:val="0"/>
                                                                  <w:divBdr>
                                                                    <w:top w:val="single" w:sz="2" w:space="0" w:color="auto"/>
                                                                    <w:left w:val="single" w:sz="2" w:space="0" w:color="auto"/>
                                                                    <w:bottom w:val="single" w:sz="2" w:space="0" w:color="auto"/>
                                                                    <w:right w:val="single" w:sz="2" w:space="0" w:color="auto"/>
                                                                  </w:divBdr>
                                                                  <w:divsChild>
                                                                    <w:div w:id="63070583">
                                                                      <w:marLeft w:val="0"/>
                                                                      <w:marRight w:val="0"/>
                                                                      <w:marTop w:val="0"/>
                                                                      <w:marBottom w:val="0"/>
                                                                      <w:divBdr>
                                                                        <w:top w:val="single" w:sz="2" w:space="0" w:color="auto"/>
                                                                        <w:left w:val="single" w:sz="2" w:space="0" w:color="auto"/>
                                                                        <w:bottom w:val="single" w:sz="2" w:space="0" w:color="auto"/>
                                                                        <w:right w:val="single" w:sz="2" w:space="0" w:color="auto"/>
                                                                      </w:divBdr>
                                                                      <w:divsChild>
                                                                        <w:div w:id="485436519">
                                                                          <w:marLeft w:val="0"/>
                                                                          <w:marRight w:val="0"/>
                                                                          <w:marTop w:val="0"/>
                                                                          <w:marBottom w:val="120"/>
                                                                          <w:divBdr>
                                                                            <w:top w:val="single" w:sz="2" w:space="0" w:color="E5E7EB"/>
                                                                            <w:left w:val="single" w:sz="2" w:space="0" w:color="E5E7EB"/>
                                                                            <w:bottom w:val="single" w:sz="2" w:space="0" w:color="E5E7EB"/>
                                                                            <w:right w:val="single" w:sz="2" w:space="0" w:color="E5E7EB"/>
                                                                          </w:divBdr>
                                                                          <w:divsChild>
                                                                            <w:div w:id="1301375037">
                                                                              <w:marLeft w:val="0"/>
                                                                              <w:marRight w:val="0"/>
                                                                              <w:marTop w:val="0"/>
                                                                              <w:marBottom w:val="0"/>
                                                                              <w:divBdr>
                                                                                <w:top w:val="single" w:sz="2" w:space="0" w:color="E5E7EB"/>
                                                                                <w:left w:val="single" w:sz="2" w:space="0" w:color="E5E7EB"/>
                                                                                <w:bottom w:val="single" w:sz="2" w:space="0" w:color="E5E7EB"/>
                                                                                <w:right w:val="single" w:sz="2" w:space="0" w:color="E5E7EB"/>
                                                                              </w:divBdr>
                                                                              <w:divsChild>
                                                                                <w:div w:id="784420211">
                                                                                  <w:marLeft w:val="0"/>
                                                                                  <w:marRight w:val="0"/>
                                                                                  <w:marTop w:val="0"/>
                                                                                  <w:marBottom w:val="0"/>
                                                                                  <w:divBdr>
                                                                                    <w:top w:val="single" w:sz="2" w:space="0" w:color="E5E7EB"/>
                                                                                    <w:left w:val="single" w:sz="2" w:space="0" w:color="E5E7EB"/>
                                                                                    <w:bottom w:val="single" w:sz="2" w:space="0" w:color="E5E7EB"/>
                                                                                    <w:right w:val="single" w:sz="2" w:space="0" w:color="E5E7EB"/>
                                                                                  </w:divBdr>
                                                                                  <w:divsChild>
                                                                                    <w:div w:id="741677489">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1283411">
                                                                      <w:marLeft w:val="0"/>
                                                                      <w:marRight w:val="0"/>
                                                                      <w:marTop w:val="0"/>
                                                                      <w:marBottom w:val="0"/>
                                                                      <w:divBdr>
                                                                        <w:top w:val="single" w:sz="6" w:space="0" w:color="auto"/>
                                                                        <w:left w:val="single" w:sz="2" w:space="0" w:color="auto"/>
                                                                        <w:bottom w:val="single" w:sz="2" w:space="0" w:color="auto"/>
                                                                        <w:right w:val="single" w:sz="2" w:space="0" w:color="auto"/>
                                                                      </w:divBdr>
                                                                      <w:divsChild>
                                                                        <w:div w:id="1743940179">
                                                                          <w:marLeft w:val="0"/>
                                                                          <w:marRight w:val="0"/>
                                                                          <w:marTop w:val="0"/>
                                                                          <w:marBottom w:val="0"/>
                                                                          <w:divBdr>
                                                                            <w:top w:val="single" w:sz="2" w:space="6" w:color="E5E7EB"/>
                                                                            <w:left w:val="single" w:sz="2" w:space="0" w:color="E5E7EB"/>
                                                                            <w:bottom w:val="single" w:sz="2" w:space="6" w:color="E5E7EB"/>
                                                                            <w:right w:val="single" w:sz="2" w:space="0" w:color="E5E7EB"/>
                                                                          </w:divBdr>
                                                                          <w:divsChild>
                                                                            <w:div w:id="1018191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48897">
                                                                          <w:marLeft w:val="0"/>
                                                                          <w:marRight w:val="0"/>
                                                                          <w:marTop w:val="0"/>
                                                                          <w:marBottom w:val="0"/>
                                                                          <w:divBdr>
                                                                            <w:top w:val="single" w:sz="6" w:space="6" w:color="auto"/>
                                                                            <w:left w:val="single" w:sz="2" w:space="0" w:color="auto"/>
                                                                            <w:bottom w:val="single" w:sz="2" w:space="6" w:color="auto"/>
                                                                            <w:right w:val="single" w:sz="2" w:space="0" w:color="auto"/>
                                                                          </w:divBdr>
                                                                          <w:divsChild>
                                                                            <w:div w:id="2581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7726943">
                                                                          <w:marLeft w:val="0"/>
                                                                          <w:marRight w:val="0"/>
                                                                          <w:marTop w:val="0"/>
                                                                          <w:marBottom w:val="0"/>
                                                                          <w:divBdr>
                                                                            <w:top w:val="single" w:sz="6" w:space="6" w:color="auto"/>
                                                                            <w:left w:val="single" w:sz="2" w:space="0" w:color="auto"/>
                                                                            <w:bottom w:val="single" w:sz="2" w:space="6" w:color="auto"/>
                                                                            <w:right w:val="single" w:sz="2" w:space="0" w:color="auto"/>
                                                                          </w:divBdr>
                                                                          <w:divsChild>
                                                                            <w:div w:id="1163740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4027530">
                                                                          <w:marLeft w:val="0"/>
                                                                          <w:marRight w:val="0"/>
                                                                          <w:marTop w:val="0"/>
                                                                          <w:marBottom w:val="0"/>
                                                                          <w:divBdr>
                                                                            <w:top w:val="single" w:sz="6" w:space="6" w:color="auto"/>
                                                                            <w:left w:val="single" w:sz="2" w:space="0" w:color="auto"/>
                                                                            <w:bottom w:val="single" w:sz="2" w:space="6" w:color="auto"/>
                                                                            <w:right w:val="single" w:sz="2" w:space="0" w:color="auto"/>
                                                                          </w:divBdr>
                                                                          <w:divsChild>
                                                                            <w:div w:id="425157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3806850">
                                                                          <w:marLeft w:val="0"/>
                                                                          <w:marRight w:val="0"/>
                                                                          <w:marTop w:val="0"/>
                                                                          <w:marBottom w:val="0"/>
                                                                          <w:divBdr>
                                                                            <w:top w:val="single" w:sz="6" w:space="6" w:color="auto"/>
                                                                            <w:left w:val="single" w:sz="2" w:space="0" w:color="auto"/>
                                                                            <w:bottom w:val="single" w:sz="2" w:space="6" w:color="auto"/>
                                                                            <w:right w:val="single" w:sz="2" w:space="0" w:color="auto"/>
                                                                          </w:divBdr>
                                                                          <w:divsChild>
                                                                            <w:div w:id="1314875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575740">
      <w:bodyDiv w:val="1"/>
      <w:marLeft w:val="0"/>
      <w:marRight w:val="0"/>
      <w:marTop w:val="0"/>
      <w:marBottom w:val="0"/>
      <w:divBdr>
        <w:top w:val="none" w:sz="0" w:space="0" w:color="auto"/>
        <w:left w:val="none" w:sz="0" w:space="0" w:color="auto"/>
        <w:bottom w:val="none" w:sz="0" w:space="0" w:color="auto"/>
        <w:right w:val="none" w:sz="0" w:space="0" w:color="auto"/>
      </w:divBdr>
    </w:div>
    <w:div w:id="1770350748">
      <w:bodyDiv w:val="1"/>
      <w:marLeft w:val="0"/>
      <w:marRight w:val="0"/>
      <w:marTop w:val="0"/>
      <w:marBottom w:val="0"/>
      <w:divBdr>
        <w:top w:val="none" w:sz="0" w:space="0" w:color="auto"/>
        <w:left w:val="none" w:sz="0" w:space="0" w:color="auto"/>
        <w:bottom w:val="none" w:sz="0" w:space="0" w:color="auto"/>
        <w:right w:val="none" w:sz="0" w:space="0" w:color="auto"/>
      </w:divBdr>
    </w:div>
    <w:div w:id="1924797373">
      <w:bodyDiv w:val="1"/>
      <w:marLeft w:val="0"/>
      <w:marRight w:val="0"/>
      <w:marTop w:val="0"/>
      <w:marBottom w:val="0"/>
      <w:divBdr>
        <w:top w:val="none" w:sz="0" w:space="0" w:color="auto"/>
        <w:left w:val="none" w:sz="0" w:space="0" w:color="auto"/>
        <w:bottom w:val="none" w:sz="0" w:space="0" w:color="auto"/>
        <w:right w:val="none" w:sz="0" w:space="0" w:color="auto"/>
      </w:divBdr>
    </w:div>
    <w:div w:id="2113546504">
      <w:bodyDiv w:val="1"/>
      <w:marLeft w:val="0"/>
      <w:marRight w:val="0"/>
      <w:marTop w:val="0"/>
      <w:marBottom w:val="0"/>
      <w:divBdr>
        <w:top w:val="none" w:sz="0" w:space="0" w:color="auto"/>
        <w:left w:val="none" w:sz="0" w:space="0" w:color="auto"/>
        <w:bottom w:val="none" w:sz="0" w:space="0" w:color="auto"/>
        <w:right w:val="none" w:sz="0" w:space="0" w:color="auto"/>
      </w:divBdr>
    </w:div>
    <w:div w:id="2140684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cg.com/publications/2021/prioritizing-societal-well-being-seda-report" TargetMode="External"/><Relationship Id="rId18" Type="http://schemas.openxmlformats.org/officeDocument/2006/relationships/hyperlink" Target="https://www.iea.org/" TargetMode="External"/><Relationship Id="rId26" Type="http://schemas.openxmlformats.org/officeDocument/2006/relationships/hyperlink" Target="https://www.nature.com/articles/s41599-025-04820-0" TargetMode="External"/><Relationship Id="rId39" Type="http://schemas.openxmlformats.org/officeDocument/2006/relationships/hyperlink" Target="https://unfccc.int/documents/461219" TargetMode="External"/><Relationship Id="rId3" Type="http://schemas.openxmlformats.org/officeDocument/2006/relationships/settings" Target="settings.xml"/><Relationship Id="rId21" Type="http://schemas.openxmlformats.org/officeDocument/2006/relationships/hyperlink" Target="https://unfccc.int/documents/645149" TargetMode="External"/><Relationship Id="rId34" Type="http://schemas.openxmlformats.org/officeDocument/2006/relationships/hyperlink" Target="https://doi.org/10.1016/j.jpolmod.2022.08.006" TargetMode="External"/><Relationship Id="rId42" Type="http://schemas.openxmlformats.org/officeDocument/2006/relationships/hyperlink" Target="https://doi.org/10.3390/app15084364" TargetMode="External"/><Relationship Id="rId7" Type="http://schemas.openxmlformats.org/officeDocument/2006/relationships/image" Target="media/image1.png"/><Relationship Id="rId12" Type="http://schemas.openxmlformats.org/officeDocument/2006/relationships/hyperlink" Target="https://www.bcg.com/publications/2021/prioritizing-societal-well-being-seda-report" TargetMode="External"/><Relationship Id="rId17" Type="http://schemas.openxmlformats.org/officeDocument/2006/relationships/hyperlink" Target="https://ghgprotocol.org/sites/default/files/2022-12/Sustainable-Development-Assessment-Guide-1.pdf" TargetMode="External"/><Relationship Id="rId25" Type="http://schemas.openxmlformats.org/officeDocument/2006/relationships/hyperlink" Target="https://mospi.gov.in/" TargetMode="External"/><Relationship Id="rId33" Type="http://schemas.openxmlformats.org/officeDocument/2006/relationships/hyperlink" Target="https://www.bcg.com/publications/2019/seda-measuring-well-being" TargetMode="External"/><Relationship Id="rId38" Type="http://schemas.openxmlformats.org/officeDocument/2006/relationships/hyperlink" Target="https://unfccc.int/ndc-synthesis-report-2023" TargetMode="External"/><Relationship Id="rId2" Type="http://schemas.openxmlformats.org/officeDocument/2006/relationships/styles" Target="styles.xml"/><Relationship Id="rId16" Type="http://schemas.openxmlformats.org/officeDocument/2006/relationships/hyperlink" Target="https://www.indiabudget.gov.in/budget2019-20/economicsurvey/doc/vol2chapter/echap05_vol2.pdf" TargetMode="External"/><Relationship Id="rId20" Type="http://schemas.openxmlformats.org/officeDocument/2006/relationships/hyperlink" Target="https://doi.org/10.1016/j.jclepro.2021.123134" TargetMode="External"/><Relationship Id="rId29" Type="http://schemas.openxmlformats.org/officeDocument/2006/relationships/hyperlink" Target="https://labour.gov.in/" TargetMode="External"/><Relationship Id="rId41" Type="http://schemas.openxmlformats.org/officeDocument/2006/relationships/hyperlink" Target="https://doi.org/10.1007/s10479-024-06189-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g.com/publications/2019/seda-measuring-well-being" TargetMode="External"/><Relationship Id="rId24" Type="http://schemas.openxmlformats.org/officeDocument/2006/relationships/hyperlink" Target="https://mospi.gov.in/" TargetMode="External"/><Relationship Id="rId32" Type="http://schemas.openxmlformats.org/officeDocument/2006/relationships/hyperlink" Target="https://pib.gov.in/" TargetMode="External"/><Relationship Id="rId37" Type="http://schemas.openxmlformats.org/officeDocument/2006/relationships/hyperlink" Target="https://unesco.org/en/articles/countries-recommend-prioritizing-economic-sectors-and-broad-multistakeholder-participation-start" TargetMode="External"/><Relationship Id="rId40" Type="http://schemas.openxmlformats.org/officeDocument/2006/relationships/hyperlink" Target="https://unfccc.int/about-us/2023-highlight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wermin.gov.in/" TargetMode="External"/><Relationship Id="rId23" Type="http://schemas.openxmlformats.org/officeDocument/2006/relationships/hyperlink" Target="https://www.mospi.gov.in/" TargetMode="External"/><Relationship Id="rId28" Type="http://schemas.openxmlformats.org/officeDocument/2006/relationships/hyperlink" Target="https://www.mospi.gov.in/" TargetMode="External"/><Relationship Id="rId36" Type="http://schemas.openxmlformats.org/officeDocument/2006/relationships/hyperlink" Target="https://unesco.org/en/articles/countries-recommend-prioritizing-economic-sectors-and-broad-multistakeholder-participation-start" TargetMode="External"/><Relationship Id="rId10" Type="http://schemas.openxmlformats.org/officeDocument/2006/relationships/hyperlink" Target="https://doi.org/10.1016/j.jclepro.2022.134313**" TargetMode="External"/><Relationship Id="rId19" Type="http://schemas.openxmlformats.org/officeDocument/2006/relationships/hyperlink" Target="https://www.iea.org/" TargetMode="External"/><Relationship Id="rId31" Type="http://schemas.openxmlformats.org/officeDocument/2006/relationships/hyperlink" Target="https://pib.gov.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news.com/" TargetMode="External"/><Relationship Id="rId14" Type="http://schemas.openxmlformats.org/officeDocument/2006/relationships/hyperlink" Target="https://www.cmie.com/" TargetMode="External"/><Relationship Id="rId22" Type="http://schemas.openxmlformats.org/officeDocument/2006/relationships/hyperlink" Target="https://www.indiabudget.gov.in/economicsurvey" TargetMode="External"/><Relationship Id="rId27" Type="http://schemas.openxmlformats.org/officeDocument/2006/relationships/hyperlink" Target="https://niti.gov.in/sites/default/files/2020-07/SDG-India-Index-2.0.pdf" TargetMode="External"/><Relationship Id="rId30" Type="http://schemas.openxmlformats.org/officeDocument/2006/relationships/hyperlink" Target="https://pib.gov.in/" TargetMode="External"/><Relationship Id="rId35" Type="http://schemas.openxmlformats.org/officeDocument/2006/relationships/hyperlink" Target="https://doi.org/10.3390/su1302088"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29</Pages>
  <Words>5854</Words>
  <Characters>39285</Characters>
  <Application>Microsoft Office Word</Application>
  <DocSecurity>0</DocSecurity>
  <Lines>958</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Editor-17</cp:lastModifiedBy>
  <cp:revision>130</cp:revision>
  <dcterms:created xsi:type="dcterms:W3CDTF">2025-05-05T18:26:00Z</dcterms:created>
  <dcterms:modified xsi:type="dcterms:W3CDTF">2025-08-04T12:57:00Z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d23efb31-b48d-4fac-93e2-2fb4e28fd85f</vt:lpwstr>
  </property>
</Properties>
</file>