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096C" w14:textId="72D10BF7" w:rsidR="007126C4" w:rsidRDefault="007126C4" w:rsidP="0017036B">
      <w:pPr>
        <w:jc w:val="center"/>
        <w:rPr>
          <w:rFonts w:ascii="Times New Roman" w:hAnsi="Times New Roman" w:cs="Times New Roman"/>
          <w:b/>
          <w:bCs/>
          <w:sz w:val="24"/>
          <w:lang w:val="en-US"/>
        </w:rPr>
      </w:pPr>
    </w:p>
    <w:p w14:paraId="7FE09F09" w14:textId="77777777" w:rsidR="007126C4" w:rsidRDefault="007126C4" w:rsidP="0017036B">
      <w:pPr>
        <w:jc w:val="center"/>
        <w:rPr>
          <w:rFonts w:ascii="Times New Roman" w:hAnsi="Times New Roman" w:cs="Times New Roman"/>
          <w:b/>
          <w:bCs/>
          <w:sz w:val="24"/>
          <w:lang w:val="en-US"/>
        </w:rPr>
      </w:pPr>
    </w:p>
    <w:p w14:paraId="1ADA74C9" w14:textId="35F129E2" w:rsidR="007126C4" w:rsidRPr="00020F96" w:rsidRDefault="007126C4" w:rsidP="0017036B">
      <w:pPr>
        <w:jc w:val="center"/>
        <w:rPr>
          <w:rFonts w:ascii="Times New Roman" w:hAnsi="Times New Roman" w:cs="Times New Roman"/>
          <w:b/>
          <w:bCs/>
          <w:sz w:val="28"/>
          <w:szCs w:val="28"/>
          <w:lang w:val="en-US"/>
        </w:rPr>
      </w:pPr>
      <w:r w:rsidRPr="00020F96">
        <w:rPr>
          <w:rFonts w:ascii="Arial" w:hAnsi="Arial" w:cs="Arial"/>
          <w:b/>
          <w:bCs/>
          <w:sz w:val="28"/>
          <w:szCs w:val="28"/>
          <w:highlight w:val="yellow"/>
          <w:lang w:val="en-GB"/>
        </w:rPr>
        <w:t xml:space="preserve">Market Behaviour and Price-Arrival Integration of </w:t>
      </w:r>
      <w:proofErr w:type="spellStart"/>
      <w:r w:rsidRPr="00020F96">
        <w:rPr>
          <w:rFonts w:ascii="Arial" w:hAnsi="Arial" w:cs="Arial"/>
          <w:b/>
          <w:bCs/>
          <w:sz w:val="28"/>
          <w:szCs w:val="28"/>
          <w:highlight w:val="yellow"/>
          <w:lang w:val="en-GB"/>
        </w:rPr>
        <w:t>Byadgi</w:t>
      </w:r>
      <w:proofErr w:type="spellEnd"/>
      <w:r w:rsidRPr="00020F96">
        <w:rPr>
          <w:rFonts w:ascii="Arial" w:hAnsi="Arial" w:cs="Arial"/>
          <w:b/>
          <w:bCs/>
          <w:sz w:val="28"/>
          <w:szCs w:val="28"/>
          <w:highlight w:val="yellow"/>
          <w:lang w:val="en-GB"/>
        </w:rPr>
        <w:t xml:space="preserve"> Chilli in Karnataka, India</w:t>
      </w:r>
    </w:p>
    <w:p w14:paraId="4F471E2F" w14:textId="388C482F" w:rsidR="005C075A" w:rsidRPr="00444B72" w:rsidRDefault="00444B72" w:rsidP="00444B72">
      <w:pPr>
        <w:rPr>
          <w:rFonts w:ascii="Arial" w:hAnsi="Arial" w:cs="Arial"/>
          <w:b/>
          <w:bCs/>
        </w:rPr>
      </w:pPr>
      <w:r w:rsidRPr="00444B72">
        <w:rPr>
          <w:rFonts w:ascii="Arial" w:hAnsi="Arial" w:cs="Arial"/>
          <w:b/>
          <w:bCs/>
        </w:rPr>
        <w:t>ABSTRACT</w:t>
      </w:r>
    </w:p>
    <w:p w14:paraId="06948550" w14:textId="20AD12E0" w:rsidR="00F34CA3" w:rsidRPr="004F46EE" w:rsidRDefault="008872B0" w:rsidP="00D30290">
      <w:pPr>
        <w:spacing w:line="360" w:lineRule="auto"/>
        <w:jc w:val="both"/>
        <w:rPr>
          <w:rFonts w:ascii="Arial" w:hAnsi="Arial" w:cs="Arial"/>
          <w:sz w:val="20"/>
          <w:szCs w:val="20"/>
        </w:rPr>
      </w:pPr>
      <w:r w:rsidRPr="00444B72">
        <w:rPr>
          <w:rFonts w:ascii="Arial" w:hAnsi="Arial" w:cs="Arial"/>
          <w:sz w:val="20"/>
          <w:szCs w:val="20"/>
        </w:rPr>
        <w:tab/>
      </w:r>
      <w:proofErr w:type="spellStart"/>
      <w:r w:rsidR="00EA5B98" w:rsidRPr="00EA5B98">
        <w:rPr>
          <w:rFonts w:ascii="Arial" w:hAnsi="Arial" w:cs="Arial"/>
          <w:sz w:val="20"/>
          <w:szCs w:val="20"/>
        </w:rPr>
        <w:t>Byadagi</w:t>
      </w:r>
      <w:proofErr w:type="spellEnd"/>
      <w:r w:rsidR="00EA5B98" w:rsidRPr="00EA5B98">
        <w:rPr>
          <w:rFonts w:ascii="Arial" w:hAnsi="Arial" w:cs="Arial"/>
          <w:sz w:val="20"/>
          <w:szCs w:val="20"/>
        </w:rPr>
        <w:t xml:space="preserve"> chilli (</w:t>
      </w:r>
      <w:r w:rsidR="00EA5B98" w:rsidRPr="00EA5B98">
        <w:rPr>
          <w:rFonts w:ascii="Arial" w:hAnsi="Arial" w:cs="Arial"/>
          <w:i/>
          <w:iCs/>
          <w:sz w:val="20"/>
          <w:szCs w:val="20"/>
        </w:rPr>
        <w:t>Capsicum spp.</w:t>
      </w:r>
      <w:r w:rsidR="00EA5B98" w:rsidRPr="00EA5B98">
        <w:rPr>
          <w:rFonts w:ascii="Arial" w:hAnsi="Arial" w:cs="Arial"/>
          <w:sz w:val="20"/>
          <w:szCs w:val="20"/>
        </w:rPr>
        <w:t xml:space="preserve">), known for its deep red </w:t>
      </w:r>
      <w:r w:rsidR="007C04CA" w:rsidRPr="00020F96">
        <w:rPr>
          <w:rFonts w:ascii="Arial" w:hAnsi="Arial" w:cs="Arial"/>
          <w:sz w:val="20"/>
          <w:szCs w:val="20"/>
          <w:highlight w:val="yellow"/>
        </w:rPr>
        <w:t>colour</w:t>
      </w:r>
      <w:r w:rsidR="00EA5B98" w:rsidRPr="00020F96">
        <w:rPr>
          <w:rFonts w:ascii="Arial" w:hAnsi="Arial" w:cs="Arial"/>
          <w:sz w:val="20"/>
          <w:szCs w:val="20"/>
          <w:highlight w:val="yellow"/>
        </w:rPr>
        <w:t>, wrinkled</w:t>
      </w:r>
      <w:r w:rsidR="00EA5B98" w:rsidRPr="00EA5B98">
        <w:rPr>
          <w:rFonts w:ascii="Arial" w:hAnsi="Arial" w:cs="Arial"/>
          <w:sz w:val="20"/>
          <w:szCs w:val="20"/>
        </w:rPr>
        <w:t xml:space="preserve"> texture, and mild pungency, holds significant commercial value in India. Cultivated primarily in Karnataka, it is valued for its high oleoresin content, used in food, cosmetics, and pharmaceuticals. The Geographical Indication (GI) status (GI No. 129), granted in February 2011, has boosted its market value. This study </w:t>
      </w:r>
      <w:r w:rsidR="00A923BC" w:rsidRPr="00EA5B98">
        <w:rPr>
          <w:rFonts w:ascii="Arial" w:hAnsi="Arial" w:cs="Arial"/>
          <w:sz w:val="20"/>
          <w:szCs w:val="20"/>
        </w:rPr>
        <w:t>analyses</w:t>
      </w:r>
      <w:r w:rsidR="00EA5B98" w:rsidRPr="00EA5B98">
        <w:rPr>
          <w:rFonts w:ascii="Arial" w:hAnsi="Arial" w:cs="Arial"/>
          <w:sz w:val="20"/>
          <w:szCs w:val="20"/>
        </w:rPr>
        <w:t xml:space="preserve"> the market integration of </w:t>
      </w:r>
      <w:proofErr w:type="spellStart"/>
      <w:r w:rsidR="00EA5B98" w:rsidRPr="00EA5B98">
        <w:rPr>
          <w:rFonts w:ascii="Arial" w:hAnsi="Arial" w:cs="Arial"/>
          <w:sz w:val="20"/>
          <w:szCs w:val="20"/>
        </w:rPr>
        <w:t>Byadagi</w:t>
      </w:r>
      <w:proofErr w:type="spellEnd"/>
      <w:r w:rsidR="00EA5B98" w:rsidRPr="00EA5B98">
        <w:rPr>
          <w:rFonts w:ascii="Arial" w:hAnsi="Arial" w:cs="Arial"/>
          <w:sz w:val="20"/>
          <w:szCs w:val="20"/>
        </w:rPr>
        <w:t xml:space="preserve"> chilli across Bangalore, Hubli, and Byadgi markets using 25 years of secondary data (January 2000 to January 2025) from Karnataka Krishimaratavahini.</w:t>
      </w:r>
      <w:r w:rsidR="00DD5739">
        <w:rPr>
          <w:rFonts w:ascii="Arial" w:hAnsi="Arial" w:cs="Arial"/>
          <w:sz w:val="20"/>
          <w:szCs w:val="20"/>
        </w:rPr>
        <w:t xml:space="preserve"> </w:t>
      </w:r>
      <w:r w:rsidR="00E231EE" w:rsidRPr="00020F96">
        <w:rPr>
          <w:rFonts w:ascii="Arial" w:hAnsi="Arial" w:cs="Arial"/>
          <w:sz w:val="20"/>
          <w:szCs w:val="20"/>
          <w:highlight w:val="yellow"/>
          <w:lang w:val="en-US"/>
        </w:rPr>
        <w:t xml:space="preserve">Ex post Facto Research was conducted to study the market integration of </w:t>
      </w:r>
      <w:proofErr w:type="spellStart"/>
      <w:r w:rsidR="00E231EE" w:rsidRPr="00020F96">
        <w:rPr>
          <w:rFonts w:ascii="Arial" w:hAnsi="Arial" w:cs="Arial"/>
          <w:sz w:val="20"/>
          <w:szCs w:val="20"/>
          <w:highlight w:val="yellow"/>
          <w:lang w:val="en-US"/>
        </w:rPr>
        <w:t>Byadagi</w:t>
      </w:r>
      <w:proofErr w:type="spellEnd"/>
      <w:r w:rsidR="00E231EE" w:rsidRPr="00020F96">
        <w:rPr>
          <w:rFonts w:ascii="Arial" w:hAnsi="Arial" w:cs="Arial"/>
          <w:sz w:val="20"/>
          <w:szCs w:val="20"/>
          <w:highlight w:val="yellow"/>
          <w:lang w:val="en-US"/>
        </w:rPr>
        <w:t xml:space="preserve"> </w:t>
      </w:r>
      <w:proofErr w:type="spellStart"/>
      <w:r w:rsidR="00E231EE" w:rsidRPr="00020F96">
        <w:rPr>
          <w:rFonts w:ascii="Arial" w:hAnsi="Arial" w:cs="Arial"/>
          <w:sz w:val="20"/>
          <w:szCs w:val="20"/>
          <w:highlight w:val="yellow"/>
          <w:lang w:val="en-US"/>
        </w:rPr>
        <w:t>chilli</w:t>
      </w:r>
      <w:proofErr w:type="spellEnd"/>
      <w:r w:rsidR="00E231EE" w:rsidRPr="00020F96">
        <w:rPr>
          <w:rFonts w:ascii="Arial" w:hAnsi="Arial" w:cs="Arial"/>
          <w:sz w:val="20"/>
          <w:szCs w:val="20"/>
          <w:highlight w:val="yellow"/>
          <w:lang w:val="en-US"/>
        </w:rPr>
        <w:t>. The study was purely based on secondary data</w:t>
      </w:r>
      <w:r w:rsidR="00E231EE" w:rsidRPr="00020F96">
        <w:rPr>
          <w:rFonts w:ascii="Arial" w:hAnsi="Arial" w:cs="Arial"/>
          <w:sz w:val="20"/>
          <w:szCs w:val="20"/>
          <w:highlight w:val="yellow"/>
        </w:rPr>
        <w:t xml:space="preserve">. </w:t>
      </w:r>
      <w:r w:rsidR="00E231EE" w:rsidRPr="00020F96">
        <w:rPr>
          <w:rFonts w:ascii="Arial" w:hAnsi="Arial" w:cs="Arial"/>
          <w:sz w:val="20"/>
          <w:szCs w:val="20"/>
          <w:highlight w:val="yellow"/>
          <w:lang w:val="en-US"/>
        </w:rPr>
        <w:t>The data was collected for 25 years from January 2000 to January 2025.</w:t>
      </w:r>
      <w:r w:rsidR="00E231EE" w:rsidRPr="00020F96">
        <w:rPr>
          <w:rFonts w:ascii="Arial" w:hAnsi="Arial" w:cs="Arial"/>
          <w:sz w:val="20"/>
          <w:szCs w:val="20"/>
          <w:highlight w:val="yellow"/>
        </w:rPr>
        <w:t xml:space="preserve"> </w:t>
      </w:r>
      <w:r w:rsidR="00E231EE" w:rsidRPr="00020F96">
        <w:rPr>
          <w:rFonts w:ascii="Arial" w:hAnsi="Arial" w:cs="Arial"/>
          <w:sz w:val="20"/>
          <w:szCs w:val="20"/>
          <w:highlight w:val="yellow"/>
          <w:lang w:val="en-US"/>
        </w:rPr>
        <w:t>Various statistical/econometric analytical techniques were used.</w:t>
      </w:r>
      <w:r w:rsidR="00E231EE" w:rsidRPr="00E231EE">
        <w:rPr>
          <w:rFonts w:ascii="Arial" w:hAnsi="Arial" w:cs="Arial"/>
          <w:sz w:val="20"/>
          <w:szCs w:val="20"/>
          <w:lang w:val="en-US"/>
        </w:rPr>
        <w:t xml:space="preserve"> </w:t>
      </w:r>
      <w:r w:rsidR="00EA5B98" w:rsidRPr="00EA5B98">
        <w:rPr>
          <w:rFonts w:ascii="Arial" w:hAnsi="Arial" w:cs="Arial"/>
          <w:sz w:val="20"/>
          <w:szCs w:val="20"/>
        </w:rPr>
        <w:t xml:space="preserve">The ADF test results indicated that the actual price series for Bangalore and Hubli markets were non-stationary, while the Byadgi market series was stationary. After differencing, the series became stationary across all markets. Johansen's co-integration test revealed significant long-term relationships among the markets, indicating strong price linkages. </w:t>
      </w:r>
      <w:r w:rsidR="00DD5739" w:rsidRPr="00020F96">
        <w:rPr>
          <w:rFonts w:ascii="Arial" w:hAnsi="Arial" w:cs="Arial"/>
          <w:sz w:val="20"/>
          <w:szCs w:val="20"/>
          <w:highlight w:val="yellow"/>
        </w:rPr>
        <w:t>The</w:t>
      </w:r>
      <w:r w:rsidR="00EA5B98" w:rsidRPr="00020F96">
        <w:rPr>
          <w:rFonts w:ascii="Arial" w:hAnsi="Arial" w:cs="Arial"/>
          <w:sz w:val="20"/>
          <w:szCs w:val="20"/>
          <w:highlight w:val="yellow"/>
        </w:rPr>
        <w:t xml:space="preserve"> </w:t>
      </w:r>
      <w:proofErr w:type="spellStart"/>
      <w:r w:rsidR="00EA5B98" w:rsidRPr="00020F96">
        <w:rPr>
          <w:rFonts w:ascii="Arial" w:hAnsi="Arial" w:cs="Arial"/>
          <w:sz w:val="20"/>
          <w:szCs w:val="20"/>
          <w:highlight w:val="yellow"/>
        </w:rPr>
        <w:t>Byadgi</w:t>
      </w:r>
      <w:proofErr w:type="spellEnd"/>
      <w:r w:rsidR="00EA5B98" w:rsidRPr="00EA5B98">
        <w:rPr>
          <w:rFonts w:ascii="Arial" w:hAnsi="Arial" w:cs="Arial"/>
          <w:sz w:val="20"/>
          <w:szCs w:val="20"/>
        </w:rPr>
        <w:t xml:space="preserve"> market showed weaker adjustment, suggesting the influence of external factors or market inefficiencies. Granger causality tests demonstrated a bidirectional causality between Bangalore and Hubli markets, indicating mutual price </w:t>
      </w:r>
      <w:r w:rsidR="00EA5B98" w:rsidRPr="00020F96">
        <w:rPr>
          <w:rFonts w:ascii="Arial" w:hAnsi="Arial" w:cs="Arial"/>
          <w:sz w:val="20"/>
          <w:szCs w:val="20"/>
          <w:highlight w:val="yellow"/>
        </w:rPr>
        <w:t>influence. The</w:t>
      </w:r>
      <w:r w:rsidR="00EA5B98" w:rsidRPr="00EA5B98">
        <w:rPr>
          <w:rFonts w:ascii="Arial" w:hAnsi="Arial" w:cs="Arial"/>
          <w:sz w:val="20"/>
          <w:szCs w:val="20"/>
        </w:rPr>
        <w:t xml:space="preserve"> findings suggest that strengthening market infrastructure, improving information flow, and fostering better price discovery mechanisms are critical for enhancing market efficiency and farmer profitability. Policy interventions aimed at reducing market fragmentation and improving logistical and financial support could help </w:t>
      </w:r>
      <w:r w:rsidR="00DD5739" w:rsidRPr="00020F96">
        <w:rPr>
          <w:rFonts w:ascii="Arial" w:hAnsi="Arial" w:cs="Arial"/>
          <w:sz w:val="20"/>
          <w:szCs w:val="20"/>
          <w:highlight w:val="yellow"/>
        </w:rPr>
        <w:t xml:space="preserve">stabilise </w:t>
      </w:r>
      <w:r w:rsidR="00EA5B98" w:rsidRPr="00020F96">
        <w:rPr>
          <w:rFonts w:ascii="Arial" w:hAnsi="Arial" w:cs="Arial"/>
          <w:sz w:val="20"/>
          <w:szCs w:val="20"/>
          <w:highlight w:val="yellow"/>
        </w:rPr>
        <w:t>prices</w:t>
      </w:r>
      <w:r w:rsidR="00EA5B98" w:rsidRPr="00EA5B98">
        <w:rPr>
          <w:rFonts w:ascii="Arial" w:hAnsi="Arial" w:cs="Arial"/>
          <w:sz w:val="20"/>
          <w:szCs w:val="20"/>
        </w:rPr>
        <w:t xml:space="preserve"> and increase farmer incomes. These insights provide valuable guidance for policymakers, traders, and stakeholders involved in the Byadgi chilli value chain.</w:t>
      </w:r>
    </w:p>
    <w:p w14:paraId="527E940C" w14:textId="6FE8A3A9" w:rsidR="00B706C6" w:rsidRPr="00444B72" w:rsidRDefault="00AF1E9C" w:rsidP="00D30290">
      <w:pPr>
        <w:spacing w:line="360" w:lineRule="auto"/>
        <w:jc w:val="both"/>
        <w:rPr>
          <w:rFonts w:ascii="Arial" w:hAnsi="Arial" w:cs="Arial"/>
          <w:i/>
          <w:iCs/>
          <w:sz w:val="20"/>
          <w:szCs w:val="20"/>
        </w:rPr>
      </w:pPr>
      <w:r w:rsidRPr="00020F96">
        <w:rPr>
          <w:rFonts w:ascii="Arial" w:hAnsi="Arial" w:cs="Arial"/>
          <w:b/>
          <w:bCs/>
          <w:sz w:val="20"/>
          <w:szCs w:val="20"/>
        </w:rPr>
        <w:t>Keywords</w:t>
      </w:r>
      <w:r w:rsidR="00F34CA3" w:rsidRPr="00444B72">
        <w:rPr>
          <w:rFonts w:ascii="Arial" w:hAnsi="Arial" w:cs="Arial"/>
          <w:i/>
          <w:iCs/>
          <w:sz w:val="20"/>
          <w:szCs w:val="20"/>
        </w:rPr>
        <w:t>:</w:t>
      </w:r>
      <w:r w:rsidR="004F46EE">
        <w:rPr>
          <w:rFonts w:ascii="Arial" w:hAnsi="Arial" w:cs="Arial"/>
          <w:i/>
          <w:iCs/>
          <w:sz w:val="20"/>
          <w:szCs w:val="20"/>
        </w:rPr>
        <w:t xml:space="preserve"> Augmented </w:t>
      </w:r>
      <w:r w:rsidR="004F46EE" w:rsidRPr="00020F96">
        <w:rPr>
          <w:rFonts w:ascii="Arial" w:hAnsi="Arial" w:cs="Arial"/>
          <w:i/>
          <w:iCs/>
          <w:sz w:val="20"/>
          <w:szCs w:val="20"/>
          <w:highlight w:val="yellow"/>
        </w:rPr>
        <w:t xml:space="preserve">Dickey </w:t>
      </w:r>
      <w:r w:rsidR="00B706C6" w:rsidRPr="00020F96">
        <w:rPr>
          <w:rFonts w:ascii="Arial" w:hAnsi="Arial" w:cs="Arial"/>
          <w:i/>
          <w:iCs/>
          <w:sz w:val="20"/>
          <w:szCs w:val="20"/>
          <w:highlight w:val="yellow"/>
        </w:rPr>
        <w:t xml:space="preserve">Fuller </w:t>
      </w:r>
      <w:r w:rsidR="004F46EE" w:rsidRPr="00020F96">
        <w:rPr>
          <w:rFonts w:ascii="Arial" w:hAnsi="Arial" w:cs="Arial"/>
          <w:i/>
          <w:iCs/>
          <w:sz w:val="20"/>
          <w:szCs w:val="20"/>
          <w:highlight w:val="yellow"/>
        </w:rPr>
        <w:t>test</w:t>
      </w:r>
      <w:r w:rsidR="004F46EE">
        <w:rPr>
          <w:rFonts w:ascii="Arial" w:hAnsi="Arial" w:cs="Arial"/>
          <w:i/>
          <w:iCs/>
          <w:sz w:val="20"/>
          <w:szCs w:val="20"/>
        </w:rPr>
        <w:t xml:space="preserve">, Johansen Cointegration test, </w:t>
      </w:r>
      <w:r w:rsidR="004F46EE" w:rsidRPr="00020F96">
        <w:rPr>
          <w:rFonts w:ascii="Arial" w:hAnsi="Arial" w:cs="Arial"/>
          <w:i/>
          <w:iCs/>
          <w:sz w:val="20"/>
          <w:szCs w:val="20"/>
          <w:highlight w:val="yellow"/>
        </w:rPr>
        <w:t>G</w:t>
      </w:r>
      <w:r w:rsidR="00143B86" w:rsidRPr="00020F96">
        <w:rPr>
          <w:rFonts w:ascii="Arial" w:hAnsi="Arial" w:cs="Arial"/>
          <w:i/>
          <w:iCs/>
          <w:sz w:val="20"/>
          <w:szCs w:val="20"/>
          <w:highlight w:val="yellow"/>
        </w:rPr>
        <w:t>r</w:t>
      </w:r>
      <w:r w:rsidR="004F46EE" w:rsidRPr="00020F96">
        <w:rPr>
          <w:rFonts w:ascii="Arial" w:hAnsi="Arial" w:cs="Arial"/>
          <w:i/>
          <w:iCs/>
          <w:sz w:val="20"/>
          <w:szCs w:val="20"/>
          <w:highlight w:val="yellow"/>
        </w:rPr>
        <w:t>anger</w:t>
      </w:r>
      <w:r w:rsidR="004F46EE">
        <w:rPr>
          <w:rFonts w:ascii="Arial" w:hAnsi="Arial" w:cs="Arial"/>
          <w:i/>
          <w:iCs/>
          <w:sz w:val="20"/>
          <w:szCs w:val="20"/>
        </w:rPr>
        <w:t xml:space="preserve"> </w:t>
      </w:r>
      <w:r w:rsidR="00143B86">
        <w:rPr>
          <w:rFonts w:ascii="Arial" w:hAnsi="Arial" w:cs="Arial"/>
          <w:i/>
          <w:iCs/>
          <w:sz w:val="20"/>
          <w:szCs w:val="20"/>
        </w:rPr>
        <w:t>causality</w:t>
      </w:r>
      <w:r w:rsidR="004F46EE">
        <w:rPr>
          <w:rFonts w:ascii="Arial" w:hAnsi="Arial" w:cs="Arial"/>
          <w:i/>
          <w:iCs/>
          <w:sz w:val="20"/>
          <w:szCs w:val="20"/>
        </w:rPr>
        <w:t xml:space="preserve"> test</w:t>
      </w:r>
      <w:r w:rsidR="00B706C6" w:rsidRPr="00020F96">
        <w:rPr>
          <w:rFonts w:ascii="Arial" w:hAnsi="Arial" w:cs="Arial"/>
          <w:i/>
          <w:iCs/>
          <w:sz w:val="20"/>
          <w:szCs w:val="20"/>
          <w:highlight w:val="yellow"/>
        </w:rPr>
        <w:t>, Market Integration, Spice trade, Karnatak Agriculture</w:t>
      </w:r>
      <w:r w:rsidR="00B706C6" w:rsidRPr="00B706C6">
        <w:rPr>
          <w:rFonts w:ascii="Arial" w:hAnsi="Arial" w:cs="Arial"/>
          <w:i/>
          <w:iCs/>
          <w:sz w:val="20"/>
          <w:szCs w:val="20"/>
        </w:rPr>
        <w:t xml:space="preserve"> </w:t>
      </w:r>
    </w:p>
    <w:p w14:paraId="54F0F648" w14:textId="460D6BCF" w:rsidR="00132679" w:rsidRPr="00020F96" w:rsidRDefault="00132679" w:rsidP="00020F96">
      <w:pPr>
        <w:pStyle w:val="ListParagraph"/>
        <w:numPr>
          <w:ilvl w:val="0"/>
          <w:numId w:val="13"/>
        </w:numPr>
        <w:spacing w:line="360" w:lineRule="auto"/>
        <w:jc w:val="both"/>
        <w:rPr>
          <w:rFonts w:ascii="Arial" w:hAnsi="Arial" w:cs="Arial"/>
          <w:b/>
          <w:bCs/>
        </w:rPr>
      </w:pPr>
      <w:r w:rsidRPr="00020F96">
        <w:rPr>
          <w:rFonts w:ascii="Arial" w:hAnsi="Arial" w:cs="Arial"/>
          <w:b/>
          <w:bCs/>
        </w:rPr>
        <w:t>Introduction</w:t>
      </w:r>
    </w:p>
    <w:p w14:paraId="751F923A" w14:textId="642FD804" w:rsidR="00EA5B98" w:rsidRPr="00020F96" w:rsidRDefault="00EA5B98" w:rsidP="00020F96">
      <w:pPr>
        <w:spacing w:line="360" w:lineRule="auto"/>
        <w:jc w:val="both"/>
        <w:rPr>
          <w:rFonts w:ascii="Arial" w:hAnsi="Arial" w:cs="Arial"/>
          <w:i/>
          <w:iCs/>
          <w:sz w:val="20"/>
          <w:szCs w:val="20"/>
          <w:highlight w:val="yellow"/>
          <w:lang w:val="en-US"/>
        </w:rPr>
      </w:pPr>
      <w:r w:rsidRPr="00020F96">
        <w:rPr>
          <w:rFonts w:ascii="Arial" w:hAnsi="Arial" w:cs="Arial"/>
          <w:sz w:val="20"/>
          <w:szCs w:val="20"/>
        </w:rPr>
        <w:t>Chilli (</w:t>
      </w:r>
      <w:r w:rsidRPr="00020F96">
        <w:rPr>
          <w:rFonts w:ascii="Arial" w:hAnsi="Arial" w:cs="Arial"/>
          <w:i/>
          <w:iCs/>
          <w:sz w:val="20"/>
          <w:szCs w:val="20"/>
        </w:rPr>
        <w:t xml:space="preserve">Capsicum </w:t>
      </w:r>
      <w:r w:rsidR="004F46EE" w:rsidRPr="00020F96">
        <w:rPr>
          <w:rFonts w:ascii="Arial" w:hAnsi="Arial" w:cs="Arial"/>
          <w:i/>
          <w:iCs/>
          <w:sz w:val="20"/>
          <w:szCs w:val="20"/>
        </w:rPr>
        <w:t>annum</w:t>
      </w:r>
      <w:r w:rsidR="004F46EE" w:rsidRPr="00020F96">
        <w:rPr>
          <w:rFonts w:ascii="Arial" w:hAnsi="Arial" w:cs="Arial"/>
          <w:sz w:val="20"/>
          <w:szCs w:val="20"/>
        </w:rPr>
        <w:t xml:space="preserve"> L</w:t>
      </w:r>
      <w:r w:rsidRPr="00020F96">
        <w:rPr>
          <w:rFonts w:ascii="Arial" w:hAnsi="Arial" w:cs="Arial"/>
          <w:sz w:val="20"/>
          <w:szCs w:val="20"/>
        </w:rPr>
        <w:t xml:space="preserve">.) is one of the most important commercial spice crops, widely cultivated by small and marginal farmers in Asia, Africa, and South America. </w:t>
      </w:r>
      <w:r w:rsidR="008474F5" w:rsidRPr="00020F96">
        <w:rPr>
          <w:rFonts w:ascii="Arial" w:hAnsi="Arial" w:cs="Arial"/>
          <w:sz w:val="20"/>
          <w:szCs w:val="20"/>
          <w:highlight w:val="yellow"/>
          <w:lang w:val="en-US"/>
        </w:rPr>
        <w:t xml:space="preserve">In India, due to continuous cultivation of </w:t>
      </w:r>
      <w:r w:rsidR="008474F5" w:rsidRPr="00020F96">
        <w:rPr>
          <w:rFonts w:ascii="Arial" w:hAnsi="Arial" w:cs="Arial"/>
          <w:i/>
          <w:iCs/>
          <w:sz w:val="20"/>
          <w:szCs w:val="20"/>
          <w:highlight w:val="yellow"/>
          <w:lang w:val="en-US"/>
        </w:rPr>
        <w:t xml:space="preserve">Capsicum </w:t>
      </w:r>
      <w:r w:rsidR="008474F5" w:rsidRPr="00020F96">
        <w:rPr>
          <w:rFonts w:ascii="Arial" w:hAnsi="Arial" w:cs="Arial"/>
          <w:sz w:val="20"/>
          <w:szCs w:val="20"/>
          <w:highlight w:val="yellow"/>
          <w:lang w:val="en-US"/>
        </w:rPr>
        <w:t>sp. for about 500 years and the crop being often crosspollinated, a number of landraces have evolved (</w:t>
      </w:r>
      <w:r w:rsidR="005B4DA6" w:rsidRPr="00020F96">
        <w:rPr>
          <w:rFonts w:ascii="Arial" w:hAnsi="Arial" w:cs="Arial"/>
          <w:color w:val="222222"/>
          <w:sz w:val="20"/>
          <w:szCs w:val="20"/>
          <w:highlight w:val="yellow"/>
          <w:shd w:val="clear" w:color="auto" w:fill="FFFFFF"/>
        </w:rPr>
        <w:t xml:space="preserve">Reddy &amp; </w:t>
      </w:r>
      <w:proofErr w:type="spellStart"/>
      <w:r w:rsidR="005B4DA6" w:rsidRPr="00020F96">
        <w:rPr>
          <w:rFonts w:ascii="Arial" w:hAnsi="Arial" w:cs="Arial"/>
          <w:color w:val="222222"/>
          <w:sz w:val="20"/>
          <w:szCs w:val="20"/>
          <w:highlight w:val="yellow"/>
          <w:shd w:val="clear" w:color="auto" w:fill="FFFFFF"/>
        </w:rPr>
        <w:t>Ponnam</w:t>
      </w:r>
      <w:proofErr w:type="spellEnd"/>
      <w:r w:rsidR="005B4DA6" w:rsidRPr="00020F96">
        <w:rPr>
          <w:rFonts w:ascii="Arial" w:hAnsi="Arial" w:cs="Arial"/>
          <w:color w:val="222222"/>
          <w:sz w:val="20"/>
          <w:szCs w:val="20"/>
          <w:highlight w:val="yellow"/>
          <w:shd w:val="clear" w:color="auto" w:fill="FFFFFF"/>
        </w:rPr>
        <w:t>, 2023</w:t>
      </w:r>
      <w:r w:rsidR="008474F5" w:rsidRPr="00020F96">
        <w:rPr>
          <w:rFonts w:ascii="Arial" w:hAnsi="Arial" w:cs="Arial"/>
          <w:sz w:val="20"/>
          <w:szCs w:val="20"/>
          <w:highlight w:val="yellow"/>
          <w:lang w:val="en-US"/>
        </w:rPr>
        <w:t>).</w:t>
      </w:r>
      <w:r w:rsidR="008474F5" w:rsidRPr="00020F96">
        <w:rPr>
          <w:rFonts w:ascii="Arial" w:hAnsi="Arial" w:cs="Arial"/>
          <w:sz w:val="20"/>
          <w:szCs w:val="20"/>
          <w:lang w:val="en-US"/>
        </w:rPr>
        <w:t xml:space="preserve"> </w:t>
      </w:r>
      <w:r w:rsidRPr="00020F96">
        <w:rPr>
          <w:rFonts w:ascii="Arial" w:hAnsi="Arial" w:cs="Arial"/>
          <w:sz w:val="20"/>
          <w:szCs w:val="20"/>
        </w:rPr>
        <w:t xml:space="preserve">Among the various chilli varieties produced in India,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holds a significant place due to its distinctive deep red </w:t>
      </w:r>
      <w:r w:rsidR="005E2B8D" w:rsidRPr="00020F96">
        <w:rPr>
          <w:rFonts w:ascii="Arial" w:hAnsi="Arial" w:cs="Arial"/>
          <w:sz w:val="20"/>
          <w:szCs w:val="20"/>
          <w:highlight w:val="yellow"/>
        </w:rPr>
        <w:t>colour</w:t>
      </w:r>
      <w:r w:rsidRPr="00020F96">
        <w:rPr>
          <w:rFonts w:ascii="Arial" w:hAnsi="Arial" w:cs="Arial"/>
          <w:sz w:val="20"/>
          <w:szCs w:val="20"/>
          <w:highlight w:val="yellow"/>
        </w:rPr>
        <w:t>,</w:t>
      </w:r>
      <w:r w:rsidRPr="00020F96">
        <w:rPr>
          <w:rFonts w:ascii="Arial" w:hAnsi="Arial" w:cs="Arial"/>
          <w:sz w:val="20"/>
          <w:szCs w:val="20"/>
        </w:rPr>
        <w:t xml:space="preserve"> wrinkled texture, and mild pungency. Named after the town of Byadgi in the Haveri district of Karnataka,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is highly valued for its oleoresin content, which is widely used in the food, cosmetics, and pharmaceutical industries. The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market has witnessed substantial growth over the years, supported by its Geographical Indication (GI) status (GI No. 129), which was granted in February 2011.</w:t>
      </w:r>
    </w:p>
    <w:p w14:paraId="57399ECC" w14:textId="77777777" w:rsidR="00EA5B98" w:rsidRPr="00D30290" w:rsidRDefault="00EA5B98" w:rsidP="00D30290">
      <w:pPr>
        <w:pStyle w:val="ListParagraph"/>
        <w:spacing w:line="360" w:lineRule="auto"/>
        <w:jc w:val="both"/>
        <w:rPr>
          <w:rFonts w:ascii="Arial" w:hAnsi="Arial" w:cs="Arial"/>
          <w:sz w:val="20"/>
          <w:szCs w:val="20"/>
        </w:rPr>
      </w:pPr>
    </w:p>
    <w:p w14:paraId="588DEF52" w14:textId="42F4841A" w:rsidR="00EA5B98" w:rsidRPr="00020F96" w:rsidRDefault="00EA5B98" w:rsidP="00020F96">
      <w:pPr>
        <w:spacing w:line="360" w:lineRule="auto"/>
        <w:jc w:val="both"/>
        <w:rPr>
          <w:rFonts w:ascii="Arial" w:hAnsi="Arial" w:cs="Arial"/>
          <w:sz w:val="20"/>
          <w:szCs w:val="20"/>
        </w:rPr>
      </w:pPr>
      <w:r w:rsidRPr="00020F96">
        <w:rPr>
          <w:rFonts w:ascii="Arial" w:hAnsi="Arial" w:cs="Arial"/>
          <w:sz w:val="20"/>
          <w:szCs w:val="20"/>
        </w:rPr>
        <w:t xml:space="preserve">The market for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is </w:t>
      </w:r>
      <w:r w:rsidR="005E2B8D" w:rsidRPr="00020F96">
        <w:rPr>
          <w:rFonts w:ascii="Arial" w:hAnsi="Arial" w:cs="Arial"/>
          <w:sz w:val="20"/>
          <w:szCs w:val="20"/>
          <w:highlight w:val="yellow"/>
        </w:rPr>
        <w:t xml:space="preserve">characterised </w:t>
      </w:r>
      <w:r w:rsidRPr="00020F96">
        <w:rPr>
          <w:rFonts w:ascii="Arial" w:hAnsi="Arial" w:cs="Arial"/>
          <w:sz w:val="20"/>
          <w:szCs w:val="20"/>
          <w:highlight w:val="yellow"/>
        </w:rPr>
        <w:t>by</w:t>
      </w:r>
      <w:r w:rsidRPr="00020F96">
        <w:rPr>
          <w:rFonts w:ascii="Arial" w:hAnsi="Arial" w:cs="Arial"/>
          <w:sz w:val="20"/>
          <w:szCs w:val="20"/>
        </w:rPr>
        <w:t xml:space="preserve"> complex supply chain dynamics and price fluctuations influenced by domestic and international demand, production costs, and climatic conditions. </w:t>
      </w:r>
      <w:r w:rsidR="00C11ECA">
        <w:rPr>
          <w:rFonts w:ascii="Arial" w:hAnsi="Arial" w:cs="Arial"/>
          <w:sz w:val="20"/>
          <w:szCs w:val="20"/>
        </w:rPr>
        <w:t>“</w:t>
      </w:r>
      <w:proofErr w:type="spellStart"/>
      <w:r w:rsidR="00A64EEC" w:rsidRPr="00020F96">
        <w:rPr>
          <w:rFonts w:ascii="Arial" w:hAnsi="Arial" w:cs="Arial"/>
          <w:sz w:val="20"/>
          <w:szCs w:val="20"/>
          <w:highlight w:val="yellow"/>
        </w:rPr>
        <w:t>Byadagi</w:t>
      </w:r>
      <w:proofErr w:type="spellEnd"/>
      <w:r w:rsidR="00A64EEC" w:rsidRPr="00020F96">
        <w:rPr>
          <w:rFonts w:ascii="Arial" w:hAnsi="Arial" w:cs="Arial"/>
          <w:sz w:val="20"/>
          <w:szCs w:val="20"/>
          <w:highlight w:val="yellow"/>
        </w:rPr>
        <w:t xml:space="preserve"> chilli is also known for its deep red colour, less spiciness and </w:t>
      </w:r>
      <w:r w:rsidR="00DE347F" w:rsidRPr="00020F96">
        <w:rPr>
          <w:rFonts w:ascii="Arial" w:hAnsi="Arial" w:cs="Arial"/>
          <w:sz w:val="20"/>
          <w:szCs w:val="20"/>
          <w:highlight w:val="yellow"/>
        </w:rPr>
        <w:t xml:space="preserve">is </w:t>
      </w:r>
      <w:r w:rsidR="00A64EEC" w:rsidRPr="00020F96">
        <w:rPr>
          <w:rFonts w:ascii="Arial" w:hAnsi="Arial" w:cs="Arial"/>
          <w:sz w:val="20"/>
          <w:szCs w:val="20"/>
          <w:highlight w:val="yellow"/>
        </w:rPr>
        <w:t xml:space="preserve">used in many food preparations of South India. </w:t>
      </w:r>
      <w:proofErr w:type="spellStart"/>
      <w:r w:rsidR="00A64EEC" w:rsidRPr="00020F96">
        <w:rPr>
          <w:rFonts w:ascii="Arial" w:hAnsi="Arial" w:cs="Arial"/>
          <w:sz w:val="20"/>
          <w:szCs w:val="20"/>
          <w:highlight w:val="yellow"/>
        </w:rPr>
        <w:t>Byadagi</w:t>
      </w:r>
      <w:proofErr w:type="spellEnd"/>
      <w:r w:rsidR="00A64EEC" w:rsidRPr="00020F96">
        <w:rPr>
          <w:rFonts w:ascii="Arial" w:hAnsi="Arial" w:cs="Arial"/>
          <w:sz w:val="20"/>
          <w:szCs w:val="20"/>
          <w:highlight w:val="yellow"/>
        </w:rPr>
        <w:t xml:space="preserve"> chilli has been accorded Geographical Indication (GI) in February 2011. Its GI tag is 129</w:t>
      </w:r>
      <w:r w:rsidR="00C11ECA">
        <w:rPr>
          <w:rFonts w:ascii="Arial" w:hAnsi="Arial" w:cs="Arial"/>
          <w:sz w:val="20"/>
          <w:szCs w:val="20"/>
          <w:highlight w:val="yellow"/>
        </w:rPr>
        <w:t>”</w:t>
      </w:r>
      <w:r w:rsidR="00A64EEC" w:rsidRPr="00020F96">
        <w:rPr>
          <w:rFonts w:ascii="Arial" w:hAnsi="Arial" w:cs="Arial"/>
          <w:sz w:val="20"/>
          <w:szCs w:val="20"/>
          <w:highlight w:val="yellow"/>
        </w:rPr>
        <w:t xml:space="preserve"> (</w:t>
      </w:r>
      <w:proofErr w:type="spellStart"/>
      <w:r w:rsidR="00404E89" w:rsidRPr="00020F96">
        <w:rPr>
          <w:rFonts w:ascii="Arial" w:hAnsi="Arial" w:cs="Arial"/>
          <w:color w:val="222222"/>
          <w:sz w:val="20"/>
          <w:szCs w:val="20"/>
          <w:highlight w:val="yellow"/>
          <w:shd w:val="clear" w:color="auto" w:fill="FFFFFF"/>
        </w:rPr>
        <w:t>Bushetti</w:t>
      </w:r>
      <w:proofErr w:type="spellEnd"/>
      <w:r w:rsidR="00404E89" w:rsidRPr="00020F96">
        <w:rPr>
          <w:rFonts w:ascii="Arial" w:hAnsi="Arial" w:cs="Arial"/>
          <w:color w:val="222222"/>
          <w:sz w:val="20"/>
          <w:szCs w:val="20"/>
          <w:highlight w:val="yellow"/>
          <w:shd w:val="clear" w:color="auto" w:fill="FFFFFF"/>
        </w:rPr>
        <w:t xml:space="preserve"> &amp; Krishnamurthy, 2023</w:t>
      </w:r>
      <w:r w:rsidR="00A64EEC" w:rsidRPr="00020F96">
        <w:rPr>
          <w:rFonts w:ascii="Arial" w:hAnsi="Arial" w:cs="Arial"/>
          <w:sz w:val="20"/>
          <w:szCs w:val="20"/>
          <w:highlight w:val="yellow"/>
        </w:rPr>
        <w:t>).</w:t>
      </w:r>
      <w:r w:rsidR="00A64EEC" w:rsidRPr="00020F96">
        <w:rPr>
          <w:rFonts w:ascii="Arial" w:hAnsi="Arial" w:cs="Arial"/>
          <w:sz w:val="20"/>
          <w:szCs w:val="20"/>
        </w:rPr>
        <w:t xml:space="preserve"> </w:t>
      </w:r>
      <w:r w:rsidRPr="00020F96">
        <w:rPr>
          <w:rFonts w:ascii="Arial" w:hAnsi="Arial" w:cs="Arial"/>
          <w:sz w:val="20"/>
          <w:szCs w:val="20"/>
        </w:rPr>
        <w:t xml:space="preserve">Despite its economic significance, the degree of market integration among major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trading </w:t>
      </w:r>
      <w:r w:rsidR="005E2B8D" w:rsidRPr="00020F96">
        <w:rPr>
          <w:rFonts w:ascii="Arial" w:hAnsi="Arial" w:cs="Arial"/>
          <w:sz w:val="20"/>
          <w:szCs w:val="20"/>
          <w:highlight w:val="yellow"/>
        </w:rPr>
        <w:t xml:space="preserve">centres </w:t>
      </w:r>
      <w:proofErr w:type="gramStart"/>
      <w:r w:rsidR="004F46EE" w:rsidRPr="00020F96">
        <w:rPr>
          <w:rFonts w:ascii="Arial" w:hAnsi="Arial" w:cs="Arial"/>
          <w:sz w:val="20"/>
          <w:szCs w:val="20"/>
          <w:highlight w:val="yellow"/>
        </w:rPr>
        <w:t>rem</w:t>
      </w:r>
      <w:r w:rsidR="004F46EE" w:rsidRPr="00020F96">
        <w:rPr>
          <w:rFonts w:ascii="Arial" w:hAnsi="Arial" w:cs="Arial"/>
          <w:sz w:val="20"/>
          <w:szCs w:val="20"/>
        </w:rPr>
        <w:t>ain</w:t>
      </w:r>
      <w:r w:rsidR="00143B86" w:rsidRPr="00020F96">
        <w:rPr>
          <w:rFonts w:ascii="Arial" w:hAnsi="Arial" w:cs="Arial"/>
          <w:sz w:val="20"/>
          <w:szCs w:val="20"/>
        </w:rPr>
        <w:t>s</w:t>
      </w:r>
      <w:proofErr w:type="gramEnd"/>
      <w:r w:rsidRPr="00020F96">
        <w:rPr>
          <w:rFonts w:ascii="Arial" w:hAnsi="Arial" w:cs="Arial"/>
          <w:sz w:val="20"/>
          <w:szCs w:val="20"/>
        </w:rPr>
        <w:t xml:space="preserve"> largely unexplored. Understanding market integration is crucial for improving market </w:t>
      </w:r>
      <w:r w:rsidRPr="00020F96">
        <w:rPr>
          <w:rFonts w:ascii="Arial" w:hAnsi="Arial" w:cs="Arial"/>
          <w:sz w:val="20"/>
          <w:szCs w:val="20"/>
          <w:highlight w:val="yellow"/>
        </w:rPr>
        <w:t xml:space="preserve">efficiency, </w:t>
      </w:r>
      <w:r w:rsidR="005E2B8D" w:rsidRPr="00020F96">
        <w:rPr>
          <w:rFonts w:ascii="Arial" w:hAnsi="Arial" w:cs="Arial"/>
          <w:sz w:val="20"/>
          <w:szCs w:val="20"/>
          <w:highlight w:val="yellow"/>
        </w:rPr>
        <w:t>stabilising</w:t>
      </w:r>
      <w:r w:rsidR="005E2B8D" w:rsidRPr="00020F96">
        <w:rPr>
          <w:rFonts w:ascii="Arial" w:hAnsi="Arial" w:cs="Arial"/>
          <w:sz w:val="20"/>
          <w:szCs w:val="20"/>
        </w:rPr>
        <w:t xml:space="preserve"> </w:t>
      </w:r>
      <w:r w:rsidRPr="00020F96">
        <w:rPr>
          <w:rFonts w:ascii="Arial" w:hAnsi="Arial" w:cs="Arial"/>
          <w:sz w:val="20"/>
          <w:szCs w:val="20"/>
        </w:rPr>
        <w:t>prices, and enhancing the income of farmers and traders.</w:t>
      </w:r>
    </w:p>
    <w:p w14:paraId="5822F641" w14:textId="77777777" w:rsidR="00EA5B98" w:rsidRPr="00D30290" w:rsidRDefault="00EA5B98" w:rsidP="00D30290">
      <w:pPr>
        <w:pStyle w:val="ListParagraph"/>
        <w:spacing w:line="360" w:lineRule="auto"/>
        <w:jc w:val="both"/>
        <w:rPr>
          <w:rFonts w:ascii="Arial" w:hAnsi="Arial" w:cs="Arial"/>
          <w:sz w:val="20"/>
          <w:szCs w:val="20"/>
        </w:rPr>
      </w:pPr>
    </w:p>
    <w:p w14:paraId="0065B255" w14:textId="54C54948" w:rsidR="00EA5B98" w:rsidRPr="00020F96" w:rsidRDefault="00EA5B98" w:rsidP="00020F96">
      <w:pPr>
        <w:spacing w:line="360" w:lineRule="auto"/>
        <w:jc w:val="both"/>
        <w:rPr>
          <w:rFonts w:ascii="Arial" w:hAnsi="Arial" w:cs="Arial"/>
          <w:sz w:val="20"/>
          <w:szCs w:val="20"/>
        </w:rPr>
      </w:pPr>
      <w:r w:rsidRPr="00020F96">
        <w:rPr>
          <w:rFonts w:ascii="Arial" w:hAnsi="Arial" w:cs="Arial"/>
          <w:sz w:val="20"/>
          <w:szCs w:val="20"/>
        </w:rPr>
        <w:t xml:space="preserve">This study aims to </w:t>
      </w:r>
      <w:r w:rsidR="005E2B8D" w:rsidRPr="00020F96">
        <w:rPr>
          <w:rFonts w:ascii="Arial" w:hAnsi="Arial" w:cs="Arial"/>
          <w:sz w:val="20"/>
          <w:szCs w:val="20"/>
          <w:highlight w:val="yellow"/>
        </w:rPr>
        <w:t xml:space="preserve">analyse </w:t>
      </w:r>
      <w:r w:rsidRPr="00020F96">
        <w:rPr>
          <w:rFonts w:ascii="Arial" w:hAnsi="Arial" w:cs="Arial"/>
          <w:sz w:val="20"/>
          <w:szCs w:val="20"/>
          <w:highlight w:val="yellow"/>
        </w:rPr>
        <w:t>t</w:t>
      </w:r>
      <w:r w:rsidRPr="00020F96">
        <w:rPr>
          <w:rFonts w:ascii="Arial" w:hAnsi="Arial" w:cs="Arial"/>
          <w:sz w:val="20"/>
          <w:szCs w:val="20"/>
        </w:rPr>
        <w:t xml:space="preserve">he extent of market integration of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by examining price transmission and co-movement across key domestic and international markets. The findings of this study will provide valuable insights into the functioning of the </w:t>
      </w:r>
      <w:proofErr w:type="spellStart"/>
      <w:r w:rsidRPr="00020F96">
        <w:rPr>
          <w:rFonts w:ascii="Arial" w:hAnsi="Arial" w:cs="Arial"/>
          <w:sz w:val="20"/>
          <w:szCs w:val="20"/>
        </w:rPr>
        <w:t>Byadagi</w:t>
      </w:r>
      <w:proofErr w:type="spellEnd"/>
      <w:r w:rsidRPr="00020F96">
        <w:rPr>
          <w:rFonts w:ascii="Arial" w:hAnsi="Arial" w:cs="Arial"/>
          <w:sz w:val="20"/>
          <w:szCs w:val="20"/>
        </w:rPr>
        <w:t xml:space="preserve"> chilli market and help policymakers and stakeholders develop strategies to improve market efficiency and farmer profitability.</w:t>
      </w:r>
    </w:p>
    <w:p w14:paraId="17413C5E" w14:textId="5ED7CA11" w:rsidR="00617000" w:rsidRPr="00020F96" w:rsidRDefault="00C162B3" w:rsidP="00020F96">
      <w:pPr>
        <w:pStyle w:val="ListParagraph"/>
        <w:numPr>
          <w:ilvl w:val="0"/>
          <w:numId w:val="13"/>
        </w:numPr>
        <w:spacing w:line="360" w:lineRule="auto"/>
        <w:jc w:val="both"/>
        <w:rPr>
          <w:rFonts w:ascii="Arial" w:hAnsi="Arial" w:cs="Arial"/>
          <w:b/>
          <w:bCs/>
        </w:rPr>
      </w:pPr>
      <w:r w:rsidRPr="00020F96">
        <w:rPr>
          <w:rFonts w:ascii="Arial" w:hAnsi="Arial" w:cs="Arial"/>
          <w:b/>
          <w:bCs/>
        </w:rPr>
        <w:t>Methodology</w:t>
      </w:r>
    </w:p>
    <w:p w14:paraId="183F915C" w14:textId="49633382" w:rsidR="004730FF" w:rsidRPr="00020F96" w:rsidRDefault="004730FF" w:rsidP="00020F96">
      <w:pPr>
        <w:spacing w:line="360" w:lineRule="auto"/>
        <w:jc w:val="both"/>
        <w:rPr>
          <w:rFonts w:ascii="Arial" w:hAnsi="Arial" w:cs="Arial"/>
          <w:lang w:val="en-US"/>
        </w:rPr>
      </w:pPr>
      <w:r w:rsidRPr="00020F96">
        <w:rPr>
          <w:rFonts w:ascii="Arial" w:hAnsi="Arial" w:cs="Arial"/>
          <w:lang w:val="en-US"/>
        </w:rPr>
        <w:t>Ex</w:t>
      </w:r>
      <w:r w:rsidR="007C04CA" w:rsidRPr="00020F96">
        <w:rPr>
          <w:rFonts w:ascii="Arial" w:hAnsi="Arial" w:cs="Arial"/>
          <w:lang w:val="en-US"/>
        </w:rPr>
        <w:t xml:space="preserve"> </w:t>
      </w:r>
      <w:r w:rsidRPr="00020F96">
        <w:rPr>
          <w:rFonts w:ascii="Arial" w:hAnsi="Arial" w:cs="Arial"/>
          <w:lang w:val="en-US"/>
        </w:rPr>
        <w:t xml:space="preserve">post Facto Research was conducted </w:t>
      </w:r>
      <w:r w:rsidR="005E2B8D" w:rsidRPr="00020F96">
        <w:rPr>
          <w:rFonts w:ascii="Arial" w:hAnsi="Arial" w:cs="Arial"/>
          <w:highlight w:val="yellow"/>
          <w:lang w:val="en-US"/>
        </w:rPr>
        <w:t>to study</w:t>
      </w:r>
      <w:r w:rsidRPr="00020F96">
        <w:rPr>
          <w:rFonts w:ascii="Arial" w:hAnsi="Arial" w:cs="Arial"/>
          <w:highlight w:val="yellow"/>
          <w:lang w:val="en-US"/>
        </w:rPr>
        <w:t xml:space="preserve"> the</w:t>
      </w:r>
      <w:r w:rsidRPr="00020F96">
        <w:rPr>
          <w:rFonts w:ascii="Arial" w:hAnsi="Arial" w:cs="Arial"/>
          <w:lang w:val="en-US"/>
        </w:rPr>
        <w:t xml:space="preserve"> market integration of </w:t>
      </w:r>
      <w:proofErr w:type="spellStart"/>
      <w:r w:rsidRPr="00020F96">
        <w:rPr>
          <w:rFonts w:ascii="Arial" w:hAnsi="Arial" w:cs="Arial"/>
          <w:lang w:val="en-US"/>
        </w:rPr>
        <w:t>Byadagi</w:t>
      </w:r>
      <w:proofErr w:type="spellEnd"/>
      <w:r w:rsidRPr="00020F96">
        <w:rPr>
          <w:rFonts w:ascii="Arial" w:hAnsi="Arial" w:cs="Arial"/>
          <w:lang w:val="en-US"/>
        </w:rPr>
        <w:t xml:space="preserve"> </w:t>
      </w:r>
      <w:proofErr w:type="spellStart"/>
      <w:r w:rsidRPr="00020F96">
        <w:rPr>
          <w:rFonts w:ascii="Arial" w:hAnsi="Arial" w:cs="Arial"/>
          <w:lang w:val="en-US"/>
        </w:rPr>
        <w:t>chilli</w:t>
      </w:r>
      <w:proofErr w:type="spellEnd"/>
      <w:r w:rsidRPr="00020F96">
        <w:rPr>
          <w:rFonts w:ascii="Arial" w:hAnsi="Arial" w:cs="Arial"/>
          <w:lang w:val="en-US"/>
        </w:rPr>
        <w:t>. The study was purely based on secondary data</w:t>
      </w:r>
      <w:r w:rsidR="005E2B8D" w:rsidRPr="00020F96">
        <w:rPr>
          <w:rFonts w:ascii="Arial" w:hAnsi="Arial" w:cs="Arial"/>
          <w:lang w:val="en-US"/>
        </w:rPr>
        <w:t xml:space="preserve">; </w:t>
      </w:r>
      <w:r w:rsidRPr="00020F96">
        <w:rPr>
          <w:rFonts w:ascii="Arial" w:hAnsi="Arial" w:cs="Arial"/>
          <w:lang w:val="en-US"/>
        </w:rPr>
        <w:t xml:space="preserve">daily price and arrival data of various </w:t>
      </w:r>
      <w:r w:rsidR="005E2B8D" w:rsidRPr="00020F96">
        <w:rPr>
          <w:rFonts w:ascii="Arial" w:hAnsi="Arial" w:cs="Arial"/>
          <w:highlight w:val="yellow"/>
          <w:lang w:val="en-US"/>
        </w:rPr>
        <w:t xml:space="preserve">markets </w:t>
      </w:r>
      <w:r w:rsidRPr="00020F96">
        <w:rPr>
          <w:rFonts w:ascii="Arial" w:hAnsi="Arial" w:cs="Arial"/>
          <w:highlight w:val="yellow"/>
          <w:lang w:val="en-US"/>
        </w:rPr>
        <w:t>were collected</w:t>
      </w:r>
      <w:r w:rsidRPr="00020F96">
        <w:rPr>
          <w:rFonts w:ascii="Arial" w:hAnsi="Arial" w:cs="Arial"/>
          <w:lang w:val="en-US"/>
        </w:rPr>
        <w:t xml:space="preserve"> from Karnataka Krishimaratavahini. The data was </w:t>
      </w:r>
      <w:r w:rsidR="005E2B8D" w:rsidRPr="00020F96">
        <w:rPr>
          <w:rFonts w:ascii="Arial" w:hAnsi="Arial" w:cs="Arial"/>
          <w:highlight w:val="yellow"/>
          <w:lang w:val="en-US"/>
        </w:rPr>
        <w:t xml:space="preserve">collected </w:t>
      </w:r>
      <w:r w:rsidRPr="00020F96">
        <w:rPr>
          <w:rFonts w:ascii="Arial" w:hAnsi="Arial" w:cs="Arial"/>
          <w:highlight w:val="yellow"/>
          <w:lang w:val="en-US"/>
        </w:rPr>
        <w:t>for</w:t>
      </w:r>
      <w:r w:rsidRPr="00020F96">
        <w:rPr>
          <w:rFonts w:ascii="Arial" w:hAnsi="Arial" w:cs="Arial"/>
          <w:lang w:val="en-US"/>
        </w:rPr>
        <w:t xml:space="preserve"> 25 years from January 2000 </w:t>
      </w:r>
      <w:r w:rsidR="005E2B8D" w:rsidRPr="00020F96">
        <w:rPr>
          <w:rFonts w:ascii="Arial" w:hAnsi="Arial" w:cs="Arial"/>
          <w:highlight w:val="yellow"/>
          <w:lang w:val="en-US"/>
        </w:rPr>
        <w:t xml:space="preserve">to </w:t>
      </w:r>
      <w:r w:rsidRPr="00020F96">
        <w:rPr>
          <w:rFonts w:ascii="Arial" w:hAnsi="Arial" w:cs="Arial"/>
          <w:highlight w:val="yellow"/>
          <w:lang w:val="en-US"/>
        </w:rPr>
        <w:t>Ja</w:t>
      </w:r>
      <w:r w:rsidRPr="00020F96">
        <w:rPr>
          <w:rFonts w:ascii="Arial" w:hAnsi="Arial" w:cs="Arial"/>
          <w:lang w:val="en-US"/>
        </w:rPr>
        <w:t>nuary 2025.</w:t>
      </w:r>
    </w:p>
    <w:p w14:paraId="07E3181D" w14:textId="083B5D33" w:rsidR="00617000" w:rsidRDefault="00617000" w:rsidP="00D30290">
      <w:pPr>
        <w:pStyle w:val="ListParagraph"/>
        <w:numPr>
          <w:ilvl w:val="1"/>
          <w:numId w:val="8"/>
        </w:numPr>
        <w:spacing w:line="360" w:lineRule="auto"/>
        <w:rPr>
          <w:rFonts w:ascii="Arial" w:hAnsi="Arial" w:cs="Arial"/>
          <w:b/>
          <w:bCs/>
          <w:sz w:val="20"/>
          <w:szCs w:val="20"/>
        </w:rPr>
      </w:pPr>
      <w:r w:rsidRPr="0033420B">
        <w:rPr>
          <w:rFonts w:ascii="Arial" w:hAnsi="Arial" w:cs="Arial"/>
          <w:b/>
          <w:bCs/>
          <w:sz w:val="20"/>
          <w:szCs w:val="20"/>
        </w:rPr>
        <w:t>Data description</w:t>
      </w:r>
    </w:p>
    <w:p w14:paraId="61B53361" w14:textId="07B27AE8" w:rsidR="0033420B" w:rsidRPr="0033420B" w:rsidRDefault="0033420B" w:rsidP="00D30290">
      <w:pPr>
        <w:pStyle w:val="ListParagraph"/>
        <w:spacing w:line="360" w:lineRule="auto"/>
        <w:jc w:val="both"/>
        <w:rPr>
          <w:rFonts w:ascii="Arial" w:hAnsi="Arial" w:cs="Arial"/>
          <w:sz w:val="20"/>
          <w:szCs w:val="20"/>
        </w:rPr>
      </w:pPr>
      <w:r w:rsidRPr="0033420B">
        <w:rPr>
          <w:rFonts w:ascii="Arial" w:hAnsi="Arial" w:cs="Arial"/>
          <w:sz w:val="20"/>
          <w:szCs w:val="20"/>
          <w:lang w:val="en-US"/>
        </w:rPr>
        <w:t xml:space="preserve">Various statistical/econometric analytical techniques, namely unit root test (Augmented Dickey Fuller), Johansen Multiple co-integration test, </w:t>
      </w:r>
      <w:r w:rsidR="005E2B8D" w:rsidRPr="00020F96">
        <w:rPr>
          <w:rFonts w:ascii="Arial" w:hAnsi="Arial" w:cs="Arial"/>
          <w:sz w:val="20"/>
          <w:szCs w:val="20"/>
          <w:highlight w:val="yellow"/>
          <w:lang w:val="en-US"/>
        </w:rPr>
        <w:t xml:space="preserve">and </w:t>
      </w:r>
      <w:r w:rsidRPr="00020F96">
        <w:rPr>
          <w:rFonts w:ascii="Arial" w:hAnsi="Arial" w:cs="Arial"/>
          <w:sz w:val="20"/>
          <w:szCs w:val="20"/>
          <w:highlight w:val="yellow"/>
          <w:lang w:val="en-US"/>
        </w:rPr>
        <w:t>Granger</w:t>
      </w:r>
      <w:r w:rsidRPr="0033420B">
        <w:rPr>
          <w:rFonts w:ascii="Arial" w:hAnsi="Arial" w:cs="Arial"/>
          <w:sz w:val="20"/>
          <w:szCs w:val="20"/>
          <w:lang w:val="en-US"/>
        </w:rPr>
        <w:t xml:space="preserve"> causality tests</w:t>
      </w:r>
      <w:r w:rsidR="0003455A">
        <w:rPr>
          <w:rFonts w:ascii="Arial" w:hAnsi="Arial" w:cs="Arial"/>
          <w:sz w:val="20"/>
          <w:szCs w:val="20"/>
          <w:lang w:val="en-US"/>
        </w:rPr>
        <w:t>,</w:t>
      </w:r>
      <w:r w:rsidRPr="0033420B">
        <w:rPr>
          <w:rFonts w:ascii="Arial" w:hAnsi="Arial" w:cs="Arial"/>
          <w:sz w:val="20"/>
          <w:szCs w:val="20"/>
          <w:lang w:val="en-US"/>
        </w:rPr>
        <w:t xml:space="preserve"> were used to study the market cointegration for three different markets</w:t>
      </w:r>
      <w:r w:rsidR="005E2B8D">
        <w:rPr>
          <w:rFonts w:ascii="Arial" w:hAnsi="Arial" w:cs="Arial"/>
          <w:sz w:val="20"/>
          <w:szCs w:val="20"/>
          <w:lang w:val="en-US"/>
        </w:rPr>
        <w:t>,</w:t>
      </w:r>
      <w:r w:rsidRPr="0033420B">
        <w:rPr>
          <w:rFonts w:ascii="Arial" w:hAnsi="Arial" w:cs="Arial"/>
          <w:sz w:val="20"/>
          <w:szCs w:val="20"/>
          <w:lang w:val="en-US"/>
        </w:rPr>
        <w:t xml:space="preserve"> </w:t>
      </w:r>
      <w:r w:rsidRPr="0033420B">
        <w:rPr>
          <w:rFonts w:ascii="Arial" w:hAnsi="Arial" w:cs="Arial"/>
          <w:i/>
          <w:iCs/>
          <w:sz w:val="20"/>
          <w:szCs w:val="20"/>
          <w:lang w:val="en-US"/>
        </w:rPr>
        <w:t>viz.,</w:t>
      </w:r>
      <w:r w:rsidRPr="0033420B">
        <w:rPr>
          <w:rFonts w:ascii="Arial" w:hAnsi="Arial" w:cs="Arial"/>
          <w:sz w:val="20"/>
          <w:szCs w:val="20"/>
          <w:lang w:val="en-US"/>
        </w:rPr>
        <w:t xml:space="preserve"> Bangalore, </w:t>
      </w:r>
      <w:proofErr w:type="spellStart"/>
      <w:r w:rsidRPr="0033420B">
        <w:rPr>
          <w:rFonts w:ascii="Arial" w:hAnsi="Arial" w:cs="Arial"/>
          <w:sz w:val="20"/>
          <w:szCs w:val="20"/>
          <w:lang w:val="en-US"/>
        </w:rPr>
        <w:t>Hubbli</w:t>
      </w:r>
      <w:proofErr w:type="spellEnd"/>
      <w:r w:rsidRPr="0033420B">
        <w:rPr>
          <w:rFonts w:ascii="Arial" w:hAnsi="Arial" w:cs="Arial"/>
          <w:sz w:val="20"/>
          <w:szCs w:val="20"/>
          <w:lang w:val="en-US"/>
        </w:rPr>
        <w:t xml:space="preserve"> and </w:t>
      </w:r>
      <w:proofErr w:type="spellStart"/>
      <w:r w:rsidRPr="0033420B">
        <w:rPr>
          <w:rFonts w:ascii="Arial" w:hAnsi="Arial" w:cs="Arial"/>
          <w:sz w:val="20"/>
          <w:szCs w:val="20"/>
          <w:lang w:val="en-US"/>
        </w:rPr>
        <w:t>Byadagi</w:t>
      </w:r>
      <w:proofErr w:type="spellEnd"/>
      <w:r w:rsidRPr="0033420B">
        <w:rPr>
          <w:rFonts w:ascii="Arial" w:hAnsi="Arial" w:cs="Arial"/>
          <w:sz w:val="20"/>
          <w:szCs w:val="20"/>
          <w:lang w:val="en-US"/>
        </w:rPr>
        <w:t xml:space="preserve"> markets</w:t>
      </w:r>
    </w:p>
    <w:p w14:paraId="3CC6F956" w14:textId="69E9AAD2" w:rsidR="00617000" w:rsidRPr="00444B72" w:rsidRDefault="00617000" w:rsidP="00D30290">
      <w:pPr>
        <w:spacing w:line="360" w:lineRule="auto"/>
        <w:rPr>
          <w:rFonts w:ascii="Arial" w:hAnsi="Arial" w:cs="Arial"/>
          <w:b/>
          <w:bCs/>
          <w:sz w:val="20"/>
          <w:szCs w:val="20"/>
        </w:rPr>
      </w:pPr>
      <w:r w:rsidRPr="00444B72">
        <w:rPr>
          <w:rFonts w:ascii="Arial" w:hAnsi="Arial" w:cs="Arial"/>
          <w:b/>
          <w:bCs/>
          <w:sz w:val="20"/>
          <w:szCs w:val="20"/>
        </w:rPr>
        <w:t>2.2 Methods</w:t>
      </w:r>
    </w:p>
    <w:p w14:paraId="15B19820" w14:textId="451512C7" w:rsidR="0033420B" w:rsidRPr="0033420B" w:rsidRDefault="0033420B" w:rsidP="00D30290">
      <w:pPr>
        <w:spacing w:line="360" w:lineRule="auto"/>
        <w:rPr>
          <w:rFonts w:ascii="Arial" w:hAnsi="Arial" w:cs="Arial"/>
          <w:sz w:val="20"/>
          <w:szCs w:val="20"/>
          <w:u w:val="single"/>
        </w:rPr>
      </w:pPr>
      <w:r w:rsidRPr="0033420B">
        <w:rPr>
          <w:rFonts w:ascii="Arial" w:hAnsi="Arial" w:cs="Arial"/>
          <w:b/>
          <w:sz w:val="20"/>
          <w:szCs w:val="20"/>
          <w:u w:val="single"/>
        </w:rPr>
        <w:t>2.2.1. Unit root test</w:t>
      </w:r>
      <w:r w:rsidRPr="0033420B">
        <w:rPr>
          <w:rFonts w:ascii="Arial" w:hAnsi="Arial" w:cs="Arial"/>
          <w:sz w:val="20"/>
          <w:szCs w:val="20"/>
          <w:u w:val="single"/>
        </w:rPr>
        <w:t xml:space="preserve"> </w:t>
      </w:r>
    </w:p>
    <w:p w14:paraId="5925B1A1" w14:textId="0B05CB44" w:rsidR="0033420B" w:rsidRPr="0033420B" w:rsidRDefault="0033420B" w:rsidP="004F46EE">
      <w:pPr>
        <w:spacing w:after="0" w:line="360" w:lineRule="auto"/>
        <w:rPr>
          <w:rFonts w:ascii="Arial" w:hAnsi="Arial" w:cs="Arial"/>
          <w:sz w:val="20"/>
          <w:szCs w:val="20"/>
        </w:rPr>
      </w:pPr>
      <w:r w:rsidRPr="0033420B">
        <w:rPr>
          <w:rFonts w:ascii="Arial" w:hAnsi="Arial" w:cs="Arial"/>
          <w:sz w:val="20"/>
          <w:szCs w:val="20"/>
        </w:rPr>
        <w:t xml:space="preserve">The presence of </w:t>
      </w:r>
      <w:r w:rsidR="005E2B8D">
        <w:rPr>
          <w:rFonts w:ascii="Arial" w:hAnsi="Arial" w:cs="Arial"/>
          <w:sz w:val="20"/>
          <w:szCs w:val="20"/>
        </w:rPr>
        <w:t xml:space="preserve">a </w:t>
      </w:r>
      <w:r w:rsidRPr="0033420B">
        <w:rPr>
          <w:rFonts w:ascii="Arial" w:hAnsi="Arial" w:cs="Arial"/>
          <w:sz w:val="20"/>
          <w:szCs w:val="20"/>
        </w:rPr>
        <w:t>unit root (non-stationarity) in the underlying series is tested by performing</w:t>
      </w:r>
    </w:p>
    <w:p w14:paraId="161C5B90" w14:textId="77777777" w:rsidR="0033420B" w:rsidRPr="0033420B" w:rsidRDefault="0033420B" w:rsidP="004F46EE">
      <w:pPr>
        <w:spacing w:after="0" w:line="360" w:lineRule="auto"/>
        <w:rPr>
          <w:rFonts w:ascii="Arial" w:hAnsi="Arial" w:cs="Arial"/>
          <w:sz w:val="20"/>
          <w:szCs w:val="20"/>
        </w:rPr>
      </w:pPr>
      <w:r w:rsidRPr="0033420B">
        <w:rPr>
          <w:rFonts w:ascii="Arial" w:hAnsi="Arial" w:cs="Arial"/>
          <w:sz w:val="20"/>
          <w:szCs w:val="20"/>
        </w:rPr>
        <w:t>Augmented Dickey-Fuller (ADF) test using the following equation:</w:t>
      </w:r>
    </w:p>
    <w:p w14:paraId="3CA1404E" w14:textId="2EA3151E" w:rsidR="0033420B" w:rsidRPr="0033420B" w:rsidRDefault="0033420B" w:rsidP="004F46EE">
      <w:pPr>
        <w:spacing w:line="360" w:lineRule="auto"/>
        <w:jc w:val="center"/>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t+δ</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m-1</m:t>
              </m:r>
            </m:sup>
            <m:e>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112CD6FE" w14:textId="77777777" w:rsidR="0033420B" w:rsidRPr="0033420B" w:rsidRDefault="0033420B" w:rsidP="00D30290">
      <w:pPr>
        <w:spacing w:line="360" w:lineRule="auto"/>
        <w:ind w:left="720" w:firstLine="720"/>
        <w:rPr>
          <w:rFonts w:ascii="Arial" w:hAnsi="Arial" w:cs="Arial"/>
          <w:sz w:val="20"/>
          <w:szCs w:val="20"/>
        </w:rPr>
      </w:pPr>
      <w:r w:rsidRPr="0033420B">
        <w:rPr>
          <w:rFonts w:ascii="Arial" w:hAnsi="Arial" w:cs="Arial"/>
          <w:sz w:val="20"/>
          <w:szCs w:val="20"/>
        </w:rPr>
        <w:t xml:space="preserve">Where, </w:t>
      </w:r>
    </w:p>
    <w:p w14:paraId="00407BE9" w14:textId="77777777" w:rsidR="0033420B" w:rsidRPr="0033420B" w:rsidRDefault="0033420B" w:rsidP="004F46EE">
      <w:pPr>
        <w:spacing w:after="0" w:line="360" w:lineRule="auto"/>
        <w:ind w:left="1440" w:firstLine="720"/>
        <w:rPr>
          <w:rFonts w:ascii="Arial" w:hAnsi="Arial" w:cs="Arial"/>
          <w:sz w:val="20"/>
          <w:szCs w:val="20"/>
        </w:rPr>
      </w:pPr>
      <w:proofErr w:type="spellStart"/>
      <w:r w:rsidRPr="0033420B">
        <w:rPr>
          <w:rFonts w:ascii="Arial" w:hAnsi="Arial" w:cs="Arial"/>
          <w:sz w:val="20"/>
          <w:szCs w:val="20"/>
        </w:rPr>
        <w:t>ε</w:t>
      </w:r>
      <w:r w:rsidRPr="0033420B">
        <w:rPr>
          <w:rFonts w:ascii="Arial" w:hAnsi="Arial" w:cs="Arial"/>
          <w:sz w:val="20"/>
          <w:szCs w:val="20"/>
          <w:vertAlign w:val="subscript"/>
        </w:rPr>
        <w:t>t</w:t>
      </w:r>
      <w:proofErr w:type="spellEnd"/>
      <w:r w:rsidRPr="0033420B">
        <w:rPr>
          <w:rFonts w:ascii="Arial" w:hAnsi="Arial" w:cs="Arial"/>
          <w:sz w:val="20"/>
          <w:szCs w:val="20"/>
        </w:rPr>
        <w:t xml:space="preserve"> =pure white noise error term;</w:t>
      </w:r>
    </w:p>
    <w:p w14:paraId="44DE3E82"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Y</w:t>
      </w:r>
      <w:r w:rsidRPr="0033420B">
        <w:rPr>
          <w:rFonts w:ascii="Arial" w:hAnsi="Arial" w:cs="Arial"/>
          <w:sz w:val="20"/>
          <w:szCs w:val="20"/>
          <w:vertAlign w:val="subscript"/>
        </w:rPr>
        <w:t xml:space="preserve">t-1 </w:t>
      </w:r>
      <w:proofErr w:type="gramStart"/>
      <w:r w:rsidRPr="0033420B">
        <w:rPr>
          <w:rFonts w:ascii="Arial" w:hAnsi="Arial" w:cs="Arial"/>
          <w:sz w:val="20"/>
          <w:szCs w:val="20"/>
        </w:rPr>
        <w:t>=(</w:t>
      </w:r>
      <w:proofErr w:type="gramEnd"/>
      <w:r w:rsidRPr="0033420B">
        <w:rPr>
          <w:rFonts w:ascii="Arial" w:hAnsi="Arial" w:cs="Arial"/>
          <w:sz w:val="20"/>
          <w:szCs w:val="20"/>
        </w:rPr>
        <w:t>Y</w:t>
      </w:r>
      <w:r w:rsidRPr="0033420B">
        <w:rPr>
          <w:rFonts w:ascii="Arial" w:hAnsi="Arial" w:cs="Arial"/>
          <w:sz w:val="20"/>
          <w:szCs w:val="20"/>
          <w:vertAlign w:val="subscript"/>
        </w:rPr>
        <w:t xml:space="preserve">t-1 </w:t>
      </w:r>
      <w:r w:rsidRPr="0033420B">
        <w:rPr>
          <w:rFonts w:ascii="Arial" w:hAnsi="Arial" w:cs="Arial"/>
          <w:sz w:val="20"/>
          <w:szCs w:val="20"/>
        </w:rPr>
        <w:t>– Y</w:t>
      </w:r>
      <w:r w:rsidRPr="0033420B">
        <w:rPr>
          <w:rFonts w:ascii="Arial" w:hAnsi="Arial" w:cs="Arial"/>
          <w:sz w:val="20"/>
          <w:szCs w:val="20"/>
          <w:vertAlign w:val="subscript"/>
        </w:rPr>
        <w:t xml:space="preserve">t-2 </w:t>
      </w:r>
      <w:r w:rsidRPr="0033420B">
        <w:rPr>
          <w:rFonts w:ascii="Arial" w:hAnsi="Arial" w:cs="Arial"/>
          <w:sz w:val="20"/>
          <w:szCs w:val="20"/>
        </w:rPr>
        <w:t>), ∆ Y</w:t>
      </w:r>
      <w:r w:rsidRPr="0033420B">
        <w:rPr>
          <w:rFonts w:ascii="Arial" w:hAnsi="Arial" w:cs="Arial"/>
          <w:sz w:val="20"/>
          <w:szCs w:val="20"/>
          <w:vertAlign w:val="subscript"/>
        </w:rPr>
        <w:t xml:space="preserve">t-2 </w:t>
      </w:r>
      <w:r w:rsidRPr="0033420B">
        <w:rPr>
          <w:rFonts w:ascii="Arial" w:hAnsi="Arial" w:cs="Arial"/>
          <w:sz w:val="20"/>
          <w:szCs w:val="20"/>
        </w:rPr>
        <w:t>= (Y</w:t>
      </w:r>
      <w:r w:rsidRPr="0033420B">
        <w:rPr>
          <w:rFonts w:ascii="Arial" w:hAnsi="Arial" w:cs="Arial"/>
          <w:sz w:val="20"/>
          <w:szCs w:val="20"/>
          <w:vertAlign w:val="subscript"/>
        </w:rPr>
        <w:t xml:space="preserve">t-2 </w:t>
      </w:r>
      <w:r w:rsidRPr="0033420B">
        <w:rPr>
          <w:rFonts w:ascii="Arial" w:hAnsi="Arial" w:cs="Arial"/>
          <w:sz w:val="20"/>
          <w:szCs w:val="20"/>
        </w:rPr>
        <w:t>– Y</w:t>
      </w:r>
      <w:r w:rsidRPr="0033420B">
        <w:rPr>
          <w:rFonts w:ascii="Arial" w:hAnsi="Arial" w:cs="Arial"/>
          <w:sz w:val="20"/>
          <w:szCs w:val="20"/>
          <w:vertAlign w:val="subscript"/>
        </w:rPr>
        <w:t xml:space="preserve">t-3 </w:t>
      </w:r>
      <w:r w:rsidRPr="0033420B">
        <w:rPr>
          <w:rFonts w:ascii="Arial" w:hAnsi="Arial" w:cs="Arial"/>
          <w:sz w:val="20"/>
          <w:szCs w:val="20"/>
        </w:rPr>
        <w:t>) etc; and</w:t>
      </w:r>
    </w:p>
    <w:p w14:paraId="1D10E928" w14:textId="7B60239F"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lastRenderedPageBreak/>
        <w:t>m = number of lag length and it is determined using Akaike or Schwarz information criteria</w:t>
      </w:r>
      <w:r w:rsidR="005E2B8D">
        <w:rPr>
          <w:rFonts w:ascii="Arial" w:hAnsi="Arial" w:cs="Arial"/>
          <w:sz w:val="20"/>
          <w:szCs w:val="20"/>
        </w:rPr>
        <w:t>,</w:t>
      </w:r>
      <w:r w:rsidRPr="0033420B">
        <w:rPr>
          <w:rFonts w:ascii="Arial" w:hAnsi="Arial" w:cs="Arial"/>
          <w:sz w:val="20"/>
          <w:szCs w:val="20"/>
        </w:rPr>
        <w:t xml:space="preserve"> or the Partial Autocorrelation function (PACF) of the first differenced series if data are under levels.</w:t>
      </w:r>
    </w:p>
    <w:p w14:paraId="2CCD62EC" w14:textId="5D8680C1" w:rsidR="0033420B" w:rsidRPr="0033420B" w:rsidRDefault="0033420B" w:rsidP="00D30290">
      <w:pPr>
        <w:spacing w:line="360" w:lineRule="auto"/>
        <w:jc w:val="both"/>
        <w:rPr>
          <w:rFonts w:ascii="Arial" w:hAnsi="Arial" w:cs="Arial"/>
          <w:sz w:val="20"/>
          <w:szCs w:val="20"/>
          <w:u w:val="single"/>
        </w:rPr>
      </w:pPr>
      <w:r w:rsidRPr="0033420B">
        <w:rPr>
          <w:rFonts w:ascii="Arial" w:hAnsi="Arial" w:cs="Arial"/>
          <w:b/>
          <w:sz w:val="20"/>
          <w:szCs w:val="20"/>
          <w:u w:val="single"/>
        </w:rPr>
        <w:t>2.2.2. Johansen Co-integration test</w:t>
      </w:r>
      <w:r w:rsidRPr="0033420B">
        <w:rPr>
          <w:rFonts w:ascii="Arial" w:hAnsi="Arial" w:cs="Arial"/>
          <w:sz w:val="20"/>
          <w:szCs w:val="20"/>
          <w:u w:val="single"/>
        </w:rPr>
        <w:t xml:space="preserve"> </w:t>
      </w:r>
    </w:p>
    <w:p w14:paraId="5E58C4D6" w14:textId="45B70CA6" w:rsidR="0033420B" w:rsidRPr="0033420B" w:rsidRDefault="0033420B" w:rsidP="00D30290">
      <w:pPr>
        <w:spacing w:line="360" w:lineRule="auto"/>
        <w:ind w:firstLine="720"/>
        <w:jc w:val="both"/>
        <w:rPr>
          <w:rFonts w:ascii="Arial" w:hAnsi="Arial" w:cs="Arial"/>
          <w:sz w:val="20"/>
          <w:szCs w:val="20"/>
        </w:rPr>
      </w:pPr>
      <w:r w:rsidRPr="0033420B">
        <w:rPr>
          <w:rFonts w:ascii="Arial" w:hAnsi="Arial" w:cs="Arial"/>
          <w:sz w:val="20"/>
          <w:szCs w:val="20"/>
        </w:rPr>
        <w:t xml:space="preserve">The methodology </w:t>
      </w:r>
      <w:r w:rsidRPr="00020F96">
        <w:rPr>
          <w:rFonts w:ascii="Arial" w:hAnsi="Arial" w:cs="Arial"/>
          <w:sz w:val="20"/>
          <w:szCs w:val="20"/>
          <w:highlight w:val="yellow"/>
        </w:rPr>
        <w:t>given</w:t>
      </w:r>
      <w:r w:rsidRPr="0033420B">
        <w:rPr>
          <w:rFonts w:ascii="Arial" w:hAnsi="Arial" w:cs="Arial"/>
          <w:sz w:val="20"/>
          <w:szCs w:val="20"/>
        </w:rPr>
        <w:t xml:space="preserve"> by Johansen and </w:t>
      </w:r>
      <w:proofErr w:type="spellStart"/>
      <w:r w:rsidRPr="0033420B">
        <w:rPr>
          <w:rFonts w:ascii="Arial" w:hAnsi="Arial" w:cs="Arial"/>
          <w:sz w:val="20"/>
          <w:szCs w:val="20"/>
        </w:rPr>
        <w:t>Juselius</w:t>
      </w:r>
      <w:proofErr w:type="spellEnd"/>
      <w:r w:rsidRPr="0033420B">
        <w:rPr>
          <w:rFonts w:ascii="Arial" w:hAnsi="Arial" w:cs="Arial"/>
          <w:sz w:val="20"/>
          <w:szCs w:val="20"/>
        </w:rPr>
        <w:t xml:space="preserve"> (1990) uses the restricted VAR (p) Vector Error Correction model to determine the number of co-integration vectors. Using that, the study has employed the following regression model to study </w:t>
      </w:r>
      <w:r w:rsidRPr="00020F96">
        <w:rPr>
          <w:rFonts w:ascii="Arial" w:hAnsi="Arial" w:cs="Arial"/>
          <w:sz w:val="20"/>
          <w:szCs w:val="20"/>
          <w:highlight w:val="yellow"/>
        </w:rPr>
        <w:t xml:space="preserve">the </w:t>
      </w:r>
      <w:r w:rsidR="005E2B8D" w:rsidRPr="00020F96">
        <w:rPr>
          <w:rFonts w:ascii="Arial" w:hAnsi="Arial" w:cs="Arial"/>
          <w:sz w:val="20"/>
          <w:szCs w:val="20"/>
          <w:highlight w:val="yellow"/>
        </w:rPr>
        <w:t>long-run</w:t>
      </w:r>
      <w:r w:rsidRPr="00020F96">
        <w:rPr>
          <w:rFonts w:ascii="Arial" w:hAnsi="Arial" w:cs="Arial"/>
          <w:sz w:val="20"/>
          <w:szCs w:val="20"/>
          <w:highlight w:val="yellow"/>
        </w:rPr>
        <w:t xml:space="preserve"> equilibrium</w:t>
      </w:r>
      <w:r w:rsidRPr="0033420B">
        <w:rPr>
          <w:rFonts w:ascii="Arial" w:hAnsi="Arial" w:cs="Arial"/>
          <w:sz w:val="20"/>
          <w:szCs w:val="20"/>
        </w:rPr>
        <w:t xml:space="preserve"> as well as to </w:t>
      </w:r>
      <w:r w:rsidR="005E2B8D" w:rsidRPr="00020F96">
        <w:rPr>
          <w:rFonts w:ascii="Arial" w:hAnsi="Arial" w:cs="Arial"/>
          <w:sz w:val="20"/>
          <w:szCs w:val="20"/>
          <w:highlight w:val="yellow"/>
        </w:rPr>
        <w:t xml:space="preserve">analyse </w:t>
      </w:r>
      <w:r w:rsidRPr="00020F96">
        <w:rPr>
          <w:rFonts w:ascii="Arial" w:hAnsi="Arial" w:cs="Arial"/>
          <w:sz w:val="20"/>
          <w:szCs w:val="20"/>
          <w:highlight w:val="yellow"/>
        </w:rPr>
        <w:t>the presence</w:t>
      </w:r>
      <w:r w:rsidRPr="0033420B">
        <w:rPr>
          <w:rFonts w:ascii="Arial" w:hAnsi="Arial" w:cs="Arial"/>
          <w:sz w:val="20"/>
          <w:szCs w:val="20"/>
        </w:rPr>
        <w:t xml:space="preserve"> of </w:t>
      </w:r>
      <w:r w:rsidR="005E2B8D" w:rsidRPr="00020F96">
        <w:rPr>
          <w:rFonts w:ascii="Arial" w:hAnsi="Arial" w:cs="Arial"/>
          <w:sz w:val="20"/>
          <w:szCs w:val="20"/>
          <w:highlight w:val="yellow"/>
        </w:rPr>
        <w:t>short-run</w:t>
      </w:r>
      <w:r w:rsidRPr="00020F96">
        <w:rPr>
          <w:rFonts w:ascii="Arial" w:hAnsi="Arial" w:cs="Arial"/>
          <w:sz w:val="20"/>
          <w:szCs w:val="20"/>
          <w:highlight w:val="yellow"/>
        </w:rPr>
        <w:t xml:space="preserve"> disequilibrium</w:t>
      </w:r>
      <w:r w:rsidRPr="0033420B">
        <w:rPr>
          <w:rFonts w:ascii="Arial" w:hAnsi="Arial" w:cs="Arial"/>
          <w:sz w:val="20"/>
          <w:szCs w:val="20"/>
        </w:rPr>
        <w:t xml:space="preserve"> among the market pairs</w:t>
      </w:r>
      <w:r w:rsidR="005E2B8D">
        <w:rPr>
          <w:rFonts w:ascii="Arial" w:hAnsi="Arial" w:cs="Arial"/>
          <w:sz w:val="20"/>
          <w:szCs w:val="20"/>
        </w:rPr>
        <w:t>.</w:t>
      </w:r>
    </w:p>
    <w:p w14:paraId="6639D665" w14:textId="77777777" w:rsidR="004F46EE" w:rsidRDefault="0033420B" w:rsidP="004F46EE">
      <w:pPr>
        <w:spacing w:after="0" w:line="360" w:lineRule="auto"/>
        <w:ind w:firstLine="720"/>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=μ+</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t-1</m:t>
                  </m:r>
                </m:sub>
              </m:sSub>
              <m:r>
                <w:rPr>
                  <w:rFonts w:ascii="Cambria Math" w:hAnsi="Cambria Math" w:cs="Arial"/>
                  <w:sz w:val="20"/>
                  <w:szCs w:val="20"/>
                </w:rPr>
                <m:t xml:space="preserve"> </m:t>
              </m:r>
            </m:e>
          </m:nary>
          <m:r>
            <w:rPr>
              <w:rFonts w:ascii="Cambria Math" w:hAnsi="Cambria Math" w:cs="Arial"/>
              <w:sz w:val="20"/>
              <w:szCs w:val="20"/>
            </w:rPr>
            <m:t>+ π</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t-k</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011FE901" w14:textId="2FABA085" w:rsidR="0033420B" w:rsidRPr="0033420B" w:rsidRDefault="0033420B" w:rsidP="004F46EE">
      <w:pPr>
        <w:spacing w:after="0" w:line="360" w:lineRule="auto"/>
        <w:ind w:firstLine="720"/>
        <w:rPr>
          <w:rFonts w:ascii="Arial" w:hAnsi="Arial" w:cs="Arial"/>
          <w:sz w:val="20"/>
          <w:szCs w:val="20"/>
        </w:rPr>
      </w:pPr>
      <w:r w:rsidRPr="0033420B">
        <w:rPr>
          <w:rFonts w:ascii="Arial" w:hAnsi="Arial" w:cs="Arial"/>
          <w:sz w:val="20"/>
          <w:szCs w:val="20"/>
        </w:rPr>
        <w:t>Where,</w:t>
      </w:r>
    </w:p>
    <w:p w14:paraId="403A8821"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xml:space="preserve"> </w:t>
      </w:r>
      <w:proofErr w:type="spellStart"/>
      <w:r w:rsidRPr="0033420B">
        <w:rPr>
          <w:rFonts w:ascii="Arial" w:hAnsi="Arial" w:cs="Arial"/>
          <w:sz w:val="20"/>
          <w:szCs w:val="20"/>
        </w:rPr>
        <w:t>Γi</w:t>
      </w:r>
      <w:proofErr w:type="spellEnd"/>
      <w:r w:rsidRPr="0033420B">
        <w:rPr>
          <w:rFonts w:ascii="Arial" w:hAnsi="Arial" w:cs="Arial"/>
          <w:sz w:val="20"/>
          <w:szCs w:val="20"/>
        </w:rPr>
        <w:t xml:space="preserve"> = – (Ai+1 + … + A</w:t>
      </w:r>
      <w:r w:rsidRPr="0033420B">
        <w:rPr>
          <w:rFonts w:ascii="Arial" w:hAnsi="Arial" w:cs="Arial"/>
          <w:sz w:val="20"/>
          <w:szCs w:val="20"/>
          <w:vertAlign w:val="subscript"/>
        </w:rPr>
        <w:t>k</w:t>
      </w:r>
      <w:r w:rsidRPr="0033420B">
        <w:rPr>
          <w:rFonts w:ascii="Arial" w:hAnsi="Arial" w:cs="Arial"/>
          <w:sz w:val="20"/>
          <w:szCs w:val="20"/>
        </w:rPr>
        <w:t xml:space="preserve">) </w:t>
      </w:r>
      <w:proofErr w:type="spellStart"/>
      <w:r w:rsidRPr="0033420B">
        <w:rPr>
          <w:rFonts w:ascii="Arial" w:hAnsi="Arial" w:cs="Arial"/>
          <w:sz w:val="20"/>
          <w:szCs w:val="20"/>
        </w:rPr>
        <w:t>i</w:t>
      </w:r>
      <w:proofErr w:type="spellEnd"/>
      <w:r w:rsidRPr="0033420B">
        <w:rPr>
          <w:rFonts w:ascii="Arial" w:hAnsi="Arial" w:cs="Arial"/>
          <w:sz w:val="20"/>
          <w:szCs w:val="20"/>
        </w:rPr>
        <w:t xml:space="preserve"> = 1, </w:t>
      </w:r>
      <w:proofErr w:type="gramStart"/>
      <w:r w:rsidRPr="0033420B">
        <w:rPr>
          <w:rFonts w:ascii="Arial" w:hAnsi="Arial" w:cs="Arial"/>
          <w:sz w:val="20"/>
          <w:szCs w:val="20"/>
        </w:rPr>
        <w:t>… ,</w:t>
      </w:r>
      <w:proofErr w:type="gramEnd"/>
      <w:r w:rsidRPr="0033420B">
        <w:rPr>
          <w:rFonts w:ascii="Arial" w:hAnsi="Arial" w:cs="Arial"/>
          <w:sz w:val="20"/>
          <w:szCs w:val="20"/>
        </w:rPr>
        <w:t xml:space="preserve"> k – 1,</w:t>
      </w:r>
    </w:p>
    <w:p w14:paraId="20853FBF"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xml:space="preserve"> Π = (I- A1– … – A</w:t>
      </w:r>
      <w:r w:rsidRPr="0033420B">
        <w:rPr>
          <w:rFonts w:ascii="Arial" w:hAnsi="Arial" w:cs="Arial"/>
          <w:sz w:val="20"/>
          <w:szCs w:val="20"/>
          <w:vertAlign w:val="subscript"/>
        </w:rPr>
        <w:t>k</w:t>
      </w:r>
      <w:r w:rsidRPr="0033420B">
        <w:rPr>
          <w:rFonts w:ascii="Arial" w:hAnsi="Arial" w:cs="Arial"/>
          <w:sz w:val="20"/>
          <w:szCs w:val="20"/>
        </w:rPr>
        <w:t>)</w:t>
      </w:r>
    </w:p>
    <w:p w14:paraId="32EB3497"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µ = constant</w:t>
      </w:r>
    </w:p>
    <w:p w14:paraId="044D5329" w14:textId="77777777" w:rsidR="0033420B" w:rsidRPr="0033420B" w:rsidRDefault="0033420B" w:rsidP="004F46EE">
      <w:pPr>
        <w:spacing w:after="0" w:line="360" w:lineRule="auto"/>
        <w:ind w:left="1440" w:firstLine="720"/>
        <w:rPr>
          <w:rFonts w:ascii="Arial" w:hAnsi="Arial" w:cs="Arial"/>
          <w:sz w:val="20"/>
          <w:szCs w:val="20"/>
        </w:rPr>
      </w:pPr>
      <w:proofErr w:type="spellStart"/>
      <w:r w:rsidRPr="0033420B">
        <w:rPr>
          <w:rFonts w:ascii="Arial" w:hAnsi="Arial" w:cs="Arial"/>
          <w:sz w:val="20"/>
          <w:szCs w:val="20"/>
        </w:rPr>
        <w:t>εt</w:t>
      </w:r>
      <w:proofErr w:type="spellEnd"/>
      <w:r w:rsidRPr="0033420B">
        <w:rPr>
          <w:rFonts w:ascii="Arial" w:hAnsi="Arial" w:cs="Arial"/>
          <w:sz w:val="20"/>
          <w:szCs w:val="20"/>
        </w:rPr>
        <w:t xml:space="preserve"> ~IID (0, Ω), Ω = covariance matrix</w:t>
      </w:r>
    </w:p>
    <w:p w14:paraId="257BF841"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 prices differenced in order to achieve stationarity</w:t>
      </w:r>
    </w:p>
    <w:p w14:paraId="1FEF9D79"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Π Pt-k = long run relationship.</w:t>
      </w:r>
    </w:p>
    <w:p w14:paraId="3C66C305" w14:textId="3098BD7F" w:rsidR="00617000" w:rsidRDefault="0033420B" w:rsidP="00D30290">
      <w:pPr>
        <w:spacing w:line="360" w:lineRule="auto"/>
        <w:jc w:val="both"/>
        <w:rPr>
          <w:rFonts w:ascii="Arial" w:hAnsi="Arial" w:cs="Arial"/>
          <w:sz w:val="20"/>
          <w:szCs w:val="20"/>
        </w:rPr>
      </w:pPr>
      <w:r w:rsidRPr="0033420B">
        <w:rPr>
          <w:rFonts w:ascii="Arial" w:hAnsi="Arial" w:cs="Arial"/>
          <w:sz w:val="20"/>
          <w:szCs w:val="20"/>
        </w:rPr>
        <w:t xml:space="preserve">By full rank </w:t>
      </w:r>
      <w:r w:rsidR="005E2B8D" w:rsidRPr="00020F96">
        <w:rPr>
          <w:rFonts w:ascii="Arial" w:hAnsi="Arial" w:cs="Arial"/>
          <w:sz w:val="20"/>
          <w:szCs w:val="20"/>
          <w:highlight w:val="yellow"/>
        </w:rPr>
        <w:t>factorisation,</w:t>
      </w:r>
      <w:r w:rsidR="005E2B8D" w:rsidRPr="0033420B">
        <w:rPr>
          <w:rFonts w:ascii="Arial" w:hAnsi="Arial" w:cs="Arial"/>
          <w:sz w:val="20"/>
          <w:szCs w:val="20"/>
        </w:rPr>
        <w:t xml:space="preserve"> </w:t>
      </w:r>
      <w:r w:rsidRPr="0033420B">
        <w:rPr>
          <w:rFonts w:ascii="Arial" w:hAnsi="Arial" w:cs="Arial"/>
          <w:sz w:val="20"/>
          <w:szCs w:val="20"/>
        </w:rPr>
        <w:t xml:space="preserve">the co-integration matrix ‘Π’ can be decomposed into αβ’ whereby, both α and β are </w:t>
      </w:r>
      <w:proofErr w:type="spellStart"/>
      <w:r w:rsidRPr="0033420B">
        <w:rPr>
          <w:rFonts w:ascii="Arial" w:hAnsi="Arial" w:cs="Arial"/>
          <w:sz w:val="20"/>
          <w:szCs w:val="20"/>
        </w:rPr>
        <w:t>n×r</w:t>
      </w:r>
      <w:proofErr w:type="spellEnd"/>
      <w:r w:rsidRPr="0033420B">
        <w:rPr>
          <w:rFonts w:ascii="Arial" w:hAnsi="Arial" w:cs="Arial"/>
          <w:sz w:val="20"/>
          <w:szCs w:val="20"/>
        </w:rPr>
        <w:t xml:space="preserve"> matrices; r represents the number of cointegration </w:t>
      </w:r>
      <w:r w:rsidR="005E2B8D" w:rsidRPr="00020F96">
        <w:rPr>
          <w:rFonts w:ascii="Arial" w:hAnsi="Arial" w:cs="Arial"/>
          <w:sz w:val="20"/>
          <w:szCs w:val="20"/>
          <w:highlight w:val="yellow"/>
        </w:rPr>
        <w:t xml:space="preserve">relationships </w:t>
      </w:r>
      <w:r w:rsidRPr="00020F96">
        <w:rPr>
          <w:rFonts w:ascii="Arial" w:hAnsi="Arial" w:cs="Arial"/>
          <w:sz w:val="20"/>
          <w:szCs w:val="20"/>
          <w:highlight w:val="yellow"/>
        </w:rPr>
        <w:t>with</w:t>
      </w:r>
      <w:r w:rsidRPr="0033420B">
        <w:rPr>
          <w:rFonts w:ascii="Arial" w:hAnsi="Arial" w:cs="Arial"/>
          <w:sz w:val="20"/>
          <w:szCs w:val="20"/>
        </w:rPr>
        <w:t xml:space="preserve"> 0 &lt; r &lt; n and β represents cointegration vectors</w:t>
      </w:r>
      <w:r w:rsidR="005E2B8D">
        <w:rPr>
          <w:rFonts w:ascii="Arial" w:hAnsi="Arial" w:cs="Arial"/>
          <w:sz w:val="20"/>
          <w:szCs w:val="20"/>
        </w:rPr>
        <w:t>,</w:t>
      </w:r>
      <w:r w:rsidRPr="0033420B">
        <w:rPr>
          <w:rFonts w:ascii="Arial" w:hAnsi="Arial" w:cs="Arial"/>
          <w:sz w:val="20"/>
          <w:szCs w:val="20"/>
        </w:rPr>
        <w:t xml:space="preserve"> and α refers to the </w:t>
      </w:r>
      <w:r w:rsidR="005E2B8D" w:rsidRPr="00020F96">
        <w:rPr>
          <w:rFonts w:ascii="Arial" w:hAnsi="Arial" w:cs="Arial"/>
          <w:sz w:val="20"/>
          <w:szCs w:val="20"/>
          <w:highlight w:val="yellow"/>
        </w:rPr>
        <w:t>short-run</w:t>
      </w:r>
      <w:r w:rsidRPr="00020F96">
        <w:rPr>
          <w:rFonts w:ascii="Arial" w:hAnsi="Arial" w:cs="Arial"/>
          <w:sz w:val="20"/>
          <w:szCs w:val="20"/>
          <w:highlight w:val="yellow"/>
        </w:rPr>
        <w:t xml:space="preserve"> adjustment</w:t>
      </w:r>
      <w:r w:rsidRPr="0033420B">
        <w:rPr>
          <w:rFonts w:ascii="Arial" w:hAnsi="Arial" w:cs="Arial"/>
          <w:sz w:val="20"/>
          <w:szCs w:val="20"/>
        </w:rPr>
        <w:t xml:space="preserve"> of the disequilibrium between market pairs.</w:t>
      </w:r>
    </w:p>
    <w:p w14:paraId="2B570F5F" w14:textId="22B4E58D" w:rsidR="00DC3A0E" w:rsidRPr="00DC3A0E" w:rsidRDefault="00DC3A0E" w:rsidP="00D30290">
      <w:pPr>
        <w:spacing w:line="360" w:lineRule="auto"/>
        <w:jc w:val="both"/>
        <w:rPr>
          <w:rFonts w:ascii="Arial" w:hAnsi="Arial" w:cs="Arial"/>
          <w:b/>
          <w:bCs/>
          <w:sz w:val="20"/>
          <w:szCs w:val="20"/>
          <w:u w:val="single"/>
          <w:lang w:val="en-US"/>
        </w:rPr>
      </w:pPr>
      <w:r w:rsidRPr="00DC3A0E">
        <w:rPr>
          <w:rFonts w:ascii="Arial" w:hAnsi="Arial" w:cs="Arial"/>
          <w:b/>
          <w:bCs/>
          <w:sz w:val="20"/>
          <w:szCs w:val="20"/>
          <w:u w:val="single"/>
          <w:lang w:val="en-US"/>
        </w:rPr>
        <w:t>2.2.3. Vector Error Correction (VECM) Model</w:t>
      </w:r>
    </w:p>
    <w:p w14:paraId="45F56CE1" w14:textId="71FEAA5E" w:rsidR="00DC3A0E" w:rsidRPr="00DC3A0E" w:rsidRDefault="00DC3A0E" w:rsidP="00D30290">
      <w:pPr>
        <w:spacing w:line="360" w:lineRule="auto"/>
        <w:jc w:val="both"/>
        <w:rPr>
          <w:rFonts w:ascii="Arial" w:hAnsi="Arial" w:cs="Arial"/>
          <w:sz w:val="20"/>
          <w:szCs w:val="20"/>
          <w:lang w:val="en-US"/>
        </w:rPr>
      </w:pPr>
      <w:r w:rsidRPr="00DC3A0E">
        <w:rPr>
          <w:rFonts w:ascii="Arial" w:hAnsi="Arial" w:cs="Arial"/>
          <w:sz w:val="20"/>
          <w:szCs w:val="20"/>
          <w:lang w:val="en-US"/>
        </w:rPr>
        <w:t xml:space="preserve">A vector error correction model is a restricted Vector Autoregressive (VAR) model designed for use with non-stationary series that are known to be co-integrated. Co-integration test using an estimated VAR equation estimated using non-stationary regression methods or using a group object. The error correction model is the preferred method for estimation when two integrated time </w:t>
      </w:r>
      <w:r w:rsidRPr="00020F96">
        <w:rPr>
          <w:rFonts w:ascii="Arial" w:hAnsi="Arial" w:cs="Arial"/>
          <w:sz w:val="20"/>
          <w:szCs w:val="20"/>
          <w:highlight w:val="yellow"/>
          <w:lang w:val="en-US"/>
        </w:rPr>
        <w:t xml:space="preserve">series </w:t>
      </w:r>
      <w:r w:rsidR="005E2B8D" w:rsidRPr="00020F96">
        <w:rPr>
          <w:rFonts w:ascii="Arial" w:hAnsi="Arial" w:cs="Arial"/>
          <w:sz w:val="20"/>
          <w:szCs w:val="20"/>
          <w:highlight w:val="yellow"/>
          <w:lang w:val="en-US"/>
        </w:rPr>
        <w:t>are</w:t>
      </w:r>
      <w:r w:rsidR="005E2B8D" w:rsidRPr="00DC3A0E">
        <w:rPr>
          <w:rFonts w:ascii="Arial" w:hAnsi="Arial" w:cs="Arial"/>
          <w:sz w:val="20"/>
          <w:szCs w:val="20"/>
          <w:lang w:val="en-US"/>
        </w:rPr>
        <w:t xml:space="preserve"> </w:t>
      </w:r>
      <w:r w:rsidRPr="00DC3A0E">
        <w:rPr>
          <w:rFonts w:ascii="Arial" w:hAnsi="Arial" w:cs="Arial"/>
          <w:sz w:val="20"/>
          <w:szCs w:val="20"/>
          <w:lang w:val="en-US"/>
        </w:rPr>
        <w:t>statistically related or co-integrated since the error correction model can be formally derived from the properties of the integrated time series. A vector error correction (VEC) is useful for non-stationary series that are known to be co-integrated. This has the advantage of the co-integration relations built into the specifications</w:t>
      </w:r>
      <w:r w:rsidR="005E2B8D">
        <w:rPr>
          <w:rFonts w:ascii="Arial" w:hAnsi="Arial" w:cs="Arial"/>
          <w:sz w:val="20"/>
          <w:szCs w:val="20"/>
          <w:lang w:val="en-US"/>
        </w:rPr>
        <w:t>,</w:t>
      </w:r>
      <w:r w:rsidRPr="00DC3A0E">
        <w:rPr>
          <w:rFonts w:ascii="Arial" w:hAnsi="Arial" w:cs="Arial"/>
          <w:sz w:val="20"/>
          <w:szCs w:val="20"/>
          <w:lang w:val="en-US"/>
        </w:rPr>
        <w:t xml:space="preserve"> so that it restricts the </w:t>
      </w:r>
      <w:r w:rsidR="005E2B8D" w:rsidRPr="00020F96">
        <w:rPr>
          <w:rFonts w:ascii="Arial" w:hAnsi="Arial" w:cs="Arial"/>
          <w:sz w:val="20"/>
          <w:szCs w:val="20"/>
          <w:highlight w:val="yellow"/>
          <w:lang w:val="en-US"/>
        </w:rPr>
        <w:t>long-run</w:t>
      </w:r>
      <w:r w:rsidRPr="00020F96">
        <w:rPr>
          <w:rFonts w:ascii="Arial" w:hAnsi="Arial" w:cs="Arial"/>
          <w:sz w:val="20"/>
          <w:szCs w:val="20"/>
          <w:highlight w:val="yellow"/>
          <w:lang w:val="en-US"/>
        </w:rPr>
        <w:t xml:space="preserve"> </w:t>
      </w:r>
      <w:proofErr w:type="spellStart"/>
      <w:r w:rsidR="005E2B8D" w:rsidRPr="00020F96">
        <w:rPr>
          <w:rFonts w:ascii="Arial" w:hAnsi="Arial" w:cs="Arial"/>
          <w:sz w:val="20"/>
          <w:szCs w:val="20"/>
          <w:highlight w:val="yellow"/>
          <w:lang w:val="en-US"/>
        </w:rPr>
        <w:t>behaviour</w:t>
      </w:r>
      <w:proofErr w:type="spellEnd"/>
      <w:r w:rsidR="005E2B8D" w:rsidRPr="00020F96">
        <w:rPr>
          <w:rFonts w:ascii="Arial" w:hAnsi="Arial" w:cs="Arial"/>
          <w:sz w:val="20"/>
          <w:szCs w:val="20"/>
          <w:highlight w:val="yellow"/>
          <w:lang w:val="en-US"/>
        </w:rPr>
        <w:t xml:space="preserve"> </w:t>
      </w:r>
      <w:r w:rsidRPr="00020F96">
        <w:rPr>
          <w:rFonts w:ascii="Arial" w:hAnsi="Arial" w:cs="Arial"/>
          <w:sz w:val="20"/>
          <w:szCs w:val="20"/>
          <w:highlight w:val="yellow"/>
          <w:lang w:val="en-US"/>
        </w:rPr>
        <w:t>of</w:t>
      </w:r>
      <w:r w:rsidRPr="00DC3A0E">
        <w:rPr>
          <w:rFonts w:ascii="Arial" w:hAnsi="Arial" w:cs="Arial"/>
          <w:sz w:val="20"/>
          <w:szCs w:val="20"/>
          <w:lang w:val="en-US"/>
        </w:rPr>
        <w:t xml:space="preserve"> the endogenous variables to converge to their co-integrating relationships while allowing for short-run dynamics. The co-integration term is known as the error correction term since the deviation from </w:t>
      </w:r>
      <w:r w:rsidR="005E2B8D">
        <w:rPr>
          <w:rFonts w:ascii="Arial" w:hAnsi="Arial" w:cs="Arial"/>
          <w:sz w:val="20"/>
          <w:szCs w:val="20"/>
          <w:lang w:val="en-US"/>
        </w:rPr>
        <w:t xml:space="preserve">the </w:t>
      </w:r>
      <w:r w:rsidRPr="00DC3A0E">
        <w:rPr>
          <w:rFonts w:ascii="Arial" w:hAnsi="Arial" w:cs="Arial"/>
          <w:sz w:val="20"/>
          <w:szCs w:val="20"/>
          <w:lang w:val="en-US"/>
        </w:rPr>
        <w:t>long-run equilibrium is corrected gradually through a series of partial adjustments. Consider a two-variable system with one co-integrating equation and no lagged difference terms</w:t>
      </w:r>
      <w:r w:rsidR="00AA24F7">
        <w:rPr>
          <w:rFonts w:ascii="Arial" w:hAnsi="Arial" w:cs="Arial"/>
          <w:sz w:val="20"/>
          <w:szCs w:val="20"/>
          <w:lang w:val="en-US"/>
        </w:rPr>
        <w:t xml:space="preserve"> (</w:t>
      </w:r>
      <w:proofErr w:type="spellStart"/>
      <w:r w:rsidR="00AA24F7" w:rsidRPr="00AA24F7">
        <w:rPr>
          <w:rFonts w:ascii="Arial" w:hAnsi="Arial" w:cs="Arial"/>
          <w:sz w:val="20"/>
          <w:szCs w:val="20"/>
          <w:lang w:val="en-US"/>
        </w:rPr>
        <w:t>Chaithra</w:t>
      </w:r>
      <w:proofErr w:type="spellEnd"/>
      <w:r w:rsidR="00AA24F7" w:rsidRPr="00AA24F7">
        <w:rPr>
          <w:rFonts w:ascii="Arial" w:hAnsi="Arial" w:cs="Arial"/>
          <w:sz w:val="20"/>
          <w:szCs w:val="20"/>
          <w:lang w:val="en-US"/>
        </w:rPr>
        <w:t>,</w:t>
      </w:r>
      <w:r w:rsidR="00AA24F7">
        <w:rPr>
          <w:rFonts w:ascii="Arial" w:hAnsi="Arial" w:cs="Arial"/>
          <w:sz w:val="20"/>
          <w:szCs w:val="20"/>
          <w:lang w:val="en-US"/>
        </w:rPr>
        <w:t xml:space="preserve"> </w:t>
      </w:r>
      <w:r w:rsidR="00AA24F7" w:rsidRPr="00AA24F7">
        <w:rPr>
          <w:rFonts w:ascii="Arial" w:hAnsi="Arial" w:cs="Arial"/>
          <w:sz w:val="20"/>
          <w:szCs w:val="20"/>
          <w:lang w:val="en-US"/>
        </w:rPr>
        <w:t>2015).</w:t>
      </w:r>
      <w:r w:rsidRPr="00DC3A0E">
        <w:rPr>
          <w:rFonts w:ascii="Arial" w:hAnsi="Arial" w:cs="Arial"/>
          <w:sz w:val="20"/>
          <w:szCs w:val="20"/>
          <w:lang w:val="en-US"/>
        </w:rPr>
        <w:t xml:space="preserve"> The co-integrating equation is:</w:t>
      </w:r>
    </w:p>
    <w:p w14:paraId="15A5A817" w14:textId="77777777" w:rsidR="00DC3A0E" w:rsidRDefault="00DC3A0E" w:rsidP="00D30290">
      <w:pPr>
        <w:spacing w:line="360" w:lineRule="auto"/>
        <w:jc w:val="both"/>
        <w:rPr>
          <w:rFonts w:ascii="Arial" w:hAnsi="Arial" w:cs="Arial"/>
          <w:sz w:val="20"/>
          <w:szCs w:val="20"/>
          <w:lang w:val="en-US"/>
        </w:rPr>
      </w:pPr>
      <w:r w:rsidRPr="00DC3A0E">
        <w:rPr>
          <w:rFonts w:ascii="Arial" w:hAnsi="Arial" w:cs="Arial"/>
          <w:sz w:val="20"/>
          <w:szCs w:val="20"/>
          <w:lang w:val="en-US"/>
        </w:rPr>
        <w:t>The corresponding VEC model is:</w:t>
      </w:r>
      <w:bookmarkStart w:id="0" w:name="_GoBack"/>
      <w:bookmarkEnd w:id="0"/>
    </w:p>
    <w:p w14:paraId="7BB54699" w14:textId="77777777" w:rsidR="00DC3A0E" w:rsidRPr="00DC3A0E" w:rsidRDefault="00DC3A0E" w:rsidP="004F46EE">
      <w:pPr>
        <w:spacing w:after="0" w:line="360" w:lineRule="auto"/>
        <w:jc w:val="both"/>
        <w:rPr>
          <w:rFonts w:ascii="Arial" w:hAnsi="Arial" w:cs="Arial"/>
          <w:sz w:val="20"/>
          <w:szCs w:val="20"/>
        </w:rPr>
      </w:pPr>
      <m:oMathPara>
        <m:oMath>
          <m:r>
            <w:rPr>
              <w:rFonts w:ascii="Cambria Math" w:hAnsi="Cambria Math" w:cs="Arial"/>
              <w:sz w:val="20"/>
              <w:szCs w:val="20"/>
            </w:rPr>
            <w:lastRenderedPageBreak/>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Cambria Math" w:cs="Arial"/>
              <w:sz w:val="20"/>
              <w:szCs w:val="20"/>
            </w:rPr>
            <m:t>= π</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t-1</m:t>
              </m:r>
            </m:sub>
          </m:sSub>
          <m:r>
            <w:rPr>
              <w:rFonts w:ascii="Cambria Math" w:hAnsi="Cambria Math" w:cs="Arial"/>
              <w:sz w:val="20"/>
              <w:szCs w:val="20"/>
            </w:rPr>
            <m:t xml:space="preserve">+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p-1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t-1</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74626812" w14:textId="77777777" w:rsidR="00DC3A0E" w:rsidRPr="00DC3A0E" w:rsidRDefault="00DC3A0E" w:rsidP="004F46EE">
      <w:pPr>
        <w:spacing w:after="0" w:line="360" w:lineRule="auto"/>
        <w:ind w:firstLine="720"/>
        <w:jc w:val="both"/>
        <w:rPr>
          <w:rFonts w:ascii="Arial" w:hAnsi="Arial" w:cs="Arial"/>
          <w:sz w:val="20"/>
          <w:szCs w:val="20"/>
        </w:rPr>
      </w:pPr>
      <w:r w:rsidRPr="00DC3A0E">
        <w:rPr>
          <w:rFonts w:ascii="Arial" w:hAnsi="Arial" w:cs="Arial"/>
          <w:sz w:val="20"/>
          <w:szCs w:val="20"/>
        </w:rPr>
        <w:t>Where,</w:t>
      </w:r>
    </w:p>
    <w:p w14:paraId="7E3F6A8E" w14:textId="77777777" w:rsidR="00DC3A0E" w:rsidRPr="00DC3A0E" w:rsidRDefault="00DC3A0E" w:rsidP="004F46EE">
      <w:pPr>
        <w:spacing w:after="0" w:line="360" w:lineRule="auto"/>
        <w:ind w:left="1080" w:firstLine="360"/>
        <w:jc w:val="both"/>
        <w:rPr>
          <w:rFonts w:ascii="Arial" w:hAnsi="Arial" w:cs="Arial"/>
          <w:sz w:val="20"/>
          <w:szCs w:val="20"/>
        </w:rPr>
      </w:pPr>
      <w:proofErr w:type="spellStart"/>
      <w:r w:rsidRPr="00DC3A0E">
        <w:rPr>
          <w:rFonts w:ascii="Arial" w:hAnsi="Arial" w:cs="Arial"/>
          <w:sz w:val="20"/>
          <w:szCs w:val="20"/>
        </w:rPr>
        <w:t>ΔX</w:t>
      </w:r>
      <w:r w:rsidRPr="00DC3A0E">
        <w:rPr>
          <w:rFonts w:ascii="Arial" w:hAnsi="Arial" w:cs="Arial"/>
          <w:sz w:val="20"/>
          <w:szCs w:val="20"/>
          <w:vertAlign w:val="subscript"/>
        </w:rPr>
        <w:t>t</w:t>
      </w:r>
      <w:proofErr w:type="spellEnd"/>
      <w:r w:rsidRPr="00DC3A0E">
        <w:rPr>
          <w:rFonts w:ascii="Arial" w:hAnsi="Arial" w:cs="Arial"/>
          <w:sz w:val="20"/>
          <w:szCs w:val="20"/>
        </w:rPr>
        <w:t xml:space="preserve"> = The first difference of the variable(s). </w:t>
      </w:r>
    </w:p>
    <w:p w14:paraId="61E7B8B4" w14:textId="77777777" w:rsidR="00DC3A0E" w:rsidRPr="00DC3A0E" w:rsidRDefault="00DC3A0E" w:rsidP="004F46EE">
      <w:pPr>
        <w:spacing w:after="0" w:line="360" w:lineRule="auto"/>
        <w:ind w:left="720" w:firstLine="720"/>
        <w:jc w:val="both"/>
        <w:rPr>
          <w:rFonts w:ascii="Arial" w:hAnsi="Arial" w:cs="Arial"/>
          <w:sz w:val="20"/>
          <w:szCs w:val="20"/>
        </w:rPr>
      </w:pPr>
      <w:r w:rsidRPr="00DC3A0E">
        <w:rPr>
          <w:rFonts w:ascii="Arial" w:hAnsi="Arial" w:cs="Arial"/>
          <w:sz w:val="20"/>
          <w:szCs w:val="20"/>
        </w:rPr>
        <w:t>ΠX</w:t>
      </w:r>
      <w:r w:rsidRPr="00DC3A0E">
        <w:rPr>
          <w:rFonts w:ascii="Arial" w:hAnsi="Arial" w:cs="Arial"/>
          <w:sz w:val="20"/>
          <w:szCs w:val="20"/>
          <w:vertAlign w:val="subscript"/>
        </w:rPr>
        <w:t>t−1</w:t>
      </w:r>
      <w:r w:rsidRPr="00DC3A0E">
        <w:rPr>
          <w:rFonts w:ascii="Arial" w:hAnsi="Arial" w:cs="Arial"/>
          <w:sz w:val="20"/>
          <w:szCs w:val="20"/>
        </w:rPr>
        <w:t xml:space="preserve"> = The error correction term.</w:t>
      </w:r>
    </w:p>
    <w:p w14:paraId="11A5B99E" w14:textId="77777777" w:rsidR="00DC3A0E" w:rsidRPr="00DC3A0E" w:rsidRDefault="00DC3A0E" w:rsidP="004F46EE">
      <w:pPr>
        <w:spacing w:after="0" w:line="360" w:lineRule="auto"/>
        <w:ind w:left="1440"/>
        <w:jc w:val="both"/>
        <w:rPr>
          <w:rFonts w:ascii="Arial" w:hAnsi="Arial" w:cs="Arial"/>
          <w:sz w:val="20"/>
          <w:szCs w:val="20"/>
        </w:rPr>
      </w:pPr>
      <w:r w:rsidRPr="00DC3A0E">
        <w:rPr>
          <w:rFonts w:ascii="Arial" w:hAnsi="Arial" w:cs="Arial"/>
          <w:sz w:val="20"/>
          <w:szCs w:val="20"/>
        </w:rPr>
        <w:t>The matrix Π=αβ′,</w:t>
      </w:r>
    </w:p>
    <w:p w14:paraId="1DCEAF47" w14:textId="77777777" w:rsidR="00DC3A0E" w:rsidRPr="00DC3A0E" w:rsidRDefault="00DC3A0E" w:rsidP="004F46EE">
      <w:pPr>
        <w:spacing w:after="0" w:line="360" w:lineRule="auto"/>
        <w:ind w:left="1440"/>
        <w:jc w:val="both"/>
        <w:rPr>
          <w:rFonts w:ascii="Arial" w:hAnsi="Arial" w:cs="Arial"/>
          <w:sz w:val="20"/>
          <w:szCs w:val="20"/>
        </w:rPr>
      </w:pPr>
      <w:r w:rsidRPr="00DC3A0E">
        <w:rPr>
          <w:rFonts w:ascii="Arial" w:hAnsi="Arial" w:cs="Arial"/>
          <w:sz w:val="20"/>
          <w:szCs w:val="20"/>
        </w:rPr>
        <w:t xml:space="preserve"> where:</w:t>
      </w:r>
    </w:p>
    <w:p w14:paraId="1D26F835" w14:textId="77777777" w:rsidR="00DC3A0E" w:rsidRPr="00DC3A0E" w:rsidRDefault="00DC3A0E" w:rsidP="004F46EE">
      <w:pPr>
        <w:spacing w:after="0" w:line="360" w:lineRule="auto"/>
        <w:ind w:left="2160"/>
        <w:jc w:val="both"/>
        <w:rPr>
          <w:rFonts w:ascii="Arial" w:hAnsi="Arial" w:cs="Arial"/>
          <w:sz w:val="20"/>
          <w:szCs w:val="20"/>
        </w:rPr>
      </w:pPr>
      <w:r w:rsidRPr="00DC3A0E">
        <w:rPr>
          <w:rFonts w:ascii="Arial" w:hAnsi="Arial" w:cs="Arial"/>
          <w:sz w:val="20"/>
          <w:szCs w:val="20"/>
        </w:rPr>
        <w:t>α: The adjustment coefficients, indicating the speed at which deviations from equilibrium are corrected.</w:t>
      </w:r>
    </w:p>
    <w:p w14:paraId="7B0CD2AE" w14:textId="77777777" w:rsidR="00DC3A0E" w:rsidRPr="00DC3A0E" w:rsidRDefault="00DC3A0E" w:rsidP="004F46EE">
      <w:pPr>
        <w:spacing w:after="0" w:line="360" w:lineRule="auto"/>
        <w:ind w:left="2160"/>
        <w:jc w:val="both"/>
        <w:rPr>
          <w:rFonts w:ascii="Arial" w:hAnsi="Arial" w:cs="Arial"/>
          <w:sz w:val="20"/>
          <w:szCs w:val="20"/>
        </w:rPr>
      </w:pPr>
      <w:r w:rsidRPr="00DC3A0E">
        <w:rPr>
          <w:rFonts w:ascii="Arial" w:hAnsi="Arial" w:cs="Arial"/>
          <w:sz w:val="20"/>
          <w:szCs w:val="20"/>
        </w:rPr>
        <w:t>β′: The cointegrating vectors, representing the long-term relationships.</w:t>
      </w:r>
    </w:p>
    <w:p w14:paraId="35FB5DB7" w14:textId="77777777" w:rsidR="00DC3A0E" w:rsidRPr="00DC3A0E" w:rsidRDefault="00006D9D" w:rsidP="004F46EE">
      <w:pPr>
        <w:spacing w:after="0" w:line="360" w:lineRule="auto"/>
        <w:ind w:left="1440" w:firstLine="720"/>
        <w:jc w:val="both"/>
        <w:rPr>
          <w:rFonts w:ascii="Arial" w:hAnsi="Arial" w:cs="Arial"/>
          <w:sz w:val="20"/>
          <w:szCs w:val="20"/>
        </w:rPr>
      </w:pPr>
      <m:oMath>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p-1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t-1</m:t>
                </m:r>
              </m:sub>
            </m:sSub>
          </m:e>
        </m:nary>
      </m:oMath>
      <w:r w:rsidR="00DC3A0E" w:rsidRPr="00DC3A0E">
        <w:rPr>
          <w:rFonts w:ascii="Arial" w:hAnsi="Arial" w:cs="Arial"/>
          <w:sz w:val="20"/>
          <w:szCs w:val="20"/>
        </w:rPr>
        <w:t>: Captures the short-term dynamics through the lagged differences.</w:t>
      </w:r>
    </w:p>
    <w:p w14:paraId="0746FCBE" w14:textId="77777777" w:rsidR="00DC3A0E" w:rsidRPr="00DC3A0E" w:rsidRDefault="00006D9D" w:rsidP="004F46EE">
      <w:pPr>
        <w:spacing w:after="0" w:line="360" w:lineRule="auto"/>
        <w:ind w:left="1440" w:firstLine="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00DC3A0E" w:rsidRPr="00DC3A0E">
        <w:rPr>
          <w:rFonts w:ascii="Arial" w:hAnsi="Arial" w:cs="Arial"/>
          <w:sz w:val="20"/>
          <w:szCs w:val="20"/>
        </w:rPr>
        <w:t>: The error term or residual, assumed to be white noise.</w:t>
      </w:r>
    </w:p>
    <w:p w14:paraId="495AAE89" w14:textId="0AFEDC54" w:rsidR="00DC3A0E" w:rsidRPr="00DC3A0E" w:rsidRDefault="00DC3A0E" w:rsidP="00D30290">
      <w:pPr>
        <w:spacing w:line="360" w:lineRule="auto"/>
        <w:jc w:val="both"/>
        <w:rPr>
          <w:rFonts w:ascii="Arial" w:hAnsi="Arial" w:cs="Arial"/>
          <w:sz w:val="20"/>
          <w:szCs w:val="20"/>
        </w:rPr>
      </w:pPr>
      <w:r w:rsidRPr="00DC3A0E">
        <w:rPr>
          <w:rFonts w:ascii="Arial" w:hAnsi="Arial" w:cs="Arial"/>
          <w:sz w:val="20"/>
          <w:szCs w:val="20"/>
        </w:rPr>
        <w:t>In this simple model, the only right-hand side variable is the error correction term. In the long run equilibrium, this term is zero. However, if x</w:t>
      </w:r>
      <w:r w:rsidRPr="00DC3A0E">
        <w:rPr>
          <w:rFonts w:ascii="Arial" w:hAnsi="Arial" w:cs="Arial"/>
          <w:sz w:val="20"/>
          <w:szCs w:val="20"/>
          <w:vertAlign w:val="subscript"/>
        </w:rPr>
        <w:t>1</w:t>
      </w:r>
      <w:r w:rsidRPr="00DC3A0E">
        <w:rPr>
          <w:rFonts w:ascii="Arial" w:hAnsi="Arial" w:cs="Arial"/>
          <w:sz w:val="20"/>
          <w:szCs w:val="20"/>
        </w:rPr>
        <w:t xml:space="preserve"> and x</w:t>
      </w:r>
      <w:r w:rsidRPr="00DC3A0E">
        <w:rPr>
          <w:rFonts w:ascii="Arial" w:hAnsi="Arial" w:cs="Arial"/>
          <w:sz w:val="20"/>
          <w:szCs w:val="20"/>
          <w:vertAlign w:val="subscript"/>
        </w:rPr>
        <w:t>2</w:t>
      </w:r>
      <w:r w:rsidRPr="00DC3A0E">
        <w:rPr>
          <w:rFonts w:ascii="Arial" w:hAnsi="Arial" w:cs="Arial"/>
          <w:sz w:val="20"/>
          <w:szCs w:val="20"/>
        </w:rPr>
        <w:t xml:space="preserve"> deviate from the </w:t>
      </w:r>
      <w:r w:rsidR="005E2B8D" w:rsidRPr="00020F96">
        <w:rPr>
          <w:rFonts w:ascii="Arial" w:hAnsi="Arial" w:cs="Arial"/>
          <w:sz w:val="20"/>
          <w:szCs w:val="20"/>
          <w:highlight w:val="yellow"/>
        </w:rPr>
        <w:t>long-run</w:t>
      </w:r>
      <w:r w:rsidRPr="00DC3A0E">
        <w:rPr>
          <w:rFonts w:ascii="Arial" w:hAnsi="Arial" w:cs="Arial"/>
          <w:sz w:val="20"/>
          <w:szCs w:val="20"/>
        </w:rPr>
        <w:t xml:space="preserve"> equilibrium, the error correction term will be nonzero</w:t>
      </w:r>
      <w:r w:rsidR="005E2B8D">
        <w:rPr>
          <w:rFonts w:ascii="Arial" w:hAnsi="Arial" w:cs="Arial"/>
          <w:sz w:val="20"/>
          <w:szCs w:val="20"/>
        </w:rPr>
        <w:t>,</w:t>
      </w:r>
      <w:r w:rsidRPr="00DC3A0E">
        <w:rPr>
          <w:rFonts w:ascii="Arial" w:hAnsi="Arial" w:cs="Arial"/>
          <w:sz w:val="20"/>
          <w:szCs w:val="20"/>
        </w:rPr>
        <w:t xml:space="preserve"> and each variable adjusts to partially restore the equilibrium relation. The coefficient α</w:t>
      </w:r>
      <w:r w:rsidRPr="00DC3A0E">
        <w:rPr>
          <w:rFonts w:ascii="Arial" w:hAnsi="Arial" w:cs="Arial"/>
          <w:sz w:val="20"/>
          <w:szCs w:val="20"/>
          <w:vertAlign w:val="subscript"/>
        </w:rPr>
        <w:t>i</w:t>
      </w:r>
      <w:r w:rsidRPr="00DC3A0E">
        <w:rPr>
          <w:rFonts w:ascii="Arial" w:hAnsi="Arial" w:cs="Arial"/>
          <w:sz w:val="20"/>
          <w:szCs w:val="20"/>
        </w:rPr>
        <w:t xml:space="preserve"> measures the speed of adjustment of the </w:t>
      </w:r>
      <w:proofErr w:type="spellStart"/>
      <w:r w:rsidRPr="00DC3A0E">
        <w:rPr>
          <w:rFonts w:ascii="Arial" w:hAnsi="Arial" w:cs="Arial"/>
          <w:sz w:val="20"/>
          <w:szCs w:val="20"/>
        </w:rPr>
        <w:t>i</w:t>
      </w:r>
      <w:r w:rsidRPr="00DC3A0E">
        <w:rPr>
          <w:rFonts w:ascii="Arial" w:hAnsi="Arial" w:cs="Arial"/>
          <w:sz w:val="20"/>
          <w:szCs w:val="20"/>
          <w:vertAlign w:val="superscript"/>
        </w:rPr>
        <w:t>th</w:t>
      </w:r>
      <w:proofErr w:type="spellEnd"/>
      <w:r w:rsidRPr="00DC3A0E">
        <w:rPr>
          <w:rFonts w:ascii="Arial" w:hAnsi="Arial" w:cs="Arial"/>
          <w:sz w:val="20"/>
          <w:szCs w:val="20"/>
        </w:rPr>
        <w:t xml:space="preserve"> endogenous variable towards the equilibrium.</w:t>
      </w:r>
    </w:p>
    <w:p w14:paraId="4530E5EA" w14:textId="5388AD76" w:rsidR="00DC3A0E" w:rsidRPr="00DC3A0E" w:rsidRDefault="00DC3A0E" w:rsidP="00D30290">
      <w:pPr>
        <w:spacing w:line="360" w:lineRule="auto"/>
        <w:rPr>
          <w:rFonts w:ascii="Arial" w:hAnsi="Arial" w:cs="Arial"/>
          <w:sz w:val="20"/>
          <w:szCs w:val="20"/>
          <w:u w:val="single"/>
        </w:rPr>
      </w:pPr>
      <w:r w:rsidRPr="00DC3A0E">
        <w:rPr>
          <w:rFonts w:ascii="Arial" w:hAnsi="Arial" w:cs="Arial"/>
          <w:b/>
          <w:sz w:val="20"/>
          <w:szCs w:val="20"/>
          <w:u w:val="single"/>
        </w:rPr>
        <w:t>2.2.4 Granger causality test</w:t>
      </w:r>
      <w:r w:rsidRPr="00DC3A0E">
        <w:rPr>
          <w:rFonts w:ascii="Arial" w:hAnsi="Arial" w:cs="Arial"/>
          <w:sz w:val="20"/>
          <w:szCs w:val="20"/>
          <w:u w:val="single"/>
        </w:rPr>
        <w:t xml:space="preserve"> </w:t>
      </w:r>
    </w:p>
    <w:p w14:paraId="7FF12B21" w14:textId="15EA859B" w:rsidR="00DC3A0E" w:rsidRP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t xml:space="preserve">The mere existence of a relationship between variables does not prove causality or the direction of influence. There is a strong connection between co-integration and causality in such a way that at least one </w:t>
      </w:r>
      <w:r w:rsidR="005E2B8D" w:rsidRPr="00020F96">
        <w:rPr>
          <w:rFonts w:ascii="Arial" w:hAnsi="Arial" w:cs="Arial"/>
          <w:sz w:val="20"/>
          <w:szCs w:val="20"/>
          <w:highlight w:val="yellow"/>
        </w:rPr>
        <w:t xml:space="preserve">Granger </w:t>
      </w:r>
      <w:proofErr w:type="gramStart"/>
      <w:r w:rsidRPr="00020F96">
        <w:rPr>
          <w:rFonts w:ascii="Arial" w:hAnsi="Arial" w:cs="Arial"/>
          <w:sz w:val="20"/>
          <w:szCs w:val="20"/>
          <w:highlight w:val="yellow"/>
        </w:rPr>
        <w:t>c</w:t>
      </w:r>
      <w:r w:rsidRPr="00DC3A0E">
        <w:rPr>
          <w:rFonts w:ascii="Arial" w:hAnsi="Arial" w:cs="Arial"/>
          <w:sz w:val="20"/>
          <w:szCs w:val="20"/>
        </w:rPr>
        <w:t>ause</w:t>
      </w:r>
      <w:proofErr w:type="gramEnd"/>
      <w:r w:rsidRPr="00DC3A0E">
        <w:rPr>
          <w:rFonts w:ascii="Arial" w:hAnsi="Arial" w:cs="Arial"/>
          <w:sz w:val="20"/>
          <w:szCs w:val="20"/>
        </w:rPr>
        <w:t xml:space="preserve"> relationship must </w:t>
      </w:r>
      <w:r w:rsidR="005E2B8D" w:rsidRPr="00020F96">
        <w:rPr>
          <w:rFonts w:ascii="Arial" w:hAnsi="Arial" w:cs="Arial"/>
          <w:sz w:val="20"/>
          <w:szCs w:val="20"/>
          <w:highlight w:val="yellow"/>
        </w:rPr>
        <w:t xml:space="preserve">exist </w:t>
      </w:r>
      <w:r w:rsidRPr="00020F96">
        <w:rPr>
          <w:rFonts w:ascii="Arial" w:hAnsi="Arial" w:cs="Arial"/>
          <w:sz w:val="20"/>
          <w:szCs w:val="20"/>
          <w:highlight w:val="yellow"/>
        </w:rPr>
        <w:t>in the</w:t>
      </w:r>
      <w:r w:rsidRPr="00DC3A0E">
        <w:rPr>
          <w:rFonts w:ascii="Arial" w:hAnsi="Arial" w:cs="Arial"/>
          <w:sz w:val="20"/>
          <w:szCs w:val="20"/>
        </w:rPr>
        <w:t xml:space="preserve"> co-integration system (Sundaramoorthy et al., 2014). The price series P</w:t>
      </w:r>
      <w:r w:rsidRPr="00DC3A0E">
        <w:rPr>
          <w:rFonts w:ascii="Arial" w:hAnsi="Arial" w:cs="Arial"/>
          <w:sz w:val="20"/>
          <w:szCs w:val="20"/>
          <w:vertAlign w:val="subscript"/>
        </w:rPr>
        <w:t>1t</w:t>
      </w:r>
      <w:r w:rsidRPr="00DC3A0E">
        <w:rPr>
          <w:rFonts w:ascii="Arial" w:hAnsi="Arial" w:cs="Arial"/>
          <w:sz w:val="20"/>
          <w:szCs w:val="20"/>
        </w:rPr>
        <w:t xml:space="preserve"> can cause P</w:t>
      </w:r>
      <w:r w:rsidRPr="00DC3A0E">
        <w:rPr>
          <w:rFonts w:ascii="Arial" w:hAnsi="Arial" w:cs="Arial"/>
          <w:sz w:val="20"/>
          <w:szCs w:val="20"/>
          <w:vertAlign w:val="subscript"/>
        </w:rPr>
        <w:t>2t</w:t>
      </w:r>
      <w:r w:rsidRPr="00DC3A0E">
        <w:rPr>
          <w:rFonts w:ascii="Arial" w:hAnsi="Arial" w:cs="Arial"/>
          <w:sz w:val="20"/>
          <w:szCs w:val="20"/>
        </w:rPr>
        <w:t xml:space="preserve"> (P</w:t>
      </w:r>
      <w:r w:rsidRPr="00DC3A0E">
        <w:rPr>
          <w:rFonts w:ascii="Arial" w:hAnsi="Arial" w:cs="Arial"/>
          <w:sz w:val="20"/>
          <w:szCs w:val="20"/>
          <w:vertAlign w:val="subscript"/>
        </w:rPr>
        <w:t>1t</w:t>
      </w:r>
      <w:r w:rsidRPr="00DC3A0E">
        <w:rPr>
          <w:rFonts w:ascii="Arial" w:hAnsi="Arial" w:cs="Arial"/>
          <w:sz w:val="20"/>
          <w:szCs w:val="20"/>
        </w:rPr>
        <w:t xml:space="preserve"> → P</w:t>
      </w:r>
      <w:r w:rsidRPr="00DC3A0E">
        <w:rPr>
          <w:rFonts w:ascii="Arial" w:hAnsi="Arial" w:cs="Arial"/>
          <w:sz w:val="20"/>
          <w:szCs w:val="20"/>
          <w:vertAlign w:val="subscript"/>
        </w:rPr>
        <w:t>2</w:t>
      </w:r>
      <w:proofErr w:type="gramStart"/>
      <w:r w:rsidRPr="00DC3A0E">
        <w:rPr>
          <w:rFonts w:ascii="Arial" w:hAnsi="Arial" w:cs="Arial"/>
          <w:sz w:val="20"/>
          <w:szCs w:val="20"/>
          <w:vertAlign w:val="subscript"/>
        </w:rPr>
        <w:t>t</w:t>
      </w:r>
      <w:r w:rsidRPr="00DC3A0E">
        <w:rPr>
          <w:rFonts w:ascii="Arial" w:hAnsi="Arial" w:cs="Arial"/>
          <w:sz w:val="20"/>
          <w:szCs w:val="20"/>
        </w:rPr>
        <w:t xml:space="preserve"> )</w:t>
      </w:r>
      <w:proofErr w:type="gramEnd"/>
      <w:r w:rsidRPr="00DC3A0E">
        <w:rPr>
          <w:rFonts w:ascii="Arial" w:hAnsi="Arial" w:cs="Arial"/>
          <w:sz w:val="20"/>
          <w:szCs w:val="20"/>
        </w:rPr>
        <w:t xml:space="preserve"> or the price series P</w:t>
      </w:r>
      <w:r w:rsidRPr="00DC3A0E">
        <w:rPr>
          <w:rFonts w:ascii="Arial" w:hAnsi="Arial" w:cs="Arial"/>
          <w:sz w:val="20"/>
          <w:szCs w:val="20"/>
          <w:vertAlign w:val="subscript"/>
        </w:rPr>
        <w:t>2t</w:t>
      </w:r>
      <w:r w:rsidRPr="00DC3A0E">
        <w:rPr>
          <w:rFonts w:ascii="Arial" w:hAnsi="Arial" w:cs="Arial"/>
          <w:sz w:val="20"/>
          <w:szCs w:val="20"/>
        </w:rPr>
        <w:t xml:space="preserve"> can cause P</w:t>
      </w:r>
      <w:r w:rsidRPr="00DC3A0E">
        <w:rPr>
          <w:rFonts w:ascii="Arial" w:hAnsi="Arial" w:cs="Arial"/>
          <w:sz w:val="20"/>
          <w:szCs w:val="20"/>
          <w:vertAlign w:val="subscript"/>
        </w:rPr>
        <w:t>1t</w:t>
      </w:r>
      <w:r w:rsidRPr="00DC3A0E">
        <w:rPr>
          <w:rFonts w:ascii="Arial" w:hAnsi="Arial" w:cs="Arial"/>
          <w:sz w:val="20"/>
          <w:szCs w:val="20"/>
        </w:rPr>
        <w:t xml:space="preserve"> (P</w:t>
      </w:r>
      <w:r w:rsidRPr="00DC3A0E">
        <w:rPr>
          <w:rFonts w:ascii="Arial" w:hAnsi="Arial" w:cs="Arial"/>
          <w:sz w:val="20"/>
          <w:szCs w:val="20"/>
          <w:vertAlign w:val="subscript"/>
        </w:rPr>
        <w:t>2t</w:t>
      </w:r>
      <w:r w:rsidRPr="00DC3A0E">
        <w:rPr>
          <w:rFonts w:ascii="Arial" w:hAnsi="Arial" w:cs="Arial"/>
          <w:sz w:val="20"/>
          <w:szCs w:val="20"/>
        </w:rPr>
        <w:t xml:space="preserve"> → P</w:t>
      </w:r>
      <w:r w:rsidRPr="00DC3A0E">
        <w:rPr>
          <w:rFonts w:ascii="Arial" w:hAnsi="Arial" w:cs="Arial"/>
          <w:sz w:val="20"/>
          <w:szCs w:val="20"/>
          <w:vertAlign w:val="subscript"/>
        </w:rPr>
        <w:t>1t</w:t>
      </w:r>
      <w:r w:rsidRPr="00DC3A0E">
        <w:rPr>
          <w:rFonts w:ascii="Arial" w:hAnsi="Arial" w:cs="Arial"/>
          <w:sz w:val="20"/>
          <w:szCs w:val="20"/>
        </w:rPr>
        <w:t xml:space="preserve">), and the arrows show the direction of causality. The </w:t>
      </w:r>
      <w:r w:rsidR="005E2B8D" w:rsidRPr="00020F96">
        <w:rPr>
          <w:rFonts w:ascii="Arial" w:hAnsi="Arial" w:cs="Arial"/>
          <w:sz w:val="20"/>
          <w:szCs w:val="20"/>
          <w:highlight w:val="yellow"/>
        </w:rPr>
        <w:t>Granger</w:t>
      </w:r>
      <w:r w:rsidR="005E2B8D" w:rsidRPr="00DC3A0E">
        <w:rPr>
          <w:rFonts w:ascii="Arial" w:hAnsi="Arial" w:cs="Arial"/>
          <w:sz w:val="20"/>
          <w:szCs w:val="20"/>
        </w:rPr>
        <w:t xml:space="preserve"> </w:t>
      </w:r>
      <w:r w:rsidRPr="00DC3A0E">
        <w:rPr>
          <w:rFonts w:ascii="Arial" w:hAnsi="Arial" w:cs="Arial"/>
          <w:sz w:val="20"/>
          <w:szCs w:val="20"/>
        </w:rPr>
        <w:t>causality test assumes that the information relevant to the prediction of the respective variables, P</w:t>
      </w:r>
      <w:r w:rsidRPr="00DC3A0E">
        <w:rPr>
          <w:rFonts w:ascii="Arial" w:hAnsi="Arial" w:cs="Arial"/>
          <w:sz w:val="20"/>
          <w:szCs w:val="20"/>
          <w:vertAlign w:val="subscript"/>
        </w:rPr>
        <w:t>1t</w:t>
      </w:r>
      <w:r w:rsidRPr="00DC3A0E">
        <w:rPr>
          <w:rFonts w:ascii="Arial" w:hAnsi="Arial" w:cs="Arial"/>
          <w:sz w:val="20"/>
          <w:szCs w:val="20"/>
        </w:rPr>
        <w:t xml:space="preserve"> and P</w:t>
      </w:r>
      <w:r w:rsidRPr="00DC3A0E">
        <w:rPr>
          <w:rFonts w:ascii="Arial" w:hAnsi="Arial" w:cs="Arial"/>
          <w:sz w:val="20"/>
          <w:szCs w:val="20"/>
          <w:vertAlign w:val="subscript"/>
        </w:rPr>
        <w:t>2t</w:t>
      </w:r>
      <w:r w:rsidRPr="00DC3A0E">
        <w:rPr>
          <w:rFonts w:ascii="Arial" w:hAnsi="Arial" w:cs="Arial"/>
          <w:sz w:val="20"/>
          <w:szCs w:val="20"/>
        </w:rPr>
        <w:t>, is contained in the time series data of these variables under study. The test involves estimating the following pair of regressions:</w:t>
      </w:r>
    </w:p>
    <w:p w14:paraId="2FB60119" w14:textId="77777777" w:rsidR="00DC3A0E" w:rsidRPr="00DC3A0E" w:rsidRDefault="00006D9D" w:rsidP="00D30290">
      <w:pPr>
        <w:spacing w:line="360" w:lineRule="auto"/>
        <w:ind w:firstLine="72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1t</m:t>
              </m:r>
            </m:sub>
          </m:sSub>
          <m:r>
            <w:rPr>
              <w:rFonts w:ascii="Cambria Math" w:hAnsi="Cambria Math" w:cs="Arial"/>
              <w:sz w:val="20"/>
              <w:szCs w:val="20"/>
            </w:rPr>
            <m:t xml:space="preserve">= α+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1t-i</m:t>
                  </m:r>
                </m:sub>
              </m:sSub>
            </m:e>
          </m:nary>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2t-j</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1t</m:t>
              </m:r>
            </m:sub>
          </m:sSub>
        </m:oMath>
      </m:oMathPara>
    </w:p>
    <w:p w14:paraId="7454F7F1" w14:textId="77777777" w:rsidR="00DC3A0E" w:rsidRPr="00DC3A0E" w:rsidRDefault="00006D9D" w:rsidP="00D30290">
      <w:pPr>
        <w:spacing w:line="360" w:lineRule="auto"/>
        <w:ind w:firstLine="72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2t</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α</m:t>
              </m:r>
            </m:e>
            <m:sup>
              <m:r>
                <w:rPr>
                  <w:rFonts w:ascii="Cambria Math" w:hAnsi="Cambria Math" w:cs="Arial"/>
                  <w:sz w:val="20"/>
                  <w:szCs w:val="20"/>
                </w:rPr>
                <m:t>'</m:t>
              </m:r>
            </m:sup>
          </m:sSup>
          <m:r>
            <w:rPr>
              <w:rFonts w:ascii="Cambria Math" w:hAnsi="Cambria Math" w:cs="Arial"/>
              <w:sz w:val="20"/>
              <w:szCs w:val="20"/>
            </w:rPr>
            <m:t xml:space="preserve">+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1t-i</m:t>
                  </m:r>
                </m:sub>
              </m:sSub>
            </m:e>
          </m:nary>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2t-j</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2t</m:t>
              </m:r>
            </m:sub>
          </m:sSub>
        </m:oMath>
      </m:oMathPara>
    </w:p>
    <w:p w14:paraId="7AB8CCE9" w14:textId="77777777" w:rsidR="00DC3A0E" w:rsidRPr="00DC3A0E" w:rsidRDefault="00DC3A0E" w:rsidP="00D30290">
      <w:pPr>
        <w:spacing w:line="360" w:lineRule="auto"/>
        <w:ind w:firstLine="720"/>
        <w:jc w:val="both"/>
        <w:rPr>
          <w:rFonts w:ascii="Arial" w:hAnsi="Arial" w:cs="Arial"/>
          <w:sz w:val="20"/>
          <w:szCs w:val="20"/>
        </w:rPr>
      </w:pPr>
    </w:p>
    <w:p w14:paraId="1E9A0A4C" w14:textId="411E26A7" w:rsidR="00DC3A0E" w:rsidRPr="00DC3A0E" w:rsidRDefault="00DC3A0E" w:rsidP="00D30290">
      <w:pPr>
        <w:spacing w:line="360" w:lineRule="auto"/>
        <w:rPr>
          <w:rFonts w:ascii="Arial" w:hAnsi="Arial" w:cs="Arial"/>
          <w:b/>
          <w:bCs/>
          <w:sz w:val="20"/>
          <w:szCs w:val="20"/>
        </w:rPr>
      </w:pPr>
      <w:r w:rsidRPr="00DC3A0E">
        <w:rPr>
          <w:rFonts w:ascii="Arial" w:hAnsi="Arial" w:cs="Arial"/>
          <w:sz w:val="20"/>
          <w:szCs w:val="20"/>
        </w:rPr>
        <w:t>It is assumed that the disturbances u</w:t>
      </w:r>
      <w:r w:rsidRPr="00DC3A0E">
        <w:rPr>
          <w:rFonts w:ascii="Arial" w:hAnsi="Arial" w:cs="Arial"/>
          <w:sz w:val="20"/>
          <w:szCs w:val="20"/>
          <w:vertAlign w:val="subscript"/>
        </w:rPr>
        <w:t>1t</w:t>
      </w:r>
      <w:r w:rsidRPr="00DC3A0E">
        <w:rPr>
          <w:rFonts w:ascii="Arial" w:hAnsi="Arial" w:cs="Arial"/>
          <w:sz w:val="20"/>
          <w:szCs w:val="20"/>
        </w:rPr>
        <w:t xml:space="preserve"> and u</w:t>
      </w:r>
      <w:r w:rsidRPr="00DC3A0E">
        <w:rPr>
          <w:rFonts w:ascii="Arial" w:hAnsi="Arial" w:cs="Arial"/>
          <w:sz w:val="20"/>
          <w:szCs w:val="20"/>
          <w:vertAlign w:val="subscript"/>
        </w:rPr>
        <w:t>2t</w:t>
      </w:r>
      <w:r w:rsidRPr="00DC3A0E">
        <w:rPr>
          <w:rFonts w:ascii="Arial" w:hAnsi="Arial" w:cs="Arial"/>
          <w:sz w:val="20"/>
          <w:szCs w:val="20"/>
        </w:rPr>
        <w:t xml:space="preserve"> are uncorrelated and based on the significance of the lagged coefficients</w:t>
      </w:r>
      <w:r w:rsidR="005E2B8D">
        <w:rPr>
          <w:rFonts w:ascii="Arial" w:hAnsi="Arial" w:cs="Arial"/>
          <w:sz w:val="20"/>
          <w:szCs w:val="20"/>
        </w:rPr>
        <w:t>,</w:t>
      </w:r>
      <w:r w:rsidRPr="00DC3A0E">
        <w:rPr>
          <w:rFonts w:ascii="Arial" w:hAnsi="Arial" w:cs="Arial"/>
          <w:sz w:val="20"/>
          <w:szCs w:val="20"/>
        </w:rPr>
        <w:t xml:space="preserve"> the causality is determined (Gujarati </w:t>
      </w:r>
      <w:r w:rsidRPr="00DC3A0E">
        <w:rPr>
          <w:rFonts w:ascii="Arial" w:hAnsi="Arial" w:cs="Arial"/>
          <w:i/>
          <w:sz w:val="20"/>
          <w:szCs w:val="20"/>
        </w:rPr>
        <w:t>et al</w:t>
      </w:r>
      <w:r w:rsidRPr="00DC3A0E">
        <w:rPr>
          <w:rFonts w:ascii="Arial" w:hAnsi="Arial" w:cs="Arial"/>
          <w:sz w:val="20"/>
          <w:szCs w:val="20"/>
        </w:rPr>
        <w:t>., 2009).</w:t>
      </w:r>
    </w:p>
    <w:p w14:paraId="7C2C0D10" w14:textId="5412CB79" w:rsidR="00122430" w:rsidRPr="00444B72" w:rsidRDefault="00AF1E9C" w:rsidP="00D30290">
      <w:pPr>
        <w:spacing w:after="120" w:line="360" w:lineRule="auto"/>
        <w:jc w:val="both"/>
        <w:rPr>
          <w:rFonts w:ascii="Arial" w:hAnsi="Arial" w:cs="Arial"/>
          <w:b/>
          <w:bCs/>
        </w:rPr>
      </w:pPr>
      <w:r w:rsidRPr="00444B72">
        <w:rPr>
          <w:rFonts w:ascii="Arial" w:hAnsi="Arial" w:cs="Arial"/>
          <w:b/>
          <w:bCs/>
        </w:rPr>
        <w:t>3</w:t>
      </w:r>
      <w:r w:rsidR="00444B72" w:rsidRPr="00444B72">
        <w:rPr>
          <w:rFonts w:ascii="Arial" w:hAnsi="Arial" w:cs="Arial"/>
          <w:b/>
          <w:bCs/>
        </w:rPr>
        <w:t>.</w:t>
      </w:r>
      <w:r w:rsidRPr="00444B72">
        <w:rPr>
          <w:rFonts w:ascii="Arial" w:hAnsi="Arial" w:cs="Arial"/>
          <w:b/>
          <w:bCs/>
        </w:rPr>
        <w:t xml:space="preserve"> </w:t>
      </w:r>
      <w:r w:rsidR="00122430" w:rsidRPr="00444B72">
        <w:rPr>
          <w:rFonts w:ascii="Arial" w:hAnsi="Arial" w:cs="Arial"/>
          <w:b/>
          <w:bCs/>
        </w:rPr>
        <w:t>Result and Discussion</w:t>
      </w:r>
      <w:r w:rsidR="00B60D2B" w:rsidRPr="00444B72">
        <w:rPr>
          <w:rFonts w:ascii="Arial" w:hAnsi="Arial" w:cs="Arial"/>
          <w:b/>
          <w:bCs/>
        </w:rPr>
        <w:t xml:space="preserve"> </w:t>
      </w:r>
    </w:p>
    <w:p w14:paraId="17E6AA39" w14:textId="5B0000A6" w:rsidR="00DC3A0E" w:rsidRPr="00DC3A0E" w:rsidRDefault="00DC3A0E" w:rsidP="00D30290">
      <w:pPr>
        <w:spacing w:line="360" w:lineRule="auto"/>
        <w:rPr>
          <w:rFonts w:ascii="Arial" w:hAnsi="Arial" w:cs="Arial"/>
          <w:b/>
          <w:sz w:val="20"/>
          <w:szCs w:val="20"/>
        </w:rPr>
      </w:pPr>
      <w:r>
        <w:rPr>
          <w:rFonts w:ascii="Arial" w:hAnsi="Arial" w:cs="Arial"/>
          <w:b/>
          <w:sz w:val="20"/>
          <w:szCs w:val="20"/>
        </w:rPr>
        <w:t xml:space="preserve">3.1. </w:t>
      </w:r>
      <w:r w:rsidRPr="00DC3A0E">
        <w:rPr>
          <w:rFonts w:ascii="Arial" w:hAnsi="Arial" w:cs="Arial"/>
          <w:b/>
          <w:sz w:val="20"/>
          <w:szCs w:val="20"/>
        </w:rPr>
        <w:t xml:space="preserve">Market integration of Arrival of </w:t>
      </w:r>
      <w:proofErr w:type="spellStart"/>
      <w:r w:rsidRPr="00DC3A0E">
        <w:rPr>
          <w:rFonts w:ascii="Arial" w:hAnsi="Arial" w:cs="Arial"/>
          <w:b/>
          <w:sz w:val="20"/>
          <w:szCs w:val="20"/>
        </w:rPr>
        <w:t>Byadagi</w:t>
      </w:r>
      <w:proofErr w:type="spellEnd"/>
      <w:r w:rsidRPr="00DC3A0E">
        <w:rPr>
          <w:rFonts w:ascii="Arial" w:hAnsi="Arial" w:cs="Arial"/>
          <w:b/>
          <w:sz w:val="20"/>
          <w:szCs w:val="20"/>
        </w:rPr>
        <w:t xml:space="preserve"> chilli in Bangalore, </w:t>
      </w:r>
      <w:proofErr w:type="spellStart"/>
      <w:r w:rsidR="00143B86">
        <w:rPr>
          <w:rFonts w:ascii="Arial" w:hAnsi="Arial" w:cs="Arial"/>
          <w:b/>
          <w:sz w:val="20"/>
          <w:szCs w:val="20"/>
        </w:rPr>
        <w:t>Hubbli</w:t>
      </w:r>
      <w:proofErr w:type="spellEnd"/>
      <w:r w:rsidRPr="00DC3A0E">
        <w:rPr>
          <w:rFonts w:ascii="Arial" w:hAnsi="Arial" w:cs="Arial"/>
          <w:b/>
          <w:sz w:val="20"/>
          <w:szCs w:val="20"/>
        </w:rPr>
        <w:t xml:space="preserve"> and </w:t>
      </w:r>
      <w:proofErr w:type="spellStart"/>
      <w:r w:rsidRPr="00DC3A0E">
        <w:rPr>
          <w:rFonts w:ascii="Arial" w:hAnsi="Arial" w:cs="Arial"/>
          <w:b/>
          <w:sz w:val="20"/>
          <w:szCs w:val="20"/>
        </w:rPr>
        <w:t>Byadagi</w:t>
      </w:r>
      <w:proofErr w:type="spellEnd"/>
      <w:r w:rsidRPr="00DC3A0E">
        <w:rPr>
          <w:rFonts w:ascii="Arial" w:hAnsi="Arial" w:cs="Arial"/>
          <w:b/>
          <w:sz w:val="20"/>
          <w:szCs w:val="20"/>
        </w:rPr>
        <w:t xml:space="preserve"> market</w:t>
      </w:r>
    </w:p>
    <w:p w14:paraId="7F0FD792" w14:textId="61144441" w:rsidR="00DC3A0E" w:rsidRPr="00DC3A0E" w:rsidRDefault="00DC3A0E" w:rsidP="00D30290">
      <w:pPr>
        <w:spacing w:line="360" w:lineRule="auto"/>
        <w:jc w:val="both"/>
        <w:rPr>
          <w:rFonts w:ascii="Arial" w:hAnsi="Arial" w:cs="Arial"/>
          <w:sz w:val="20"/>
          <w:szCs w:val="20"/>
        </w:rPr>
      </w:pPr>
      <w:r w:rsidRPr="00DC3A0E">
        <w:rPr>
          <w:rFonts w:ascii="Arial" w:hAnsi="Arial" w:cs="Arial"/>
          <w:b/>
          <w:bCs/>
          <w:sz w:val="20"/>
          <w:szCs w:val="20"/>
        </w:rPr>
        <w:t xml:space="preserve">3.1.1. ADF Test for Market </w:t>
      </w:r>
      <w:r w:rsidR="005E2B8D" w:rsidRPr="00020F96">
        <w:rPr>
          <w:rFonts w:ascii="Arial" w:hAnsi="Arial" w:cs="Arial"/>
          <w:b/>
          <w:bCs/>
          <w:sz w:val="20"/>
          <w:szCs w:val="20"/>
          <w:highlight w:val="yellow"/>
        </w:rPr>
        <w:t>Price Data</w:t>
      </w:r>
      <w:r w:rsidRPr="00020F96">
        <w:rPr>
          <w:rFonts w:ascii="Arial" w:hAnsi="Arial" w:cs="Arial"/>
          <w:b/>
          <w:bCs/>
          <w:sz w:val="20"/>
          <w:szCs w:val="20"/>
          <w:highlight w:val="yellow"/>
        </w:rPr>
        <w:t xml:space="preserve"> of</w:t>
      </w:r>
      <w:r w:rsidRPr="00DC3A0E">
        <w:rPr>
          <w:rFonts w:ascii="Arial" w:hAnsi="Arial" w:cs="Arial"/>
          <w:b/>
          <w:bCs/>
          <w:sz w:val="20"/>
          <w:szCs w:val="20"/>
        </w:rPr>
        <w:t xml:space="preserve">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p>
    <w:p w14:paraId="008C7CB5" w14:textId="34B7368F" w:rsid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lastRenderedPageBreak/>
        <w:t xml:space="preserve">The results of </w:t>
      </w:r>
      <w:r w:rsidR="005E2B8D" w:rsidRPr="00020F96">
        <w:rPr>
          <w:rFonts w:ascii="Arial" w:hAnsi="Arial" w:cs="Arial"/>
          <w:sz w:val="20"/>
          <w:szCs w:val="20"/>
          <w:highlight w:val="yellow"/>
        </w:rPr>
        <w:t xml:space="preserve">the </w:t>
      </w:r>
      <w:r w:rsidRPr="00020F96">
        <w:rPr>
          <w:rFonts w:ascii="Arial" w:hAnsi="Arial" w:cs="Arial"/>
          <w:sz w:val="20"/>
          <w:szCs w:val="20"/>
          <w:highlight w:val="yellow"/>
        </w:rPr>
        <w:t>A</w:t>
      </w:r>
      <w:r w:rsidRPr="00DC3A0E">
        <w:rPr>
          <w:rFonts w:ascii="Arial" w:hAnsi="Arial" w:cs="Arial"/>
          <w:sz w:val="20"/>
          <w:szCs w:val="20"/>
        </w:rPr>
        <w:t xml:space="preserve">DF test for data on market price for Bangalore,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 were tabulated in Table 1.  From this table</w:t>
      </w:r>
      <w:r w:rsidR="005E2B8D">
        <w:rPr>
          <w:rFonts w:ascii="Arial" w:hAnsi="Arial" w:cs="Arial"/>
          <w:sz w:val="20"/>
          <w:szCs w:val="20"/>
        </w:rPr>
        <w:t>,</w:t>
      </w:r>
      <w:r w:rsidRPr="00DC3A0E">
        <w:rPr>
          <w:rFonts w:ascii="Arial" w:hAnsi="Arial" w:cs="Arial"/>
          <w:sz w:val="20"/>
          <w:szCs w:val="20"/>
        </w:rPr>
        <w:t xml:space="preserve"> it was found that actual data on Bangalore and </w:t>
      </w:r>
      <w:proofErr w:type="spellStart"/>
      <w:r w:rsidRPr="00020F96">
        <w:rPr>
          <w:rFonts w:ascii="Arial" w:hAnsi="Arial" w:cs="Arial"/>
          <w:sz w:val="20"/>
          <w:szCs w:val="20"/>
          <w:highlight w:val="yellow"/>
        </w:rPr>
        <w:t>Hubbli</w:t>
      </w:r>
      <w:proofErr w:type="spellEnd"/>
      <w:r w:rsidRPr="00020F96">
        <w:rPr>
          <w:rFonts w:ascii="Arial" w:hAnsi="Arial" w:cs="Arial"/>
          <w:sz w:val="20"/>
          <w:szCs w:val="20"/>
          <w:highlight w:val="yellow"/>
        </w:rPr>
        <w:t xml:space="preserve"> </w:t>
      </w:r>
      <w:r w:rsidR="005E2B8D" w:rsidRPr="00020F96">
        <w:rPr>
          <w:rFonts w:ascii="Arial" w:hAnsi="Arial" w:cs="Arial"/>
          <w:sz w:val="20"/>
          <w:szCs w:val="20"/>
          <w:highlight w:val="yellow"/>
        </w:rPr>
        <w:t xml:space="preserve">markets were </w:t>
      </w:r>
      <w:r w:rsidRPr="008F587A">
        <w:rPr>
          <w:rFonts w:ascii="Arial" w:hAnsi="Arial" w:cs="Arial"/>
          <w:sz w:val="20"/>
          <w:szCs w:val="20"/>
        </w:rPr>
        <w:t xml:space="preserve">not significant at </w:t>
      </w:r>
      <w:r w:rsidR="005E2B8D" w:rsidRPr="00020F96">
        <w:rPr>
          <w:rFonts w:ascii="Arial" w:hAnsi="Arial" w:cs="Arial"/>
          <w:sz w:val="20"/>
          <w:szCs w:val="20"/>
          <w:highlight w:val="yellow"/>
        </w:rPr>
        <w:t xml:space="preserve">a </w:t>
      </w:r>
      <w:r w:rsidRPr="00020F96">
        <w:rPr>
          <w:rFonts w:ascii="Arial" w:hAnsi="Arial" w:cs="Arial"/>
          <w:sz w:val="20"/>
          <w:szCs w:val="20"/>
          <w:highlight w:val="yellow"/>
        </w:rPr>
        <w:t xml:space="preserve">5 </w:t>
      </w:r>
      <w:r w:rsidRPr="008F587A">
        <w:rPr>
          <w:rFonts w:ascii="Arial" w:hAnsi="Arial" w:cs="Arial"/>
          <w:sz w:val="20"/>
          <w:szCs w:val="20"/>
        </w:rPr>
        <w:t>per cent level of significance</w:t>
      </w:r>
      <w:r w:rsidR="005E2B8D" w:rsidRPr="008F587A">
        <w:rPr>
          <w:rFonts w:ascii="Arial" w:hAnsi="Arial" w:cs="Arial"/>
          <w:sz w:val="20"/>
          <w:szCs w:val="20"/>
        </w:rPr>
        <w:t>,</w:t>
      </w:r>
      <w:r w:rsidRPr="008F587A">
        <w:rPr>
          <w:rFonts w:ascii="Arial" w:hAnsi="Arial" w:cs="Arial"/>
          <w:sz w:val="20"/>
          <w:szCs w:val="20"/>
        </w:rPr>
        <w:t xml:space="preserve"> as</w:t>
      </w:r>
      <w:r w:rsidRPr="00DC3A0E">
        <w:rPr>
          <w:rFonts w:ascii="Arial" w:hAnsi="Arial" w:cs="Arial"/>
          <w:sz w:val="20"/>
          <w:szCs w:val="20"/>
        </w:rPr>
        <w:t xml:space="preserve"> </w:t>
      </w:r>
      <w:r w:rsidR="005E2B8D" w:rsidRPr="00020F96">
        <w:rPr>
          <w:rFonts w:ascii="Arial" w:hAnsi="Arial" w:cs="Arial"/>
          <w:sz w:val="20"/>
          <w:szCs w:val="20"/>
          <w:highlight w:val="yellow"/>
        </w:rPr>
        <w:t xml:space="preserve">p-values </w:t>
      </w:r>
      <w:r w:rsidRPr="00020F96">
        <w:rPr>
          <w:rFonts w:ascii="Arial" w:hAnsi="Arial" w:cs="Arial"/>
          <w:sz w:val="20"/>
          <w:szCs w:val="20"/>
          <w:highlight w:val="yellow"/>
        </w:rPr>
        <w:t>were</w:t>
      </w:r>
      <w:r w:rsidRPr="00DC3A0E">
        <w:rPr>
          <w:rFonts w:ascii="Arial" w:hAnsi="Arial" w:cs="Arial"/>
          <w:sz w:val="20"/>
          <w:szCs w:val="20"/>
        </w:rPr>
        <w:t xml:space="preserve"> greater than 0.05</w:t>
      </w:r>
      <w:r w:rsidR="005E2B8D">
        <w:rPr>
          <w:rFonts w:ascii="Arial" w:hAnsi="Arial" w:cs="Arial"/>
          <w:sz w:val="20"/>
          <w:szCs w:val="20"/>
        </w:rPr>
        <w:t>;</w:t>
      </w:r>
      <w:r w:rsidR="005E2B8D" w:rsidRPr="00DC3A0E">
        <w:rPr>
          <w:rFonts w:ascii="Arial" w:hAnsi="Arial" w:cs="Arial"/>
          <w:sz w:val="20"/>
          <w:szCs w:val="20"/>
        </w:rPr>
        <w:t xml:space="preserve"> </w:t>
      </w:r>
      <w:r w:rsidRPr="00DC3A0E">
        <w:rPr>
          <w:rFonts w:ascii="Arial" w:hAnsi="Arial" w:cs="Arial"/>
          <w:sz w:val="20"/>
          <w:szCs w:val="20"/>
        </w:rPr>
        <w:t xml:space="preserve">we fail to reject the null hypothesis and can interpret that the series is not stationary. Whereas,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 price data was significant as p–value is less than 0.05</w:t>
      </w:r>
      <w:r w:rsidR="002B5929">
        <w:rPr>
          <w:rFonts w:ascii="Arial" w:hAnsi="Arial" w:cs="Arial"/>
          <w:sz w:val="20"/>
          <w:szCs w:val="20"/>
        </w:rPr>
        <w:t>,</w:t>
      </w:r>
      <w:r w:rsidRPr="00DC3A0E">
        <w:rPr>
          <w:rFonts w:ascii="Arial" w:hAnsi="Arial" w:cs="Arial"/>
          <w:sz w:val="20"/>
          <w:szCs w:val="20"/>
        </w:rPr>
        <w:t xml:space="preserve"> hence the series </w:t>
      </w:r>
      <w:r w:rsidR="002B5929">
        <w:rPr>
          <w:rFonts w:ascii="Arial" w:hAnsi="Arial" w:cs="Arial"/>
          <w:sz w:val="20"/>
          <w:szCs w:val="20"/>
        </w:rPr>
        <w:t xml:space="preserve">is </w:t>
      </w:r>
      <w:r w:rsidRPr="00DC3A0E">
        <w:rPr>
          <w:rFonts w:ascii="Arial" w:hAnsi="Arial" w:cs="Arial"/>
          <w:sz w:val="20"/>
          <w:szCs w:val="20"/>
        </w:rPr>
        <w:t>stationary. Further</w:t>
      </w:r>
      <w:r w:rsidR="005E2B8D">
        <w:rPr>
          <w:rFonts w:ascii="Arial" w:hAnsi="Arial" w:cs="Arial"/>
          <w:sz w:val="20"/>
          <w:szCs w:val="20"/>
        </w:rPr>
        <w:t>,</w:t>
      </w:r>
      <w:r w:rsidRPr="00DC3A0E">
        <w:rPr>
          <w:rFonts w:ascii="Arial" w:hAnsi="Arial" w:cs="Arial"/>
          <w:sz w:val="20"/>
          <w:szCs w:val="20"/>
        </w:rPr>
        <w:t xml:space="preserve"> to make the series stationary</w:t>
      </w:r>
      <w:r w:rsidR="005E2B8D">
        <w:rPr>
          <w:rFonts w:ascii="Arial" w:hAnsi="Arial" w:cs="Arial"/>
          <w:sz w:val="20"/>
          <w:szCs w:val="20"/>
        </w:rPr>
        <w:t>,</w:t>
      </w:r>
      <w:r w:rsidRPr="00DC3A0E">
        <w:rPr>
          <w:rFonts w:ascii="Arial" w:hAnsi="Arial" w:cs="Arial"/>
          <w:sz w:val="20"/>
          <w:szCs w:val="20"/>
        </w:rPr>
        <w:t xml:space="preserve"> data was converted into the differenced series of all </w:t>
      </w:r>
      <w:r w:rsidRPr="00020F96">
        <w:rPr>
          <w:rFonts w:ascii="Arial" w:hAnsi="Arial" w:cs="Arial"/>
          <w:sz w:val="20"/>
          <w:szCs w:val="20"/>
          <w:highlight w:val="yellow"/>
        </w:rPr>
        <w:t>three markets</w:t>
      </w:r>
      <w:r w:rsidR="002B5929">
        <w:rPr>
          <w:rFonts w:ascii="Arial" w:hAnsi="Arial" w:cs="Arial"/>
          <w:sz w:val="20"/>
          <w:szCs w:val="20"/>
        </w:rPr>
        <w:t>,</w:t>
      </w:r>
      <w:r w:rsidRPr="00DC3A0E">
        <w:rPr>
          <w:rFonts w:ascii="Arial" w:hAnsi="Arial" w:cs="Arial"/>
          <w:sz w:val="20"/>
          <w:szCs w:val="20"/>
        </w:rPr>
        <w:t xml:space="preserve"> and it was found that the p – value is less than the level of significance</w:t>
      </w:r>
      <w:r w:rsidR="002B5929">
        <w:rPr>
          <w:rFonts w:ascii="Arial" w:hAnsi="Arial" w:cs="Arial"/>
          <w:sz w:val="20"/>
          <w:szCs w:val="20"/>
        </w:rPr>
        <w:t>,</w:t>
      </w:r>
      <w:r w:rsidRPr="00DC3A0E">
        <w:rPr>
          <w:rFonts w:ascii="Arial" w:hAnsi="Arial" w:cs="Arial"/>
          <w:sz w:val="20"/>
          <w:szCs w:val="20"/>
        </w:rPr>
        <w:t xml:space="preserve"> hence we are </w:t>
      </w:r>
      <w:r w:rsidRPr="00020F96">
        <w:rPr>
          <w:rFonts w:ascii="Arial" w:hAnsi="Arial" w:cs="Arial"/>
          <w:sz w:val="20"/>
          <w:szCs w:val="20"/>
          <w:highlight w:val="yellow"/>
        </w:rPr>
        <w:t xml:space="preserve">rejecting </w:t>
      </w:r>
      <w:r w:rsidR="002B5929" w:rsidRPr="00020F96">
        <w:rPr>
          <w:rFonts w:ascii="Arial" w:hAnsi="Arial" w:cs="Arial"/>
          <w:sz w:val="20"/>
          <w:szCs w:val="20"/>
          <w:highlight w:val="yellow"/>
        </w:rPr>
        <w:t xml:space="preserve">the </w:t>
      </w:r>
      <w:r w:rsidRPr="00020F96">
        <w:rPr>
          <w:rFonts w:ascii="Arial" w:hAnsi="Arial" w:cs="Arial"/>
          <w:sz w:val="20"/>
          <w:szCs w:val="20"/>
          <w:highlight w:val="yellow"/>
        </w:rPr>
        <w:t xml:space="preserve">null hypothesis for </w:t>
      </w:r>
      <w:r w:rsidR="002B5929" w:rsidRPr="00020F96">
        <w:rPr>
          <w:rFonts w:ascii="Arial" w:hAnsi="Arial" w:cs="Arial"/>
          <w:sz w:val="20"/>
          <w:szCs w:val="20"/>
          <w:highlight w:val="yellow"/>
        </w:rPr>
        <w:t xml:space="preserve">a </w:t>
      </w:r>
      <w:r w:rsidRPr="00020F96">
        <w:rPr>
          <w:rFonts w:ascii="Arial" w:hAnsi="Arial" w:cs="Arial"/>
          <w:sz w:val="20"/>
          <w:szCs w:val="20"/>
          <w:highlight w:val="yellow"/>
        </w:rPr>
        <w:t>fixed level</w:t>
      </w:r>
      <w:r w:rsidRPr="00DC3A0E">
        <w:rPr>
          <w:rFonts w:ascii="Arial" w:hAnsi="Arial" w:cs="Arial"/>
          <w:sz w:val="20"/>
          <w:szCs w:val="20"/>
        </w:rPr>
        <w:t xml:space="preserve"> of significance</w:t>
      </w:r>
      <w:r w:rsidR="002B5929">
        <w:rPr>
          <w:rFonts w:ascii="Arial" w:hAnsi="Arial" w:cs="Arial"/>
          <w:sz w:val="20"/>
          <w:szCs w:val="20"/>
        </w:rPr>
        <w:t>,</w:t>
      </w:r>
      <w:r w:rsidRPr="00DC3A0E">
        <w:rPr>
          <w:rFonts w:ascii="Arial" w:hAnsi="Arial" w:cs="Arial"/>
          <w:sz w:val="20"/>
          <w:szCs w:val="20"/>
        </w:rPr>
        <w:t xml:space="preserve"> and we found that the series is stationary.</w:t>
      </w:r>
    </w:p>
    <w:p w14:paraId="2898E4B3"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 xml:space="preserve">Table 1: ADF Test for Market price data of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p>
    <w:tbl>
      <w:tblPr>
        <w:tblStyle w:val="TableGrid"/>
        <w:tblpPr w:leftFromText="180" w:rightFromText="180" w:vertAnchor="text" w:horzAnchor="margin" w:tblpY="23"/>
        <w:tblW w:w="0" w:type="auto"/>
        <w:tblLook w:val="04A0" w:firstRow="1" w:lastRow="0" w:firstColumn="1" w:lastColumn="0" w:noHBand="0" w:noVBand="1"/>
      </w:tblPr>
      <w:tblGrid>
        <w:gridCol w:w="1805"/>
        <w:gridCol w:w="1804"/>
        <w:gridCol w:w="1801"/>
        <w:gridCol w:w="1804"/>
        <w:gridCol w:w="1802"/>
      </w:tblGrid>
      <w:tr w:rsidR="00DC3A0E" w:rsidRPr="00DC3A0E" w14:paraId="72E8EB92" w14:textId="77777777" w:rsidTr="00DC3A0E">
        <w:tc>
          <w:tcPr>
            <w:tcW w:w="1805" w:type="dxa"/>
            <w:vMerge w:val="restart"/>
          </w:tcPr>
          <w:p w14:paraId="10987001"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Market name</w:t>
            </w:r>
          </w:p>
        </w:tc>
        <w:tc>
          <w:tcPr>
            <w:tcW w:w="3605" w:type="dxa"/>
            <w:gridSpan w:val="2"/>
          </w:tcPr>
          <w:p w14:paraId="430D89EA" w14:textId="77777777" w:rsidR="00DC3A0E" w:rsidRPr="00DC3A0E" w:rsidRDefault="00DC3A0E" w:rsidP="00D30290">
            <w:pPr>
              <w:spacing w:line="360" w:lineRule="auto"/>
              <w:jc w:val="center"/>
              <w:rPr>
                <w:rFonts w:ascii="Arial" w:hAnsi="Arial" w:cs="Arial"/>
                <w:b/>
                <w:bCs/>
                <w:sz w:val="20"/>
                <w:szCs w:val="20"/>
              </w:rPr>
            </w:pPr>
            <w:r w:rsidRPr="00DC3A0E">
              <w:rPr>
                <w:rFonts w:ascii="Arial" w:hAnsi="Arial" w:cs="Arial"/>
                <w:b/>
                <w:bCs/>
                <w:sz w:val="20"/>
                <w:szCs w:val="20"/>
              </w:rPr>
              <w:t>Actual Series</w:t>
            </w:r>
          </w:p>
        </w:tc>
        <w:tc>
          <w:tcPr>
            <w:tcW w:w="3606" w:type="dxa"/>
            <w:gridSpan w:val="2"/>
          </w:tcPr>
          <w:p w14:paraId="7970AEA5" w14:textId="77777777" w:rsidR="00DC3A0E" w:rsidRPr="00DC3A0E" w:rsidRDefault="00DC3A0E" w:rsidP="00D30290">
            <w:pPr>
              <w:spacing w:line="360" w:lineRule="auto"/>
              <w:jc w:val="center"/>
              <w:rPr>
                <w:rFonts w:ascii="Arial" w:hAnsi="Arial" w:cs="Arial"/>
                <w:b/>
                <w:bCs/>
                <w:sz w:val="20"/>
                <w:szCs w:val="20"/>
              </w:rPr>
            </w:pPr>
            <w:r w:rsidRPr="00DC3A0E">
              <w:rPr>
                <w:rFonts w:ascii="Arial" w:hAnsi="Arial" w:cs="Arial"/>
                <w:b/>
                <w:bCs/>
                <w:sz w:val="20"/>
                <w:szCs w:val="20"/>
              </w:rPr>
              <w:t>Differenced series</w:t>
            </w:r>
          </w:p>
        </w:tc>
      </w:tr>
      <w:tr w:rsidR="00DC3A0E" w:rsidRPr="00DC3A0E" w14:paraId="2DB16FD3" w14:textId="77777777" w:rsidTr="00DC3A0E">
        <w:tc>
          <w:tcPr>
            <w:tcW w:w="1805" w:type="dxa"/>
            <w:vMerge/>
          </w:tcPr>
          <w:p w14:paraId="6CA23526" w14:textId="77777777" w:rsidR="00DC3A0E" w:rsidRPr="00DC3A0E" w:rsidRDefault="00DC3A0E" w:rsidP="00D30290">
            <w:pPr>
              <w:spacing w:line="360" w:lineRule="auto"/>
              <w:rPr>
                <w:rFonts w:ascii="Arial" w:hAnsi="Arial" w:cs="Arial"/>
                <w:b/>
                <w:bCs/>
                <w:sz w:val="20"/>
                <w:szCs w:val="20"/>
              </w:rPr>
            </w:pPr>
          </w:p>
        </w:tc>
        <w:tc>
          <w:tcPr>
            <w:tcW w:w="1804" w:type="dxa"/>
          </w:tcPr>
          <w:p w14:paraId="25DDEF6A"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Test statistics</w:t>
            </w:r>
          </w:p>
        </w:tc>
        <w:tc>
          <w:tcPr>
            <w:tcW w:w="1801" w:type="dxa"/>
          </w:tcPr>
          <w:p w14:paraId="4E366BAE"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p-value</w:t>
            </w:r>
          </w:p>
        </w:tc>
        <w:tc>
          <w:tcPr>
            <w:tcW w:w="1804" w:type="dxa"/>
          </w:tcPr>
          <w:p w14:paraId="18CDD891"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Test statistics</w:t>
            </w:r>
          </w:p>
        </w:tc>
        <w:tc>
          <w:tcPr>
            <w:tcW w:w="1802" w:type="dxa"/>
          </w:tcPr>
          <w:p w14:paraId="2BF9EACC"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p-value</w:t>
            </w:r>
          </w:p>
        </w:tc>
      </w:tr>
      <w:tr w:rsidR="00DC3A0E" w:rsidRPr="00DC3A0E" w14:paraId="13C1F8EA" w14:textId="77777777" w:rsidTr="00DC3A0E">
        <w:tc>
          <w:tcPr>
            <w:tcW w:w="1805" w:type="dxa"/>
          </w:tcPr>
          <w:p w14:paraId="0B1BB1B8"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Bangalore</w:t>
            </w:r>
          </w:p>
        </w:tc>
        <w:tc>
          <w:tcPr>
            <w:tcW w:w="1804" w:type="dxa"/>
          </w:tcPr>
          <w:p w14:paraId="407D9EE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-3.2186</w:t>
            </w:r>
          </w:p>
        </w:tc>
        <w:tc>
          <w:tcPr>
            <w:tcW w:w="1801" w:type="dxa"/>
          </w:tcPr>
          <w:p w14:paraId="2E470E6B"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0.085</w:t>
            </w:r>
          </w:p>
        </w:tc>
        <w:tc>
          <w:tcPr>
            <w:tcW w:w="1804" w:type="dxa"/>
          </w:tcPr>
          <w:p w14:paraId="7700DF4E"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-9.4200</w:t>
            </w:r>
          </w:p>
        </w:tc>
        <w:tc>
          <w:tcPr>
            <w:tcW w:w="1802" w:type="dxa"/>
          </w:tcPr>
          <w:p w14:paraId="7783BBA1"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r w:rsidR="00DC3A0E" w:rsidRPr="00DC3A0E" w14:paraId="193D747C" w14:textId="77777777" w:rsidTr="00DC3A0E">
        <w:tc>
          <w:tcPr>
            <w:tcW w:w="1805" w:type="dxa"/>
          </w:tcPr>
          <w:p w14:paraId="1376F25E" w14:textId="77777777" w:rsidR="00DC3A0E" w:rsidRPr="00DC3A0E" w:rsidRDefault="00DC3A0E" w:rsidP="00D30290">
            <w:pPr>
              <w:spacing w:line="360" w:lineRule="auto"/>
              <w:rPr>
                <w:rFonts w:ascii="Arial" w:hAnsi="Arial" w:cs="Arial"/>
                <w:b/>
                <w:bCs/>
                <w:sz w:val="20"/>
                <w:szCs w:val="20"/>
              </w:rPr>
            </w:pPr>
            <w:proofErr w:type="spellStart"/>
            <w:r w:rsidRPr="00DC3A0E">
              <w:rPr>
                <w:rFonts w:ascii="Arial" w:hAnsi="Arial" w:cs="Arial"/>
                <w:b/>
                <w:bCs/>
                <w:sz w:val="20"/>
                <w:szCs w:val="20"/>
              </w:rPr>
              <w:t>Hubbli</w:t>
            </w:r>
            <w:proofErr w:type="spellEnd"/>
          </w:p>
        </w:tc>
        <w:tc>
          <w:tcPr>
            <w:tcW w:w="1804" w:type="dxa"/>
          </w:tcPr>
          <w:p w14:paraId="553CACF4"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-3.2709</w:t>
            </w:r>
          </w:p>
        </w:tc>
        <w:tc>
          <w:tcPr>
            <w:tcW w:w="1801" w:type="dxa"/>
          </w:tcPr>
          <w:p w14:paraId="13C3FE4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0.076</w:t>
            </w:r>
          </w:p>
        </w:tc>
        <w:tc>
          <w:tcPr>
            <w:tcW w:w="1804" w:type="dxa"/>
          </w:tcPr>
          <w:p w14:paraId="60FFE53A"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-7.9302</w:t>
            </w:r>
          </w:p>
        </w:tc>
        <w:tc>
          <w:tcPr>
            <w:tcW w:w="1802" w:type="dxa"/>
          </w:tcPr>
          <w:p w14:paraId="5409DBAE"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r w:rsidR="00DC3A0E" w:rsidRPr="00DC3A0E" w14:paraId="5735A5A8" w14:textId="77777777" w:rsidTr="00DC3A0E">
        <w:tc>
          <w:tcPr>
            <w:tcW w:w="1805" w:type="dxa"/>
          </w:tcPr>
          <w:p w14:paraId="65AA7D74" w14:textId="77777777" w:rsidR="00DC3A0E" w:rsidRPr="00DC3A0E" w:rsidRDefault="00DC3A0E" w:rsidP="00D30290">
            <w:pPr>
              <w:spacing w:line="360" w:lineRule="auto"/>
              <w:rPr>
                <w:rFonts w:ascii="Arial" w:hAnsi="Arial" w:cs="Arial"/>
                <w:b/>
                <w:bCs/>
                <w:sz w:val="20"/>
                <w:szCs w:val="20"/>
              </w:rPr>
            </w:pPr>
            <w:proofErr w:type="spellStart"/>
            <w:r w:rsidRPr="00DC3A0E">
              <w:rPr>
                <w:rFonts w:ascii="Arial" w:hAnsi="Arial" w:cs="Arial"/>
                <w:b/>
                <w:bCs/>
                <w:sz w:val="20"/>
                <w:szCs w:val="20"/>
              </w:rPr>
              <w:t>Byadagi</w:t>
            </w:r>
            <w:proofErr w:type="spellEnd"/>
          </w:p>
        </w:tc>
        <w:tc>
          <w:tcPr>
            <w:tcW w:w="1804" w:type="dxa"/>
          </w:tcPr>
          <w:p w14:paraId="589BC51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-4.4162</w:t>
            </w:r>
          </w:p>
        </w:tc>
        <w:tc>
          <w:tcPr>
            <w:tcW w:w="1801" w:type="dxa"/>
          </w:tcPr>
          <w:p w14:paraId="6AE62B5F" w14:textId="77777777" w:rsidR="00DC3A0E" w:rsidRPr="00DC3A0E" w:rsidRDefault="00DC3A0E" w:rsidP="00D30290">
            <w:pPr>
              <w:tabs>
                <w:tab w:val="left" w:pos="916"/>
              </w:tabs>
              <w:spacing w:line="360" w:lineRule="auto"/>
              <w:rPr>
                <w:rFonts w:ascii="Arial" w:hAnsi="Arial" w:cs="Arial"/>
                <w:sz w:val="20"/>
                <w:szCs w:val="20"/>
              </w:rPr>
            </w:pPr>
            <w:r w:rsidRPr="00DC3A0E">
              <w:rPr>
                <w:rFonts w:ascii="Arial" w:hAnsi="Arial" w:cs="Arial"/>
                <w:sz w:val="20"/>
                <w:szCs w:val="20"/>
              </w:rPr>
              <w:t>0.01</w:t>
            </w:r>
          </w:p>
        </w:tc>
        <w:tc>
          <w:tcPr>
            <w:tcW w:w="1804" w:type="dxa"/>
          </w:tcPr>
          <w:p w14:paraId="1B1AD80C"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-7.1232</w:t>
            </w:r>
          </w:p>
        </w:tc>
        <w:tc>
          <w:tcPr>
            <w:tcW w:w="1802" w:type="dxa"/>
          </w:tcPr>
          <w:p w14:paraId="6FDEF3A3"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bl>
    <w:p w14:paraId="2890B203" w14:textId="1AD8EB10" w:rsidR="00D30290" w:rsidRDefault="00DC443D" w:rsidP="00D30290">
      <w:pPr>
        <w:spacing w:line="360" w:lineRule="auto"/>
        <w:rPr>
          <w:rFonts w:ascii="Arial" w:hAnsi="Arial" w:cs="Arial"/>
          <w:sz w:val="20"/>
          <w:szCs w:val="20"/>
        </w:rPr>
      </w:pPr>
      <w:r w:rsidRPr="00DC443D">
        <w:rPr>
          <w:rFonts w:ascii="Arial" w:hAnsi="Arial" w:cs="Arial"/>
          <w:sz w:val="20"/>
          <w:szCs w:val="20"/>
        </w:rPr>
        <w:t xml:space="preserve">Table 2: Johansen Cointegration test for Bangalore, </w:t>
      </w:r>
      <w:proofErr w:type="spellStart"/>
      <w:r w:rsidRPr="00DC443D">
        <w:rPr>
          <w:rFonts w:ascii="Arial" w:hAnsi="Arial" w:cs="Arial"/>
          <w:sz w:val="20"/>
          <w:szCs w:val="20"/>
        </w:rPr>
        <w:t>Hubbli</w:t>
      </w:r>
      <w:proofErr w:type="spellEnd"/>
      <w:r w:rsidRPr="00DC443D">
        <w:rPr>
          <w:rFonts w:ascii="Arial" w:hAnsi="Arial" w:cs="Arial"/>
          <w:sz w:val="20"/>
          <w:szCs w:val="20"/>
        </w:rPr>
        <w:t xml:space="preserve"> and </w:t>
      </w:r>
      <w:proofErr w:type="spellStart"/>
      <w:r w:rsidRPr="00DC443D">
        <w:rPr>
          <w:rFonts w:ascii="Arial" w:hAnsi="Arial" w:cs="Arial"/>
          <w:sz w:val="20"/>
          <w:szCs w:val="20"/>
        </w:rPr>
        <w:t>Byadagi</w:t>
      </w:r>
      <w:proofErr w:type="spellEnd"/>
      <w:r w:rsidRPr="00DC443D">
        <w:rPr>
          <w:rFonts w:ascii="Arial" w:hAnsi="Arial" w:cs="Arial"/>
          <w:sz w:val="20"/>
          <w:szCs w:val="20"/>
        </w:rPr>
        <w:t xml:space="preserve"> monthly market price data</w:t>
      </w:r>
    </w:p>
    <w:p w14:paraId="2B3FB68E" w14:textId="700CDB3C"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 xml:space="preserve">Null and </w:t>
      </w:r>
      <w:r w:rsidR="002B5929" w:rsidRPr="00020F96">
        <w:rPr>
          <w:rFonts w:ascii="Arial" w:hAnsi="Arial" w:cs="Arial"/>
          <w:sz w:val="20"/>
          <w:szCs w:val="20"/>
          <w:highlight w:val="yellow"/>
        </w:rPr>
        <w:t xml:space="preserve">alternative hypotheses </w:t>
      </w:r>
      <w:r w:rsidRPr="00020F96">
        <w:rPr>
          <w:rFonts w:ascii="Arial" w:hAnsi="Arial" w:cs="Arial"/>
          <w:sz w:val="20"/>
          <w:szCs w:val="20"/>
          <w:highlight w:val="yellow"/>
        </w:rPr>
        <w:t xml:space="preserve">for </w:t>
      </w:r>
      <w:r w:rsidR="002B5929" w:rsidRPr="00020F96">
        <w:rPr>
          <w:rFonts w:ascii="Arial" w:hAnsi="Arial" w:cs="Arial"/>
          <w:sz w:val="20"/>
          <w:szCs w:val="20"/>
          <w:highlight w:val="yellow"/>
        </w:rPr>
        <w:t xml:space="preserve">the </w:t>
      </w:r>
      <w:r w:rsidRPr="00020F96">
        <w:rPr>
          <w:rFonts w:ascii="Arial" w:hAnsi="Arial" w:cs="Arial"/>
          <w:sz w:val="20"/>
          <w:szCs w:val="20"/>
          <w:highlight w:val="yellow"/>
        </w:rPr>
        <w:t>Augmented</w:t>
      </w:r>
      <w:r w:rsidRPr="00DC3A0E">
        <w:rPr>
          <w:rFonts w:ascii="Arial" w:hAnsi="Arial" w:cs="Arial"/>
          <w:sz w:val="20"/>
          <w:szCs w:val="20"/>
        </w:rPr>
        <w:t xml:space="preserve"> Dickey Fuller (ADF) test </w:t>
      </w:r>
      <w:r w:rsidR="002B5929" w:rsidRPr="00020F96">
        <w:rPr>
          <w:rFonts w:ascii="Arial" w:hAnsi="Arial" w:cs="Arial"/>
          <w:sz w:val="20"/>
          <w:szCs w:val="20"/>
          <w:highlight w:val="yellow"/>
        </w:rPr>
        <w:t xml:space="preserve">are </w:t>
      </w:r>
      <w:r w:rsidRPr="00020F96">
        <w:rPr>
          <w:rFonts w:ascii="Arial" w:hAnsi="Arial" w:cs="Arial"/>
          <w:sz w:val="20"/>
          <w:szCs w:val="20"/>
          <w:highlight w:val="yellow"/>
        </w:rPr>
        <w:t>as g</w:t>
      </w:r>
      <w:r w:rsidRPr="00DC3A0E">
        <w:rPr>
          <w:rFonts w:ascii="Arial" w:hAnsi="Arial" w:cs="Arial"/>
          <w:sz w:val="20"/>
          <w:szCs w:val="20"/>
        </w:rPr>
        <w:t xml:space="preserve">iven </w:t>
      </w:r>
      <w:r w:rsidR="002B5929" w:rsidRPr="00020F96">
        <w:rPr>
          <w:rFonts w:ascii="Arial" w:hAnsi="Arial" w:cs="Arial"/>
          <w:sz w:val="20"/>
          <w:szCs w:val="20"/>
          <w:highlight w:val="yellow"/>
        </w:rPr>
        <w:t>below</w:t>
      </w:r>
      <w:r w:rsidRPr="00020F96">
        <w:rPr>
          <w:rFonts w:ascii="Arial" w:hAnsi="Arial" w:cs="Arial"/>
          <w:sz w:val="20"/>
          <w:szCs w:val="20"/>
          <w:highlight w:val="yellow"/>
        </w:rPr>
        <w:t>;</w:t>
      </w:r>
    </w:p>
    <w:p w14:paraId="464B262D" w14:textId="11CA333B" w:rsidR="00DC3A0E" w:rsidRPr="00DC3A0E" w:rsidRDefault="00DC3A0E" w:rsidP="000B3004">
      <w:pPr>
        <w:spacing w:after="0" w:line="360" w:lineRule="auto"/>
        <w:rPr>
          <w:rFonts w:ascii="Arial" w:hAnsi="Arial" w:cs="Arial"/>
          <w:sz w:val="20"/>
          <w:szCs w:val="20"/>
        </w:rPr>
      </w:pPr>
      <w:r w:rsidRPr="00DC3A0E">
        <w:rPr>
          <w:rFonts w:ascii="Arial" w:hAnsi="Arial" w:cs="Arial"/>
          <w:sz w:val="20"/>
          <w:szCs w:val="20"/>
        </w:rPr>
        <w:tab/>
        <w:t>H</w:t>
      </w:r>
      <w:r w:rsidRPr="00DC3A0E">
        <w:rPr>
          <w:rFonts w:ascii="Arial" w:hAnsi="Arial" w:cs="Arial"/>
          <w:sz w:val="20"/>
          <w:szCs w:val="20"/>
          <w:vertAlign w:val="subscript"/>
        </w:rPr>
        <w:t>0</w:t>
      </w:r>
      <w:r w:rsidRPr="00DC3A0E">
        <w:rPr>
          <w:rFonts w:ascii="Arial" w:hAnsi="Arial" w:cs="Arial"/>
          <w:sz w:val="20"/>
          <w:szCs w:val="20"/>
        </w:rPr>
        <w:t xml:space="preserve">: The series is </w:t>
      </w:r>
      <w:r w:rsidR="002B5929" w:rsidRPr="00020F96">
        <w:rPr>
          <w:rFonts w:ascii="Arial" w:hAnsi="Arial" w:cs="Arial"/>
          <w:sz w:val="20"/>
          <w:szCs w:val="20"/>
          <w:highlight w:val="yellow"/>
        </w:rPr>
        <w:t>non-stationary</w:t>
      </w:r>
    </w:p>
    <w:p w14:paraId="4C0455DA" w14:textId="151C1EBA" w:rsidR="00DC3A0E" w:rsidRDefault="00DC3A0E" w:rsidP="000B3004">
      <w:pPr>
        <w:spacing w:after="0" w:line="360" w:lineRule="auto"/>
        <w:jc w:val="both"/>
        <w:rPr>
          <w:rFonts w:ascii="Arial" w:hAnsi="Arial" w:cs="Arial"/>
          <w:sz w:val="20"/>
          <w:szCs w:val="20"/>
        </w:rPr>
      </w:pPr>
      <w:r w:rsidRPr="00DC3A0E">
        <w:rPr>
          <w:rFonts w:ascii="Arial" w:hAnsi="Arial" w:cs="Arial"/>
          <w:sz w:val="20"/>
          <w:szCs w:val="20"/>
        </w:rPr>
        <w:tab/>
        <w:t>H</w:t>
      </w:r>
      <w:r w:rsidRPr="00DC3A0E">
        <w:rPr>
          <w:rFonts w:ascii="Arial" w:hAnsi="Arial" w:cs="Arial"/>
          <w:sz w:val="20"/>
          <w:szCs w:val="20"/>
          <w:vertAlign w:val="subscript"/>
        </w:rPr>
        <w:t>1</w:t>
      </w:r>
      <w:r w:rsidRPr="00DC3A0E">
        <w:rPr>
          <w:rFonts w:ascii="Arial" w:hAnsi="Arial" w:cs="Arial"/>
          <w:sz w:val="20"/>
          <w:szCs w:val="20"/>
        </w:rPr>
        <w:t>: The series is stationary</w:t>
      </w:r>
    </w:p>
    <w:p w14:paraId="68596335" w14:textId="25788FF8" w:rsidR="005F602E" w:rsidRPr="005F602E" w:rsidRDefault="005F602E" w:rsidP="005F602E">
      <w:pPr>
        <w:spacing w:after="0" w:line="240" w:lineRule="auto"/>
        <w:rPr>
          <w:rFonts w:ascii="Arial" w:eastAsia="Times New Roman" w:hAnsi="Arial" w:cs="Arial"/>
          <w:b/>
          <w:bCs/>
          <w:kern w:val="0"/>
          <w:sz w:val="20"/>
          <w:szCs w:val="20"/>
          <w:lang w:val="en-US"/>
          <w14:ligatures w14:val="none"/>
        </w:rPr>
      </w:pPr>
    </w:p>
    <w:tbl>
      <w:tblPr>
        <w:tblStyle w:val="TableGrid2"/>
        <w:tblpPr w:leftFromText="180" w:rightFromText="180" w:vertAnchor="page" w:horzAnchor="margin" w:tblpY="7452"/>
        <w:tblW w:w="5120" w:type="pct"/>
        <w:tblLook w:val="0420" w:firstRow="1" w:lastRow="0" w:firstColumn="0" w:lastColumn="0" w:noHBand="0" w:noVBand="1"/>
      </w:tblPr>
      <w:tblGrid>
        <w:gridCol w:w="2262"/>
        <w:gridCol w:w="1507"/>
        <w:gridCol w:w="1889"/>
        <w:gridCol w:w="1889"/>
        <w:gridCol w:w="1917"/>
      </w:tblGrid>
      <w:tr w:rsidR="005F602E" w:rsidRPr="005F602E" w14:paraId="00F569A4" w14:textId="77777777" w:rsidTr="00DC443D">
        <w:tc>
          <w:tcPr>
            <w:tcW w:w="1195" w:type="pct"/>
            <w:vAlign w:val="center"/>
          </w:tcPr>
          <w:p w14:paraId="5C6FEA30" w14:textId="2E6BBFE8" w:rsidR="005F602E" w:rsidRPr="00A84B6B" w:rsidRDefault="005F602E" w:rsidP="00DC443D">
            <w:pPr>
              <w:spacing w:line="276" w:lineRule="auto"/>
              <w:jc w:val="center"/>
              <w:rPr>
                <w:rFonts w:ascii="Arial" w:eastAsia="Times New Roman" w:hAnsi="Arial" w:cs="Arial"/>
                <w:b/>
                <w:bCs/>
                <w:kern w:val="0"/>
                <w:sz w:val="20"/>
                <w:szCs w:val="20"/>
                <w:lang w:val="en-US"/>
                <w14:ligatures w14:val="none"/>
              </w:rPr>
            </w:pPr>
            <w:r w:rsidRPr="00A84B6B">
              <w:rPr>
                <w:rFonts w:ascii="Arial" w:eastAsia="Times New Roman" w:hAnsi="Arial" w:cs="Arial"/>
                <w:b/>
                <w:bCs/>
                <w:kern w:val="0"/>
                <w:sz w:val="20"/>
                <w:szCs w:val="20"/>
                <w:lang w:val="en-US"/>
                <w14:ligatures w14:val="none"/>
              </w:rPr>
              <w:t>Null Hypothesis</w:t>
            </w:r>
          </w:p>
        </w:tc>
        <w:tc>
          <w:tcPr>
            <w:tcW w:w="796" w:type="pct"/>
            <w:vAlign w:val="center"/>
          </w:tcPr>
          <w:p w14:paraId="4C7810B9" w14:textId="77777777" w:rsidR="005F602E" w:rsidRPr="00A84B6B" w:rsidRDefault="005F602E" w:rsidP="00DC443D">
            <w:pPr>
              <w:spacing w:line="276" w:lineRule="auto"/>
              <w:jc w:val="center"/>
              <w:rPr>
                <w:rFonts w:ascii="Arial" w:eastAsia="Times New Roman" w:hAnsi="Arial" w:cs="Arial"/>
                <w:b/>
                <w:bCs/>
                <w:kern w:val="0"/>
                <w:sz w:val="20"/>
                <w:szCs w:val="20"/>
                <w:lang w:val="en-US"/>
                <w14:ligatures w14:val="none"/>
              </w:rPr>
            </w:pPr>
            <w:r w:rsidRPr="00A84B6B">
              <w:rPr>
                <w:rFonts w:ascii="Arial" w:eastAsia="Times New Roman" w:hAnsi="Arial" w:cs="Arial"/>
                <w:b/>
                <w:bCs/>
                <w:kern w:val="0"/>
                <w:sz w:val="20"/>
                <w:szCs w:val="20"/>
                <w:lang w:val="en-US"/>
                <w14:ligatures w14:val="none"/>
              </w:rPr>
              <w:t>Trace Statistic</w:t>
            </w:r>
          </w:p>
        </w:tc>
        <w:tc>
          <w:tcPr>
            <w:tcW w:w="998" w:type="pct"/>
            <w:vAlign w:val="center"/>
          </w:tcPr>
          <w:p w14:paraId="35266884" w14:textId="77777777" w:rsidR="005F602E" w:rsidRPr="00A84B6B" w:rsidRDefault="005F602E" w:rsidP="00DC443D">
            <w:pPr>
              <w:spacing w:line="276" w:lineRule="auto"/>
              <w:jc w:val="center"/>
              <w:rPr>
                <w:rFonts w:ascii="Arial" w:eastAsia="Times New Roman" w:hAnsi="Arial" w:cs="Arial"/>
                <w:b/>
                <w:bCs/>
                <w:kern w:val="0"/>
                <w:sz w:val="20"/>
                <w:szCs w:val="20"/>
                <w:lang w:val="en-US"/>
                <w14:ligatures w14:val="none"/>
              </w:rPr>
            </w:pPr>
            <w:r w:rsidRPr="00A84B6B">
              <w:rPr>
                <w:rFonts w:ascii="Arial" w:eastAsia="Times New Roman" w:hAnsi="Arial" w:cs="Arial"/>
                <w:b/>
                <w:bCs/>
                <w:kern w:val="0"/>
                <w:sz w:val="20"/>
                <w:szCs w:val="20"/>
                <w:lang w:val="en-US"/>
                <w14:ligatures w14:val="none"/>
              </w:rPr>
              <w:t>Critical Value (5%)</w:t>
            </w:r>
          </w:p>
        </w:tc>
        <w:tc>
          <w:tcPr>
            <w:tcW w:w="998" w:type="pct"/>
            <w:vAlign w:val="center"/>
          </w:tcPr>
          <w:p w14:paraId="1D846B98" w14:textId="77777777" w:rsidR="005F602E" w:rsidRPr="00A84B6B" w:rsidRDefault="005F602E" w:rsidP="00DC443D">
            <w:pPr>
              <w:spacing w:line="276" w:lineRule="auto"/>
              <w:jc w:val="center"/>
              <w:rPr>
                <w:rFonts w:ascii="Arial" w:eastAsia="Times New Roman" w:hAnsi="Arial" w:cs="Arial"/>
                <w:b/>
                <w:bCs/>
                <w:kern w:val="0"/>
                <w:sz w:val="20"/>
                <w:szCs w:val="20"/>
                <w:lang w:val="en-US"/>
                <w14:ligatures w14:val="none"/>
              </w:rPr>
            </w:pPr>
            <w:r w:rsidRPr="00A84B6B">
              <w:rPr>
                <w:rFonts w:ascii="Arial" w:eastAsia="Times New Roman" w:hAnsi="Arial" w:cs="Arial"/>
                <w:b/>
                <w:bCs/>
                <w:kern w:val="0"/>
                <w:sz w:val="20"/>
                <w:szCs w:val="20"/>
                <w:lang w:val="en-US"/>
                <w14:ligatures w14:val="none"/>
              </w:rPr>
              <w:t>Critical Value (1%)</w:t>
            </w:r>
          </w:p>
        </w:tc>
        <w:tc>
          <w:tcPr>
            <w:tcW w:w="1013" w:type="pct"/>
            <w:vAlign w:val="center"/>
          </w:tcPr>
          <w:p w14:paraId="7C205F50" w14:textId="59CAC72B" w:rsidR="005F602E" w:rsidRPr="00A84B6B" w:rsidRDefault="005F602E" w:rsidP="00DC443D">
            <w:pPr>
              <w:spacing w:line="276" w:lineRule="auto"/>
              <w:jc w:val="center"/>
              <w:rPr>
                <w:rFonts w:ascii="Arial" w:eastAsia="Times New Roman" w:hAnsi="Arial" w:cs="Arial"/>
                <w:b/>
                <w:bCs/>
                <w:kern w:val="0"/>
                <w:sz w:val="20"/>
                <w:szCs w:val="20"/>
                <w:lang w:val="en-US"/>
                <w14:ligatures w14:val="none"/>
              </w:rPr>
            </w:pPr>
            <w:r w:rsidRPr="00A84B6B">
              <w:rPr>
                <w:rFonts w:ascii="Arial" w:eastAsia="Times New Roman" w:hAnsi="Arial" w:cs="Arial"/>
                <w:b/>
                <w:bCs/>
                <w:kern w:val="0"/>
                <w:sz w:val="20"/>
                <w:szCs w:val="20"/>
                <w:lang w:val="en-US"/>
                <w14:ligatures w14:val="none"/>
              </w:rPr>
              <w:t>Decision</w:t>
            </w:r>
          </w:p>
        </w:tc>
      </w:tr>
      <w:tr w:rsidR="005F602E" w:rsidRPr="005F602E" w14:paraId="1DDF5252" w14:textId="77777777" w:rsidTr="00DC443D">
        <w:tc>
          <w:tcPr>
            <w:tcW w:w="1195" w:type="pct"/>
            <w:vAlign w:val="center"/>
          </w:tcPr>
          <w:p w14:paraId="61E26981"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None</w:t>
            </w:r>
          </w:p>
        </w:tc>
        <w:tc>
          <w:tcPr>
            <w:tcW w:w="796" w:type="pct"/>
            <w:vAlign w:val="center"/>
          </w:tcPr>
          <w:p w14:paraId="45F66B28"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11.16284</w:t>
            </w:r>
          </w:p>
        </w:tc>
        <w:tc>
          <w:tcPr>
            <w:tcW w:w="998" w:type="pct"/>
            <w:vAlign w:val="center"/>
          </w:tcPr>
          <w:p w14:paraId="1979B50D"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9.24</w:t>
            </w:r>
          </w:p>
        </w:tc>
        <w:tc>
          <w:tcPr>
            <w:tcW w:w="998" w:type="pct"/>
            <w:vAlign w:val="center"/>
          </w:tcPr>
          <w:p w14:paraId="6D236D31"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12.97</w:t>
            </w:r>
          </w:p>
        </w:tc>
        <w:tc>
          <w:tcPr>
            <w:tcW w:w="1013" w:type="pct"/>
            <w:vAlign w:val="center"/>
          </w:tcPr>
          <w:p w14:paraId="0320D6DB" w14:textId="3ED3F4E9"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Reject</w:t>
            </w:r>
            <w:r w:rsidR="00A84B6B">
              <w:rPr>
                <w:rFonts w:ascii="Arial" w:eastAsia="Times New Roman" w:hAnsi="Arial" w:cs="Arial"/>
                <w:kern w:val="0"/>
                <w:sz w:val="20"/>
                <w:szCs w:val="20"/>
                <w:lang w:val="en-US"/>
                <w14:ligatures w14:val="none"/>
              </w:rPr>
              <w:t xml:space="preserve"> </w:t>
            </w:r>
            <w:r w:rsidR="00A84B6B">
              <w:rPr>
                <w:rFonts w:ascii="Arial" w:hAnsi="Arial" w:cs="Arial"/>
                <w:sz w:val="20"/>
                <w:szCs w:val="20"/>
              </w:rPr>
              <w:t>H</w:t>
            </w:r>
            <w:r w:rsidR="00A84B6B">
              <w:rPr>
                <w:rFonts w:ascii="Arial" w:hAnsi="Arial" w:cs="Arial"/>
                <w:sz w:val="20"/>
                <w:szCs w:val="20"/>
                <w:vertAlign w:val="subscript"/>
              </w:rPr>
              <w:t>0</w:t>
            </w:r>
          </w:p>
        </w:tc>
      </w:tr>
      <w:tr w:rsidR="005F602E" w:rsidRPr="005F602E" w14:paraId="043049EB" w14:textId="77777777" w:rsidTr="00DC443D">
        <w:tc>
          <w:tcPr>
            <w:tcW w:w="1195" w:type="pct"/>
            <w:vAlign w:val="center"/>
          </w:tcPr>
          <w:p w14:paraId="1B65E790"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At most 1</w:t>
            </w:r>
          </w:p>
        </w:tc>
        <w:tc>
          <w:tcPr>
            <w:tcW w:w="796" w:type="pct"/>
            <w:vAlign w:val="center"/>
          </w:tcPr>
          <w:p w14:paraId="2F714CA4"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23.42290</w:t>
            </w:r>
          </w:p>
        </w:tc>
        <w:tc>
          <w:tcPr>
            <w:tcW w:w="998" w:type="pct"/>
            <w:vAlign w:val="center"/>
          </w:tcPr>
          <w:p w14:paraId="2895F470"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15.67</w:t>
            </w:r>
          </w:p>
        </w:tc>
        <w:tc>
          <w:tcPr>
            <w:tcW w:w="998" w:type="pct"/>
            <w:vAlign w:val="center"/>
          </w:tcPr>
          <w:p w14:paraId="1BCF43C2"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20.20</w:t>
            </w:r>
          </w:p>
        </w:tc>
        <w:tc>
          <w:tcPr>
            <w:tcW w:w="1013" w:type="pct"/>
            <w:vAlign w:val="center"/>
          </w:tcPr>
          <w:p w14:paraId="79671F7F" w14:textId="7F5BDABC" w:rsidR="005F602E" w:rsidRPr="005F602E" w:rsidRDefault="00274FB6" w:rsidP="00DC443D">
            <w:pPr>
              <w:spacing w:line="276"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Do not </w:t>
            </w:r>
            <w:r w:rsidR="005F602E" w:rsidRPr="005F602E">
              <w:rPr>
                <w:rFonts w:ascii="Arial" w:eastAsia="Times New Roman" w:hAnsi="Arial" w:cs="Arial"/>
                <w:kern w:val="0"/>
                <w:sz w:val="20"/>
                <w:szCs w:val="20"/>
                <w:lang w:val="en-US"/>
                <w14:ligatures w14:val="none"/>
              </w:rPr>
              <w:t>Reject</w:t>
            </w:r>
            <w:r w:rsidR="00A84B6B">
              <w:rPr>
                <w:rFonts w:ascii="Arial" w:eastAsia="Times New Roman" w:hAnsi="Arial" w:cs="Arial"/>
                <w:kern w:val="0"/>
                <w:sz w:val="20"/>
                <w:szCs w:val="20"/>
                <w:lang w:val="en-US"/>
                <w14:ligatures w14:val="none"/>
              </w:rPr>
              <w:t xml:space="preserve"> </w:t>
            </w:r>
            <w:r w:rsidR="00A84B6B">
              <w:rPr>
                <w:rFonts w:ascii="Arial" w:hAnsi="Arial" w:cs="Arial"/>
                <w:sz w:val="20"/>
                <w:szCs w:val="20"/>
              </w:rPr>
              <w:t>H</w:t>
            </w:r>
            <w:r w:rsidR="00A84B6B">
              <w:rPr>
                <w:rFonts w:ascii="Arial" w:hAnsi="Arial" w:cs="Arial"/>
                <w:sz w:val="20"/>
                <w:szCs w:val="20"/>
                <w:vertAlign w:val="subscript"/>
              </w:rPr>
              <w:t>0</w:t>
            </w:r>
          </w:p>
        </w:tc>
      </w:tr>
      <w:tr w:rsidR="005F602E" w:rsidRPr="005F602E" w14:paraId="29230CFF" w14:textId="77777777" w:rsidTr="00DC443D">
        <w:tc>
          <w:tcPr>
            <w:tcW w:w="1195" w:type="pct"/>
            <w:vAlign w:val="center"/>
          </w:tcPr>
          <w:p w14:paraId="4B907CBC"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At most 2</w:t>
            </w:r>
          </w:p>
        </w:tc>
        <w:tc>
          <w:tcPr>
            <w:tcW w:w="796" w:type="pct"/>
            <w:vAlign w:val="center"/>
          </w:tcPr>
          <w:p w14:paraId="010E1344"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32.64562</w:t>
            </w:r>
          </w:p>
        </w:tc>
        <w:tc>
          <w:tcPr>
            <w:tcW w:w="998" w:type="pct"/>
            <w:vAlign w:val="center"/>
          </w:tcPr>
          <w:p w14:paraId="1405B873"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22.00</w:t>
            </w:r>
          </w:p>
        </w:tc>
        <w:tc>
          <w:tcPr>
            <w:tcW w:w="998" w:type="pct"/>
            <w:vAlign w:val="center"/>
          </w:tcPr>
          <w:p w14:paraId="3A81D5B7"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26.81</w:t>
            </w:r>
          </w:p>
        </w:tc>
        <w:tc>
          <w:tcPr>
            <w:tcW w:w="1013" w:type="pct"/>
            <w:vAlign w:val="center"/>
          </w:tcPr>
          <w:p w14:paraId="21F0ACD4" w14:textId="7B18DCD1" w:rsidR="005F602E" w:rsidRPr="005F602E" w:rsidRDefault="00A84B6B" w:rsidP="00DC443D">
            <w:pPr>
              <w:spacing w:line="276"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Do not </w:t>
            </w:r>
            <w:r w:rsidR="005F602E" w:rsidRPr="005F602E">
              <w:rPr>
                <w:rFonts w:ascii="Arial" w:eastAsia="Times New Roman" w:hAnsi="Arial" w:cs="Arial"/>
                <w:kern w:val="0"/>
                <w:sz w:val="20"/>
                <w:szCs w:val="20"/>
                <w:lang w:val="en-US"/>
                <w14:ligatures w14:val="none"/>
              </w:rPr>
              <w:t>Reject</w:t>
            </w:r>
            <w:r>
              <w:rPr>
                <w:rFonts w:ascii="Arial" w:hAnsi="Arial" w:cs="Arial"/>
                <w:sz w:val="20"/>
                <w:szCs w:val="20"/>
              </w:rPr>
              <w:t xml:space="preserve"> H</w:t>
            </w:r>
            <w:r>
              <w:rPr>
                <w:rFonts w:ascii="Arial" w:hAnsi="Arial" w:cs="Arial"/>
                <w:sz w:val="20"/>
                <w:szCs w:val="20"/>
                <w:vertAlign w:val="subscript"/>
              </w:rPr>
              <w:t>0</w:t>
            </w:r>
          </w:p>
        </w:tc>
      </w:tr>
      <w:tr w:rsidR="005F602E" w:rsidRPr="005F602E" w14:paraId="3BDABB0F" w14:textId="77777777" w:rsidTr="00DC443D">
        <w:tc>
          <w:tcPr>
            <w:tcW w:w="1195" w:type="pct"/>
            <w:vAlign w:val="center"/>
          </w:tcPr>
          <w:p w14:paraId="40B64D28"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At most 3</w:t>
            </w:r>
          </w:p>
        </w:tc>
        <w:tc>
          <w:tcPr>
            <w:tcW w:w="796" w:type="pct"/>
            <w:vAlign w:val="center"/>
          </w:tcPr>
          <w:p w14:paraId="2CBACC0D"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83.83230</w:t>
            </w:r>
          </w:p>
        </w:tc>
        <w:tc>
          <w:tcPr>
            <w:tcW w:w="998" w:type="pct"/>
            <w:vAlign w:val="center"/>
          </w:tcPr>
          <w:p w14:paraId="1532E45E"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28.14</w:t>
            </w:r>
          </w:p>
        </w:tc>
        <w:tc>
          <w:tcPr>
            <w:tcW w:w="998" w:type="pct"/>
            <w:vAlign w:val="center"/>
          </w:tcPr>
          <w:p w14:paraId="5C6FB53A" w14:textId="77777777" w:rsidR="005F602E" w:rsidRPr="005F602E" w:rsidRDefault="005F602E" w:rsidP="00DC443D">
            <w:pPr>
              <w:spacing w:line="276" w:lineRule="auto"/>
              <w:jc w:val="center"/>
              <w:rPr>
                <w:rFonts w:ascii="Arial" w:eastAsia="Times New Roman" w:hAnsi="Arial" w:cs="Arial"/>
                <w:kern w:val="0"/>
                <w:sz w:val="20"/>
                <w:szCs w:val="20"/>
                <w:lang w:val="en-US"/>
                <w14:ligatures w14:val="none"/>
              </w:rPr>
            </w:pPr>
            <w:r w:rsidRPr="005F602E">
              <w:rPr>
                <w:rFonts w:ascii="Arial" w:eastAsia="Times New Roman" w:hAnsi="Arial" w:cs="Arial"/>
                <w:kern w:val="0"/>
                <w:sz w:val="20"/>
                <w:szCs w:val="20"/>
                <w:lang w:val="en-US"/>
                <w14:ligatures w14:val="none"/>
              </w:rPr>
              <w:t>33.24</w:t>
            </w:r>
          </w:p>
        </w:tc>
        <w:tc>
          <w:tcPr>
            <w:tcW w:w="1013" w:type="pct"/>
            <w:vAlign w:val="center"/>
          </w:tcPr>
          <w:p w14:paraId="44884C0F" w14:textId="005C96FB" w:rsidR="005F602E" w:rsidRPr="005F602E" w:rsidRDefault="00A84B6B" w:rsidP="00DC443D">
            <w:pPr>
              <w:spacing w:line="276"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Do not </w:t>
            </w:r>
            <w:r w:rsidR="005F602E" w:rsidRPr="005F602E">
              <w:rPr>
                <w:rFonts w:ascii="Arial" w:eastAsia="Times New Roman" w:hAnsi="Arial" w:cs="Arial"/>
                <w:kern w:val="0"/>
                <w:sz w:val="20"/>
                <w:szCs w:val="20"/>
                <w:lang w:val="en-US"/>
                <w14:ligatures w14:val="none"/>
              </w:rPr>
              <w:t>Reject</w:t>
            </w:r>
            <w:r>
              <w:rPr>
                <w:rFonts w:ascii="Arial" w:hAnsi="Arial" w:cs="Arial"/>
                <w:sz w:val="20"/>
                <w:szCs w:val="20"/>
              </w:rPr>
              <w:t xml:space="preserve"> H</w:t>
            </w:r>
            <w:r>
              <w:rPr>
                <w:rFonts w:ascii="Arial" w:hAnsi="Arial" w:cs="Arial"/>
                <w:sz w:val="20"/>
                <w:szCs w:val="20"/>
                <w:vertAlign w:val="subscript"/>
              </w:rPr>
              <w:t>0</w:t>
            </w:r>
          </w:p>
        </w:tc>
      </w:tr>
    </w:tbl>
    <w:p w14:paraId="5068F33D" w14:textId="77777777" w:rsidR="005F602E" w:rsidRPr="005F602E" w:rsidRDefault="005F602E" w:rsidP="005F602E">
      <w:pPr>
        <w:spacing w:after="0" w:line="240" w:lineRule="auto"/>
        <w:rPr>
          <w:rFonts w:ascii="Times New Roman" w:eastAsia="Times New Roman" w:hAnsi="Times New Roman" w:cs="Times New Roman"/>
          <w:kern w:val="0"/>
          <w:sz w:val="24"/>
          <w:szCs w:val="24"/>
          <w:lang w:val="en-US"/>
          <w14:ligatures w14:val="none"/>
        </w:rPr>
      </w:pPr>
    </w:p>
    <w:p w14:paraId="0A940C66" w14:textId="5A434445" w:rsidR="00DC3A0E" w:rsidRP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t>The multiple Johansen co-integration test was applied to the data on monthly price for all the three markets. The results from the trace statistic of Cointegration test were presented in Table 2. Based on the rejection of the null hypothesis at each step for the trace statistics, we conclude that there are at least</w:t>
      </w:r>
      <w:r w:rsidR="00274FB6">
        <w:rPr>
          <w:rFonts w:ascii="Arial" w:hAnsi="Arial" w:cs="Arial"/>
          <w:sz w:val="20"/>
          <w:szCs w:val="20"/>
        </w:rPr>
        <w:t xml:space="preserve"> one</w:t>
      </w:r>
      <w:r w:rsidRPr="00DC3A0E">
        <w:rPr>
          <w:rFonts w:ascii="Arial" w:hAnsi="Arial" w:cs="Arial"/>
          <w:sz w:val="20"/>
          <w:szCs w:val="20"/>
        </w:rPr>
        <w:t xml:space="preserve"> cointegrating vector among the time series for the monthly market price data of Bangalore,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 This signifies that the time series are cointegrated, indicating a long-term equilibrium relationship between the prices in these markets.</w:t>
      </w:r>
    </w:p>
    <w:p w14:paraId="2E11A572" w14:textId="2D3229AC" w:rsidR="00DC3A0E" w:rsidRPr="00DC3A0E" w:rsidRDefault="00DC3A0E" w:rsidP="00D30290">
      <w:pPr>
        <w:spacing w:line="360" w:lineRule="auto"/>
        <w:rPr>
          <w:rFonts w:ascii="Arial" w:hAnsi="Arial" w:cs="Arial"/>
          <w:b/>
          <w:bCs/>
          <w:sz w:val="20"/>
          <w:szCs w:val="20"/>
        </w:rPr>
      </w:pPr>
      <w:r>
        <w:rPr>
          <w:rFonts w:ascii="Arial" w:hAnsi="Arial" w:cs="Arial"/>
          <w:b/>
          <w:bCs/>
          <w:sz w:val="20"/>
          <w:szCs w:val="20"/>
        </w:rPr>
        <w:t xml:space="preserve">3.1.2. </w:t>
      </w:r>
      <w:r w:rsidRPr="00DC3A0E">
        <w:rPr>
          <w:rFonts w:ascii="Arial" w:hAnsi="Arial" w:cs="Arial"/>
          <w:b/>
          <w:bCs/>
          <w:sz w:val="20"/>
          <w:szCs w:val="20"/>
        </w:rPr>
        <w:t xml:space="preserve">Vector Error correction model estimates for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markets </w:t>
      </w:r>
    </w:p>
    <w:p w14:paraId="7604D5E9" w14:textId="77777777" w:rsidR="00DC3A0E" w:rsidRPr="00DC3A0E" w:rsidRDefault="00DC3A0E" w:rsidP="00D30290">
      <w:pPr>
        <w:numPr>
          <w:ilvl w:val="0"/>
          <w:numId w:val="10"/>
        </w:numPr>
        <w:spacing w:after="0" w:line="360" w:lineRule="auto"/>
        <w:rPr>
          <w:rFonts w:ascii="Arial" w:hAnsi="Arial" w:cs="Arial"/>
          <w:sz w:val="20"/>
          <w:szCs w:val="20"/>
        </w:rPr>
      </w:pPr>
      <w:r w:rsidRPr="00DC3A0E">
        <w:rPr>
          <w:rFonts w:ascii="Arial" w:hAnsi="Arial" w:cs="Arial"/>
          <w:sz w:val="20"/>
          <w:szCs w:val="20"/>
        </w:rPr>
        <w:t>Bangalore:</w:t>
      </w:r>
    </w:p>
    <w:p w14:paraId="328F4122" w14:textId="77777777" w:rsid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ECT1, ECT2, ECT3: All error correction terms were significant at the 1 per cent level, indicating a strong speed of adjustment towards equilibrium.</w:t>
      </w:r>
    </w:p>
    <w:p w14:paraId="406DFCE3"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Significant at the 1 per cent level, suggesting a consistent, non-time-dependent factor.</w:t>
      </w:r>
    </w:p>
    <w:p w14:paraId="568B6210"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lastRenderedPageBreak/>
        <w:t>Bangalore-1: Significant at the 10 per cent level, indicating some lagged effect of Bangalore's market prices on itself.</w:t>
      </w:r>
    </w:p>
    <w:p w14:paraId="3C3DD23C" w14:textId="77777777" w:rsidR="00DC3A0E" w:rsidRPr="00DC3A0E" w:rsidRDefault="00DC3A0E" w:rsidP="00D30290">
      <w:pPr>
        <w:numPr>
          <w:ilvl w:val="0"/>
          <w:numId w:val="10"/>
        </w:numPr>
        <w:spacing w:after="0" w:line="360" w:lineRule="auto"/>
        <w:jc w:val="both"/>
        <w:rPr>
          <w:rFonts w:ascii="Arial" w:hAnsi="Arial" w:cs="Arial"/>
          <w:sz w:val="20"/>
          <w:szCs w:val="20"/>
        </w:rPr>
      </w:pPr>
      <w:proofErr w:type="spellStart"/>
      <w:r w:rsidRPr="00DC3A0E">
        <w:rPr>
          <w:rFonts w:ascii="Arial" w:hAnsi="Arial" w:cs="Arial"/>
          <w:sz w:val="20"/>
          <w:szCs w:val="20"/>
        </w:rPr>
        <w:t>Hubbli</w:t>
      </w:r>
      <w:proofErr w:type="spellEnd"/>
      <w:r w:rsidRPr="00DC3A0E">
        <w:rPr>
          <w:rFonts w:ascii="Arial" w:hAnsi="Arial" w:cs="Arial"/>
          <w:sz w:val="20"/>
          <w:szCs w:val="20"/>
        </w:rPr>
        <w:t>:</w:t>
      </w:r>
    </w:p>
    <w:p w14:paraId="2AB71A25" w14:textId="398650C0"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 xml:space="preserve">ECT1, ECT2, ECT3: Significant at the 10, 5, and 1 per cent </w:t>
      </w:r>
      <w:r w:rsidR="00274FB6">
        <w:rPr>
          <w:rFonts w:ascii="Arial" w:hAnsi="Arial" w:cs="Arial"/>
          <w:sz w:val="20"/>
          <w:szCs w:val="20"/>
        </w:rPr>
        <w:t xml:space="preserve">significance </w:t>
      </w:r>
      <w:r w:rsidRPr="00DC3A0E">
        <w:rPr>
          <w:rFonts w:ascii="Arial" w:hAnsi="Arial" w:cs="Arial"/>
          <w:sz w:val="20"/>
          <w:szCs w:val="20"/>
        </w:rPr>
        <w:t>levels</w:t>
      </w:r>
      <w:r w:rsidR="005C3FBD">
        <w:rPr>
          <w:rFonts w:ascii="Arial" w:hAnsi="Arial" w:cs="Arial"/>
          <w:sz w:val="20"/>
          <w:szCs w:val="20"/>
        </w:rPr>
        <w:t>,</w:t>
      </w:r>
      <w:r w:rsidRPr="00DC3A0E">
        <w:rPr>
          <w:rFonts w:ascii="Arial" w:hAnsi="Arial" w:cs="Arial"/>
          <w:sz w:val="20"/>
          <w:szCs w:val="20"/>
        </w:rPr>
        <w:t xml:space="preserve"> respectively, indicating adjustment towards equilibrium.</w:t>
      </w:r>
    </w:p>
    <w:p w14:paraId="4D72C8D2"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Significant at the 10 per cent level, indicating a base effect.</w:t>
      </w:r>
    </w:p>
    <w:p w14:paraId="478EEFCA"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 xml:space="preserve">Bangalore-1: Significant at the 5 per cent level, suggesting Bangalore's market prices have an influence on </w:t>
      </w:r>
      <w:proofErr w:type="spellStart"/>
      <w:r w:rsidRPr="00DC3A0E">
        <w:rPr>
          <w:rFonts w:ascii="Arial" w:hAnsi="Arial" w:cs="Arial"/>
          <w:sz w:val="20"/>
          <w:szCs w:val="20"/>
        </w:rPr>
        <w:t>Hubbli's</w:t>
      </w:r>
      <w:proofErr w:type="spellEnd"/>
      <w:r w:rsidRPr="00DC3A0E">
        <w:rPr>
          <w:rFonts w:ascii="Arial" w:hAnsi="Arial" w:cs="Arial"/>
          <w:sz w:val="20"/>
          <w:szCs w:val="20"/>
        </w:rPr>
        <w:t xml:space="preserve"> prices.</w:t>
      </w:r>
    </w:p>
    <w:p w14:paraId="5191E782" w14:textId="77777777" w:rsidR="00DC3A0E" w:rsidRPr="00DC3A0E" w:rsidRDefault="00DC3A0E" w:rsidP="00D30290">
      <w:pPr>
        <w:numPr>
          <w:ilvl w:val="0"/>
          <w:numId w:val="10"/>
        </w:numPr>
        <w:spacing w:after="0" w:line="360" w:lineRule="auto"/>
        <w:jc w:val="both"/>
        <w:rPr>
          <w:rFonts w:ascii="Arial" w:hAnsi="Arial" w:cs="Arial"/>
          <w:sz w:val="20"/>
          <w:szCs w:val="20"/>
        </w:rPr>
      </w:pPr>
      <w:proofErr w:type="spellStart"/>
      <w:r w:rsidRPr="00DC3A0E">
        <w:rPr>
          <w:rFonts w:ascii="Arial" w:hAnsi="Arial" w:cs="Arial"/>
          <w:sz w:val="20"/>
          <w:szCs w:val="20"/>
        </w:rPr>
        <w:t>Byadagi</w:t>
      </w:r>
      <w:proofErr w:type="spellEnd"/>
      <w:r w:rsidRPr="00DC3A0E">
        <w:rPr>
          <w:rFonts w:ascii="Arial" w:hAnsi="Arial" w:cs="Arial"/>
          <w:sz w:val="20"/>
          <w:szCs w:val="20"/>
        </w:rPr>
        <w:t>:</w:t>
      </w:r>
    </w:p>
    <w:p w14:paraId="656B38DF"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ECT1, ECT2, ECT3: No significance, indicating weak or no adjustment towards equilibrium.</w:t>
      </w:r>
    </w:p>
    <w:p w14:paraId="5D71AA43"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No significance, suggesting minimal base effect.</w:t>
      </w:r>
    </w:p>
    <w:p w14:paraId="6C9DB1B7"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Other Variables: No significant effects from the market prices of Bangalore or Hubli.</w:t>
      </w:r>
    </w:p>
    <w:p w14:paraId="2E203F7D" w14:textId="72D37333" w:rsidR="005F602E" w:rsidRDefault="00DC3A0E" w:rsidP="005F602E">
      <w:pPr>
        <w:spacing w:line="360" w:lineRule="auto"/>
        <w:rPr>
          <w:rFonts w:ascii="Arial" w:hAnsi="Arial" w:cs="Arial"/>
          <w:sz w:val="20"/>
          <w:szCs w:val="20"/>
        </w:rPr>
      </w:pPr>
      <w:r w:rsidRPr="00DC3A0E">
        <w:rPr>
          <w:rFonts w:ascii="Arial" w:hAnsi="Arial" w:cs="Arial"/>
          <w:sz w:val="20"/>
          <w:szCs w:val="20"/>
        </w:rPr>
        <w:t>From the above result</w:t>
      </w:r>
      <w:r w:rsidR="00F85A88">
        <w:rPr>
          <w:rFonts w:ascii="Arial" w:hAnsi="Arial" w:cs="Arial"/>
          <w:sz w:val="20"/>
          <w:szCs w:val="20"/>
        </w:rPr>
        <w:t>,</w:t>
      </w:r>
      <w:r w:rsidRPr="00DC3A0E">
        <w:rPr>
          <w:rFonts w:ascii="Arial" w:hAnsi="Arial" w:cs="Arial"/>
          <w:sz w:val="20"/>
          <w:szCs w:val="20"/>
        </w:rPr>
        <w:t xml:space="preserve"> we can conclude that </w:t>
      </w:r>
      <w:r w:rsidRPr="00020F96">
        <w:rPr>
          <w:rFonts w:ascii="Arial" w:hAnsi="Arial" w:cs="Arial"/>
          <w:sz w:val="20"/>
          <w:szCs w:val="20"/>
          <w:highlight w:val="yellow"/>
        </w:rPr>
        <w:t>Bangalore</w:t>
      </w:r>
      <w:r w:rsidRPr="00DC3A0E">
        <w:rPr>
          <w:rFonts w:ascii="Arial" w:hAnsi="Arial" w:cs="Arial"/>
          <w:sz w:val="20"/>
          <w:szCs w:val="20"/>
        </w:rPr>
        <w:t xml:space="preserve"> and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exhibit significant adjustment mechanisms and are influenced by their past values and each other. Whereas,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shows weaker adjustment, suggesting different market dynamics or external factors not captured by this model</w:t>
      </w:r>
      <w:r>
        <w:rPr>
          <w:rFonts w:ascii="Arial" w:hAnsi="Arial" w:cs="Arial"/>
          <w:sz w:val="20"/>
          <w:szCs w:val="20"/>
        </w:rPr>
        <w:t xml:space="preserve">. </w:t>
      </w:r>
    </w:p>
    <w:p w14:paraId="439DC4D8" w14:textId="7809E196" w:rsidR="00DC3A0E" w:rsidRPr="00DC3A0E" w:rsidRDefault="00DC3A0E" w:rsidP="005F602E">
      <w:pPr>
        <w:spacing w:line="360" w:lineRule="auto"/>
        <w:rPr>
          <w:rFonts w:ascii="Arial" w:hAnsi="Arial" w:cs="Arial"/>
          <w:b/>
          <w:bCs/>
          <w:sz w:val="20"/>
          <w:szCs w:val="20"/>
        </w:rPr>
      </w:pPr>
      <w:r w:rsidRPr="00DC3A0E">
        <w:rPr>
          <w:rFonts w:ascii="Arial" w:hAnsi="Arial" w:cs="Arial"/>
          <w:b/>
          <w:bCs/>
          <w:sz w:val="20"/>
          <w:szCs w:val="20"/>
        </w:rPr>
        <w:t xml:space="preserve">Table 3: Vector Error correction model estimates for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markets</w:t>
      </w:r>
    </w:p>
    <w:tbl>
      <w:tblPr>
        <w:tblStyle w:val="TableGrid"/>
        <w:tblpPr w:leftFromText="180" w:rightFromText="180" w:vertAnchor="text" w:horzAnchor="margin" w:tblpXSpec="center" w:tblpY="360"/>
        <w:tblW w:w="11251" w:type="dxa"/>
        <w:tblLook w:val="04A0" w:firstRow="1" w:lastRow="0" w:firstColumn="1" w:lastColumn="0" w:noHBand="0" w:noVBand="1"/>
      </w:tblPr>
      <w:tblGrid>
        <w:gridCol w:w="1195"/>
        <w:gridCol w:w="1403"/>
        <w:gridCol w:w="1195"/>
        <w:gridCol w:w="1195"/>
        <w:gridCol w:w="1751"/>
        <w:gridCol w:w="1295"/>
        <w:gridCol w:w="1195"/>
        <w:gridCol w:w="961"/>
        <w:gridCol w:w="1061"/>
      </w:tblGrid>
      <w:tr w:rsidR="00DC3A0E" w:rsidRPr="00DC3A0E" w14:paraId="6C0423A3" w14:textId="77777777" w:rsidTr="005F602E">
        <w:trPr>
          <w:trHeight w:val="689"/>
        </w:trPr>
        <w:tc>
          <w:tcPr>
            <w:tcW w:w="1195" w:type="dxa"/>
          </w:tcPr>
          <w:p w14:paraId="232D066E" w14:textId="77777777" w:rsidR="00DC3A0E" w:rsidRPr="00DC3A0E" w:rsidRDefault="00DC3A0E" w:rsidP="005F602E">
            <w:pPr>
              <w:spacing w:line="276" w:lineRule="auto"/>
              <w:jc w:val="both"/>
              <w:rPr>
                <w:rFonts w:ascii="Arial" w:hAnsi="Arial" w:cs="Arial"/>
                <w:b/>
                <w:bCs/>
                <w:sz w:val="20"/>
                <w:szCs w:val="20"/>
              </w:rPr>
            </w:pPr>
          </w:p>
        </w:tc>
        <w:tc>
          <w:tcPr>
            <w:tcW w:w="1403" w:type="dxa"/>
          </w:tcPr>
          <w:p w14:paraId="115C62FC"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ECT1</w:t>
            </w:r>
          </w:p>
        </w:tc>
        <w:tc>
          <w:tcPr>
            <w:tcW w:w="1195" w:type="dxa"/>
          </w:tcPr>
          <w:p w14:paraId="204E19CB"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ECT2</w:t>
            </w:r>
          </w:p>
        </w:tc>
        <w:tc>
          <w:tcPr>
            <w:tcW w:w="1195" w:type="dxa"/>
          </w:tcPr>
          <w:p w14:paraId="6F4035B8"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ECT3</w:t>
            </w:r>
          </w:p>
        </w:tc>
        <w:tc>
          <w:tcPr>
            <w:tcW w:w="1751" w:type="dxa"/>
          </w:tcPr>
          <w:p w14:paraId="0D59BDCC"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Intercept</w:t>
            </w:r>
          </w:p>
        </w:tc>
        <w:tc>
          <w:tcPr>
            <w:tcW w:w="1295" w:type="dxa"/>
          </w:tcPr>
          <w:p w14:paraId="46D2E897"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 xml:space="preserve"> Time -1                  </w:t>
            </w:r>
          </w:p>
        </w:tc>
        <w:tc>
          <w:tcPr>
            <w:tcW w:w="1195" w:type="dxa"/>
          </w:tcPr>
          <w:p w14:paraId="2431CC83"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 xml:space="preserve">Bangalore -1         </w:t>
            </w:r>
          </w:p>
        </w:tc>
        <w:tc>
          <w:tcPr>
            <w:tcW w:w="961" w:type="dxa"/>
          </w:tcPr>
          <w:p w14:paraId="257F8765"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Hubbli-1</w:t>
            </w:r>
          </w:p>
        </w:tc>
        <w:tc>
          <w:tcPr>
            <w:tcW w:w="1061" w:type="dxa"/>
          </w:tcPr>
          <w:p w14:paraId="287A044F"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Byadagi-1</w:t>
            </w:r>
          </w:p>
        </w:tc>
      </w:tr>
      <w:tr w:rsidR="00DC3A0E" w:rsidRPr="00DC3A0E" w14:paraId="325B7F42" w14:textId="77777777" w:rsidTr="005F602E">
        <w:trPr>
          <w:trHeight w:val="147"/>
        </w:trPr>
        <w:tc>
          <w:tcPr>
            <w:tcW w:w="1195" w:type="dxa"/>
          </w:tcPr>
          <w:p w14:paraId="75D8155B"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b/>
                <w:bCs/>
                <w:sz w:val="20"/>
                <w:szCs w:val="20"/>
              </w:rPr>
              <w:t xml:space="preserve">Bangalore </w:t>
            </w:r>
          </w:p>
        </w:tc>
        <w:tc>
          <w:tcPr>
            <w:tcW w:w="1403" w:type="dxa"/>
          </w:tcPr>
          <w:p w14:paraId="7DB828AF"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461.8023</w:t>
            </w:r>
          </w:p>
          <w:p w14:paraId="1CFDBFAE"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110.0908)*</w:t>
            </w:r>
            <w:proofErr w:type="gramEnd"/>
            <w:r w:rsidRPr="00DC3A0E">
              <w:rPr>
                <w:rFonts w:ascii="Arial" w:hAnsi="Arial" w:cs="Arial"/>
                <w:sz w:val="20"/>
                <w:szCs w:val="20"/>
              </w:rPr>
              <w:t>**</w:t>
            </w:r>
          </w:p>
        </w:tc>
        <w:tc>
          <w:tcPr>
            <w:tcW w:w="1195" w:type="dxa"/>
          </w:tcPr>
          <w:p w14:paraId="4DAF44A9"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 xml:space="preserve"> -0.7318</w:t>
            </w:r>
          </w:p>
          <w:p w14:paraId="57E9E80D"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0.0781)*</w:t>
            </w:r>
            <w:proofErr w:type="gramEnd"/>
            <w:r w:rsidRPr="00DC3A0E">
              <w:rPr>
                <w:rFonts w:ascii="Arial" w:hAnsi="Arial" w:cs="Arial"/>
                <w:sz w:val="20"/>
                <w:szCs w:val="20"/>
              </w:rPr>
              <w:t xml:space="preserve">**    </w:t>
            </w:r>
          </w:p>
        </w:tc>
        <w:tc>
          <w:tcPr>
            <w:tcW w:w="1195" w:type="dxa"/>
          </w:tcPr>
          <w:p w14:paraId="437820B3"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1.0548</w:t>
            </w:r>
          </w:p>
          <w:p w14:paraId="728B5508"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0.1883)*</w:t>
            </w:r>
            <w:proofErr w:type="gramEnd"/>
            <w:r w:rsidRPr="00DC3A0E">
              <w:rPr>
                <w:rFonts w:ascii="Arial" w:hAnsi="Arial" w:cs="Arial"/>
                <w:sz w:val="20"/>
                <w:szCs w:val="20"/>
              </w:rPr>
              <w:t xml:space="preserve">**    </w:t>
            </w:r>
          </w:p>
        </w:tc>
        <w:tc>
          <w:tcPr>
            <w:tcW w:w="1751" w:type="dxa"/>
          </w:tcPr>
          <w:p w14:paraId="664A0439"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-925178.7189</w:t>
            </w:r>
          </w:p>
          <w:p w14:paraId="4090E356"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220428.1860)*</w:t>
            </w:r>
            <w:proofErr w:type="gramEnd"/>
            <w:r w:rsidRPr="00DC3A0E">
              <w:rPr>
                <w:rFonts w:ascii="Arial" w:hAnsi="Arial" w:cs="Arial"/>
                <w:sz w:val="20"/>
                <w:szCs w:val="20"/>
              </w:rPr>
              <w:t>**</w:t>
            </w:r>
          </w:p>
        </w:tc>
        <w:tc>
          <w:tcPr>
            <w:tcW w:w="1295" w:type="dxa"/>
          </w:tcPr>
          <w:p w14:paraId="116E31E9"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-2330.4883</w:t>
            </w:r>
          </w:p>
          <w:p w14:paraId="4B7D7F0D"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 xml:space="preserve">(2076.2565)   </w:t>
            </w:r>
          </w:p>
        </w:tc>
        <w:tc>
          <w:tcPr>
            <w:tcW w:w="1195" w:type="dxa"/>
          </w:tcPr>
          <w:p w14:paraId="287FF389"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 xml:space="preserve">  -0.1318</w:t>
            </w:r>
          </w:p>
          <w:p w14:paraId="4FAE9221"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0.0602)*</w:t>
            </w:r>
            <w:proofErr w:type="gramEnd"/>
          </w:p>
        </w:tc>
        <w:tc>
          <w:tcPr>
            <w:tcW w:w="961" w:type="dxa"/>
          </w:tcPr>
          <w:p w14:paraId="7728E123"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-0.3427</w:t>
            </w:r>
          </w:p>
          <w:p w14:paraId="76520428"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 xml:space="preserve">(0.2623)             </w:t>
            </w:r>
          </w:p>
        </w:tc>
        <w:tc>
          <w:tcPr>
            <w:tcW w:w="1061" w:type="dxa"/>
          </w:tcPr>
          <w:p w14:paraId="437669E4"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0.0061</w:t>
            </w:r>
          </w:p>
          <w:p w14:paraId="30C9374E"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(0.0302)</w:t>
            </w:r>
          </w:p>
        </w:tc>
      </w:tr>
      <w:tr w:rsidR="00DC3A0E" w:rsidRPr="00DC3A0E" w14:paraId="02D42F83" w14:textId="77777777" w:rsidTr="005F602E">
        <w:trPr>
          <w:trHeight w:val="226"/>
        </w:trPr>
        <w:tc>
          <w:tcPr>
            <w:tcW w:w="1195" w:type="dxa"/>
          </w:tcPr>
          <w:p w14:paraId="7B2DCB3C" w14:textId="77777777" w:rsidR="00DC3A0E" w:rsidRPr="00DC3A0E" w:rsidRDefault="00DC3A0E" w:rsidP="005F602E">
            <w:pPr>
              <w:spacing w:line="276" w:lineRule="auto"/>
              <w:jc w:val="both"/>
              <w:rPr>
                <w:rFonts w:ascii="Arial" w:hAnsi="Arial" w:cs="Arial"/>
                <w:b/>
                <w:bCs/>
                <w:sz w:val="20"/>
                <w:szCs w:val="20"/>
              </w:rPr>
            </w:pP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w:t>
            </w:r>
          </w:p>
        </w:tc>
        <w:tc>
          <w:tcPr>
            <w:tcW w:w="1403" w:type="dxa"/>
          </w:tcPr>
          <w:p w14:paraId="26DAA8D8"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62.9425</w:t>
            </w:r>
          </w:p>
          <w:p w14:paraId="2D8C3D9D"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w:t>
            </w:r>
            <w:proofErr w:type="gramStart"/>
            <w:r w:rsidRPr="00DC3A0E">
              <w:rPr>
                <w:rFonts w:ascii="Arial" w:hAnsi="Arial" w:cs="Arial"/>
                <w:sz w:val="20"/>
                <w:szCs w:val="20"/>
              </w:rPr>
              <w:t>26.2832)*</w:t>
            </w:r>
            <w:proofErr w:type="gramEnd"/>
          </w:p>
        </w:tc>
        <w:tc>
          <w:tcPr>
            <w:tcW w:w="1195" w:type="dxa"/>
          </w:tcPr>
          <w:p w14:paraId="78246D06"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0.0612</w:t>
            </w:r>
          </w:p>
          <w:p w14:paraId="287779D7"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w:t>
            </w:r>
            <w:proofErr w:type="gramStart"/>
            <w:r w:rsidRPr="00DC3A0E">
              <w:rPr>
                <w:rFonts w:ascii="Arial" w:hAnsi="Arial" w:cs="Arial"/>
                <w:sz w:val="20"/>
                <w:szCs w:val="20"/>
              </w:rPr>
              <w:t>0.0187)*</w:t>
            </w:r>
            <w:proofErr w:type="gramEnd"/>
            <w:r w:rsidRPr="00DC3A0E">
              <w:rPr>
                <w:rFonts w:ascii="Arial" w:hAnsi="Arial" w:cs="Arial"/>
                <w:sz w:val="20"/>
                <w:szCs w:val="20"/>
              </w:rPr>
              <w:t>*</w:t>
            </w:r>
          </w:p>
        </w:tc>
        <w:tc>
          <w:tcPr>
            <w:tcW w:w="1195" w:type="dxa"/>
          </w:tcPr>
          <w:p w14:paraId="0A89EDEC"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-0.2450</w:t>
            </w:r>
          </w:p>
          <w:p w14:paraId="68792EC7"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w:t>
            </w:r>
            <w:proofErr w:type="gramStart"/>
            <w:r w:rsidRPr="00DC3A0E">
              <w:rPr>
                <w:rFonts w:ascii="Arial" w:hAnsi="Arial" w:cs="Arial"/>
                <w:sz w:val="20"/>
                <w:szCs w:val="20"/>
              </w:rPr>
              <w:t>0.0449)*</w:t>
            </w:r>
            <w:proofErr w:type="gramEnd"/>
            <w:r w:rsidRPr="00DC3A0E">
              <w:rPr>
                <w:rFonts w:ascii="Arial" w:hAnsi="Arial" w:cs="Arial"/>
                <w:sz w:val="20"/>
                <w:szCs w:val="20"/>
              </w:rPr>
              <w:t xml:space="preserve">**   </w:t>
            </w:r>
          </w:p>
        </w:tc>
        <w:tc>
          <w:tcPr>
            <w:tcW w:w="1751" w:type="dxa"/>
          </w:tcPr>
          <w:p w14:paraId="0C048367"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-125754.0400</w:t>
            </w:r>
          </w:p>
          <w:p w14:paraId="2431CA9B"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w:t>
            </w:r>
            <w:proofErr w:type="gramStart"/>
            <w:r w:rsidRPr="00DC3A0E">
              <w:rPr>
                <w:rFonts w:ascii="Arial" w:hAnsi="Arial" w:cs="Arial"/>
                <w:sz w:val="20"/>
                <w:szCs w:val="20"/>
              </w:rPr>
              <w:t>52625.3369)*</w:t>
            </w:r>
            <w:proofErr w:type="gramEnd"/>
            <w:r w:rsidRPr="00DC3A0E">
              <w:rPr>
                <w:rFonts w:ascii="Arial" w:hAnsi="Arial" w:cs="Arial"/>
                <w:sz w:val="20"/>
                <w:szCs w:val="20"/>
              </w:rPr>
              <w:t xml:space="preserve">        </w:t>
            </w:r>
          </w:p>
        </w:tc>
        <w:tc>
          <w:tcPr>
            <w:tcW w:w="1295" w:type="dxa"/>
          </w:tcPr>
          <w:p w14:paraId="25365B07"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-224.9636</w:t>
            </w:r>
          </w:p>
          <w:p w14:paraId="314ED04B"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 xml:space="preserve">(495.6884)       </w:t>
            </w:r>
          </w:p>
        </w:tc>
        <w:tc>
          <w:tcPr>
            <w:tcW w:w="1195" w:type="dxa"/>
          </w:tcPr>
          <w:p w14:paraId="3799A24A"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-0.0436</w:t>
            </w:r>
          </w:p>
          <w:p w14:paraId="1BF3D0F2"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w:t>
            </w:r>
            <w:proofErr w:type="gramStart"/>
            <w:r w:rsidRPr="00DC3A0E">
              <w:rPr>
                <w:rFonts w:ascii="Arial" w:hAnsi="Arial" w:cs="Arial"/>
                <w:sz w:val="20"/>
                <w:szCs w:val="20"/>
              </w:rPr>
              <w:t>0.0144)*</w:t>
            </w:r>
            <w:proofErr w:type="gramEnd"/>
            <w:r w:rsidRPr="00DC3A0E">
              <w:rPr>
                <w:rFonts w:ascii="Arial" w:hAnsi="Arial" w:cs="Arial"/>
                <w:sz w:val="20"/>
                <w:szCs w:val="20"/>
              </w:rPr>
              <w:t>*</w:t>
            </w:r>
          </w:p>
        </w:tc>
        <w:tc>
          <w:tcPr>
            <w:tcW w:w="961" w:type="dxa"/>
          </w:tcPr>
          <w:p w14:paraId="73A38224"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-0.0460</w:t>
            </w:r>
          </w:p>
          <w:p w14:paraId="62C4A20D"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 xml:space="preserve">(0.0626)      </w:t>
            </w:r>
          </w:p>
        </w:tc>
        <w:tc>
          <w:tcPr>
            <w:tcW w:w="1061" w:type="dxa"/>
          </w:tcPr>
          <w:p w14:paraId="2C89BA0B"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0.0041</w:t>
            </w:r>
          </w:p>
          <w:p w14:paraId="3AB3125C"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 xml:space="preserve">(0.0072)       </w:t>
            </w:r>
          </w:p>
        </w:tc>
      </w:tr>
      <w:tr w:rsidR="00DC3A0E" w:rsidRPr="00DC3A0E" w14:paraId="356811C1" w14:textId="77777777" w:rsidTr="005F602E">
        <w:trPr>
          <w:trHeight w:val="226"/>
        </w:trPr>
        <w:tc>
          <w:tcPr>
            <w:tcW w:w="1195" w:type="dxa"/>
          </w:tcPr>
          <w:p w14:paraId="212F7122" w14:textId="77777777" w:rsidR="00DC3A0E" w:rsidRPr="00DC3A0E" w:rsidRDefault="00DC3A0E" w:rsidP="005F602E">
            <w:pPr>
              <w:spacing w:line="276" w:lineRule="auto"/>
              <w:jc w:val="both"/>
              <w:rPr>
                <w:rFonts w:ascii="Arial" w:hAnsi="Arial" w:cs="Arial"/>
                <w:b/>
                <w:bCs/>
                <w:sz w:val="20"/>
                <w:szCs w:val="20"/>
              </w:rPr>
            </w:pP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w:t>
            </w:r>
          </w:p>
        </w:tc>
        <w:tc>
          <w:tcPr>
            <w:tcW w:w="1403" w:type="dxa"/>
          </w:tcPr>
          <w:p w14:paraId="3413F634"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-125.1298</w:t>
            </w:r>
          </w:p>
          <w:p w14:paraId="7CD8F2FE"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(223.4081)</w:t>
            </w:r>
          </w:p>
        </w:tc>
        <w:tc>
          <w:tcPr>
            <w:tcW w:w="1195" w:type="dxa"/>
          </w:tcPr>
          <w:p w14:paraId="29EEECC4"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0.1091</w:t>
            </w:r>
          </w:p>
          <w:p w14:paraId="4DFDE3A9"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(0.1585)</w:t>
            </w:r>
          </w:p>
        </w:tc>
        <w:tc>
          <w:tcPr>
            <w:tcW w:w="1195" w:type="dxa"/>
          </w:tcPr>
          <w:p w14:paraId="201396AC"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0.0469</w:t>
            </w:r>
          </w:p>
          <w:p w14:paraId="2A881AE1"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(0.3820)</w:t>
            </w:r>
          </w:p>
        </w:tc>
        <w:tc>
          <w:tcPr>
            <w:tcW w:w="1751" w:type="dxa"/>
          </w:tcPr>
          <w:p w14:paraId="427BEDC6"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254297.5846</w:t>
            </w:r>
          </w:p>
          <w:p w14:paraId="275D9C13"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(447316.5704)</w:t>
            </w:r>
          </w:p>
        </w:tc>
        <w:tc>
          <w:tcPr>
            <w:tcW w:w="1295" w:type="dxa"/>
          </w:tcPr>
          <w:p w14:paraId="4D3941E5"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1965.1862</w:t>
            </w:r>
          </w:p>
          <w:p w14:paraId="28A1C27D"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(4213.3630)</w:t>
            </w:r>
          </w:p>
        </w:tc>
        <w:tc>
          <w:tcPr>
            <w:tcW w:w="1195" w:type="dxa"/>
          </w:tcPr>
          <w:p w14:paraId="60AEF626"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-0.0458</w:t>
            </w:r>
          </w:p>
          <w:p w14:paraId="3325E73F"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(0.1222)</w:t>
            </w:r>
          </w:p>
        </w:tc>
        <w:tc>
          <w:tcPr>
            <w:tcW w:w="961" w:type="dxa"/>
          </w:tcPr>
          <w:p w14:paraId="502534C0"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-0.8395</w:t>
            </w:r>
          </w:p>
          <w:p w14:paraId="3E6593EC"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 xml:space="preserve">(0.5322)      </w:t>
            </w:r>
          </w:p>
        </w:tc>
        <w:tc>
          <w:tcPr>
            <w:tcW w:w="1061" w:type="dxa"/>
          </w:tcPr>
          <w:p w14:paraId="59E8AD55" w14:textId="77777777" w:rsidR="00DC3A0E" w:rsidRPr="00DC3A0E" w:rsidRDefault="00DC3A0E" w:rsidP="005F602E">
            <w:pPr>
              <w:spacing w:line="276" w:lineRule="auto"/>
              <w:jc w:val="both"/>
              <w:rPr>
                <w:rFonts w:ascii="Arial" w:hAnsi="Arial" w:cs="Arial"/>
                <w:sz w:val="20"/>
                <w:szCs w:val="20"/>
              </w:rPr>
            </w:pPr>
            <w:r w:rsidRPr="00DC3A0E">
              <w:rPr>
                <w:rFonts w:ascii="Arial" w:hAnsi="Arial" w:cs="Arial"/>
                <w:sz w:val="20"/>
                <w:szCs w:val="20"/>
              </w:rPr>
              <w:t>-0.1013</w:t>
            </w:r>
          </w:p>
          <w:p w14:paraId="4E4E8599" w14:textId="77777777" w:rsidR="00DC3A0E" w:rsidRPr="00DC3A0E" w:rsidRDefault="00DC3A0E" w:rsidP="005F602E">
            <w:pPr>
              <w:spacing w:line="276" w:lineRule="auto"/>
              <w:jc w:val="both"/>
              <w:rPr>
                <w:rFonts w:ascii="Arial" w:hAnsi="Arial" w:cs="Arial"/>
                <w:b/>
                <w:bCs/>
                <w:sz w:val="20"/>
                <w:szCs w:val="20"/>
              </w:rPr>
            </w:pPr>
            <w:r w:rsidRPr="00DC3A0E">
              <w:rPr>
                <w:rFonts w:ascii="Arial" w:hAnsi="Arial" w:cs="Arial"/>
                <w:sz w:val="20"/>
                <w:szCs w:val="20"/>
              </w:rPr>
              <w:t>(0.0613).</w:t>
            </w:r>
          </w:p>
        </w:tc>
      </w:tr>
    </w:tbl>
    <w:p w14:paraId="2AAA9622" w14:textId="77777777" w:rsidR="005F602E" w:rsidRDefault="005F602E" w:rsidP="00DC3A0E">
      <w:pPr>
        <w:jc w:val="both"/>
        <w:rPr>
          <w:rFonts w:ascii="Arial" w:hAnsi="Arial" w:cs="Arial"/>
          <w:sz w:val="20"/>
          <w:szCs w:val="20"/>
        </w:rPr>
      </w:pPr>
    </w:p>
    <w:p w14:paraId="13856354" w14:textId="26306BF6" w:rsidR="00DC3A0E" w:rsidRPr="00DC3A0E" w:rsidRDefault="00DC3A0E" w:rsidP="00DC3A0E">
      <w:pPr>
        <w:jc w:val="both"/>
        <w:rPr>
          <w:rFonts w:ascii="Arial" w:hAnsi="Arial" w:cs="Arial"/>
          <w:sz w:val="20"/>
          <w:szCs w:val="20"/>
        </w:rPr>
      </w:pPr>
      <w:r w:rsidRPr="00DC3A0E">
        <w:rPr>
          <w:rFonts w:ascii="Arial" w:hAnsi="Arial" w:cs="Arial"/>
          <w:sz w:val="20"/>
          <w:szCs w:val="20"/>
        </w:rPr>
        <w:t>Significance codes:  Significance at 0 ‘***’ Significance at 0.001 ‘**’ Significance at 0.01 ‘*’ Significance at 0.05 ‘.’ Significance at 0.1</w:t>
      </w:r>
    </w:p>
    <w:p w14:paraId="7F40482E" w14:textId="6B20E1C3" w:rsidR="00DC3A0E" w:rsidRDefault="00DC3A0E" w:rsidP="00DC3A0E">
      <w:pPr>
        <w:jc w:val="both"/>
        <w:rPr>
          <w:rFonts w:ascii="Arial" w:hAnsi="Arial" w:cs="Arial"/>
          <w:sz w:val="20"/>
          <w:szCs w:val="20"/>
        </w:rPr>
      </w:pPr>
      <w:r w:rsidRPr="00DC3A0E">
        <w:rPr>
          <w:rFonts w:ascii="Arial" w:hAnsi="Arial" w:cs="Arial"/>
          <w:sz w:val="20"/>
          <w:szCs w:val="20"/>
        </w:rPr>
        <w:t>ECT = Error Correction Term</w:t>
      </w:r>
    </w:p>
    <w:p w14:paraId="72EE3398" w14:textId="77777777" w:rsidR="005F602E" w:rsidRDefault="005F602E" w:rsidP="00DC3A0E">
      <w:pPr>
        <w:jc w:val="both"/>
        <w:rPr>
          <w:rFonts w:ascii="Arial" w:hAnsi="Arial" w:cs="Arial"/>
          <w:sz w:val="20"/>
          <w:szCs w:val="20"/>
        </w:rPr>
      </w:pPr>
    </w:p>
    <w:p w14:paraId="7D2CCFF4" w14:textId="34B72E23" w:rsidR="00DC3A0E" w:rsidRPr="00DC3A0E" w:rsidRDefault="00DC3A0E" w:rsidP="00DC3A0E">
      <w:pPr>
        <w:jc w:val="both"/>
        <w:rPr>
          <w:rFonts w:ascii="Arial" w:hAnsi="Arial" w:cs="Arial"/>
          <w:b/>
          <w:bCs/>
          <w:sz w:val="20"/>
          <w:szCs w:val="20"/>
        </w:rPr>
      </w:pPr>
      <w:r w:rsidRPr="00DC3A0E">
        <w:rPr>
          <w:rFonts w:ascii="Arial" w:hAnsi="Arial" w:cs="Arial"/>
          <w:b/>
          <w:bCs/>
          <w:sz w:val="20"/>
          <w:szCs w:val="20"/>
        </w:rPr>
        <w:t xml:space="preserve">3.1.3. Granger </w:t>
      </w:r>
      <w:r w:rsidR="00143B86">
        <w:rPr>
          <w:rFonts w:ascii="Arial" w:hAnsi="Arial" w:cs="Arial"/>
          <w:b/>
          <w:bCs/>
          <w:sz w:val="20"/>
          <w:szCs w:val="20"/>
        </w:rPr>
        <w:t xml:space="preserve">Causality </w:t>
      </w:r>
      <w:r w:rsidR="00143B86" w:rsidRPr="00DC3A0E">
        <w:rPr>
          <w:rFonts w:ascii="Arial" w:hAnsi="Arial" w:cs="Arial"/>
          <w:b/>
          <w:bCs/>
          <w:sz w:val="20"/>
          <w:szCs w:val="20"/>
        </w:rPr>
        <w:t>test</w:t>
      </w:r>
      <w:r w:rsidRPr="00DC3A0E">
        <w:rPr>
          <w:rFonts w:ascii="Arial" w:hAnsi="Arial" w:cs="Arial"/>
          <w:b/>
          <w:bCs/>
          <w:sz w:val="20"/>
          <w:szCs w:val="20"/>
        </w:rPr>
        <w:t xml:space="preserve"> for prices</w:t>
      </w:r>
    </w:p>
    <w:p w14:paraId="04C2E37C" w14:textId="4A44AAE7" w:rsidR="00DC3A0E" w:rsidRDefault="00DC3A0E" w:rsidP="00DC3A0E">
      <w:pPr>
        <w:jc w:val="both"/>
        <w:rPr>
          <w:rFonts w:ascii="Arial" w:hAnsi="Arial" w:cs="Arial"/>
          <w:sz w:val="20"/>
          <w:szCs w:val="20"/>
        </w:rPr>
      </w:pPr>
      <w:r w:rsidRPr="00DC3A0E">
        <w:rPr>
          <w:rFonts w:ascii="Arial" w:hAnsi="Arial" w:cs="Arial"/>
          <w:sz w:val="20"/>
          <w:szCs w:val="20"/>
        </w:rPr>
        <w:t xml:space="preserve">The results of Granger </w:t>
      </w:r>
      <w:r w:rsidR="00143B86">
        <w:rPr>
          <w:rFonts w:ascii="Arial" w:hAnsi="Arial" w:cs="Arial"/>
          <w:sz w:val="20"/>
          <w:szCs w:val="20"/>
        </w:rPr>
        <w:t xml:space="preserve">Causality </w:t>
      </w:r>
      <w:r w:rsidR="00143B86" w:rsidRPr="00DC3A0E">
        <w:rPr>
          <w:rFonts w:ascii="Arial" w:hAnsi="Arial" w:cs="Arial"/>
          <w:sz w:val="20"/>
          <w:szCs w:val="20"/>
        </w:rPr>
        <w:t>test</w:t>
      </w:r>
      <w:r w:rsidRPr="00DC3A0E">
        <w:rPr>
          <w:rFonts w:ascii="Arial" w:hAnsi="Arial" w:cs="Arial"/>
          <w:sz w:val="20"/>
          <w:szCs w:val="20"/>
        </w:rPr>
        <w:t xml:space="preserve"> were tabulated in Table 4, which shows there is bidirectional effect on Bangalore and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markets means market price of Bangalore granger causes on market price of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Whereas, there is no granger cause between Bangalore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w:t>
      </w:r>
      <w:r w:rsidR="00FE5B86">
        <w:rPr>
          <w:rFonts w:ascii="Arial" w:hAnsi="Arial" w:cs="Arial"/>
          <w:sz w:val="20"/>
          <w:szCs w:val="20"/>
        </w:rPr>
        <w:t>.</w:t>
      </w:r>
      <w:r w:rsidR="00FE5B86" w:rsidRPr="00FE5B86">
        <w:t xml:space="preserve"> </w:t>
      </w:r>
    </w:p>
    <w:p w14:paraId="409B65E0" w14:textId="77777777" w:rsidR="005F602E" w:rsidRDefault="005F602E" w:rsidP="00DC3A0E">
      <w:pPr>
        <w:jc w:val="both"/>
        <w:rPr>
          <w:rFonts w:ascii="Arial" w:hAnsi="Arial" w:cs="Arial"/>
          <w:sz w:val="20"/>
          <w:szCs w:val="20"/>
        </w:rPr>
      </w:pPr>
    </w:p>
    <w:p w14:paraId="2F38E6B4" w14:textId="77777777" w:rsidR="005F602E" w:rsidRDefault="005F602E" w:rsidP="00DC3A0E">
      <w:pPr>
        <w:jc w:val="both"/>
        <w:rPr>
          <w:rFonts w:ascii="Arial" w:hAnsi="Arial" w:cs="Arial"/>
          <w:sz w:val="20"/>
          <w:szCs w:val="20"/>
        </w:rPr>
      </w:pPr>
    </w:p>
    <w:p w14:paraId="0EF88187" w14:textId="77777777" w:rsidR="005F602E" w:rsidRDefault="005F602E" w:rsidP="00DC3A0E">
      <w:pPr>
        <w:jc w:val="both"/>
        <w:rPr>
          <w:rFonts w:ascii="Arial" w:hAnsi="Arial" w:cs="Arial"/>
          <w:sz w:val="20"/>
          <w:szCs w:val="20"/>
        </w:rPr>
      </w:pPr>
    </w:p>
    <w:p w14:paraId="4F66CEC4" w14:textId="77777777" w:rsidR="005F602E" w:rsidRDefault="005F602E" w:rsidP="00DC3A0E">
      <w:pPr>
        <w:jc w:val="both"/>
        <w:rPr>
          <w:rFonts w:ascii="Arial" w:hAnsi="Arial" w:cs="Arial"/>
          <w:sz w:val="20"/>
          <w:szCs w:val="20"/>
        </w:rPr>
      </w:pPr>
    </w:p>
    <w:p w14:paraId="2E32E476" w14:textId="77777777" w:rsidR="005F602E" w:rsidRDefault="005F602E" w:rsidP="00DC3A0E">
      <w:pPr>
        <w:jc w:val="both"/>
        <w:rPr>
          <w:rFonts w:ascii="Arial" w:hAnsi="Arial" w:cs="Arial"/>
          <w:sz w:val="20"/>
          <w:szCs w:val="20"/>
        </w:rPr>
      </w:pPr>
    </w:p>
    <w:p w14:paraId="70C1288C" w14:textId="77777777" w:rsidR="005F602E" w:rsidRDefault="005F602E" w:rsidP="00DC3A0E">
      <w:pPr>
        <w:jc w:val="both"/>
        <w:rPr>
          <w:rFonts w:ascii="Arial" w:hAnsi="Arial" w:cs="Arial"/>
          <w:sz w:val="20"/>
          <w:szCs w:val="20"/>
        </w:rPr>
      </w:pPr>
    </w:p>
    <w:p w14:paraId="776781C5" w14:textId="77777777" w:rsidR="005F602E" w:rsidRDefault="005F602E" w:rsidP="00DC3A0E">
      <w:pPr>
        <w:jc w:val="both"/>
        <w:rPr>
          <w:rFonts w:ascii="Arial" w:hAnsi="Arial" w:cs="Arial"/>
          <w:sz w:val="20"/>
          <w:szCs w:val="20"/>
        </w:rPr>
      </w:pPr>
    </w:p>
    <w:p w14:paraId="312FA4A9" w14:textId="77777777" w:rsidR="005F602E" w:rsidRPr="005F602E" w:rsidRDefault="005F602E" w:rsidP="00DC3A0E">
      <w:pPr>
        <w:jc w:val="both"/>
        <w:rPr>
          <w:rFonts w:ascii="Arial" w:hAnsi="Arial" w:cs="Arial"/>
          <w:b/>
          <w:bCs/>
          <w:sz w:val="20"/>
          <w:szCs w:val="20"/>
        </w:rPr>
      </w:pPr>
    </w:p>
    <w:p w14:paraId="456C3704" w14:textId="6DB0F112" w:rsidR="005F602E" w:rsidRPr="005F602E" w:rsidRDefault="005F602E" w:rsidP="00DC3A0E">
      <w:pPr>
        <w:jc w:val="both"/>
        <w:rPr>
          <w:rFonts w:ascii="Arial" w:hAnsi="Arial" w:cs="Arial"/>
          <w:b/>
          <w:bCs/>
          <w:sz w:val="20"/>
          <w:szCs w:val="20"/>
        </w:rPr>
      </w:pPr>
      <w:r w:rsidRPr="005F602E">
        <w:rPr>
          <w:rFonts w:ascii="Arial" w:hAnsi="Arial" w:cs="Arial"/>
          <w:b/>
          <w:bCs/>
          <w:sz w:val="20"/>
          <w:szCs w:val="20"/>
        </w:rPr>
        <w:t>Table 4</w:t>
      </w:r>
      <w:r>
        <w:rPr>
          <w:rFonts w:ascii="Arial" w:hAnsi="Arial" w:cs="Arial"/>
          <w:b/>
          <w:bCs/>
          <w:sz w:val="20"/>
          <w:szCs w:val="20"/>
        </w:rPr>
        <w:t>:</w:t>
      </w:r>
      <w:r w:rsidRPr="005F602E">
        <w:rPr>
          <w:rFonts w:ascii="Arial" w:hAnsi="Arial" w:cs="Arial"/>
          <w:b/>
          <w:bCs/>
          <w:sz w:val="20"/>
          <w:szCs w:val="20"/>
        </w:rPr>
        <w:t xml:space="preserve"> Granger </w:t>
      </w:r>
      <w:r w:rsidR="00143B86">
        <w:rPr>
          <w:rFonts w:ascii="Arial" w:hAnsi="Arial" w:cs="Arial"/>
          <w:b/>
          <w:bCs/>
          <w:sz w:val="20"/>
          <w:szCs w:val="20"/>
        </w:rPr>
        <w:t xml:space="preserve">Causality </w:t>
      </w:r>
      <w:r w:rsidR="00143B86" w:rsidRPr="005F602E">
        <w:rPr>
          <w:rFonts w:ascii="Arial" w:hAnsi="Arial" w:cs="Arial"/>
          <w:b/>
          <w:bCs/>
          <w:sz w:val="20"/>
          <w:szCs w:val="20"/>
        </w:rPr>
        <w:t>test</w:t>
      </w:r>
      <w:r w:rsidRPr="005F602E">
        <w:rPr>
          <w:rFonts w:ascii="Arial" w:hAnsi="Arial" w:cs="Arial"/>
          <w:b/>
          <w:bCs/>
          <w:sz w:val="20"/>
          <w:szCs w:val="20"/>
        </w:rPr>
        <w:t xml:space="preserve"> for prices.</w:t>
      </w:r>
      <w:r w:rsidRPr="005F602E">
        <w:rPr>
          <w:rFonts w:ascii="Arial" w:hAnsi="Arial" w:cs="Arial"/>
          <w:b/>
          <w:bCs/>
          <w:noProof/>
          <w:sz w:val="20"/>
          <w:szCs w:val="20"/>
          <w:lang w:eastAsia="en-IN"/>
        </w:rPr>
        <mc:AlternateContent>
          <mc:Choice Requires="wps">
            <w:drawing>
              <wp:anchor distT="45720" distB="45720" distL="114300" distR="114300" simplePos="0" relativeHeight="251657216" behindDoc="0" locked="0" layoutInCell="1" allowOverlap="1" wp14:anchorId="6B9F57A3" wp14:editId="5C57129A">
                <wp:simplePos x="0" y="0"/>
                <wp:positionH relativeFrom="column">
                  <wp:posOffset>-76200</wp:posOffset>
                </wp:positionH>
                <wp:positionV relativeFrom="paragraph">
                  <wp:posOffset>426720</wp:posOffset>
                </wp:positionV>
                <wp:extent cx="5730240" cy="2499360"/>
                <wp:effectExtent l="0" t="0" r="22860" b="152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49936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3058"/>
                              <w:gridCol w:w="1084"/>
                              <w:gridCol w:w="1881"/>
                              <w:gridCol w:w="1131"/>
                              <w:gridCol w:w="1783"/>
                            </w:tblGrid>
                            <w:tr w:rsidR="005F602E" w:rsidRPr="00E60D0B" w14:paraId="1A23329E" w14:textId="77777777" w:rsidTr="00FE2C94">
                              <w:tc>
                                <w:tcPr>
                                  <w:tcW w:w="3109" w:type="dxa"/>
                                </w:tcPr>
                                <w:p w14:paraId="3833DA4C"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Null hypothesis</w:t>
                                  </w:r>
                                </w:p>
                              </w:tc>
                              <w:tc>
                                <w:tcPr>
                                  <w:tcW w:w="1084" w:type="dxa"/>
                                </w:tcPr>
                                <w:p w14:paraId="384A65B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F statistics</w:t>
                                  </w:r>
                                </w:p>
                              </w:tc>
                              <w:tc>
                                <w:tcPr>
                                  <w:tcW w:w="1899" w:type="dxa"/>
                                </w:tcPr>
                                <w:p w14:paraId="192CB144"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Probability</w:t>
                                  </w:r>
                                </w:p>
                              </w:tc>
                              <w:tc>
                                <w:tcPr>
                                  <w:tcW w:w="1131" w:type="dxa"/>
                                </w:tcPr>
                                <w:p w14:paraId="62992F6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H</w:t>
                                  </w:r>
                                  <w:r w:rsidRPr="00E60D0B">
                                    <w:rPr>
                                      <w:rFonts w:ascii="Arial" w:hAnsi="Arial" w:cs="Arial"/>
                                      <w:b/>
                                      <w:bCs/>
                                      <w:sz w:val="20"/>
                                      <w:szCs w:val="20"/>
                                      <w:vertAlign w:val="subscript"/>
                                    </w:rPr>
                                    <w:t xml:space="preserve">0 </w:t>
                                  </w:r>
                                  <w:r w:rsidRPr="00E60D0B">
                                    <w:rPr>
                                      <w:rFonts w:ascii="Arial" w:hAnsi="Arial" w:cs="Arial"/>
                                      <w:b/>
                                      <w:bCs/>
                                      <w:sz w:val="20"/>
                                      <w:szCs w:val="20"/>
                                    </w:rPr>
                                    <w:t xml:space="preserve">Rejection </w:t>
                                  </w:r>
                                </w:p>
                              </w:tc>
                              <w:tc>
                                <w:tcPr>
                                  <w:tcW w:w="1793" w:type="dxa"/>
                                </w:tcPr>
                                <w:p w14:paraId="29BB867D"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Direction</w:t>
                                  </w:r>
                                </w:p>
                              </w:tc>
                            </w:tr>
                            <w:tr w:rsidR="005F602E" w:rsidRPr="00E60D0B" w14:paraId="142CD728" w14:textId="77777777" w:rsidTr="00FE2C94">
                              <w:tc>
                                <w:tcPr>
                                  <w:tcW w:w="3109" w:type="dxa"/>
                                </w:tcPr>
                                <w:p w14:paraId="53599CA2"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Hubbli</w:t>
                                  </w:r>
                                  <w:proofErr w:type="spellEnd"/>
                                </w:p>
                              </w:tc>
                              <w:tc>
                                <w:tcPr>
                                  <w:tcW w:w="1084" w:type="dxa"/>
                                </w:tcPr>
                                <w:p w14:paraId="2FDAC66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24.794</w:t>
                                  </w:r>
                                </w:p>
                              </w:tc>
                              <w:tc>
                                <w:tcPr>
                                  <w:tcW w:w="1899" w:type="dxa"/>
                                </w:tcPr>
                                <w:p w14:paraId="76F9FED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1.31e-10 ***</w:t>
                                  </w:r>
                                </w:p>
                              </w:tc>
                              <w:tc>
                                <w:tcPr>
                                  <w:tcW w:w="1131" w:type="dxa"/>
                                </w:tcPr>
                                <w:p w14:paraId="6FB23207"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val="restart"/>
                                </w:tcPr>
                                <w:p w14:paraId="2236321A"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Bidirectional </w:t>
                                  </w:r>
                                </w:p>
                              </w:tc>
                            </w:tr>
                            <w:tr w:rsidR="005F602E" w:rsidRPr="00E60D0B" w14:paraId="27107AFF" w14:textId="77777777" w:rsidTr="00FE2C94">
                              <w:tc>
                                <w:tcPr>
                                  <w:tcW w:w="3109" w:type="dxa"/>
                                </w:tcPr>
                                <w:p w14:paraId="1746C67E"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 xml:space="preserve"> does not Granger cause Bangalore</w:t>
                                  </w:r>
                                </w:p>
                              </w:tc>
                              <w:tc>
                                <w:tcPr>
                                  <w:tcW w:w="1084" w:type="dxa"/>
                                </w:tcPr>
                                <w:p w14:paraId="113982A7"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10.256 </w:t>
                                  </w:r>
                                </w:p>
                              </w:tc>
                              <w:tc>
                                <w:tcPr>
                                  <w:tcW w:w="1899" w:type="dxa"/>
                                </w:tcPr>
                                <w:p w14:paraId="665600F4"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5.1e-05 ***</w:t>
                                  </w:r>
                                </w:p>
                              </w:tc>
                              <w:tc>
                                <w:tcPr>
                                  <w:tcW w:w="1131" w:type="dxa"/>
                                </w:tcPr>
                                <w:p w14:paraId="0C6F8B0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tcPr>
                                <w:p w14:paraId="2E344A3B" w14:textId="77777777" w:rsidR="005F602E" w:rsidRPr="00E60D0B" w:rsidRDefault="005F602E" w:rsidP="005F602E">
                                  <w:pPr>
                                    <w:spacing w:after="100" w:afterAutospacing="1" w:line="276" w:lineRule="auto"/>
                                    <w:jc w:val="both"/>
                                    <w:rPr>
                                      <w:rFonts w:ascii="Arial" w:hAnsi="Arial" w:cs="Arial"/>
                                      <w:b/>
                                      <w:bCs/>
                                      <w:sz w:val="20"/>
                                      <w:szCs w:val="20"/>
                                    </w:rPr>
                                  </w:pPr>
                                </w:p>
                              </w:tc>
                            </w:tr>
                            <w:tr w:rsidR="005F602E" w:rsidRPr="00E60D0B" w14:paraId="79351809" w14:textId="77777777" w:rsidTr="00FE2C94">
                              <w:tc>
                                <w:tcPr>
                                  <w:tcW w:w="3109" w:type="dxa"/>
                                </w:tcPr>
                                <w:p w14:paraId="3E4B600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Byadagi</w:t>
                                  </w:r>
                                  <w:proofErr w:type="spellEnd"/>
                                </w:p>
                              </w:tc>
                              <w:tc>
                                <w:tcPr>
                                  <w:tcW w:w="1084" w:type="dxa"/>
                                </w:tcPr>
                                <w:p w14:paraId="6CAED842"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0.002  </w:t>
                                  </w:r>
                                </w:p>
                              </w:tc>
                              <w:tc>
                                <w:tcPr>
                                  <w:tcW w:w="1899" w:type="dxa"/>
                                </w:tcPr>
                                <w:p w14:paraId="0AAB4A4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0.998</w:t>
                                  </w:r>
                                </w:p>
                              </w:tc>
                              <w:tc>
                                <w:tcPr>
                                  <w:tcW w:w="1131" w:type="dxa"/>
                                </w:tcPr>
                                <w:p w14:paraId="684D214A"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7203071F"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5F602E" w:rsidRPr="00E60D0B" w14:paraId="4DD2F2DE" w14:textId="77777777" w:rsidTr="00FE2C94">
                              <w:tc>
                                <w:tcPr>
                                  <w:tcW w:w="3109" w:type="dxa"/>
                                </w:tcPr>
                                <w:p w14:paraId="04E80124"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Bangalore</w:t>
                                  </w:r>
                                </w:p>
                              </w:tc>
                              <w:tc>
                                <w:tcPr>
                                  <w:tcW w:w="1084" w:type="dxa"/>
                                </w:tcPr>
                                <w:p w14:paraId="53807CE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0.4069 </w:t>
                                  </w:r>
                                </w:p>
                              </w:tc>
                              <w:tc>
                                <w:tcPr>
                                  <w:tcW w:w="1899" w:type="dxa"/>
                                </w:tcPr>
                                <w:p w14:paraId="03444D9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0.6662</w:t>
                                  </w:r>
                                </w:p>
                              </w:tc>
                              <w:tc>
                                <w:tcPr>
                                  <w:tcW w:w="1131" w:type="dxa"/>
                                </w:tcPr>
                                <w:p w14:paraId="6E6138A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22C72B40" w14:textId="77777777" w:rsidR="005F602E" w:rsidRPr="00E60D0B" w:rsidRDefault="005F602E" w:rsidP="005F602E">
                                  <w:pPr>
                                    <w:spacing w:after="100" w:afterAutospacing="1" w:line="276" w:lineRule="auto"/>
                                    <w:jc w:val="both"/>
                                    <w:rPr>
                                      <w:rFonts w:ascii="Arial" w:hAnsi="Arial" w:cs="Arial"/>
                                      <w:b/>
                                      <w:bCs/>
                                      <w:sz w:val="20"/>
                                      <w:szCs w:val="20"/>
                                    </w:rPr>
                                  </w:pPr>
                                </w:p>
                              </w:tc>
                            </w:tr>
                            <w:tr w:rsidR="005F602E" w:rsidRPr="00E60D0B" w14:paraId="70D88E40" w14:textId="77777777" w:rsidTr="00FE2C94">
                              <w:tc>
                                <w:tcPr>
                                  <w:tcW w:w="3109" w:type="dxa"/>
                                </w:tcPr>
                                <w:p w14:paraId="30BC0677"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Hubblli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Byadagi</w:t>
                                  </w:r>
                                  <w:proofErr w:type="spellEnd"/>
                                </w:p>
                              </w:tc>
                              <w:tc>
                                <w:tcPr>
                                  <w:tcW w:w="1084" w:type="dxa"/>
                                </w:tcPr>
                                <w:p w14:paraId="3850D893"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0.4003 </w:t>
                                  </w:r>
                                </w:p>
                              </w:tc>
                              <w:tc>
                                <w:tcPr>
                                  <w:tcW w:w="1899" w:type="dxa"/>
                                </w:tcPr>
                                <w:p w14:paraId="109154F9"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0.6705</w:t>
                                  </w:r>
                                </w:p>
                              </w:tc>
                              <w:tc>
                                <w:tcPr>
                                  <w:tcW w:w="1131" w:type="dxa"/>
                                </w:tcPr>
                                <w:p w14:paraId="3275989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646AD0C9"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5F602E" w:rsidRPr="00E60D0B" w14:paraId="358EDF97" w14:textId="77777777" w:rsidTr="00FE2C94">
                              <w:tc>
                                <w:tcPr>
                                  <w:tcW w:w="3109" w:type="dxa"/>
                                </w:tcPr>
                                <w:p w14:paraId="3ED62848"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Hubbli</w:t>
                                  </w:r>
                                  <w:proofErr w:type="spellEnd"/>
                                </w:p>
                              </w:tc>
                              <w:tc>
                                <w:tcPr>
                                  <w:tcW w:w="1084" w:type="dxa"/>
                                </w:tcPr>
                                <w:p w14:paraId="38D435E3"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1.6298 </w:t>
                                  </w:r>
                                </w:p>
                              </w:tc>
                              <w:tc>
                                <w:tcPr>
                                  <w:tcW w:w="1899" w:type="dxa"/>
                                </w:tcPr>
                                <w:p w14:paraId="4024163D"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0.1979</w:t>
                                  </w:r>
                                </w:p>
                              </w:tc>
                              <w:tc>
                                <w:tcPr>
                                  <w:tcW w:w="1131" w:type="dxa"/>
                                </w:tcPr>
                                <w:p w14:paraId="4375F4A8"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1F37AA59" w14:textId="77777777" w:rsidR="005F602E" w:rsidRPr="00E60D0B" w:rsidRDefault="005F602E" w:rsidP="005F602E">
                                  <w:pPr>
                                    <w:spacing w:after="100" w:afterAutospacing="1" w:line="276" w:lineRule="auto"/>
                                    <w:jc w:val="both"/>
                                    <w:rPr>
                                      <w:rFonts w:ascii="Arial" w:hAnsi="Arial" w:cs="Arial"/>
                                      <w:b/>
                                      <w:bCs/>
                                      <w:sz w:val="20"/>
                                      <w:szCs w:val="20"/>
                                    </w:rPr>
                                  </w:pPr>
                                </w:p>
                              </w:tc>
                            </w:tr>
                          </w:tbl>
                          <w:p w14:paraId="2FD32315" w14:textId="444A0315" w:rsidR="005F602E" w:rsidRDefault="005F6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F57A3" id="_x0000_t202" coordsize="21600,21600" o:spt="202" path="m,l,21600r21600,l21600,xe">
                <v:stroke joinstyle="miter"/>
                <v:path gradientshapeok="t" o:connecttype="rect"/>
              </v:shapetype>
              <v:shape id="Text Box 2" o:spid="_x0000_s1026" type="#_x0000_t202" style="position:absolute;left:0;text-align:left;margin-left:-6pt;margin-top:33.6pt;width:451.2pt;height:196.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AR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">
                <v:textbox>
                  <w:txbxContent>
                    <w:tbl>
                      <w:tblPr>
                        <w:tblStyle w:val="TableGrid"/>
                        <w:tblW w:w="0" w:type="auto"/>
                        <w:tblLook w:val="04A0" w:firstRow="1" w:lastRow="0" w:firstColumn="1" w:lastColumn="0" w:noHBand="0" w:noVBand="1"/>
                      </w:tblPr>
                      <w:tblGrid>
                        <w:gridCol w:w="3058"/>
                        <w:gridCol w:w="1084"/>
                        <w:gridCol w:w="1881"/>
                        <w:gridCol w:w="1131"/>
                        <w:gridCol w:w="1783"/>
                      </w:tblGrid>
                      <w:tr w:rsidR="005F602E" w:rsidRPr="00E60D0B" w14:paraId="1A23329E" w14:textId="77777777" w:rsidTr="00FE2C94">
                        <w:tc>
                          <w:tcPr>
                            <w:tcW w:w="3109" w:type="dxa"/>
                          </w:tcPr>
                          <w:p w14:paraId="3833DA4C"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Null hypothesis</w:t>
                            </w:r>
                          </w:p>
                        </w:tc>
                        <w:tc>
                          <w:tcPr>
                            <w:tcW w:w="1084" w:type="dxa"/>
                          </w:tcPr>
                          <w:p w14:paraId="384A65B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F statistics</w:t>
                            </w:r>
                          </w:p>
                        </w:tc>
                        <w:tc>
                          <w:tcPr>
                            <w:tcW w:w="1899" w:type="dxa"/>
                          </w:tcPr>
                          <w:p w14:paraId="192CB144"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Probability</w:t>
                            </w:r>
                          </w:p>
                        </w:tc>
                        <w:tc>
                          <w:tcPr>
                            <w:tcW w:w="1131" w:type="dxa"/>
                          </w:tcPr>
                          <w:p w14:paraId="62992F6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H</w:t>
                            </w:r>
                            <w:r w:rsidRPr="00E60D0B">
                              <w:rPr>
                                <w:rFonts w:ascii="Arial" w:hAnsi="Arial" w:cs="Arial"/>
                                <w:b/>
                                <w:bCs/>
                                <w:sz w:val="20"/>
                                <w:szCs w:val="20"/>
                                <w:vertAlign w:val="subscript"/>
                              </w:rPr>
                              <w:t xml:space="preserve">0 </w:t>
                            </w:r>
                            <w:r w:rsidRPr="00E60D0B">
                              <w:rPr>
                                <w:rFonts w:ascii="Arial" w:hAnsi="Arial" w:cs="Arial"/>
                                <w:b/>
                                <w:bCs/>
                                <w:sz w:val="20"/>
                                <w:szCs w:val="20"/>
                              </w:rPr>
                              <w:t xml:space="preserve">Rejection </w:t>
                            </w:r>
                          </w:p>
                        </w:tc>
                        <w:tc>
                          <w:tcPr>
                            <w:tcW w:w="1793" w:type="dxa"/>
                          </w:tcPr>
                          <w:p w14:paraId="29BB867D"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b/>
                                <w:bCs/>
                                <w:sz w:val="20"/>
                                <w:szCs w:val="20"/>
                              </w:rPr>
                              <w:t>Direction</w:t>
                            </w:r>
                          </w:p>
                        </w:tc>
                      </w:tr>
                      <w:tr w:rsidR="005F602E" w:rsidRPr="00E60D0B" w14:paraId="142CD728" w14:textId="77777777" w:rsidTr="00FE2C94">
                        <w:tc>
                          <w:tcPr>
                            <w:tcW w:w="3109" w:type="dxa"/>
                          </w:tcPr>
                          <w:p w14:paraId="53599CA2"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Hubbli</w:t>
                            </w:r>
                            <w:proofErr w:type="spellEnd"/>
                          </w:p>
                        </w:tc>
                        <w:tc>
                          <w:tcPr>
                            <w:tcW w:w="1084" w:type="dxa"/>
                          </w:tcPr>
                          <w:p w14:paraId="2FDAC66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24.794</w:t>
                            </w:r>
                          </w:p>
                        </w:tc>
                        <w:tc>
                          <w:tcPr>
                            <w:tcW w:w="1899" w:type="dxa"/>
                          </w:tcPr>
                          <w:p w14:paraId="76F9FED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1.31e-10 ***</w:t>
                            </w:r>
                          </w:p>
                        </w:tc>
                        <w:tc>
                          <w:tcPr>
                            <w:tcW w:w="1131" w:type="dxa"/>
                          </w:tcPr>
                          <w:p w14:paraId="6FB23207"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val="restart"/>
                          </w:tcPr>
                          <w:p w14:paraId="2236321A"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Bidirectional </w:t>
                            </w:r>
                          </w:p>
                        </w:tc>
                      </w:tr>
                      <w:tr w:rsidR="005F602E" w:rsidRPr="00E60D0B" w14:paraId="27107AFF" w14:textId="77777777" w:rsidTr="00FE2C94">
                        <w:tc>
                          <w:tcPr>
                            <w:tcW w:w="3109" w:type="dxa"/>
                          </w:tcPr>
                          <w:p w14:paraId="1746C67E"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 xml:space="preserve"> does not Granger cause Bangalore</w:t>
                            </w:r>
                          </w:p>
                        </w:tc>
                        <w:tc>
                          <w:tcPr>
                            <w:tcW w:w="1084" w:type="dxa"/>
                          </w:tcPr>
                          <w:p w14:paraId="113982A7"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10.256 </w:t>
                            </w:r>
                          </w:p>
                        </w:tc>
                        <w:tc>
                          <w:tcPr>
                            <w:tcW w:w="1899" w:type="dxa"/>
                          </w:tcPr>
                          <w:p w14:paraId="665600F4"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5.1e-05 ***</w:t>
                            </w:r>
                          </w:p>
                        </w:tc>
                        <w:tc>
                          <w:tcPr>
                            <w:tcW w:w="1131" w:type="dxa"/>
                          </w:tcPr>
                          <w:p w14:paraId="0C6F8B0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tcPr>
                          <w:p w14:paraId="2E344A3B" w14:textId="77777777" w:rsidR="005F602E" w:rsidRPr="00E60D0B" w:rsidRDefault="005F602E" w:rsidP="005F602E">
                            <w:pPr>
                              <w:spacing w:after="100" w:afterAutospacing="1" w:line="276" w:lineRule="auto"/>
                              <w:jc w:val="both"/>
                              <w:rPr>
                                <w:rFonts w:ascii="Arial" w:hAnsi="Arial" w:cs="Arial"/>
                                <w:b/>
                                <w:bCs/>
                                <w:sz w:val="20"/>
                                <w:szCs w:val="20"/>
                              </w:rPr>
                            </w:pPr>
                          </w:p>
                        </w:tc>
                      </w:tr>
                      <w:tr w:rsidR="005F602E" w:rsidRPr="00E60D0B" w14:paraId="79351809" w14:textId="77777777" w:rsidTr="00FE2C94">
                        <w:tc>
                          <w:tcPr>
                            <w:tcW w:w="3109" w:type="dxa"/>
                          </w:tcPr>
                          <w:p w14:paraId="3E4B600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Byadagi</w:t>
                            </w:r>
                            <w:proofErr w:type="spellEnd"/>
                          </w:p>
                        </w:tc>
                        <w:tc>
                          <w:tcPr>
                            <w:tcW w:w="1084" w:type="dxa"/>
                          </w:tcPr>
                          <w:p w14:paraId="6CAED842"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0.002  </w:t>
                            </w:r>
                          </w:p>
                        </w:tc>
                        <w:tc>
                          <w:tcPr>
                            <w:tcW w:w="1899" w:type="dxa"/>
                          </w:tcPr>
                          <w:p w14:paraId="0AAB4A4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0.998</w:t>
                            </w:r>
                          </w:p>
                        </w:tc>
                        <w:tc>
                          <w:tcPr>
                            <w:tcW w:w="1131" w:type="dxa"/>
                          </w:tcPr>
                          <w:p w14:paraId="684D214A"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7203071F"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5F602E" w:rsidRPr="00E60D0B" w14:paraId="4DD2F2DE" w14:textId="77777777" w:rsidTr="00FE2C94">
                        <w:tc>
                          <w:tcPr>
                            <w:tcW w:w="3109" w:type="dxa"/>
                          </w:tcPr>
                          <w:p w14:paraId="04E80124"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Bangalore</w:t>
                            </w:r>
                          </w:p>
                        </w:tc>
                        <w:tc>
                          <w:tcPr>
                            <w:tcW w:w="1084" w:type="dxa"/>
                          </w:tcPr>
                          <w:p w14:paraId="53807CE5"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0.4069 </w:t>
                            </w:r>
                          </w:p>
                        </w:tc>
                        <w:tc>
                          <w:tcPr>
                            <w:tcW w:w="1899" w:type="dxa"/>
                          </w:tcPr>
                          <w:p w14:paraId="03444D9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0.6662</w:t>
                            </w:r>
                          </w:p>
                        </w:tc>
                        <w:tc>
                          <w:tcPr>
                            <w:tcW w:w="1131" w:type="dxa"/>
                          </w:tcPr>
                          <w:p w14:paraId="6E6138A6"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22C72B40" w14:textId="77777777" w:rsidR="005F602E" w:rsidRPr="00E60D0B" w:rsidRDefault="005F602E" w:rsidP="005F602E">
                            <w:pPr>
                              <w:spacing w:after="100" w:afterAutospacing="1" w:line="276" w:lineRule="auto"/>
                              <w:jc w:val="both"/>
                              <w:rPr>
                                <w:rFonts w:ascii="Arial" w:hAnsi="Arial" w:cs="Arial"/>
                                <w:b/>
                                <w:bCs/>
                                <w:sz w:val="20"/>
                                <w:szCs w:val="20"/>
                              </w:rPr>
                            </w:pPr>
                          </w:p>
                        </w:tc>
                      </w:tr>
                      <w:tr w:rsidR="005F602E" w:rsidRPr="00E60D0B" w14:paraId="70D88E40" w14:textId="77777777" w:rsidTr="00FE2C94">
                        <w:tc>
                          <w:tcPr>
                            <w:tcW w:w="3109" w:type="dxa"/>
                          </w:tcPr>
                          <w:p w14:paraId="30BC0677"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Hubblli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Byadagi</w:t>
                            </w:r>
                            <w:proofErr w:type="spellEnd"/>
                          </w:p>
                        </w:tc>
                        <w:tc>
                          <w:tcPr>
                            <w:tcW w:w="1084" w:type="dxa"/>
                          </w:tcPr>
                          <w:p w14:paraId="3850D893"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0.4003 </w:t>
                            </w:r>
                          </w:p>
                        </w:tc>
                        <w:tc>
                          <w:tcPr>
                            <w:tcW w:w="1899" w:type="dxa"/>
                          </w:tcPr>
                          <w:p w14:paraId="109154F9"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0.6705</w:t>
                            </w:r>
                          </w:p>
                        </w:tc>
                        <w:tc>
                          <w:tcPr>
                            <w:tcW w:w="1131" w:type="dxa"/>
                          </w:tcPr>
                          <w:p w14:paraId="32759891"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646AD0C9"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5F602E" w:rsidRPr="00E60D0B" w14:paraId="358EDF97" w14:textId="77777777" w:rsidTr="00FE2C94">
                        <w:tc>
                          <w:tcPr>
                            <w:tcW w:w="3109" w:type="dxa"/>
                          </w:tcPr>
                          <w:p w14:paraId="3ED62848" w14:textId="77777777" w:rsidR="005F602E" w:rsidRPr="00E60D0B" w:rsidRDefault="005F602E" w:rsidP="005F602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Hubbli</w:t>
                            </w:r>
                            <w:proofErr w:type="spellEnd"/>
                          </w:p>
                        </w:tc>
                        <w:tc>
                          <w:tcPr>
                            <w:tcW w:w="1084" w:type="dxa"/>
                          </w:tcPr>
                          <w:p w14:paraId="38D435E3"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1.6298 </w:t>
                            </w:r>
                          </w:p>
                        </w:tc>
                        <w:tc>
                          <w:tcPr>
                            <w:tcW w:w="1899" w:type="dxa"/>
                          </w:tcPr>
                          <w:p w14:paraId="4024163D"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0.1979</w:t>
                            </w:r>
                          </w:p>
                        </w:tc>
                        <w:tc>
                          <w:tcPr>
                            <w:tcW w:w="1131" w:type="dxa"/>
                          </w:tcPr>
                          <w:p w14:paraId="4375F4A8" w14:textId="77777777" w:rsidR="005F602E" w:rsidRPr="00E60D0B" w:rsidRDefault="005F602E" w:rsidP="005F602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1F37AA59" w14:textId="77777777" w:rsidR="005F602E" w:rsidRPr="00E60D0B" w:rsidRDefault="005F602E" w:rsidP="005F602E">
                            <w:pPr>
                              <w:spacing w:after="100" w:afterAutospacing="1" w:line="276" w:lineRule="auto"/>
                              <w:jc w:val="both"/>
                              <w:rPr>
                                <w:rFonts w:ascii="Arial" w:hAnsi="Arial" w:cs="Arial"/>
                                <w:b/>
                                <w:bCs/>
                                <w:sz w:val="20"/>
                                <w:szCs w:val="20"/>
                              </w:rPr>
                            </w:pPr>
                          </w:p>
                        </w:tc>
                      </w:tr>
                    </w:tbl>
                    <w:p w14:paraId="2FD32315" w14:textId="444A0315" w:rsidR="005F602E" w:rsidRDefault="005F602E"/>
                  </w:txbxContent>
                </v:textbox>
                <w10:wrap type="topAndBottom"/>
              </v:shape>
            </w:pict>
          </mc:Fallback>
        </mc:AlternateContent>
      </w:r>
    </w:p>
    <w:p w14:paraId="13A177A1" w14:textId="1A0F0BE6" w:rsidR="00E60D0B" w:rsidRPr="00E60D0B" w:rsidRDefault="005F602E" w:rsidP="005F602E">
      <w:pPr>
        <w:jc w:val="both"/>
        <w:rPr>
          <w:rFonts w:ascii="Arial" w:hAnsi="Arial" w:cs="Arial"/>
          <w:sz w:val="20"/>
          <w:szCs w:val="20"/>
        </w:rPr>
      </w:pPr>
      <w:r>
        <w:rPr>
          <w:rFonts w:ascii="Arial" w:hAnsi="Arial" w:cs="Arial"/>
          <w:sz w:val="20"/>
          <w:szCs w:val="20"/>
        </w:rPr>
        <w:t>S</w:t>
      </w:r>
      <w:r w:rsidR="00E60D0B" w:rsidRPr="00E60D0B">
        <w:rPr>
          <w:rFonts w:ascii="Arial" w:hAnsi="Arial" w:cs="Arial"/>
          <w:sz w:val="20"/>
          <w:szCs w:val="20"/>
        </w:rPr>
        <w:t>ignificance codes:</w:t>
      </w:r>
      <w:proofErr w:type="gramStart"/>
      <w:r w:rsidR="00E60D0B" w:rsidRPr="00E60D0B">
        <w:rPr>
          <w:rFonts w:ascii="Arial" w:hAnsi="Arial" w:cs="Arial"/>
          <w:sz w:val="20"/>
          <w:szCs w:val="20"/>
        </w:rPr>
        <w:t xml:space="preserve">   ‘</w:t>
      </w:r>
      <w:proofErr w:type="gramEnd"/>
      <w:r w:rsidR="00E60D0B" w:rsidRPr="00E60D0B">
        <w:rPr>
          <w:rFonts w:ascii="Arial" w:hAnsi="Arial" w:cs="Arial"/>
          <w:sz w:val="20"/>
          <w:szCs w:val="20"/>
        </w:rPr>
        <w:t>***’ Significance at 0.001 ‘**’ Significance at 0.01 ‘*’ Significance at 0.05 ‘.’ Significance at 0.1</w:t>
      </w:r>
    </w:p>
    <w:p w14:paraId="4CCFF705" w14:textId="763B9C34" w:rsidR="00E60D0B" w:rsidRPr="00E60D0B" w:rsidRDefault="00E60D0B" w:rsidP="00E60D0B">
      <w:pPr>
        <w:rPr>
          <w:rFonts w:ascii="Arial" w:hAnsi="Arial" w:cs="Arial"/>
          <w:b/>
          <w:sz w:val="20"/>
          <w:szCs w:val="20"/>
        </w:rPr>
      </w:pPr>
      <w:r w:rsidRPr="00E60D0B">
        <w:rPr>
          <w:rFonts w:ascii="Arial" w:hAnsi="Arial" w:cs="Arial"/>
          <w:b/>
          <w:sz w:val="20"/>
          <w:szCs w:val="20"/>
        </w:rPr>
        <w:t xml:space="preserve">3.2. Market integration of Arrival of </w:t>
      </w:r>
      <w:proofErr w:type="spellStart"/>
      <w:r w:rsidRPr="00E60D0B">
        <w:rPr>
          <w:rFonts w:ascii="Arial" w:hAnsi="Arial" w:cs="Arial"/>
          <w:b/>
          <w:sz w:val="20"/>
          <w:szCs w:val="20"/>
        </w:rPr>
        <w:t>Byadagi</w:t>
      </w:r>
      <w:proofErr w:type="spellEnd"/>
      <w:r w:rsidRPr="00E60D0B">
        <w:rPr>
          <w:rFonts w:ascii="Arial" w:hAnsi="Arial" w:cs="Arial"/>
          <w:b/>
          <w:sz w:val="20"/>
          <w:szCs w:val="20"/>
        </w:rPr>
        <w:t xml:space="preserve"> chilli in Bangalore, </w:t>
      </w:r>
      <w:proofErr w:type="spellStart"/>
      <w:r w:rsidR="00143B86">
        <w:rPr>
          <w:rFonts w:ascii="Arial" w:hAnsi="Arial" w:cs="Arial"/>
          <w:b/>
          <w:sz w:val="20"/>
          <w:szCs w:val="20"/>
        </w:rPr>
        <w:t>Hubbli</w:t>
      </w:r>
      <w:proofErr w:type="spellEnd"/>
      <w:r w:rsidRPr="00E60D0B">
        <w:rPr>
          <w:rFonts w:ascii="Arial" w:hAnsi="Arial" w:cs="Arial"/>
          <w:b/>
          <w:sz w:val="20"/>
          <w:szCs w:val="20"/>
        </w:rPr>
        <w:t xml:space="preserve"> and </w:t>
      </w:r>
      <w:proofErr w:type="spellStart"/>
      <w:r w:rsidRPr="00E60D0B">
        <w:rPr>
          <w:rFonts w:ascii="Arial" w:hAnsi="Arial" w:cs="Arial"/>
          <w:b/>
          <w:sz w:val="20"/>
          <w:szCs w:val="20"/>
        </w:rPr>
        <w:t>Byadagi</w:t>
      </w:r>
      <w:proofErr w:type="spellEnd"/>
      <w:r w:rsidRPr="00E60D0B">
        <w:rPr>
          <w:rFonts w:ascii="Arial" w:hAnsi="Arial" w:cs="Arial"/>
          <w:b/>
          <w:sz w:val="20"/>
          <w:szCs w:val="20"/>
        </w:rPr>
        <w:t xml:space="preserve"> market</w:t>
      </w:r>
    </w:p>
    <w:p w14:paraId="13513B26" w14:textId="4EDEEB15" w:rsidR="00E60D0B" w:rsidRPr="00E60D0B" w:rsidRDefault="00E60D0B" w:rsidP="00E60D0B">
      <w:pPr>
        <w:rPr>
          <w:rFonts w:ascii="Arial" w:hAnsi="Arial" w:cs="Arial"/>
          <w:b/>
          <w:bCs/>
          <w:sz w:val="20"/>
          <w:szCs w:val="20"/>
        </w:rPr>
      </w:pPr>
      <w:r w:rsidRPr="00E60D0B">
        <w:rPr>
          <w:rFonts w:ascii="Arial" w:hAnsi="Arial" w:cs="Arial"/>
          <w:b/>
          <w:bCs/>
          <w:sz w:val="20"/>
          <w:szCs w:val="20"/>
        </w:rPr>
        <w:t xml:space="preserve">3.2.1. ADF Test for Market arrival data of Bangalore, </w:t>
      </w: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and </w:t>
      </w:r>
      <w:proofErr w:type="spellStart"/>
      <w:r w:rsidRPr="00E60D0B">
        <w:rPr>
          <w:rFonts w:ascii="Arial" w:hAnsi="Arial" w:cs="Arial"/>
          <w:b/>
          <w:bCs/>
          <w:sz w:val="20"/>
          <w:szCs w:val="20"/>
        </w:rPr>
        <w:t>Byadagi</w:t>
      </w:r>
      <w:proofErr w:type="spellEnd"/>
    </w:p>
    <w:p w14:paraId="2E56DF72" w14:textId="372C56B7" w:rsidR="00E60D0B" w:rsidRPr="00E60D0B" w:rsidRDefault="00E60D0B" w:rsidP="00E60D0B">
      <w:pPr>
        <w:ind w:firstLine="720"/>
        <w:jc w:val="both"/>
        <w:rPr>
          <w:rFonts w:ascii="Arial" w:hAnsi="Arial" w:cs="Arial"/>
          <w:sz w:val="20"/>
          <w:szCs w:val="20"/>
        </w:rPr>
      </w:pPr>
      <w:r w:rsidRPr="00E60D0B">
        <w:rPr>
          <w:rFonts w:ascii="Arial" w:hAnsi="Arial" w:cs="Arial"/>
          <w:sz w:val="20"/>
          <w:szCs w:val="20"/>
        </w:rPr>
        <w:t>ADF test was used to check for stationarity in time series data</w:t>
      </w:r>
      <w:r w:rsidR="00F85A88">
        <w:rPr>
          <w:rFonts w:ascii="Arial" w:hAnsi="Arial" w:cs="Arial"/>
          <w:sz w:val="20"/>
          <w:szCs w:val="20"/>
        </w:rPr>
        <w:t>,</w:t>
      </w:r>
      <w:r w:rsidRPr="00E60D0B">
        <w:rPr>
          <w:rFonts w:ascii="Arial" w:hAnsi="Arial" w:cs="Arial"/>
          <w:sz w:val="20"/>
          <w:szCs w:val="20"/>
        </w:rPr>
        <w:t xml:space="preserve"> which means to know whether the mean and variance of the series do not change over a time period. From </w:t>
      </w:r>
      <w:r w:rsidR="00F85A88" w:rsidRPr="00020F96">
        <w:rPr>
          <w:rFonts w:ascii="Arial" w:hAnsi="Arial" w:cs="Arial"/>
          <w:sz w:val="20"/>
          <w:szCs w:val="20"/>
          <w:highlight w:val="yellow"/>
        </w:rPr>
        <w:t xml:space="preserve">Table </w:t>
      </w:r>
      <w:r w:rsidRPr="00020F96">
        <w:rPr>
          <w:rFonts w:ascii="Arial" w:hAnsi="Arial" w:cs="Arial"/>
          <w:sz w:val="20"/>
          <w:szCs w:val="20"/>
          <w:highlight w:val="yellow"/>
        </w:rPr>
        <w:t>5</w:t>
      </w:r>
      <w:r w:rsidR="00F85A88" w:rsidRPr="00020F96">
        <w:rPr>
          <w:rFonts w:ascii="Arial" w:hAnsi="Arial" w:cs="Arial"/>
          <w:sz w:val="20"/>
          <w:szCs w:val="20"/>
          <w:highlight w:val="yellow"/>
        </w:rPr>
        <w:t>,</w:t>
      </w:r>
      <w:r w:rsidRPr="00020F96">
        <w:rPr>
          <w:rFonts w:ascii="Arial" w:hAnsi="Arial" w:cs="Arial"/>
          <w:sz w:val="20"/>
          <w:szCs w:val="20"/>
          <w:highlight w:val="yellow"/>
        </w:rPr>
        <w:t xml:space="preserve"> we can</w:t>
      </w:r>
      <w:r w:rsidRPr="00E60D0B">
        <w:rPr>
          <w:rFonts w:ascii="Arial" w:hAnsi="Arial" w:cs="Arial"/>
          <w:sz w:val="20"/>
          <w:szCs w:val="20"/>
        </w:rPr>
        <w:t xml:space="preserve"> conclude that the Bangalore,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 arrival data </w:t>
      </w:r>
      <w:r w:rsidR="00F85A88" w:rsidRPr="00020F96">
        <w:rPr>
          <w:rFonts w:ascii="Arial" w:hAnsi="Arial" w:cs="Arial"/>
          <w:sz w:val="20"/>
          <w:szCs w:val="20"/>
          <w:highlight w:val="yellow"/>
        </w:rPr>
        <w:t xml:space="preserve">were </w:t>
      </w:r>
      <w:r w:rsidRPr="00020F96">
        <w:rPr>
          <w:rFonts w:ascii="Arial" w:hAnsi="Arial" w:cs="Arial"/>
          <w:sz w:val="20"/>
          <w:szCs w:val="20"/>
          <w:highlight w:val="yellow"/>
        </w:rPr>
        <w:t>stationary</w:t>
      </w:r>
      <w:r w:rsidRPr="00E60D0B">
        <w:rPr>
          <w:rFonts w:ascii="Arial" w:hAnsi="Arial" w:cs="Arial"/>
          <w:sz w:val="20"/>
          <w:szCs w:val="20"/>
        </w:rPr>
        <w:t xml:space="preserve"> for </w:t>
      </w:r>
      <w:r w:rsidR="00B72BD0">
        <w:rPr>
          <w:rFonts w:ascii="Arial" w:hAnsi="Arial" w:cs="Arial"/>
          <w:sz w:val="20"/>
          <w:szCs w:val="20"/>
        </w:rPr>
        <w:t>t</w:t>
      </w:r>
      <w:r w:rsidRPr="00E60D0B">
        <w:rPr>
          <w:rFonts w:ascii="Arial" w:hAnsi="Arial" w:cs="Arial"/>
          <w:sz w:val="20"/>
          <w:szCs w:val="20"/>
        </w:rPr>
        <w:t>h</w:t>
      </w:r>
      <w:r w:rsidR="00B72BD0">
        <w:rPr>
          <w:rFonts w:ascii="Arial" w:hAnsi="Arial" w:cs="Arial"/>
          <w:sz w:val="20"/>
          <w:szCs w:val="20"/>
        </w:rPr>
        <w:t>e</w:t>
      </w:r>
      <w:r w:rsidRPr="00E60D0B">
        <w:rPr>
          <w:rFonts w:ascii="Arial" w:hAnsi="Arial" w:cs="Arial"/>
          <w:sz w:val="20"/>
          <w:szCs w:val="20"/>
        </w:rPr>
        <w:t xml:space="preserve"> actual series as the p – value was less than the level of significance (</w:t>
      </w:r>
      <w:r w:rsidR="00F85A88" w:rsidRPr="00020F96">
        <w:rPr>
          <w:rFonts w:ascii="Arial" w:hAnsi="Arial" w:cs="Arial"/>
          <w:i/>
          <w:iCs/>
          <w:sz w:val="20"/>
          <w:szCs w:val="20"/>
          <w:highlight w:val="yellow"/>
        </w:rPr>
        <w:t>i.e.</w:t>
      </w:r>
      <w:r w:rsidRPr="00020F96">
        <w:rPr>
          <w:rFonts w:ascii="Arial" w:hAnsi="Arial" w:cs="Arial"/>
          <w:i/>
          <w:iCs/>
          <w:sz w:val="20"/>
          <w:szCs w:val="20"/>
          <w:highlight w:val="yellow"/>
        </w:rPr>
        <w:t>,</w:t>
      </w:r>
      <w:r w:rsidRPr="00E60D0B">
        <w:rPr>
          <w:rFonts w:ascii="Arial" w:hAnsi="Arial" w:cs="Arial"/>
          <w:sz w:val="20"/>
          <w:szCs w:val="20"/>
        </w:rPr>
        <w:t xml:space="preserve"> 0.05) </w:t>
      </w:r>
    </w:p>
    <w:p w14:paraId="4B6E031D" w14:textId="77777777" w:rsidR="00E60D0B" w:rsidRPr="00E60D0B" w:rsidRDefault="00E60D0B" w:rsidP="00E60D0B">
      <w:pPr>
        <w:rPr>
          <w:rFonts w:ascii="Arial" w:hAnsi="Arial" w:cs="Arial"/>
          <w:b/>
          <w:bCs/>
          <w:sz w:val="20"/>
          <w:szCs w:val="20"/>
        </w:rPr>
      </w:pPr>
      <w:r w:rsidRPr="00E60D0B">
        <w:rPr>
          <w:rFonts w:ascii="Arial" w:hAnsi="Arial" w:cs="Arial"/>
          <w:b/>
          <w:bCs/>
          <w:sz w:val="20"/>
          <w:szCs w:val="20"/>
        </w:rPr>
        <w:t xml:space="preserve">Table 5: ADF Test for Market arrival data of Bangalore, </w:t>
      </w: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and </w:t>
      </w:r>
      <w:proofErr w:type="spellStart"/>
      <w:r w:rsidRPr="00E60D0B">
        <w:rPr>
          <w:rFonts w:ascii="Arial" w:hAnsi="Arial" w:cs="Arial"/>
          <w:b/>
          <w:bCs/>
          <w:sz w:val="20"/>
          <w:szCs w:val="20"/>
        </w:rPr>
        <w:t>Byadagi</w:t>
      </w:r>
      <w:proofErr w:type="spellEnd"/>
    </w:p>
    <w:tbl>
      <w:tblPr>
        <w:tblStyle w:val="TableGrid"/>
        <w:tblpPr w:leftFromText="180" w:rightFromText="180" w:vertAnchor="text" w:horzAnchor="margin" w:tblpXSpec="center" w:tblpY="29"/>
        <w:tblW w:w="3000" w:type="pct"/>
        <w:tblLook w:val="04A0" w:firstRow="1" w:lastRow="0" w:firstColumn="1" w:lastColumn="0" w:noHBand="0" w:noVBand="1"/>
      </w:tblPr>
      <w:tblGrid>
        <w:gridCol w:w="1848"/>
        <w:gridCol w:w="1849"/>
        <w:gridCol w:w="1848"/>
      </w:tblGrid>
      <w:tr w:rsidR="00B72BD0" w:rsidRPr="00E60D0B" w14:paraId="0B441A4B" w14:textId="77777777" w:rsidTr="00B72BD0">
        <w:tc>
          <w:tcPr>
            <w:tcW w:w="1667" w:type="pct"/>
            <w:vMerge w:val="restart"/>
          </w:tcPr>
          <w:p w14:paraId="567A4F38" w14:textId="77777777" w:rsidR="00B72BD0" w:rsidRPr="00E60D0B" w:rsidRDefault="00B72BD0" w:rsidP="00E60D0B">
            <w:pPr>
              <w:spacing w:line="276" w:lineRule="auto"/>
              <w:rPr>
                <w:rFonts w:ascii="Arial" w:hAnsi="Arial" w:cs="Arial"/>
                <w:b/>
                <w:bCs/>
                <w:sz w:val="20"/>
                <w:szCs w:val="20"/>
              </w:rPr>
            </w:pPr>
            <w:r w:rsidRPr="00E60D0B">
              <w:rPr>
                <w:rFonts w:ascii="Arial" w:hAnsi="Arial" w:cs="Arial"/>
                <w:b/>
                <w:bCs/>
                <w:sz w:val="20"/>
                <w:szCs w:val="20"/>
              </w:rPr>
              <w:t>Market name</w:t>
            </w:r>
          </w:p>
        </w:tc>
        <w:tc>
          <w:tcPr>
            <w:tcW w:w="3333" w:type="pct"/>
            <w:gridSpan w:val="2"/>
          </w:tcPr>
          <w:p w14:paraId="2D3DEF76" w14:textId="77777777" w:rsidR="00B72BD0" w:rsidRPr="00E60D0B" w:rsidRDefault="00B72BD0" w:rsidP="00E60D0B">
            <w:pPr>
              <w:spacing w:line="276" w:lineRule="auto"/>
              <w:jc w:val="center"/>
              <w:rPr>
                <w:rFonts w:ascii="Arial" w:hAnsi="Arial" w:cs="Arial"/>
                <w:b/>
                <w:bCs/>
                <w:sz w:val="20"/>
                <w:szCs w:val="20"/>
              </w:rPr>
            </w:pPr>
            <w:r w:rsidRPr="00E60D0B">
              <w:rPr>
                <w:rFonts w:ascii="Arial" w:hAnsi="Arial" w:cs="Arial"/>
                <w:b/>
                <w:bCs/>
                <w:sz w:val="20"/>
                <w:szCs w:val="20"/>
              </w:rPr>
              <w:t>Actual Series</w:t>
            </w:r>
          </w:p>
        </w:tc>
      </w:tr>
      <w:tr w:rsidR="00B72BD0" w:rsidRPr="00E60D0B" w14:paraId="7F7D75A1" w14:textId="77777777" w:rsidTr="00B72BD0">
        <w:tc>
          <w:tcPr>
            <w:tcW w:w="1667" w:type="pct"/>
            <w:vMerge/>
          </w:tcPr>
          <w:p w14:paraId="4EB174DB" w14:textId="77777777" w:rsidR="00B72BD0" w:rsidRPr="00E60D0B" w:rsidRDefault="00B72BD0" w:rsidP="00E60D0B">
            <w:pPr>
              <w:spacing w:line="276" w:lineRule="auto"/>
              <w:rPr>
                <w:rFonts w:ascii="Arial" w:hAnsi="Arial" w:cs="Arial"/>
                <w:b/>
                <w:bCs/>
                <w:sz w:val="20"/>
                <w:szCs w:val="20"/>
              </w:rPr>
            </w:pPr>
          </w:p>
        </w:tc>
        <w:tc>
          <w:tcPr>
            <w:tcW w:w="1667" w:type="pct"/>
          </w:tcPr>
          <w:p w14:paraId="08DCC596" w14:textId="77777777" w:rsidR="00B72BD0" w:rsidRPr="00E60D0B" w:rsidRDefault="00B72BD0" w:rsidP="00E60D0B">
            <w:pPr>
              <w:spacing w:line="276" w:lineRule="auto"/>
              <w:rPr>
                <w:rFonts w:ascii="Arial" w:hAnsi="Arial" w:cs="Arial"/>
                <w:b/>
                <w:bCs/>
                <w:sz w:val="20"/>
                <w:szCs w:val="20"/>
              </w:rPr>
            </w:pPr>
            <w:r w:rsidRPr="00E60D0B">
              <w:rPr>
                <w:rFonts w:ascii="Arial" w:hAnsi="Arial" w:cs="Arial"/>
                <w:b/>
                <w:bCs/>
                <w:sz w:val="20"/>
                <w:szCs w:val="20"/>
              </w:rPr>
              <w:t>Test statistics</w:t>
            </w:r>
          </w:p>
        </w:tc>
        <w:tc>
          <w:tcPr>
            <w:tcW w:w="1666" w:type="pct"/>
          </w:tcPr>
          <w:p w14:paraId="1894BEAC" w14:textId="77777777" w:rsidR="00B72BD0" w:rsidRPr="00E60D0B" w:rsidRDefault="00B72BD0" w:rsidP="00E60D0B">
            <w:pPr>
              <w:spacing w:line="276" w:lineRule="auto"/>
              <w:rPr>
                <w:rFonts w:ascii="Arial" w:hAnsi="Arial" w:cs="Arial"/>
                <w:b/>
                <w:bCs/>
                <w:sz w:val="20"/>
                <w:szCs w:val="20"/>
              </w:rPr>
            </w:pPr>
            <w:r w:rsidRPr="00E60D0B">
              <w:rPr>
                <w:rFonts w:ascii="Arial" w:hAnsi="Arial" w:cs="Arial"/>
                <w:b/>
                <w:bCs/>
                <w:sz w:val="20"/>
                <w:szCs w:val="20"/>
              </w:rPr>
              <w:t>p-value</w:t>
            </w:r>
          </w:p>
        </w:tc>
      </w:tr>
      <w:tr w:rsidR="00B72BD0" w:rsidRPr="00E60D0B" w14:paraId="7A894D04" w14:textId="77777777" w:rsidTr="00B72BD0">
        <w:tc>
          <w:tcPr>
            <w:tcW w:w="1667" w:type="pct"/>
          </w:tcPr>
          <w:p w14:paraId="0B16A1B2" w14:textId="77777777" w:rsidR="00B72BD0" w:rsidRPr="00E60D0B" w:rsidRDefault="00B72BD0" w:rsidP="00E60D0B">
            <w:pPr>
              <w:spacing w:line="276" w:lineRule="auto"/>
              <w:rPr>
                <w:rFonts w:ascii="Arial" w:hAnsi="Arial" w:cs="Arial"/>
                <w:b/>
                <w:bCs/>
                <w:sz w:val="20"/>
                <w:szCs w:val="20"/>
              </w:rPr>
            </w:pPr>
            <w:r w:rsidRPr="00E60D0B">
              <w:rPr>
                <w:rFonts w:ascii="Arial" w:hAnsi="Arial" w:cs="Arial"/>
                <w:b/>
                <w:bCs/>
                <w:sz w:val="20"/>
                <w:szCs w:val="20"/>
              </w:rPr>
              <w:t>Bangalore</w:t>
            </w:r>
          </w:p>
        </w:tc>
        <w:tc>
          <w:tcPr>
            <w:tcW w:w="1667" w:type="pct"/>
          </w:tcPr>
          <w:p w14:paraId="7E45D50B" w14:textId="77777777" w:rsidR="00B72BD0" w:rsidRPr="00E60D0B" w:rsidRDefault="00B72BD0" w:rsidP="00E60D0B">
            <w:pPr>
              <w:spacing w:line="276" w:lineRule="auto"/>
              <w:rPr>
                <w:rFonts w:ascii="Arial" w:hAnsi="Arial" w:cs="Arial"/>
                <w:sz w:val="20"/>
                <w:szCs w:val="20"/>
              </w:rPr>
            </w:pPr>
            <w:r w:rsidRPr="00E60D0B">
              <w:rPr>
                <w:rFonts w:ascii="Arial" w:hAnsi="Arial" w:cs="Arial"/>
                <w:sz w:val="20"/>
                <w:szCs w:val="20"/>
              </w:rPr>
              <w:t>-3.9450</w:t>
            </w:r>
          </w:p>
        </w:tc>
        <w:tc>
          <w:tcPr>
            <w:tcW w:w="1666" w:type="pct"/>
          </w:tcPr>
          <w:p w14:paraId="580B0DB7" w14:textId="77777777" w:rsidR="00B72BD0" w:rsidRPr="00E60D0B" w:rsidRDefault="00B72BD0" w:rsidP="00E60D0B">
            <w:pPr>
              <w:spacing w:line="276" w:lineRule="auto"/>
              <w:rPr>
                <w:rFonts w:ascii="Arial" w:hAnsi="Arial" w:cs="Arial"/>
                <w:sz w:val="20"/>
                <w:szCs w:val="20"/>
              </w:rPr>
            </w:pPr>
            <w:r w:rsidRPr="00E60D0B">
              <w:rPr>
                <w:rFonts w:ascii="Arial" w:hAnsi="Arial" w:cs="Arial"/>
                <w:sz w:val="20"/>
                <w:szCs w:val="20"/>
              </w:rPr>
              <w:t>0.0122</w:t>
            </w:r>
          </w:p>
        </w:tc>
      </w:tr>
      <w:tr w:rsidR="00B72BD0" w:rsidRPr="00E60D0B" w14:paraId="2C7DCEB1" w14:textId="77777777" w:rsidTr="00B72BD0">
        <w:tc>
          <w:tcPr>
            <w:tcW w:w="1667" w:type="pct"/>
          </w:tcPr>
          <w:p w14:paraId="005C85EC" w14:textId="77777777" w:rsidR="00B72BD0" w:rsidRPr="00E60D0B" w:rsidRDefault="00B72BD0" w:rsidP="00E60D0B">
            <w:pPr>
              <w:spacing w:line="276" w:lineRule="auto"/>
              <w:rPr>
                <w:rFonts w:ascii="Arial" w:hAnsi="Arial" w:cs="Arial"/>
                <w:b/>
                <w:bCs/>
                <w:sz w:val="20"/>
                <w:szCs w:val="20"/>
              </w:rPr>
            </w:pPr>
            <w:proofErr w:type="spellStart"/>
            <w:r w:rsidRPr="00E60D0B">
              <w:rPr>
                <w:rFonts w:ascii="Arial" w:hAnsi="Arial" w:cs="Arial"/>
                <w:b/>
                <w:bCs/>
                <w:sz w:val="20"/>
                <w:szCs w:val="20"/>
              </w:rPr>
              <w:t>Hubbli</w:t>
            </w:r>
            <w:proofErr w:type="spellEnd"/>
          </w:p>
        </w:tc>
        <w:tc>
          <w:tcPr>
            <w:tcW w:w="1667" w:type="pct"/>
          </w:tcPr>
          <w:p w14:paraId="788A5EC3" w14:textId="77777777" w:rsidR="00B72BD0" w:rsidRPr="00E60D0B" w:rsidRDefault="00B72BD0" w:rsidP="00E60D0B">
            <w:pPr>
              <w:spacing w:line="276" w:lineRule="auto"/>
              <w:rPr>
                <w:rFonts w:ascii="Arial" w:hAnsi="Arial" w:cs="Arial"/>
                <w:sz w:val="20"/>
                <w:szCs w:val="20"/>
              </w:rPr>
            </w:pPr>
            <w:r w:rsidRPr="00E60D0B">
              <w:rPr>
                <w:rFonts w:ascii="Arial" w:hAnsi="Arial" w:cs="Arial"/>
                <w:sz w:val="20"/>
                <w:szCs w:val="20"/>
              </w:rPr>
              <w:t>-9.5433</w:t>
            </w:r>
          </w:p>
        </w:tc>
        <w:tc>
          <w:tcPr>
            <w:tcW w:w="1666" w:type="pct"/>
          </w:tcPr>
          <w:p w14:paraId="6F62493D" w14:textId="77777777" w:rsidR="00B72BD0" w:rsidRPr="00E60D0B" w:rsidRDefault="00B72BD0" w:rsidP="00E60D0B">
            <w:pPr>
              <w:spacing w:line="276" w:lineRule="auto"/>
              <w:rPr>
                <w:rFonts w:ascii="Arial" w:hAnsi="Arial" w:cs="Arial"/>
                <w:sz w:val="20"/>
                <w:szCs w:val="20"/>
              </w:rPr>
            </w:pPr>
            <w:r w:rsidRPr="00E60D0B">
              <w:rPr>
                <w:rFonts w:ascii="Arial" w:hAnsi="Arial" w:cs="Arial"/>
                <w:sz w:val="20"/>
                <w:szCs w:val="20"/>
              </w:rPr>
              <w:t>0.01</w:t>
            </w:r>
          </w:p>
        </w:tc>
      </w:tr>
      <w:tr w:rsidR="00B72BD0" w:rsidRPr="00E60D0B" w14:paraId="1830DCD0" w14:textId="77777777" w:rsidTr="00B72BD0">
        <w:tc>
          <w:tcPr>
            <w:tcW w:w="1667" w:type="pct"/>
          </w:tcPr>
          <w:p w14:paraId="716F141F" w14:textId="77777777" w:rsidR="00B72BD0" w:rsidRPr="00E60D0B" w:rsidRDefault="00B72BD0" w:rsidP="00E60D0B">
            <w:pPr>
              <w:spacing w:line="276" w:lineRule="auto"/>
              <w:rPr>
                <w:rFonts w:ascii="Arial" w:hAnsi="Arial" w:cs="Arial"/>
                <w:b/>
                <w:bCs/>
                <w:sz w:val="20"/>
                <w:szCs w:val="20"/>
              </w:rPr>
            </w:pPr>
            <w:proofErr w:type="spellStart"/>
            <w:r w:rsidRPr="00E60D0B">
              <w:rPr>
                <w:rFonts w:ascii="Arial" w:hAnsi="Arial" w:cs="Arial"/>
                <w:b/>
                <w:bCs/>
                <w:sz w:val="20"/>
                <w:szCs w:val="20"/>
              </w:rPr>
              <w:t>Byadagi</w:t>
            </w:r>
            <w:proofErr w:type="spellEnd"/>
          </w:p>
        </w:tc>
        <w:tc>
          <w:tcPr>
            <w:tcW w:w="1667" w:type="pct"/>
          </w:tcPr>
          <w:p w14:paraId="4D63CF77" w14:textId="77777777" w:rsidR="00B72BD0" w:rsidRPr="00E60D0B" w:rsidRDefault="00B72BD0" w:rsidP="00E60D0B">
            <w:pPr>
              <w:spacing w:line="276" w:lineRule="auto"/>
              <w:rPr>
                <w:rFonts w:ascii="Arial" w:hAnsi="Arial" w:cs="Arial"/>
                <w:sz w:val="20"/>
                <w:szCs w:val="20"/>
              </w:rPr>
            </w:pPr>
            <w:r w:rsidRPr="00E60D0B">
              <w:rPr>
                <w:rFonts w:ascii="Arial" w:hAnsi="Arial" w:cs="Arial"/>
                <w:sz w:val="20"/>
                <w:szCs w:val="20"/>
              </w:rPr>
              <w:t>-9.5403</w:t>
            </w:r>
          </w:p>
        </w:tc>
        <w:tc>
          <w:tcPr>
            <w:tcW w:w="1666" w:type="pct"/>
          </w:tcPr>
          <w:p w14:paraId="091AD8C8" w14:textId="77777777" w:rsidR="00B72BD0" w:rsidRPr="00E60D0B" w:rsidRDefault="00B72BD0" w:rsidP="00E60D0B">
            <w:pPr>
              <w:tabs>
                <w:tab w:val="left" w:pos="916"/>
              </w:tabs>
              <w:spacing w:line="276" w:lineRule="auto"/>
              <w:rPr>
                <w:rFonts w:ascii="Arial" w:hAnsi="Arial" w:cs="Arial"/>
                <w:sz w:val="20"/>
                <w:szCs w:val="20"/>
              </w:rPr>
            </w:pPr>
            <w:r w:rsidRPr="00E60D0B">
              <w:rPr>
                <w:rFonts w:ascii="Arial" w:hAnsi="Arial" w:cs="Arial"/>
                <w:sz w:val="20"/>
                <w:szCs w:val="20"/>
              </w:rPr>
              <w:t>0.01</w:t>
            </w:r>
          </w:p>
        </w:tc>
      </w:tr>
    </w:tbl>
    <w:p w14:paraId="3F9BFE7C" w14:textId="77777777" w:rsidR="005F602E" w:rsidRDefault="005F602E" w:rsidP="00E60D0B">
      <w:pPr>
        <w:rPr>
          <w:rFonts w:ascii="Arial" w:hAnsi="Arial" w:cs="Arial"/>
          <w:b/>
          <w:bCs/>
          <w:sz w:val="20"/>
          <w:szCs w:val="20"/>
        </w:rPr>
      </w:pPr>
    </w:p>
    <w:p w14:paraId="299BB318" w14:textId="77777777" w:rsidR="005F602E" w:rsidRDefault="005F602E" w:rsidP="00E60D0B">
      <w:pPr>
        <w:rPr>
          <w:rFonts w:ascii="Arial" w:hAnsi="Arial" w:cs="Arial"/>
          <w:b/>
          <w:bCs/>
          <w:sz w:val="20"/>
          <w:szCs w:val="20"/>
        </w:rPr>
      </w:pPr>
    </w:p>
    <w:p w14:paraId="669B65CC" w14:textId="77777777" w:rsidR="00B72BD0" w:rsidRDefault="00B72BD0" w:rsidP="00E60D0B">
      <w:pPr>
        <w:rPr>
          <w:rFonts w:ascii="Arial" w:hAnsi="Arial" w:cs="Arial"/>
          <w:b/>
          <w:bCs/>
          <w:sz w:val="20"/>
          <w:szCs w:val="20"/>
        </w:rPr>
      </w:pPr>
    </w:p>
    <w:p w14:paraId="13E1C01F" w14:textId="77777777" w:rsidR="00B72BD0" w:rsidRDefault="00B72BD0" w:rsidP="00E60D0B">
      <w:pPr>
        <w:rPr>
          <w:rFonts w:ascii="Arial" w:hAnsi="Arial" w:cs="Arial"/>
          <w:b/>
          <w:bCs/>
          <w:sz w:val="20"/>
          <w:szCs w:val="20"/>
        </w:rPr>
      </w:pPr>
    </w:p>
    <w:p w14:paraId="31F80F45" w14:textId="729D3406" w:rsidR="00E60D0B" w:rsidRPr="00E60D0B" w:rsidRDefault="00E60D0B" w:rsidP="00E60D0B">
      <w:pPr>
        <w:rPr>
          <w:rFonts w:ascii="Arial" w:hAnsi="Arial" w:cs="Arial"/>
          <w:b/>
          <w:bCs/>
          <w:sz w:val="20"/>
          <w:szCs w:val="20"/>
        </w:rPr>
      </w:pPr>
      <w:r>
        <w:rPr>
          <w:rFonts w:ascii="Arial" w:hAnsi="Arial" w:cs="Arial"/>
          <w:b/>
          <w:bCs/>
          <w:sz w:val="20"/>
          <w:szCs w:val="20"/>
        </w:rPr>
        <w:t xml:space="preserve">3.2.2. </w:t>
      </w:r>
      <w:r w:rsidRPr="00E60D0B">
        <w:rPr>
          <w:rFonts w:ascii="Arial" w:hAnsi="Arial" w:cs="Arial"/>
          <w:b/>
          <w:bCs/>
          <w:sz w:val="20"/>
          <w:szCs w:val="20"/>
        </w:rPr>
        <w:t>Johansen test results for arrivals</w:t>
      </w:r>
    </w:p>
    <w:p w14:paraId="146EA8DB" w14:textId="139B907C" w:rsidR="00E60D0B" w:rsidRPr="00E60D0B" w:rsidRDefault="00E60D0B" w:rsidP="00E60D0B">
      <w:pPr>
        <w:ind w:firstLine="720"/>
        <w:jc w:val="both"/>
        <w:rPr>
          <w:rFonts w:ascii="Arial" w:hAnsi="Arial" w:cs="Arial"/>
          <w:sz w:val="20"/>
          <w:szCs w:val="20"/>
        </w:rPr>
      </w:pPr>
      <w:r w:rsidRPr="00E60D0B">
        <w:rPr>
          <w:rFonts w:ascii="Arial" w:hAnsi="Arial" w:cs="Arial"/>
          <w:sz w:val="20"/>
          <w:szCs w:val="20"/>
        </w:rPr>
        <w:t>To determine long-term equilibrium relationships (cointegration) among the time series variables Johansen multiple cointegration test was carried out in R studio software and results were presented in table 6. Cointegration among time series variables shows that they move together in the long run despite short-term fluctuations. In this case, the</w:t>
      </w:r>
      <w:r w:rsidR="000A2076">
        <w:rPr>
          <w:rFonts w:ascii="Arial" w:hAnsi="Arial" w:cs="Arial"/>
          <w:sz w:val="20"/>
          <w:szCs w:val="20"/>
        </w:rPr>
        <w:t>re was ab</w:t>
      </w:r>
      <w:r w:rsidRPr="00E60D0B">
        <w:rPr>
          <w:rFonts w:ascii="Arial" w:hAnsi="Arial" w:cs="Arial"/>
          <w:sz w:val="20"/>
          <w:szCs w:val="20"/>
        </w:rPr>
        <w:t xml:space="preserve">sence of multiple cointegration relationships indicates a </w:t>
      </w:r>
      <w:r w:rsidR="000A2076">
        <w:rPr>
          <w:rFonts w:ascii="Arial" w:hAnsi="Arial" w:cs="Arial"/>
          <w:sz w:val="20"/>
          <w:szCs w:val="20"/>
        </w:rPr>
        <w:t xml:space="preserve">weak </w:t>
      </w:r>
      <w:r w:rsidRPr="00E60D0B">
        <w:rPr>
          <w:rFonts w:ascii="Arial" w:hAnsi="Arial" w:cs="Arial"/>
          <w:sz w:val="20"/>
          <w:szCs w:val="20"/>
        </w:rPr>
        <w:t>long-term dependency among the market arrivals.</w:t>
      </w:r>
    </w:p>
    <w:p w14:paraId="07694E6F" w14:textId="77777777" w:rsidR="005F602E" w:rsidRDefault="005F602E" w:rsidP="00E60D0B">
      <w:pPr>
        <w:rPr>
          <w:rFonts w:ascii="Arial" w:hAnsi="Arial" w:cs="Arial"/>
          <w:b/>
          <w:bCs/>
          <w:sz w:val="20"/>
          <w:szCs w:val="20"/>
        </w:rPr>
      </w:pPr>
    </w:p>
    <w:p w14:paraId="11BE48C2" w14:textId="77777777" w:rsidR="005F602E" w:rsidRDefault="005F602E" w:rsidP="00E60D0B">
      <w:pPr>
        <w:rPr>
          <w:rFonts w:ascii="Arial" w:hAnsi="Arial" w:cs="Arial"/>
          <w:b/>
          <w:bCs/>
          <w:sz w:val="20"/>
          <w:szCs w:val="20"/>
        </w:rPr>
      </w:pPr>
    </w:p>
    <w:p w14:paraId="52018F15" w14:textId="77777777" w:rsidR="005F602E" w:rsidRDefault="005F602E" w:rsidP="00E60D0B">
      <w:pPr>
        <w:rPr>
          <w:rFonts w:ascii="Arial" w:hAnsi="Arial" w:cs="Arial"/>
          <w:b/>
          <w:bCs/>
          <w:sz w:val="20"/>
          <w:szCs w:val="20"/>
        </w:rPr>
      </w:pPr>
    </w:p>
    <w:p w14:paraId="09FBE28B" w14:textId="77777777" w:rsidR="00B72BD0" w:rsidRDefault="00B72BD0" w:rsidP="00E60D0B">
      <w:pPr>
        <w:rPr>
          <w:rFonts w:ascii="Arial" w:hAnsi="Arial" w:cs="Arial"/>
          <w:b/>
          <w:bCs/>
          <w:sz w:val="20"/>
          <w:szCs w:val="20"/>
        </w:rPr>
      </w:pPr>
    </w:p>
    <w:p w14:paraId="5BDD558F" w14:textId="77777777" w:rsidR="00B72BD0" w:rsidRDefault="00B72BD0" w:rsidP="00E60D0B">
      <w:pPr>
        <w:rPr>
          <w:rFonts w:ascii="Arial" w:hAnsi="Arial" w:cs="Arial"/>
          <w:b/>
          <w:bCs/>
          <w:sz w:val="20"/>
          <w:szCs w:val="20"/>
        </w:rPr>
      </w:pPr>
    </w:p>
    <w:p w14:paraId="0C04A6B7" w14:textId="77777777" w:rsidR="005F602E" w:rsidRDefault="005F602E" w:rsidP="00E60D0B">
      <w:pPr>
        <w:rPr>
          <w:rFonts w:ascii="Arial" w:hAnsi="Arial" w:cs="Arial"/>
          <w:b/>
          <w:bCs/>
          <w:sz w:val="20"/>
          <w:szCs w:val="20"/>
        </w:rPr>
      </w:pPr>
    </w:p>
    <w:p w14:paraId="26F1D1E6" w14:textId="77777777" w:rsidR="005F602E" w:rsidRDefault="005F602E" w:rsidP="00E60D0B">
      <w:pPr>
        <w:rPr>
          <w:rFonts w:ascii="Arial" w:hAnsi="Arial" w:cs="Arial"/>
          <w:b/>
          <w:bCs/>
          <w:sz w:val="20"/>
          <w:szCs w:val="20"/>
        </w:rPr>
      </w:pPr>
    </w:p>
    <w:p w14:paraId="4FF4D2D0" w14:textId="297C7719" w:rsidR="00E60D0B" w:rsidRPr="00E60D0B" w:rsidRDefault="00E60D0B" w:rsidP="00E60D0B">
      <w:pPr>
        <w:rPr>
          <w:rFonts w:ascii="Arial" w:hAnsi="Arial" w:cs="Arial"/>
          <w:b/>
          <w:bCs/>
          <w:sz w:val="20"/>
          <w:szCs w:val="20"/>
        </w:rPr>
      </w:pPr>
      <w:r w:rsidRPr="00E60D0B">
        <w:rPr>
          <w:rFonts w:ascii="Arial" w:hAnsi="Arial" w:cs="Arial"/>
          <w:b/>
          <w:bCs/>
          <w:sz w:val="20"/>
          <w:szCs w:val="20"/>
        </w:rPr>
        <w:t>Table 6: Johansen test results for arrivals</w:t>
      </w:r>
    </w:p>
    <w:tbl>
      <w:tblPr>
        <w:tblStyle w:val="TableGrid"/>
        <w:tblW w:w="5350" w:type="pct"/>
        <w:tblLook w:val="04A0" w:firstRow="1" w:lastRow="0" w:firstColumn="1" w:lastColumn="0" w:noHBand="0" w:noVBand="1"/>
      </w:tblPr>
      <w:tblGrid>
        <w:gridCol w:w="1846"/>
        <w:gridCol w:w="1846"/>
        <w:gridCol w:w="2228"/>
        <w:gridCol w:w="2126"/>
        <w:gridCol w:w="1843"/>
      </w:tblGrid>
      <w:tr w:rsidR="00E60D0B" w:rsidRPr="00E60D0B" w14:paraId="5351086E" w14:textId="77777777" w:rsidTr="00A84B6B">
        <w:tc>
          <w:tcPr>
            <w:tcW w:w="933" w:type="pct"/>
          </w:tcPr>
          <w:p w14:paraId="76DCB1C5" w14:textId="6C67A45F"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 xml:space="preserve">Null Hypothesis </w:t>
            </w:r>
          </w:p>
        </w:tc>
        <w:tc>
          <w:tcPr>
            <w:tcW w:w="933" w:type="pct"/>
          </w:tcPr>
          <w:p w14:paraId="0B9CC6EF" w14:textId="5F19B4B0"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Trace Statistic</w:t>
            </w:r>
          </w:p>
        </w:tc>
        <w:tc>
          <w:tcPr>
            <w:tcW w:w="1126" w:type="pct"/>
          </w:tcPr>
          <w:p w14:paraId="188875C0" w14:textId="7835BE9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Critical Value (5%)</w:t>
            </w:r>
          </w:p>
        </w:tc>
        <w:tc>
          <w:tcPr>
            <w:tcW w:w="1075" w:type="pct"/>
          </w:tcPr>
          <w:p w14:paraId="4619FFB2" w14:textId="40DDB45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Critical Value (1%)</w:t>
            </w:r>
          </w:p>
        </w:tc>
        <w:tc>
          <w:tcPr>
            <w:tcW w:w="932" w:type="pct"/>
          </w:tcPr>
          <w:p w14:paraId="6E732B4D" w14:textId="0336B714"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 xml:space="preserve">Decision </w:t>
            </w:r>
          </w:p>
        </w:tc>
      </w:tr>
      <w:tr w:rsidR="00E60D0B" w:rsidRPr="00E60D0B" w14:paraId="76F62007" w14:textId="77777777" w:rsidTr="00A84B6B">
        <w:tc>
          <w:tcPr>
            <w:tcW w:w="933" w:type="pct"/>
          </w:tcPr>
          <w:p w14:paraId="66BD4DAF" w14:textId="78C4D049"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None</w:t>
            </w:r>
          </w:p>
        </w:tc>
        <w:tc>
          <w:tcPr>
            <w:tcW w:w="933" w:type="pct"/>
          </w:tcPr>
          <w:p w14:paraId="075A17BB" w14:textId="3177800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245.91</w:t>
            </w:r>
          </w:p>
        </w:tc>
        <w:tc>
          <w:tcPr>
            <w:tcW w:w="1126" w:type="pct"/>
          </w:tcPr>
          <w:p w14:paraId="264D1CA7" w14:textId="50782C31"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53.12</w:t>
            </w:r>
          </w:p>
        </w:tc>
        <w:tc>
          <w:tcPr>
            <w:tcW w:w="1075" w:type="pct"/>
          </w:tcPr>
          <w:p w14:paraId="77510396" w14:textId="2D4439DB"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60.16</w:t>
            </w:r>
          </w:p>
        </w:tc>
        <w:tc>
          <w:tcPr>
            <w:tcW w:w="932" w:type="pct"/>
          </w:tcPr>
          <w:p w14:paraId="7A039849" w14:textId="7E47CA24" w:rsidR="00E60D0B" w:rsidRPr="00A84B6B" w:rsidRDefault="00A84B6B" w:rsidP="00E60D0B">
            <w:pPr>
              <w:spacing w:after="120" w:line="276" w:lineRule="auto"/>
              <w:jc w:val="both"/>
              <w:rPr>
                <w:rFonts w:ascii="Arial" w:hAnsi="Arial" w:cs="Arial"/>
                <w:b/>
                <w:bCs/>
                <w:sz w:val="20"/>
                <w:szCs w:val="20"/>
                <w:vertAlign w:val="subscript"/>
              </w:rPr>
            </w:pPr>
            <w:r>
              <w:rPr>
                <w:rFonts w:ascii="Arial" w:hAnsi="Arial" w:cs="Arial"/>
                <w:sz w:val="20"/>
                <w:szCs w:val="20"/>
              </w:rPr>
              <w:t xml:space="preserve">Do not </w:t>
            </w:r>
            <w:r w:rsidR="00E60D0B" w:rsidRPr="00E60D0B">
              <w:rPr>
                <w:rFonts w:ascii="Arial" w:hAnsi="Arial" w:cs="Arial"/>
                <w:sz w:val="20"/>
                <w:szCs w:val="20"/>
              </w:rPr>
              <w:t>Reject</w:t>
            </w:r>
            <w:r>
              <w:rPr>
                <w:rFonts w:ascii="Arial" w:hAnsi="Arial" w:cs="Arial"/>
                <w:sz w:val="20"/>
                <w:szCs w:val="20"/>
              </w:rPr>
              <w:t xml:space="preserve"> H</w:t>
            </w:r>
            <w:r>
              <w:rPr>
                <w:rFonts w:ascii="Arial" w:hAnsi="Arial" w:cs="Arial"/>
                <w:sz w:val="20"/>
                <w:szCs w:val="20"/>
                <w:vertAlign w:val="subscript"/>
              </w:rPr>
              <w:t>0</w:t>
            </w:r>
          </w:p>
        </w:tc>
      </w:tr>
      <w:tr w:rsidR="00E60D0B" w:rsidRPr="00E60D0B" w14:paraId="6AD841D6" w14:textId="77777777" w:rsidTr="00A84B6B">
        <w:tc>
          <w:tcPr>
            <w:tcW w:w="933" w:type="pct"/>
          </w:tcPr>
          <w:p w14:paraId="5B37A1F4" w14:textId="2E3FE2D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1</w:t>
            </w:r>
          </w:p>
        </w:tc>
        <w:tc>
          <w:tcPr>
            <w:tcW w:w="933" w:type="pct"/>
          </w:tcPr>
          <w:p w14:paraId="004CFFC3" w14:textId="63ED50DA"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125.95</w:t>
            </w:r>
          </w:p>
        </w:tc>
        <w:tc>
          <w:tcPr>
            <w:tcW w:w="1126" w:type="pct"/>
          </w:tcPr>
          <w:p w14:paraId="24FC8175" w14:textId="2243AEBD"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34.91</w:t>
            </w:r>
          </w:p>
        </w:tc>
        <w:tc>
          <w:tcPr>
            <w:tcW w:w="1075" w:type="pct"/>
          </w:tcPr>
          <w:p w14:paraId="05FF2007" w14:textId="19933F96"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41.07</w:t>
            </w:r>
          </w:p>
        </w:tc>
        <w:tc>
          <w:tcPr>
            <w:tcW w:w="932" w:type="pct"/>
          </w:tcPr>
          <w:p w14:paraId="277C6916" w14:textId="21F32130" w:rsidR="00E60D0B" w:rsidRPr="00E60D0B" w:rsidRDefault="00A84B6B" w:rsidP="00E60D0B">
            <w:pPr>
              <w:spacing w:after="120" w:line="276" w:lineRule="auto"/>
              <w:jc w:val="both"/>
              <w:rPr>
                <w:rFonts w:ascii="Arial" w:hAnsi="Arial" w:cs="Arial"/>
                <w:b/>
                <w:bCs/>
                <w:sz w:val="20"/>
                <w:szCs w:val="20"/>
              </w:rPr>
            </w:pPr>
            <w:r>
              <w:rPr>
                <w:rFonts w:ascii="Arial" w:hAnsi="Arial" w:cs="Arial"/>
                <w:sz w:val="20"/>
                <w:szCs w:val="20"/>
              </w:rPr>
              <w:t xml:space="preserve">Do not </w:t>
            </w:r>
            <w:r w:rsidR="00E60D0B" w:rsidRPr="00E60D0B">
              <w:rPr>
                <w:rFonts w:ascii="Arial" w:hAnsi="Arial" w:cs="Arial"/>
                <w:sz w:val="20"/>
                <w:szCs w:val="20"/>
              </w:rPr>
              <w:t>Reject</w:t>
            </w:r>
            <w:r>
              <w:rPr>
                <w:rFonts w:ascii="Arial" w:hAnsi="Arial" w:cs="Arial"/>
                <w:sz w:val="20"/>
                <w:szCs w:val="20"/>
              </w:rPr>
              <w:t xml:space="preserve"> H</w:t>
            </w:r>
            <w:r>
              <w:rPr>
                <w:rFonts w:ascii="Arial" w:hAnsi="Arial" w:cs="Arial"/>
                <w:sz w:val="20"/>
                <w:szCs w:val="20"/>
                <w:vertAlign w:val="subscript"/>
              </w:rPr>
              <w:t>0</w:t>
            </w:r>
          </w:p>
        </w:tc>
      </w:tr>
      <w:tr w:rsidR="00E60D0B" w:rsidRPr="00E60D0B" w14:paraId="4FF00340" w14:textId="77777777" w:rsidTr="00A84B6B">
        <w:tc>
          <w:tcPr>
            <w:tcW w:w="933" w:type="pct"/>
          </w:tcPr>
          <w:p w14:paraId="0562AE93" w14:textId="7B98A25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2</w:t>
            </w:r>
          </w:p>
        </w:tc>
        <w:tc>
          <w:tcPr>
            <w:tcW w:w="933" w:type="pct"/>
          </w:tcPr>
          <w:p w14:paraId="35CFEC62" w14:textId="2998299D"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73.26</w:t>
            </w:r>
          </w:p>
        </w:tc>
        <w:tc>
          <w:tcPr>
            <w:tcW w:w="1126" w:type="pct"/>
          </w:tcPr>
          <w:p w14:paraId="04AC412C" w14:textId="4D812F65"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19.96</w:t>
            </w:r>
          </w:p>
        </w:tc>
        <w:tc>
          <w:tcPr>
            <w:tcW w:w="1075" w:type="pct"/>
          </w:tcPr>
          <w:p w14:paraId="5F4CF918" w14:textId="70041AD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24.60</w:t>
            </w:r>
          </w:p>
        </w:tc>
        <w:tc>
          <w:tcPr>
            <w:tcW w:w="932" w:type="pct"/>
          </w:tcPr>
          <w:p w14:paraId="26FCEBD5" w14:textId="54A2B783" w:rsidR="00E60D0B" w:rsidRPr="00E60D0B" w:rsidRDefault="00274FB6" w:rsidP="00E60D0B">
            <w:pPr>
              <w:spacing w:after="120" w:line="276" w:lineRule="auto"/>
              <w:jc w:val="both"/>
              <w:rPr>
                <w:rFonts w:ascii="Arial" w:hAnsi="Arial" w:cs="Arial"/>
                <w:b/>
                <w:bCs/>
                <w:sz w:val="20"/>
                <w:szCs w:val="20"/>
              </w:rPr>
            </w:pPr>
            <w:r>
              <w:rPr>
                <w:rFonts w:ascii="Arial" w:hAnsi="Arial" w:cs="Arial"/>
                <w:sz w:val="20"/>
                <w:szCs w:val="20"/>
              </w:rPr>
              <w:t xml:space="preserve">Do not </w:t>
            </w:r>
            <w:r w:rsidR="00E60D0B" w:rsidRPr="00E60D0B">
              <w:rPr>
                <w:rFonts w:ascii="Arial" w:hAnsi="Arial" w:cs="Arial"/>
                <w:sz w:val="20"/>
                <w:szCs w:val="20"/>
              </w:rPr>
              <w:t>Reject</w:t>
            </w:r>
            <w:r w:rsidR="00A84B6B">
              <w:rPr>
                <w:rFonts w:ascii="Arial" w:hAnsi="Arial" w:cs="Arial"/>
                <w:sz w:val="20"/>
                <w:szCs w:val="20"/>
              </w:rPr>
              <w:t xml:space="preserve"> H</w:t>
            </w:r>
            <w:r w:rsidR="00A84B6B">
              <w:rPr>
                <w:rFonts w:ascii="Arial" w:hAnsi="Arial" w:cs="Arial"/>
                <w:sz w:val="20"/>
                <w:szCs w:val="20"/>
                <w:vertAlign w:val="subscript"/>
              </w:rPr>
              <w:t>0</w:t>
            </w:r>
          </w:p>
        </w:tc>
      </w:tr>
      <w:tr w:rsidR="00E60D0B" w:rsidRPr="00E60D0B" w14:paraId="7D21CDC0" w14:textId="77777777" w:rsidTr="00A84B6B">
        <w:tc>
          <w:tcPr>
            <w:tcW w:w="933" w:type="pct"/>
          </w:tcPr>
          <w:p w14:paraId="45B982EB" w14:textId="127C9C39"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3</w:t>
            </w:r>
          </w:p>
        </w:tc>
        <w:tc>
          <w:tcPr>
            <w:tcW w:w="933" w:type="pct"/>
          </w:tcPr>
          <w:p w14:paraId="78E054F3" w14:textId="5181F7BE"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34.62</w:t>
            </w:r>
          </w:p>
        </w:tc>
        <w:tc>
          <w:tcPr>
            <w:tcW w:w="1126" w:type="pct"/>
          </w:tcPr>
          <w:p w14:paraId="5127D77A" w14:textId="020A275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9.24</w:t>
            </w:r>
          </w:p>
        </w:tc>
        <w:tc>
          <w:tcPr>
            <w:tcW w:w="1075" w:type="pct"/>
          </w:tcPr>
          <w:p w14:paraId="00823E10" w14:textId="5A93FCF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12.97</w:t>
            </w:r>
          </w:p>
        </w:tc>
        <w:tc>
          <w:tcPr>
            <w:tcW w:w="932" w:type="pct"/>
          </w:tcPr>
          <w:p w14:paraId="1F939E04" w14:textId="01670AE3" w:rsidR="00E60D0B" w:rsidRPr="00E60D0B" w:rsidRDefault="00274FB6" w:rsidP="00E60D0B">
            <w:pPr>
              <w:spacing w:after="120" w:line="276" w:lineRule="auto"/>
              <w:jc w:val="both"/>
              <w:rPr>
                <w:rFonts w:ascii="Arial" w:hAnsi="Arial" w:cs="Arial"/>
                <w:b/>
                <w:bCs/>
                <w:sz w:val="20"/>
                <w:szCs w:val="20"/>
              </w:rPr>
            </w:pPr>
            <w:r>
              <w:rPr>
                <w:rFonts w:ascii="Arial" w:hAnsi="Arial" w:cs="Arial"/>
                <w:sz w:val="20"/>
                <w:szCs w:val="20"/>
              </w:rPr>
              <w:t xml:space="preserve">Do not </w:t>
            </w:r>
            <w:r w:rsidR="00E60D0B" w:rsidRPr="00E60D0B">
              <w:rPr>
                <w:rFonts w:ascii="Arial" w:hAnsi="Arial" w:cs="Arial"/>
                <w:sz w:val="20"/>
                <w:szCs w:val="20"/>
              </w:rPr>
              <w:t>Reject</w:t>
            </w:r>
            <w:r w:rsidR="00A84B6B">
              <w:rPr>
                <w:rFonts w:ascii="Arial" w:hAnsi="Arial" w:cs="Arial"/>
                <w:sz w:val="20"/>
                <w:szCs w:val="20"/>
              </w:rPr>
              <w:t xml:space="preserve"> H</w:t>
            </w:r>
            <w:r w:rsidR="00A84B6B">
              <w:rPr>
                <w:rFonts w:ascii="Arial" w:hAnsi="Arial" w:cs="Arial"/>
                <w:sz w:val="20"/>
                <w:szCs w:val="20"/>
                <w:vertAlign w:val="subscript"/>
              </w:rPr>
              <w:t>0</w:t>
            </w:r>
          </w:p>
        </w:tc>
      </w:tr>
    </w:tbl>
    <w:p w14:paraId="79D81983" w14:textId="3A01BBB5" w:rsidR="00B84D41" w:rsidRPr="00E60D0B" w:rsidRDefault="00B84D41" w:rsidP="00D30290">
      <w:pPr>
        <w:spacing w:after="120" w:line="360" w:lineRule="auto"/>
        <w:jc w:val="both"/>
        <w:rPr>
          <w:rFonts w:ascii="Arial" w:hAnsi="Arial" w:cs="Arial"/>
          <w:b/>
          <w:bCs/>
          <w:sz w:val="20"/>
          <w:szCs w:val="20"/>
        </w:rPr>
      </w:pPr>
    </w:p>
    <w:p w14:paraId="4851EC19" w14:textId="1F2FCD45" w:rsidR="00E60D0B" w:rsidRPr="00E60D0B" w:rsidRDefault="00E60D0B" w:rsidP="00D30290">
      <w:pPr>
        <w:spacing w:line="360" w:lineRule="auto"/>
        <w:rPr>
          <w:rFonts w:ascii="Arial" w:hAnsi="Arial" w:cs="Arial"/>
          <w:sz w:val="20"/>
          <w:szCs w:val="20"/>
        </w:rPr>
      </w:pPr>
      <w:r w:rsidRPr="00E60D0B">
        <w:rPr>
          <w:rFonts w:ascii="Arial" w:hAnsi="Arial" w:cs="Arial"/>
          <w:b/>
          <w:bCs/>
          <w:sz w:val="20"/>
          <w:szCs w:val="20"/>
        </w:rPr>
        <w:t>3.2.3. Vector Error correction model results for lag 3</w:t>
      </w:r>
    </w:p>
    <w:p w14:paraId="09DB5EB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This table shows the results of a Vector Error Correction Model (VECM) for lag 3, focusing on three locations: Bangalore, Hubli, and </w:t>
      </w:r>
      <w:proofErr w:type="spellStart"/>
      <w:r w:rsidRPr="00E60D0B">
        <w:rPr>
          <w:rFonts w:ascii="Arial" w:hAnsi="Arial" w:cs="Arial"/>
          <w:sz w:val="20"/>
          <w:szCs w:val="20"/>
        </w:rPr>
        <w:t>Byadagi</w:t>
      </w:r>
      <w:proofErr w:type="spellEnd"/>
      <w:r w:rsidRPr="00E60D0B">
        <w:rPr>
          <w:rFonts w:ascii="Arial" w:hAnsi="Arial" w:cs="Arial"/>
          <w:sz w:val="20"/>
          <w:szCs w:val="20"/>
        </w:rPr>
        <w:t>.</w:t>
      </w:r>
    </w:p>
    <w:p w14:paraId="3FCE4277" w14:textId="77777777" w:rsidR="00E60D0B" w:rsidRPr="00E60D0B" w:rsidRDefault="00E60D0B" w:rsidP="00D30290">
      <w:pPr>
        <w:numPr>
          <w:ilvl w:val="0"/>
          <w:numId w:val="11"/>
        </w:numPr>
        <w:spacing w:after="0" w:line="360" w:lineRule="auto"/>
        <w:rPr>
          <w:rFonts w:ascii="Arial" w:hAnsi="Arial" w:cs="Arial"/>
          <w:sz w:val="20"/>
          <w:szCs w:val="20"/>
        </w:rPr>
      </w:pPr>
      <w:r w:rsidRPr="00E60D0B">
        <w:rPr>
          <w:rFonts w:ascii="Arial" w:hAnsi="Arial" w:cs="Arial"/>
          <w:sz w:val="20"/>
          <w:szCs w:val="20"/>
        </w:rPr>
        <w:t>Bangalore:</w:t>
      </w:r>
    </w:p>
    <w:p w14:paraId="66D8A5D8" w14:textId="71DF0F8D"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ECT1, ECT2, ECT3: Error correction terms (</w:t>
      </w:r>
      <w:r w:rsidRPr="00E60D0B">
        <w:rPr>
          <w:rFonts w:ascii="Arial" w:hAnsi="Arial" w:cs="Arial"/>
          <w:i/>
          <w:iCs/>
          <w:sz w:val="20"/>
          <w:szCs w:val="20"/>
        </w:rPr>
        <w:t xml:space="preserve">viz., </w:t>
      </w:r>
      <w:r w:rsidRPr="00E60D0B">
        <w:rPr>
          <w:rFonts w:ascii="Arial" w:hAnsi="Arial" w:cs="Arial"/>
          <w:sz w:val="20"/>
          <w:szCs w:val="20"/>
        </w:rPr>
        <w:t xml:space="preserve">ECT1 and ECT2) were significant at </w:t>
      </w:r>
      <w:r w:rsidR="00F85A88" w:rsidRPr="00020F96">
        <w:rPr>
          <w:rFonts w:ascii="Arial" w:hAnsi="Arial" w:cs="Arial"/>
          <w:sz w:val="20"/>
          <w:szCs w:val="20"/>
          <w:highlight w:val="yellow"/>
        </w:rPr>
        <w:t xml:space="preserve">the </w:t>
      </w:r>
      <w:r w:rsidRPr="00020F96">
        <w:rPr>
          <w:rFonts w:ascii="Arial" w:hAnsi="Arial" w:cs="Arial"/>
          <w:sz w:val="20"/>
          <w:szCs w:val="20"/>
          <w:highlight w:val="yellow"/>
        </w:rPr>
        <w:t>0.1</w:t>
      </w:r>
      <w:r w:rsidRPr="00E60D0B">
        <w:rPr>
          <w:rFonts w:ascii="Arial" w:hAnsi="Arial" w:cs="Arial"/>
          <w:sz w:val="20"/>
          <w:szCs w:val="20"/>
        </w:rPr>
        <w:t xml:space="preserve"> per cent level, indicating a strong speed of adjustment towards equilibrium.</w:t>
      </w:r>
    </w:p>
    <w:p w14:paraId="205F4EC6"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Intercept: Significant at 0.01 per cent level, suggesting a consistent, non-time-dependent factor.</w:t>
      </w:r>
    </w:p>
    <w:p w14:paraId="035DCCB6" w14:textId="38AB2BE4"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Bangalore-1: Significant at </w:t>
      </w:r>
      <w:r w:rsidR="00F85A88" w:rsidRPr="00020F96">
        <w:rPr>
          <w:rFonts w:ascii="Arial" w:hAnsi="Arial" w:cs="Arial"/>
          <w:sz w:val="20"/>
          <w:szCs w:val="20"/>
          <w:highlight w:val="yellow"/>
        </w:rPr>
        <w:t xml:space="preserve">the </w:t>
      </w:r>
      <w:r w:rsidRPr="00020F96">
        <w:rPr>
          <w:rFonts w:ascii="Arial" w:hAnsi="Arial" w:cs="Arial"/>
          <w:sz w:val="20"/>
          <w:szCs w:val="20"/>
          <w:highlight w:val="yellow"/>
        </w:rPr>
        <w:t>1 per</w:t>
      </w:r>
      <w:r w:rsidRPr="00E60D0B">
        <w:rPr>
          <w:rFonts w:ascii="Arial" w:hAnsi="Arial" w:cs="Arial"/>
          <w:sz w:val="20"/>
          <w:szCs w:val="20"/>
        </w:rPr>
        <w:t xml:space="preserve"> cent level, indicating some lagged effect of Bangalore's market arrivals on itself.</w:t>
      </w:r>
    </w:p>
    <w:p w14:paraId="4083203C" w14:textId="77777777" w:rsidR="00E60D0B" w:rsidRPr="00E60D0B" w:rsidRDefault="00E60D0B" w:rsidP="00D30290">
      <w:pPr>
        <w:numPr>
          <w:ilvl w:val="0"/>
          <w:numId w:val="11"/>
        </w:numPr>
        <w:spacing w:after="0" w:line="360" w:lineRule="auto"/>
        <w:jc w:val="both"/>
        <w:rPr>
          <w:rFonts w:ascii="Arial" w:hAnsi="Arial" w:cs="Arial"/>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w:t>
      </w:r>
    </w:p>
    <w:p w14:paraId="01786788" w14:textId="6D077E23" w:rsidR="00E60D0B" w:rsidRPr="00E60D0B" w:rsidRDefault="00E60D0B" w:rsidP="00D30290">
      <w:pPr>
        <w:numPr>
          <w:ilvl w:val="1"/>
          <w:numId w:val="10"/>
        </w:numPr>
        <w:spacing w:after="0" w:line="360" w:lineRule="auto"/>
        <w:jc w:val="both"/>
        <w:rPr>
          <w:rFonts w:ascii="Arial" w:hAnsi="Arial" w:cs="Arial"/>
          <w:sz w:val="20"/>
          <w:szCs w:val="20"/>
        </w:rPr>
      </w:pPr>
      <w:r w:rsidRPr="00E60D0B">
        <w:rPr>
          <w:rFonts w:ascii="Arial" w:hAnsi="Arial" w:cs="Arial"/>
          <w:sz w:val="20"/>
          <w:szCs w:val="20"/>
        </w:rPr>
        <w:t>ECT1 and ECT2 were found to be non-significant</w:t>
      </w:r>
      <w:r w:rsidR="00F85A88">
        <w:rPr>
          <w:rFonts w:ascii="Arial" w:hAnsi="Arial" w:cs="Arial"/>
          <w:sz w:val="20"/>
          <w:szCs w:val="20"/>
        </w:rPr>
        <w:t>,</w:t>
      </w:r>
      <w:r w:rsidRPr="00E60D0B">
        <w:rPr>
          <w:rFonts w:ascii="Arial" w:hAnsi="Arial" w:cs="Arial"/>
          <w:sz w:val="20"/>
          <w:szCs w:val="20"/>
        </w:rPr>
        <w:t xml:space="preserve"> indicating that weak or no adjustment towards equilibrium. While ECT3 was significant </w:t>
      </w:r>
      <w:r w:rsidRPr="00020F96">
        <w:rPr>
          <w:rFonts w:ascii="Arial" w:hAnsi="Arial" w:cs="Arial"/>
          <w:sz w:val="20"/>
          <w:szCs w:val="20"/>
          <w:highlight w:val="yellow"/>
        </w:rPr>
        <w:t xml:space="preserve">at </w:t>
      </w:r>
      <w:r w:rsidR="00F85A88" w:rsidRPr="00020F96">
        <w:rPr>
          <w:rFonts w:ascii="Arial" w:hAnsi="Arial" w:cs="Arial"/>
          <w:sz w:val="20"/>
          <w:szCs w:val="20"/>
          <w:highlight w:val="yellow"/>
        </w:rPr>
        <w:t xml:space="preserve">the </w:t>
      </w:r>
      <w:r w:rsidRPr="00020F96">
        <w:rPr>
          <w:rFonts w:ascii="Arial" w:hAnsi="Arial" w:cs="Arial"/>
          <w:sz w:val="20"/>
          <w:szCs w:val="20"/>
          <w:highlight w:val="yellow"/>
        </w:rPr>
        <w:t>0.01</w:t>
      </w:r>
      <w:r w:rsidRPr="00E60D0B">
        <w:rPr>
          <w:rFonts w:ascii="Arial" w:hAnsi="Arial" w:cs="Arial"/>
          <w:sz w:val="20"/>
          <w:szCs w:val="20"/>
        </w:rPr>
        <w:t xml:space="preserve"> per cent level, indicating </w:t>
      </w:r>
      <w:r w:rsidR="00F85A88" w:rsidRPr="00020F96">
        <w:rPr>
          <w:rFonts w:ascii="Arial" w:hAnsi="Arial" w:cs="Arial"/>
          <w:sz w:val="20"/>
          <w:szCs w:val="20"/>
          <w:highlight w:val="yellow"/>
        </w:rPr>
        <w:t xml:space="preserve">an </w:t>
      </w:r>
      <w:r w:rsidRPr="00020F96">
        <w:rPr>
          <w:rFonts w:ascii="Arial" w:hAnsi="Arial" w:cs="Arial"/>
          <w:sz w:val="20"/>
          <w:szCs w:val="20"/>
          <w:highlight w:val="yellow"/>
        </w:rPr>
        <w:t>adjust</w:t>
      </w:r>
      <w:r w:rsidRPr="00E60D0B">
        <w:rPr>
          <w:rFonts w:ascii="Arial" w:hAnsi="Arial" w:cs="Arial"/>
          <w:sz w:val="20"/>
          <w:szCs w:val="20"/>
        </w:rPr>
        <w:t>ment towards equilibrium.</w:t>
      </w:r>
    </w:p>
    <w:p w14:paraId="032875B2" w14:textId="69653CFD"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Intercept: Significant at </w:t>
      </w:r>
      <w:r w:rsidR="00F85A88" w:rsidRPr="00020F96">
        <w:rPr>
          <w:rFonts w:ascii="Arial" w:hAnsi="Arial" w:cs="Arial"/>
          <w:sz w:val="20"/>
          <w:szCs w:val="20"/>
          <w:highlight w:val="yellow"/>
        </w:rPr>
        <w:t xml:space="preserve">the </w:t>
      </w:r>
      <w:r w:rsidRPr="00020F96">
        <w:rPr>
          <w:rFonts w:ascii="Arial" w:hAnsi="Arial" w:cs="Arial"/>
          <w:sz w:val="20"/>
          <w:szCs w:val="20"/>
          <w:highlight w:val="yellow"/>
        </w:rPr>
        <w:t>10 p</w:t>
      </w:r>
      <w:r w:rsidRPr="00E60D0B">
        <w:rPr>
          <w:rFonts w:ascii="Arial" w:hAnsi="Arial" w:cs="Arial"/>
          <w:sz w:val="20"/>
          <w:szCs w:val="20"/>
        </w:rPr>
        <w:t>er cent level, indicating a base effect.</w:t>
      </w:r>
    </w:p>
    <w:p w14:paraId="4237E45D" w14:textId="3B07726A"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Hubbli-1 and Byadagi-1: Significant at 1 and 0.1 per cent level respectively, suggesting </w:t>
      </w:r>
      <w:proofErr w:type="spellStart"/>
      <w:r w:rsidR="00F85A88" w:rsidRPr="00020F96">
        <w:rPr>
          <w:rFonts w:ascii="Arial" w:hAnsi="Arial" w:cs="Arial"/>
          <w:sz w:val="20"/>
          <w:szCs w:val="20"/>
          <w:highlight w:val="yellow"/>
        </w:rPr>
        <w:t>Hubbli</w:t>
      </w:r>
      <w:proofErr w:type="spellEnd"/>
      <w:r w:rsidR="00F85A88" w:rsidRPr="00020F96">
        <w:rPr>
          <w:rFonts w:ascii="Arial" w:hAnsi="Arial" w:cs="Arial"/>
          <w:sz w:val="20"/>
          <w:szCs w:val="20"/>
          <w:highlight w:val="yellow"/>
        </w:rPr>
        <w:t xml:space="preserve"> </w:t>
      </w:r>
      <w:r w:rsidRPr="00020F96">
        <w:rPr>
          <w:rFonts w:ascii="Arial" w:hAnsi="Arial" w:cs="Arial"/>
          <w:sz w:val="20"/>
          <w:szCs w:val="20"/>
          <w:highlight w:val="yellow"/>
        </w:rPr>
        <w:t>and</w:t>
      </w:r>
      <w:r w:rsidRPr="00E60D0B">
        <w:rPr>
          <w:rFonts w:ascii="Arial" w:hAnsi="Arial" w:cs="Arial"/>
          <w:sz w:val="20"/>
          <w:szCs w:val="20"/>
        </w:rPr>
        <w:t xml:space="preserve">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 arrivals have an influence on </w:t>
      </w:r>
      <w:proofErr w:type="spellStart"/>
      <w:r w:rsidRPr="00E60D0B">
        <w:rPr>
          <w:rFonts w:ascii="Arial" w:hAnsi="Arial" w:cs="Arial"/>
          <w:sz w:val="20"/>
          <w:szCs w:val="20"/>
        </w:rPr>
        <w:t>Hubbli's</w:t>
      </w:r>
      <w:proofErr w:type="spellEnd"/>
      <w:r w:rsidRPr="00E60D0B">
        <w:rPr>
          <w:rFonts w:ascii="Arial" w:hAnsi="Arial" w:cs="Arial"/>
          <w:sz w:val="20"/>
          <w:szCs w:val="20"/>
        </w:rPr>
        <w:t xml:space="preserve"> arrivals.</w:t>
      </w:r>
    </w:p>
    <w:p w14:paraId="754099AF" w14:textId="77777777" w:rsidR="00E60D0B" w:rsidRPr="00E60D0B" w:rsidRDefault="00E60D0B" w:rsidP="00D30290">
      <w:pPr>
        <w:numPr>
          <w:ilvl w:val="0"/>
          <w:numId w:val="11"/>
        </w:numPr>
        <w:spacing w:after="0" w:line="360" w:lineRule="auto"/>
        <w:jc w:val="both"/>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w:t>
      </w:r>
    </w:p>
    <w:p w14:paraId="4A54D49F" w14:textId="3FB34A29"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ECT1 was significant at </w:t>
      </w:r>
      <w:r w:rsidR="00F85A88" w:rsidRPr="00020F96">
        <w:rPr>
          <w:rFonts w:ascii="Arial" w:hAnsi="Arial" w:cs="Arial"/>
          <w:sz w:val="20"/>
          <w:szCs w:val="20"/>
          <w:highlight w:val="yellow"/>
        </w:rPr>
        <w:t xml:space="preserve">a </w:t>
      </w:r>
      <w:r w:rsidRPr="00020F96">
        <w:rPr>
          <w:rFonts w:ascii="Arial" w:hAnsi="Arial" w:cs="Arial"/>
          <w:sz w:val="20"/>
          <w:szCs w:val="20"/>
          <w:highlight w:val="yellow"/>
        </w:rPr>
        <w:t>5</w:t>
      </w:r>
      <w:r w:rsidRPr="00E60D0B">
        <w:rPr>
          <w:rFonts w:ascii="Arial" w:hAnsi="Arial" w:cs="Arial"/>
          <w:sz w:val="20"/>
          <w:szCs w:val="20"/>
        </w:rPr>
        <w:t xml:space="preserve"> per cent significance level</w:t>
      </w:r>
      <w:r w:rsidR="00F85A88">
        <w:rPr>
          <w:rFonts w:ascii="Arial" w:hAnsi="Arial" w:cs="Arial"/>
          <w:sz w:val="20"/>
          <w:szCs w:val="20"/>
        </w:rPr>
        <w:t>,</w:t>
      </w:r>
      <w:r w:rsidRPr="00E60D0B">
        <w:rPr>
          <w:rFonts w:ascii="Arial" w:hAnsi="Arial" w:cs="Arial"/>
          <w:sz w:val="20"/>
          <w:szCs w:val="20"/>
        </w:rPr>
        <w:t xml:space="preserve"> whereas ECT2 and ECT3 were found to be not significant</w:t>
      </w:r>
      <w:r w:rsidR="00F85A88">
        <w:rPr>
          <w:rFonts w:ascii="Arial" w:hAnsi="Arial" w:cs="Arial"/>
          <w:sz w:val="20"/>
          <w:szCs w:val="20"/>
        </w:rPr>
        <w:t>,</w:t>
      </w:r>
      <w:r w:rsidRPr="00E60D0B">
        <w:rPr>
          <w:rFonts w:ascii="Arial" w:hAnsi="Arial" w:cs="Arial"/>
          <w:sz w:val="20"/>
          <w:szCs w:val="20"/>
        </w:rPr>
        <w:t xml:space="preserve"> indicating weak or no adjustment towards equilibrium.</w:t>
      </w:r>
    </w:p>
    <w:p w14:paraId="336DAFF4" w14:textId="64AD6D95"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Intercept: Significant at </w:t>
      </w:r>
      <w:r w:rsidR="00F85A88" w:rsidRPr="00020F96">
        <w:rPr>
          <w:rFonts w:ascii="Arial" w:hAnsi="Arial" w:cs="Arial"/>
          <w:sz w:val="20"/>
          <w:szCs w:val="20"/>
          <w:highlight w:val="yellow"/>
        </w:rPr>
        <w:t xml:space="preserve">the </w:t>
      </w:r>
      <w:r w:rsidRPr="00020F96">
        <w:rPr>
          <w:rFonts w:ascii="Arial" w:hAnsi="Arial" w:cs="Arial"/>
          <w:sz w:val="20"/>
          <w:szCs w:val="20"/>
          <w:highlight w:val="yellow"/>
        </w:rPr>
        <w:t>5</w:t>
      </w:r>
      <w:r w:rsidRPr="00E60D0B">
        <w:rPr>
          <w:rFonts w:ascii="Arial" w:hAnsi="Arial" w:cs="Arial"/>
          <w:sz w:val="20"/>
          <w:szCs w:val="20"/>
        </w:rPr>
        <w:t xml:space="preserve"> per cent level, indicating a base effect.</w:t>
      </w:r>
    </w:p>
    <w:p w14:paraId="1203F577"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Byadagi-1: Significant at 0.01 per cent level, suggesting </w:t>
      </w:r>
      <w:proofErr w:type="spellStart"/>
      <w:r w:rsidRPr="00E60D0B">
        <w:rPr>
          <w:rFonts w:ascii="Arial" w:hAnsi="Arial" w:cs="Arial"/>
          <w:sz w:val="20"/>
          <w:szCs w:val="20"/>
        </w:rPr>
        <w:t>Byadagi's</w:t>
      </w:r>
      <w:proofErr w:type="spellEnd"/>
      <w:r w:rsidRPr="00E60D0B">
        <w:rPr>
          <w:rFonts w:ascii="Arial" w:hAnsi="Arial" w:cs="Arial"/>
          <w:sz w:val="20"/>
          <w:szCs w:val="20"/>
        </w:rPr>
        <w:t xml:space="preserve"> market arrivals have an influence on </w:t>
      </w:r>
      <w:proofErr w:type="spellStart"/>
      <w:r w:rsidRPr="00E60D0B">
        <w:rPr>
          <w:rFonts w:ascii="Arial" w:hAnsi="Arial" w:cs="Arial"/>
          <w:sz w:val="20"/>
          <w:szCs w:val="20"/>
        </w:rPr>
        <w:t>Byadagi's</w:t>
      </w:r>
      <w:proofErr w:type="spellEnd"/>
      <w:r w:rsidRPr="00E60D0B">
        <w:rPr>
          <w:rFonts w:ascii="Arial" w:hAnsi="Arial" w:cs="Arial"/>
          <w:sz w:val="20"/>
          <w:szCs w:val="20"/>
        </w:rPr>
        <w:t xml:space="preserve"> arrivals.</w:t>
      </w:r>
    </w:p>
    <w:p w14:paraId="1C2C721F" w14:textId="77777777" w:rsidR="000B3004" w:rsidRDefault="000B3004" w:rsidP="00D30290">
      <w:pPr>
        <w:spacing w:line="360" w:lineRule="auto"/>
        <w:jc w:val="both"/>
        <w:rPr>
          <w:rFonts w:ascii="Arial" w:hAnsi="Arial" w:cs="Arial"/>
          <w:sz w:val="20"/>
          <w:szCs w:val="20"/>
        </w:rPr>
      </w:pPr>
    </w:p>
    <w:p w14:paraId="5B711F25" w14:textId="27BD0E5F" w:rsidR="00E60D0B" w:rsidRPr="00E60D0B" w:rsidRDefault="00F85A88" w:rsidP="00D30290">
      <w:pPr>
        <w:spacing w:line="360" w:lineRule="auto"/>
        <w:jc w:val="both"/>
        <w:rPr>
          <w:rFonts w:ascii="Arial" w:hAnsi="Arial" w:cs="Arial"/>
          <w:sz w:val="20"/>
          <w:szCs w:val="20"/>
        </w:rPr>
      </w:pPr>
      <w:r w:rsidRPr="00020F96">
        <w:rPr>
          <w:rFonts w:ascii="Arial" w:hAnsi="Arial" w:cs="Arial"/>
          <w:sz w:val="20"/>
          <w:szCs w:val="20"/>
          <w:highlight w:val="yellow"/>
        </w:rPr>
        <w:lastRenderedPageBreak/>
        <w:t>Table</w:t>
      </w:r>
      <w:r w:rsidR="00E60D0B" w:rsidRPr="00020F96">
        <w:rPr>
          <w:rFonts w:ascii="Arial" w:hAnsi="Arial" w:cs="Arial"/>
          <w:sz w:val="20"/>
          <w:szCs w:val="20"/>
          <w:highlight w:val="yellow"/>
        </w:rPr>
        <w:t xml:space="preserve"> 7 underscores</w:t>
      </w:r>
      <w:r w:rsidR="00E60D0B" w:rsidRPr="00E60D0B">
        <w:rPr>
          <w:rFonts w:ascii="Arial" w:hAnsi="Arial" w:cs="Arial"/>
          <w:sz w:val="20"/>
          <w:szCs w:val="20"/>
        </w:rPr>
        <w:t xml:space="preserve"> strong long-term dependencies between these locations, with </w:t>
      </w:r>
      <w:proofErr w:type="spellStart"/>
      <w:r w:rsidR="00E60D0B" w:rsidRPr="00E60D0B">
        <w:rPr>
          <w:rFonts w:ascii="Arial" w:hAnsi="Arial" w:cs="Arial"/>
          <w:sz w:val="20"/>
          <w:szCs w:val="20"/>
        </w:rPr>
        <w:t>Hubbli</w:t>
      </w:r>
      <w:proofErr w:type="spellEnd"/>
      <w:r w:rsidR="00E60D0B" w:rsidRPr="00E60D0B">
        <w:rPr>
          <w:rFonts w:ascii="Arial" w:hAnsi="Arial" w:cs="Arial"/>
          <w:sz w:val="20"/>
          <w:szCs w:val="20"/>
        </w:rPr>
        <w:t xml:space="preserve"> and </w:t>
      </w:r>
      <w:proofErr w:type="spellStart"/>
      <w:r w:rsidR="00E60D0B" w:rsidRPr="00E60D0B">
        <w:rPr>
          <w:rFonts w:ascii="Arial" w:hAnsi="Arial" w:cs="Arial"/>
          <w:sz w:val="20"/>
          <w:szCs w:val="20"/>
        </w:rPr>
        <w:t>Byadagi</w:t>
      </w:r>
      <w:proofErr w:type="spellEnd"/>
      <w:r w:rsidR="00E60D0B" w:rsidRPr="00E60D0B">
        <w:rPr>
          <w:rFonts w:ascii="Arial" w:hAnsi="Arial" w:cs="Arial"/>
          <w:sz w:val="20"/>
          <w:szCs w:val="20"/>
        </w:rPr>
        <w:t xml:space="preserve"> emerging as key players in the system's short-term dynamics. These insights can be valuable for forecasting and policy planning across these interconnected regions.</w:t>
      </w:r>
    </w:p>
    <w:p w14:paraId="0AD00220" w14:textId="77777777" w:rsidR="005F602E" w:rsidRDefault="005F602E" w:rsidP="00D30290">
      <w:pPr>
        <w:spacing w:line="360" w:lineRule="auto"/>
        <w:rPr>
          <w:rFonts w:ascii="Arial" w:hAnsi="Arial" w:cs="Arial"/>
          <w:b/>
          <w:bCs/>
          <w:sz w:val="20"/>
          <w:szCs w:val="20"/>
        </w:rPr>
      </w:pPr>
    </w:p>
    <w:p w14:paraId="188F8F69" w14:textId="77777777" w:rsidR="005F602E" w:rsidRDefault="005F602E" w:rsidP="00D30290">
      <w:pPr>
        <w:spacing w:line="360" w:lineRule="auto"/>
        <w:rPr>
          <w:rFonts w:ascii="Arial" w:hAnsi="Arial" w:cs="Arial"/>
          <w:b/>
          <w:bCs/>
          <w:sz w:val="20"/>
          <w:szCs w:val="20"/>
        </w:rPr>
      </w:pPr>
    </w:p>
    <w:p w14:paraId="2038B8A3" w14:textId="68EE49BC" w:rsidR="00E60D0B" w:rsidRPr="00E60D0B" w:rsidRDefault="00E60D0B" w:rsidP="00D30290">
      <w:pPr>
        <w:spacing w:line="360" w:lineRule="auto"/>
        <w:rPr>
          <w:rFonts w:ascii="Arial" w:hAnsi="Arial" w:cs="Arial"/>
          <w:sz w:val="20"/>
          <w:szCs w:val="20"/>
        </w:rPr>
      </w:pPr>
      <w:r w:rsidRPr="00E60D0B">
        <w:rPr>
          <w:rFonts w:ascii="Arial" w:hAnsi="Arial" w:cs="Arial"/>
          <w:b/>
          <w:bCs/>
          <w:sz w:val="20"/>
          <w:szCs w:val="20"/>
        </w:rPr>
        <w:t>Table 7: Vector Error correction model results for lag 3</w:t>
      </w:r>
    </w:p>
    <w:tbl>
      <w:tblPr>
        <w:tblStyle w:val="TableGrid"/>
        <w:tblpPr w:leftFromText="180" w:rightFromText="180" w:vertAnchor="text" w:horzAnchor="margin" w:tblpXSpec="center" w:tblpY="6"/>
        <w:tblW w:w="11489" w:type="dxa"/>
        <w:tblLook w:val="04A0" w:firstRow="1" w:lastRow="0" w:firstColumn="1" w:lastColumn="0" w:noHBand="0" w:noVBand="1"/>
      </w:tblPr>
      <w:tblGrid>
        <w:gridCol w:w="1195"/>
        <w:gridCol w:w="1306"/>
        <w:gridCol w:w="1195"/>
        <w:gridCol w:w="1195"/>
        <w:gridCol w:w="1640"/>
        <w:gridCol w:w="1529"/>
        <w:gridCol w:w="1195"/>
        <w:gridCol w:w="1039"/>
        <w:gridCol w:w="1195"/>
      </w:tblGrid>
      <w:tr w:rsidR="005F602E" w:rsidRPr="00E60D0B" w14:paraId="5078497B" w14:textId="77777777" w:rsidTr="005F602E">
        <w:trPr>
          <w:trHeight w:val="764"/>
        </w:trPr>
        <w:tc>
          <w:tcPr>
            <w:tcW w:w="1195" w:type="dxa"/>
          </w:tcPr>
          <w:p w14:paraId="002C02D1" w14:textId="77777777" w:rsidR="005F602E" w:rsidRPr="00E60D0B" w:rsidRDefault="005F602E" w:rsidP="005F602E">
            <w:pPr>
              <w:spacing w:line="360" w:lineRule="auto"/>
              <w:rPr>
                <w:rFonts w:ascii="Arial" w:hAnsi="Arial" w:cs="Arial"/>
                <w:b/>
                <w:bCs/>
                <w:sz w:val="20"/>
                <w:szCs w:val="20"/>
              </w:rPr>
            </w:pPr>
          </w:p>
        </w:tc>
        <w:tc>
          <w:tcPr>
            <w:tcW w:w="1306" w:type="dxa"/>
          </w:tcPr>
          <w:p w14:paraId="3374A939"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ECT1</w:t>
            </w:r>
          </w:p>
        </w:tc>
        <w:tc>
          <w:tcPr>
            <w:tcW w:w="1195" w:type="dxa"/>
          </w:tcPr>
          <w:p w14:paraId="1D8CCA60"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ECT2</w:t>
            </w:r>
          </w:p>
        </w:tc>
        <w:tc>
          <w:tcPr>
            <w:tcW w:w="1195" w:type="dxa"/>
          </w:tcPr>
          <w:p w14:paraId="3D3C7E7F"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ECT3</w:t>
            </w:r>
          </w:p>
        </w:tc>
        <w:tc>
          <w:tcPr>
            <w:tcW w:w="1640" w:type="dxa"/>
          </w:tcPr>
          <w:p w14:paraId="54CD9BC3"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Intercept</w:t>
            </w:r>
          </w:p>
        </w:tc>
        <w:tc>
          <w:tcPr>
            <w:tcW w:w="1529" w:type="dxa"/>
          </w:tcPr>
          <w:p w14:paraId="6EDD6892"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 xml:space="preserve"> Time -1                  </w:t>
            </w:r>
          </w:p>
        </w:tc>
        <w:tc>
          <w:tcPr>
            <w:tcW w:w="1195" w:type="dxa"/>
          </w:tcPr>
          <w:p w14:paraId="3F0195FC"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 xml:space="preserve">Bangalore -1         </w:t>
            </w:r>
          </w:p>
        </w:tc>
        <w:tc>
          <w:tcPr>
            <w:tcW w:w="1039" w:type="dxa"/>
          </w:tcPr>
          <w:p w14:paraId="3AE3C295"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Hubbli-1</w:t>
            </w:r>
          </w:p>
        </w:tc>
        <w:tc>
          <w:tcPr>
            <w:tcW w:w="1195" w:type="dxa"/>
          </w:tcPr>
          <w:p w14:paraId="4EACA665"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Byadagi-1</w:t>
            </w:r>
          </w:p>
        </w:tc>
      </w:tr>
      <w:tr w:rsidR="005F602E" w:rsidRPr="00E60D0B" w14:paraId="03B33A0B" w14:textId="77777777" w:rsidTr="005F602E">
        <w:trPr>
          <w:trHeight w:val="163"/>
        </w:trPr>
        <w:tc>
          <w:tcPr>
            <w:tcW w:w="1195" w:type="dxa"/>
          </w:tcPr>
          <w:p w14:paraId="31A7D6E4"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b/>
                <w:bCs/>
                <w:sz w:val="20"/>
                <w:szCs w:val="20"/>
              </w:rPr>
              <w:t xml:space="preserve">Bangalore </w:t>
            </w:r>
          </w:p>
        </w:tc>
        <w:tc>
          <w:tcPr>
            <w:tcW w:w="1306" w:type="dxa"/>
          </w:tcPr>
          <w:p w14:paraId="0EEBAF30"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-112.4720</w:t>
            </w:r>
          </w:p>
          <w:p w14:paraId="02AC8D6C"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15.7964)*</w:t>
            </w:r>
            <w:proofErr w:type="gramEnd"/>
            <w:r w:rsidRPr="00E60D0B">
              <w:rPr>
                <w:rFonts w:ascii="Arial" w:hAnsi="Arial" w:cs="Arial"/>
                <w:sz w:val="20"/>
                <w:szCs w:val="20"/>
              </w:rPr>
              <w:t>**</w:t>
            </w:r>
          </w:p>
        </w:tc>
        <w:tc>
          <w:tcPr>
            <w:tcW w:w="1195" w:type="dxa"/>
          </w:tcPr>
          <w:p w14:paraId="30BA1890"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-0.4628</w:t>
            </w:r>
          </w:p>
          <w:p w14:paraId="6E4D2C38"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0.0633)*</w:t>
            </w:r>
            <w:proofErr w:type="gramEnd"/>
            <w:r w:rsidRPr="00E60D0B">
              <w:rPr>
                <w:rFonts w:ascii="Arial" w:hAnsi="Arial" w:cs="Arial"/>
                <w:sz w:val="20"/>
                <w:szCs w:val="20"/>
              </w:rPr>
              <w:t xml:space="preserve">**    </w:t>
            </w:r>
          </w:p>
        </w:tc>
        <w:tc>
          <w:tcPr>
            <w:tcW w:w="1195" w:type="dxa"/>
          </w:tcPr>
          <w:p w14:paraId="21A6645F"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0.0085</w:t>
            </w:r>
          </w:p>
          <w:p w14:paraId="07654617"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(0.0123)</w:t>
            </w:r>
          </w:p>
        </w:tc>
        <w:tc>
          <w:tcPr>
            <w:tcW w:w="1640" w:type="dxa"/>
          </w:tcPr>
          <w:p w14:paraId="533E8EF6"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227555.5490</w:t>
            </w:r>
          </w:p>
          <w:p w14:paraId="21FF4C76"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31939.4821)*</w:t>
            </w:r>
            <w:proofErr w:type="gramEnd"/>
            <w:r w:rsidRPr="00E60D0B">
              <w:rPr>
                <w:rFonts w:ascii="Arial" w:hAnsi="Arial" w:cs="Arial"/>
                <w:sz w:val="20"/>
                <w:szCs w:val="20"/>
              </w:rPr>
              <w:t xml:space="preserve">**    </w:t>
            </w:r>
          </w:p>
        </w:tc>
        <w:tc>
          <w:tcPr>
            <w:tcW w:w="1529" w:type="dxa"/>
          </w:tcPr>
          <w:p w14:paraId="5A24FD38"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265.6113</w:t>
            </w:r>
          </w:p>
          <w:p w14:paraId="58132994"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(317.2357)</w:t>
            </w:r>
          </w:p>
        </w:tc>
        <w:tc>
          <w:tcPr>
            <w:tcW w:w="1195" w:type="dxa"/>
          </w:tcPr>
          <w:p w14:paraId="722F039B"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-0.1866</w:t>
            </w:r>
          </w:p>
          <w:p w14:paraId="10AA4048"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0.0599)*</w:t>
            </w:r>
            <w:proofErr w:type="gramEnd"/>
            <w:r w:rsidRPr="00E60D0B">
              <w:rPr>
                <w:rFonts w:ascii="Arial" w:hAnsi="Arial" w:cs="Arial"/>
                <w:sz w:val="20"/>
                <w:szCs w:val="20"/>
              </w:rPr>
              <w:t xml:space="preserve">*    </w:t>
            </w:r>
          </w:p>
        </w:tc>
        <w:tc>
          <w:tcPr>
            <w:tcW w:w="1039" w:type="dxa"/>
          </w:tcPr>
          <w:p w14:paraId="6E70BE14"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-0.0060</w:t>
            </w:r>
          </w:p>
          <w:p w14:paraId="763900BF"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(0.0125)</w:t>
            </w:r>
          </w:p>
        </w:tc>
        <w:tc>
          <w:tcPr>
            <w:tcW w:w="1195" w:type="dxa"/>
          </w:tcPr>
          <w:p w14:paraId="03DE866B"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0.0017</w:t>
            </w:r>
          </w:p>
          <w:p w14:paraId="0AD7610F"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(0.0031)</w:t>
            </w:r>
          </w:p>
        </w:tc>
      </w:tr>
      <w:tr w:rsidR="005F602E" w:rsidRPr="00E60D0B" w14:paraId="0E5AAB40" w14:textId="77777777" w:rsidTr="005F602E">
        <w:trPr>
          <w:trHeight w:val="251"/>
        </w:trPr>
        <w:tc>
          <w:tcPr>
            <w:tcW w:w="1195" w:type="dxa"/>
          </w:tcPr>
          <w:p w14:paraId="0DC67750" w14:textId="77777777" w:rsidR="005F602E" w:rsidRPr="00E60D0B" w:rsidRDefault="005F602E" w:rsidP="005F602E">
            <w:pPr>
              <w:spacing w:line="360" w:lineRule="auto"/>
              <w:rPr>
                <w:rFonts w:ascii="Arial" w:hAnsi="Arial" w:cs="Arial"/>
                <w:b/>
                <w:bCs/>
                <w:sz w:val="20"/>
                <w:szCs w:val="20"/>
              </w:rPr>
            </w:pP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w:t>
            </w:r>
          </w:p>
        </w:tc>
        <w:tc>
          <w:tcPr>
            <w:tcW w:w="1306" w:type="dxa"/>
          </w:tcPr>
          <w:p w14:paraId="11DBFE33"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173.5331</w:t>
            </w:r>
          </w:p>
          <w:p w14:paraId="3FB39E9A"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(99.1490).</w:t>
            </w:r>
          </w:p>
        </w:tc>
        <w:tc>
          <w:tcPr>
            <w:tcW w:w="1195" w:type="dxa"/>
          </w:tcPr>
          <w:p w14:paraId="68D85D00"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-0.3714</w:t>
            </w:r>
          </w:p>
          <w:p w14:paraId="4F74A7C9"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 xml:space="preserve">(0.3971)       </w:t>
            </w:r>
          </w:p>
        </w:tc>
        <w:tc>
          <w:tcPr>
            <w:tcW w:w="1195" w:type="dxa"/>
          </w:tcPr>
          <w:p w14:paraId="49559B3E"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-0.4941</w:t>
            </w:r>
          </w:p>
          <w:p w14:paraId="74316F77"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0.0771)*</w:t>
            </w:r>
            <w:proofErr w:type="gramEnd"/>
            <w:r w:rsidRPr="00E60D0B">
              <w:rPr>
                <w:rFonts w:ascii="Arial" w:hAnsi="Arial" w:cs="Arial"/>
                <w:sz w:val="20"/>
                <w:szCs w:val="20"/>
              </w:rPr>
              <w:t>**</w:t>
            </w:r>
          </w:p>
        </w:tc>
        <w:tc>
          <w:tcPr>
            <w:tcW w:w="1640" w:type="dxa"/>
          </w:tcPr>
          <w:p w14:paraId="278E0F2F"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-345286.1832</w:t>
            </w:r>
          </w:p>
          <w:p w14:paraId="0FE947BB"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 xml:space="preserve">(200474.4761).    </w:t>
            </w:r>
          </w:p>
        </w:tc>
        <w:tc>
          <w:tcPr>
            <w:tcW w:w="1529" w:type="dxa"/>
          </w:tcPr>
          <w:p w14:paraId="0371999E"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3287.5410</w:t>
            </w:r>
          </w:p>
          <w:p w14:paraId="381EFD38"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(1991.1924).</w:t>
            </w:r>
          </w:p>
        </w:tc>
        <w:tc>
          <w:tcPr>
            <w:tcW w:w="1195" w:type="dxa"/>
          </w:tcPr>
          <w:p w14:paraId="17E51760"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0.1594</w:t>
            </w:r>
          </w:p>
          <w:p w14:paraId="4ABE8309"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 xml:space="preserve">(0.3760)       </w:t>
            </w:r>
          </w:p>
        </w:tc>
        <w:tc>
          <w:tcPr>
            <w:tcW w:w="1039" w:type="dxa"/>
          </w:tcPr>
          <w:p w14:paraId="09B5BCDA"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0.1577</w:t>
            </w:r>
          </w:p>
          <w:p w14:paraId="1C1A9CBD"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0.0785)*</w:t>
            </w:r>
            <w:proofErr w:type="gramEnd"/>
          </w:p>
        </w:tc>
        <w:tc>
          <w:tcPr>
            <w:tcW w:w="1195" w:type="dxa"/>
          </w:tcPr>
          <w:p w14:paraId="43FBB236"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0.0862</w:t>
            </w:r>
          </w:p>
          <w:p w14:paraId="29F09A42"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0.0194)*</w:t>
            </w:r>
            <w:proofErr w:type="gramEnd"/>
            <w:r w:rsidRPr="00E60D0B">
              <w:rPr>
                <w:rFonts w:ascii="Arial" w:hAnsi="Arial" w:cs="Arial"/>
                <w:sz w:val="20"/>
                <w:szCs w:val="20"/>
              </w:rPr>
              <w:t xml:space="preserve">**   </w:t>
            </w:r>
          </w:p>
        </w:tc>
      </w:tr>
      <w:tr w:rsidR="005F602E" w:rsidRPr="00E60D0B" w14:paraId="5A0FBA4A" w14:textId="77777777" w:rsidTr="005F602E">
        <w:trPr>
          <w:trHeight w:val="251"/>
        </w:trPr>
        <w:tc>
          <w:tcPr>
            <w:tcW w:w="1195" w:type="dxa"/>
          </w:tcPr>
          <w:p w14:paraId="47685E7D" w14:textId="77777777" w:rsidR="005F602E" w:rsidRPr="00E60D0B" w:rsidRDefault="005F602E" w:rsidP="005F602E">
            <w:pPr>
              <w:spacing w:line="360" w:lineRule="auto"/>
              <w:rPr>
                <w:rFonts w:ascii="Arial" w:hAnsi="Arial" w:cs="Arial"/>
                <w:b/>
                <w:bCs/>
                <w:sz w:val="20"/>
                <w:szCs w:val="20"/>
              </w:rPr>
            </w:pPr>
            <w:proofErr w:type="spellStart"/>
            <w:r w:rsidRPr="00E60D0B">
              <w:rPr>
                <w:rFonts w:ascii="Arial" w:hAnsi="Arial" w:cs="Arial"/>
                <w:b/>
                <w:bCs/>
                <w:sz w:val="20"/>
                <w:szCs w:val="20"/>
              </w:rPr>
              <w:t>Byadagi</w:t>
            </w:r>
            <w:proofErr w:type="spellEnd"/>
            <w:r w:rsidRPr="00E60D0B">
              <w:rPr>
                <w:rFonts w:ascii="Arial" w:hAnsi="Arial" w:cs="Arial"/>
                <w:b/>
                <w:bCs/>
                <w:sz w:val="20"/>
                <w:szCs w:val="20"/>
              </w:rPr>
              <w:t xml:space="preserve"> </w:t>
            </w:r>
          </w:p>
        </w:tc>
        <w:tc>
          <w:tcPr>
            <w:tcW w:w="1306" w:type="dxa"/>
          </w:tcPr>
          <w:p w14:paraId="09FDA9A5"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883.9187</w:t>
            </w:r>
          </w:p>
          <w:p w14:paraId="6361D650"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375.9469)*</w:t>
            </w:r>
            <w:proofErr w:type="gramEnd"/>
            <w:r w:rsidRPr="00E60D0B">
              <w:rPr>
                <w:rFonts w:ascii="Arial" w:hAnsi="Arial" w:cs="Arial"/>
                <w:sz w:val="20"/>
                <w:szCs w:val="20"/>
              </w:rPr>
              <w:t xml:space="preserve">   </w:t>
            </w:r>
          </w:p>
        </w:tc>
        <w:tc>
          <w:tcPr>
            <w:tcW w:w="1195" w:type="dxa"/>
          </w:tcPr>
          <w:p w14:paraId="3B679DD2"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-0.7934</w:t>
            </w:r>
          </w:p>
          <w:p w14:paraId="111E4434"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(1.5058)</w:t>
            </w:r>
          </w:p>
        </w:tc>
        <w:tc>
          <w:tcPr>
            <w:tcW w:w="1195" w:type="dxa"/>
          </w:tcPr>
          <w:p w14:paraId="512B3A3C"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0.0610</w:t>
            </w:r>
          </w:p>
          <w:p w14:paraId="0265E43F"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(0.2922)</w:t>
            </w:r>
          </w:p>
        </w:tc>
        <w:tc>
          <w:tcPr>
            <w:tcW w:w="1640" w:type="dxa"/>
          </w:tcPr>
          <w:p w14:paraId="19F1ED33"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-1761023.8252</w:t>
            </w:r>
          </w:p>
          <w:p w14:paraId="71258CBA"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760146.7223)*</w:t>
            </w:r>
            <w:proofErr w:type="gramEnd"/>
            <w:r w:rsidRPr="00E60D0B">
              <w:rPr>
                <w:rFonts w:ascii="Arial" w:hAnsi="Arial" w:cs="Arial"/>
                <w:sz w:val="20"/>
                <w:szCs w:val="20"/>
              </w:rPr>
              <w:t xml:space="preserve">   </w:t>
            </w:r>
          </w:p>
        </w:tc>
        <w:tc>
          <w:tcPr>
            <w:tcW w:w="1529" w:type="dxa"/>
          </w:tcPr>
          <w:p w14:paraId="4894AC30"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32164.8846</w:t>
            </w:r>
          </w:p>
          <w:p w14:paraId="0A9E8794"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7550.0801)*</w:t>
            </w:r>
            <w:proofErr w:type="gramEnd"/>
            <w:r w:rsidRPr="00E60D0B">
              <w:rPr>
                <w:rFonts w:ascii="Arial" w:hAnsi="Arial" w:cs="Arial"/>
                <w:sz w:val="20"/>
                <w:szCs w:val="20"/>
              </w:rPr>
              <w:t>**</w:t>
            </w:r>
          </w:p>
        </w:tc>
        <w:tc>
          <w:tcPr>
            <w:tcW w:w="1195" w:type="dxa"/>
          </w:tcPr>
          <w:p w14:paraId="7EC3FFF2"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1.0630</w:t>
            </w:r>
          </w:p>
          <w:p w14:paraId="403ED62F"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(1.4256)</w:t>
            </w:r>
          </w:p>
        </w:tc>
        <w:tc>
          <w:tcPr>
            <w:tcW w:w="1039" w:type="dxa"/>
          </w:tcPr>
          <w:p w14:paraId="45AB98DF"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0.4267</w:t>
            </w:r>
          </w:p>
          <w:p w14:paraId="63148E02"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(0.2975)</w:t>
            </w:r>
          </w:p>
        </w:tc>
        <w:tc>
          <w:tcPr>
            <w:tcW w:w="1195" w:type="dxa"/>
          </w:tcPr>
          <w:p w14:paraId="2698CB41" w14:textId="77777777" w:rsidR="005F602E" w:rsidRPr="00E60D0B" w:rsidRDefault="005F602E" w:rsidP="005F602E">
            <w:pPr>
              <w:spacing w:line="360" w:lineRule="auto"/>
              <w:rPr>
                <w:rFonts w:ascii="Arial" w:hAnsi="Arial" w:cs="Arial"/>
                <w:sz w:val="20"/>
                <w:szCs w:val="20"/>
              </w:rPr>
            </w:pPr>
            <w:r w:rsidRPr="00E60D0B">
              <w:rPr>
                <w:rFonts w:ascii="Arial" w:hAnsi="Arial" w:cs="Arial"/>
                <w:sz w:val="20"/>
                <w:szCs w:val="20"/>
              </w:rPr>
              <w:t>0.3800</w:t>
            </w:r>
          </w:p>
          <w:p w14:paraId="4EBA3F00" w14:textId="77777777" w:rsidR="005F602E" w:rsidRPr="00E60D0B" w:rsidRDefault="005F602E" w:rsidP="005F602E">
            <w:pPr>
              <w:spacing w:line="360" w:lineRule="auto"/>
              <w:rPr>
                <w:rFonts w:ascii="Arial" w:hAnsi="Arial" w:cs="Arial"/>
                <w:b/>
                <w:bCs/>
                <w:sz w:val="20"/>
                <w:szCs w:val="20"/>
              </w:rPr>
            </w:pPr>
            <w:r w:rsidRPr="00E60D0B">
              <w:rPr>
                <w:rFonts w:ascii="Arial" w:hAnsi="Arial" w:cs="Arial"/>
                <w:sz w:val="20"/>
                <w:szCs w:val="20"/>
              </w:rPr>
              <w:t>(</w:t>
            </w:r>
            <w:proofErr w:type="gramStart"/>
            <w:r w:rsidRPr="00E60D0B">
              <w:rPr>
                <w:rFonts w:ascii="Arial" w:hAnsi="Arial" w:cs="Arial"/>
                <w:sz w:val="20"/>
                <w:szCs w:val="20"/>
              </w:rPr>
              <w:t>0.0734)*</w:t>
            </w:r>
            <w:proofErr w:type="gramEnd"/>
            <w:r w:rsidRPr="00E60D0B">
              <w:rPr>
                <w:rFonts w:ascii="Arial" w:hAnsi="Arial" w:cs="Arial"/>
                <w:sz w:val="20"/>
                <w:szCs w:val="20"/>
              </w:rPr>
              <w:t>**</w:t>
            </w:r>
          </w:p>
        </w:tc>
      </w:tr>
    </w:tbl>
    <w:p w14:paraId="0A5720C5" w14:textId="57BCA3FD" w:rsidR="00E60D0B" w:rsidRPr="00E60D0B" w:rsidRDefault="005F602E" w:rsidP="00D30290">
      <w:pPr>
        <w:spacing w:line="360" w:lineRule="auto"/>
        <w:rPr>
          <w:rFonts w:ascii="Arial" w:hAnsi="Arial" w:cs="Arial"/>
          <w:sz w:val="20"/>
          <w:szCs w:val="20"/>
        </w:rPr>
      </w:pPr>
      <w:r>
        <w:rPr>
          <w:rFonts w:ascii="Arial" w:hAnsi="Arial" w:cs="Arial"/>
          <w:sz w:val="20"/>
          <w:szCs w:val="20"/>
        </w:rPr>
        <w:t>S</w:t>
      </w:r>
      <w:r w:rsidR="00E60D0B" w:rsidRPr="00E60D0B">
        <w:rPr>
          <w:rFonts w:ascii="Arial" w:hAnsi="Arial" w:cs="Arial"/>
          <w:sz w:val="20"/>
          <w:szCs w:val="20"/>
        </w:rPr>
        <w:t>ignificance codes:  0 ‘***’ 0.001 ‘**’ 0.01 ‘*’ 0.05 ‘.’ 0.1</w:t>
      </w:r>
    </w:p>
    <w:p w14:paraId="4B90DC9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ECT = Error Correction Term</w:t>
      </w:r>
    </w:p>
    <w:p w14:paraId="0F6A6698" w14:textId="1ADD1F64" w:rsidR="00E60D0B" w:rsidRDefault="00E60D0B" w:rsidP="00D30290">
      <w:pPr>
        <w:spacing w:line="360" w:lineRule="auto"/>
        <w:jc w:val="both"/>
        <w:rPr>
          <w:rFonts w:ascii="Arial" w:hAnsi="Arial" w:cs="Arial"/>
          <w:sz w:val="20"/>
          <w:szCs w:val="20"/>
        </w:rPr>
      </w:pPr>
      <w:r w:rsidRPr="00E60D0B">
        <w:rPr>
          <w:rFonts w:ascii="Arial" w:hAnsi="Arial" w:cs="Arial"/>
          <w:sz w:val="20"/>
          <w:szCs w:val="20"/>
        </w:rPr>
        <w:t xml:space="preserve">The results of Granger </w:t>
      </w:r>
      <w:r w:rsidR="00274FB6">
        <w:rPr>
          <w:rFonts w:ascii="Arial" w:hAnsi="Arial" w:cs="Arial"/>
          <w:sz w:val="20"/>
          <w:szCs w:val="20"/>
        </w:rPr>
        <w:t xml:space="preserve">Causality </w:t>
      </w:r>
      <w:r w:rsidR="00274FB6" w:rsidRPr="00E60D0B">
        <w:rPr>
          <w:rFonts w:ascii="Arial" w:hAnsi="Arial" w:cs="Arial"/>
          <w:sz w:val="20"/>
          <w:szCs w:val="20"/>
        </w:rPr>
        <w:t>test</w:t>
      </w:r>
      <w:r w:rsidRPr="00E60D0B">
        <w:rPr>
          <w:rFonts w:ascii="Arial" w:hAnsi="Arial" w:cs="Arial"/>
          <w:sz w:val="20"/>
          <w:szCs w:val="20"/>
        </w:rPr>
        <w:t xml:space="preserve"> were tabulated in Table 8, which shows there was bidirectional effect of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markets means market arrivals of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granger causes on market arrivals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Similarly, there was a bidirectional effect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and Bangalore market arrivals meaning that arrivals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and Bangalore markets were related. Whereas, there is no granger cause between Bangalore and </w:t>
      </w:r>
      <w:proofErr w:type="spellStart"/>
      <w:r w:rsidR="00F85A88" w:rsidRPr="00020F96">
        <w:rPr>
          <w:rFonts w:ascii="Arial" w:hAnsi="Arial" w:cs="Arial"/>
          <w:sz w:val="20"/>
          <w:szCs w:val="20"/>
          <w:highlight w:val="yellow"/>
        </w:rPr>
        <w:t>Hubbli</w:t>
      </w:r>
      <w:proofErr w:type="spellEnd"/>
      <w:r w:rsidR="00F85A88" w:rsidRPr="00E60D0B">
        <w:rPr>
          <w:rFonts w:ascii="Arial" w:hAnsi="Arial" w:cs="Arial"/>
          <w:sz w:val="20"/>
          <w:szCs w:val="20"/>
        </w:rPr>
        <w:t xml:space="preserve"> </w:t>
      </w:r>
      <w:r w:rsidRPr="00E60D0B">
        <w:rPr>
          <w:rFonts w:ascii="Arial" w:hAnsi="Arial" w:cs="Arial"/>
          <w:sz w:val="20"/>
          <w:szCs w:val="20"/>
        </w:rPr>
        <w:t>markets</w:t>
      </w:r>
      <w:r w:rsidR="008C5B26">
        <w:rPr>
          <w:rFonts w:ascii="Arial" w:hAnsi="Arial" w:cs="Arial"/>
          <w:sz w:val="20"/>
          <w:szCs w:val="20"/>
        </w:rPr>
        <w:t>.</w:t>
      </w:r>
    </w:p>
    <w:p w14:paraId="7CA5CA57" w14:textId="3872027C"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 xml:space="preserve">Table 8: Granger </w:t>
      </w:r>
      <w:r w:rsidR="00274FB6">
        <w:rPr>
          <w:rFonts w:ascii="Arial" w:hAnsi="Arial" w:cs="Arial"/>
          <w:b/>
          <w:bCs/>
          <w:sz w:val="20"/>
          <w:szCs w:val="20"/>
        </w:rPr>
        <w:t xml:space="preserve">Causality </w:t>
      </w:r>
      <w:r w:rsidR="00274FB6" w:rsidRPr="00E60D0B">
        <w:rPr>
          <w:rFonts w:ascii="Arial" w:hAnsi="Arial" w:cs="Arial"/>
          <w:b/>
          <w:bCs/>
          <w:sz w:val="20"/>
          <w:szCs w:val="20"/>
        </w:rPr>
        <w:t>test</w:t>
      </w:r>
      <w:r w:rsidRPr="00E60D0B">
        <w:rPr>
          <w:rFonts w:ascii="Arial" w:hAnsi="Arial" w:cs="Arial"/>
          <w:b/>
          <w:bCs/>
          <w:sz w:val="20"/>
          <w:szCs w:val="20"/>
        </w:rPr>
        <w:t xml:space="preserve"> for arrivals</w:t>
      </w:r>
    </w:p>
    <w:tbl>
      <w:tblPr>
        <w:tblStyle w:val="TableGrid"/>
        <w:tblW w:w="5343" w:type="pct"/>
        <w:tblLook w:val="04A0" w:firstRow="1" w:lastRow="0" w:firstColumn="1" w:lastColumn="0" w:noHBand="0" w:noVBand="1"/>
      </w:tblPr>
      <w:tblGrid>
        <w:gridCol w:w="4062"/>
        <w:gridCol w:w="1310"/>
        <w:gridCol w:w="1598"/>
        <w:gridCol w:w="1434"/>
        <w:gridCol w:w="1472"/>
      </w:tblGrid>
      <w:tr w:rsidR="00E60D0B" w:rsidRPr="00E60D0B" w14:paraId="1122F312" w14:textId="77777777" w:rsidTr="008C5B26">
        <w:tc>
          <w:tcPr>
            <w:tcW w:w="2057" w:type="pct"/>
          </w:tcPr>
          <w:p w14:paraId="4D1C20BC"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Null hypothesis</w:t>
            </w:r>
          </w:p>
        </w:tc>
        <w:tc>
          <w:tcPr>
            <w:tcW w:w="663" w:type="pct"/>
          </w:tcPr>
          <w:p w14:paraId="4B20BB6A"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F statistics</w:t>
            </w:r>
          </w:p>
        </w:tc>
        <w:tc>
          <w:tcPr>
            <w:tcW w:w="809" w:type="pct"/>
          </w:tcPr>
          <w:p w14:paraId="41C2B9A9"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Probability</w:t>
            </w:r>
          </w:p>
        </w:tc>
        <w:tc>
          <w:tcPr>
            <w:tcW w:w="726" w:type="pct"/>
          </w:tcPr>
          <w:p w14:paraId="66594E4D"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H</w:t>
            </w:r>
            <w:r w:rsidRPr="00E60D0B">
              <w:rPr>
                <w:rFonts w:ascii="Arial" w:hAnsi="Arial" w:cs="Arial"/>
                <w:b/>
                <w:bCs/>
                <w:sz w:val="20"/>
                <w:szCs w:val="20"/>
                <w:vertAlign w:val="subscript"/>
              </w:rPr>
              <w:t xml:space="preserve">0 </w:t>
            </w:r>
            <w:r w:rsidRPr="00E60D0B">
              <w:rPr>
                <w:rFonts w:ascii="Arial" w:hAnsi="Arial" w:cs="Arial"/>
                <w:b/>
                <w:bCs/>
                <w:sz w:val="20"/>
                <w:szCs w:val="20"/>
              </w:rPr>
              <w:t xml:space="preserve">Rejection </w:t>
            </w:r>
          </w:p>
        </w:tc>
        <w:tc>
          <w:tcPr>
            <w:tcW w:w="745" w:type="pct"/>
          </w:tcPr>
          <w:p w14:paraId="0B1DCBDF"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Direction</w:t>
            </w:r>
          </w:p>
        </w:tc>
      </w:tr>
      <w:tr w:rsidR="00E60D0B" w:rsidRPr="00E60D0B" w14:paraId="39487584" w14:textId="77777777" w:rsidTr="008C5B26">
        <w:tc>
          <w:tcPr>
            <w:tcW w:w="2057" w:type="pct"/>
          </w:tcPr>
          <w:p w14:paraId="04D3B0D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Hubbli</w:t>
            </w:r>
            <w:proofErr w:type="spellEnd"/>
          </w:p>
        </w:tc>
        <w:tc>
          <w:tcPr>
            <w:tcW w:w="663" w:type="pct"/>
          </w:tcPr>
          <w:p w14:paraId="4833DD8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0.5695 </w:t>
            </w:r>
          </w:p>
          <w:p w14:paraId="08C67171" w14:textId="77777777" w:rsidR="00E60D0B" w:rsidRPr="00E60D0B" w:rsidRDefault="00E60D0B" w:rsidP="00D30290">
            <w:pPr>
              <w:spacing w:line="360" w:lineRule="auto"/>
              <w:rPr>
                <w:rFonts w:ascii="Arial" w:hAnsi="Arial" w:cs="Arial"/>
                <w:sz w:val="20"/>
                <w:szCs w:val="20"/>
              </w:rPr>
            </w:pPr>
          </w:p>
        </w:tc>
        <w:tc>
          <w:tcPr>
            <w:tcW w:w="809" w:type="pct"/>
          </w:tcPr>
          <w:p w14:paraId="3FFAB70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0.5665</w:t>
            </w:r>
          </w:p>
        </w:tc>
        <w:tc>
          <w:tcPr>
            <w:tcW w:w="726" w:type="pct"/>
          </w:tcPr>
          <w:p w14:paraId="104C12C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NO</w:t>
            </w:r>
          </w:p>
        </w:tc>
        <w:tc>
          <w:tcPr>
            <w:tcW w:w="745" w:type="pct"/>
            <w:vMerge w:val="restart"/>
          </w:tcPr>
          <w:p w14:paraId="517965EF"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Unidirectional</w:t>
            </w:r>
          </w:p>
        </w:tc>
      </w:tr>
      <w:tr w:rsidR="00E60D0B" w:rsidRPr="00E60D0B" w14:paraId="4B2F8A97" w14:textId="77777777" w:rsidTr="008C5B26">
        <w:tc>
          <w:tcPr>
            <w:tcW w:w="2057" w:type="pct"/>
          </w:tcPr>
          <w:p w14:paraId="2BD10DD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Byadagi</w:t>
            </w:r>
            <w:proofErr w:type="spellEnd"/>
          </w:p>
        </w:tc>
        <w:tc>
          <w:tcPr>
            <w:tcW w:w="663" w:type="pct"/>
          </w:tcPr>
          <w:p w14:paraId="0E0BBBA2"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0.7835 </w:t>
            </w:r>
          </w:p>
          <w:p w14:paraId="7329EBDF" w14:textId="77777777" w:rsidR="00E60D0B" w:rsidRPr="00E60D0B" w:rsidRDefault="00E60D0B" w:rsidP="00D30290">
            <w:pPr>
              <w:spacing w:line="360" w:lineRule="auto"/>
              <w:rPr>
                <w:rFonts w:ascii="Arial" w:hAnsi="Arial" w:cs="Arial"/>
                <w:sz w:val="20"/>
                <w:szCs w:val="20"/>
              </w:rPr>
            </w:pPr>
          </w:p>
        </w:tc>
        <w:tc>
          <w:tcPr>
            <w:tcW w:w="809" w:type="pct"/>
          </w:tcPr>
          <w:p w14:paraId="2A4AC8CB"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0.4579</w:t>
            </w:r>
          </w:p>
          <w:p w14:paraId="1205D41D" w14:textId="77777777" w:rsidR="00E60D0B" w:rsidRPr="00E60D0B" w:rsidRDefault="00E60D0B" w:rsidP="00D30290">
            <w:pPr>
              <w:spacing w:line="360" w:lineRule="auto"/>
              <w:rPr>
                <w:rFonts w:ascii="Arial" w:hAnsi="Arial" w:cs="Arial"/>
                <w:sz w:val="20"/>
                <w:szCs w:val="20"/>
              </w:rPr>
            </w:pPr>
          </w:p>
        </w:tc>
        <w:tc>
          <w:tcPr>
            <w:tcW w:w="726" w:type="pct"/>
          </w:tcPr>
          <w:p w14:paraId="04A7112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NO</w:t>
            </w:r>
          </w:p>
        </w:tc>
        <w:tc>
          <w:tcPr>
            <w:tcW w:w="745" w:type="pct"/>
            <w:vMerge/>
          </w:tcPr>
          <w:p w14:paraId="184932D3" w14:textId="77777777" w:rsidR="00E60D0B" w:rsidRPr="00E60D0B" w:rsidRDefault="00E60D0B" w:rsidP="00D30290">
            <w:pPr>
              <w:spacing w:line="360" w:lineRule="auto"/>
              <w:rPr>
                <w:rFonts w:ascii="Arial" w:hAnsi="Arial" w:cs="Arial"/>
                <w:sz w:val="20"/>
                <w:szCs w:val="20"/>
              </w:rPr>
            </w:pPr>
          </w:p>
        </w:tc>
      </w:tr>
      <w:tr w:rsidR="00E60D0B" w:rsidRPr="00E60D0B" w14:paraId="32B375AF" w14:textId="77777777" w:rsidTr="008C5B26">
        <w:tc>
          <w:tcPr>
            <w:tcW w:w="2057" w:type="pct"/>
          </w:tcPr>
          <w:p w14:paraId="79E496B2" w14:textId="300A00BE"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Hubblli</w:t>
            </w:r>
            <w:proofErr w:type="spellEnd"/>
            <w:r w:rsidRPr="00E60D0B">
              <w:rPr>
                <w:rFonts w:ascii="Arial" w:hAnsi="Arial" w:cs="Arial"/>
                <w:sz w:val="20"/>
                <w:szCs w:val="20"/>
              </w:rPr>
              <w:t xml:space="preserve"> does not </w:t>
            </w:r>
            <w:r w:rsidR="00F85A88" w:rsidRPr="00020F96">
              <w:rPr>
                <w:rFonts w:ascii="Arial" w:hAnsi="Arial" w:cs="Arial"/>
                <w:sz w:val="20"/>
                <w:szCs w:val="20"/>
                <w:highlight w:val="yellow"/>
              </w:rPr>
              <w:t>Granger</w:t>
            </w:r>
            <w:r w:rsidR="00F85A88">
              <w:rPr>
                <w:rFonts w:ascii="Arial" w:hAnsi="Arial" w:cs="Arial"/>
                <w:sz w:val="20"/>
                <w:szCs w:val="20"/>
              </w:rPr>
              <w:t>-cause</w:t>
            </w:r>
            <w:r w:rsidRPr="00E60D0B">
              <w:rPr>
                <w:rFonts w:ascii="Arial" w:hAnsi="Arial" w:cs="Arial"/>
                <w:sz w:val="20"/>
                <w:szCs w:val="20"/>
              </w:rPr>
              <w:t xml:space="preserve"> </w:t>
            </w:r>
            <w:proofErr w:type="spellStart"/>
            <w:r w:rsidRPr="00E60D0B">
              <w:rPr>
                <w:rFonts w:ascii="Arial" w:hAnsi="Arial" w:cs="Arial"/>
                <w:sz w:val="20"/>
                <w:szCs w:val="20"/>
              </w:rPr>
              <w:t>Byadagi</w:t>
            </w:r>
            <w:proofErr w:type="spellEnd"/>
          </w:p>
        </w:tc>
        <w:tc>
          <w:tcPr>
            <w:tcW w:w="663" w:type="pct"/>
          </w:tcPr>
          <w:p w14:paraId="517634A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16.626 </w:t>
            </w:r>
          </w:p>
        </w:tc>
        <w:tc>
          <w:tcPr>
            <w:tcW w:w="809" w:type="pct"/>
          </w:tcPr>
          <w:p w14:paraId="3ECFE78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1.556e-07 ***</w:t>
            </w:r>
          </w:p>
        </w:tc>
        <w:tc>
          <w:tcPr>
            <w:tcW w:w="726" w:type="pct"/>
          </w:tcPr>
          <w:p w14:paraId="48F20A9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val="restart"/>
          </w:tcPr>
          <w:p w14:paraId="088D604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Bidirectional</w:t>
            </w:r>
          </w:p>
        </w:tc>
      </w:tr>
      <w:tr w:rsidR="00E60D0B" w:rsidRPr="00E60D0B" w14:paraId="3E33AE03" w14:textId="77777777" w:rsidTr="008C5B26">
        <w:tc>
          <w:tcPr>
            <w:tcW w:w="2057" w:type="pct"/>
          </w:tcPr>
          <w:p w14:paraId="29B69803" w14:textId="0ACB4275"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 xml:space="preserve"> does not </w:t>
            </w:r>
            <w:r w:rsidR="00F85A88">
              <w:rPr>
                <w:rFonts w:ascii="Arial" w:hAnsi="Arial" w:cs="Arial"/>
                <w:sz w:val="20"/>
                <w:szCs w:val="20"/>
              </w:rPr>
              <w:t>Granger-cause</w:t>
            </w:r>
            <w:r w:rsidRPr="00E60D0B">
              <w:rPr>
                <w:rFonts w:ascii="Arial" w:hAnsi="Arial" w:cs="Arial"/>
                <w:sz w:val="20"/>
                <w:szCs w:val="20"/>
              </w:rPr>
              <w:t xml:space="preserve"> Bangalore</w:t>
            </w:r>
          </w:p>
        </w:tc>
        <w:tc>
          <w:tcPr>
            <w:tcW w:w="663" w:type="pct"/>
          </w:tcPr>
          <w:p w14:paraId="5CF271F8"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4.2047 </w:t>
            </w:r>
          </w:p>
          <w:p w14:paraId="5C0B30DA" w14:textId="77777777" w:rsidR="00E60D0B" w:rsidRPr="00E60D0B" w:rsidRDefault="00E60D0B" w:rsidP="00D30290">
            <w:pPr>
              <w:spacing w:line="360" w:lineRule="auto"/>
              <w:rPr>
                <w:rFonts w:ascii="Arial" w:hAnsi="Arial" w:cs="Arial"/>
                <w:sz w:val="20"/>
                <w:szCs w:val="20"/>
              </w:rPr>
            </w:pPr>
          </w:p>
        </w:tc>
        <w:tc>
          <w:tcPr>
            <w:tcW w:w="809" w:type="pct"/>
          </w:tcPr>
          <w:p w14:paraId="345DFB6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0.01592 *</w:t>
            </w:r>
          </w:p>
        </w:tc>
        <w:tc>
          <w:tcPr>
            <w:tcW w:w="726" w:type="pct"/>
          </w:tcPr>
          <w:p w14:paraId="148280F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tcPr>
          <w:p w14:paraId="6D99BEA5" w14:textId="77777777" w:rsidR="00E60D0B" w:rsidRPr="00E60D0B" w:rsidRDefault="00E60D0B" w:rsidP="00D30290">
            <w:pPr>
              <w:spacing w:line="360" w:lineRule="auto"/>
              <w:rPr>
                <w:rFonts w:ascii="Arial" w:hAnsi="Arial" w:cs="Arial"/>
                <w:sz w:val="20"/>
                <w:szCs w:val="20"/>
              </w:rPr>
            </w:pPr>
          </w:p>
        </w:tc>
      </w:tr>
      <w:tr w:rsidR="00E60D0B" w:rsidRPr="00E60D0B" w14:paraId="723DA434" w14:textId="77777777" w:rsidTr="008C5B26">
        <w:tc>
          <w:tcPr>
            <w:tcW w:w="2057" w:type="pct"/>
          </w:tcPr>
          <w:p w14:paraId="5FA77C7C" w14:textId="32C13648"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w:t>
            </w:r>
            <w:r w:rsidR="00F85A88">
              <w:rPr>
                <w:rFonts w:ascii="Arial" w:hAnsi="Arial" w:cs="Arial"/>
                <w:sz w:val="20"/>
                <w:szCs w:val="20"/>
              </w:rPr>
              <w:t>Granger-cause</w:t>
            </w:r>
            <w:r w:rsidRPr="00E60D0B">
              <w:rPr>
                <w:rFonts w:ascii="Arial" w:hAnsi="Arial" w:cs="Arial"/>
                <w:sz w:val="20"/>
                <w:szCs w:val="20"/>
              </w:rPr>
              <w:t xml:space="preserve"> Bangalore</w:t>
            </w:r>
          </w:p>
        </w:tc>
        <w:tc>
          <w:tcPr>
            <w:tcW w:w="663" w:type="pct"/>
          </w:tcPr>
          <w:p w14:paraId="375F8141"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4.4059 </w:t>
            </w:r>
          </w:p>
        </w:tc>
        <w:tc>
          <w:tcPr>
            <w:tcW w:w="809" w:type="pct"/>
          </w:tcPr>
          <w:p w14:paraId="65EE7D2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0.0131 *</w:t>
            </w:r>
          </w:p>
          <w:p w14:paraId="0943C8D0" w14:textId="77777777" w:rsidR="00E60D0B" w:rsidRPr="00E60D0B" w:rsidRDefault="00E60D0B" w:rsidP="00D30290">
            <w:pPr>
              <w:spacing w:line="360" w:lineRule="auto"/>
              <w:rPr>
                <w:rFonts w:ascii="Arial" w:hAnsi="Arial" w:cs="Arial"/>
                <w:sz w:val="20"/>
                <w:szCs w:val="20"/>
              </w:rPr>
            </w:pPr>
          </w:p>
        </w:tc>
        <w:tc>
          <w:tcPr>
            <w:tcW w:w="726" w:type="pct"/>
          </w:tcPr>
          <w:p w14:paraId="087B9B46"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val="restart"/>
          </w:tcPr>
          <w:p w14:paraId="0900796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Bidirectional</w:t>
            </w:r>
          </w:p>
        </w:tc>
      </w:tr>
      <w:tr w:rsidR="00E60D0B" w:rsidRPr="00E60D0B" w14:paraId="5C2962CE" w14:textId="77777777" w:rsidTr="008C5B26">
        <w:tc>
          <w:tcPr>
            <w:tcW w:w="2057" w:type="pct"/>
          </w:tcPr>
          <w:p w14:paraId="41D1458B" w14:textId="394C2F57"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w:t>
            </w:r>
            <w:r w:rsidR="00F85A88">
              <w:rPr>
                <w:rFonts w:ascii="Arial" w:hAnsi="Arial" w:cs="Arial"/>
                <w:sz w:val="20"/>
                <w:szCs w:val="20"/>
              </w:rPr>
              <w:t>Granger-cause</w:t>
            </w:r>
            <w:r w:rsidRPr="00E60D0B">
              <w:rPr>
                <w:rFonts w:ascii="Arial" w:hAnsi="Arial" w:cs="Arial"/>
                <w:sz w:val="20"/>
                <w:szCs w:val="20"/>
              </w:rPr>
              <w:t xml:space="preserve"> </w:t>
            </w:r>
            <w:proofErr w:type="spellStart"/>
            <w:r w:rsidRPr="00E60D0B">
              <w:rPr>
                <w:rFonts w:ascii="Arial" w:hAnsi="Arial" w:cs="Arial"/>
                <w:sz w:val="20"/>
                <w:szCs w:val="20"/>
              </w:rPr>
              <w:t>Hubbli</w:t>
            </w:r>
            <w:proofErr w:type="spellEnd"/>
          </w:p>
        </w:tc>
        <w:tc>
          <w:tcPr>
            <w:tcW w:w="663" w:type="pct"/>
          </w:tcPr>
          <w:p w14:paraId="1465B9A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5.9732 </w:t>
            </w:r>
          </w:p>
        </w:tc>
        <w:tc>
          <w:tcPr>
            <w:tcW w:w="809" w:type="pct"/>
          </w:tcPr>
          <w:p w14:paraId="1D8FA1BF"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0.002896 **</w:t>
            </w:r>
          </w:p>
          <w:p w14:paraId="2A3CD5B5" w14:textId="77777777" w:rsidR="00E60D0B" w:rsidRPr="00E60D0B" w:rsidRDefault="00E60D0B" w:rsidP="00D30290">
            <w:pPr>
              <w:spacing w:line="360" w:lineRule="auto"/>
              <w:rPr>
                <w:rFonts w:ascii="Arial" w:hAnsi="Arial" w:cs="Arial"/>
                <w:sz w:val="20"/>
                <w:szCs w:val="20"/>
              </w:rPr>
            </w:pPr>
          </w:p>
        </w:tc>
        <w:tc>
          <w:tcPr>
            <w:tcW w:w="726" w:type="pct"/>
          </w:tcPr>
          <w:p w14:paraId="7ADF58D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tcPr>
          <w:p w14:paraId="65612DDD" w14:textId="77777777" w:rsidR="00E60D0B" w:rsidRPr="00E60D0B" w:rsidRDefault="00E60D0B" w:rsidP="00D30290">
            <w:pPr>
              <w:spacing w:line="360" w:lineRule="auto"/>
              <w:rPr>
                <w:rFonts w:ascii="Arial" w:hAnsi="Arial" w:cs="Arial"/>
                <w:sz w:val="20"/>
                <w:szCs w:val="20"/>
              </w:rPr>
            </w:pPr>
          </w:p>
        </w:tc>
      </w:tr>
    </w:tbl>
    <w:p w14:paraId="1682E8D0" w14:textId="77777777" w:rsidR="00DC3A0E" w:rsidRPr="00444B72" w:rsidRDefault="00DC3A0E" w:rsidP="00D30290">
      <w:pPr>
        <w:spacing w:after="120" w:line="360" w:lineRule="auto"/>
        <w:jc w:val="both"/>
        <w:rPr>
          <w:rFonts w:ascii="Arial" w:hAnsi="Arial" w:cs="Arial"/>
          <w:b/>
          <w:bCs/>
          <w:sz w:val="20"/>
          <w:szCs w:val="20"/>
        </w:rPr>
      </w:pPr>
    </w:p>
    <w:p w14:paraId="06F5FA91" w14:textId="434EC087" w:rsidR="00401BEE" w:rsidRPr="00444B72" w:rsidRDefault="00AF1E9C" w:rsidP="00D30290">
      <w:pPr>
        <w:spacing w:after="120" w:line="360" w:lineRule="auto"/>
        <w:jc w:val="both"/>
        <w:rPr>
          <w:rFonts w:ascii="Arial" w:hAnsi="Arial" w:cs="Arial"/>
          <w:b/>
          <w:bCs/>
          <w:sz w:val="20"/>
          <w:szCs w:val="20"/>
        </w:rPr>
      </w:pPr>
      <w:r w:rsidRPr="00444B72">
        <w:rPr>
          <w:rFonts w:ascii="Arial" w:hAnsi="Arial" w:cs="Arial"/>
          <w:b/>
          <w:bCs/>
          <w:sz w:val="20"/>
          <w:szCs w:val="20"/>
        </w:rPr>
        <w:t>4</w:t>
      </w:r>
      <w:r w:rsidR="003C173B">
        <w:rPr>
          <w:rFonts w:ascii="Arial" w:hAnsi="Arial" w:cs="Arial"/>
          <w:b/>
          <w:bCs/>
          <w:sz w:val="20"/>
          <w:szCs w:val="20"/>
        </w:rPr>
        <w:t>.</w:t>
      </w:r>
      <w:r w:rsidRPr="00444B72">
        <w:rPr>
          <w:rFonts w:ascii="Arial" w:hAnsi="Arial" w:cs="Arial"/>
          <w:b/>
          <w:bCs/>
          <w:sz w:val="20"/>
          <w:szCs w:val="20"/>
        </w:rPr>
        <w:t xml:space="preserve"> </w:t>
      </w:r>
      <w:r w:rsidR="004B5F45" w:rsidRPr="00444B72">
        <w:rPr>
          <w:rFonts w:ascii="Arial" w:hAnsi="Arial" w:cs="Arial"/>
          <w:b/>
          <w:bCs/>
          <w:sz w:val="20"/>
          <w:szCs w:val="20"/>
        </w:rPr>
        <w:t>Conclusion</w:t>
      </w:r>
    </w:p>
    <w:p w14:paraId="11DBE648" w14:textId="3AC0E583"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lastRenderedPageBreak/>
        <w:t xml:space="preserve">The study on the market integration of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chilli across key trading </w:t>
      </w:r>
      <w:r w:rsidR="00F85A88" w:rsidRPr="00020F96">
        <w:rPr>
          <w:rFonts w:ascii="Arial" w:eastAsia="Times New Roman" w:hAnsi="Arial" w:cs="Arial"/>
          <w:sz w:val="20"/>
          <w:szCs w:val="20"/>
          <w:highlight w:val="yellow"/>
          <w:lang w:eastAsia="en-IN"/>
        </w:rPr>
        <w:t>centres</w:t>
      </w:r>
      <w:r w:rsidR="00F85A88" w:rsidRPr="00D65E0D">
        <w:rPr>
          <w:rFonts w:ascii="Arial" w:eastAsia="Times New Roman" w:hAnsi="Arial" w:cs="Arial"/>
          <w:sz w:val="20"/>
          <w:szCs w:val="20"/>
          <w:lang w:eastAsia="en-IN"/>
        </w:rPr>
        <w:t xml:space="preserve"> </w:t>
      </w:r>
      <w:r w:rsidRPr="00D65E0D">
        <w:rPr>
          <w:rFonts w:ascii="Arial" w:eastAsia="Times New Roman" w:hAnsi="Arial" w:cs="Arial"/>
          <w:sz w:val="20"/>
          <w:szCs w:val="20"/>
          <w:lang w:eastAsia="en-IN"/>
        </w:rPr>
        <w:t xml:space="preserve">in Karnataka—Bangalore,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and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—offers valuable insights into the price transmission and co-movement among these markets. The results highlight the existence of long-term equilibrium relationships between the markets, with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exhibiting significant adjustment mechanisms, while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demonstrates weaker market integration.</w:t>
      </w:r>
    </w:p>
    <w:p w14:paraId="3C1E2509" w14:textId="77777777"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The application of econometric models such as the Augmented Dickey-Fuller (ADF) test, Johansen Co-integration test, Vector Error Correction Model (VECM), and Granger Causality test provided robust statistical validation of market dynamics. The ADF test results indicated that the original price series were non-stationary but achieved stationarity after differencing. The Johansen co-integration test confirmed the presence of long-term equilibrium relationships between the markets. The VECM analysis revealed that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markets adjust efficiently to price shocks, whereas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 shows weaker responsiveness, suggesting possible external influencing factors. Additionally, the Granger causality test established bidirectional causality between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markets but found no significant causal relationships involving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w:t>
      </w:r>
    </w:p>
    <w:p w14:paraId="6B7F8BAE" w14:textId="1531A251"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Regarding market arrivals, the findings suggest that while Bangalore and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markets show significant long-term dependencies in arrival trends,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emerges as a key player influencing short-term fluctuations. The co-integration of market arrivals further underscores the interconnectedness of these trading centres, </w:t>
      </w:r>
      <w:r w:rsidR="00F85A88" w:rsidRPr="00020F96">
        <w:rPr>
          <w:rFonts w:ascii="Arial" w:eastAsia="Times New Roman" w:hAnsi="Arial" w:cs="Arial"/>
          <w:sz w:val="20"/>
          <w:szCs w:val="20"/>
          <w:highlight w:val="yellow"/>
          <w:lang w:eastAsia="en-IN"/>
        </w:rPr>
        <w:t>emphasising</w:t>
      </w:r>
      <w:r w:rsidR="00F85A88" w:rsidRPr="00D65E0D">
        <w:rPr>
          <w:rFonts w:ascii="Arial" w:eastAsia="Times New Roman" w:hAnsi="Arial" w:cs="Arial"/>
          <w:sz w:val="20"/>
          <w:szCs w:val="20"/>
          <w:lang w:eastAsia="en-IN"/>
        </w:rPr>
        <w:t xml:space="preserve"> </w:t>
      </w:r>
      <w:r w:rsidRPr="00D65E0D">
        <w:rPr>
          <w:rFonts w:ascii="Arial" w:eastAsia="Times New Roman" w:hAnsi="Arial" w:cs="Arial"/>
          <w:sz w:val="20"/>
          <w:szCs w:val="20"/>
          <w:lang w:eastAsia="en-IN"/>
        </w:rPr>
        <w:t>the need for efficient market linkages and policy interventions.</w:t>
      </w:r>
    </w:p>
    <w:p w14:paraId="784118AF" w14:textId="4B124E00" w:rsidR="002C1F15" w:rsidRDefault="00D65E0D" w:rsidP="00A61D62">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Overall, this study underscores the significance of strengthening market infrastructure, improving price dissemination mechanisms, and fostering better integration between markets to </w:t>
      </w:r>
      <w:r w:rsidR="00F85A88" w:rsidRPr="00020F96">
        <w:rPr>
          <w:rFonts w:ascii="Arial" w:eastAsia="Times New Roman" w:hAnsi="Arial" w:cs="Arial"/>
          <w:sz w:val="20"/>
          <w:szCs w:val="20"/>
          <w:highlight w:val="yellow"/>
          <w:lang w:eastAsia="en-IN"/>
        </w:rPr>
        <w:t xml:space="preserve">stabilise </w:t>
      </w:r>
      <w:r w:rsidRPr="00020F96">
        <w:rPr>
          <w:rFonts w:ascii="Arial" w:eastAsia="Times New Roman" w:hAnsi="Arial" w:cs="Arial"/>
          <w:sz w:val="20"/>
          <w:szCs w:val="20"/>
          <w:highlight w:val="yellow"/>
          <w:lang w:eastAsia="en-IN"/>
        </w:rPr>
        <w:t>prices</w:t>
      </w:r>
      <w:r w:rsidRPr="00D65E0D">
        <w:rPr>
          <w:rFonts w:ascii="Arial" w:eastAsia="Times New Roman" w:hAnsi="Arial" w:cs="Arial"/>
          <w:sz w:val="20"/>
          <w:szCs w:val="20"/>
          <w:lang w:eastAsia="en-IN"/>
        </w:rPr>
        <w:t xml:space="preserve"> and enhance farmers’ profitability. Policymakers and stakeholders should focus on addressing the inefficiencies in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 and enhancing its integration with other major trading </w:t>
      </w:r>
      <w:r w:rsidR="00F85A88" w:rsidRPr="00020F96">
        <w:rPr>
          <w:rFonts w:ascii="Arial" w:eastAsia="Times New Roman" w:hAnsi="Arial" w:cs="Arial"/>
          <w:sz w:val="20"/>
          <w:szCs w:val="20"/>
          <w:highlight w:val="yellow"/>
          <w:lang w:eastAsia="en-IN"/>
        </w:rPr>
        <w:t xml:space="preserve">centres </w:t>
      </w:r>
      <w:r w:rsidRPr="00020F96">
        <w:rPr>
          <w:rFonts w:ascii="Arial" w:eastAsia="Times New Roman" w:hAnsi="Arial" w:cs="Arial"/>
          <w:sz w:val="20"/>
          <w:szCs w:val="20"/>
          <w:highlight w:val="yellow"/>
          <w:lang w:eastAsia="en-IN"/>
        </w:rPr>
        <w:t>to</w:t>
      </w:r>
      <w:r w:rsidRPr="00D65E0D">
        <w:rPr>
          <w:rFonts w:ascii="Arial" w:eastAsia="Times New Roman" w:hAnsi="Arial" w:cs="Arial"/>
          <w:sz w:val="20"/>
          <w:szCs w:val="20"/>
          <w:lang w:eastAsia="en-IN"/>
        </w:rPr>
        <w:t xml:space="preserve"> ensure fair pricing and sustainable growth in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chilli trade.</w:t>
      </w:r>
    </w:p>
    <w:p w14:paraId="5D461352" w14:textId="2EECD548" w:rsidR="002C1F15" w:rsidRPr="00DC443D" w:rsidRDefault="002C1F15" w:rsidP="002C1F15">
      <w:pPr>
        <w:rPr>
          <w:rFonts w:ascii="Calibri" w:eastAsia="Calibri" w:hAnsi="Calibri" w:cs="Times New Roman"/>
          <w:b/>
          <w:highlight w:val="yellow"/>
          <w:lang w:val="en-US"/>
        </w:rPr>
      </w:pPr>
      <w:bookmarkStart w:id="1" w:name="_Hlk197682619"/>
      <w:bookmarkStart w:id="2" w:name="_Hlk180402183"/>
      <w:bookmarkStart w:id="3" w:name="_Hlk183680988"/>
      <w:bookmarkStart w:id="4" w:name="_Hlk197351200"/>
      <w:r w:rsidRPr="00DC443D">
        <w:rPr>
          <w:rFonts w:ascii="Calibri" w:eastAsia="Calibri" w:hAnsi="Calibri" w:cs="Times New Roman"/>
          <w:b/>
          <w:highlight w:val="yellow"/>
          <w:lang w:val="en-US"/>
        </w:rPr>
        <w:t>Disclaimer (Artificial intelligence)</w:t>
      </w:r>
    </w:p>
    <w:p w14:paraId="2BF19DB4" w14:textId="77777777" w:rsidR="00A61D62" w:rsidRPr="00A61D62" w:rsidRDefault="00A61D62" w:rsidP="00A61D62">
      <w:pPr>
        <w:spacing w:after="0" w:line="240" w:lineRule="auto"/>
        <w:jc w:val="both"/>
        <w:rPr>
          <w:rFonts w:ascii="Arial" w:eastAsia="Calibri" w:hAnsi="Arial" w:cs="Arial"/>
          <w:sz w:val="20"/>
          <w:szCs w:val="20"/>
        </w:rPr>
      </w:pPr>
      <w:r w:rsidRPr="00A61D62">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46B82EB1" w14:textId="77777777" w:rsidR="002C1F15" w:rsidRDefault="002C1F15" w:rsidP="002C1F15">
      <w:pPr>
        <w:ind w:firstLine="720"/>
      </w:pPr>
      <w:bookmarkStart w:id="5" w:name="_Hlk187485061"/>
      <w:bookmarkEnd w:id="1"/>
      <w:bookmarkEnd w:id="2"/>
      <w:bookmarkEnd w:id="3"/>
    </w:p>
    <w:bookmarkEnd w:id="4"/>
    <w:bookmarkEnd w:id="5"/>
    <w:p w14:paraId="6F1F8817" w14:textId="77777777" w:rsidR="002C1F15" w:rsidRPr="00D65E0D" w:rsidRDefault="002C1F15" w:rsidP="00D65E0D">
      <w:pPr>
        <w:spacing w:after="0" w:line="360" w:lineRule="auto"/>
        <w:ind w:firstLine="720"/>
        <w:jc w:val="both"/>
        <w:rPr>
          <w:rFonts w:ascii="Arial" w:eastAsia="Times New Roman" w:hAnsi="Arial" w:cs="Arial"/>
          <w:sz w:val="20"/>
          <w:szCs w:val="20"/>
          <w:lang w:eastAsia="en-IN"/>
        </w:rPr>
      </w:pPr>
    </w:p>
    <w:p w14:paraId="44852532" w14:textId="7398CD4A" w:rsidR="00824960" w:rsidRPr="00444B72" w:rsidRDefault="003C173B" w:rsidP="00D30290">
      <w:pPr>
        <w:spacing w:line="360" w:lineRule="auto"/>
        <w:jc w:val="both"/>
        <w:rPr>
          <w:rFonts w:ascii="Arial" w:hAnsi="Arial" w:cs="Arial"/>
          <w:b/>
          <w:bCs/>
          <w:sz w:val="20"/>
          <w:szCs w:val="20"/>
        </w:rPr>
      </w:pPr>
      <w:r w:rsidRPr="00444B72">
        <w:rPr>
          <w:rFonts w:ascii="Arial" w:hAnsi="Arial" w:cs="Arial"/>
          <w:b/>
          <w:bCs/>
          <w:sz w:val="20"/>
          <w:szCs w:val="20"/>
        </w:rPr>
        <w:t>REFERENCES</w:t>
      </w:r>
    </w:p>
    <w:p w14:paraId="6DB01D48" w14:textId="76F665F0"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Ahmed, M., &amp; Singla, N. (2023). Spatial market integration, price transmission and transaction costs in major onion markets of India. The Indian Economic Journal, 71(3), 532–547. </w:t>
      </w:r>
      <w:hyperlink r:id="rId8" w:history="1">
        <w:r w:rsidR="003D57F0" w:rsidRPr="006F3FFD">
          <w:rPr>
            <w:rStyle w:val="Hyperlink"/>
            <w:rFonts w:ascii="Arial" w:hAnsi="Arial" w:cs="Arial"/>
            <w:sz w:val="20"/>
            <w:szCs w:val="20"/>
          </w:rPr>
          <w:t>https://doi.org/10.1177/00194662231159851</w:t>
        </w:r>
      </w:hyperlink>
      <w:r w:rsidRPr="00D30290">
        <w:rPr>
          <w:rFonts w:ascii="Arial" w:hAnsi="Arial" w:cs="Arial"/>
          <w:sz w:val="20"/>
          <w:szCs w:val="20"/>
        </w:rPr>
        <w:t>.</w:t>
      </w:r>
    </w:p>
    <w:p w14:paraId="42ACDF45" w14:textId="53FC9848" w:rsidR="00E60D0B" w:rsidRPr="006E267E" w:rsidRDefault="00E60D0B" w:rsidP="001B7A77">
      <w:pPr>
        <w:pStyle w:val="ListParagraph"/>
        <w:numPr>
          <w:ilvl w:val="0"/>
          <w:numId w:val="12"/>
        </w:numPr>
        <w:spacing w:line="360" w:lineRule="auto"/>
        <w:jc w:val="both"/>
        <w:rPr>
          <w:rFonts w:ascii="Arial" w:hAnsi="Arial" w:cs="Arial"/>
          <w:sz w:val="20"/>
          <w:szCs w:val="20"/>
        </w:rPr>
      </w:pPr>
      <w:r w:rsidRPr="006E267E">
        <w:rPr>
          <w:rFonts w:ascii="Arial" w:hAnsi="Arial" w:cs="Arial"/>
          <w:sz w:val="20"/>
          <w:szCs w:val="20"/>
        </w:rPr>
        <w:t xml:space="preserve">Ashraf K, Ahmad A, Shah S A </w:t>
      </w:r>
      <w:proofErr w:type="spellStart"/>
      <w:r w:rsidRPr="006E267E">
        <w:rPr>
          <w:rFonts w:ascii="Arial" w:hAnsi="Arial" w:cs="Arial"/>
          <w:sz w:val="20"/>
          <w:szCs w:val="20"/>
        </w:rPr>
        <w:t>A</w:t>
      </w:r>
      <w:proofErr w:type="spellEnd"/>
      <w:r w:rsidRPr="006E267E">
        <w:rPr>
          <w:rFonts w:ascii="Arial" w:hAnsi="Arial" w:cs="Arial"/>
          <w:sz w:val="20"/>
          <w:szCs w:val="20"/>
        </w:rPr>
        <w:t>, Mujeeb M</w:t>
      </w:r>
      <w:r w:rsidR="006E267E" w:rsidRPr="006E267E">
        <w:rPr>
          <w:rFonts w:ascii="Arial" w:hAnsi="Arial" w:cs="Arial"/>
          <w:sz w:val="20"/>
          <w:szCs w:val="20"/>
        </w:rPr>
        <w:t xml:space="preserve"> (2017)</w:t>
      </w:r>
      <w:r w:rsidRPr="006E267E">
        <w:rPr>
          <w:rFonts w:ascii="Arial" w:hAnsi="Arial" w:cs="Arial"/>
          <w:sz w:val="20"/>
          <w:szCs w:val="20"/>
        </w:rPr>
        <w:t xml:space="preserve">. Genetic diversity in accessions of Indian Turmeric using rapid market. </w:t>
      </w:r>
      <w:r w:rsidR="006E267E" w:rsidRPr="006E267E">
        <w:rPr>
          <w:rFonts w:ascii="Arial" w:hAnsi="Arial" w:cs="Arial"/>
          <w:sz w:val="20"/>
          <w:szCs w:val="20"/>
        </w:rPr>
        <w:t>International Journal of Pharmacy and Pharmaceutical Sciences</w:t>
      </w:r>
      <w:r w:rsidRPr="006E267E">
        <w:rPr>
          <w:rFonts w:ascii="Arial" w:hAnsi="Arial" w:cs="Arial"/>
          <w:sz w:val="20"/>
          <w:szCs w:val="20"/>
        </w:rPr>
        <w:t>.;9(10):288–91. https://doi.org/10.22159/ ijpps.2017v9i10.18715</w:t>
      </w:r>
    </w:p>
    <w:p w14:paraId="3E6AC4D8" w14:textId="2788F195" w:rsidR="00E60D0B" w:rsidRPr="00D30290" w:rsidRDefault="00E60D0B" w:rsidP="00D30290">
      <w:pPr>
        <w:pStyle w:val="ListParagraph"/>
        <w:numPr>
          <w:ilvl w:val="0"/>
          <w:numId w:val="12"/>
        </w:numPr>
        <w:spacing w:line="360" w:lineRule="auto"/>
        <w:jc w:val="both"/>
        <w:rPr>
          <w:rFonts w:ascii="Arial" w:hAnsi="Arial" w:cs="Arial"/>
          <w:sz w:val="20"/>
          <w:szCs w:val="20"/>
        </w:rPr>
      </w:pPr>
      <w:proofErr w:type="spellStart"/>
      <w:r w:rsidRPr="00D30290">
        <w:rPr>
          <w:rFonts w:ascii="Arial" w:hAnsi="Arial" w:cs="Arial"/>
          <w:sz w:val="20"/>
          <w:szCs w:val="20"/>
        </w:rPr>
        <w:t>Blaya</w:t>
      </w:r>
      <w:proofErr w:type="spellEnd"/>
      <w:r w:rsidRPr="00D30290">
        <w:rPr>
          <w:rFonts w:ascii="Arial" w:hAnsi="Arial" w:cs="Arial"/>
          <w:sz w:val="20"/>
          <w:szCs w:val="20"/>
        </w:rPr>
        <w:t xml:space="preserve"> J. K., Nayak </w:t>
      </w:r>
      <w:proofErr w:type="spellStart"/>
      <w:r w:rsidR="007C00CB" w:rsidRPr="00D30290">
        <w:rPr>
          <w:rFonts w:ascii="Arial" w:hAnsi="Arial" w:cs="Arial"/>
          <w:sz w:val="20"/>
          <w:szCs w:val="20"/>
        </w:rPr>
        <w:t>Akshata</w:t>
      </w:r>
      <w:proofErr w:type="spellEnd"/>
      <w:r w:rsidR="007C00CB" w:rsidRPr="00D30290">
        <w:rPr>
          <w:rFonts w:ascii="Arial" w:hAnsi="Arial" w:cs="Arial"/>
          <w:sz w:val="20"/>
          <w:szCs w:val="20"/>
        </w:rPr>
        <w:t>,</w:t>
      </w:r>
      <w:r w:rsidRPr="00D30290">
        <w:rPr>
          <w:rFonts w:ascii="Arial" w:hAnsi="Arial" w:cs="Arial"/>
          <w:sz w:val="20"/>
          <w:szCs w:val="20"/>
        </w:rPr>
        <w:t xml:space="preserve"> </w:t>
      </w:r>
      <w:proofErr w:type="spellStart"/>
      <w:r w:rsidRPr="00D30290">
        <w:rPr>
          <w:rFonts w:ascii="Arial" w:hAnsi="Arial" w:cs="Arial"/>
          <w:sz w:val="20"/>
          <w:szCs w:val="20"/>
        </w:rPr>
        <w:t>Abunyuwaha</w:t>
      </w:r>
      <w:proofErr w:type="spellEnd"/>
      <w:r w:rsidRPr="00D30290">
        <w:rPr>
          <w:rFonts w:ascii="Arial" w:hAnsi="Arial" w:cs="Arial"/>
          <w:sz w:val="20"/>
          <w:szCs w:val="20"/>
        </w:rPr>
        <w:t xml:space="preserve">, </w:t>
      </w:r>
      <w:proofErr w:type="spellStart"/>
      <w:r w:rsidRPr="00D30290">
        <w:rPr>
          <w:rFonts w:ascii="Arial" w:hAnsi="Arial" w:cs="Arial"/>
          <w:sz w:val="20"/>
          <w:szCs w:val="20"/>
        </w:rPr>
        <w:t>Lokesha</w:t>
      </w:r>
      <w:proofErr w:type="spellEnd"/>
      <w:r w:rsidRPr="00D30290">
        <w:rPr>
          <w:rFonts w:ascii="Arial" w:hAnsi="Arial" w:cs="Arial"/>
          <w:sz w:val="20"/>
          <w:szCs w:val="20"/>
        </w:rPr>
        <w:t xml:space="preserve"> </w:t>
      </w:r>
      <w:proofErr w:type="spellStart"/>
      <w:r w:rsidR="007C00CB" w:rsidRPr="00D30290">
        <w:rPr>
          <w:rFonts w:ascii="Arial" w:hAnsi="Arial" w:cs="Arial"/>
          <w:sz w:val="20"/>
          <w:szCs w:val="20"/>
        </w:rPr>
        <w:t>Huchaiah</w:t>
      </w:r>
      <w:proofErr w:type="spellEnd"/>
      <w:r w:rsidR="007C00CB" w:rsidRPr="00D30290">
        <w:rPr>
          <w:rFonts w:ascii="Arial" w:hAnsi="Arial" w:cs="Arial"/>
          <w:sz w:val="20"/>
          <w:szCs w:val="20"/>
        </w:rPr>
        <w:t xml:space="preserve">, </w:t>
      </w:r>
      <w:proofErr w:type="spellStart"/>
      <w:r w:rsidR="007C00CB" w:rsidRPr="00D30290">
        <w:rPr>
          <w:rFonts w:ascii="Arial" w:hAnsi="Arial" w:cs="Arial"/>
          <w:sz w:val="20"/>
          <w:szCs w:val="20"/>
        </w:rPr>
        <w:t>Chennothumalil</w:t>
      </w:r>
      <w:proofErr w:type="spellEnd"/>
      <w:r w:rsidRPr="00D30290">
        <w:rPr>
          <w:rFonts w:ascii="Arial" w:hAnsi="Arial" w:cs="Arial"/>
          <w:sz w:val="20"/>
          <w:szCs w:val="20"/>
        </w:rPr>
        <w:t xml:space="preserve"> </w:t>
      </w:r>
      <w:proofErr w:type="spellStart"/>
      <w:r w:rsidRPr="00D30290">
        <w:rPr>
          <w:rFonts w:ascii="Arial" w:hAnsi="Arial" w:cs="Arial"/>
          <w:sz w:val="20"/>
          <w:szCs w:val="20"/>
        </w:rPr>
        <w:t>Paily</w:t>
      </w:r>
      <w:proofErr w:type="spellEnd"/>
      <w:r w:rsidRPr="00D30290">
        <w:rPr>
          <w:rFonts w:ascii="Arial" w:hAnsi="Arial" w:cs="Arial"/>
          <w:sz w:val="20"/>
          <w:szCs w:val="20"/>
        </w:rPr>
        <w:t xml:space="preserve"> </w:t>
      </w:r>
      <w:proofErr w:type="spellStart"/>
      <w:r w:rsidRPr="00D30290">
        <w:rPr>
          <w:rFonts w:ascii="Arial" w:hAnsi="Arial" w:cs="Arial"/>
          <w:sz w:val="20"/>
          <w:szCs w:val="20"/>
        </w:rPr>
        <w:t>Gracy</w:t>
      </w:r>
      <w:proofErr w:type="spellEnd"/>
      <w:r w:rsidRPr="00D30290">
        <w:rPr>
          <w:rFonts w:ascii="Arial" w:hAnsi="Arial" w:cs="Arial"/>
          <w:sz w:val="20"/>
          <w:szCs w:val="20"/>
        </w:rPr>
        <w:t xml:space="preserve"> (2024) Asymmetric and threshold price transmission dynamics in onion markets </w:t>
      </w:r>
      <w:r w:rsidR="007C00CB" w:rsidRPr="00D30290">
        <w:rPr>
          <w:rFonts w:ascii="Arial" w:hAnsi="Arial" w:cs="Arial"/>
          <w:sz w:val="20"/>
          <w:szCs w:val="20"/>
        </w:rPr>
        <w:t>in India</w:t>
      </w:r>
      <w:r w:rsidRPr="00D30290">
        <w:rPr>
          <w:rFonts w:ascii="Arial" w:hAnsi="Arial" w:cs="Arial"/>
          <w:sz w:val="20"/>
          <w:szCs w:val="20"/>
        </w:rPr>
        <w:t xml:space="preserve">, </w:t>
      </w:r>
      <w:r w:rsidRPr="00D30290">
        <w:rPr>
          <w:rFonts w:ascii="Arial" w:hAnsi="Arial" w:cs="Arial"/>
          <w:sz w:val="20"/>
          <w:szCs w:val="20"/>
        </w:rPr>
        <w:lastRenderedPageBreak/>
        <w:t xml:space="preserve">Cogent Economics &amp; </w:t>
      </w:r>
      <w:r w:rsidR="007C00CB" w:rsidRPr="00D30290">
        <w:rPr>
          <w:rFonts w:ascii="Arial" w:hAnsi="Arial" w:cs="Arial"/>
          <w:sz w:val="20"/>
          <w:szCs w:val="20"/>
        </w:rPr>
        <w:t>Finance, 12</w:t>
      </w:r>
      <w:r w:rsidRPr="00D30290">
        <w:rPr>
          <w:rFonts w:ascii="Arial" w:hAnsi="Arial" w:cs="Arial"/>
          <w:sz w:val="20"/>
          <w:szCs w:val="20"/>
        </w:rPr>
        <w:t xml:space="preserve">(1): 24025571-7. </w:t>
      </w:r>
      <w:hyperlink r:id="rId9" w:history="1">
        <w:r w:rsidRPr="00D30290">
          <w:rPr>
            <w:rStyle w:val="Hyperlink"/>
            <w:rFonts w:ascii="Arial" w:hAnsi="Arial" w:cs="Arial"/>
            <w:sz w:val="20"/>
            <w:szCs w:val="20"/>
          </w:rPr>
          <w:t>https://doi.org/10.1080/23322039.2024.2402557</w:t>
        </w:r>
      </w:hyperlink>
      <w:r w:rsidRPr="00D30290">
        <w:rPr>
          <w:rFonts w:ascii="Arial" w:hAnsi="Arial" w:cs="Arial"/>
          <w:sz w:val="20"/>
          <w:szCs w:val="20"/>
        </w:rPr>
        <w:t xml:space="preserve"> </w:t>
      </w:r>
    </w:p>
    <w:p w14:paraId="3EBD42A2" w14:textId="48971730"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Blay, J. K., Subba Rao, D. V., &amp; Kumari, R. V. (2015). Price dynamics and market integration of sorghum and millet markets in Ghana. Research Journal of Agriculture and Forestry Sciences, 3(9), 11–21.</w:t>
      </w:r>
    </w:p>
    <w:p w14:paraId="2D198244" w14:textId="77777777" w:rsidR="00D30290"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Gujarati, D.N., Dawn, C.P. and Sangeetha, G. (2009). Basic Econometrics (5th edition). Tata McGraw Hill Education </w:t>
      </w:r>
      <w:proofErr w:type="spellStart"/>
      <w:r w:rsidRPr="00D30290">
        <w:rPr>
          <w:rFonts w:ascii="Arial" w:hAnsi="Arial" w:cs="Arial"/>
          <w:sz w:val="20"/>
          <w:szCs w:val="20"/>
        </w:rPr>
        <w:t>Pvt.</w:t>
      </w:r>
      <w:proofErr w:type="spellEnd"/>
      <w:r w:rsidRPr="00D30290">
        <w:rPr>
          <w:rFonts w:ascii="Arial" w:hAnsi="Arial" w:cs="Arial"/>
          <w:sz w:val="20"/>
          <w:szCs w:val="20"/>
        </w:rPr>
        <w:t xml:space="preserve"> Ltd.</w:t>
      </w:r>
    </w:p>
    <w:p w14:paraId="0E7ED5C7" w14:textId="116310BE"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Johansen, S. and </w:t>
      </w:r>
      <w:proofErr w:type="spellStart"/>
      <w:r w:rsidRPr="00D30290">
        <w:rPr>
          <w:rFonts w:ascii="Arial" w:hAnsi="Arial" w:cs="Arial"/>
          <w:sz w:val="20"/>
          <w:szCs w:val="20"/>
        </w:rPr>
        <w:t>Juselius</w:t>
      </w:r>
      <w:proofErr w:type="spellEnd"/>
      <w:r w:rsidRPr="00D30290">
        <w:rPr>
          <w:rFonts w:ascii="Arial" w:hAnsi="Arial" w:cs="Arial"/>
          <w:sz w:val="20"/>
          <w:szCs w:val="20"/>
        </w:rPr>
        <w:t xml:space="preserve">, K. (1990). Maximum Likelihood Estimation and Inference on Cointegration with Application to Demand for Money. Oxford Bulletin of Economics and Statistics, 52: 169-210. DOI: 10.1111/j.1468 </w:t>
      </w:r>
      <w:r w:rsidR="007C00CB" w:rsidRPr="00D30290">
        <w:rPr>
          <w:rFonts w:ascii="Arial" w:hAnsi="Arial" w:cs="Arial"/>
          <w:sz w:val="20"/>
          <w:szCs w:val="20"/>
        </w:rPr>
        <w:t>0084. 1990.mp</w:t>
      </w:r>
      <w:r w:rsidRPr="00D30290">
        <w:rPr>
          <w:rFonts w:ascii="Arial" w:hAnsi="Arial" w:cs="Arial"/>
          <w:sz w:val="20"/>
          <w:szCs w:val="20"/>
        </w:rPr>
        <w:t>52002003.</w:t>
      </w:r>
    </w:p>
    <w:p w14:paraId="3C55C107" w14:textId="4B7739A2" w:rsidR="00E60D0B" w:rsidRPr="00D30290" w:rsidRDefault="00E60D0B" w:rsidP="00D30290">
      <w:pPr>
        <w:pStyle w:val="ListParagraph"/>
        <w:numPr>
          <w:ilvl w:val="0"/>
          <w:numId w:val="12"/>
        </w:numPr>
        <w:spacing w:line="360" w:lineRule="auto"/>
        <w:jc w:val="both"/>
        <w:rPr>
          <w:rFonts w:ascii="Arial" w:hAnsi="Arial" w:cs="Arial"/>
          <w:sz w:val="20"/>
          <w:szCs w:val="20"/>
        </w:rPr>
      </w:pPr>
      <w:proofErr w:type="spellStart"/>
      <w:r w:rsidRPr="00D30290">
        <w:rPr>
          <w:rFonts w:ascii="Arial" w:hAnsi="Arial" w:cs="Arial"/>
          <w:sz w:val="20"/>
          <w:szCs w:val="20"/>
        </w:rPr>
        <w:t>Murugananthi</w:t>
      </w:r>
      <w:proofErr w:type="spellEnd"/>
      <w:r w:rsidRPr="00D30290">
        <w:rPr>
          <w:rFonts w:ascii="Arial" w:hAnsi="Arial" w:cs="Arial"/>
          <w:sz w:val="20"/>
          <w:szCs w:val="20"/>
        </w:rPr>
        <w:t xml:space="preserve"> D, </w:t>
      </w:r>
      <w:proofErr w:type="spellStart"/>
      <w:r w:rsidRPr="00D30290">
        <w:rPr>
          <w:rFonts w:ascii="Arial" w:hAnsi="Arial" w:cs="Arial"/>
          <w:sz w:val="20"/>
          <w:szCs w:val="20"/>
        </w:rPr>
        <w:t>Ajjan</w:t>
      </w:r>
      <w:proofErr w:type="spellEnd"/>
      <w:r w:rsidRPr="00D30290">
        <w:rPr>
          <w:rFonts w:ascii="Arial" w:hAnsi="Arial" w:cs="Arial"/>
          <w:sz w:val="20"/>
          <w:szCs w:val="20"/>
        </w:rPr>
        <w:t xml:space="preserve"> N, Sivakumar SD, Mani K. Price behaviour and market integration in turmeric-Evidences from empirical analysis. Mad Agri J. 2014;101(1–3):74–8. https:// doi.org/10.29321/maj.10.001155 </w:t>
      </w:r>
    </w:p>
    <w:p w14:paraId="2C995E39" w14:textId="0258CBCB"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Nayak </w:t>
      </w:r>
      <w:proofErr w:type="spellStart"/>
      <w:r w:rsidRPr="00D30290">
        <w:rPr>
          <w:rFonts w:ascii="Arial" w:hAnsi="Arial" w:cs="Arial"/>
          <w:sz w:val="20"/>
          <w:szCs w:val="20"/>
        </w:rPr>
        <w:t>Akshata</w:t>
      </w:r>
      <w:proofErr w:type="spellEnd"/>
      <w:r w:rsidRPr="00D30290">
        <w:rPr>
          <w:rFonts w:ascii="Arial" w:hAnsi="Arial" w:cs="Arial"/>
          <w:sz w:val="20"/>
          <w:szCs w:val="20"/>
        </w:rPr>
        <w:t xml:space="preserve">, </w:t>
      </w:r>
      <w:proofErr w:type="spellStart"/>
      <w:r w:rsidRPr="00D30290">
        <w:rPr>
          <w:rFonts w:ascii="Arial" w:hAnsi="Arial" w:cs="Arial"/>
          <w:sz w:val="20"/>
          <w:szCs w:val="20"/>
        </w:rPr>
        <w:t>Lokesha</w:t>
      </w:r>
      <w:proofErr w:type="spellEnd"/>
      <w:r w:rsidRPr="00D30290">
        <w:rPr>
          <w:rFonts w:ascii="Arial" w:hAnsi="Arial" w:cs="Arial"/>
          <w:sz w:val="20"/>
          <w:szCs w:val="20"/>
        </w:rPr>
        <w:t xml:space="preserve"> H. and Gracy C. P. (2020), Co-integration of Groundnut Markets in India with Special Reference to Karnataka State, Current Journal of Applied Science and Technology, 39(18): 14-22</w:t>
      </w:r>
    </w:p>
    <w:p w14:paraId="7F28732F" w14:textId="52004BF8"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Patil Nethravathi Ashok, N. R. Karthick Reddy, and </w:t>
      </w:r>
      <w:proofErr w:type="spellStart"/>
      <w:r w:rsidRPr="00D30290">
        <w:rPr>
          <w:rFonts w:ascii="Arial" w:hAnsi="Arial" w:cs="Arial"/>
          <w:sz w:val="20"/>
          <w:szCs w:val="20"/>
        </w:rPr>
        <w:t>M.</w:t>
      </w:r>
      <w:proofErr w:type="gramStart"/>
      <w:r w:rsidRPr="00D30290">
        <w:rPr>
          <w:rFonts w:ascii="Arial" w:hAnsi="Arial" w:cs="Arial"/>
          <w:sz w:val="20"/>
          <w:szCs w:val="20"/>
        </w:rPr>
        <w:t>S.Ganapthy</w:t>
      </w:r>
      <w:proofErr w:type="spellEnd"/>
      <w:proofErr w:type="gramEnd"/>
      <w:r w:rsidRPr="00D30290">
        <w:rPr>
          <w:rFonts w:ascii="Arial" w:hAnsi="Arial" w:cs="Arial"/>
          <w:sz w:val="20"/>
          <w:szCs w:val="20"/>
        </w:rPr>
        <w:t xml:space="preserve">. (2025) </w:t>
      </w:r>
      <w:proofErr w:type="spellStart"/>
      <w:r w:rsidRPr="00D30290">
        <w:rPr>
          <w:rFonts w:ascii="Arial" w:hAnsi="Arial" w:cs="Arial"/>
          <w:sz w:val="20"/>
          <w:szCs w:val="20"/>
        </w:rPr>
        <w:t>Analyzing</w:t>
      </w:r>
      <w:proofErr w:type="spellEnd"/>
      <w:r w:rsidRPr="00D30290">
        <w:rPr>
          <w:rFonts w:ascii="Arial" w:hAnsi="Arial" w:cs="Arial"/>
          <w:sz w:val="20"/>
          <w:szCs w:val="20"/>
        </w:rPr>
        <w:t xml:space="preserve"> the Export Value Chain and Competitive Dynamics of India’s Fresh Mango </w:t>
      </w:r>
      <w:r w:rsidR="007C00CB" w:rsidRPr="00D30290">
        <w:rPr>
          <w:rFonts w:ascii="Arial" w:hAnsi="Arial" w:cs="Arial"/>
          <w:sz w:val="20"/>
          <w:szCs w:val="20"/>
        </w:rPr>
        <w:t>Market, Journal</w:t>
      </w:r>
      <w:r w:rsidRPr="00D30290">
        <w:rPr>
          <w:rFonts w:ascii="Arial" w:hAnsi="Arial" w:cs="Arial"/>
          <w:sz w:val="20"/>
          <w:szCs w:val="20"/>
        </w:rPr>
        <w:t xml:space="preserve"> of Scientific Research and Reports 31 (3):129-36. https://doi.org/10.9734/jsrr/2025/v31i32885.</w:t>
      </w:r>
    </w:p>
    <w:p w14:paraId="3442C321" w14:textId="276A0D02" w:rsidR="00D30290"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Prabha S </w:t>
      </w:r>
      <w:proofErr w:type="spellStart"/>
      <w:r w:rsidRPr="00D30290">
        <w:rPr>
          <w:rFonts w:ascii="Arial" w:hAnsi="Arial" w:cs="Arial"/>
          <w:sz w:val="20"/>
          <w:szCs w:val="20"/>
        </w:rPr>
        <w:t>Aruna</w:t>
      </w:r>
      <w:proofErr w:type="spellEnd"/>
      <w:r w:rsidRPr="00D30290">
        <w:rPr>
          <w:rFonts w:ascii="Arial" w:hAnsi="Arial" w:cs="Arial"/>
          <w:sz w:val="20"/>
          <w:szCs w:val="20"/>
        </w:rPr>
        <w:t xml:space="preserve">, </w:t>
      </w:r>
      <w:proofErr w:type="spellStart"/>
      <w:r w:rsidRPr="00D30290">
        <w:rPr>
          <w:rFonts w:ascii="Arial" w:hAnsi="Arial" w:cs="Arial"/>
          <w:sz w:val="20"/>
          <w:szCs w:val="20"/>
        </w:rPr>
        <w:t>Palanichamy</w:t>
      </w:r>
      <w:proofErr w:type="spellEnd"/>
      <w:r w:rsidRPr="00D30290">
        <w:rPr>
          <w:rFonts w:ascii="Arial" w:hAnsi="Arial" w:cs="Arial"/>
          <w:sz w:val="20"/>
          <w:szCs w:val="20"/>
        </w:rPr>
        <w:t xml:space="preserve"> N </w:t>
      </w:r>
      <w:proofErr w:type="spellStart"/>
      <w:r w:rsidRPr="00D30290">
        <w:rPr>
          <w:rFonts w:ascii="Arial" w:hAnsi="Arial" w:cs="Arial"/>
          <w:sz w:val="20"/>
          <w:szCs w:val="20"/>
        </w:rPr>
        <w:t>Venkatesa</w:t>
      </w:r>
      <w:proofErr w:type="spellEnd"/>
      <w:r w:rsidRPr="00D30290">
        <w:rPr>
          <w:rFonts w:ascii="Arial" w:hAnsi="Arial" w:cs="Arial"/>
          <w:sz w:val="20"/>
          <w:szCs w:val="20"/>
        </w:rPr>
        <w:t xml:space="preserve">, </w:t>
      </w:r>
      <w:proofErr w:type="spellStart"/>
      <w:r w:rsidRPr="00D30290">
        <w:rPr>
          <w:rFonts w:ascii="Arial" w:hAnsi="Arial" w:cs="Arial"/>
          <w:sz w:val="20"/>
          <w:szCs w:val="20"/>
        </w:rPr>
        <w:t>Murugananthi</w:t>
      </w:r>
      <w:proofErr w:type="spellEnd"/>
      <w:r w:rsidRPr="00D30290">
        <w:rPr>
          <w:rFonts w:ascii="Arial" w:hAnsi="Arial" w:cs="Arial"/>
          <w:sz w:val="20"/>
          <w:szCs w:val="20"/>
        </w:rPr>
        <w:t xml:space="preserve"> D, </w:t>
      </w:r>
      <w:proofErr w:type="spellStart"/>
      <w:r w:rsidRPr="00D30290">
        <w:rPr>
          <w:rFonts w:ascii="Arial" w:hAnsi="Arial" w:cs="Arial"/>
          <w:sz w:val="20"/>
          <w:szCs w:val="20"/>
        </w:rPr>
        <w:t>Shivakumar</w:t>
      </w:r>
      <w:proofErr w:type="spellEnd"/>
      <w:r w:rsidRPr="00D30290">
        <w:rPr>
          <w:rFonts w:ascii="Arial" w:hAnsi="Arial" w:cs="Arial"/>
          <w:sz w:val="20"/>
          <w:szCs w:val="20"/>
        </w:rPr>
        <w:t xml:space="preserve"> K M, Kalpana M &amp; Balakrishnan M,</w:t>
      </w:r>
      <w:r w:rsidR="007C00CB">
        <w:rPr>
          <w:rFonts w:ascii="Arial" w:hAnsi="Arial" w:cs="Arial"/>
          <w:sz w:val="20"/>
          <w:szCs w:val="20"/>
        </w:rPr>
        <w:t xml:space="preserve"> </w:t>
      </w:r>
      <w:r w:rsidRPr="00D30290">
        <w:rPr>
          <w:rFonts w:ascii="Arial" w:hAnsi="Arial" w:cs="Arial"/>
          <w:sz w:val="20"/>
          <w:szCs w:val="20"/>
        </w:rPr>
        <w:t>(2024) Spicing up the major markets of turmeric in India, Plant Science Today, 12(1):1-5.</w:t>
      </w:r>
    </w:p>
    <w:p w14:paraId="166809E0" w14:textId="754A08DB"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 </w:t>
      </w:r>
      <w:proofErr w:type="gramStart"/>
      <w:r w:rsidRPr="00D30290">
        <w:rPr>
          <w:rFonts w:ascii="Arial" w:hAnsi="Arial" w:cs="Arial"/>
          <w:sz w:val="20"/>
          <w:szCs w:val="20"/>
        </w:rPr>
        <w:t>A</w:t>
      </w:r>
      <w:proofErr w:type="gramEnd"/>
      <w:r w:rsidRPr="00D30290">
        <w:rPr>
          <w:rFonts w:ascii="Arial" w:hAnsi="Arial" w:cs="Arial"/>
          <w:sz w:val="20"/>
          <w:szCs w:val="20"/>
        </w:rPr>
        <w:t xml:space="preserve"> Ajmal, Rohith S., </w:t>
      </w:r>
      <w:proofErr w:type="spellStart"/>
      <w:r w:rsidRPr="00D30290">
        <w:rPr>
          <w:rFonts w:ascii="Arial" w:hAnsi="Arial" w:cs="Arial"/>
          <w:sz w:val="20"/>
          <w:szCs w:val="20"/>
        </w:rPr>
        <w:t>Unniravisankar</w:t>
      </w:r>
      <w:proofErr w:type="spellEnd"/>
      <w:r w:rsidRPr="00D30290">
        <w:rPr>
          <w:rFonts w:ascii="Arial" w:hAnsi="Arial" w:cs="Arial"/>
          <w:sz w:val="20"/>
          <w:szCs w:val="20"/>
        </w:rPr>
        <w:t xml:space="preserve"> P and </w:t>
      </w:r>
      <w:proofErr w:type="spellStart"/>
      <w:r w:rsidRPr="00D30290">
        <w:rPr>
          <w:rFonts w:ascii="Arial" w:hAnsi="Arial" w:cs="Arial"/>
          <w:sz w:val="20"/>
          <w:szCs w:val="20"/>
        </w:rPr>
        <w:t>Nabay</w:t>
      </w:r>
      <w:proofErr w:type="spellEnd"/>
      <w:r w:rsidRPr="00D30290">
        <w:rPr>
          <w:rFonts w:ascii="Arial" w:hAnsi="Arial" w:cs="Arial"/>
          <w:sz w:val="20"/>
          <w:szCs w:val="20"/>
        </w:rPr>
        <w:t xml:space="preserve"> Osman. (2024) Asian Journal of Agricultural Extension, Economics &amp; Sociology, 42(3):134-143. DOI: 10.9734/AJAEES/2024/v42i32387</w:t>
      </w:r>
    </w:p>
    <w:p w14:paraId="78E94506" w14:textId="425A9099"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Savitha M G, </w:t>
      </w:r>
      <w:proofErr w:type="spellStart"/>
      <w:r w:rsidRPr="00D30290">
        <w:rPr>
          <w:rFonts w:ascii="Arial" w:hAnsi="Arial" w:cs="Arial"/>
          <w:sz w:val="20"/>
          <w:szCs w:val="20"/>
        </w:rPr>
        <w:t>Kunnal</w:t>
      </w:r>
      <w:proofErr w:type="spellEnd"/>
      <w:r w:rsidRPr="00D30290">
        <w:rPr>
          <w:rFonts w:ascii="Arial" w:hAnsi="Arial" w:cs="Arial"/>
          <w:sz w:val="20"/>
          <w:szCs w:val="20"/>
        </w:rPr>
        <w:t xml:space="preserve"> L B. Price and pattern of market arrivals and prices of paddy in </w:t>
      </w:r>
      <w:proofErr w:type="spellStart"/>
      <w:r w:rsidRPr="00D30290">
        <w:rPr>
          <w:rFonts w:ascii="Arial" w:hAnsi="Arial" w:cs="Arial"/>
          <w:sz w:val="20"/>
          <w:szCs w:val="20"/>
        </w:rPr>
        <w:t>Sindhanur</w:t>
      </w:r>
      <w:proofErr w:type="spellEnd"/>
      <w:r w:rsidRPr="00D30290">
        <w:rPr>
          <w:rFonts w:ascii="Arial" w:hAnsi="Arial" w:cs="Arial"/>
          <w:sz w:val="20"/>
          <w:szCs w:val="20"/>
        </w:rPr>
        <w:t xml:space="preserve"> and </w:t>
      </w:r>
      <w:proofErr w:type="spellStart"/>
      <w:r w:rsidRPr="00D30290">
        <w:rPr>
          <w:rFonts w:ascii="Arial" w:hAnsi="Arial" w:cs="Arial"/>
          <w:sz w:val="20"/>
          <w:szCs w:val="20"/>
        </w:rPr>
        <w:t>Sirguppa</w:t>
      </w:r>
      <w:proofErr w:type="spellEnd"/>
      <w:r w:rsidRPr="00D30290">
        <w:rPr>
          <w:rFonts w:ascii="Arial" w:hAnsi="Arial" w:cs="Arial"/>
          <w:sz w:val="20"/>
          <w:szCs w:val="20"/>
        </w:rPr>
        <w:t xml:space="preserve"> markets of Kar </w:t>
      </w:r>
      <w:proofErr w:type="spellStart"/>
      <w:r w:rsidRPr="00D30290">
        <w:rPr>
          <w:rFonts w:ascii="Arial" w:hAnsi="Arial" w:cs="Arial"/>
          <w:sz w:val="20"/>
          <w:szCs w:val="20"/>
        </w:rPr>
        <w:t>nataka</w:t>
      </w:r>
      <w:proofErr w:type="spellEnd"/>
      <w:r w:rsidRPr="00D30290">
        <w:rPr>
          <w:rFonts w:ascii="Arial" w:hAnsi="Arial" w:cs="Arial"/>
          <w:sz w:val="20"/>
          <w:szCs w:val="20"/>
        </w:rPr>
        <w:t xml:space="preserve">. </w:t>
      </w:r>
      <w:r w:rsidR="007C00CB" w:rsidRPr="007C00CB">
        <w:rPr>
          <w:rFonts w:ascii="Arial" w:hAnsi="Arial" w:cs="Arial"/>
          <w:sz w:val="20"/>
          <w:szCs w:val="20"/>
        </w:rPr>
        <w:t>International Research Journal of Agricultural Economics and Statistics</w:t>
      </w:r>
      <w:r w:rsidR="007C00CB">
        <w:rPr>
          <w:rFonts w:ascii="Arial" w:hAnsi="Arial" w:cs="Arial"/>
          <w:sz w:val="20"/>
          <w:szCs w:val="20"/>
        </w:rPr>
        <w:t>,</w:t>
      </w:r>
      <w:r w:rsidRPr="00D30290">
        <w:rPr>
          <w:rFonts w:ascii="Arial" w:hAnsi="Arial" w:cs="Arial"/>
          <w:sz w:val="20"/>
          <w:szCs w:val="20"/>
        </w:rPr>
        <w:t xml:space="preserve"> 2016;7(2):143–8. https:// doi.org/10.15740/has/</w:t>
      </w:r>
      <w:proofErr w:type="spellStart"/>
      <w:r w:rsidRPr="00D30290">
        <w:rPr>
          <w:rFonts w:ascii="Arial" w:hAnsi="Arial" w:cs="Arial"/>
          <w:sz w:val="20"/>
          <w:szCs w:val="20"/>
        </w:rPr>
        <w:t>irjaes</w:t>
      </w:r>
      <w:proofErr w:type="spellEnd"/>
      <w:r w:rsidRPr="00D30290">
        <w:rPr>
          <w:rFonts w:ascii="Arial" w:hAnsi="Arial" w:cs="Arial"/>
          <w:sz w:val="20"/>
          <w:szCs w:val="20"/>
        </w:rPr>
        <w:t>/7.2/143-148</w:t>
      </w:r>
    </w:p>
    <w:p w14:paraId="49E20E14" w14:textId="1032E615" w:rsidR="007177BE" w:rsidRPr="00020F96" w:rsidRDefault="00E60D0B" w:rsidP="00C451C3">
      <w:pPr>
        <w:pStyle w:val="ListParagraph"/>
        <w:numPr>
          <w:ilvl w:val="0"/>
          <w:numId w:val="12"/>
        </w:numPr>
        <w:spacing w:line="360" w:lineRule="auto"/>
        <w:jc w:val="both"/>
        <w:rPr>
          <w:rFonts w:ascii="Arial" w:hAnsi="Arial" w:cs="Arial"/>
          <w:color w:val="222222"/>
          <w:sz w:val="20"/>
          <w:szCs w:val="20"/>
          <w:shd w:val="clear" w:color="auto" w:fill="FFFFFF"/>
        </w:rPr>
      </w:pPr>
      <w:proofErr w:type="spellStart"/>
      <w:r w:rsidRPr="00D65E0D">
        <w:rPr>
          <w:rFonts w:ascii="Arial" w:hAnsi="Arial" w:cs="Arial"/>
          <w:sz w:val="20"/>
          <w:szCs w:val="20"/>
        </w:rPr>
        <w:t>Venujayakanth</w:t>
      </w:r>
      <w:proofErr w:type="spellEnd"/>
      <w:r w:rsidRPr="00D65E0D">
        <w:rPr>
          <w:rFonts w:ascii="Arial" w:hAnsi="Arial" w:cs="Arial"/>
          <w:sz w:val="20"/>
          <w:szCs w:val="20"/>
        </w:rPr>
        <w:t xml:space="preserve"> B., </w:t>
      </w:r>
      <w:proofErr w:type="spellStart"/>
      <w:r w:rsidRPr="00D65E0D">
        <w:rPr>
          <w:rFonts w:ascii="Arial" w:hAnsi="Arial" w:cs="Arial"/>
          <w:sz w:val="20"/>
          <w:szCs w:val="20"/>
        </w:rPr>
        <w:t>Dudhat</w:t>
      </w:r>
      <w:proofErr w:type="spellEnd"/>
      <w:r w:rsidRPr="00D65E0D">
        <w:rPr>
          <w:rFonts w:ascii="Arial" w:hAnsi="Arial" w:cs="Arial"/>
          <w:sz w:val="20"/>
          <w:szCs w:val="20"/>
        </w:rPr>
        <w:t xml:space="preserve"> A.S., Swaminathan B.  and </w:t>
      </w:r>
      <w:proofErr w:type="spellStart"/>
      <w:r w:rsidRPr="00D65E0D">
        <w:rPr>
          <w:rFonts w:ascii="Arial" w:hAnsi="Arial" w:cs="Arial"/>
          <w:sz w:val="20"/>
          <w:szCs w:val="20"/>
        </w:rPr>
        <w:t>Ardeshana</w:t>
      </w:r>
      <w:proofErr w:type="spellEnd"/>
      <w:r w:rsidRPr="00D65E0D">
        <w:rPr>
          <w:rFonts w:ascii="Arial" w:hAnsi="Arial" w:cs="Arial"/>
          <w:sz w:val="20"/>
          <w:szCs w:val="20"/>
        </w:rPr>
        <w:t xml:space="preserve"> N.J., (2017) Price Integration Analysis of Major Groundnut Domestic Markets in India, Economic Affairs, 62(2):233-241.</w:t>
      </w:r>
    </w:p>
    <w:p w14:paraId="78A224C3" w14:textId="031CE9A7" w:rsidR="005B4DA6" w:rsidRPr="00020F96" w:rsidRDefault="005B4DA6" w:rsidP="00C451C3">
      <w:pPr>
        <w:pStyle w:val="ListParagraph"/>
        <w:numPr>
          <w:ilvl w:val="0"/>
          <w:numId w:val="12"/>
        </w:numPr>
        <w:spacing w:line="360" w:lineRule="auto"/>
        <w:jc w:val="both"/>
        <w:rPr>
          <w:rFonts w:ascii="Arial" w:hAnsi="Arial" w:cs="Arial"/>
          <w:color w:val="222222"/>
          <w:sz w:val="20"/>
          <w:szCs w:val="20"/>
          <w:highlight w:val="yellow"/>
          <w:shd w:val="clear" w:color="auto" w:fill="FFFFFF"/>
        </w:rPr>
      </w:pPr>
      <w:r w:rsidRPr="00020F96">
        <w:rPr>
          <w:rFonts w:ascii="Arial" w:hAnsi="Arial" w:cs="Arial"/>
          <w:color w:val="222222"/>
          <w:sz w:val="20"/>
          <w:szCs w:val="20"/>
          <w:highlight w:val="yellow"/>
          <w:shd w:val="clear" w:color="auto" w:fill="FFFFFF"/>
        </w:rPr>
        <w:t xml:space="preserve">Reddy, M., &amp; </w:t>
      </w:r>
      <w:proofErr w:type="spellStart"/>
      <w:r w:rsidRPr="00020F96">
        <w:rPr>
          <w:rFonts w:ascii="Arial" w:hAnsi="Arial" w:cs="Arial"/>
          <w:color w:val="222222"/>
          <w:sz w:val="20"/>
          <w:szCs w:val="20"/>
          <w:highlight w:val="yellow"/>
          <w:shd w:val="clear" w:color="auto" w:fill="FFFFFF"/>
        </w:rPr>
        <w:t>Ponnam</w:t>
      </w:r>
      <w:proofErr w:type="spellEnd"/>
      <w:r w:rsidRPr="00020F96">
        <w:rPr>
          <w:rFonts w:ascii="Arial" w:hAnsi="Arial" w:cs="Arial"/>
          <w:color w:val="222222"/>
          <w:sz w:val="20"/>
          <w:szCs w:val="20"/>
          <w:highlight w:val="yellow"/>
          <w:shd w:val="clear" w:color="auto" w:fill="FFFFFF"/>
        </w:rPr>
        <w:t>, N. (2023). Chilli farming for Indian health and wealth. </w:t>
      </w:r>
      <w:r w:rsidRPr="00020F96">
        <w:rPr>
          <w:rFonts w:ascii="Arial" w:hAnsi="Arial" w:cs="Arial"/>
          <w:i/>
          <w:iCs/>
          <w:color w:val="222222"/>
          <w:sz w:val="20"/>
          <w:szCs w:val="20"/>
          <w:highlight w:val="yellow"/>
          <w:shd w:val="clear" w:color="auto" w:fill="FFFFFF"/>
        </w:rPr>
        <w:t>Indian Horticulture</w:t>
      </w:r>
      <w:r w:rsidRPr="00020F96">
        <w:rPr>
          <w:rFonts w:ascii="Arial" w:hAnsi="Arial" w:cs="Arial"/>
          <w:color w:val="222222"/>
          <w:sz w:val="20"/>
          <w:szCs w:val="20"/>
          <w:highlight w:val="yellow"/>
          <w:shd w:val="clear" w:color="auto" w:fill="FFFFFF"/>
        </w:rPr>
        <w:t>, </w:t>
      </w:r>
      <w:r w:rsidRPr="00020F96">
        <w:rPr>
          <w:rFonts w:ascii="Arial" w:hAnsi="Arial" w:cs="Arial"/>
          <w:i/>
          <w:iCs/>
          <w:color w:val="222222"/>
          <w:sz w:val="20"/>
          <w:szCs w:val="20"/>
          <w:highlight w:val="yellow"/>
          <w:shd w:val="clear" w:color="auto" w:fill="FFFFFF"/>
        </w:rPr>
        <w:t>68</w:t>
      </w:r>
      <w:r w:rsidRPr="00020F96">
        <w:rPr>
          <w:rFonts w:ascii="Arial" w:hAnsi="Arial" w:cs="Arial"/>
          <w:color w:val="222222"/>
          <w:sz w:val="20"/>
          <w:szCs w:val="20"/>
          <w:highlight w:val="yellow"/>
          <w:shd w:val="clear" w:color="auto" w:fill="FFFFFF"/>
        </w:rPr>
        <w:t>(2), 87-89.</w:t>
      </w:r>
    </w:p>
    <w:p w14:paraId="15116BD8" w14:textId="28F30CB9" w:rsidR="005B4DA6" w:rsidRDefault="00404E89" w:rsidP="00C451C3">
      <w:pPr>
        <w:pStyle w:val="ListParagraph"/>
        <w:numPr>
          <w:ilvl w:val="0"/>
          <w:numId w:val="12"/>
        </w:numPr>
        <w:spacing w:line="360" w:lineRule="auto"/>
        <w:jc w:val="both"/>
        <w:rPr>
          <w:rFonts w:ascii="Arial" w:hAnsi="Arial" w:cs="Arial"/>
          <w:color w:val="222222"/>
          <w:sz w:val="20"/>
          <w:szCs w:val="20"/>
          <w:highlight w:val="yellow"/>
          <w:shd w:val="clear" w:color="auto" w:fill="FFFFFF"/>
        </w:rPr>
      </w:pPr>
      <w:proofErr w:type="spellStart"/>
      <w:r w:rsidRPr="00404E89">
        <w:rPr>
          <w:rFonts w:ascii="Arial" w:hAnsi="Arial" w:cs="Arial"/>
          <w:color w:val="222222"/>
          <w:sz w:val="20"/>
          <w:szCs w:val="20"/>
          <w:highlight w:val="yellow"/>
          <w:shd w:val="clear" w:color="auto" w:fill="FFFFFF"/>
        </w:rPr>
        <w:t>Bushetti</w:t>
      </w:r>
      <w:proofErr w:type="spellEnd"/>
      <w:r w:rsidRPr="00404E89">
        <w:rPr>
          <w:rFonts w:ascii="Arial" w:hAnsi="Arial" w:cs="Arial"/>
          <w:color w:val="222222"/>
          <w:sz w:val="20"/>
          <w:szCs w:val="20"/>
          <w:highlight w:val="yellow"/>
          <w:shd w:val="clear" w:color="auto" w:fill="FFFFFF"/>
        </w:rPr>
        <w:t xml:space="preserve">, V., &amp; Krishnamurthy, B. (2023). Profile Characteristics and Economic Performance of </w:t>
      </w:r>
      <w:proofErr w:type="spellStart"/>
      <w:r w:rsidRPr="00404E89">
        <w:rPr>
          <w:rFonts w:ascii="Arial" w:hAnsi="Arial" w:cs="Arial"/>
          <w:color w:val="222222"/>
          <w:sz w:val="20"/>
          <w:szCs w:val="20"/>
          <w:highlight w:val="yellow"/>
          <w:shd w:val="clear" w:color="auto" w:fill="FFFFFF"/>
        </w:rPr>
        <w:t>Byadagi</w:t>
      </w:r>
      <w:proofErr w:type="spellEnd"/>
      <w:r w:rsidRPr="00404E89">
        <w:rPr>
          <w:rFonts w:ascii="Arial" w:hAnsi="Arial" w:cs="Arial"/>
          <w:color w:val="222222"/>
          <w:sz w:val="20"/>
          <w:szCs w:val="20"/>
          <w:highlight w:val="yellow"/>
          <w:shd w:val="clear" w:color="auto" w:fill="FFFFFF"/>
        </w:rPr>
        <w:t xml:space="preserve"> Chilli Growers in Haveri District of Karnataka. </w:t>
      </w:r>
      <w:r w:rsidRPr="00404E89">
        <w:rPr>
          <w:rFonts w:ascii="Arial" w:hAnsi="Arial" w:cs="Arial"/>
          <w:i/>
          <w:iCs/>
          <w:color w:val="222222"/>
          <w:sz w:val="20"/>
          <w:szCs w:val="20"/>
          <w:highlight w:val="yellow"/>
          <w:shd w:val="clear" w:color="auto" w:fill="FFFFFF"/>
        </w:rPr>
        <w:t>Mysore Journal of Agricultural Sciences</w:t>
      </w:r>
      <w:r w:rsidRPr="00404E89">
        <w:rPr>
          <w:rFonts w:ascii="Arial" w:hAnsi="Arial" w:cs="Arial"/>
          <w:color w:val="222222"/>
          <w:sz w:val="20"/>
          <w:szCs w:val="20"/>
          <w:highlight w:val="yellow"/>
          <w:shd w:val="clear" w:color="auto" w:fill="FFFFFF"/>
        </w:rPr>
        <w:t>, </w:t>
      </w:r>
      <w:r w:rsidRPr="00404E89">
        <w:rPr>
          <w:rFonts w:ascii="Arial" w:hAnsi="Arial" w:cs="Arial"/>
          <w:i/>
          <w:iCs/>
          <w:color w:val="222222"/>
          <w:sz w:val="20"/>
          <w:szCs w:val="20"/>
          <w:highlight w:val="yellow"/>
          <w:shd w:val="clear" w:color="auto" w:fill="FFFFFF"/>
        </w:rPr>
        <w:t>57</w:t>
      </w:r>
      <w:r w:rsidRPr="00404E89">
        <w:rPr>
          <w:rFonts w:ascii="Arial" w:hAnsi="Arial" w:cs="Arial"/>
          <w:color w:val="222222"/>
          <w:sz w:val="20"/>
          <w:szCs w:val="20"/>
          <w:highlight w:val="yellow"/>
          <w:shd w:val="clear" w:color="auto" w:fill="FFFFFF"/>
        </w:rPr>
        <w:t>(1).</w:t>
      </w:r>
    </w:p>
    <w:p w14:paraId="0F3BCE3B" w14:textId="5815D652" w:rsidR="00AA24F7" w:rsidRPr="00020F96" w:rsidRDefault="00AA24F7" w:rsidP="00C451C3">
      <w:pPr>
        <w:pStyle w:val="ListParagraph"/>
        <w:numPr>
          <w:ilvl w:val="0"/>
          <w:numId w:val="12"/>
        </w:numPr>
        <w:spacing w:line="360" w:lineRule="auto"/>
        <w:jc w:val="both"/>
        <w:rPr>
          <w:rFonts w:ascii="Arial" w:hAnsi="Arial" w:cs="Arial"/>
          <w:color w:val="222222"/>
          <w:sz w:val="20"/>
          <w:szCs w:val="20"/>
          <w:highlight w:val="yellow"/>
          <w:shd w:val="clear" w:color="auto" w:fill="FFFFFF"/>
        </w:rPr>
      </w:pPr>
      <w:proofErr w:type="spellStart"/>
      <w:r w:rsidRPr="00AA24F7">
        <w:rPr>
          <w:rFonts w:ascii="Arial" w:hAnsi="Arial" w:cs="Arial"/>
          <w:color w:val="222222"/>
          <w:sz w:val="20"/>
          <w:szCs w:val="20"/>
          <w:shd w:val="clear" w:color="auto" w:fill="FFFFFF"/>
        </w:rPr>
        <w:t>Chaithra</w:t>
      </w:r>
      <w:proofErr w:type="spellEnd"/>
      <w:r w:rsidRPr="00AA24F7">
        <w:rPr>
          <w:rFonts w:ascii="Arial" w:hAnsi="Arial" w:cs="Arial"/>
          <w:color w:val="222222"/>
          <w:sz w:val="20"/>
          <w:szCs w:val="20"/>
          <w:shd w:val="clear" w:color="auto" w:fill="FFFFFF"/>
        </w:rPr>
        <w:t xml:space="preserve">, R. (2015). Statistical Evaluation of Price </w:t>
      </w:r>
      <w:proofErr w:type="spellStart"/>
      <w:r w:rsidRPr="00AA24F7">
        <w:rPr>
          <w:rFonts w:ascii="Arial" w:hAnsi="Arial" w:cs="Arial"/>
          <w:color w:val="222222"/>
          <w:sz w:val="20"/>
          <w:szCs w:val="20"/>
          <w:shd w:val="clear" w:color="auto" w:fill="FFFFFF"/>
        </w:rPr>
        <w:t>Behavior</w:t>
      </w:r>
      <w:proofErr w:type="spellEnd"/>
      <w:r w:rsidRPr="00AA24F7">
        <w:rPr>
          <w:rFonts w:ascii="Arial" w:hAnsi="Arial" w:cs="Arial"/>
          <w:color w:val="222222"/>
          <w:sz w:val="20"/>
          <w:szCs w:val="20"/>
          <w:shd w:val="clear" w:color="auto" w:fill="FFFFFF"/>
        </w:rPr>
        <w:t xml:space="preserve"> of Silk Cocoon in Selected Markets of Karnataka (Doctoral dissertation, University of Agricultural Sciences, GKVK).</w:t>
      </w:r>
    </w:p>
    <w:sectPr w:rsidR="00AA24F7" w:rsidRPr="00020F96">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A35FF" w14:textId="77777777" w:rsidR="00006D9D" w:rsidRDefault="00006D9D" w:rsidP="006800CF">
      <w:pPr>
        <w:spacing w:after="0" w:line="240" w:lineRule="auto"/>
      </w:pPr>
      <w:r>
        <w:separator/>
      </w:r>
    </w:p>
  </w:endnote>
  <w:endnote w:type="continuationSeparator" w:id="0">
    <w:p w14:paraId="289330F4" w14:textId="77777777" w:rsidR="00006D9D" w:rsidRDefault="00006D9D" w:rsidP="0068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13BD" w14:textId="77777777" w:rsidR="00006D9D" w:rsidRDefault="00006D9D" w:rsidP="006800CF">
      <w:pPr>
        <w:spacing w:after="0" w:line="240" w:lineRule="auto"/>
      </w:pPr>
      <w:r>
        <w:separator/>
      </w:r>
    </w:p>
  </w:footnote>
  <w:footnote w:type="continuationSeparator" w:id="0">
    <w:p w14:paraId="28009DAE" w14:textId="77777777" w:rsidR="00006D9D" w:rsidRDefault="00006D9D" w:rsidP="0068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EF2F" w14:textId="11FA8DCA" w:rsidR="006800CF" w:rsidRDefault="00006D9D">
    <w:pPr>
      <w:pStyle w:val="Header"/>
    </w:pPr>
    <w:r>
      <w:rPr>
        <w:noProof/>
      </w:rPr>
      <w:pict w14:anchorId="01CF8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75AE" w14:textId="5A804567" w:rsidR="006800CF" w:rsidRDefault="00006D9D">
    <w:pPr>
      <w:pStyle w:val="Header"/>
    </w:pPr>
    <w:r>
      <w:rPr>
        <w:noProof/>
      </w:rPr>
      <w:pict w14:anchorId="570E4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D844" w14:textId="1DBE5DE8" w:rsidR="006800CF" w:rsidRDefault="00006D9D">
    <w:pPr>
      <w:pStyle w:val="Header"/>
    </w:pPr>
    <w:r>
      <w:rPr>
        <w:noProof/>
      </w:rPr>
      <w:pict w14:anchorId="03DF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F08"/>
    <w:multiLevelType w:val="hybridMultilevel"/>
    <w:tmpl w:val="77E870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4637DC"/>
    <w:multiLevelType w:val="hybridMultilevel"/>
    <w:tmpl w:val="CBE83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35C06"/>
    <w:multiLevelType w:val="hybridMultilevel"/>
    <w:tmpl w:val="CF022C04"/>
    <w:lvl w:ilvl="0" w:tplc="142058C4">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6B364A"/>
    <w:multiLevelType w:val="hybridMultilevel"/>
    <w:tmpl w:val="021C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FE5907"/>
    <w:multiLevelType w:val="hybridMultilevel"/>
    <w:tmpl w:val="245C4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484AAD"/>
    <w:multiLevelType w:val="hybridMultilevel"/>
    <w:tmpl w:val="16CA91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19E7C77"/>
    <w:multiLevelType w:val="hybridMultilevel"/>
    <w:tmpl w:val="2AC89BF6"/>
    <w:lvl w:ilvl="0" w:tplc="4F82C6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125E06"/>
    <w:multiLevelType w:val="hybridMultilevel"/>
    <w:tmpl w:val="AD38E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5F24AA"/>
    <w:multiLevelType w:val="multilevel"/>
    <w:tmpl w:val="A71A4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84478A"/>
    <w:multiLevelType w:val="multilevel"/>
    <w:tmpl w:val="1B784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771160"/>
    <w:multiLevelType w:val="hybridMultilevel"/>
    <w:tmpl w:val="B706E0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8D7BBD"/>
    <w:multiLevelType w:val="multilevel"/>
    <w:tmpl w:val="A71A4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20FFC"/>
    <w:multiLevelType w:val="hybridMultilevel"/>
    <w:tmpl w:val="7D8CC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9"/>
  </w:num>
  <w:num w:numId="9">
    <w:abstractNumId w:val="2"/>
  </w:num>
  <w:num w:numId="10">
    <w:abstractNumId w:val="8"/>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CzNLAwNzM2trBQ0lEKTi0uzszPAykwrAUA0V8AriwAAAA="/>
  </w:docVars>
  <w:rsids>
    <w:rsidRoot w:val="005C075A"/>
    <w:rsid w:val="0000572A"/>
    <w:rsid w:val="00006D9D"/>
    <w:rsid w:val="00020F96"/>
    <w:rsid w:val="00022D49"/>
    <w:rsid w:val="0003455A"/>
    <w:rsid w:val="00035A36"/>
    <w:rsid w:val="00076598"/>
    <w:rsid w:val="00095E0C"/>
    <w:rsid w:val="00096F45"/>
    <w:rsid w:val="000A2076"/>
    <w:rsid w:val="000A2A99"/>
    <w:rsid w:val="000B3004"/>
    <w:rsid w:val="000C704E"/>
    <w:rsid w:val="000D1F71"/>
    <w:rsid w:val="000D31C3"/>
    <w:rsid w:val="00122430"/>
    <w:rsid w:val="00123128"/>
    <w:rsid w:val="00132679"/>
    <w:rsid w:val="00134DED"/>
    <w:rsid w:val="00143B86"/>
    <w:rsid w:val="00145C13"/>
    <w:rsid w:val="0015184D"/>
    <w:rsid w:val="0017036B"/>
    <w:rsid w:val="001D6F53"/>
    <w:rsid w:val="001F5289"/>
    <w:rsid w:val="002379E5"/>
    <w:rsid w:val="002531CC"/>
    <w:rsid w:val="00263EBA"/>
    <w:rsid w:val="00274FB6"/>
    <w:rsid w:val="002A3DA7"/>
    <w:rsid w:val="002A796F"/>
    <w:rsid w:val="002B3EE8"/>
    <w:rsid w:val="002B5929"/>
    <w:rsid w:val="002B726F"/>
    <w:rsid w:val="002C1F15"/>
    <w:rsid w:val="00305B42"/>
    <w:rsid w:val="00322623"/>
    <w:rsid w:val="00332159"/>
    <w:rsid w:val="0033420B"/>
    <w:rsid w:val="003670C6"/>
    <w:rsid w:val="00373722"/>
    <w:rsid w:val="003972ED"/>
    <w:rsid w:val="003B617D"/>
    <w:rsid w:val="003C173B"/>
    <w:rsid w:val="003C5A0D"/>
    <w:rsid w:val="003D57F0"/>
    <w:rsid w:val="003F41F0"/>
    <w:rsid w:val="00401BEE"/>
    <w:rsid w:val="00404E89"/>
    <w:rsid w:val="00435205"/>
    <w:rsid w:val="00444B72"/>
    <w:rsid w:val="004730FF"/>
    <w:rsid w:val="00476A8F"/>
    <w:rsid w:val="00481C4B"/>
    <w:rsid w:val="004A2EAB"/>
    <w:rsid w:val="004B15C1"/>
    <w:rsid w:val="004B5F45"/>
    <w:rsid w:val="004E0F7F"/>
    <w:rsid w:val="004E1D0C"/>
    <w:rsid w:val="004F0374"/>
    <w:rsid w:val="004F46EE"/>
    <w:rsid w:val="004F54A0"/>
    <w:rsid w:val="005145BE"/>
    <w:rsid w:val="00516146"/>
    <w:rsid w:val="00551FAC"/>
    <w:rsid w:val="00557B1D"/>
    <w:rsid w:val="00564A79"/>
    <w:rsid w:val="00565997"/>
    <w:rsid w:val="00575253"/>
    <w:rsid w:val="005952F9"/>
    <w:rsid w:val="005B4DA6"/>
    <w:rsid w:val="005C075A"/>
    <w:rsid w:val="005C3FBD"/>
    <w:rsid w:val="005D2086"/>
    <w:rsid w:val="005E2B8D"/>
    <w:rsid w:val="005F602E"/>
    <w:rsid w:val="005F6C97"/>
    <w:rsid w:val="005F7A2C"/>
    <w:rsid w:val="00603D33"/>
    <w:rsid w:val="00617000"/>
    <w:rsid w:val="0062658D"/>
    <w:rsid w:val="00671F0C"/>
    <w:rsid w:val="006800CF"/>
    <w:rsid w:val="00683BCD"/>
    <w:rsid w:val="0069438A"/>
    <w:rsid w:val="006A67A2"/>
    <w:rsid w:val="006D2877"/>
    <w:rsid w:val="006E267E"/>
    <w:rsid w:val="006F20DD"/>
    <w:rsid w:val="007019AD"/>
    <w:rsid w:val="007126C4"/>
    <w:rsid w:val="007177BE"/>
    <w:rsid w:val="00736F63"/>
    <w:rsid w:val="0079231B"/>
    <w:rsid w:val="00793B44"/>
    <w:rsid w:val="007B7FCF"/>
    <w:rsid w:val="007C00CB"/>
    <w:rsid w:val="007C04CA"/>
    <w:rsid w:val="00803A1D"/>
    <w:rsid w:val="0082224F"/>
    <w:rsid w:val="00824960"/>
    <w:rsid w:val="0082766A"/>
    <w:rsid w:val="008333D6"/>
    <w:rsid w:val="00841918"/>
    <w:rsid w:val="008474F5"/>
    <w:rsid w:val="00860E07"/>
    <w:rsid w:val="0088601A"/>
    <w:rsid w:val="008872B0"/>
    <w:rsid w:val="00891CFE"/>
    <w:rsid w:val="008C0D8F"/>
    <w:rsid w:val="008C5B26"/>
    <w:rsid w:val="008F1F60"/>
    <w:rsid w:val="008F587A"/>
    <w:rsid w:val="00912841"/>
    <w:rsid w:val="009177C6"/>
    <w:rsid w:val="00917DF2"/>
    <w:rsid w:val="00940007"/>
    <w:rsid w:val="009722FB"/>
    <w:rsid w:val="009914FF"/>
    <w:rsid w:val="009A6F1E"/>
    <w:rsid w:val="009D4461"/>
    <w:rsid w:val="009D63C9"/>
    <w:rsid w:val="00A03961"/>
    <w:rsid w:val="00A05F13"/>
    <w:rsid w:val="00A12BF6"/>
    <w:rsid w:val="00A21288"/>
    <w:rsid w:val="00A4446E"/>
    <w:rsid w:val="00A60CF6"/>
    <w:rsid w:val="00A61D62"/>
    <w:rsid w:val="00A64EEC"/>
    <w:rsid w:val="00A7050A"/>
    <w:rsid w:val="00A71B01"/>
    <w:rsid w:val="00A84B6B"/>
    <w:rsid w:val="00A85B25"/>
    <w:rsid w:val="00A923BC"/>
    <w:rsid w:val="00AA24F7"/>
    <w:rsid w:val="00AF1E9C"/>
    <w:rsid w:val="00AF3154"/>
    <w:rsid w:val="00B021BC"/>
    <w:rsid w:val="00B04E95"/>
    <w:rsid w:val="00B36476"/>
    <w:rsid w:val="00B504B4"/>
    <w:rsid w:val="00B55E2E"/>
    <w:rsid w:val="00B60D2B"/>
    <w:rsid w:val="00B706C6"/>
    <w:rsid w:val="00B72BD0"/>
    <w:rsid w:val="00B84D41"/>
    <w:rsid w:val="00BA20F9"/>
    <w:rsid w:val="00BA7DC1"/>
    <w:rsid w:val="00BD24C2"/>
    <w:rsid w:val="00C06862"/>
    <w:rsid w:val="00C11ECA"/>
    <w:rsid w:val="00C14D9B"/>
    <w:rsid w:val="00C162B3"/>
    <w:rsid w:val="00C20429"/>
    <w:rsid w:val="00C23985"/>
    <w:rsid w:val="00C523E8"/>
    <w:rsid w:val="00C90F16"/>
    <w:rsid w:val="00C91806"/>
    <w:rsid w:val="00CA071B"/>
    <w:rsid w:val="00CE6098"/>
    <w:rsid w:val="00CE6525"/>
    <w:rsid w:val="00D01784"/>
    <w:rsid w:val="00D15760"/>
    <w:rsid w:val="00D30290"/>
    <w:rsid w:val="00D55735"/>
    <w:rsid w:val="00D55B11"/>
    <w:rsid w:val="00D65E0D"/>
    <w:rsid w:val="00D8238F"/>
    <w:rsid w:val="00D8745B"/>
    <w:rsid w:val="00D92276"/>
    <w:rsid w:val="00D94E70"/>
    <w:rsid w:val="00DA5DCA"/>
    <w:rsid w:val="00DC0283"/>
    <w:rsid w:val="00DC06A9"/>
    <w:rsid w:val="00DC3A0E"/>
    <w:rsid w:val="00DC443D"/>
    <w:rsid w:val="00DD5739"/>
    <w:rsid w:val="00DE255F"/>
    <w:rsid w:val="00DE347F"/>
    <w:rsid w:val="00E02041"/>
    <w:rsid w:val="00E231EE"/>
    <w:rsid w:val="00E242E2"/>
    <w:rsid w:val="00E35002"/>
    <w:rsid w:val="00E354B6"/>
    <w:rsid w:val="00E50F6F"/>
    <w:rsid w:val="00E60D0B"/>
    <w:rsid w:val="00E621D2"/>
    <w:rsid w:val="00E6509B"/>
    <w:rsid w:val="00E92764"/>
    <w:rsid w:val="00E93D66"/>
    <w:rsid w:val="00EA5B98"/>
    <w:rsid w:val="00EB47F4"/>
    <w:rsid w:val="00ED36D7"/>
    <w:rsid w:val="00EF4F3B"/>
    <w:rsid w:val="00F0398D"/>
    <w:rsid w:val="00F03FF0"/>
    <w:rsid w:val="00F24F74"/>
    <w:rsid w:val="00F27E7A"/>
    <w:rsid w:val="00F34CA3"/>
    <w:rsid w:val="00F6498C"/>
    <w:rsid w:val="00F82579"/>
    <w:rsid w:val="00F82D47"/>
    <w:rsid w:val="00F85A88"/>
    <w:rsid w:val="00F9337A"/>
    <w:rsid w:val="00FC2B61"/>
    <w:rsid w:val="00FE0D5B"/>
    <w:rsid w:val="00FE431F"/>
    <w:rsid w:val="00FE5B86"/>
    <w:rsid w:val="00FF7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968102"/>
  <w15:docId w15:val="{63B6C7D9-4378-4B63-ACA2-AF6152A9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7000"/>
    <w:pPr>
      <w:ind w:left="720"/>
      <w:contextualSpacing/>
    </w:pPr>
  </w:style>
  <w:style w:type="character" w:customStyle="1" w:styleId="ListParagraphChar">
    <w:name w:val="List Paragraph Char"/>
    <w:basedOn w:val="DefaultParagraphFont"/>
    <w:link w:val="ListParagraph"/>
    <w:uiPriority w:val="34"/>
    <w:rsid w:val="00617000"/>
  </w:style>
  <w:style w:type="character" w:styleId="Strong">
    <w:name w:val="Strong"/>
    <w:basedOn w:val="DefaultParagraphFont"/>
    <w:uiPriority w:val="22"/>
    <w:qFormat/>
    <w:rsid w:val="00617000"/>
    <w:rPr>
      <w:b/>
      <w:bCs/>
    </w:rPr>
  </w:style>
  <w:style w:type="table" w:styleId="TableGrid">
    <w:name w:val="Table Grid"/>
    <w:basedOn w:val="TableNormal"/>
    <w:uiPriority w:val="5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000"/>
    <w:rPr>
      <w:color w:val="0563C1" w:themeColor="hyperlink"/>
      <w:u w:val="single"/>
    </w:rPr>
  </w:style>
  <w:style w:type="character" w:customStyle="1" w:styleId="UnresolvedMention1">
    <w:name w:val="Unresolved Mention1"/>
    <w:basedOn w:val="DefaultParagraphFont"/>
    <w:uiPriority w:val="99"/>
    <w:semiHidden/>
    <w:unhideWhenUsed/>
    <w:rsid w:val="00C162B3"/>
    <w:rPr>
      <w:color w:val="605E5C"/>
      <w:shd w:val="clear" w:color="auto" w:fill="E1DFDD"/>
    </w:rPr>
  </w:style>
  <w:style w:type="character" w:customStyle="1" w:styleId="Heading1Char">
    <w:name w:val="Heading 1 Char"/>
    <w:basedOn w:val="DefaultParagraphFont"/>
    <w:link w:val="Heading1"/>
    <w:uiPriority w:val="9"/>
    <w:rsid w:val="006E267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F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65B"/>
    <w:rPr>
      <w:rFonts w:ascii="Tahoma" w:hAnsi="Tahoma" w:cs="Tahoma"/>
      <w:sz w:val="16"/>
      <w:szCs w:val="16"/>
    </w:rPr>
  </w:style>
  <w:style w:type="character" w:customStyle="1" w:styleId="UnresolvedMention2">
    <w:name w:val="Unresolved Mention2"/>
    <w:basedOn w:val="DefaultParagraphFont"/>
    <w:uiPriority w:val="99"/>
    <w:semiHidden/>
    <w:unhideWhenUsed/>
    <w:rsid w:val="00516146"/>
    <w:rPr>
      <w:color w:val="605E5C"/>
      <w:shd w:val="clear" w:color="auto" w:fill="E1DFDD"/>
    </w:rPr>
  </w:style>
  <w:style w:type="paragraph" w:styleId="Header">
    <w:name w:val="header"/>
    <w:basedOn w:val="Normal"/>
    <w:link w:val="HeaderChar"/>
    <w:uiPriority w:val="99"/>
    <w:unhideWhenUsed/>
    <w:rsid w:val="00680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0CF"/>
  </w:style>
  <w:style w:type="paragraph" w:styleId="Footer">
    <w:name w:val="footer"/>
    <w:basedOn w:val="Normal"/>
    <w:link w:val="FooterChar"/>
    <w:uiPriority w:val="99"/>
    <w:unhideWhenUsed/>
    <w:rsid w:val="0068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0CF"/>
  </w:style>
  <w:style w:type="table" w:customStyle="1" w:styleId="tabletemplate">
    <w:name w:val="table_template"/>
    <w:basedOn w:val="TableNormal"/>
    <w:uiPriority w:val="59"/>
    <w:rsid w:val="005F602E"/>
    <w:pPr>
      <w:spacing w:after="0" w:line="240" w:lineRule="auto"/>
      <w:jc w:val="right"/>
    </w:pPr>
    <w:rPr>
      <w:rFonts w:eastAsia="Times New Roman"/>
      <w:kern w:val="0"/>
      <w:sz w:val="24"/>
      <w:szCs w:val="24"/>
      <w:lang w:val="en-US"/>
      <w14:ligatures w14:val="none"/>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paragraph" w:styleId="Revision">
    <w:name w:val="Revision"/>
    <w:hidden/>
    <w:uiPriority w:val="99"/>
    <w:semiHidden/>
    <w:rsid w:val="00712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131">
      <w:bodyDiv w:val="1"/>
      <w:marLeft w:val="0"/>
      <w:marRight w:val="0"/>
      <w:marTop w:val="0"/>
      <w:marBottom w:val="0"/>
      <w:divBdr>
        <w:top w:val="none" w:sz="0" w:space="0" w:color="auto"/>
        <w:left w:val="none" w:sz="0" w:space="0" w:color="auto"/>
        <w:bottom w:val="none" w:sz="0" w:space="0" w:color="auto"/>
        <w:right w:val="none" w:sz="0" w:space="0" w:color="auto"/>
      </w:divBdr>
    </w:div>
    <w:div w:id="272446009">
      <w:bodyDiv w:val="1"/>
      <w:marLeft w:val="0"/>
      <w:marRight w:val="0"/>
      <w:marTop w:val="0"/>
      <w:marBottom w:val="0"/>
      <w:divBdr>
        <w:top w:val="none" w:sz="0" w:space="0" w:color="auto"/>
        <w:left w:val="none" w:sz="0" w:space="0" w:color="auto"/>
        <w:bottom w:val="none" w:sz="0" w:space="0" w:color="auto"/>
        <w:right w:val="none" w:sz="0" w:space="0" w:color="auto"/>
      </w:divBdr>
    </w:div>
    <w:div w:id="1202938990">
      <w:bodyDiv w:val="1"/>
      <w:marLeft w:val="0"/>
      <w:marRight w:val="0"/>
      <w:marTop w:val="0"/>
      <w:marBottom w:val="0"/>
      <w:divBdr>
        <w:top w:val="none" w:sz="0" w:space="0" w:color="auto"/>
        <w:left w:val="none" w:sz="0" w:space="0" w:color="auto"/>
        <w:bottom w:val="none" w:sz="0" w:space="0" w:color="auto"/>
        <w:right w:val="none" w:sz="0" w:space="0" w:color="auto"/>
      </w:divBdr>
    </w:div>
    <w:div w:id="1339624131">
      <w:bodyDiv w:val="1"/>
      <w:marLeft w:val="0"/>
      <w:marRight w:val="0"/>
      <w:marTop w:val="0"/>
      <w:marBottom w:val="0"/>
      <w:divBdr>
        <w:top w:val="none" w:sz="0" w:space="0" w:color="auto"/>
        <w:left w:val="none" w:sz="0" w:space="0" w:color="auto"/>
        <w:bottom w:val="none" w:sz="0" w:space="0" w:color="auto"/>
        <w:right w:val="none" w:sz="0" w:space="0" w:color="auto"/>
      </w:divBdr>
    </w:div>
    <w:div w:id="1354763550">
      <w:bodyDiv w:val="1"/>
      <w:marLeft w:val="0"/>
      <w:marRight w:val="0"/>
      <w:marTop w:val="0"/>
      <w:marBottom w:val="0"/>
      <w:divBdr>
        <w:top w:val="none" w:sz="0" w:space="0" w:color="auto"/>
        <w:left w:val="none" w:sz="0" w:space="0" w:color="auto"/>
        <w:bottom w:val="none" w:sz="0" w:space="0" w:color="auto"/>
        <w:right w:val="none" w:sz="0" w:space="0" w:color="auto"/>
      </w:divBdr>
    </w:div>
    <w:div w:id="1569538755">
      <w:bodyDiv w:val="1"/>
      <w:marLeft w:val="0"/>
      <w:marRight w:val="0"/>
      <w:marTop w:val="0"/>
      <w:marBottom w:val="0"/>
      <w:divBdr>
        <w:top w:val="none" w:sz="0" w:space="0" w:color="auto"/>
        <w:left w:val="none" w:sz="0" w:space="0" w:color="auto"/>
        <w:bottom w:val="none" w:sz="0" w:space="0" w:color="auto"/>
        <w:right w:val="none" w:sz="0" w:space="0" w:color="auto"/>
      </w:divBdr>
    </w:div>
    <w:div w:id="1698507570">
      <w:bodyDiv w:val="1"/>
      <w:marLeft w:val="0"/>
      <w:marRight w:val="0"/>
      <w:marTop w:val="0"/>
      <w:marBottom w:val="0"/>
      <w:divBdr>
        <w:top w:val="none" w:sz="0" w:space="0" w:color="auto"/>
        <w:left w:val="none" w:sz="0" w:space="0" w:color="auto"/>
        <w:bottom w:val="none" w:sz="0" w:space="0" w:color="auto"/>
        <w:right w:val="none" w:sz="0" w:space="0" w:color="auto"/>
      </w:divBdr>
    </w:div>
    <w:div w:id="20950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946622311598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3322039.2024.24025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9B17-B5A6-4C30-8B6F-A6E000EA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V</dc:creator>
  <cp:keywords/>
  <dc:description/>
  <cp:lastModifiedBy>SDI 1183</cp:lastModifiedBy>
  <cp:revision>62</cp:revision>
  <dcterms:created xsi:type="dcterms:W3CDTF">2025-08-22T04:39:00Z</dcterms:created>
  <dcterms:modified xsi:type="dcterms:W3CDTF">2025-08-27T07:17:00Z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3c030c883ae0a23543556e6dd138dff518e8af7cdc4116514ecbad336201cffe</vt:lpwstr>
  </property>
</Properties>
</file>