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A4DAA" w14:textId="3953329A" w:rsidR="00003A4B" w:rsidRPr="00B031CA" w:rsidRDefault="00003A4B" w:rsidP="00F53D5B">
      <w:pPr>
        <w:pStyle w:val="Default"/>
        <w:spacing w:line="276" w:lineRule="auto"/>
        <w:jc w:val="center"/>
        <w:rPr>
          <w:rFonts w:ascii="Arial" w:hAnsi="Arial" w:cs="Arial"/>
          <w:sz w:val="28"/>
          <w:szCs w:val="28"/>
        </w:rPr>
      </w:pPr>
      <w:bookmarkStart w:id="0" w:name="_Hlk206442026"/>
      <w:r w:rsidRPr="00B031CA">
        <w:rPr>
          <w:rFonts w:ascii="Arial" w:hAnsi="Arial" w:cs="Arial"/>
          <w:sz w:val="28"/>
          <w:szCs w:val="28"/>
        </w:rPr>
        <w:t xml:space="preserve">An </w:t>
      </w:r>
      <w:r w:rsidR="00F93E26" w:rsidRPr="00B031CA">
        <w:rPr>
          <w:rFonts w:ascii="Arial" w:hAnsi="Arial" w:cs="Arial"/>
          <w:sz w:val="28"/>
          <w:szCs w:val="28"/>
        </w:rPr>
        <w:t xml:space="preserve">Economic Analysis </w:t>
      </w:r>
      <w:r w:rsidRPr="00B031CA">
        <w:rPr>
          <w:rFonts w:ascii="Arial" w:hAnsi="Arial" w:cs="Arial"/>
          <w:sz w:val="28"/>
          <w:szCs w:val="28"/>
        </w:rPr>
        <w:t xml:space="preserve">of </w:t>
      </w:r>
      <w:r w:rsidR="00F93E26" w:rsidRPr="00B031CA">
        <w:rPr>
          <w:rFonts w:ascii="Arial" w:hAnsi="Arial" w:cs="Arial"/>
          <w:sz w:val="28"/>
          <w:szCs w:val="28"/>
        </w:rPr>
        <w:t xml:space="preserve">Trade Performance </w:t>
      </w:r>
      <w:r w:rsidRPr="00B031CA">
        <w:rPr>
          <w:rFonts w:ascii="Arial" w:hAnsi="Arial" w:cs="Arial"/>
          <w:sz w:val="28"/>
          <w:szCs w:val="28"/>
        </w:rPr>
        <w:t>of Soybean from India</w:t>
      </w:r>
    </w:p>
    <w:bookmarkEnd w:id="0"/>
    <w:p w14:paraId="5544221E" w14:textId="709547B7" w:rsidR="00930C03" w:rsidRPr="00B031CA" w:rsidRDefault="00930C03" w:rsidP="00D13B0A">
      <w:pPr>
        <w:pStyle w:val="Default"/>
        <w:jc w:val="both"/>
        <w:rPr>
          <w:rFonts w:ascii="Arial" w:hAnsi="Arial" w:cs="Arial"/>
          <w:b w:val="0"/>
          <w:bCs w:val="0"/>
          <w:sz w:val="22"/>
          <w:szCs w:val="22"/>
        </w:rPr>
      </w:pPr>
    </w:p>
    <w:p w14:paraId="29ED24E1" w14:textId="77777777" w:rsidR="00381438" w:rsidRPr="002D3D9B" w:rsidRDefault="00381438" w:rsidP="00D13B0A">
      <w:pPr>
        <w:pStyle w:val="Default"/>
        <w:jc w:val="both"/>
        <w:rPr>
          <w:rFonts w:ascii="Arial" w:hAnsi="Arial" w:cs="Arial"/>
          <w:b w:val="0"/>
          <w:bCs w:val="0"/>
          <w:sz w:val="22"/>
          <w:szCs w:val="22"/>
        </w:rPr>
      </w:pPr>
    </w:p>
    <w:p w14:paraId="7FD8C104" w14:textId="77777777" w:rsidR="00990CED" w:rsidRDefault="00990CED" w:rsidP="00D13B0A">
      <w:pPr>
        <w:pStyle w:val="Default"/>
        <w:rPr>
          <w:rFonts w:ascii="Arial" w:hAnsi="Arial" w:cs="Arial"/>
          <w:sz w:val="22"/>
          <w:szCs w:val="22"/>
        </w:rPr>
      </w:pPr>
    </w:p>
    <w:p w14:paraId="62440EB2" w14:textId="10469BEE" w:rsidR="00620B34" w:rsidRPr="00043E79" w:rsidRDefault="00043E79" w:rsidP="00D13B0A">
      <w:pPr>
        <w:pStyle w:val="Default"/>
        <w:rPr>
          <w:rFonts w:ascii="Arial" w:hAnsi="Arial" w:cs="Arial"/>
          <w:sz w:val="22"/>
          <w:szCs w:val="22"/>
        </w:rPr>
      </w:pPr>
      <w:r w:rsidRPr="00043E79">
        <w:rPr>
          <w:rFonts w:ascii="Arial" w:hAnsi="Arial" w:cs="Arial"/>
          <w:sz w:val="22"/>
          <w:szCs w:val="22"/>
        </w:rPr>
        <w:t>ABSTRACT</w:t>
      </w:r>
    </w:p>
    <w:p w14:paraId="297DBF4F" w14:textId="44885DE4" w:rsidR="002F55CE" w:rsidRPr="00D13B0A" w:rsidRDefault="00B12B1A" w:rsidP="00D13B0A">
      <w:pPr>
        <w:spacing w:after="0" w:line="240" w:lineRule="auto"/>
        <w:ind w:firstLine="720"/>
        <w:jc w:val="both"/>
        <w:rPr>
          <w:rFonts w:ascii="Arial" w:hAnsi="Arial" w:cs="Arial"/>
          <w:sz w:val="20"/>
          <w:szCs w:val="20"/>
        </w:rPr>
      </w:pPr>
      <w:r w:rsidRPr="00B12B1A">
        <w:rPr>
          <w:rFonts w:ascii="Arial" w:hAnsi="Arial" w:cs="Arial"/>
          <w:sz w:val="20"/>
          <w:szCs w:val="20"/>
        </w:rPr>
        <w:t>This study examines the growth and instability of soybean area, production, productivity, imports, and exports in India over 30 years (1993-2022) using Compound Annual Growth Rate (CAGR), Coefficient of Variation (CV), and Cuddy-Della Valle Instability Index (CDVI).</w:t>
      </w:r>
      <w:r w:rsidR="002F55CE" w:rsidRPr="00D13B0A">
        <w:rPr>
          <w:rFonts w:ascii="Arial" w:hAnsi="Arial" w:cs="Arial"/>
          <w:sz w:val="20"/>
          <w:szCs w:val="20"/>
        </w:rPr>
        <w:t>Results revealed that soybean area expanded remarkably by 205.88</w:t>
      </w:r>
      <w:r w:rsidR="00DA48CB" w:rsidRPr="00D13B0A">
        <w:rPr>
          <w:rFonts w:ascii="Arial" w:hAnsi="Arial" w:cs="Arial"/>
          <w:sz w:val="20"/>
          <w:szCs w:val="20"/>
        </w:rPr>
        <w:t xml:space="preserve"> per cent</w:t>
      </w:r>
      <w:r w:rsidR="002F55CE" w:rsidRPr="00D13B0A">
        <w:rPr>
          <w:rFonts w:ascii="Arial" w:hAnsi="Arial" w:cs="Arial"/>
          <w:sz w:val="20"/>
          <w:szCs w:val="20"/>
        </w:rPr>
        <w:t>, from 4.25 to 13.00 million hectares and production increased by 200.95</w:t>
      </w:r>
      <w:r w:rsidR="00DA48CB" w:rsidRPr="00D13B0A">
        <w:rPr>
          <w:rFonts w:ascii="Arial" w:hAnsi="Arial" w:cs="Arial"/>
          <w:sz w:val="20"/>
          <w:szCs w:val="20"/>
        </w:rPr>
        <w:t xml:space="preserve"> per cent</w:t>
      </w:r>
      <w:r w:rsidR="002F55CE" w:rsidRPr="00D13B0A">
        <w:rPr>
          <w:rFonts w:ascii="Arial" w:hAnsi="Arial" w:cs="Arial"/>
          <w:sz w:val="20"/>
          <w:szCs w:val="20"/>
        </w:rPr>
        <w:t>, from 4.00 to 12.04 million tonnes, with corresponding CAGR of 4.01</w:t>
      </w:r>
      <w:r w:rsidR="00DA48CB" w:rsidRPr="00D13B0A">
        <w:rPr>
          <w:rFonts w:ascii="Arial" w:hAnsi="Arial" w:cs="Arial"/>
          <w:sz w:val="20"/>
          <w:szCs w:val="20"/>
        </w:rPr>
        <w:t xml:space="preserve"> per cent</w:t>
      </w:r>
      <w:r w:rsidR="002F55CE" w:rsidRPr="00D13B0A">
        <w:rPr>
          <w:rFonts w:ascii="Arial" w:hAnsi="Arial" w:cs="Arial"/>
          <w:sz w:val="20"/>
          <w:szCs w:val="20"/>
        </w:rPr>
        <w:t xml:space="preserve"> and 3.94</w:t>
      </w:r>
      <w:r w:rsidR="00DA48CB" w:rsidRPr="00D13B0A">
        <w:rPr>
          <w:rFonts w:ascii="Arial" w:hAnsi="Arial" w:cs="Arial"/>
          <w:sz w:val="20"/>
          <w:szCs w:val="20"/>
        </w:rPr>
        <w:t xml:space="preserve"> per cent</w:t>
      </w:r>
      <w:r w:rsidR="002F55CE" w:rsidRPr="00D13B0A">
        <w:rPr>
          <w:rFonts w:ascii="Arial" w:hAnsi="Arial" w:cs="Arial"/>
          <w:sz w:val="20"/>
          <w:szCs w:val="20"/>
        </w:rPr>
        <w:t>, respectively. However, productivity growth was negligible (-0.07</w:t>
      </w:r>
      <w:r w:rsidR="00DA48CB" w:rsidRPr="00D13B0A">
        <w:rPr>
          <w:rFonts w:ascii="Arial" w:hAnsi="Arial" w:cs="Arial"/>
          <w:sz w:val="20"/>
          <w:szCs w:val="20"/>
        </w:rPr>
        <w:t xml:space="preserve"> per cent</w:t>
      </w:r>
      <w:r w:rsidR="002F55CE" w:rsidRPr="00D13B0A">
        <w:rPr>
          <w:rFonts w:ascii="Arial" w:hAnsi="Arial" w:cs="Arial"/>
          <w:sz w:val="20"/>
          <w:szCs w:val="20"/>
        </w:rPr>
        <w:t xml:space="preserve">), indicating yield stagnation. </w:t>
      </w:r>
      <w:r w:rsidR="00071874">
        <w:rPr>
          <w:rFonts w:ascii="Arial" w:hAnsi="Arial" w:cs="Arial"/>
          <w:sz w:val="20"/>
          <w:szCs w:val="20"/>
        </w:rPr>
        <w:t xml:space="preserve">The increase in </w:t>
      </w:r>
      <w:r w:rsidR="00071874" w:rsidRPr="00295062">
        <w:rPr>
          <w:rFonts w:ascii="Arial" w:hAnsi="Arial" w:cs="Arial"/>
          <w:color w:val="000000" w:themeColor="text1"/>
          <w:sz w:val="20"/>
          <w:szCs w:val="20"/>
          <w:lang w:val="en-IN" w:eastAsia="en-IN" w:bidi="mr-IN"/>
        </w:rPr>
        <w:t>production of soybean was mainly due to area expansion rather than the productivity improvement</w:t>
      </w:r>
      <w:r w:rsidR="00071874">
        <w:rPr>
          <w:rFonts w:ascii="Arial" w:hAnsi="Arial" w:cs="Arial"/>
          <w:color w:val="000000" w:themeColor="text1"/>
          <w:sz w:val="20"/>
          <w:szCs w:val="20"/>
          <w:lang w:val="en-IN" w:eastAsia="en-IN" w:bidi="mr-IN"/>
        </w:rPr>
        <w:t xml:space="preserve">. </w:t>
      </w:r>
      <w:r w:rsidR="002F55CE" w:rsidRPr="00D13B0A">
        <w:rPr>
          <w:rFonts w:ascii="Arial" w:hAnsi="Arial" w:cs="Arial"/>
          <w:sz w:val="20"/>
          <w:szCs w:val="20"/>
        </w:rPr>
        <w:t>Imports of soybean rose sharply from 0.08 thousand tonnes in 2000 to 614.92 thousand tonnes in 2021 before declining to 489.58 thousand tonnes in 2022, exhibiting a very high CAGR (90.70</w:t>
      </w:r>
      <w:r w:rsidR="00DA48CB" w:rsidRPr="00D13B0A">
        <w:rPr>
          <w:rFonts w:ascii="Arial" w:hAnsi="Arial" w:cs="Arial"/>
          <w:sz w:val="20"/>
          <w:szCs w:val="20"/>
        </w:rPr>
        <w:t xml:space="preserve"> per cent</w:t>
      </w:r>
      <w:r w:rsidR="002F55CE" w:rsidRPr="00D13B0A">
        <w:rPr>
          <w:rFonts w:ascii="Arial" w:hAnsi="Arial" w:cs="Arial"/>
          <w:sz w:val="20"/>
          <w:szCs w:val="20"/>
        </w:rPr>
        <w:t>), variability (194.19</w:t>
      </w:r>
      <w:r w:rsidR="00DA48CB" w:rsidRPr="00D13B0A">
        <w:rPr>
          <w:rFonts w:ascii="Arial" w:hAnsi="Arial" w:cs="Arial"/>
          <w:sz w:val="20"/>
          <w:szCs w:val="20"/>
        </w:rPr>
        <w:t xml:space="preserve"> per cent</w:t>
      </w:r>
      <w:r w:rsidR="002F55CE" w:rsidRPr="00D13B0A">
        <w:rPr>
          <w:rFonts w:ascii="Arial" w:hAnsi="Arial" w:cs="Arial"/>
          <w:sz w:val="20"/>
          <w:szCs w:val="20"/>
        </w:rPr>
        <w:t xml:space="preserve"> CV), and instability (85.87</w:t>
      </w:r>
      <w:r w:rsidR="00DA48CB" w:rsidRPr="00D13B0A">
        <w:rPr>
          <w:rFonts w:ascii="Arial" w:hAnsi="Arial" w:cs="Arial"/>
          <w:sz w:val="20"/>
          <w:szCs w:val="20"/>
        </w:rPr>
        <w:t xml:space="preserve"> per cent</w:t>
      </w:r>
      <w:r w:rsidR="002F55CE" w:rsidRPr="00D13B0A">
        <w:rPr>
          <w:rFonts w:ascii="Arial" w:hAnsi="Arial" w:cs="Arial"/>
          <w:sz w:val="20"/>
          <w:szCs w:val="20"/>
        </w:rPr>
        <w:t xml:space="preserve"> CDVI). Exports increased from 0.07 thousand tonnes in 1995 to 54.39 thousand tonnes in 2022, with a CAGR of 19.60</w:t>
      </w:r>
      <w:r w:rsidR="00DA48CB" w:rsidRPr="00D13B0A">
        <w:rPr>
          <w:rFonts w:ascii="Arial" w:hAnsi="Arial" w:cs="Arial"/>
          <w:sz w:val="20"/>
          <w:szCs w:val="20"/>
        </w:rPr>
        <w:t xml:space="preserve"> per cent</w:t>
      </w:r>
      <w:r w:rsidR="002F55CE" w:rsidRPr="00D13B0A">
        <w:rPr>
          <w:rFonts w:ascii="Arial" w:hAnsi="Arial" w:cs="Arial"/>
          <w:sz w:val="20"/>
          <w:szCs w:val="20"/>
        </w:rPr>
        <w:t xml:space="preserve"> but also demonstrated extremely high variability (122.31</w:t>
      </w:r>
      <w:r w:rsidR="00DA48CB" w:rsidRPr="00D13B0A">
        <w:rPr>
          <w:rFonts w:ascii="Arial" w:hAnsi="Arial" w:cs="Arial"/>
          <w:sz w:val="20"/>
          <w:szCs w:val="20"/>
        </w:rPr>
        <w:t xml:space="preserve"> per cent</w:t>
      </w:r>
      <w:r w:rsidR="002F55CE" w:rsidRPr="00D13B0A">
        <w:rPr>
          <w:rFonts w:ascii="Arial" w:hAnsi="Arial" w:cs="Arial"/>
          <w:sz w:val="20"/>
          <w:szCs w:val="20"/>
        </w:rPr>
        <w:t xml:space="preserve"> CV) and instability (85.49</w:t>
      </w:r>
      <w:r w:rsidR="00DA48CB" w:rsidRPr="00D13B0A">
        <w:rPr>
          <w:rFonts w:ascii="Arial" w:hAnsi="Arial" w:cs="Arial"/>
          <w:sz w:val="20"/>
          <w:szCs w:val="20"/>
        </w:rPr>
        <w:t xml:space="preserve"> per cent</w:t>
      </w:r>
      <w:r w:rsidR="002F55CE" w:rsidRPr="00D13B0A">
        <w:rPr>
          <w:rFonts w:ascii="Arial" w:hAnsi="Arial" w:cs="Arial"/>
          <w:sz w:val="20"/>
          <w:szCs w:val="20"/>
        </w:rPr>
        <w:t xml:space="preserve"> CDVI). The findings indicate that India’s soybean growth has been area-driven rather than yield-driven, with trade performance marked by rapid growth but also substantial fluctuations and instability.</w:t>
      </w:r>
    </w:p>
    <w:p w14:paraId="3E821215" w14:textId="406DD3AA" w:rsidR="0076399F" w:rsidRPr="00095C62" w:rsidRDefault="007C0CF3" w:rsidP="00D13B0A">
      <w:pPr>
        <w:spacing w:after="0" w:line="240" w:lineRule="auto"/>
        <w:ind w:left="1152" w:hanging="1152"/>
        <w:jc w:val="both"/>
        <w:rPr>
          <w:rFonts w:ascii="Arial" w:hAnsi="Arial" w:cs="Arial"/>
          <w:b/>
          <w:bCs/>
        </w:rPr>
      </w:pPr>
      <w:r w:rsidRPr="00095C62">
        <w:rPr>
          <w:rFonts w:ascii="Arial" w:hAnsi="Arial" w:cs="Arial"/>
          <w:b/>
          <w:bCs/>
        </w:rPr>
        <w:t>Keywords:</w:t>
      </w:r>
      <w:r w:rsidRPr="00095C62">
        <w:rPr>
          <w:rFonts w:ascii="Arial" w:hAnsi="Arial" w:cs="Arial"/>
        </w:rPr>
        <w:t xml:space="preserve"> </w:t>
      </w:r>
      <w:r w:rsidRPr="00D13B0A">
        <w:rPr>
          <w:rFonts w:ascii="Arial" w:hAnsi="Arial" w:cs="Arial"/>
          <w:sz w:val="20"/>
          <w:szCs w:val="20"/>
        </w:rPr>
        <w:t xml:space="preserve">Soybean, </w:t>
      </w:r>
      <w:r w:rsidR="00B271EB" w:rsidRPr="00D13B0A">
        <w:rPr>
          <w:rFonts w:ascii="Arial" w:hAnsi="Arial" w:cs="Arial"/>
          <w:sz w:val="20"/>
          <w:szCs w:val="20"/>
        </w:rPr>
        <w:t>C</w:t>
      </w:r>
      <w:proofErr w:type="spellStart"/>
      <w:r w:rsidR="00095C62" w:rsidRPr="00D13B0A">
        <w:rPr>
          <w:rFonts w:ascii="Arial" w:hAnsi="Arial" w:cs="Arial"/>
          <w:color w:val="000000" w:themeColor="text1"/>
          <w:sz w:val="20"/>
          <w:szCs w:val="20"/>
          <w:lang w:val="en-IN" w:eastAsia="en-IN" w:bidi="mr-IN"/>
        </w:rPr>
        <w:t>oefficient</w:t>
      </w:r>
      <w:proofErr w:type="spellEnd"/>
      <w:r w:rsidRPr="00D13B0A">
        <w:rPr>
          <w:rFonts w:ascii="Arial" w:hAnsi="Arial" w:cs="Arial"/>
          <w:color w:val="000000" w:themeColor="text1"/>
          <w:sz w:val="20"/>
          <w:szCs w:val="20"/>
          <w:lang w:val="en-IN" w:eastAsia="en-IN" w:bidi="mr-IN"/>
        </w:rPr>
        <w:t xml:space="preserve"> of </w:t>
      </w:r>
      <w:r w:rsidR="00B271EB" w:rsidRPr="00D13B0A">
        <w:rPr>
          <w:rFonts w:ascii="Arial" w:hAnsi="Arial" w:cs="Arial"/>
          <w:color w:val="000000" w:themeColor="text1"/>
          <w:sz w:val="20"/>
          <w:szCs w:val="20"/>
          <w:lang w:val="en-IN" w:eastAsia="en-IN" w:bidi="mr-IN"/>
        </w:rPr>
        <w:t>V</w:t>
      </w:r>
      <w:r w:rsidRPr="00D13B0A">
        <w:rPr>
          <w:rFonts w:ascii="Arial" w:hAnsi="Arial" w:cs="Arial"/>
          <w:color w:val="000000" w:themeColor="text1"/>
          <w:sz w:val="20"/>
          <w:szCs w:val="20"/>
          <w:lang w:val="en-IN" w:eastAsia="en-IN" w:bidi="mr-IN"/>
        </w:rPr>
        <w:t xml:space="preserve">ariability, </w:t>
      </w:r>
      <w:r w:rsidRPr="00D13B0A">
        <w:rPr>
          <w:rFonts w:ascii="Arial" w:eastAsia="Times New Roman" w:hAnsi="Arial" w:cs="Arial"/>
          <w:color w:val="000000" w:themeColor="text1"/>
          <w:kern w:val="0"/>
          <w:sz w:val="20"/>
          <w:szCs w:val="20"/>
          <w:lang w:val="en-IN" w:eastAsia="en-IN" w:bidi="mr-IN"/>
          <w14:ligatures w14:val="none"/>
        </w:rPr>
        <w:t xml:space="preserve">Cuddy -Della Valle </w:t>
      </w:r>
      <w:r w:rsidR="00B271EB" w:rsidRPr="00D13B0A">
        <w:rPr>
          <w:rFonts w:ascii="Arial" w:eastAsia="Times New Roman" w:hAnsi="Arial" w:cs="Arial"/>
          <w:color w:val="000000" w:themeColor="text1"/>
          <w:kern w:val="0"/>
          <w:sz w:val="20"/>
          <w:szCs w:val="20"/>
          <w:lang w:val="en-IN" w:eastAsia="en-IN" w:bidi="mr-IN"/>
          <w14:ligatures w14:val="none"/>
        </w:rPr>
        <w:t>I</w:t>
      </w:r>
      <w:r w:rsidRPr="00D13B0A">
        <w:rPr>
          <w:rFonts w:ascii="Arial" w:eastAsia="Times New Roman" w:hAnsi="Arial" w:cs="Arial"/>
          <w:color w:val="000000" w:themeColor="text1"/>
          <w:kern w:val="0"/>
          <w:sz w:val="20"/>
          <w:szCs w:val="20"/>
          <w:lang w:val="en-IN" w:eastAsia="en-IN" w:bidi="mr-IN"/>
          <w14:ligatures w14:val="none"/>
        </w:rPr>
        <w:t>ndex, Import and Export.</w:t>
      </w:r>
    </w:p>
    <w:p w14:paraId="7D2F474A" w14:textId="1C6AFC24" w:rsidR="00B271EB" w:rsidRPr="00095C62" w:rsidRDefault="00B271EB" w:rsidP="00D13B0A">
      <w:pPr>
        <w:tabs>
          <w:tab w:val="left" w:pos="360"/>
          <w:tab w:val="left" w:pos="720"/>
          <w:tab w:val="left" w:pos="900"/>
          <w:tab w:val="left" w:pos="1515"/>
        </w:tabs>
        <w:spacing w:after="0" w:line="240" w:lineRule="auto"/>
        <w:jc w:val="both"/>
        <w:rPr>
          <w:rFonts w:ascii="Arial" w:hAnsi="Arial" w:cs="Arial"/>
          <w:b/>
        </w:rPr>
      </w:pPr>
      <w:r w:rsidRPr="00095C62">
        <w:rPr>
          <w:rFonts w:ascii="Arial" w:hAnsi="Arial" w:cs="Arial"/>
          <w:b/>
        </w:rPr>
        <w:t>………………………………………………………………………………………………………</w:t>
      </w:r>
    </w:p>
    <w:p w14:paraId="23685E0F" w14:textId="77777777" w:rsidR="00B271EB" w:rsidRPr="00095C62" w:rsidRDefault="00B271EB" w:rsidP="00D13B0A">
      <w:pPr>
        <w:tabs>
          <w:tab w:val="left" w:pos="360"/>
          <w:tab w:val="left" w:pos="720"/>
          <w:tab w:val="left" w:pos="900"/>
          <w:tab w:val="left" w:pos="1515"/>
        </w:tabs>
        <w:spacing w:after="0" w:line="240" w:lineRule="auto"/>
        <w:jc w:val="both"/>
        <w:rPr>
          <w:rFonts w:ascii="Arial" w:hAnsi="Arial" w:cs="Arial"/>
          <w:b/>
          <w:bCs/>
          <w:lang w:val="en-IN"/>
        </w:rPr>
      </w:pPr>
    </w:p>
    <w:p w14:paraId="7068036F" w14:textId="6158A106" w:rsidR="002F55CE" w:rsidRPr="00095C62" w:rsidRDefault="002F55CE" w:rsidP="00D13B0A">
      <w:pPr>
        <w:pStyle w:val="Default"/>
        <w:jc w:val="both"/>
        <w:rPr>
          <w:rFonts w:ascii="Arial" w:hAnsi="Arial" w:cs="Arial"/>
          <w:b w:val="0"/>
          <w:bCs w:val="0"/>
          <w:sz w:val="22"/>
          <w:szCs w:val="22"/>
        </w:rPr>
      </w:pPr>
    </w:p>
    <w:p w14:paraId="20264C02" w14:textId="783EA09F" w:rsidR="002F55CE" w:rsidRPr="00095C62" w:rsidRDefault="002F55CE" w:rsidP="00D13B0A">
      <w:pPr>
        <w:pStyle w:val="Default"/>
        <w:jc w:val="both"/>
        <w:rPr>
          <w:rFonts w:ascii="Arial" w:hAnsi="Arial" w:cs="Arial"/>
          <w:b w:val="0"/>
          <w:bCs w:val="0"/>
          <w:sz w:val="22"/>
          <w:szCs w:val="22"/>
        </w:rPr>
      </w:pPr>
    </w:p>
    <w:p w14:paraId="35A377CD" w14:textId="77777777" w:rsidR="00D40E1C" w:rsidRPr="00095C62" w:rsidRDefault="00D40E1C" w:rsidP="00D13B0A">
      <w:pPr>
        <w:pStyle w:val="Default"/>
        <w:jc w:val="both"/>
        <w:rPr>
          <w:rFonts w:ascii="Arial" w:hAnsi="Arial" w:cs="Arial"/>
          <w:b w:val="0"/>
          <w:bCs w:val="0"/>
          <w:sz w:val="22"/>
          <w:szCs w:val="22"/>
        </w:rPr>
      </w:pPr>
    </w:p>
    <w:p w14:paraId="05005C6E" w14:textId="77777777" w:rsidR="00D40E1C" w:rsidRPr="00095C62" w:rsidRDefault="00D40E1C" w:rsidP="00D13B0A">
      <w:pPr>
        <w:pStyle w:val="Default"/>
        <w:jc w:val="both"/>
        <w:rPr>
          <w:rFonts w:ascii="Arial" w:hAnsi="Arial" w:cs="Arial"/>
          <w:b w:val="0"/>
          <w:bCs w:val="0"/>
          <w:sz w:val="22"/>
          <w:szCs w:val="22"/>
        </w:rPr>
      </w:pPr>
    </w:p>
    <w:p w14:paraId="050FB5E2" w14:textId="77777777" w:rsidR="005907CF" w:rsidRDefault="005907CF" w:rsidP="00D13B0A">
      <w:pPr>
        <w:pStyle w:val="Default"/>
        <w:jc w:val="both"/>
        <w:rPr>
          <w:rFonts w:ascii="Arial" w:hAnsi="Arial" w:cs="Arial"/>
          <w:b w:val="0"/>
          <w:bCs w:val="0"/>
          <w:sz w:val="22"/>
          <w:szCs w:val="22"/>
        </w:rPr>
      </w:pPr>
    </w:p>
    <w:p w14:paraId="2B81A350" w14:textId="77777777" w:rsidR="00095C62" w:rsidRDefault="00095C62" w:rsidP="00D13B0A">
      <w:pPr>
        <w:pStyle w:val="Default"/>
        <w:jc w:val="both"/>
        <w:rPr>
          <w:rFonts w:ascii="Arial" w:hAnsi="Arial" w:cs="Arial"/>
          <w:b w:val="0"/>
          <w:bCs w:val="0"/>
          <w:sz w:val="22"/>
          <w:szCs w:val="22"/>
        </w:rPr>
      </w:pPr>
    </w:p>
    <w:p w14:paraId="1936C0D9" w14:textId="77777777" w:rsidR="00095C62" w:rsidRDefault="00095C62" w:rsidP="00D13B0A">
      <w:pPr>
        <w:pStyle w:val="Default"/>
        <w:jc w:val="both"/>
        <w:rPr>
          <w:rFonts w:ascii="Arial" w:hAnsi="Arial" w:cs="Arial"/>
          <w:b w:val="0"/>
          <w:bCs w:val="0"/>
          <w:sz w:val="22"/>
          <w:szCs w:val="22"/>
        </w:rPr>
      </w:pPr>
    </w:p>
    <w:p w14:paraId="64DDBD82" w14:textId="77777777" w:rsidR="007444AD" w:rsidRDefault="007444AD" w:rsidP="00D13B0A">
      <w:pPr>
        <w:pStyle w:val="Default"/>
        <w:jc w:val="both"/>
        <w:rPr>
          <w:rFonts w:ascii="Arial" w:hAnsi="Arial" w:cs="Arial"/>
          <w:b w:val="0"/>
          <w:bCs w:val="0"/>
          <w:sz w:val="22"/>
          <w:szCs w:val="22"/>
        </w:rPr>
      </w:pPr>
    </w:p>
    <w:p w14:paraId="2E4D89FC" w14:textId="77777777" w:rsidR="007444AD" w:rsidRDefault="007444AD" w:rsidP="00D13B0A">
      <w:pPr>
        <w:pStyle w:val="Default"/>
        <w:jc w:val="both"/>
        <w:rPr>
          <w:rFonts w:ascii="Arial" w:hAnsi="Arial" w:cs="Arial"/>
          <w:b w:val="0"/>
          <w:bCs w:val="0"/>
          <w:sz w:val="22"/>
          <w:szCs w:val="22"/>
        </w:rPr>
      </w:pPr>
    </w:p>
    <w:p w14:paraId="4CF8227C" w14:textId="77777777" w:rsidR="007444AD" w:rsidRDefault="007444AD" w:rsidP="00D13B0A">
      <w:pPr>
        <w:pStyle w:val="Default"/>
        <w:jc w:val="both"/>
        <w:rPr>
          <w:rFonts w:ascii="Arial" w:hAnsi="Arial" w:cs="Arial"/>
          <w:b w:val="0"/>
          <w:bCs w:val="0"/>
          <w:sz w:val="22"/>
          <w:szCs w:val="22"/>
        </w:rPr>
      </w:pPr>
    </w:p>
    <w:p w14:paraId="1F6CEC09" w14:textId="77777777" w:rsidR="007444AD" w:rsidRDefault="007444AD" w:rsidP="00D13B0A">
      <w:pPr>
        <w:pStyle w:val="Default"/>
        <w:jc w:val="both"/>
        <w:rPr>
          <w:rFonts w:ascii="Arial" w:hAnsi="Arial" w:cs="Arial"/>
          <w:b w:val="0"/>
          <w:bCs w:val="0"/>
          <w:sz w:val="22"/>
          <w:szCs w:val="22"/>
        </w:rPr>
      </w:pPr>
    </w:p>
    <w:p w14:paraId="2F825C6C" w14:textId="77777777" w:rsidR="007444AD" w:rsidRDefault="007444AD" w:rsidP="00D13B0A">
      <w:pPr>
        <w:pStyle w:val="Default"/>
        <w:jc w:val="both"/>
        <w:rPr>
          <w:rFonts w:ascii="Arial" w:hAnsi="Arial" w:cs="Arial"/>
          <w:b w:val="0"/>
          <w:bCs w:val="0"/>
          <w:sz w:val="22"/>
          <w:szCs w:val="22"/>
        </w:rPr>
      </w:pPr>
    </w:p>
    <w:p w14:paraId="71F63A0E" w14:textId="77777777" w:rsidR="007444AD" w:rsidRDefault="007444AD" w:rsidP="00D13B0A">
      <w:pPr>
        <w:pStyle w:val="Default"/>
        <w:jc w:val="both"/>
        <w:rPr>
          <w:rFonts w:ascii="Arial" w:hAnsi="Arial" w:cs="Arial"/>
          <w:b w:val="0"/>
          <w:bCs w:val="0"/>
          <w:sz w:val="22"/>
          <w:szCs w:val="22"/>
        </w:rPr>
      </w:pPr>
    </w:p>
    <w:p w14:paraId="368C4656" w14:textId="77777777" w:rsidR="007444AD" w:rsidRDefault="007444AD" w:rsidP="00D13B0A">
      <w:pPr>
        <w:pStyle w:val="Default"/>
        <w:jc w:val="both"/>
        <w:rPr>
          <w:rFonts w:ascii="Arial" w:hAnsi="Arial" w:cs="Arial"/>
          <w:b w:val="0"/>
          <w:bCs w:val="0"/>
          <w:sz w:val="22"/>
          <w:szCs w:val="22"/>
        </w:rPr>
      </w:pPr>
    </w:p>
    <w:p w14:paraId="63D56FF6" w14:textId="77777777" w:rsidR="007444AD" w:rsidRDefault="007444AD" w:rsidP="00D13B0A">
      <w:pPr>
        <w:pStyle w:val="Default"/>
        <w:jc w:val="both"/>
        <w:rPr>
          <w:rFonts w:ascii="Arial" w:hAnsi="Arial" w:cs="Arial"/>
          <w:b w:val="0"/>
          <w:bCs w:val="0"/>
          <w:sz w:val="22"/>
          <w:szCs w:val="22"/>
        </w:rPr>
      </w:pPr>
    </w:p>
    <w:p w14:paraId="27FFD4F3" w14:textId="77777777" w:rsidR="007444AD" w:rsidRDefault="007444AD" w:rsidP="00D13B0A">
      <w:pPr>
        <w:pStyle w:val="Default"/>
        <w:jc w:val="both"/>
        <w:rPr>
          <w:rFonts w:ascii="Arial" w:hAnsi="Arial" w:cs="Arial"/>
          <w:b w:val="0"/>
          <w:bCs w:val="0"/>
          <w:sz w:val="22"/>
          <w:szCs w:val="22"/>
        </w:rPr>
      </w:pPr>
    </w:p>
    <w:p w14:paraId="3A7711DD" w14:textId="77777777" w:rsidR="007444AD" w:rsidRDefault="007444AD" w:rsidP="00D13B0A">
      <w:pPr>
        <w:pStyle w:val="Default"/>
        <w:jc w:val="both"/>
        <w:rPr>
          <w:rFonts w:ascii="Arial" w:hAnsi="Arial" w:cs="Arial"/>
          <w:b w:val="0"/>
          <w:bCs w:val="0"/>
          <w:sz w:val="22"/>
          <w:szCs w:val="22"/>
        </w:rPr>
      </w:pPr>
    </w:p>
    <w:p w14:paraId="492E4A5C" w14:textId="77777777" w:rsidR="007444AD" w:rsidRDefault="007444AD" w:rsidP="00D13B0A">
      <w:pPr>
        <w:pStyle w:val="Default"/>
        <w:jc w:val="both"/>
        <w:rPr>
          <w:rFonts w:ascii="Arial" w:hAnsi="Arial" w:cs="Arial"/>
          <w:b w:val="0"/>
          <w:bCs w:val="0"/>
          <w:sz w:val="22"/>
          <w:szCs w:val="22"/>
        </w:rPr>
      </w:pPr>
    </w:p>
    <w:p w14:paraId="41A7F93A" w14:textId="77777777" w:rsidR="007444AD" w:rsidRDefault="007444AD" w:rsidP="00D13B0A">
      <w:pPr>
        <w:pStyle w:val="Default"/>
        <w:jc w:val="both"/>
        <w:rPr>
          <w:rFonts w:ascii="Arial" w:hAnsi="Arial" w:cs="Arial"/>
          <w:b w:val="0"/>
          <w:bCs w:val="0"/>
          <w:sz w:val="22"/>
          <w:szCs w:val="22"/>
        </w:rPr>
      </w:pPr>
    </w:p>
    <w:p w14:paraId="78A41CEE" w14:textId="77777777" w:rsidR="007444AD" w:rsidRDefault="007444AD" w:rsidP="00D13B0A">
      <w:pPr>
        <w:pStyle w:val="Default"/>
        <w:jc w:val="both"/>
        <w:rPr>
          <w:rFonts w:ascii="Arial" w:hAnsi="Arial" w:cs="Arial"/>
          <w:b w:val="0"/>
          <w:bCs w:val="0"/>
          <w:sz w:val="22"/>
          <w:szCs w:val="22"/>
        </w:rPr>
      </w:pPr>
    </w:p>
    <w:p w14:paraId="783784B7" w14:textId="77777777" w:rsidR="007444AD" w:rsidRDefault="007444AD" w:rsidP="00D13B0A">
      <w:pPr>
        <w:pStyle w:val="Default"/>
        <w:jc w:val="both"/>
        <w:rPr>
          <w:rFonts w:ascii="Arial" w:hAnsi="Arial" w:cs="Arial"/>
          <w:b w:val="0"/>
          <w:bCs w:val="0"/>
          <w:sz w:val="22"/>
          <w:szCs w:val="22"/>
        </w:rPr>
      </w:pPr>
    </w:p>
    <w:p w14:paraId="52EC2249" w14:textId="77777777" w:rsidR="007444AD" w:rsidRDefault="007444AD" w:rsidP="00D13B0A">
      <w:pPr>
        <w:pStyle w:val="Default"/>
        <w:jc w:val="both"/>
        <w:rPr>
          <w:rFonts w:ascii="Arial" w:hAnsi="Arial" w:cs="Arial"/>
          <w:b w:val="0"/>
          <w:bCs w:val="0"/>
          <w:sz w:val="22"/>
          <w:szCs w:val="22"/>
        </w:rPr>
      </w:pPr>
    </w:p>
    <w:p w14:paraId="4B5536E9" w14:textId="09AC86B6" w:rsidR="007444AD" w:rsidRDefault="007444AD" w:rsidP="00D13B0A">
      <w:pPr>
        <w:pStyle w:val="Default"/>
        <w:jc w:val="both"/>
        <w:rPr>
          <w:rFonts w:ascii="Arial" w:hAnsi="Arial" w:cs="Arial"/>
          <w:b w:val="0"/>
          <w:bCs w:val="0"/>
          <w:sz w:val="22"/>
          <w:szCs w:val="22"/>
        </w:rPr>
      </w:pPr>
    </w:p>
    <w:p w14:paraId="3AB8A5B8" w14:textId="58BA671F" w:rsidR="00381438" w:rsidRDefault="00381438" w:rsidP="00D13B0A">
      <w:pPr>
        <w:pStyle w:val="Default"/>
        <w:jc w:val="both"/>
        <w:rPr>
          <w:rFonts w:ascii="Arial" w:hAnsi="Arial" w:cs="Arial"/>
          <w:b w:val="0"/>
          <w:bCs w:val="0"/>
          <w:sz w:val="22"/>
          <w:szCs w:val="22"/>
        </w:rPr>
      </w:pPr>
    </w:p>
    <w:p w14:paraId="021303F5" w14:textId="2E8B6C80" w:rsidR="00381438" w:rsidRDefault="00381438" w:rsidP="00D13B0A">
      <w:pPr>
        <w:pStyle w:val="Default"/>
        <w:jc w:val="both"/>
        <w:rPr>
          <w:rFonts w:ascii="Arial" w:hAnsi="Arial" w:cs="Arial"/>
          <w:b w:val="0"/>
          <w:bCs w:val="0"/>
          <w:sz w:val="22"/>
          <w:szCs w:val="22"/>
        </w:rPr>
      </w:pPr>
    </w:p>
    <w:p w14:paraId="35CE4192" w14:textId="44B64B11" w:rsidR="00381438" w:rsidRDefault="00381438" w:rsidP="00D13B0A">
      <w:pPr>
        <w:pStyle w:val="Default"/>
        <w:jc w:val="both"/>
        <w:rPr>
          <w:rFonts w:ascii="Arial" w:hAnsi="Arial" w:cs="Arial"/>
          <w:b w:val="0"/>
          <w:bCs w:val="0"/>
          <w:sz w:val="22"/>
          <w:szCs w:val="22"/>
        </w:rPr>
      </w:pPr>
    </w:p>
    <w:p w14:paraId="206A9A87" w14:textId="34B6EE3B" w:rsidR="00381438" w:rsidRDefault="00381438" w:rsidP="00D13B0A">
      <w:pPr>
        <w:pStyle w:val="Default"/>
        <w:jc w:val="both"/>
        <w:rPr>
          <w:rFonts w:ascii="Arial" w:hAnsi="Arial" w:cs="Arial"/>
          <w:b w:val="0"/>
          <w:bCs w:val="0"/>
          <w:sz w:val="22"/>
          <w:szCs w:val="22"/>
        </w:rPr>
      </w:pPr>
    </w:p>
    <w:p w14:paraId="68DE2852" w14:textId="2DBDB84B" w:rsidR="00381438" w:rsidRDefault="00381438" w:rsidP="00D13B0A">
      <w:pPr>
        <w:pStyle w:val="Default"/>
        <w:jc w:val="both"/>
        <w:rPr>
          <w:rFonts w:ascii="Arial" w:hAnsi="Arial" w:cs="Arial"/>
          <w:b w:val="0"/>
          <w:bCs w:val="0"/>
          <w:sz w:val="22"/>
          <w:szCs w:val="22"/>
        </w:rPr>
      </w:pPr>
    </w:p>
    <w:p w14:paraId="6253DB4D" w14:textId="461112CE" w:rsidR="00381438" w:rsidRDefault="00381438" w:rsidP="00D13B0A">
      <w:pPr>
        <w:pStyle w:val="Default"/>
        <w:jc w:val="both"/>
        <w:rPr>
          <w:rFonts w:ascii="Arial" w:hAnsi="Arial" w:cs="Arial"/>
          <w:b w:val="0"/>
          <w:bCs w:val="0"/>
          <w:sz w:val="22"/>
          <w:szCs w:val="22"/>
        </w:rPr>
      </w:pPr>
    </w:p>
    <w:p w14:paraId="180B5004" w14:textId="05096181" w:rsidR="00381438" w:rsidRDefault="00381438" w:rsidP="00D13B0A">
      <w:pPr>
        <w:pStyle w:val="Default"/>
        <w:jc w:val="both"/>
        <w:rPr>
          <w:rFonts w:ascii="Arial" w:hAnsi="Arial" w:cs="Arial"/>
          <w:b w:val="0"/>
          <w:bCs w:val="0"/>
          <w:sz w:val="22"/>
          <w:szCs w:val="22"/>
        </w:rPr>
      </w:pPr>
    </w:p>
    <w:p w14:paraId="53EE403E" w14:textId="76237512" w:rsidR="00381438" w:rsidRDefault="00381438" w:rsidP="00D13B0A">
      <w:pPr>
        <w:pStyle w:val="Default"/>
        <w:jc w:val="both"/>
        <w:rPr>
          <w:rFonts w:ascii="Arial" w:hAnsi="Arial" w:cs="Arial"/>
          <w:b w:val="0"/>
          <w:bCs w:val="0"/>
          <w:sz w:val="22"/>
          <w:szCs w:val="22"/>
        </w:rPr>
      </w:pPr>
    </w:p>
    <w:p w14:paraId="494F189E" w14:textId="77777777" w:rsidR="00381438" w:rsidRDefault="00381438" w:rsidP="00D13B0A">
      <w:pPr>
        <w:pStyle w:val="Default"/>
        <w:jc w:val="both"/>
        <w:rPr>
          <w:rFonts w:ascii="Arial" w:hAnsi="Arial" w:cs="Arial"/>
          <w:b w:val="0"/>
          <w:bCs w:val="0"/>
          <w:sz w:val="22"/>
          <w:szCs w:val="22"/>
        </w:rPr>
      </w:pPr>
    </w:p>
    <w:p w14:paraId="6AC46750" w14:textId="77777777" w:rsidR="007444AD" w:rsidRDefault="007444AD" w:rsidP="00D13B0A">
      <w:pPr>
        <w:pStyle w:val="Default"/>
        <w:jc w:val="both"/>
        <w:rPr>
          <w:rFonts w:ascii="Arial" w:hAnsi="Arial" w:cs="Arial"/>
          <w:b w:val="0"/>
          <w:bCs w:val="0"/>
          <w:sz w:val="22"/>
          <w:szCs w:val="22"/>
        </w:rPr>
      </w:pPr>
    </w:p>
    <w:p w14:paraId="52E80DAE" w14:textId="77777777" w:rsidR="007444AD" w:rsidRDefault="007444AD" w:rsidP="00D13B0A">
      <w:pPr>
        <w:pStyle w:val="Default"/>
        <w:jc w:val="both"/>
        <w:rPr>
          <w:rFonts w:ascii="Arial" w:hAnsi="Arial" w:cs="Arial"/>
          <w:b w:val="0"/>
          <w:bCs w:val="0"/>
          <w:sz w:val="22"/>
          <w:szCs w:val="22"/>
        </w:rPr>
      </w:pPr>
    </w:p>
    <w:p w14:paraId="257296E8" w14:textId="77777777" w:rsidR="00232C63" w:rsidRDefault="00232C63" w:rsidP="00D13B0A">
      <w:pPr>
        <w:pStyle w:val="Default"/>
        <w:jc w:val="both"/>
        <w:rPr>
          <w:rFonts w:ascii="Arial" w:hAnsi="Arial" w:cs="Arial"/>
          <w:b w:val="0"/>
          <w:bCs w:val="0"/>
          <w:sz w:val="22"/>
          <w:szCs w:val="22"/>
        </w:rPr>
      </w:pPr>
    </w:p>
    <w:p w14:paraId="5DFADD92" w14:textId="77777777" w:rsidR="007444AD" w:rsidRDefault="007444AD" w:rsidP="00D13B0A">
      <w:pPr>
        <w:pStyle w:val="Default"/>
        <w:jc w:val="both"/>
        <w:rPr>
          <w:rFonts w:ascii="Arial" w:hAnsi="Arial" w:cs="Arial"/>
          <w:b w:val="0"/>
          <w:bCs w:val="0"/>
          <w:sz w:val="22"/>
          <w:szCs w:val="22"/>
        </w:rPr>
      </w:pPr>
    </w:p>
    <w:p w14:paraId="13924BDA" w14:textId="360C8CDB" w:rsidR="0067701E" w:rsidRPr="00095C62" w:rsidRDefault="00D13B0A" w:rsidP="00D13B0A">
      <w:pPr>
        <w:pStyle w:val="Default"/>
        <w:jc w:val="both"/>
        <w:rPr>
          <w:rFonts w:ascii="Arial" w:hAnsi="Arial" w:cs="Arial"/>
          <w:sz w:val="22"/>
          <w:szCs w:val="22"/>
        </w:rPr>
      </w:pPr>
      <w:r w:rsidRPr="00095C62">
        <w:rPr>
          <w:rFonts w:ascii="Arial" w:hAnsi="Arial" w:cs="Arial"/>
          <w:sz w:val="22"/>
          <w:szCs w:val="22"/>
        </w:rPr>
        <w:t>INTRODUCTION</w:t>
      </w:r>
    </w:p>
    <w:p w14:paraId="22EA33E8" w14:textId="5CC3EBDF" w:rsidR="002F55CE" w:rsidRPr="007444AD" w:rsidRDefault="002F55CE" w:rsidP="00D13B0A">
      <w:pPr>
        <w:pStyle w:val="NormalWeb"/>
        <w:spacing w:before="0" w:beforeAutospacing="0" w:after="0" w:afterAutospacing="0"/>
        <w:ind w:firstLine="720"/>
        <w:jc w:val="both"/>
        <w:rPr>
          <w:rFonts w:ascii="Arial" w:hAnsi="Arial" w:cs="Arial"/>
          <w:sz w:val="20"/>
          <w:szCs w:val="20"/>
        </w:rPr>
      </w:pPr>
      <w:r w:rsidRPr="007444AD">
        <w:rPr>
          <w:rFonts w:ascii="Arial" w:hAnsi="Arial" w:cs="Arial"/>
          <w:sz w:val="20"/>
          <w:szCs w:val="20"/>
        </w:rPr>
        <w:lastRenderedPageBreak/>
        <w:t>The cultivation and utilization of oilseeds date back to ancient times, with references to rapeseed and sesame in Sanskrit writings around 2000 BC. Oilseeds are nutritionally rich, providing protein, fiber, vitamins, minerals, and essential fatty acids, and are widely used in food processing, animal feed, and industrial applications</w:t>
      </w:r>
      <w:r w:rsidR="00B031CA">
        <w:rPr>
          <w:rFonts w:ascii="Arial" w:hAnsi="Arial" w:cs="Arial"/>
          <w:sz w:val="20"/>
          <w:szCs w:val="20"/>
        </w:rPr>
        <w:t xml:space="preserve"> (</w:t>
      </w:r>
      <w:r w:rsidR="00B031CA" w:rsidRPr="00B031CA">
        <w:rPr>
          <w:rFonts w:ascii="Arial" w:hAnsi="Arial" w:cs="Arial"/>
          <w:sz w:val="20"/>
          <w:szCs w:val="20"/>
        </w:rPr>
        <w:t>Abiodun</w:t>
      </w:r>
      <w:r w:rsidR="00B031CA">
        <w:rPr>
          <w:rFonts w:ascii="Arial" w:hAnsi="Arial" w:cs="Arial"/>
          <w:sz w:val="20"/>
          <w:szCs w:val="20"/>
        </w:rPr>
        <w:t>, 2017)</w:t>
      </w:r>
      <w:r w:rsidRPr="007444AD">
        <w:rPr>
          <w:rFonts w:ascii="Arial" w:hAnsi="Arial" w:cs="Arial"/>
          <w:sz w:val="20"/>
          <w:szCs w:val="20"/>
        </w:rPr>
        <w:t>.</w:t>
      </w:r>
    </w:p>
    <w:p w14:paraId="0DD61397" w14:textId="043CC6BB" w:rsidR="002F55CE" w:rsidRPr="007444AD" w:rsidRDefault="002F55CE" w:rsidP="00D13B0A">
      <w:pPr>
        <w:pStyle w:val="NormalWeb"/>
        <w:spacing w:before="0" w:beforeAutospacing="0" w:after="0" w:afterAutospacing="0"/>
        <w:ind w:firstLine="720"/>
        <w:jc w:val="both"/>
        <w:rPr>
          <w:rFonts w:ascii="Arial" w:hAnsi="Arial" w:cs="Arial"/>
          <w:sz w:val="20"/>
          <w:szCs w:val="20"/>
        </w:rPr>
      </w:pPr>
      <w:r w:rsidRPr="007444AD">
        <w:rPr>
          <w:rFonts w:ascii="Arial" w:hAnsi="Arial" w:cs="Arial"/>
          <w:sz w:val="20"/>
          <w:szCs w:val="20"/>
        </w:rPr>
        <w:t>India is a major global contributor, producing about 10</w:t>
      </w:r>
      <w:r w:rsidR="00DA48CB" w:rsidRPr="007444AD">
        <w:rPr>
          <w:rFonts w:ascii="Arial" w:hAnsi="Arial" w:cs="Arial"/>
          <w:sz w:val="20"/>
          <w:szCs w:val="20"/>
        </w:rPr>
        <w:t xml:space="preserve"> per cent</w:t>
      </w:r>
      <w:r w:rsidRPr="007444AD">
        <w:rPr>
          <w:rFonts w:ascii="Arial" w:hAnsi="Arial" w:cs="Arial"/>
          <w:sz w:val="20"/>
          <w:szCs w:val="20"/>
        </w:rPr>
        <w:t xml:space="preserve"> of the world’s oilseeds. In 2023, the country cultivated 40.79 million hectares of oilseeds, producing 42.89 million tonnes with a productivity of 1.05 tonnes per hectare, meeting most of its domestic consumption.</w:t>
      </w:r>
    </w:p>
    <w:p w14:paraId="68BA4632" w14:textId="72FDB963" w:rsidR="002F55CE" w:rsidRPr="007444AD" w:rsidRDefault="002F55CE" w:rsidP="00D13B0A">
      <w:pPr>
        <w:pStyle w:val="NormalWeb"/>
        <w:spacing w:before="0" w:beforeAutospacing="0" w:after="0" w:afterAutospacing="0"/>
        <w:ind w:firstLine="720"/>
        <w:jc w:val="both"/>
        <w:rPr>
          <w:rFonts w:ascii="Arial" w:hAnsi="Arial" w:cs="Arial"/>
          <w:sz w:val="20"/>
          <w:szCs w:val="20"/>
        </w:rPr>
      </w:pPr>
      <w:r w:rsidRPr="007444AD">
        <w:rPr>
          <w:rFonts w:ascii="Arial" w:hAnsi="Arial" w:cs="Arial"/>
          <w:sz w:val="20"/>
          <w:szCs w:val="20"/>
        </w:rPr>
        <w:t>Soybean (</w:t>
      </w:r>
      <w:r w:rsidRPr="007444AD">
        <w:rPr>
          <w:rStyle w:val="Emphasis"/>
          <w:rFonts w:ascii="Arial" w:eastAsiaTheme="majorEastAsia" w:hAnsi="Arial" w:cs="Arial"/>
          <w:sz w:val="20"/>
          <w:szCs w:val="20"/>
        </w:rPr>
        <w:t>Glycine max</w:t>
      </w:r>
      <w:r w:rsidRPr="007444AD">
        <w:rPr>
          <w:rFonts w:ascii="Arial" w:hAnsi="Arial" w:cs="Arial"/>
          <w:sz w:val="20"/>
          <w:szCs w:val="20"/>
        </w:rPr>
        <w:t>), an important legume crop, is mainly grown in Madhya Pradesh, Maharashtra, Rajasthan, Gujarat, and Karnataka, which together account for over 90</w:t>
      </w:r>
      <w:r w:rsidR="00DA48CB" w:rsidRPr="007444AD">
        <w:rPr>
          <w:rFonts w:ascii="Arial" w:hAnsi="Arial" w:cs="Arial"/>
          <w:sz w:val="20"/>
          <w:szCs w:val="20"/>
        </w:rPr>
        <w:t xml:space="preserve"> per cent</w:t>
      </w:r>
      <w:r w:rsidRPr="007444AD">
        <w:rPr>
          <w:rFonts w:ascii="Arial" w:hAnsi="Arial" w:cs="Arial"/>
          <w:sz w:val="20"/>
          <w:szCs w:val="20"/>
        </w:rPr>
        <w:t xml:space="preserve"> of national output. India ranks fourth in global soybean area (12.8 million ha) and produced about 12 million tonnes in 2023. Despite exporting 0.2–0.3 million tonnes annually (₹1,500–2,000 crores), the country imports 3–4 million tonnes (₹12,000–15,000 crores) to meet rising demand.</w:t>
      </w:r>
    </w:p>
    <w:p w14:paraId="60C77D06" w14:textId="6170D639" w:rsidR="007B26CB" w:rsidRPr="007444AD" w:rsidRDefault="002F55CE" w:rsidP="00085462">
      <w:pPr>
        <w:pStyle w:val="NormalWeb"/>
        <w:spacing w:before="0" w:beforeAutospacing="0" w:after="0" w:afterAutospacing="0"/>
        <w:ind w:firstLine="720"/>
        <w:jc w:val="both"/>
        <w:rPr>
          <w:rFonts w:ascii="Arial" w:hAnsi="Arial" w:cs="Arial"/>
          <w:b/>
          <w:bCs/>
          <w:sz w:val="20"/>
          <w:szCs w:val="20"/>
        </w:rPr>
      </w:pPr>
      <w:r w:rsidRPr="007444AD">
        <w:rPr>
          <w:rFonts w:ascii="Arial" w:hAnsi="Arial" w:cs="Arial"/>
          <w:sz w:val="20"/>
          <w:szCs w:val="20"/>
        </w:rPr>
        <w:t>Soybean productivity remains low due to climatic and agronomic challenges, but initiatives such as NMOOP, RKVY, and PM-KISAN aim to boost output. Often called the “Meat of the Earth,” soybean holds strategic importance for India’s food and nutritional security.</w:t>
      </w:r>
      <w:r w:rsidR="00C82FAE" w:rsidRPr="007444AD">
        <w:rPr>
          <w:rFonts w:ascii="Arial" w:hAnsi="Arial" w:cs="Arial"/>
          <w:sz w:val="20"/>
          <w:szCs w:val="20"/>
        </w:rPr>
        <w:t xml:space="preserve"> </w:t>
      </w:r>
      <w:proofErr w:type="gramStart"/>
      <w:r w:rsidR="00C82FAE" w:rsidRPr="007444AD">
        <w:rPr>
          <w:rFonts w:ascii="Arial" w:hAnsi="Arial" w:cs="Arial"/>
          <w:sz w:val="20"/>
          <w:szCs w:val="20"/>
        </w:rPr>
        <w:t>Therefore</w:t>
      </w:r>
      <w:proofErr w:type="gramEnd"/>
      <w:r w:rsidR="00C82FAE" w:rsidRPr="007444AD">
        <w:rPr>
          <w:rFonts w:ascii="Arial" w:hAnsi="Arial" w:cs="Arial"/>
          <w:sz w:val="20"/>
          <w:szCs w:val="20"/>
        </w:rPr>
        <w:t xml:space="preserve"> the </w:t>
      </w:r>
      <w:r w:rsidR="007B26CB" w:rsidRPr="007444AD">
        <w:rPr>
          <w:rFonts w:ascii="Arial" w:hAnsi="Arial" w:cs="Arial"/>
          <w:sz w:val="20"/>
          <w:szCs w:val="20"/>
        </w:rPr>
        <w:t xml:space="preserve">study </w:t>
      </w:r>
      <w:r w:rsidR="00E97492" w:rsidRPr="007444AD">
        <w:rPr>
          <w:rFonts w:ascii="Arial" w:hAnsi="Arial" w:cs="Arial"/>
          <w:sz w:val="20"/>
          <w:szCs w:val="20"/>
        </w:rPr>
        <w:t>was done</w:t>
      </w:r>
      <w:r w:rsidR="00C82FAE" w:rsidRPr="007444AD">
        <w:rPr>
          <w:rFonts w:ascii="Arial" w:hAnsi="Arial" w:cs="Arial"/>
          <w:sz w:val="20"/>
          <w:szCs w:val="20"/>
        </w:rPr>
        <w:t xml:space="preserve"> with the </w:t>
      </w:r>
      <w:r w:rsidR="007B26CB" w:rsidRPr="007444AD">
        <w:rPr>
          <w:rFonts w:ascii="Arial" w:hAnsi="Arial" w:cs="Arial"/>
          <w:sz w:val="20"/>
          <w:szCs w:val="20"/>
        </w:rPr>
        <w:t>objectives</w:t>
      </w:r>
      <w:r w:rsidR="00C82FAE" w:rsidRPr="007444AD">
        <w:rPr>
          <w:rFonts w:ascii="Arial" w:hAnsi="Arial" w:cs="Arial"/>
          <w:sz w:val="20"/>
          <w:szCs w:val="20"/>
        </w:rPr>
        <w:t xml:space="preserve"> to </w:t>
      </w:r>
      <w:r w:rsidR="007B26CB" w:rsidRPr="007444AD">
        <w:rPr>
          <w:rFonts w:ascii="Arial" w:hAnsi="Arial" w:cs="Arial"/>
          <w:sz w:val="20"/>
          <w:szCs w:val="20"/>
        </w:rPr>
        <w:t xml:space="preserve">examine the growth and instability in area, production and productivity </w:t>
      </w:r>
      <w:r w:rsidR="00C82FAE" w:rsidRPr="007444AD">
        <w:rPr>
          <w:rFonts w:ascii="Arial" w:hAnsi="Arial" w:cs="Arial"/>
          <w:sz w:val="20"/>
          <w:szCs w:val="20"/>
        </w:rPr>
        <w:t xml:space="preserve">and to </w:t>
      </w:r>
      <w:r w:rsidR="000A1A9C" w:rsidRPr="007444AD">
        <w:rPr>
          <w:rFonts w:ascii="Arial" w:hAnsi="Arial" w:cs="Arial"/>
          <w:sz w:val="20"/>
          <w:szCs w:val="20"/>
        </w:rPr>
        <w:t>analyze</w:t>
      </w:r>
      <w:r w:rsidR="007B26CB" w:rsidRPr="007444AD">
        <w:rPr>
          <w:rFonts w:ascii="Arial" w:hAnsi="Arial" w:cs="Arial"/>
          <w:sz w:val="20"/>
          <w:szCs w:val="20"/>
        </w:rPr>
        <w:t xml:space="preserve"> the growth and instability in import and exports of</w:t>
      </w:r>
      <w:r w:rsidR="00C82FAE" w:rsidRPr="007444AD">
        <w:rPr>
          <w:rFonts w:ascii="Arial" w:hAnsi="Arial" w:cs="Arial"/>
          <w:sz w:val="20"/>
          <w:szCs w:val="20"/>
        </w:rPr>
        <w:t xml:space="preserve"> soybean in India</w:t>
      </w:r>
      <w:r w:rsidR="00D13B0A" w:rsidRPr="007444AD">
        <w:rPr>
          <w:rFonts w:ascii="Arial" w:hAnsi="Arial" w:cs="Arial"/>
          <w:sz w:val="20"/>
          <w:szCs w:val="20"/>
        </w:rPr>
        <w:t>.</w:t>
      </w:r>
    </w:p>
    <w:p w14:paraId="6623A685" w14:textId="696AC44D" w:rsidR="00BC3DA7" w:rsidRPr="00095C62" w:rsidRDefault="00D13B0A" w:rsidP="007444AD">
      <w:pPr>
        <w:widowControl w:val="0"/>
        <w:autoSpaceDE w:val="0"/>
        <w:autoSpaceDN w:val="0"/>
        <w:spacing w:after="0" w:line="240" w:lineRule="auto"/>
        <w:jc w:val="both"/>
        <w:rPr>
          <w:rFonts w:ascii="Arial" w:hAnsi="Arial" w:cs="Arial"/>
          <w:b/>
          <w:bCs/>
        </w:rPr>
      </w:pPr>
      <w:r w:rsidRPr="00095C62">
        <w:rPr>
          <w:rFonts w:ascii="Arial" w:hAnsi="Arial" w:cs="Arial"/>
          <w:b/>
          <w:bCs/>
        </w:rPr>
        <w:t>MATERIAL AND METHODS</w:t>
      </w:r>
    </w:p>
    <w:p w14:paraId="1506F62D" w14:textId="151BCA11" w:rsidR="00AC0728" w:rsidRPr="00095C62" w:rsidRDefault="00AC0728" w:rsidP="00D13B0A">
      <w:pPr>
        <w:widowControl w:val="0"/>
        <w:autoSpaceDE w:val="0"/>
        <w:autoSpaceDN w:val="0"/>
        <w:spacing w:after="120" w:line="240" w:lineRule="auto"/>
        <w:jc w:val="both"/>
        <w:rPr>
          <w:rFonts w:ascii="Arial" w:eastAsia="Times New Roman" w:hAnsi="Arial" w:cs="Arial"/>
          <w:b/>
          <w:bCs/>
          <w:color w:val="000000" w:themeColor="text1"/>
          <w:kern w:val="0"/>
          <w:lang w:eastAsia="en-IN" w:bidi="mr-IN"/>
          <w14:ligatures w14:val="none"/>
        </w:rPr>
      </w:pPr>
      <w:r w:rsidRPr="00095C62">
        <w:rPr>
          <w:rFonts w:ascii="Arial" w:eastAsia="Times New Roman" w:hAnsi="Arial" w:cs="Arial"/>
          <w:b/>
          <w:bCs/>
          <w:color w:val="000000" w:themeColor="text1"/>
          <w:kern w:val="0"/>
          <w:lang w:eastAsia="en-IN" w:bidi="mr-IN"/>
          <w14:ligatures w14:val="none"/>
        </w:rPr>
        <w:t>Source of Data</w:t>
      </w:r>
    </w:p>
    <w:p w14:paraId="471ECCD3" w14:textId="171E85A9" w:rsidR="00AC0728" w:rsidRPr="007444AD" w:rsidRDefault="00AC0728" w:rsidP="00D13B0A">
      <w:pPr>
        <w:spacing w:after="12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The current research is based on an analysis of secondary data obtained from official websites. The data set covers 30 years from 1993 to 2022 and includes information on the area, production and productivity of oilseeds in both global and Indian contexts. Data was sourced from reputable entities including the Directorate General of Commercial Intelligence and Statistics (DGCI&amp;S), the Foreign Agricultural Service (FAS) of the United States Department of Agriculture (USDA), the Directorate of Economics and Statistics and the Ministry of Agriculture and Farmers Welfare.</w:t>
      </w:r>
    </w:p>
    <w:p w14:paraId="19ECBBAF" w14:textId="77777777" w:rsidR="00AC0728" w:rsidRPr="00095C62" w:rsidRDefault="00AC0728" w:rsidP="00D13B0A">
      <w:pPr>
        <w:widowControl w:val="0"/>
        <w:autoSpaceDE w:val="0"/>
        <w:autoSpaceDN w:val="0"/>
        <w:spacing w:after="120" w:line="240" w:lineRule="auto"/>
        <w:jc w:val="both"/>
        <w:rPr>
          <w:rFonts w:ascii="Arial" w:eastAsia="Times New Roman" w:hAnsi="Arial" w:cs="Arial"/>
          <w:b/>
          <w:bCs/>
          <w:color w:val="000000" w:themeColor="text1"/>
          <w:kern w:val="0"/>
          <w:lang w:eastAsia="en-IN" w:bidi="mr-IN"/>
          <w14:ligatures w14:val="none"/>
        </w:rPr>
      </w:pPr>
      <w:r w:rsidRPr="00095C62">
        <w:rPr>
          <w:rFonts w:ascii="Arial" w:eastAsia="Times New Roman" w:hAnsi="Arial" w:cs="Arial"/>
          <w:b/>
          <w:bCs/>
          <w:color w:val="000000" w:themeColor="text1"/>
          <w:kern w:val="0"/>
          <w:lang w:eastAsia="en-IN" w:bidi="mr-IN"/>
          <w14:ligatures w14:val="none"/>
        </w:rPr>
        <w:t>Statistical Tools and Methods</w:t>
      </w:r>
    </w:p>
    <w:p w14:paraId="2E8A6150" w14:textId="77777777" w:rsidR="00AC0728" w:rsidRPr="00095C62" w:rsidRDefault="00AC0728" w:rsidP="00D13B0A">
      <w:pPr>
        <w:widowControl w:val="0"/>
        <w:numPr>
          <w:ilvl w:val="0"/>
          <w:numId w:val="18"/>
        </w:numPr>
        <w:autoSpaceDE w:val="0"/>
        <w:autoSpaceDN w:val="0"/>
        <w:spacing w:after="120" w:line="240" w:lineRule="auto"/>
        <w:ind w:hanging="720"/>
        <w:jc w:val="both"/>
        <w:rPr>
          <w:rFonts w:ascii="Arial" w:eastAsia="Times New Roman" w:hAnsi="Arial" w:cs="Arial"/>
          <w:b/>
          <w:bCs/>
          <w:color w:val="000000" w:themeColor="text1"/>
          <w:kern w:val="0"/>
          <w:lang w:eastAsia="en-IN" w:bidi="mr-IN"/>
          <w14:ligatures w14:val="none"/>
        </w:rPr>
      </w:pPr>
      <w:r w:rsidRPr="00095C62">
        <w:rPr>
          <w:rFonts w:ascii="Arial" w:eastAsia="Times New Roman" w:hAnsi="Arial" w:cs="Arial"/>
          <w:b/>
          <w:bCs/>
          <w:color w:val="000000" w:themeColor="text1"/>
          <w:kern w:val="0"/>
          <w:lang w:eastAsia="en-IN" w:bidi="mr-IN"/>
          <w14:ligatures w14:val="none"/>
        </w:rPr>
        <w:t>Analysis of Growth Rates and Instability</w:t>
      </w:r>
    </w:p>
    <w:p w14:paraId="0DC40033" w14:textId="77777777" w:rsidR="00AC0728" w:rsidRPr="00095C62" w:rsidRDefault="00AC0728" w:rsidP="00D13B0A">
      <w:pPr>
        <w:widowControl w:val="0"/>
        <w:numPr>
          <w:ilvl w:val="0"/>
          <w:numId w:val="19"/>
        </w:numPr>
        <w:shd w:val="clear" w:color="auto" w:fill="FFFFFF"/>
        <w:autoSpaceDE w:val="0"/>
        <w:autoSpaceDN w:val="0"/>
        <w:spacing w:after="120" w:line="240" w:lineRule="auto"/>
        <w:ind w:hanging="720"/>
        <w:jc w:val="both"/>
        <w:rPr>
          <w:rFonts w:ascii="Arial" w:eastAsia="Times New Roman" w:hAnsi="Arial" w:cs="Arial"/>
          <w:b/>
          <w:bCs/>
          <w:color w:val="000000" w:themeColor="text1"/>
          <w:kern w:val="0"/>
          <w:lang w:val="en-IN" w:eastAsia="en-IN" w:bidi="mr-IN"/>
          <w14:ligatures w14:val="none"/>
        </w:rPr>
      </w:pPr>
      <w:r w:rsidRPr="00095C62">
        <w:rPr>
          <w:rFonts w:ascii="Arial" w:eastAsia="Times New Roman" w:hAnsi="Arial" w:cs="Arial"/>
          <w:b/>
          <w:bCs/>
          <w:color w:val="000000" w:themeColor="text1"/>
          <w:kern w:val="0"/>
          <w:lang w:val="en-IN" w:eastAsia="en-IN" w:bidi="mr-IN"/>
          <w14:ligatures w14:val="none"/>
        </w:rPr>
        <w:t xml:space="preserve">Percentage Change Over the Base Year </w:t>
      </w:r>
    </w:p>
    <w:p w14:paraId="3348589B" w14:textId="174F8BA2" w:rsidR="00AC0728" w:rsidRPr="007444AD" w:rsidRDefault="00AC0728" w:rsidP="00D13B0A">
      <w:pPr>
        <w:shd w:val="clear" w:color="auto" w:fill="FFFFFF"/>
        <w:spacing w:after="12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The change over the base year in per cent was used as a measure of annual fluctuations under the area, production, productivity, exports and imports of </w:t>
      </w:r>
      <w:r w:rsidR="00660EAF" w:rsidRPr="007444AD">
        <w:rPr>
          <w:rFonts w:ascii="Arial" w:eastAsia="Times New Roman" w:hAnsi="Arial" w:cs="Arial"/>
          <w:color w:val="000000" w:themeColor="text1"/>
          <w:kern w:val="0"/>
          <w:sz w:val="20"/>
          <w:szCs w:val="20"/>
          <w:lang w:val="en-IN" w:eastAsia="en-IN" w:bidi="mr-IN"/>
          <w14:ligatures w14:val="none"/>
        </w:rPr>
        <w:t>soybean.</w:t>
      </w:r>
    </w:p>
    <w:p w14:paraId="797BEEFF" w14:textId="77777777" w:rsidR="00AC0728" w:rsidRPr="007444AD" w:rsidRDefault="00AC0728" w:rsidP="00D13B0A">
      <w:pPr>
        <w:shd w:val="clear" w:color="auto" w:fill="FFFFFF"/>
        <w:spacing w:after="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The per cent change over the previous year for </w:t>
      </w:r>
      <w:proofErr w:type="spellStart"/>
      <w:r w:rsidRPr="007444AD">
        <w:rPr>
          <w:rFonts w:ascii="Arial" w:eastAsia="Times New Roman" w:hAnsi="Arial" w:cs="Arial"/>
          <w:color w:val="000000" w:themeColor="text1"/>
          <w:kern w:val="0"/>
          <w:sz w:val="20"/>
          <w:szCs w:val="20"/>
          <w:lang w:val="en-IN" w:eastAsia="en-IN" w:bidi="mr-IN"/>
          <w14:ligatures w14:val="none"/>
        </w:rPr>
        <w:t>t</w:t>
      </w:r>
      <w:r w:rsidRPr="007444AD">
        <w:rPr>
          <w:rFonts w:ascii="Arial" w:eastAsia="Times New Roman" w:hAnsi="Arial" w:cs="Arial"/>
          <w:color w:val="000000" w:themeColor="text1"/>
          <w:kern w:val="0"/>
          <w:sz w:val="20"/>
          <w:szCs w:val="20"/>
          <w:vertAlign w:val="superscript"/>
          <w:lang w:val="en-IN" w:eastAsia="en-IN" w:bidi="mr-IN"/>
          <w14:ligatures w14:val="none"/>
        </w:rPr>
        <w:t>th</w:t>
      </w:r>
      <w:proofErr w:type="spellEnd"/>
      <w:r w:rsidRPr="007444AD">
        <w:rPr>
          <w:rFonts w:ascii="Arial" w:eastAsia="Times New Roman" w:hAnsi="Arial" w:cs="Arial"/>
          <w:color w:val="000000" w:themeColor="text1"/>
          <w:kern w:val="0"/>
          <w:sz w:val="20"/>
          <w:szCs w:val="20"/>
          <w:lang w:val="en-IN" w:eastAsia="en-IN" w:bidi="mr-IN"/>
          <w14:ligatures w14:val="none"/>
        </w:rPr>
        <w:t xml:space="preserve"> year was calculated as, </w:t>
      </w:r>
    </w:p>
    <w:p w14:paraId="228CB1C9" w14:textId="77777777" w:rsidR="00AC0728" w:rsidRPr="007444AD" w:rsidRDefault="00AC0728" w:rsidP="00D13B0A">
      <w:pPr>
        <w:shd w:val="clear" w:color="auto" w:fill="FFFFFF"/>
        <w:spacing w:after="120" w:line="240" w:lineRule="auto"/>
        <w:jc w:val="both"/>
        <w:rPr>
          <w:rFonts w:ascii="Arial" w:eastAsia="Times New Roman" w:hAnsi="Arial" w:cs="Arial"/>
          <w:b/>
          <w:color w:val="000000" w:themeColor="text1"/>
          <w:kern w:val="0"/>
          <w:sz w:val="20"/>
          <w:szCs w:val="20"/>
          <w:lang w:val="en-IN" w:eastAsia="en-IN" w:bidi="mr-IN"/>
          <w14:ligatures w14:val="none"/>
        </w:rPr>
      </w:pPr>
      <m:oMathPara>
        <m:oMath>
          <m:r>
            <m:rPr>
              <m:sty m:val="bi"/>
            </m:rPr>
            <w:rPr>
              <w:rFonts w:ascii="Cambria Math" w:eastAsia="Times New Roman" w:hAnsi="Cambria Math" w:cs="Arial"/>
              <w:color w:val="000000" w:themeColor="text1"/>
              <w:kern w:val="0"/>
              <w:sz w:val="20"/>
              <w:szCs w:val="20"/>
              <w:lang w:val="en-IN" w:eastAsia="en-IN" w:bidi="mr-IN"/>
              <w14:ligatures w14:val="none"/>
            </w:rPr>
            <m:t>Per cent change=</m:t>
          </m:r>
          <m:f>
            <m:fPr>
              <m:ctrlPr>
                <w:rPr>
                  <w:rFonts w:ascii="Cambria Math" w:eastAsia="Times New Roman" w:hAnsi="Cambria Math" w:cs="Arial"/>
                  <w:b/>
                  <w:bCs/>
                  <w:i/>
                  <w:color w:val="000000" w:themeColor="text1"/>
                  <w:kern w:val="0"/>
                  <w:sz w:val="20"/>
                  <w:szCs w:val="20"/>
                  <w:lang w:val="en-IN" w:eastAsia="en-IN" w:bidi="mr-IN"/>
                  <w14:ligatures w14:val="none"/>
                </w:rPr>
              </m:ctrlPr>
            </m:fPr>
            <m:num>
              <m:r>
                <m:rPr>
                  <m:sty m:val="bi"/>
                </m:rPr>
                <w:rPr>
                  <w:rFonts w:ascii="Cambria Math" w:eastAsia="Times New Roman" w:hAnsi="Cambria Math" w:cs="Arial"/>
                  <w:color w:val="000000" w:themeColor="text1"/>
                  <w:kern w:val="0"/>
                  <w:sz w:val="20"/>
                  <w:szCs w:val="20"/>
                  <w:lang w:val="en-IN" w:eastAsia="en-IN" w:bidi="mr-IN"/>
                  <w14:ligatures w14:val="none"/>
                </w:rPr>
                <m:t>Current Value-Base Value</m:t>
              </m:r>
            </m:num>
            <m:den>
              <m:r>
                <m:rPr>
                  <m:sty m:val="bi"/>
                </m:rPr>
                <w:rPr>
                  <w:rFonts w:ascii="Cambria Math" w:eastAsia="Times New Roman" w:hAnsi="Cambria Math" w:cs="Arial"/>
                  <w:color w:val="000000" w:themeColor="text1"/>
                  <w:kern w:val="0"/>
                  <w:sz w:val="20"/>
                  <w:szCs w:val="20"/>
                  <w:lang w:val="en-IN" w:eastAsia="en-IN" w:bidi="mr-IN"/>
                  <w14:ligatures w14:val="none"/>
                </w:rPr>
                <m:t>Base Value</m:t>
              </m:r>
            </m:den>
          </m:f>
          <m:r>
            <m:rPr>
              <m:sty m:val="bi"/>
            </m:rPr>
            <w:rPr>
              <w:rFonts w:ascii="Cambria Math" w:eastAsia="Times New Roman" w:hAnsi="Cambria Math" w:cs="Arial"/>
              <w:color w:val="000000" w:themeColor="text1"/>
              <w:kern w:val="0"/>
              <w:sz w:val="20"/>
              <w:szCs w:val="20"/>
              <w:lang w:val="en-IN" w:eastAsia="en-IN" w:bidi="mr-IN"/>
              <w14:ligatures w14:val="none"/>
            </w:rPr>
            <m:t>×100</m:t>
          </m:r>
        </m:oMath>
      </m:oMathPara>
    </w:p>
    <w:p w14:paraId="0A8D3D52" w14:textId="77777777" w:rsidR="00AC0728" w:rsidRPr="00095C62" w:rsidRDefault="00AC0728" w:rsidP="00D13B0A">
      <w:pPr>
        <w:widowControl w:val="0"/>
        <w:numPr>
          <w:ilvl w:val="0"/>
          <w:numId w:val="19"/>
        </w:numPr>
        <w:shd w:val="clear" w:color="auto" w:fill="FFFFFF"/>
        <w:autoSpaceDE w:val="0"/>
        <w:autoSpaceDN w:val="0"/>
        <w:spacing w:after="120" w:line="240" w:lineRule="auto"/>
        <w:ind w:hanging="720"/>
        <w:jc w:val="both"/>
        <w:rPr>
          <w:rFonts w:ascii="Arial" w:eastAsia="Times New Roman" w:hAnsi="Arial" w:cs="Arial"/>
          <w:b/>
          <w:bCs/>
          <w:color w:val="000000" w:themeColor="text1"/>
          <w:kern w:val="0"/>
          <w:lang w:val="en-IN" w:eastAsia="en-IN" w:bidi="mr-IN"/>
          <w14:ligatures w14:val="none"/>
        </w:rPr>
      </w:pPr>
      <w:r w:rsidRPr="00095C62">
        <w:rPr>
          <w:rFonts w:ascii="Arial" w:eastAsia="Times New Roman" w:hAnsi="Arial" w:cs="Arial"/>
          <w:b/>
          <w:bCs/>
          <w:color w:val="000000" w:themeColor="text1"/>
          <w:kern w:val="0"/>
          <w:lang w:val="en-IN" w:eastAsia="en-IN" w:bidi="mr-IN"/>
          <w14:ligatures w14:val="none"/>
        </w:rPr>
        <w:t>Compound Growth Rates </w:t>
      </w:r>
    </w:p>
    <w:p w14:paraId="13ADF99C" w14:textId="77777777" w:rsidR="000A1A9C" w:rsidRPr="007444AD" w:rsidRDefault="00AC0728" w:rsidP="00D13B0A">
      <w:pPr>
        <w:shd w:val="clear" w:color="auto" w:fill="FFFFFF"/>
        <w:spacing w:after="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The compound growth rates were used to find out growth if any, in area, production, productivity, exports and imports of </w:t>
      </w:r>
      <w:r w:rsidR="00660EAF" w:rsidRPr="007444AD">
        <w:rPr>
          <w:rFonts w:ascii="Arial" w:eastAsia="Times New Roman" w:hAnsi="Arial" w:cs="Arial"/>
          <w:color w:val="000000" w:themeColor="text1"/>
          <w:kern w:val="0"/>
          <w:sz w:val="20"/>
          <w:szCs w:val="20"/>
          <w:lang w:val="en-IN" w:eastAsia="en-IN" w:bidi="mr-IN"/>
          <w14:ligatures w14:val="none"/>
        </w:rPr>
        <w:t>soybean</w:t>
      </w:r>
      <w:r w:rsidRPr="007444AD">
        <w:rPr>
          <w:rFonts w:ascii="Arial" w:eastAsia="Times New Roman" w:hAnsi="Arial" w:cs="Arial"/>
          <w:color w:val="000000" w:themeColor="text1"/>
          <w:kern w:val="0"/>
          <w:sz w:val="20"/>
          <w:szCs w:val="20"/>
          <w:lang w:val="en-IN" w:eastAsia="en-IN" w:bidi="mr-IN"/>
          <w14:ligatures w14:val="none"/>
        </w:rPr>
        <w:t>.  It was obtained by fitting the exponential type of equation,</w:t>
      </w:r>
    </w:p>
    <w:p w14:paraId="3B1CAB13" w14:textId="375003C9" w:rsidR="00AC0728" w:rsidRPr="007444AD" w:rsidRDefault="00AC4BF7" w:rsidP="00D13B0A">
      <w:pPr>
        <w:shd w:val="clear" w:color="auto" w:fill="FFFFFF"/>
        <w:spacing w:after="0" w:line="240" w:lineRule="auto"/>
        <w:ind w:left="720" w:firstLine="720"/>
        <w:jc w:val="both"/>
        <w:rPr>
          <w:rFonts w:ascii="Arial" w:eastAsia="Times New Roman" w:hAnsi="Arial" w:cs="Arial"/>
          <w:color w:val="000000" w:themeColor="text1"/>
          <w:kern w:val="0"/>
          <w:sz w:val="20"/>
          <w:szCs w:val="20"/>
          <w:lang w:val="en-IN" w:eastAsia="en-IN" w:bidi="mr-IN"/>
          <w14:ligatures w14:val="none"/>
        </w:rPr>
      </w:pPr>
      <m:oMathPara>
        <m:oMathParaPr>
          <m:jc m:val="left"/>
        </m:oMathParaPr>
        <m:oMath>
          <m:sSup>
            <m:sSupPr>
              <m:ctrlPr>
                <w:rPr>
                  <w:rFonts w:ascii="Cambria Math" w:eastAsia="Times New Roman" w:hAnsi="Cambria Math" w:cs="Arial"/>
                  <w:b/>
                  <w:bCs/>
                  <w:i/>
                  <w:color w:val="000000" w:themeColor="text1"/>
                  <w:kern w:val="0"/>
                  <w:sz w:val="20"/>
                  <w:szCs w:val="20"/>
                  <w:lang w:val="en-IN" w:eastAsia="en-IN" w:bidi="mr-IN"/>
                  <w14:ligatures w14:val="none"/>
                </w:rPr>
              </m:ctrlPr>
            </m:sSupPr>
            <m:e>
              <m:r>
                <m:rPr>
                  <m:sty m:val="bi"/>
                </m:rPr>
                <w:rPr>
                  <w:rFonts w:ascii="Cambria Math" w:eastAsia="Times New Roman" w:hAnsi="Cambria Math" w:cs="Arial"/>
                  <w:color w:val="000000" w:themeColor="text1"/>
                  <w:kern w:val="0"/>
                  <w:sz w:val="20"/>
                  <w:szCs w:val="20"/>
                  <w:lang w:val="en-IN" w:eastAsia="en-IN" w:bidi="mr-IN"/>
                  <w14:ligatures w14:val="none"/>
                </w:rPr>
                <m:t>Y</m:t>
              </m:r>
              <m:r>
                <m:rPr>
                  <m:sty m:val="bi"/>
                </m:rPr>
                <w:rPr>
                  <w:rFonts w:ascii="Cambria Math" w:eastAsia="Times New Roman" w:hAnsi="Cambria Math" w:cs="Arial"/>
                  <w:color w:val="000000" w:themeColor="text1"/>
                  <w:kern w:val="0"/>
                  <w:sz w:val="20"/>
                  <w:szCs w:val="20"/>
                  <w:lang w:val="en-IN" w:eastAsia="en-IN" w:bidi="mr-IN"/>
                  <w14:ligatures w14:val="none"/>
                </w:rPr>
                <m:t>=</m:t>
              </m:r>
              <m:r>
                <m:rPr>
                  <m:sty m:val="bi"/>
                </m:rPr>
                <w:rPr>
                  <w:rFonts w:ascii="Cambria Math" w:eastAsia="Times New Roman" w:hAnsi="Cambria Math" w:cs="Arial"/>
                  <w:color w:val="000000" w:themeColor="text1"/>
                  <w:kern w:val="0"/>
                  <w:sz w:val="20"/>
                  <w:szCs w:val="20"/>
                  <w:lang w:val="en-IN" w:eastAsia="en-IN" w:bidi="mr-IN"/>
                  <w14:ligatures w14:val="none"/>
                </w:rPr>
                <m:t>ab</m:t>
              </m:r>
            </m:e>
            <m:sup>
              <m:r>
                <m:rPr>
                  <m:sty m:val="bi"/>
                </m:rPr>
                <w:rPr>
                  <w:rFonts w:ascii="Cambria Math" w:eastAsia="Times New Roman" w:hAnsi="Cambria Math" w:cs="Arial"/>
                  <w:color w:val="000000" w:themeColor="text1"/>
                  <w:kern w:val="0"/>
                  <w:sz w:val="20"/>
                  <w:szCs w:val="20"/>
                  <w:lang w:val="en-IN" w:eastAsia="en-IN" w:bidi="mr-IN"/>
                  <w14:ligatures w14:val="none"/>
                </w:rPr>
                <m:t>t</m:t>
              </m:r>
            </m:sup>
          </m:sSup>
        </m:oMath>
      </m:oMathPara>
    </w:p>
    <w:p w14:paraId="55DBC1C8" w14:textId="77777777" w:rsidR="00AC0728" w:rsidRPr="007444AD" w:rsidRDefault="00AC0728" w:rsidP="00D13B0A">
      <w:pPr>
        <w:shd w:val="clear" w:color="auto" w:fill="FFFFFF"/>
        <w:spacing w:after="0" w:line="240" w:lineRule="auto"/>
        <w:jc w:val="both"/>
        <w:rPr>
          <w:rFonts w:ascii="Arial" w:eastAsia="Times New Roman" w:hAnsi="Arial" w:cs="Arial"/>
          <w:color w:val="000000" w:themeColor="text1"/>
          <w:kern w:val="0"/>
          <w:sz w:val="20"/>
          <w:szCs w:val="20"/>
          <w:vertAlign w:val="superscript"/>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Where,</w:t>
      </w:r>
    </w:p>
    <w:p w14:paraId="6AA5F33D" w14:textId="77777777" w:rsidR="00AC0728" w:rsidRPr="007444AD" w:rsidRDefault="00AC0728" w:rsidP="00D13B0A">
      <w:pPr>
        <w:shd w:val="clear" w:color="auto" w:fill="FFFFFF"/>
        <w:spacing w:after="0" w:line="240" w:lineRule="auto"/>
        <w:ind w:left="720"/>
        <w:jc w:val="both"/>
        <w:rPr>
          <w:rFonts w:ascii="Arial" w:eastAsia="Times New Roman" w:hAnsi="Arial" w:cs="Arial"/>
          <w:color w:val="000000" w:themeColor="text1"/>
          <w:kern w:val="0"/>
          <w:sz w:val="20"/>
          <w:szCs w:val="20"/>
          <w:vertAlign w:val="superscript"/>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Y= Dependent variable i.e., export/imports in terms of quantity and value of selected commodities. </w:t>
      </w:r>
    </w:p>
    <w:p w14:paraId="7B716657" w14:textId="77777777" w:rsidR="00AC0728" w:rsidRPr="007444AD" w:rsidRDefault="00AC0728" w:rsidP="00D13B0A">
      <w:pPr>
        <w:shd w:val="clear" w:color="auto" w:fill="FFFFFF"/>
        <w:spacing w:after="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a= Intercept, </w:t>
      </w:r>
    </w:p>
    <w:p w14:paraId="4870091F" w14:textId="77777777" w:rsidR="00AC0728" w:rsidRPr="007444AD" w:rsidRDefault="00AC0728" w:rsidP="00D13B0A">
      <w:pPr>
        <w:shd w:val="clear" w:color="auto" w:fill="FFFFFF"/>
        <w:spacing w:after="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b = Regression co-efficient, </w:t>
      </w:r>
    </w:p>
    <w:p w14:paraId="0D1ACB4C" w14:textId="77777777" w:rsidR="00AC0728" w:rsidRPr="007444AD" w:rsidRDefault="00AC0728" w:rsidP="00D13B0A">
      <w:pPr>
        <w:shd w:val="clear" w:color="auto" w:fill="FFFFFF"/>
        <w:spacing w:after="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t = Time variable. </w:t>
      </w:r>
    </w:p>
    <w:p w14:paraId="57F5DEB3" w14:textId="77777777" w:rsidR="00AC0728" w:rsidRPr="007444AD" w:rsidRDefault="00AC0728" w:rsidP="00D13B0A">
      <w:pPr>
        <w:shd w:val="clear" w:color="auto" w:fill="FFFFFF"/>
        <w:spacing w:after="12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The adequacy of the model for the respective series was measured in terms of the coefficient of determination (r</w:t>
      </w:r>
      <w:r w:rsidRPr="007444AD">
        <w:rPr>
          <w:rFonts w:ascii="Arial" w:eastAsia="Times New Roman" w:hAnsi="Arial" w:cs="Arial"/>
          <w:color w:val="000000" w:themeColor="text1"/>
          <w:kern w:val="0"/>
          <w:sz w:val="20"/>
          <w:szCs w:val="20"/>
          <w:vertAlign w:val="superscript"/>
          <w:lang w:val="en-IN" w:eastAsia="en-IN" w:bidi="mr-IN"/>
          <w14:ligatures w14:val="none"/>
        </w:rPr>
        <w:t>2</w:t>
      </w:r>
      <w:r w:rsidRPr="007444AD">
        <w:rPr>
          <w:rFonts w:ascii="Arial" w:eastAsia="Times New Roman" w:hAnsi="Arial" w:cs="Arial"/>
          <w:color w:val="000000" w:themeColor="text1"/>
          <w:kern w:val="0"/>
          <w:sz w:val="20"/>
          <w:szCs w:val="20"/>
          <w:lang w:val="en-IN" w:eastAsia="en-IN" w:bidi="mr-IN"/>
          <w14:ligatures w14:val="none"/>
        </w:rPr>
        <w:t xml:space="preserve">). The compound growth rates (CGR) were obtained using the equation's logarithmic form. </w:t>
      </w:r>
    </w:p>
    <w:p w14:paraId="0E6D6CCB" w14:textId="77777777" w:rsidR="00AC0728" w:rsidRPr="007444AD" w:rsidRDefault="00AC4BF7" w:rsidP="00D13B0A">
      <w:pPr>
        <w:shd w:val="clear" w:color="auto" w:fill="FFFFFF"/>
        <w:spacing w:after="120" w:line="240" w:lineRule="auto"/>
        <w:ind w:firstLine="720"/>
        <w:jc w:val="both"/>
        <w:rPr>
          <w:rFonts w:ascii="Arial" w:eastAsia="Times New Roman" w:hAnsi="Arial" w:cs="Arial"/>
          <w:b/>
          <w:bCs/>
          <w:i/>
          <w:color w:val="000000" w:themeColor="text1"/>
          <w:kern w:val="0"/>
          <w:sz w:val="20"/>
          <w:szCs w:val="20"/>
          <w:lang w:val="en-IN" w:eastAsia="en-IN" w:bidi="mr-IN"/>
          <w14:ligatures w14:val="none"/>
        </w:rPr>
      </w:pPr>
      <m:oMathPara>
        <m:oMath>
          <m:func>
            <m:funcPr>
              <m:ctrlPr>
                <w:rPr>
                  <w:rFonts w:ascii="Cambria Math" w:eastAsia="Times New Roman" w:hAnsi="Cambria Math" w:cs="Arial"/>
                  <w:b/>
                  <w:bCs/>
                  <w:i/>
                  <w:color w:val="000000" w:themeColor="text1"/>
                  <w:kern w:val="0"/>
                  <w:sz w:val="20"/>
                  <w:szCs w:val="20"/>
                  <w:lang w:val="en-IN" w:eastAsia="en-IN" w:bidi="mr-IN"/>
                  <w14:ligatures w14:val="none"/>
                </w:rPr>
              </m:ctrlPr>
            </m:funcPr>
            <m:fName>
              <m:r>
                <m:rPr>
                  <m:sty m:val="bi"/>
                </m:rPr>
                <w:rPr>
                  <w:rFonts w:ascii="Cambria Math" w:eastAsia="Times New Roman" w:hAnsi="Cambria Math" w:cs="Arial"/>
                  <w:color w:val="000000" w:themeColor="text1"/>
                  <w:kern w:val="0"/>
                  <w:sz w:val="20"/>
                  <w:szCs w:val="20"/>
                  <w:lang w:val="en-IN" w:eastAsia="en-IN"/>
                  <w14:ligatures w14:val="none"/>
                </w:rPr>
                <m:t>log</m:t>
              </m:r>
            </m:fName>
            <m:e>
              <m:r>
                <m:rPr>
                  <m:sty m:val="bi"/>
                </m:rPr>
                <w:rPr>
                  <w:rFonts w:ascii="Cambria Math" w:eastAsia="Times New Roman" w:hAnsi="Cambria Math" w:cs="Arial"/>
                  <w:color w:val="000000" w:themeColor="text1"/>
                  <w:kern w:val="0"/>
                  <w:sz w:val="20"/>
                  <w:szCs w:val="20"/>
                  <w:lang w:val="en-IN" w:eastAsia="en-IN" w:bidi="mr-IN"/>
                  <w14:ligatures w14:val="none"/>
                </w:rPr>
                <m:t>Y</m:t>
              </m:r>
              <m:r>
                <m:rPr>
                  <m:sty m:val="bi"/>
                </m:rPr>
                <w:rPr>
                  <w:rFonts w:ascii="Cambria Math" w:eastAsia="Times New Roman" w:hAnsi="Cambria Math" w:cs="Arial"/>
                  <w:color w:val="000000" w:themeColor="text1"/>
                  <w:kern w:val="0"/>
                  <w:sz w:val="20"/>
                  <w:szCs w:val="20"/>
                  <w:lang w:val="en-IN" w:eastAsia="en-IN" w:bidi="mr-IN"/>
                  <w14:ligatures w14:val="none"/>
                </w:rPr>
                <m:t>=</m:t>
              </m:r>
              <m:func>
                <m:funcPr>
                  <m:ctrlPr>
                    <w:rPr>
                      <w:rFonts w:ascii="Cambria Math" w:eastAsia="Times New Roman" w:hAnsi="Cambria Math" w:cs="Arial"/>
                      <w:b/>
                      <w:bCs/>
                      <w:i/>
                      <w:color w:val="000000" w:themeColor="text1"/>
                      <w:kern w:val="0"/>
                      <w:sz w:val="20"/>
                      <w:szCs w:val="20"/>
                      <w:lang w:val="en-IN" w:eastAsia="en-IN" w:bidi="mr-IN"/>
                      <w14:ligatures w14:val="none"/>
                    </w:rPr>
                  </m:ctrlPr>
                </m:funcPr>
                <m:fName>
                  <m:r>
                    <m:rPr>
                      <m:sty m:val="bi"/>
                    </m:rPr>
                    <w:rPr>
                      <w:rFonts w:ascii="Cambria Math" w:eastAsia="Times New Roman" w:hAnsi="Cambria Math" w:cs="Arial"/>
                      <w:color w:val="000000" w:themeColor="text1"/>
                      <w:kern w:val="0"/>
                      <w:sz w:val="20"/>
                      <w:szCs w:val="20"/>
                      <w:lang w:val="en-IN" w:eastAsia="en-IN"/>
                      <w14:ligatures w14:val="none"/>
                    </w:rPr>
                    <m:t>log</m:t>
                  </m:r>
                </m:fName>
                <m:e>
                  <m:r>
                    <m:rPr>
                      <m:sty m:val="bi"/>
                    </m:rPr>
                    <w:rPr>
                      <w:rFonts w:ascii="Cambria Math" w:eastAsia="Times New Roman" w:hAnsi="Cambria Math" w:cs="Arial"/>
                      <w:color w:val="000000" w:themeColor="text1"/>
                      <w:kern w:val="0"/>
                      <w:sz w:val="20"/>
                      <w:szCs w:val="20"/>
                      <w:lang w:val="en-IN" w:eastAsia="en-IN" w:bidi="mr-IN"/>
                      <w14:ligatures w14:val="none"/>
                    </w:rPr>
                    <m:t>a</m:t>
                  </m:r>
                </m:e>
              </m:func>
              <m:func>
                <m:funcPr>
                  <m:ctrlPr>
                    <w:rPr>
                      <w:rFonts w:ascii="Cambria Math" w:eastAsia="Times New Roman" w:hAnsi="Cambria Math" w:cs="Arial"/>
                      <w:b/>
                      <w:bCs/>
                      <w:i/>
                      <w:color w:val="000000" w:themeColor="text1"/>
                      <w:kern w:val="0"/>
                      <w:sz w:val="20"/>
                      <w:szCs w:val="20"/>
                      <w:lang w:val="en-IN" w:eastAsia="en-IN" w:bidi="mr-IN"/>
                      <w14:ligatures w14:val="none"/>
                    </w:rPr>
                  </m:ctrlPr>
                </m:funcPr>
                <m:fName>
                  <m:r>
                    <m:rPr>
                      <m:sty m:val="bi"/>
                    </m:rPr>
                    <w:rPr>
                      <w:rFonts w:ascii="Cambria Math" w:eastAsia="Times New Roman" w:hAnsi="Cambria Math" w:cs="Arial"/>
                      <w:color w:val="000000" w:themeColor="text1"/>
                      <w:kern w:val="0"/>
                      <w:sz w:val="20"/>
                      <w:szCs w:val="20"/>
                      <w:lang w:val="en-IN" w:eastAsia="en-IN"/>
                      <w14:ligatures w14:val="none"/>
                    </w:rPr>
                    <m:t xml:space="preserve">+ </m:t>
                  </m:r>
                  <m:r>
                    <m:rPr>
                      <m:sty m:val="bi"/>
                    </m:rPr>
                    <w:rPr>
                      <w:rFonts w:ascii="Cambria Math" w:eastAsia="Times New Roman" w:hAnsi="Cambria Math" w:cs="Arial"/>
                      <w:color w:val="000000" w:themeColor="text1"/>
                      <w:kern w:val="0"/>
                      <w:sz w:val="20"/>
                      <w:szCs w:val="20"/>
                      <w:lang w:val="en-IN" w:eastAsia="en-IN"/>
                      <w14:ligatures w14:val="none"/>
                    </w:rPr>
                    <m:t>log</m:t>
                  </m:r>
                </m:fName>
                <m:e>
                  <m:r>
                    <m:rPr>
                      <m:sty m:val="bi"/>
                    </m:rPr>
                    <w:rPr>
                      <w:rFonts w:ascii="Cambria Math" w:eastAsia="Times New Roman" w:hAnsi="Cambria Math" w:cs="Arial"/>
                      <w:color w:val="000000" w:themeColor="text1"/>
                      <w:kern w:val="0"/>
                      <w:sz w:val="20"/>
                      <w:szCs w:val="20"/>
                      <w:lang w:val="en-IN" w:eastAsia="en-IN" w:bidi="mr-IN"/>
                      <w14:ligatures w14:val="none"/>
                    </w:rPr>
                    <m:t>b</m:t>
                  </m:r>
                </m:e>
              </m:func>
            </m:e>
          </m:func>
        </m:oMath>
      </m:oMathPara>
    </w:p>
    <w:p w14:paraId="16F37394" w14:textId="77777777" w:rsidR="00AC0728" w:rsidRPr="007444AD" w:rsidRDefault="00AC0728" w:rsidP="00D13B0A">
      <w:pPr>
        <w:shd w:val="clear" w:color="auto" w:fill="FFFFFF"/>
        <w:spacing w:after="120" w:line="240" w:lineRule="auto"/>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The compound growth rate </w:t>
      </w:r>
      <w:r w:rsidRPr="007444AD">
        <w:rPr>
          <w:rFonts w:ascii="Arial" w:eastAsia="Times New Roman" w:hAnsi="Arial" w:cs="Arial"/>
          <w:b/>
          <w:bCs/>
          <w:color w:val="000000" w:themeColor="text1"/>
          <w:kern w:val="0"/>
          <w:sz w:val="20"/>
          <w:szCs w:val="20"/>
          <w:lang w:val="en-IN" w:eastAsia="en-IN" w:bidi="mr-IN"/>
          <w14:ligatures w14:val="none"/>
        </w:rPr>
        <w:t xml:space="preserve">(CGR) in per cent = </w:t>
      </w:r>
      <m:oMath>
        <m:r>
          <m:rPr>
            <m:sty m:val="bi"/>
          </m:rPr>
          <w:rPr>
            <w:rFonts w:ascii="Cambria Math" w:eastAsia="Times New Roman" w:hAnsi="Cambria Math" w:cs="Arial"/>
            <w:color w:val="000000" w:themeColor="text1"/>
            <w:kern w:val="0"/>
            <w:sz w:val="20"/>
            <w:szCs w:val="20"/>
            <w:lang w:val="en-IN" w:eastAsia="en-IN" w:bidi="mr-IN"/>
            <w14:ligatures w14:val="none"/>
          </w:rPr>
          <m:t>(Antilog b-1)×100</m:t>
        </m:r>
      </m:oMath>
    </w:p>
    <w:p w14:paraId="14A5A15A" w14:textId="6A594213" w:rsidR="00AC0728" w:rsidRPr="007444AD" w:rsidRDefault="00AC0728" w:rsidP="00D13B0A">
      <w:pPr>
        <w:shd w:val="clear" w:color="auto" w:fill="FFFFFF"/>
        <w:spacing w:after="120" w:line="240" w:lineRule="auto"/>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The compound growth rates were tested for their significance by using the </w:t>
      </w:r>
      <w:r w:rsidR="00660EAF" w:rsidRPr="007444AD">
        <w:rPr>
          <w:rFonts w:ascii="Arial" w:eastAsia="Times New Roman" w:hAnsi="Arial" w:cs="Arial"/>
          <w:color w:val="000000" w:themeColor="text1"/>
          <w:kern w:val="0"/>
          <w:sz w:val="20"/>
          <w:szCs w:val="20"/>
          <w:lang w:val="en-IN" w:eastAsia="en-IN" w:bidi="mr-IN"/>
          <w14:ligatures w14:val="none"/>
        </w:rPr>
        <w:t>student’s</w:t>
      </w:r>
      <w:r w:rsidRPr="007444AD">
        <w:rPr>
          <w:rFonts w:ascii="Arial" w:eastAsia="Times New Roman" w:hAnsi="Arial" w:cs="Arial"/>
          <w:color w:val="000000" w:themeColor="text1"/>
          <w:kern w:val="0"/>
          <w:sz w:val="20"/>
          <w:szCs w:val="20"/>
          <w:lang w:val="en-IN" w:eastAsia="en-IN" w:bidi="mr-IN"/>
          <w14:ligatures w14:val="none"/>
        </w:rPr>
        <w:t xml:space="preserve"> test.</w:t>
      </w:r>
    </w:p>
    <w:p w14:paraId="312BB018" w14:textId="77777777" w:rsidR="00AC0728" w:rsidRPr="007444AD" w:rsidRDefault="00AC0728" w:rsidP="00D13B0A">
      <w:pPr>
        <w:shd w:val="clear" w:color="auto" w:fill="FFFFFF"/>
        <w:spacing w:after="0" w:line="240" w:lineRule="auto"/>
        <w:jc w:val="both"/>
        <w:rPr>
          <w:rFonts w:ascii="Arial" w:eastAsia="Times New Roman" w:hAnsi="Arial" w:cs="Arial"/>
          <w:i/>
          <w:color w:val="000000" w:themeColor="text1"/>
          <w:kern w:val="0"/>
          <w:sz w:val="20"/>
          <w:szCs w:val="20"/>
          <w:lang w:val="en-IN" w:eastAsia="en-IN" w:bidi="mr-IN"/>
          <w14:ligatures w14:val="none"/>
        </w:rPr>
      </w:pPr>
      <m:oMathPara>
        <m:oMathParaPr>
          <m:jc m:val="center"/>
        </m:oMathParaPr>
        <m:oMath>
          <m:r>
            <m:rPr>
              <m:sty m:val="bi"/>
            </m:rPr>
            <w:rPr>
              <w:rFonts w:ascii="Cambria Math" w:eastAsia="Times New Roman" w:hAnsi="Cambria Math" w:cs="Arial"/>
              <w:color w:val="000000" w:themeColor="text1"/>
              <w:kern w:val="0"/>
              <w:sz w:val="20"/>
              <w:szCs w:val="20"/>
              <w:lang w:val="en-IN" w:eastAsia="en-IN" w:bidi="mr-IN"/>
              <w14:ligatures w14:val="none"/>
            </w:rPr>
            <m:t>t=</m:t>
          </m:r>
          <m:f>
            <m:fPr>
              <m:ctrlPr>
                <w:rPr>
                  <w:rFonts w:ascii="Cambria Math" w:eastAsia="Times New Roman" w:hAnsi="Cambria Math" w:cs="Arial"/>
                  <w:b/>
                  <w:bCs/>
                  <w:i/>
                  <w:color w:val="000000" w:themeColor="text1"/>
                  <w:kern w:val="0"/>
                  <w:sz w:val="20"/>
                  <w:szCs w:val="20"/>
                  <w:lang w:val="en-IN" w:eastAsia="en-IN" w:bidi="mr-IN"/>
                  <w14:ligatures w14:val="none"/>
                </w:rPr>
              </m:ctrlPr>
            </m:fPr>
            <m:num>
              <m:r>
                <m:rPr>
                  <m:sty m:val="bi"/>
                </m:rPr>
                <w:rPr>
                  <w:rFonts w:ascii="Cambria Math" w:eastAsia="Times New Roman" w:hAnsi="Cambria Math" w:cs="Arial"/>
                  <w:color w:val="000000" w:themeColor="text1"/>
                  <w:kern w:val="0"/>
                  <w:sz w:val="20"/>
                  <w:szCs w:val="20"/>
                  <w:lang w:val="en-IN" w:eastAsia="en-IN" w:bidi="mr-IN"/>
                  <w14:ligatures w14:val="none"/>
                </w:rPr>
                <m:t>b</m:t>
              </m:r>
            </m:num>
            <m:den>
              <m:r>
                <m:rPr>
                  <m:sty m:val="bi"/>
                </m:rPr>
                <w:rPr>
                  <w:rFonts w:ascii="Cambria Math" w:eastAsia="Times New Roman" w:hAnsi="Cambria Math" w:cs="Arial"/>
                  <w:color w:val="000000" w:themeColor="text1"/>
                  <w:kern w:val="0"/>
                  <w:sz w:val="20"/>
                  <w:szCs w:val="20"/>
                  <w:lang w:val="en-IN" w:eastAsia="en-IN" w:bidi="mr-IN"/>
                  <w14:ligatures w14:val="none"/>
                </w:rPr>
                <m:t>SE</m:t>
              </m:r>
            </m:den>
          </m:f>
        </m:oMath>
      </m:oMathPara>
    </w:p>
    <w:p w14:paraId="740F5D9C" w14:textId="77777777" w:rsidR="00AC0728" w:rsidRPr="00095C62" w:rsidRDefault="00AC0728" w:rsidP="00D13B0A">
      <w:pPr>
        <w:widowControl w:val="0"/>
        <w:numPr>
          <w:ilvl w:val="0"/>
          <w:numId w:val="19"/>
        </w:numPr>
        <w:autoSpaceDE w:val="0"/>
        <w:autoSpaceDN w:val="0"/>
        <w:spacing w:after="120" w:line="240" w:lineRule="auto"/>
        <w:ind w:left="1440" w:hanging="1440"/>
        <w:jc w:val="both"/>
        <w:rPr>
          <w:rFonts w:ascii="Arial" w:eastAsia="Times New Roman" w:hAnsi="Arial" w:cs="Arial"/>
          <w:b/>
          <w:bCs/>
          <w:color w:val="000000" w:themeColor="text1"/>
          <w:kern w:val="0"/>
          <w:lang w:val="en-IN" w:eastAsia="en-IN" w:bidi="mr-IN"/>
          <w14:ligatures w14:val="none"/>
        </w:rPr>
      </w:pPr>
      <w:r w:rsidRPr="00095C62">
        <w:rPr>
          <w:rFonts w:ascii="Arial" w:eastAsia="Times New Roman" w:hAnsi="Arial" w:cs="Arial"/>
          <w:b/>
          <w:bCs/>
          <w:color w:val="000000" w:themeColor="text1"/>
          <w:kern w:val="0"/>
          <w:lang w:val="en-IN" w:eastAsia="en-IN" w:bidi="mr-IN"/>
          <w14:ligatures w14:val="none"/>
        </w:rPr>
        <w:t xml:space="preserve">Coefficient of Variability </w:t>
      </w:r>
    </w:p>
    <w:p w14:paraId="0C872229" w14:textId="07405390" w:rsidR="00AC0728" w:rsidRPr="007444AD" w:rsidRDefault="00AC0728" w:rsidP="00D13B0A">
      <w:pPr>
        <w:shd w:val="clear" w:color="auto" w:fill="FFFFFF"/>
        <w:spacing w:after="12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The coefficient of variation around the mean was utilised to measure instability in the area, production, productivity, exports and imports of </w:t>
      </w:r>
      <w:r w:rsidR="00660EAF" w:rsidRPr="007444AD">
        <w:rPr>
          <w:rFonts w:ascii="Arial" w:eastAsia="Times New Roman" w:hAnsi="Arial" w:cs="Arial"/>
          <w:color w:val="000000" w:themeColor="text1"/>
          <w:kern w:val="0"/>
          <w:sz w:val="20"/>
          <w:szCs w:val="20"/>
          <w:lang w:val="en-IN" w:eastAsia="en-IN" w:bidi="mr-IN"/>
          <w14:ligatures w14:val="none"/>
        </w:rPr>
        <w:t>soybean</w:t>
      </w:r>
      <w:r w:rsidRPr="007444AD">
        <w:rPr>
          <w:rFonts w:ascii="Arial" w:eastAsia="Times New Roman" w:hAnsi="Arial" w:cs="Arial"/>
          <w:color w:val="000000" w:themeColor="text1"/>
          <w:kern w:val="0"/>
          <w:sz w:val="20"/>
          <w:szCs w:val="20"/>
          <w:lang w:val="en-IN" w:eastAsia="en-IN" w:bidi="mr-IN"/>
          <w14:ligatures w14:val="none"/>
        </w:rPr>
        <w:t xml:space="preserve">. The Coefficient of Variation (CV) was calculated by using the formula, </w:t>
      </w:r>
    </w:p>
    <w:p w14:paraId="3736355E" w14:textId="77777777" w:rsidR="00AC0728" w:rsidRPr="007444AD" w:rsidRDefault="00AC0728" w:rsidP="00D13B0A">
      <w:pPr>
        <w:shd w:val="clear" w:color="auto" w:fill="FFFFFF"/>
        <w:spacing w:after="120" w:line="240" w:lineRule="auto"/>
        <w:jc w:val="both"/>
        <w:rPr>
          <w:rFonts w:ascii="Arial" w:eastAsia="Times New Roman" w:hAnsi="Arial" w:cs="Arial"/>
          <w:i/>
          <w:color w:val="000000" w:themeColor="text1"/>
          <w:kern w:val="0"/>
          <w:sz w:val="20"/>
          <w:szCs w:val="20"/>
          <w:lang w:val="en-IN" w:eastAsia="en-IN" w:bidi="mr-IN"/>
          <w14:ligatures w14:val="none"/>
        </w:rPr>
      </w:pPr>
      <m:oMathPara>
        <m:oMathParaPr>
          <m:jc m:val="center"/>
        </m:oMathParaPr>
        <m:oMath>
          <m:r>
            <m:rPr>
              <m:sty m:val="bi"/>
            </m:rPr>
            <w:rPr>
              <w:rFonts w:ascii="Cambria Math" w:eastAsia="Times New Roman" w:hAnsi="Cambria Math" w:cs="Arial"/>
              <w:color w:val="000000" w:themeColor="text1"/>
              <w:kern w:val="0"/>
              <w:sz w:val="20"/>
              <w:szCs w:val="20"/>
              <w:lang w:val="en-IN" w:eastAsia="en-IN" w:bidi="mr-IN"/>
              <w14:ligatures w14:val="none"/>
            </w:rPr>
            <m:t>CV ( per cent) =</m:t>
          </m:r>
          <m:f>
            <m:fPr>
              <m:ctrlPr>
                <w:rPr>
                  <w:rFonts w:ascii="Cambria Math" w:eastAsia="Times New Roman" w:hAnsi="Cambria Math" w:cs="Arial"/>
                  <w:b/>
                  <w:bCs/>
                  <w:i/>
                  <w:color w:val="000000" w:themeColor="text1"/>
                  <w:kern w:val="0"/>
                  <w:sz w:val="20"/>
                  <w:szCs w:val="20"/>
                  <w:lang w:val="en-IN" w:eastAsia="en-IN" w:bidi="mr-IN"/>
                  <w14:ligatures w14:val="none"/>
                </w:rPr>
              </m:ctrlPr>
            </m:fPr>
            <m:num>
              <m:r>
                <m:rPr>
                  <m:sty m:val="bi"/>
                </m:rPr>
                <w:rPr>
                  <w:rFonts w:ascii="Cambria Math" w:eastAsia="Times New Roman" w:hAnsi="Cambria Math" w:cs="Arial"/>
                  <w:color w:val="000000" w:themeColor="text1"/>
                  <w:kern w:val="0"/>
                  <w:sz w:val="20"/>
                  <w:szCs w:val="20"/>
                  <w:lang w:val="en-IN" w:eastAsia="en-IN" w:bidi="mr-IN"/>
                  <w14:ligatures w14:val="none"/>
                </w:rPr>
                <m:t>Standard Deviation</m:t>
              </m:r>
            </m:num>
            <m:den>
              <m:r>
                <m:rPr>
                  <m:sty m:val="bi"/>
                </m:rPr>
                <w:rPr>
                  <w:rFonts w:ascii="Cambria Math" w:eastAsia="Times New Roman" w:hAnsi="Cambria Math" w:cs="Arial"/>
                  <w:color w:val="000000" w:themeColor="text1"/>
                  <w:kern w:val="0"/>
                  <w:sz w:val="20"/>
                  <w:szCs w:val="20"/>
                  <w:lang w:val="en-IN" w:eastAsia="en-IN" w:bidi="mr-IN"/>
                  <w14:ligatures w14:val="none"/>
                </w:rPr>
                <m:t>Mean</m:t>
              </m:r>
            </m:den>
          </m:f>
        </m:oMath>
      </m:oMathPara>
    </w:p>
    <w:p w14:paraId="35AA3303" w14:textId="77777777" w:rsidR="00AC0728" w:rsidRPr="007444AD" w:rsidRDefault="00AC0728" w:rsidP="00D13B0A">
      <w:pPr>
        <w:shd w:val="clear" w:color="auto" w:fill="FFFFFF"/>
        <w:spacing w:after="120" w:line="240" w:lineRule="auto"/>
        <w:ind w:firstLine="720"/>
        <w:jc w:val="both"/>
        <w:rPr>
          <w:rFonts w:ascii="Arial" w:eastAsia="Times New Roman" w:hAnsi="Arial" w:cs="Arial"/>
          <w:color w:val="000000" w:themeColor="text1"/>
          <w:kern w:val="0"/>
          <w:sz w:val="20"/>
          <w:szCs w:val="20"/>
          <w:vertAlign w:val="superscript"/>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lastRenderedPageBreak/>
        <w:t xml:space="preserve">The coefficient of variation around the trend instead of the coefficient of variation around the mean was used as an index of instability. The formula suggested by Cuddy and Dell (1978) to compute the degree of variation around the trend is, </w:t>
      </w:r>
    </w:p>
    <w:p w14:paraId="5D73C817" w14:textId="77777777" w:rsidR="00AC0728" w:rsidRPr="007444AD" w:rsidRDefault="00AC4BF7" w:rsidP="00D13B0A">
      <w:pPr>
        <w:shd w:val="clear" w:color="auto" w:fill="FFFFFF"/>
        <w:spacing w:after="120" w:line="240" w:lineRule="auto"/>
        <w:jc w:val="both"/>
        <w:rPr>
          <w:rFonts w:ascii="Arial" w:eastAsia="Times New Roman" w:hAnsi="Arial" w:cs="Arial"/>
          <w:i/>
          <w:color w:val="000000" w:themeColor="text1"/>
          <w:kern w:val="0"/>
          <w:sz w:val="20"/>
          <w:szCs w:val="20"/>
          <w:lang w:val="en-IN" w:eastAsia="en-IN" w:bidi="mr-IN"/>
          <w14:ligatures w14:val="none"/>
        </w:rPr>
      </w:pPr>
      <m:oMathPara>
        <m:oMathParaPr>
          <m:jc m:val="center"/>
        </m:oMathParaPr>
        <m:oMath>
          <m:sSub>
            <m:sSubPr>
              <m:ctrlPr>
                <w:rPr>
                  <w:rFonts w:ascii="Cambria Math" w:eastAsia="Times New Roman" w:hAnsi="Cambria Math" w:cs="Arial"/>
                  <w:b/>
                  <w:bCs/>
                  <w:i/>
                  <w:iCs/>
                  <w:color w:val="000000" w:themeColor="text1"/>
                  <w:kern w:val="0"/>
                  <w:sz w:val="20"/>
                  <w:szCs w:val="20"/>
                  <w:lang w:val="en-IN" w:eastAsia="en-IN" w:bidi="mr-IN"/>
                  <w14:ligatures w14:val="none"/>
                </w:rPr>
              </m:ctrlPr>
            </m:sSubPr>
            <m:e>
              <m:r>
                <m:rPr>
                  <m:sty m:val="bi"/>
                </m:rPr>
                <w:rPr>
                  <w:rFonts w:ascii="Cambria Math" w:eastAsia="Times New Roman" w:hAnsi="Cambria Math" w:cs="Arial"/>
                  <w:color w:val="000000" w:themeColor="text1"/>
                  <w:kern w:val="0"/>
                  <w:sz w:val="20"/>
                  <w:szCs w:val="20"/>
                  <w:lang w:val="en-IN" w:eastAsia="en-IN" w:bidi="mr-IN"/>
                  <w14:ligatures w14:val="none"/>
                </w:rPr>
                <m:t>CV</m:t>
              </m:r>
            </m:e>
            <m:sub>
              <m:r>
                <m:rPr>
                  <m:sty m:val="bi"/>
                </m:rPr>
                <w:rPr>
                  <w:rFonts w:ascii="Cambria Math" w:eastAsia="Times New Roman" w:hAnsi="Cambria Math" w:cs="Arial"/>
                  <w:color w:val="000000" w:themeColor="text1"/>
                  <w:kern w:val="0"/>
                  <w:sz w:val="20"/>
                  <w:szCs w:val="20"/>
                  <w:lang w:val="en-IN" w:eastAsia="en-IN" w:bidi="mr-IN"/>
                  <w14:ligatures w14:val="none"/>
                </w:rPr>
                <m:t>t</m:t>
              </m:r>
            </m:sub>
          </m:sSub>
          <m:r>
            <m:rPr>
              <m:sty m:val="bi"/>
            </m:rPr>
            <w:rPr>
              <w:rFonts w:ascii="Cambria Math" w:eastAsia="Times New Roman" w:hAnsi="Cambria Math" w:cs="Arial"/>
              <w:color w:val="000000" w:themeColor="text1"/>
              <w:kern w:val="0"/>
              <w:sz w:val="20"/>
              <w:szCs w:val="20"/>
              <w:lang w:val="en-IN" w:eastAsia="en-IN" w:bidi="mr-IN"/>
              <w14:ligatures w14:val="none"/>
            </w:rPr>
            <m:t xml:space="preserve"> ( </m:t>
          </m:r>
          <m:r>
            <m:rPr>
              <m:sty m:val="bi"/>
            </m:rPr>
            <w:rPr>
              <w:rFonts w:ascii="Cambria Math" w:eastAsia="Times New Roman" w:hAnsi="Cambria Math" w:cs="Arial"/>
              <w:color w:val="000000" w:themeColor="text1"/>
              <w:kern w:val="0"/>
              <w:sz w:val="20"/>
              <w:szCs w:val="20"/>
              <w:lang w:val="en-IN" w:eastAsia="en-IN" w:bidi="mr-IN"/>
              <w14:ligatures w14:val="none"/>
            </w:rPr>
            <m:t>pe</m:t>
          </m:r>
          <m:r>
            <m:rPr>
              <m:sty m:val="bi"/>
            </m:rPr>
            <w:rPr>
              <w:rFonts w:ascii="Cambria Math" w:eastAsia="Times New Roman" w:hAnsi="Cambria Math" w:cs="Arial"/>
              <w:color w:val="000000" w:themeColor="text1"/>
              <w:kern w:val="0"/>
              <w:sz w:val="20"/>
              <w:szCs w:val="20"/>
              <w:lang w:val="en-IN" w:eastAsia="en-IN" w:bidi="mr-IN"/>
              <w14:ligatures w14:val="none"/>
            </w:rPr>
            <m:t>r</m:t>
          </m:r>
          <m:r>
            <m:rPr>
              <m:sty m:val="bi"/>
            </m:rPr>
            <w:rPr>
              <w:rFonts w:ascii="Cambria Math" w:eastAsia="Times New Roman" w:hAnsi="Cambria Math" w:cs="Arial"/>
              <w:color w:val="000000" w:themeColor="text1"/>
              <w:kern w:val="0"/>
              <w:sz w:val="20"/>
              <w:szCs w:val="20"/>
              <w:lang w:val="en-IN" w:eastAsia="en-IN" w:bidi="mr-IN"/>
              <w14:ligatures w14:val="none"/>
            </w:rPr>
            <m:t xml:space="preserve"> </m:t>
          </m:r>
          <m:r>
            <m:rPr>
              <m:sty m:val="bi"/>
            </m:rPr>
            <w:rPr>
              <w:rFonts w:ascii="Cambria Math" w:eastAsia="Times New Roman" w:hAnsi="Cambria Math" w:cs="Arial"/>
              <w:color w:val="000000" w:themeColor="text1"/>
              <w:kern w:val="0"/>
              <w:sz w:val="20"/>
              <w:szCs w:val="20"/>
              <w:lang w:val="en-IN" w:eastAsia="en-IN" w:bidi="mr-IN"/>
              <w14:ligatures w14:val="none"/>
            </w:rPr>
            <m:t>cent</m:t>
          </m:r>
          <m:r>
            <m:rPr>
              <m:sty m:val="bi"/>
            </m:rPr>
            <w:rPr>
              <w:rFonts w:ascii="Cambria Math" w:eastAsia="Times New Roman" w:hAnsi="Cambria Math" w:cs="Arial"/>
              <w:color w:val="000000" w:themeColor="text1"/>
              <w:kern w:val="0"/>
              <w:sz w:val="20"/>
              <w:szCs w:val="20"/>
              <w:lang w:val="en-IN" w:eastAsia="en-IN" w:bidi="mr-IN"/>
              <w14:ligatures w14:val="none"/>
            </w:rPr>
            <m:t>) =</m:t>
          </m:r>
          <m:f>
            <m:fPr>
              <m:ctrlPr>
                <w:rPr>
                  <w:rFonts w:ascii="Cambria Math" w:eastAsia="Times New Roman" w:hAnsi="Cambria Math" w:cs="Arial"/>
                  <w:b/>
                  <w:bCs/>
                  <w:i/>
                  <w:color w:val="000000" w:themeColor="text1"/>
                  <w:kern w:val="0"/>
                  <w:sz w:val="20"/>
                  <w:szCs w:val="20"/>
                  <w:lang w:val="en-IN" w:eastAsia="en-IN" w:bidi="mr-IN"/>
                  <w14:ligatures w14:val="none"/>
                </w:rPr>
              </m:ctrlPr>
            </m:fPr>
            <m:num>
              <m:r>
                <m:rPr>
                  <m:sty m:val="bi"/>
                </m:rPr>
                <w:rPr>
                  <w:rFonts w:ascii="Cambria Math" w:eastAsia="Times New Roman" w:hAnsi="Cambria Math" w:cs="Arial"/>
                  <w:color w:val="000000" w:themeColor="text1"/>
                  <w:kern w:val="0"/>
                  <w:sz w:val="20"/>
                  <w:szCs w:val="20"/>
                  <w:lang w:val="en-IN" w:eastAsia="en-IN" w:bidi="mr-IN"/>
                  <w14:ligatures w14:val="none"/>
                </w:rPr>
                <m:t>Standard</m:t>
              </m:r>
              <m:r>
                <m:rPr>
                  <m:sty m:val="bi"/>
                </m:rPr>
                <w:rPr>
                  <w:rFonts w:ascii="Cambria Math" w:eastAsia="Times New Roman" w:hAnsi="Cambria Math" w:cs="Arial"/>
                  <w:color w:val="000000" w:themeColor="text1"/>
                  <w:kern w:val="0"/>
                  <w:sz w:val="20"/>
                  <w:szCs w:val="20"/>
                  <w:lang w:val="en-IN" w:eastAsia="en-IN" w:bidi="mr-IN"/>
                  <w14:ligatures w14:val="none"/>
                </w:rPr>
                <m:t xml:space="preserve"> </m:t>
              </m:r>
              <m:r>
                <m:rPr>
                  <m:sty m:val="bi"/>
                </m:rPr>
                <w:rPr>
                  <w:rFonts w:ascii="Cambria Math" w:eastAsia="Times New Roman" w:hAnsi="Cambria Math" w:cs="Arial"/>
                  <w:color w:val="000000" w:themeColor="text1"/>
                  <w:kern w:val="0"/>
                  <w:sz w:val="20"/>
                  <w:szCs w:val="20"/>
                  <w:lang w:val="en-IN" w:eastAsia="en-IN" w:bidi="mr-IN"/>
                  <w14:ligatures w14:val="none"/>
                </w:rPr>
                <m:t>Deviation</m:t>
              </m:r>
            </m:num>
            <m:den>
              <m:r>
                <m:rPr>
                  <m:sty m:val="bi"/>
                </m:rPr>
                <w:rPr>
                  <w:rFonts w:ascii="Cambria Math" w:eastAsia="Times New Roman" w:hAnsi="Cambria Math" w:cs="Arial"/>
                  <w:color w:val="000000" w:themeColor="text1"/>
                  <w:kern w:val="0"/>
                  <w:sz w:val="20"/>
                  <w:szCs w:val="20"/>
                  <w:lang w:val="en-IN" w:eastAsia="en-IN" w:bidi="mr-IN"/>
                  <w14:ligatures w14:val="none"/>
                </w:rPr>
                <m:t>Mean</m:t>
              </m:r>
            </m:den>
          </m:f>
          <m:r>
            <m:rPr>
              <m:sty m:val="bi"/>
            </m:rPr>
            <w:rPr>
              <w:rFonts w:ascii="Cambria Math" w:eastAsia="Times New Roman" w:hAnsi="Cambria Math" w:cs="Arial"/>
              <w:color w:val="000000" w:themeColor="text1"/>
              <w:kern w:val="0"/>
              <w:sz w:val="20"/>
              <w:szCs w:val="20"/>
              <w:lang w:val="en-IN" w:eastAsia="en-IN" w:bidi="mr-IN"/>
              <w14:ligatures w14:val="none"/>
            </w:rPr>
            <m:t>×</m:t>
          </m:r>
          <m:r>
            <m:rPr>
              <m:sty m:val="bi"/>
            </m:rPr>
            <w:rPr>
              <w:rFonts w:ascii="Cambria Math" w:eastAsia="Times New Roman" w:hAnsi="Cambria Math" w:cs="Arial"/>
              <w:color w:val="000000" w:themeColor="text1"/>
              <w:kern w:val="0"/>
              <w:sz w:val="20"/>
              <w:szCs w:val="20"/>
              <w:lang w:val="en-IN" w:eastAsia="en-IN" w:bidi="mr-IN"/>
              <w14:ligatures w14:val="none"/>
            </w:rPr>
            <m:t>100</m:t>
          </m:r>
          <m:rad>
            <m:radPr>
              <m:degHide m:val="1"/>
              <m:ctrlPr>
                <w:rPr>
                  <w:rFonts w:ascii="Cambria Math" w:eastAsia="Times New Roman" w:hAnsi="Cambria Math" w:cs="Arial"/>
                  <w:b/>
                  <w:bCs/>
                  <w:i/>
                  <w:color w:val="000000" w:themeColor="text1"/>
                  <w:kern w:val="0"/>
                  <w:sz w:val="20"/>
                  <w:szCs w:val="20"/>
                  <w:lang w:val="en-IN" w:eastAsia="en-IN" w:bidi="mr-IN"/>
                  <w14:ligatures w14:val="none"/>
                </w:rPr>
              </m:ctrlPr>
            </m:radPr>
            <m:deg/>
            <m:e>
              <m:sSup>
                <m:sSupPr>
                  <m:ctrlPr>
                    <w:rPr>
                      <w:rFonts w:ascii="Cambria Math" w:eastAsia="Times New Roman" w:hAnsi="Cambria Math" w:cs="Arial"/>
                      <w:b/>
                      <w:bCs/>
                      <w:i/>
                      <w:color w:val="000000" w:themeColor="text1"/>
                      <w:kern w:val="0"/>
                      <w:sz w:val="20"/>
                      <w:szCs w:val="20"/>
                      <w:lang w:val="en-IN" w:eastAsia="en-IN" w:bidi="mr-IN"/>
                      <w14:ligatures w14:val="none"/>
                    </w:rPr>
                  </m:ctrlPr>
                </m:sSupPr>
                <m:e>
                  <m:r>
                    <m:rPr>
                      <m:sty m:val="bi"/>
                    </m:rPr>
                    <w:rPr>
                      <w:rFonts w:ascii="Cambria Math" w:eastAsia="Times New Roman" w:hAnsi="Cambria Math" w:cs="Arial"/>
                      <w:color w:val="000000" w:themeColor="text1"/>
                      <w:kern w:val="0"/>
                      <w:sz w:val="20"/>
                      <w:szCs w:val="20"/>
                      <w:lang w:val="en-IN" w:eastAsia="en-IN" w:bidi="mr-IN"/>
                      <w14:ligatures w14:val="none"/>
                    </w:rPr>
                    <m:t>1</m:t>
                  </m:r>
                  <m:r>
                    <m:rPr>
                      <m:sty m:val="bi"/>
                    </m:rPr>
                    <w:rPr>
                      <w:rFonts w:ascii="Cambria Math" w:eastAsia="Times New Roman" w:hAnsi="Cambria Math" w:cs="Arial"/>
                      <w:color w:val="000000" w:themeColor="text1"/>
                      <w:kern w:val="0"/>
                      <w:sz w:val="20"/>
                      <w:szCs w:val="20"/>
                      <w:lang w:val="en-IN" w:eastAsia="en-IN" w:bidi="mr-IN"/>
                      <w14:ligatures w14:val="none"/>
                    </w:rPr>
                    <m:t>-</m:t>
                  </m:r>
                  <m:r>
                    <m:rPr>
                      <m:sty m:val="bi"/>
                    </m:rPr>
                    <w:rPr>
                      <w:rFonts w:ascii="Cambria Math" w:eastAsia="Times New Roman" w:hAnsi="Cambria Math" w:cs="Arial"/>
                      <w:color w:val="000000" w:themeColor="text1"/>
                      <w:kern w:val="0"/>
                      <w:sz w:val="20"/>
                      <w:szCs w:val="20"/>
                      <w:lang w:val="en-IN" w:eastAsia="en-IN" w:bidi="mr-IN"/>
                      <w14:ligatures w14:val="none"/>
                    </w:rPr>
                    <m:t>r</m:t>
                  </m:r>
                </m:e>
                <m:sup>
                  <m:r>
                    <m:rPr>
                      <m:sty m:val="bi"/>
                    </m:rPr>
                    <w:rPr>
                      <w:rFonts w:ascii="Cambria Math" w:eastAsia="Times New Roman" w:hAnsi="Cambria Math" w:cs="Arial"/>
                      <w:color w:val="000000" w:themeColor="text1"/>
                      <w:kern w:val="0"/>
                      <w:sz w:val="20"/>
                      <w:szCs w:val="20"/>
                      <w:lang w:val="en-IN" w:eastAsia="en-IN" w:bidi="mr-IN"/>
                      <w14:ligatures w14:val="none"/>
                    </w:rPr>
                    <m:t>2</m:t>
                  </m:r>
                </m:sup>
              </m:sSup>
            </m:e>
          </m:rad>
        </m:oMath>
      </m:oMathPara>
    </w:p>
    <w:p w14:paraId="3DCFF791" w14:textId="77777777" w:rsidR="00AC0728" w:rsidRPr="007444AD" w:rsidRDefault="00AC0728" w:rsidP="00D13B0A">
      <w:pPr>
        <w:shd w:val="clear" w:color="auto" w:fill="FFFFFF"/>
        <w:spacing w:after="120" w:line="240" w:lineRule="auto"/>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i.e., the Coefficient of variation around the mean was multiplied by the square root of the difference between unity and coefficient of determination (r</w:t>
      </w:r>
      <w:r w:rsidRPr="007444AD">
        <w:rPr>
          <w:rFonts w:ascii="Arial" w:eastAsia="Times New Roman" w:hAnsi="Arial" w:cs="Arial"/>
          <w:color w:val="000000" w:themeColor="text1"/>
          <w:kern w:val="0"/>
          <w:sz w:val="20"/>
          <w:szCs w:val="20"/>
          <w:vertAlign w:val="superscript"/>
          <w:lang w:val="en-IN" w:eastAsia="en-IN" w:bidi="mr-IN"/>
          <w14:ligatures w14:val="none"/>
        </w:rPr>
        <w:t>2</w:t>
      </w:r>
      <w:r w:rsidRPr="007444AD">
        <w:rPr>
          <w:rFonts w:ascii="Arial" w:eastAsia="Times New Roman" w:hAnsi="Arial" w:cs="Arial"/>
          <w:color w:val="000000" w:themeColor="text1"/>
          <w:kern w:val="0"/>
          <w:sz w:val="20"/>
          <w:szCs w:val="20"/>
          <w:lang w:val="en-IN" w:eastAsia="en-IN" w:bidi="mr-IN"/>
          <w14:ligatures w14:val="none"/>
        </w:rPr>
        <w:t xml:space="preserve">) of the trend equation    Y= a + </w:t>
      </w:r>
      <w:proofErr w:type="spellStart"/>
      <w:r w:rsidRPr="007444AD">
        <w:rPr>
          <w:rFonts w:ascii="Arial" w:eastAsia="Times New Roman" w:hAnsi="Arial" w:cs="Arial"/>
          <w:color w:val="000000" w:themeColor="text1"/>
          <w:kern w:val="0"/>
          <w:sz w:val="20"/>
          <w:szCs w:val="20"/>
          <w:lang w:val="en-IN" w:eastAsia="en-IN" w:bidi="mr-IN"/>
          <w14:ligatures w14:val="none"/>
        </w:rPr>
        <w:t>bt.</w:t>
      </w:r>
      <w:proofErr w:type="spellEnd"/>
    </w:p>
    <w:p w14:paraId="6E594E04" w14:textId="5A67CA7A" w:rsidR="00AC0728" w:rsidRPr="007444AD" w:rsidRDefault="00AC0728" w:rsidP="00D13B0A">
      <w:pPr>
        <w:shd w:val="clear" w:color="auto" w:fill="FFFFFF"/>
        <w:spacing w:after="12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The Coefficient of Variation (CV) classification outlined by Harka et al. (2021) is:  </w:t>
      </w:r>
    </w:p>
    <w:p w14:paraId="7312CF35" w14:textId="77777777" w:rsidR="00AC0728" w:rsidRPr="007444AD" w:rsidRDefault="00AC0728" w:rsidP="00D13B0A">
      <w:pPr>
        <w:widowControl w:val="0"/>
        <w:numPr>
          <w:ilvl w:val="1"/>
          <w:numId w:val="23"/>
        </w:numPr>
        <w:shd w:val="clear" w:color="auto" w:fill="FFFFFF"/>
        <w:autoSpaceDE w:val="0"/>
        <w:autoSpaceDN w:val="0"/>
        <w:spacing w:after="0" w:line="240" w:lineRule="auto"/>
        <w:ind w:hanging="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CV is less than 20: less variation</w:t>
      </w:r>
    </w:p>
    <w:p w14:paraId="33A429DA" w14:textId="77777777" w:rsidR="00AC0728" w:rsidRPr="007444AD" w:rsidRDefault="00AC0728" w:rsidP="00D13B0A">
      <w:pPr>
        <w:widowControl w:val="0"/>
        <w:numPr>
          <w:ilvl w:val="1"/>
          <w:numId w:val="23"/>
        </w:numPr>
        <w:shd w:val="clear" w:color="auto" w:fill="FFFFFF"/>
        <w:autoSpaceDE w:val="0"/>
        <w:autoSpaceDN w:val="0"/>
        <w:spacing w:after="0" w:line="240" w:lineRule="auto"/>
        <w:ind w:hanging="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CV is between 20 to 30: moderate variation</w:t>
      </w:r>
    </w:p>
    <w:p w14:paraId="3BE664F1" w14:textId="77777777" w:rsidR="00AC0728" w:rsidRPr="007444AD" w:rsidRDefault="00AC0728" w:rsidP="00D13B0A">
      <w:pPr>
        <w:widowControl w:val="0"/>
        <w:numPr>
          <w:ilvl w:val="1"/>
          <w:numId w:val="23"/>
        </w:numPr>
        <w:shd w:val="clear" w:color="auto" w:fill="FFFFFF"/>
        <w:autoSpaceDE w:val="0"/>
        <w:autoSpaceDN w:val="0"/>
        <w:spacing w:after="0" w:line="240" w:lineRule="auto"/>
        <w:ind w:hanging="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CV is greater than 30: high variation</w:t>
      </w:r>
    </w:p>
    <w:p w14:paraId="10BB35BD" w14:textId="77777777" w:rsidR="00AC0728" w:rsidRPr="007444AD" w:rsidRDefault="00AC0728" w:rsidP="00D13B0A">
      <w:pPr>
        <w:widowControl w:val="0"/>
        <w:numPr>
          <w:ilvl w:val="1"/>
          <w:numId w:val="23"/>
        </w:numPr>
        <w:shd w:val="clear" w:color="auto" w:fill="FFFFFF"/>
        <w:autoSpaceDE w:val="0"/>
        <w:autoSpaceDN w:val="0"/>
        <w:spacing w:after="120" w:line="240" w:lineRule="auto"/>
        <w:ind w:hanging="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CV is greater than 50: very high variation</w:t>
      </w:r>
    </w:p>
    <w:p w14:paraId="7909525F" w14:textId="77777777" w:rsidR="00AC0728" w:rsidRPr="00095C62" w:rsidRDefault="00AC0728" w:rsidP="00D13B0A">
      <w:pPr>
        <w:widowControl w:val="0"/>
        <w:numPr>
          <w:ilvl w:val="0"/>
          <w:numId w:val="19"/>
        </w:numPr>
        <w:autoSpaceDE w:val="0"/>
        <w:autoSpaceDN w:val="0"/>
        <w:spacing w:after="120" w:line="240" w:lineRule="auto"/>
        <w:ind w:left="1440" w:hanging="1440"/>
        <w:jc w:val="both"/>
        <w:rPr>
          <w:rFonts w:ascii="Arial" w:eastAsia="Times New Roman" w:hAnsi="Arial" w:cs="Arial"/>
          <w:b/>
          <w:bCs/>
          <w:color w:val="000000" w:themeColor="text1"/>
          <w:kern w:val="0"/>
          <w:lang w:val="en-IN" w:eastAsia="en-IN" w:bidi="mr-IN"/>
          <w14:ligatures w14:val="none"/>
        </w:rPr>
      </w:pPr>
      <w:r w:rsidRPr="00095C62">
        <w:rPr>
          <w:rFonts w:ascii="Arial" w:eastAsia="Times New Roman" w:hAnsi="Arial" w:cs="Arial"/>
          <w:b/>
          <w:bCs/>
          <w:color w:val="000000" w:themeColor="text1"/>
          <w:kern w:val="0"/>
          <w:lang w:val="en-IN" w:eastAsia="en-IN" w:bidi="mr-IN"/>
          <w14:ligatures w14:val="none"/>
        </w:rPr>
        <w:t xml:space="preserve">Cuddy-Della Valle Index </w:t>
      </w:r>
    </w:p>
    <w:p w14:paraId="75AA07FC" w14:textId="77777777" w:rsidR="00AC0728" w:rsidRPr="007444AD" w:rsidRDefault="00AC0728" w:rsidP="00D13B0A">
      <w:pPr>
        <w:shd w:val="clear" w:color="auto" w:fill="FFFFFF"/>
        <w:spacing w:after="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The Cuddy -Della Valle index attempts to de-trend CV by using the coefficient of determination. </w:t>
      </w:r>
      <w:r w:rsidRPr="007444AD">
        <w:rPr>
          <w:rFonts w:ascii="Arial" w:eastAsia="Times New Roman" w:hAnsi="Arial" w:cs="Arial"/>
          <w:color w:val="000000" w:themeColor="text1"/>
          <w:kern w:val="0"/>
          <w:sz w:val="20"/>
          <w:szCs w:val="20"/>
          <w:lang w:eastAsia="en-IN" w:bidi="mr-IN"/>
          <w14:ligatures w14:val="none"/>
        </w:rPr>
        <w:t>The Cuddy-Della Valle index employs de-trending to refine its variability calculations. To remove unwanted influences on result. De-trending effectively eliminates linear or non-linear trends, seasonal patterns and long-term cycles that can skew variability measures. By stripping away these trends, the index provides a clearer picture of underlying variability, allowing for more accurate assessments of volatility and more reliable comparisons across datasets.</w:t>
      </w:r>
    </w:p>
    <w:p w14:paraId="170149F5" w14:textId="77777777" w:rsidR="00AC0728" w:rsidRPr="007444AD" w:rsidRDefault="00AC0728" w:rsidP="00D13B0A">
      <w:pPr>
        <w:shd w:val="clear" w:color="auto" w:fill="FFFFFF"/>
        <w:spacing w:after="0" w:line="240" w:lineRule="auto"/>
        <w:jc w:val="both"/>
        <w:rPr>
          <w:rFonts w:ascii="Arial" w:eastAsia="Times New Roman" w:hAnsi="Arial" w:cs="Arial"/>
          <w:b/>
          <w:bCs/>
          <w:color w:val="000000" w:themeColor="text1"/>
          <w:kern w:val="0"/>
          <w:sz w:val="20"/>
          <w:szCs w:val="20"/>
          <w:lang w:val="en-IN" w:eastAsia="en-IN" w:bidi="mr-IN"/>
          <w14:ligatures w14:val="none"/>
        </w:rPr>
      </w:pPr>
      <m:oMathPara>
        <m:oMath>
          <m:r>
            <m:rPr>
              <m:sty m:val="bi"/>
            </m:rPr>
            <w:rPr>
              <w:rFonts w:ascii="Cambria Math" w:eastAsia="Times New Roman" w:hAnsi="Cambria Math" w:cs="Arial"/>
              <w:color w:val="000000" w:themeColor="text1"/>
              <w:kern w:val="0"/>
              <w:sz w:val="20"/>
              <w:szCs w:val="20"/>
              <w:lang w:val="en-IN" w:eastAsia="en-IN" w:bidi="mr-IN"/>
              <w14:ligatures w14:val="none"/>
            </w:rPr>
            <m:t xml:space="preserve">CDVI=C.V </m:t>
          </m:r>
          <m:r>
            <m:rPr>
              <m:sty m:val="b"/>
            </m:rPr>
            <w:rPr>
              <w:rFonts w:ascii="Cambria Math" w:eastAsia="Times New Roman" w:hAnsi="Cambria Math" w:cs="Arial"/>
              <w:color w:val="000000" w:themeColor="text1"/>
              <w:kern w:val="0"/>
              <w:sz w:val="20"/>
              <w:szCs w:val="20"/>
              <w:lang w:val="en-IN" w:eastAsia="en-IN" w:bidi="mr-IN"/>
              <w14:ligatures w14:val="none"/>
            </w:rPr>
            <m:t xml:space="preserve">x </m:t>
          </m:r>
          <m:rad>
            <m:radPr>
              <m:degHide m:val="1"/>
              <m:ctrlPr>
                <w:rPr>
                  <w:rFonts w:ascii="Cambria Math" w:eastAsia="Times New Roman" w:hAnsi="Cambria Math" w:cs="Arial"/>
                  <w:b/>
                  <w:bCs/>
                  <w:i/>
                  <w:color w:val="000000" w:themeColor="text1"/>
                  <w:kern w:val="0"/>
                  <w:sz w:val="20"/>
                  <w:szCs w:val="20"/>
                  <w:lang w:val="en-IN" w:eastAsia="en-IN" w:bidi="mr-IN"/>
                  <w14:ligatures w14:val="none"/>
                </w:rPr>
              </m:ctrlPr>
            </m:radPr>
            <m:deg/>
            <m:e>
              <m:r>
                <m:rPr>
                  <m:sty m:val="bi"/>
                </m:rPr>
                <w:rPr>
                  <w:rFonts w:ascii="Cambria Math" w:eastAsia="Times New Roman" w:hAnsi="Cambria Math" w:cs="Arial"/>
                  <w:color w:val="000000" w:themeColor="text1"/>
                  <w:kern w:val="0"/>
                  <w:sz w:val="20"/>
                  <w:szCs w:val="20"/>
                  <w:lang w:val="en-IN" w:eastAsia="en-IN" w:bidi="mr-IN"/>
                  <w14:ligatures w14:val="none"/>
                </w:rPr>
                <m:t>1-</m:t>
              </m:r>
              <m:sSup>
                <m:sSupPr>
                  <m:ctrlPr>
                    <w:rPr>
                      <w:rFonts w:ascii="Cambria Math" w:eastAsia="Times New Roman" w:hAnsi="Cambria Math" w:cs="Arial"/>
                      <w:b/>
                      <w:bCs/>
                      <w:i/>
                      <w:color w:val="000000" w:themeColor="text1"/>
                      <w:kern w:val="0"/>
                      <w:sz w:val="20"/>
                      <w:szCs w:val="20"/>
                      <w:lang w:val="en-IN" w:eastAsia="en-IN" w:bidi="mr-IN"/>
                      <w14:ligatures w14:val="none"/>
                    </w:rPr>
                  </m:ctrlPr>
                </m:sSupPr>
                <m:e>
                  <m:r>
                    <m:rPr>
                      <m:sty m:val="bi"/>
                    </m:rPr>
                    <w:rPr>
                      <w:rFonts w:ascii="Cambria Math" w:eastAsia="Times New Roman" w:hAnsi="Cambria Math" w:cs="Arial"/>
                      <w:color w:val="000000" w:themeColor="text1"/>
                      <w:kern w:val="0"/>
                      <w:sz w:val="20"/>
                      <w:szCs w:val="20"/>
                      <w:lang w:val="en-IN" w:eastAsia="en-IN" w:bidi="mr-IN"/>
                      <w14:ligatures w14:val="none"/>
                    </w:rPr>
                    <m:t>R</m:t>
                  </m:r>
                </m:e>
                <m:sup>
                  <m:r>
                    <m:rPr>
                      <m:sty m:val="bi"/>
                    </m:rPr>
                    <w:rPr>
                      <w:rFonts w:ascii="Cambria Math" w:eastAsia="Times New Roman" w:hAnsi="Cambria Math" w:cs="Arial"/>
                      <w:color w:val="000000" w:themeColor="text1"/>
                      <w:kern w:val="0"/>
                      <w:sz w:val="20"/>
                      <w:szCs w:val="20"/>
                      <w:lang w:val="en-IN" w:eastAsia="en-IN" w:bidi="mr-IN"/>
                      <w14:ligatures w14:val="none"/>
                    </w:rPr>
                    <m:t>2</m:t>
                  </m:r>
                </m:sup>
              </m:sSup>
            </m:e>
          </m:rad>
        </m:oMath>
      </m:oMathPara>
    </w:p>
    <w:p w14:paraId="277EF5C7" w14:textId="77777777" w:rsidR="00AC0728" w:rsidRPr="007444AD" w:rsidRDefault="00AC0728" w:rsidP="00D13B0A">
      <w:pPr>
        <w:shd w:val="clear" w:color="auto" w:fill="FFFFFF"/>
        <w:spacing w:after="0" w:line="240" w:lineRule="auto"/>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 xml:space="preserve">Where, </w:t>
      </w:r>
    </w:p>
    <w:p w14:paraId="4CA7887E" w14:textId="77777777" w:rsidR="00AC0728" w:rsidRPr="007444AD" w:rsidRDefault="00AC0728" w:rsidP="00D13B0A">
      <w:pPr>
        <w:shd w:val="clear" w:color="auto" w:fill="FFFFFF"/>
        <w:spacing w:after="120" w:line="240" w:lineRule="auto"/>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ab/>
        <w:t xml:space="preserve">C.V. = Coefficient of variation in per cent   = Coefficient of determination from time trend regression adjusted by the number of degrees of freedom. </w:t>
      </w:r>
    </w:p>
    <w:p w14:paraId="522C2243" w14:textId="77777777" w:rsidR="00AC0728" w:rsidRPr="007444AD" w:rsidRDefault="00AC0728" w:rsidP="00D13B0A">
      <w:pPr>
        <w:shd w:val="clear" w:color="auto" w:fill="FFFFFF"/>
        <w:spacing w:after="120" w:line="240" w:lineRule="auto"/>
        <w:ind w:firstLine="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eastAsia="en-IN" w:bidi="mr-IN"/>
          <w14:ligatures w14:val="none"/>
        </w:rPr>
        <w:t>The Cuddy-Della Valle index classification, used in the Agricultural Situation in India (2020), is outlined below to aid in the interpretation of analysis results.</w:t>
      </w:r>
    </w:p>
    <w:p w14:paraId="022B520A" w14:textId="77777777" w:rsidR="00AC0728" w:rsidRPr="007444AD" w:rsidRDefault="00AC0728" w:rsidP="00D13B0A">
      <w:pPr>
        <w:widowControl w:val="0"/>
        <w:numPr>
          <w:ilvl w:val="1"/>
          <w:numId w:val="22"/>
        </w:numPr>
        <w:shd w:val="clear" w:color="auto" w:fill="FFFFFF"/>
        <w:autoSpaceDE w:val="0"/>
        <w:autoSpaceDN w:val="0"/>
        <w:spacing w:after="0" w:line="240" w:lineRule="auto"/>
        <w:ind w:hanging="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CDVI is less than 15: low instability</w:t>
      </w:r>
    </w:p>
    <w:p w14:paraId="52F6FA1C" w14:textId="77777777" w:rsidR="00AC0728" w:rsidRPr="007444AD" w:rsidRDefault="00AC0728" w:rsidP="00D13B0A">
      <w:pPr>
        <w:widowControl w:val="0"/>
        <w:numPr>
          <w:ilvl w:val="1"/>
          <w:numId w:val="22"/>
        </w:numPr>
        <w:shd w:val="clear" w:color="auto" w:fill="FFFFFF"/>
        <w:autoSpaceDE w:val="0"/>
        <w:autoSpaceDN w:val="0"/>
        <w:spacing w:after="0" w:line="240" w:lineRule="auto"/>
        <w:ind w:hanging="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CDVI is between 15 to 30: medium instability</w:t>
      </w:r>
    </w:p>
    <w:p w14:paraId="67E5F204" w14:textId="77777777" w:rsidR="00AC0728" w:rsidRPr="007444AD" w:rsidRDefault="00AC0728" w:rsidP="00D13B0A">
      <w:pPr>
        <w:widowControl w:val="0"/>
        <w:numPr>
          <w:ilvl w:val="1"/>
          <w:numId w:val="22"/>
        </w:numPr>
        <w:shd w:val="clear" w:color="auto" w:fill="FFFFFF"/>
        <w:autoSpaceDE w:val="0"/>
        <w:autoSpaceDN w:val="0"/>
        <w:spacing w:after="120" w:line="240" w:lineRule="auto"/>
        <w:ind w:hanging="720"/>
        <w:jc w:val="both"/>
        <w:rPr>
          <w:rFonts w:ascii="Arial" w:eastAsia="Times New Roman" w:hAnsi="Arial" w:cs="Arial"/>
          <w:color w:val="000000" w:themeColor="text1"/>
          <w:kern w:val="0"/>
          <w:sz w:val="20"/>
          <w:szCs w:val="20"/>
          <w:lang w:val="en-IN" w:eastAsia="en-IN" w:bidi="mr-IN"/>
          <w14:ligatures w14:val="none"/>
        </w:rPr>
      </w:pPr>
      <w:r w:rsidRPr="007444AD">
        <w:rPr>
          <w:rFonts w:ascii="Arial" w:eastAsia="Times New Roman" w:hAnsi="Arial" w:cs="Arial"/>
          <w:color w:val="000000" w:themeColor="text1"/>
          <w:kern w:val="0"/>
          <w:sz w:val="20"/>
          <w:szCs w:val="20"/>
          <w:lang w:val="en-IN" w:eastAsia="en-IN" w:bidi="mr-IN"/>
          <w14:ligatures w14:val="none"/>
        </w:rPr>
        <w:t>CDVI is greater than 30: high instability</w:t>
      </w:r>
    </w:p>
    <w:p w14:paraId="09003785" w14:textId="0F12AF49" w:rsidR="00410489" w:rsidRPr="00095C62" w:rsidRDefault="007444AD" w:rsidP="00D13B0A">
      <w:pPr>
        <w:widowControl w:val="0"/>
        <w:autoSpaceDE w:val="0"/>
        <w:autoSpaceDN w:val="0"/>
        <w:spacing w:after="120" w:line="240" w:lineRule="auto"/>
        <w:jc w:val="both"/>
        <w:rPr>
          <w:rFonts w:ascii="Arial" w:eastAsia="Times New Roman" w:hAnsi="Arial" w:cs="Arial"/>
          <w:b/>
          <w:bCs/>
          <w:color w:val="000000" w:themeColor="text1"/>
          <w:kern w:val="0"/>
          <w14:ligatures w14:val="none"/>
        </w:rPr>
      </w:pPr>
      <w:r w:rsidRPr="00095C62">
        <w:rPr>
          <w:rFonts w:ascii="Arial" w:eastAsia="Times New Roman" w:hAnsi="Arial" w:cs="Arial"/>
          <w:b/>
          <w:bCs/>
          <w:color w:val="000000" w:themeColor="text1"/>
          <w:kern w:val="0"/>
          <w14:ligatures w14:val="none"/>
        </w:rPr>
        <w:t>RESULT AND DISCUSSION</w:t>
      </w:r>
    </w:p>
    <w:p w14:paraId="1DF35DBB" w14:textId="77777777" w:rsidR="008816B2" w:rsidRPr="00095C62" w:rsidRDefault="008816B2" w:rsidP="00D13B0A">
      <w:pPr>
        <w:spacing w:after="120" w:line="240" w:lineRule="auto"/>
        <w:jc w:val="both"/>
        <w:rPr>
          <w:rFonts w:ascii="Arial" w:hAnsi="Arial" w:cs="Arial"/>
          <w:b/>
          <w:bCs/>
          <w:color w:val="000000" w:themeColor="text1"/>
        </w:rPr>
      </w:pPr>
      <w:r w:rsidRPr="00095C62">
        <w:rPr>
          <w:rFonts w:ascii="Arial" w:hAnsi="Arial" w:cs="Arial"/>
          <w:b/>
          <w:bCs/>
          <w:color w:val="000000" w:themeColor="text1"/>
        </w:rPr>
        <w:t>Area, Production and Productivity of Soybean in India</w:t>
      </w:r>
    </w:p>
    <w:p w14:paraId="5F9EDB85" w14:textId="27B96680" w:rsidR="008816B2" w:rsidRPr="00295062" w:rsidRDefault="008816B2" w:rsidP="00D13B0A">
      <w:pPr>
        <w:spacing w:after="120" w:line="240" w:lineRule="auto"/>
        <w:ind w:firstLine="720"/>
        <w:jc w:val="both"/>
        <w:rPr>
          <w:rFonts w:ascii="Arial" w:hAnsi="Arial" w:cs="Arial"/>
          <w:color w:val="000000" w:themeColor="text1"/>
          <w:sz w:val="20"/>
          <w:szCs w:val="20"/>
        </w:rPr>
      </w:pPr>
      <w:r w:rsidRPr="00295062">
        <w:rPr>
          <w:rFonts w:ascii="Arial" w:hAnsi="Arial" w:cs="Arial"/>
          <w:color w:val="000000" w:themeColor="text1"/>
          <w:sz w:val="20"/>
          <w:szCs w:val="20"/>
        </w:rPr>
        <w:t xml:space="preserve">According to Table </w:t>
      </w:r>
      <w:r w:rsidR="008548E8" w:rsidRPr="00295062">
        <w:rPr>
          <w:rFonts w:ascii="Arial" w:hAnsi="Arial" w:cs="Arial"/>
          <w:color w:val="000000" w:themeColor="text1"/>
          <w:sz w:val="20"/>
          <w:szCs w:val="20"/>
        </w:rPr>
        <w:t>1</w:t>
      </w:r>
      <w:r w:rsidRPr="00295062">
        <w:rPr>
          <w:rFonts w:ascii="Arial" w:hAnsi="Arial" w:cs="Arial"/>
          <w:color w:val="000000" w:themeColor="text1"/>
          <w:sz w:val="20"/>
          <w:szCs w:val="20"/>
        </w:rPr>
        <w:t xml:space="preserve">, India's soybean industry experienced remarkable growth and transformation between 1993 and 2022. The area under cultivation expanded substantially, from 4250 thousand hectares to 13000 thousand hectares, representing a 205.88 per cent increase over the period. </w:t>
      </w:r>
      <w:r w:rsidR="000A1A9C" w:rsidRPr="00295062">
        <w:rPr>
          <w:rFonts w:ascii="Arial" w:hAnsi="Arial" w:cs="Arial"/>
          <w:color w:val="000000" w:themeColor="text1"/>
          <w:sz w:val="20"/>
          <w:szCs w:val="20"/>
        </w:rPr>
        <w:t xml:space="preserve">So also, few </w:t>
      </w:r>
      <w:r w:rsidRPr="00295062">
        <w:rPr>
          <w:rFonts w:ascii="Arial" w:hAnsi="Arial" w:cs="Arial"/>
          <w:color w:val="000000" w:themeColor="text1"/>
          <w:sz w:val="20"/>
          <w:szCs w:val="20"/>
        </w:rPr>
        <w:t xml:space="preserve">unusual declines in area were observed in 2014, 2017, and 2021. Soybean production also experienced significant growth, increasing from 4000 thousand metric tonnes to 12038 thousand metric tonnes, representing a 200.95 per cent increase over the period. Productivity, measured in kilograms per hectare, improved over time, rising from 941.18 kg/ha to 926 kg/ha. The highest productivity was recorded in 2011, with 1181.13 kg/ha. </w:t>
      </w:r>
    </w:p>
    <w:p w14:paraId="404C1D1F" w14:textId="7196A6D7" w:rsidR="00B271EB" w:rsidRPr="00295062" w:rsidRDefault="008816B2" w:rsidP="00D13B0A">
      <w:pPr>
        <w:spacing w:after="120" w:line="240" w:lineRule="auto"/>
        <w:ind w:firstLine="720"/>
        <w:jc w:val="both"/>
        <w:rPr>
          <w:rFonts w:ascii="Arial" w:hAnsi="Arial" w:cs="Arial"/>
          <w:color w:val="000000" w:themeColor="text1"/>
          <w:sz w:val="20"/>
          <w:szCs w:val="20"/>
        </w:rPr>
      </w:pPr>
      <w:r w:rsidRPr="00295062">
        <w:rPr>
          <w:rFonts w:ascii="Arial" w:hAnsi="Arial" w:cs="Arial"/>
          <w:color w:val="000000" w:themeColor="text1"/>
          <w:sz w:val="20"/>
          <w:szCs w:val="20"/>
        </w:rPr>
        <w:t xml:space="preserve">Various factors influenced soybean production, including the introduction of genetically modified soybean in 2001, which led to increased area and production. Drought conditions in Madhya Pradesh and Maharashtra in 2004 resulted in decreased production and productivity. Excessive rainfall in 2013, late monsoon and drought conditions in 2014, and unusual weather conditions and biotic stress in 2015 contributed to decreased production. Similar findings </w:t>
      </w:r>
      <w:r w:rsidR="00026CA0" w:rsidRPr="00295062">
        <w:rPr>
          <w:rFonts w:ascii="Arial" w:hAnsi="Arial" w:cs="Arial"/>
          <w:color w:val="000000" w:themeColor="text1"/>
          <w:sz w:val="20"/>
          <w:szCs w:val="20"/>
        </w:rPr>
        <w:t>were</w:t>
      </w:r>
      <w:r w:rsidRPr="00295062">
        <w:rPr>
          <w:rFonts w:ascii="Arial" w:hAnsi="Arial" w:cs="Arial"/>
          <w:color w:val="000000" w:themeColor="text1"/>
          <w:sz w:val="20"/>
          <w:szCs w:val="20"/>
        </w:rPr>
        <w:t xml:space="preserve"> found by Sharma &amp; Patel (2017).</w:t>
      </w:r>
      <w:r w:rsidR="003466D3" w:rsidRPr="00295062">
        <w:rPr>
          <w:rFonts w:ascii="Arial" w:hAnsi="Arial" w:cs="Arial"/>
          <w:color w:val="000000" w:themeColor="text1"/>
          <w:sz w:val="20"/>
          <w:szCs w:val="20"/>
        </w:rPr>
        <w:t xml:space="preserve"> </w:t>
      </w:r>
      <w:r w:rsidRPr="00295062">
        <w:rPr>
          <w:rFonts w:ascii="Arial" w:hAnsi="Arial" w:cs="Arial"/>
          <w:color w:val="000000" w:themeColor="text1"/>
          <w:sz w:val="20"/>
          <w:szCs w:val="20"/>
        </w:rPr>
        <w:t xml:space="preserve">Research suggests that soybean production increased mainly due to area expansion, rather than productivity factors. Productivity has been stagnant for the last decade, as reported by various studies, including those by Agrawal and Singh (2014), </w:t>
      </w:r>
      <w:proofErr w:type="spellStart"/>
      <w:r w:rsidRPr="00295062">
        <w:rPr>
          <w:rFonts w:ascii="Arial" w:hAnsi="Arial" w:cs="Arial"/>
          <w:color w:val="000000" w:themeColor="text1"/>
          <w:sz w:val="20"/>
          <w:szCs w:val="20"/>
        </w:rPr>
        <w:t>Dupare</w:t>
      </w:r>
      <w:proofErr w:type="spellEnd"/>
      <w:r w:rsidRPr="00295062">
        <w:rPr>
          <w:rFonts w:ascii="Arial" w:hAnsi="Arial" w:cs="Arial"/>
          <w:color w:val="000000" w:themeColor="text1"/>
          <w:sz w:val="20"/>
          <w:szCs w:val="20"/>
        </w:rPr>
        <w:t xml:space="preserve"> </w:t>
      </w:r>
      <w:r w:rsidRPr="00295062">
        <w:rPr>
          <w:rFonts w:ascii="Arial" w:hAnsi="Arial" w:cs="Arial"/>
          <w:i/>
          <w:iCs/>
          <w:color w:val="000000" w:themeColor="text1"/>
          <w:sz w:val="20"/>
          <w:szCs w:val="20"/>
        </w:rPr>
        <w:t>et al.</w:t>
      </w:r>
      <w:r w:rsidRPr="00295062">
        <w:rPr>
          <w:rFonts w:ascii="Arial" w:hAnsi="Arial" w:cs="Arial"/>
          <w:color w:val="000000" w:themeColor="text1"/>
          <w:sz w:val="20"/>
          <w:szCs w:val="20"/>
        </w:rPr>
        <w:t xml:space="preserve"> (2014), </w:t>
      </w:r>
      <w:proofErr w:type="spellStart"/>
      <w:r w:rsidRPr="00295062">
        <w:rPr>
          <w:rFonts w:ascii="Arial" w:hAnsi="Arial" w:cs="Arial"/>
          <w:color w:val="000000" w:themeColor="text1"/>
          <w:sz w:val="20"/>
          <w:szCs w:val="20"/>
        </w:rPr>
        <w:t>Bharadi</w:t>
      </w:r>
      <w:proofErr w:type="spellEnd"/>
      <w:r w:rsidRPr="00295062">
        <w:rPr>
          <w:rFonts w:ascii="Arial" w:hAnsi="Arial" w:cs="Arial"/>
          <w:color w:val="000000" w:themeColor="text1"/>
          <w:sz w:val="20"/>
          <w:szCs w:val="20"/>
        </w:rPr>
        <w:t xml:space="preserve"> and </w:t>
      </w:r>
      <w:proofErr w:type="spellStart"/>
      <w:r w:rsidRPr="00295062">
        <w:rPr>
          <w:rFonts w:ascii="Arial" w:hAnsi="Arial" w:cs="Arial"/>
          <w:color w:val="000000" w:themeColor="text1"/>
          <w:sz w:val="20"/>
          <w:szCs w:val="20"/>
        </w:rPr>
        <w:t>Kurubetta</w:t>
      </w:r>
      <w:proofErr w:type="spellEnd"/>
      <w:r w:rsidRPr="00295062">
        <w:rPr>
          <w:rFonts w:ascii="Arial" w:hAnsi="Arial" w:cs="Arial"/>
          <w:color w:val="000000" w:themeColor="text1"/>
          <w:sz w:val="20"/>
          <w:szCs w:val="20"/>
        </w:rPr>
        <w:t xml:space="preserve"> (2018), </w:t>
      </w:r>
      <w:proofErr w:type="spellStart"/>
      <w:r w:rsidRPr="00295062">
        <w:rPr>
          <w:rFonts w:ascii="Arial" w:hAnsi="Arial" w:cs="Arial"/>
          <w:color w:val="000000" w:themeColor="text1"/>
          <w:sz w:val="20"/>
          <w:szCs w:val="20"/>
        </w:rPr>
        <w:t>Pathrikar</w:t>
      </w:r>
      <w:proofErr w:type="spellEnd"/>
      <w:r w:rsidRPr="00295062">
        <w:rPr>
          <w:rFonts w:ascii="Arial" w:hAnsi="Arial" w:cs="Arial"/>
          <w:color w:val="000000" w:themeColor="text1"/>
          <w:sz w:val="20"/>
          <w:szCs w:val="20"/>
        </w:rPr>
        <w:t xml:space="preserve"> </w:t>
      </w:r>
      <w:r w:rsidRPr="00295062">
        <w:rPr>
          <w:rFonts w:ascii="Arial" w:hAnsi="Arial" w:cs="Arial"/>
          <w:i/>
          <w:iCs/>
          <w:color w:val="000000" w:themeColor="text1"/>
          <w:sz w:val="20"/>
          <w:szCs w:val="20"/>
        </w:rPr>
        <w:t>et al.</w:t>
      </w:r>
      <w:r w:rsidRPr="00295062">
        <w:rPr>
          <w:rFonts w:ascii="Arial" w:hAnsi="Arial" w:cs="Arial"/>
          <w:color w:val="000000" w:themeColor="text1"/>
          <w:sz w:val="20"/>
          <w:szCs w:val="20"/>
        </w:rPr>
        <w:t xml:space="preserve"> (2021), and Tambe </w:t>
      </w:r>
      <w:r w:rsidRPr="00295062">
        <w:rPr>
          <w:rFonts w:ascii="Arial" w:hAnsi="Arial" w:cs="Arial"/>
          <w:i/>
          <w:iCs/>
          <w:color w:val="000000" w:themeColor="text1"/>
          <w:sz w:val="20"/>
          <w:szCs w:val="20"/>
        </w:rPr>
        <w:t>et al.</w:t>
      </w:r>
      <w:r w:rsidRPr="00295062">
        <w:rPr>
          <w:rFonts w:ascii="Arial" w:hAnsi="Arial" w:cs="Arial"/>
          <w:color w:val="000000" w:themeColor="text1"/>
          <w:sz w:val="20"/>
          <w:szCs w:val="20"/>
        </w:rPr>
        <w:t xml:space="preserve"> (2021).</w:t>
      </w:r>
    </w:p>
    <w:p w14:paraId="6BE6CD91" w14:textId="39FEEF59" w:rsidR="008816B2" w:rsidRPr="00095C62" w:rsidRDefault="00CC30BB" w:rsidP="00D13B0A">
      <w:pPr>
        <w:widowControl w:val="0"/>
        <w:autoSpaceDE w:val="0"/>
        <w:autoSpaceDN w:val="0"/>
        <w:spacing w:after="120" w:line="240" w:lineRule="auto"/>
        <w:jc w:val="both"/>
        <w:rPr>
          <w:rFonts w:ascii="Arial" w:eastAsiaTheme="minorEastAsia" w:hAnsi="Arial" w:cs="Arial"/>
          <w:b/>
          <w:bCs/>
          <w:color w:val="000000" w:themeColor="text1"/>
          <w:kern w:val="0"/>
          <w14:ligatures w14:val="none"/>
        </w:rPr>
      </w:pPr>
      <w:bookmarkStart w:id="1" w:name="_Hlk175226096"/>
      <w:r w:rsidRPr="00095C62">
        <w:rPr>
          <w:rFonts w:ascii="Arial" w:eastAsiaTheme="minorEastAsia" w:hAnsi="Arial" w:cs="Arial"/>
          <w:b/>
          <w:bCs/>
          <w:color w:val="000000" w:themeColor="text1"/>
          <w:kern w:val="0"/>
          <w14:ligatures w14:val="none"/>
        </w:rPr>
        <w:t>Table 1</w:t>
      </w:r>
      <w:r w:rsidRPr="00095C62">
        <w:rPr>
          <w:rFonts w:ascii="Arial" w:eastAsiaTheme="minorEastAsia" w:hAnsi="Arial" w:cs="Arial"/>
          <w:b/>
          <w:bCs/>
          <w:color w:val="000000" w:themeColor="text1"/>
          <w:kern w:val="0"/>
          <w14:ligatures w14:val="none"/>
        </w:rPr>
        <w:tab/>
      </w:r>
      <w:r w:rsidR="008816B2" w:rsidRPr="00095C62">
        <w:rPr>
          <w:rFonts w:ascii="Arial" w:eastAsiaTheme="minorEastAsia" w:hAnsi="Arial" w:cs="Arial"/>
          <w:b/>
          <w:bCs/>
          <w:color w:val="000000" w:themeColor="text1"/>
          <w:kern w:val="0"/>
          <w14:ligatures w14:val="none"/>
        </w:rPr>
        <w:t>Area, Production and Productivity of Soybean in India</w:t>
      </w:r>
    </w:p>
    <w:tbl>
      <w:tblPr>
        <w:tblStyle w:val="TableGrid"/>
        <w:tblW w:w="0" w:type="auto"/>
        <w:jc w:val="center"/>
        <w:tblLook w:val="04A0" w:firstRow="1" w:lastRow="0" w:firstColumn="1" w:lastColumn="0" w:noHBand="0" w:noVBand="1"/>
      </w:tblPr>
      <w:tblGrid>
        <w:gridCol w:w="1137"/>
        <w:gridCol w:w="1397"/>
        <w:gridCol w:w="1137"/>
        <w:gridCol w:w="1576"/>
        <w:gridCol w:w="1137"/>
        <w:gridCol w:w="1571"/>
        <w:gridCol w:w="1310"/>
      </w:tblGrid>
      <w:tr w:rsidR="008816B2" w:rsidRPr="00095C62" w14:paraId="07832FB6" w14:textId="77777777" w:rsidTr="000A1A9C">
        <w:trPr>
          <w:trHeight w:val="877"/>
          <w:jc w:val="center"/>
        </w:trPr>
        <w:tc>
          <w:tcPr>
            <w:tcW w:w="1137" w:type="dxa"/>
            <w:vAlign w:val="center"/>
            <w:hideMark/>
          </w:tcPr>
          <w:bookmarkEnd w:id="1"/>
          <w:p w14:paraId="106920A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Year</w:t>
            </w:r>
          </w:p>
        </w:tc>
        <w:tc>
          <w:tcPr>
            <w:tcW w:w="1397" w:type="dxa"/>
            <w:vAlign w:val="center"/>
            <w:hideMark/>
          </w:tcPr>
          <w:p w14:paraId="2C1551C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 xml:space="preserve">Area </w:t>
            </w:r>
          </w:p>
          <w:p w14:paraId="48EFD76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(000’ ha)</w:t>
            </w:r>
          </w:p>
        </w:tc>
        <w:tc>
          <w:tcPr>
            <w:tcW w:w="1137" w:type="dxa"/>
            <w:vAlign w:val="center"/>
            <w:hideMark/>
          </w:tcPr>
          <w:p w14:paraId="342656A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 xml:space="preserve">Per cent change </w:t>
            </w:r>
          </w:p>
        </w:tc>
        <w:tc>
          <w:tcPr>
            <w:tcW w:w="1576" w:type="dxa"/>
            <w:vAlign w:val="center"/>
            <w:hideMark/>
          </w:tcPr>
          <w:p w14:paraId="3DD79AF7"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Production</w:t>
            </w:r>
          </w:p>
          <w:p w14:paraId="1360BC17"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(000’ MT)</w:t>
            </w:r>
          </w:p>
        </w:tc>
        <w:tc>
          <w:tcPr>
            <w:tcW w:w="1137" w:type="dxa"/>
            <w:vAlign w:val="center"/>
            <w:hideMark/>
          </w:tcPr>
          <w:p w14:paraId="011C8757"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 xml:space="preserve">Per cent change </w:t>
            </w:r>
          </w:p>
        </w:tc>
        <w:tc>
          <w:tcPr>
            <w:tcW w:w="1571" w:type="dxa"/>
            <w:vAlign w:val="center"/>
            <w:hideMark/>
          </w:tcPr>
          <w:p w14:paraId="3E80C4E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Productivity</w:t>
            </w:r>
          </w:p>
          <w:p w14:paraId="6D0FE4B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(Kg/ha)</w:t>
            </w:r>
          </w:p>
        </w:tc>
        <w:tc>
          <w:tcPr>
            <w:tcW w:w="1310" w:type="dxa"/>
            <w:vAlign w:val="center"/>
            <w:hideMark/>
          </w:tcPr>
          <w:p w14:paraId="15C6D26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 xml:space="preserve">Per cent change </w:t>
            </w:r>
          </w:p>
        </w:tc>
      </w:tr>
      <w:tr w:rsidR="008816B2" w:rsidRPr="00095C62" w14:paraId="390D5ACD" w14:textId="77777777" w:rsidTr="000A1A9C">
        <w:trPr>
          <w:trHeight w:val="288"/>
          <w:jc w:val="center"/>
        </w:trPr>
        <w:tc>
          <w:tcPr>
            <w:tcW w:w="1137" w:type="dxa"/>
            <w:noWrap/>
            <w:vAlign w:val="center"/>
            <w:hideMark/>
          </w:tcPr>
          <w:p w14:paraId="4ECA0E9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1993</w:t>
            </w:r>
          </w:p>
        </w:tc>
        <w:tc>
          <w:tcPr>
            <w:tcW w:w="1397" w:type="dxa"/>
            <w:noWrap/>
            <w:vAlign w:val="center"/>
            <w:hideMark/>
          </w:tcPr>
          <w:p w14:paraId="389F916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4250.00</w:t>
            </w:r>
          </w:p>
        </w:tc>
        <w:tc>
          <w:tcPr>
            <w:tcW w:w="1137" w:type="dxa"/>
            <w:noWrap/>
            <w:vAlign w:val="center"/>
            <w:hideMark/>
          </w:tcPr>
          <w:p w14:paraId="5C99D344"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w:t>
            </w:r>
          </w:p>
        </w:tc>
        <w:tc>
          <w:tcPr>
            <w:tcW w:w="1576" w:type="dxa"/>
            <w:noWrap/>
            <w:vAlign w:val="center"/>
            <w:hideMark/>
          </w:tcPr>
          <w:p w14:paraId="144AB00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4000.00</w:t>
            </w:r>
          </w:p>
        </w:tc>
        <w:tc>
          <w:tcPr>
            <w:tcW w:w="1137" w:type="dxa"/>
            <w:noWrap/>
            <w:vAlign w:val="center"/>
            <w:hideMark/>
          </w:tcPr>
          <w:p w14:paraId="105075C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w:t>
            </w:r>
          </w:p>
        </w:tc>
        <w:tc>
          <w:tcPr>
            <w:tcW w:w="1571" w:type="dxa"/>
            <w:noWrap/>
            <w:vAlign w:val="center"/>
            <w:hideMark/>
          </w:tcPr>
          <w:p w14:paraId="79C24C3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941.18</w:t>
            </w:r>
          </w:p>
        </w:tc>
        <w:tc>
          <w:tcPr>
            <w:tcW w:w="1310" w:type="dxa"/>
            <w:noWrap/>
            <w:vAlign w:val="center"/>
            <w:hideMark/>
          </w:tcPr>
          <w:p w14:paraId="2DF20743"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w:t>
            </w:r>
          </w:p>
        </w:tc>
      </w:tr>
      <w:tr w:rsidR="008816B2" w:rsidRPr="00095C62" w14:paraId="7B965757" w14:textId="77777777" w:rsidTr="000A1A9C">
        <w:trPr>
          <w:trHeight w:val="288"/>
          <w:jc w:val="center"/>
        </w:trPr>
        <w:tc>
          <w:tcPr>
            <w:tcW w:w="1137" w:type="dxa"/>
            <w:noWrap/>
            <w:vAlign w:val="center"/>
            <w:hideMark/>
          </w:tcPr>
          <w:p w14:paraId="50612C8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1994</w:t>
            </w:r>
          </w:p>
        </w:tc>
        <w:tc>
          <w:tcPr>
            <w:tcW w:w="1397" w:type="dxa"/>
            <w:noWrap/>
            <w:vAlign w:val="center"/>
            <w:hideMark/>
          </w:tcPr>
          <w:p w14:paraId="3AF74BB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4025.00</w:t>
            </w:r>
          </w:p>
        </w:tc>
        <w:tc>
          <w:tcPr>
            <w:tcW w:w="1137" w:type="dxa"/>
            <w:noWrap/>
            <w:hideMark/>
          </w:tcPr>
          <w:p w14:paraId="3C21205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-5.29</w:t>
            </w:r>
          </w:p>
        </w:tc>
        <w:tc>
          <w:tcPr>
            <w:tcW w:w="1576" w:type="dxa"/>
            <w:noWrap/>
            <w:vAlign w:val="center"/>
            <w:hideMark/>
          </w:tcPr>
          <w:p w14:paraId="5DE2C0E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3236.00</w:t>
            </w:r>
          </w:p>
        </w:tc>
        <w:tc>
          <w:tcPr>
            <w:tcW w:w="1137" w:type="dxa"/>
            <w:noWrap/>
            <w:hideMark/>
          </w:tcPr>
          <w:p w14:paraId="5F0E940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-19.10</w:t>
            </w:r>
          </w:p>
        </w:tc>
        <w:tc>
          <w:tcPr>
            <w:tcW w:w="1571" w:type="dxa"/>
            <w:noWrap/>
            <w:vAlign w:val="center"/>
            <w:hideMark/>
          </w:tcPr>
          <w:p w14:paraId="4D5219B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803.98</w:t>
            </w:r>
          </w:p>
        </w:tc>
        <w:tc>
          <w:tcPr>
            <w:tcW w:w="1310" w:type="dxa"/>
            <w:noWrap/>
            <w:hideMark/>
          </w:tcPr>
          <w:p w14:paraId="61B1C31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-14.58</w:t>
            </w:r>
          </w:p>
        </w:tc>
      </w:tr>
      <w:tr w:rsidR="008816B2" w:rsidRPr="00095C62" w14:paraId="52455A77" w14:textId="77777777" w:rsidTr="000A1A9C">
        <w:trPr>
          <w:trHeight w:val="288"/>
          <w:jc w:val="center"/>
        </w:trPr>
        <w:tc>
          <w:tcPr>
            <w:tcW w:w="1137" w:type="dxa"/>
            <w:noWrap/>
            <w:vAlign w:val="center"/>
            <w:hideMark/>
          </w:tcPr>
          <w:p w14:paraId="51A1ACD3"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1995</w:t>
            </w:r>
          </w:p>
        </w:tc>
        <w:tc>
          <w:tcPr>
            <w:tcW w:w="1397" w:type="dxa"/>
            <w:noWrap/>
            <w:vAlign w:val="center"/>
            <w:hideMark/>
          </w:tcPr>
          <w:p w14:paraId="426FFD2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4817.00</w:t>
            </w:r>
          </w:p>
        </w:tc>
        <w:tc>
          <w:tcPr>
            <w:tcW w:w="1137" w:type="dxa"/>
            <w:noWrap/>
            <w:hideMark/>
          </w:tcPr>
          <w:p w14:paraId="5D50C87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13.34</w:t>
            </w:r>
          </w:p>
        </w:tc>
        <w:tc>
          <w:tcPr>
            <w:tcW w:w="1576" w:type="dxa"/>
            <w:noWrap/>
            <w:vAlign w:val="center"/>
            <w:hideMark/>
          </w:tcPr>
          <w:p w14:paraId="7F26851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4476.00</w:t>
            </w:r>
          </w:p>
        </w:tc>
        <w:tc>
          <w:tcPr>
            <w:tcW w:w="1137" w:type="dxa"/>
            <w:noWrap/>
            <w:hideMark/>
          </w:tcPr>
          <w:p w14:paraId="03CDC99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11.90</w:t>
            </w:r>
          </w:p>
        </w:tc>
        <w:tc>
          <w:tcPr>
            <w:tcW w:w="1571" w:type="dxa"/>
            <w:noWrap/>
            <w:vAlign w:val="center"/>
            <w:hideMark/>
          </w:tcPr>
          <w:p w14:paraId="08BB325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929.21</w:t>
            </w:r>
          </w:p>
        </w:tc>
        <w:tc>
          <w:tcPr>
            <w:tcW w:w="1310" w:type="dxa"/>
            <w:noWrap/>
            <w:hideMark/>
          </w:tcPr>
          <w:p w14:paraId="108826C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-1.27</w:t>
            </w:r>
          </w:p>
        </w:tc>
      </w:tr>
      <w:tr w:rsidR="008816B2" w:rsidRPr="00095C62" w14:paraId="01B38140" w14:textId="77777777" w:rsidTr="000A1A9C">
        <w:trPr>
          <w:trHeight w:val="288"/>
          <w:jc w:val="center"/>
        </w:trPr>
        <w:tc>
          <w:tcPr>
            <w:tcW w:w="1137" w:type="dxa"/>
            <w:noWrap/>
            <w:vAlign w:val="center"/>
            <w:hideMark/>
          </w:tcPr>
          <w:p w14:paraId="49AC78D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lastRenderedPageBreak/>
              <w:t>1996</w:t>
            </w:r>
          </w:p>
        </w:tc>
        <w:tc>
          <w:tcPr>
            <w:tcW w:w="1397" w:type="dxa"/>
            <w:noWrap/>
            <w:vAlign w:val="center"/>
            <w:hideMark/>
          </w:tcPr>
          <w:p w14:paraId="78A3F83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5000.00</w:t>
            </w:r>
          </w:p>
        </w:tc>
        <w:tc>
          <w:tcPr>
            <w:tcW w:w="1137" w:type="dxa"/>
            <w:noWrap/>
            <w:hideMark/>
          </w:tcPr>
          <w:p w14:paraId="45762D5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17.65</w:t>
            </w:r>
          </w:p>
        </w:tc>
        <w:tc>
          <w:tcPr>
            <w:tcW w:w="1576" w:type="dxa"/>
            <w:noWrap/>
            <w:vAlign w:val="center"/>
            <w:hideMark/>
          </w:tcPr>
          <w:p w14:paraId="61B6816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4100.00</w:t>
            </w:r>
          </w:p>
        </w:tc>
        <w:tc>
          <w:tcPr>
            <w:tcW w:w="1137" w:type="dxa"/>
            <w:noWrap/>
            <w:hideMark/>
          </w:tcPr>
          <w:p w14:paraId="318E3C1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2.50</w:t>
            </w:r>
          </w:p>
        </w:tc>
        <w:tc>
          <w:tcPr>
            <w:tcW w:w="1571" w:type="dxa"/>
            <w:noWrap/>
            <w:vAlign w:val="center"/>
            <w:hideMark/>
          </w:tcPr>
          <w:p w14:paraId="38A4B7C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820.00</w:t>
            </w:r>
          </w:p>
        </w:tc>
        <w:tc>
          <w:tcPr>
            <w:tcW w:w="1310" w:type="dxa"/>
            <w:noWrap/>
            <w:hideMark/>
          </w:tcPr>
          <w:p w14:paraId="222BB46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-12.88</w:t>
            </w:r>
          </w:p>
        </w:tc>
      </w:tr>
      <w:tr w:rsidR="008816B2" w:rsidRPr="00095C62" w14:paraId="727578B3" w14:textId="77777777" w:rsidTr="000A1A9C">
        <w:trPr>
          <w:trHeight w:val="288"/>
          <w:jc w:val="center"/>
        </w:trPr>
        <w:tc>
          <w:tcPr>
            <w:tcW w:w="1137" w:type="dxa"/>
            <w:noWrap/>
            <w:vAlign w:val="center"/>
            <w:hideMark/>
          </w:tcPr>
          <w:p w14:paraId="5E72147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1997</w:t>
            </w:r>
          </w:p>
        </w:tc>
        <w:tc>
          <w:tcPr>
            <w:tcW w:w="1397" w:type="dxa"/>
            <w:noWrap/>
            <w:vAlign w:val="center"/>
            <w:hideMark/>
          </w:tcPr>
          <w:p w14:paraId="59881D7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5600.00</w:t>
            </w:r>
          </w:p>
        </w:tc>
        <w:tc>
          <w:tcPr>
            <w:tcW w:w="1137" w:type="dxa"/>
            <w:noWrap/>
            <w:hideMark/>
          </w:tcPr>
          <w:p w14:paraId="55DFD904"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31.76</w:t>
            </w:r>
          </w:p>
        </w:tc>
        <w:tc>
          <w:tcPr>
            <w:tcW w:w="1576" w:type="dxa"/>
            <w:noWrap/>
            <w:vAlign w:val="center"/>
            <w:hideMark/>
          </w:tcPr>
          <w:p w14:paraId="0795466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5350.00</w:t>
            </w:r>
          </w:p>
        </w:tc>
        <w:tc>
          <w:tcPr>
            <w:tcW w:w="1137" w:type="dxa"/>
            <w:noWrap/>
            <w:hideMark/>
          </w:tcPr>
          <w:p w14:paraId="04BB5A2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33.75</w:t>
            </w:r>
          </w:p>
        </w:tc>
        <w:tc>
          <w:tcPr>
            <w:tcW w:w="1571" w:type="dxa"/>
            <w:noWrap/>
            <w:vAlign w:val="center"/>
            <w:hideMark/>
          </w:tcPr>
          <w:p w14:paraId="227E577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955.36</w:t>
            </w:r>
          </w:p>
        </w:tc>
        <w:tc>
          <w:tcPr>
            <w:tcW w:w="1310" w:type="dxa"/>
            <w:noWrap/>
            <w:hideMark/>
          </w:tcPr>
          <w:p w14:paraId="63EF67F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1.51</w:t>
            </w:r>
          </w:p>
        </w:tc>
      </w:tr>
      <w:tr w:rsidR="008816B2" w:rsidRPr="00095C62" w14:paraId="15F87DEE" w14:textId="77777777" w:rsidTr="000A1A9C">
        <w:trPr>
          <w:trHeight w:val="288"/>
          <w:jc w:val="center"/>
        </w:trPr>
        <w:tc>
          <w:tcPr>
            <w:tcW w:w="1137" w:type="dxa"/>
            <w:noWrap/>
            <w:vAlign w:val="center"/>
            <w:hideMark/>
          </w:tcPr>
          <w:p w14:paraId="1FA46DC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1998</w:t>
            </w:r>
          </w:p>
        </w:tc>
        <w:tc>
          <w:tcPr>
            <w:tcW w:w="1397" w:type="dxa"/>
            <w:noWrap/>
            <w:vAlign w:val="center"/>
            <w:hideMark/>
          </w:tcPr>
          <w:p w14:paraId="021443C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6350.00</w:t>
            </w:r>
          </w:p>
        </w:tc>
        <w:tc>
          <w:tcPr>
            <w:tcW w:w="1137" w:type="dxa"/>
            <w:noWrap/>
            <w:hideMark/>
          </w:tcPr>
          <w:p w14:paraId="5E793D5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49.41</w:t>
            </w:r>
          </w:p>
        </w:tc>
        <w:tc>
          <w:tcPr>
            <w:tcW w:w="1576" w:type="dxa"/>
            <w:noWrap/>
            <w:vAlign w:val="center"/>
            <w:hideMark/>
          </w:tcPr>
          <w:p w14:paraId="6C337C8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6000.00</w:t>
            </w:r>
          </w:p>
        </w:tc>
        <w:tc>
          <w:tcPr>
            <w:tcW w:w="1137" w:type="dxa"/>
            <w:noWrap/>
            <w:hideMark/>
          </w:tcPr>
          <w:p w14:paraId="0E3D989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50.00</w:t>
            </w:r>
          </w:p>
        </w:tc>
        <w:tc>
          <w:tcPr>
            <w:tcW w:w="1571" w:type="dxa"/>
            <w:noWrap/>
            <w:vAlign w:val="center"/>
            <w:hideMark/>
          </w:tcPr>
          <w:p w14:paraId="6C14C12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944.88</w:t>
            </w:r>
          </w:p>
        </w:tc>
        <w:tc>
          <w:tcPr>
            <w:tcW w:w="1310" w:type="dxa"/>
            <w:noWrap/>
            <w:hideMark/>
          </w:tcPr>
          <w:p w14:paraId="73441577"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0.39</w:t>
            </w:r>
          </w:p>
        </w:tc>
      </w:tr>
      <w:tr w:rsidR="008816B2" w:rsidRPr="00095C62" w14:paraId="60F7DEC0" w14:textId="77777777" w:rsidTr="000A1A9C">
        <w:trPr>
          <w:trHeight w:val="288"/>
          <w:jc w:val="center"/>
        </w:trPr>
        <w:tc>
          <w:tcPr>
            <w:tcW w:w="1137" w:type="dxa"/>
            <w:noWrap/>
            <w:vAlign w:val="center"/>
            <w:hideMark/>
          </w:tcPr>
          <w:p w14:paraId="7903C523"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1999</w:t>
            </w:r>
          </w:p>
        </w:tc>
        <w:tc>
          <w:tcPr>
            <w:tcW w:w="1397" w:type="dxa"/>
            <w:noWrap/>
            <w:vAlign w:val="center"/>
            <w:hideMark/>
          </w:tcPr>
          <w:p w14:paraId="20AEB9F7"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5645.00</w:t>
            </w:r>
          </w:p>
        </w:tc>
        <w:tc>
          <w:tcPr>
            <w:tcW w:w="1137" w:type="dxa"/>
            <w:noWrap/>
            <w:hideMark/>
          </w:tcPr>
          <w:p w14:paraId="6A21021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32.82</w:t>
            </w:r>
          </w:p>
        </w:tc>
        <w:tc>
          <w:tcPr>
            <w:tcW w:w="1576" w:type="dxa"/>
            <w:noWrap/>
            <w:vAlign w:val="center"/>
            <w:hideMark/>
          </w:tcPr>
          <w:p w14:paraId="0F59D92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5200.00</w:t>
            </w:r>
          </w:p>
        </w:tc>
        <w:tc>
          <w:tcPr>
            <w:tcW w:w="1137" w:type="dxa"/>
            <w:noWrap/>
            <w:hideMark/>
          </w:tcPr>
          <w:p w14:paraId="04ECEB9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30.00</w:t>
            </w:r>
          </w:p>
        </w:tc>
        <w:tc>
          <w:tcPr>
            <w:tcW w:w="1571" w:type="dxa"/>
            <w:noWrap/>
            <w:vAlign w:val="center"/>
            <w:hideMark/>
          </w:tcPr>
          <w:p w14:paraId="1015BBD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921.17</w:t>
            </w:r>
          </w:p>
        </w:tc>
        <w:tc>
          <w:tcPr>
            <w:tcW w:w="1310" w:type="dxa"/>
            <w:noWrap/>
            <w:hideMark/>
          </w:tcPr>
          <w:p w14:paraId="2CD420B7"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-2.13</w:t>
            </w:r>
          </w:p>
        </w:tc>
      </w:tr>
      <w:tr w:rsidR="008816B2" w:rsidRPr="00095C62" w14:paraId="7EC6DBBA" w14:textId="77777777" w:rsidTr="000A1A9C">
        <w:trPr>
          <w:trHeight w:val="288"/>
          <w:jc w:val="center"/>
        </w:trPr>
        <w:tc>
          <w:tcPr>
            <w:tcW w:w="1137" w:type="dxa"/>
            <w:noWrap/>
            <w:vAlign w:val="center"/>
            <w:hideMark/>
          </w:tcPr>
          <w:p w14:paraId="2029568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2000</w:t>
            </w:r>
          </w:p>
        </w:tc>
        <w:tc>
          <w:tcPr>
            <w:tcW w:w="1397" w:type="dxa"/>
            <w:noWrap/>
            <w:vAlign w:val="center"/>
            <w:hideMark/>
          </w:tcPr>
          <w:p w14:paraId="6CE9264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5800.00</w:t>
            </w:r>
          </w:p>
        </w:tc>
        <w:tc>
          <w:tcPr>
            <w:tcW w:w="1137" w:type="dxa"/>
            <w:noWrap/>
            <w:hideMark/>
          </w:tcPr>
          <w:p w14:paraId="476F26B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36.47</w:t>
            </w:r>
          </w:p>
        </w:tc>
        <w:tc>
          <w:tcPr>
            <w:tcW w:w="1576" w:type="dxa"/>
            <w:noWrap/>
            <w:vAlign w:val="center"/>
            <w:hideMark/>
          </w:tcPr>
          <w:p w14:paraId="0E2D5D74"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5250.00</w:t>
            </w:r>
          </w:p>
        </w:tc>
        <w:tc>
          <w:tcPr>
            <w:tcW w:w="1137" w:type="dxa"/>
            <w:noWrap/>
            <w:hideMark/>
          </w:tcPr>
          <w:p w14:paraId="7D66E13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31.25</w:t>
            </w:r>
          </w:p>
        </w:tc>
        <w:tc>
          <w:tcPr>
            <w:tcW w:w="1571" w:type="dxa"/>
            <w:noWrap/>
            <w:vAlign w:val="center"/>
            <w:hideMark/>
          </w:tcPr>
          <w:p w14:paraId="6EDBC08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905.17</w:t>
            </w:r>
          </w:p>
        </w:tc>
        <w:tc>
          <w:tcPr>
            <w:tcW w:w="1310" w:type="dxa"/>
            <w:noWrap/>
            <w:hideMark/>
          </w:tcPr>
          <w:p w14:paraId="7F76772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-3.83</w:t>
            </w:r>
          </w:p>
        </w:tc>
      </w:tr>
      <w:tr w:rsidR="008816B2" w:rsidRPr="00095C62" w14:paraId="49EB4FF0" w14:textId="77777777" w:rsidTr="000A1A9C">
        <w:trPr>
          <w:trHeight w:val="288"/>
          <w:jc w:val="center"/>
        </w:trPr>
        <w:tc>
          <w:tcPr>
            <w:tcW w:w="1137" w:type="dxa"/>
            <w:noWrap/>
            <w:vAlign w:val="center"/>
            <w:hideMark/>
          </w:tcPr>
          <w:p w14:paraId="2DE85B7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2001</w:t>
            </w:r>
          </w:p>
        </w:tc>
        <w:tc>
          <w:tcPr>
            <w:tcW w:w="1397" w:type="dxa"/>
            <w:noWrap/>
            <w:vAlign w:val="center"/>
            <w:hideMark/>
          </w:tcPr>
          <w:p w14:paraId="4608D50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6000.00</w:t>
            </w:r>
          </w:p>
        </w:tc>
        <w:tc>
          <w:tcPr>
            <w:tcW w:w="1137" w:type="dxa"/>
            <w:noWrap/>
            <w:hideMark/>
          </w:tcPr>
          <w:p w14:paraId="5BE1DC6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41.18</w:t>
            </w:r>
          </w:p>
        </w:tc>
        <w:tc>
          <w:tcPr>
            <w:tcW w:w="1576" w:type="dxa"/>
            <w:noWrap/>
            <w:vAlign w:val="center"/>
            <w:hideMark/>
          </w:tcPr>
          <w:p w14:paraId="02D1AB0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5400.00</w:t>
            </w:r>
          </w:p>
        </w:tc>
        <w:tc>
          <w:tcPr>
            <w:tcW w:w="1137" w:type="dxa"/>
            <w:noWrap/>
            <w:hideMark/>
          </w:tcPr>
          <w:p w14:paraId="409BAB5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35.00</w:t>
            </w:r>
          </w:p>
        </w:tc>
        <w:tc>
          <w:tcPr>
            <w:tcW w:w="1571" w:type="dxa"/>
            <w:noWrap/>
            <w:vAlign w:val="center"/>
            <w:hideMark/>
          </w:tcPr>
          <w:p w14:paraId="2F0953D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900.00</w:t>
            </w:r>
          </w:p>
        </w:tc>
        <w:tc>
          <w:tcPr>
            <w:tcW w:w="1310" w:type="dxa"/>
            <w:noWrap/>
            <w:hideMark/>
          </w:tcPr>
          <w:p w14:paraId="13E16BA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-4.38</w:t>
            </w:r>
          </w:p>
        </w:tc>
      </w:tr>
      <w:tr w:rsidR="008816B2" w:rsidRPr="00095C62" w14:paraId="79650374" w14:textId="77777777" w:rsidTr="000A1A9C">
        <w:trPr>
          <w:trHeight w:val="288"/>
          <w:jc w:val="center"/>
        </w:trPr>
        <w:tc>
          <w:tcPr>
            <w:tcW w:w="1137" w:type="dxa"/>
            <w:noWrap/>
            <w:vAlign w:val="center"/>
            <w:hideMark/>
          </w:tcPr>
          <w:p w14:paraId="6366907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2002</w:t>
            </w:r>
          </w:p>
        </w:tc>
        <w:tc>
          <w:tcPr>
            <w:tcW w:w="1397" w:type="dxa"/>
            <w:noWrap/>
            <w:vAlign w:val="center"/>
            <w:hideMark/>
          </w:tcPr>
          <w:p w14:paraId="70C0FCB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5670.00</w:t>
            </w:r>
          </w:p>
        </w:tc>
        <w:tc>
          <w:tcPr>
            <w:tcW w:w="1137" w:type="dxa"/>
            <w:noWrap/>
            <w:hideMark/>
          </w:tcPr>
          <w:p w14:paraId="36AD0B3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33.41</w:t>
            </w:r>
          </w:p>
        </w:tc>
        <w:tc>
          <w:tcPr>
            <w:tcW w:w="1576" w:type="dxa"/>
            <w:noWrap/>
            <w:vAlign w:val="center"/>
            <w:hideMark/>
          </w:tcPr>
          <w:p w14:paraId="2794497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4000.00</w:t>
            </w:r>
          </w:p>
        </w:tc>
        <w:tc>
          <w:tcPr>
            <w:tcW w:w="1137" w:type="dxa"/>
            <w:noWrap/>
            <w:hideMark/>
          </w:tcPr>
          <w:p w14:paraId="7ED3708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0.00</w:t>
            </w:r>
          </w:p>
        </w:tc>
        <w:tc>
          <w:tcPr>
            <w:tcW w:w="1571" w:type="dxa"/>
            <w:noWrap/>
            <w:vAlign w:val="center"/>
            <w:hideMark/>
          </w:tcPr>
          <w:p w14:paraId="10911FD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705.47</w:t>
            </w:r>
          </w:p>
        </w:tc>
        <w:tc>
          <w:tcPr>
            <w:tcW w:w="1310" w:type="dxa"/>
            <w:noWrap/>
            <w:hideMark/>
          </w:tcPr>
          <w:p w14:paraId="2A7F86D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-25.04</w:t>
            </w:r>
          </w:p>
        </w:tc>
      </w:tr>
      <w:tr w:rsidR="008816B2" w:rsidRPr="00095C62" w14:paraId="0B8A137E" w14:textId="77777777" w:rsidTr="000A1A9C">
        <w:trPr>
          <w:trHeight w:val="288"/>
          <w:jc w:val="center"/>
        </w:trPr>
        <w:tc>
          <w:tcPr>
            <w:tcW w:w="1137" w:type="dxa"/>
            <w:noWrap/>
            <w:vAlign w:val="center"/>
            <w:hideMark/>
          </w:tcPr>
          <w:p w14:paraId="3342641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2003</w:t>
            </w:r>
          </w:p>
        </w:tc>
        <w:tc>
          <w:tcPr>
            <w:tcW w:w="1397" w:type="dxa"/>
            <w:noWrap/>
            <w:vAlign w:val="center"/>
            <w:hideMark/>
          </w:tcPr>
          <w:p w14:paraId="15059B7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6450.00</w:t>
            </w:r>
          </w:p>
        </w:tc>
        <w:tc>
          <w:tcPr>
            <w:tcW w:w="1137" w:type="dxa"/>
            <w:noWrap/>
            <w:hideMark/>
          </w:tcPr>
          <w:p w14:paraId="132931E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51.76</w:t>
            </w:r>
          </w:p>
        </w:tc>
        <w:tc>
          <w:tcPr>
            <w:tcW w:w="1576" w:type="dxa"/>
            <w:noWrap/>
            <w:vAlign w:val="center"/>
            <w:hideMark/>
          </w:tcPr>
          <w:p w14:paraId="2E6BCAA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6800.00</w:t>
            </w:r>
          </w:p>
        </w:tc>
        <w:tc>
          <w:tcPr>
            <w:tcW w:w="1137" w:type="dxa"/>
            <w:noWrap/>
            <w:hideMark/>
          </w:tcPr>
          <w:p w14:paraId="78492AF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70.00</w:t>
            </w:r>
          </w:p>
        </w:tc>
        <w:tc>
          <w:tcPr>
            <w:tcW w:w="1571" w:type="dxa"/>
            <w:noWrap/>
            <w:vAlign w:val="center"/>
            <w:hideMark/>
          </w:tcPr>
          <w:p w14:paraId="2A01896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1054.26</w:t>
            </w:r>
          </w:p>
        </w:tc>
        <w:tc>
          <w:tcPr>
            <w:tcW w:w="1310" w:type="dxa"/>
            <w:noWrap/>
            <w:hideMark/>
          </w:tcPr>
          <w:p w14:paraId="180178F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12.02</w:t>
            </w:r>
          </w:p>
        </w:tc>
      </w:tr>
      <w:tr w:rsidR="008816B2" w:rsidRPr="00095C62" w14:paraId="7E10F6E3" w14:textId="77777777" w:rsidTr="000A1A9C">
        <w:trPr>
          <w:trHeight w:val="288"/>
          <w:jc w:val="center"/>
        </w:trPr>
        <w:tc>
          <w:tcPr>
            <w:tcW w:w="1137" w:type="dxa"/>
            <w:noWrap/>
            <w:vAlign w:val="center"/>
            <w:hideMark/>
          </w:tcPr>
          <w:p w14:paraId="4B1A7D0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2004</w:t>
            </w:r>
          </w:p>
        </w:tc>
        <w:tc>
          <w:tcPr>
            <w:tcW w:w="1397" w:type="dxa"/>
            <w:noWrap/>
            <w:vAlign w:val="center"/>
            <w:hideMark/>
          </w:tcPr>
          <w:p w14:paraId="523A33A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7990.00</w:t>
            </w:r>
          </w:p>
        </w:tc>
        <w:tc>
          <w:tcPr>
            <w:tcW w:w="1137" w:type="dxa"/>
            <w:noWrap/>
            <w:hideMark/>
          </w:tcPr>
          <w:p w14:paraId="1DDB7E0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88.00</w:t>
            </w:r>
          </w:p>
        </w:tc>
        <w:tc>
          <w:tcPr>
            <w:tcW w:w="1576" w:type="dxa"/>
            <w:noWrap/>
            <w:vAlign w:val="center"/>
            <w:hideMark/>
          </w:tcPr>
          <w:p w14:paraId="087ECAE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5850.00</w:t>
            </w:r>
          </w:p>
        </w:tc>
        <w:tc>
          <w:tcPr>
            <w:tcW w:w="1137" w:type="dxa"/>
            <w:noWrap/>
            <w:hideMark/>
          </w:tcPr>
          <w:p w14:paraId="0339E8A4"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46.25</w:t>
            </w:r>
          </w:p>
        </w:tc>
        <w:tc>
          <w:tcPr>
            <w:tcW w:w="1571" w:type="dxa"/>
            <w:noWrap/>
            <w:vAlign w:val="center"/>
            <w:hideMark/>
          </w:tcPr>
          <w:p w14:paraId="5F9E995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732.17</w:t>
            </w:r>
          </w:p>
        </w:tc>
        <w:tc>
          <w:tcPr>
            <w:tcW w:w="1310" w:type="dxa"/>
            <w:noWrap/>
            <w:hideMark/>
          </w:tcPr>
          <w:p w14:paraId="626CAC0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-22.21</w:t>
            </w:r>
          </w:p>
        </w:tc>
      </w:tr>
      <w:tr w:rsidR="008816B2" w:rsidRPr="00095C62" w14:paraId="09AF91A2" w14:textId="77777777" w:rsidTr="000A1A9C">
        <w:trPr>
          <w:trHeight w:val="288"/>
          <w:jc w:val="center"/>
        </w:trPr>
        <w:tc>
          <w:tcPr>
            <w:tcW w:w="1137" w:type="dxa"/>
            <w:noWrap/>
            <w:vAlign w:val="center"/>
            <w:hideMark/>
          </w:tcPr>
          <w:p w14:paraId="6BDC5AF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2005</w:t>
            </w:r>
          </w:p>
        </w:tc>
        <w:tc>
          <w:tcPr>
            <w:tcW w:w="1397" w:type="dxa"/>
            <w:noWrap/>
            <w:vAlign w:val="center"/>
            <w:hideMark/>
          </w:tcPr>
          <w:p w14:paraId="7F99F91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7708.00</w:t>
            </w:r>
          </w:p>
        </w:tc>
        <w:tc>
          <w:tcPr>
            <w:tcW w:w="1137" w:type="dxa"/>
            <w:noWrap/>
            <w:hideMark/>
          </w:tcPr>
          <w:p w14:paraId="50F6A97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81.36</w:t>
            </w:r>
          </w:p>
        </w:tc>
        <w:tc>
          <w:tcPr>
            <w:tcW w:w="1576" w:type="dxa"/>
            <w:noWrap/>
            <w:vAlign w:val="center"/>
            <w:hideMark/>
          </w:tcPr>
          <w:p w14:paraId="21D05C0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7388.00</w:t>
            </w:r>
          </w:p>
        </w:tc>
        <w:tc>
          <w:tcPr>
            <w:tcW w:w="1137" w:type="dxa"/>
            <w:noWrap/>
            <w:hideMark/>
          </w:tcPr>
          <w:p w14:paraId="51664C0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84.70</w:t>
            </w:r>
          </w:p>
        </w:tc>
        <w:tc>
          <w:tcPr>
            <w:tcW w:w="1571" w:type="dxa"/>
            <w:noWrap/>
            <w:vAlign w:val="center"/>
            <w:hideMark/>
          </w:tcPr>
          <w:p w14:paraId="5C80B00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958.48</w:t>
            </w:r>
          </w:p>
        </w:tc>
        <w:tc>
          <w:tcPr>
            <w:tcW w:w="1310" w:type="dxa"/>
            <w:noWrap/>
            <w:hideMark/>
          </w:tcPr>
          <w:p w14:paraId="4FEE729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1.84</w:t>
            </w:r>
          </w:p>
        </w:tc>
      </w:tr>
      <w:tr w:rsidR="008816B2" w:rsidRPr="00095C62" w14:paraId="4B688DC2" w14:textId="77777777" w:rsidTr="000A1A9C">
        <w:trPr>
          <w:trHeight w:val="288"/>
          <w:jc w:val="center"/>
        </w:trPr>
        <w:tc>
          <w:tcPr>
            <w:tcW w:w="1137" w:type="dxa"/>
            <w:noWrap/>
            <w:vAlign w:val="center"/>
            <w:hideMark/>
          </w:tcPr>
          <w:p w14:paraId="2F72A7D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2006</w:t>
            </w:r>
          </w:p>
        </w:tc>
        <w:tc>
          <w:tcPr>
            <w:tcW w:w="1397" w:type="dxa"/>
            <w:noWrap/>
            <w:vAlign w:val="center"/>
            <w:hideMark/>
          </w:tcPr>
          <w:p w14:paraId="5C9E324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8329.00</w:t>
            </w:r>
          </w:p>
        </w:tc>
        <w:tc>
          <w:tcPr>
            <w:tcW w:w="1137" w:type="dxa"/>
            <w:noWrap/>
            <w:hideMark/>
          </w:tcPr>
          <w:p w14:paraId="3BFBD71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95.98</w:t>
            </w:r>
          </w:p>
        </w:tc>
        <w:tc>
          <w:tcPr>
            <w:tcW w:w="1576" w:type="dxa"/>
            <w:noWrap/>
            <w:vAlign w:val="center"/>
            <w:hideMark/>
          </w:tcPr>
          <w:p w14:paraId="477651A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7150.00</w:t>
            </w:r>
          </w:p>
        </w:tc>
        <w:tc>
          <w:tcPr>
            <w:tcW w:w="1137" w:type="dxa"/>
            <w:noWrap/>
            <w:hideMark/>
          </w:tcPr>
          <w:p w14:paraId="212799D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78.75</w:t>
            </w:r>
          </w:p>
        </w:tc>
        <w:tc>
          <w:tcPr>
            <w:tcW w:w="1571" w:type="dxa"/>
            <w:noWrap/>
            <w:vAlign w:val="center"/>
            <w:hideMark/>
          </w:tcPr>
          <w:p w14:paraId="0746621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858.45</w:t>
            </w:r>
          </w:p>
        </w:tc>
        <w:tc>
          <w:tcPr>
            <w:tcW w:w="1310" w:type="dxa"/>
            <w:noWrap/>
            <w:hideMark/>
          </w:tcPr>
          <w:p w14:paraId="322EE08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-8.79</w:t>
            </w:r>
          </w:p>
        </w:tc>
      </w:tr>
      <w:tr w:rsidR="008816B2" w:rsidRPr="00095C62" w14:paraId="1666FB70" w14:textId="77777777" w:rsidTr="000A1A9C">
        <w:trPr>
          <w:trHeight w:val="288"/>
          <w:jc w:val="center"/>
        </w:trPr>
        <w:tc>
          <w:tcPr>
            <w:tcW w:w="1137" w:type="dxa"/>
            <w:noWrap/>
            <w:vAlign w:val="center"/>
            <w:hideMark/>
          </w:tcPr>
          <w:p w14:paraId="051328D7"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2007</w:t>
            </w:r>
          </w:p>
        </w:tc>
        <w:tc>
          <w:tcPr>
            <w:tcW w:w="1397" w:type="dxa"/>
            <w:noWrap/>
            <w:vAlign w:val="center"/>
            <w:hideMark/>
          </w:tcPr>
          <w:p w14:paraId="4B12800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8882.00</w:t>
            </w:r>
          </w:p>
        </w:tc>
        <w:tc>
          <w:tcPr>
            <w:tcW w:w="1137" w:type="dxa"/>
            <w:noWrap/>
            <w:hideMark/>
          </w:tcPr>
          <w:p w14:paraId="1FC6175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108.99</w:t>
            </w:r>
          </w:p>
        </w:tc>
        <w:tc>
          <w:tcPr>
            <w:tcW w:w="1576" w:type="dxa"/>
            <w:noWrap/>
            <w:vAlign w:val="center"/>
            <w:hideMark/>
          </w:tcPr>
          <w:p w14:paraId="0D79F7B7"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9473.00</w:t>
            </w:r>
          </w:p>
        </w:tc>
        <w:tc>
          <w:tcPr>
            <w:tcW w:w="1137" w:type="dxa"/>
            <w:noWrap/>
            <w:hideMark/>
          </w:tcPr>
          <w:p w14:paraId="1B20E72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136.83</w:t>
            </w:r>
          </w:p>
        </w:tc>
        <w:tc>
          <w:tcPr>
            <w:tcW w:w="1571" w:type="dxa"/>
            <w:noWrap/>
            <w:vAlign w:val="center"/>
            <w:hideMark/>
          </w:tcPr>
          <w:p w14:paraId="5851459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1066.54</w:t>
            </w:r>
          </w:p>
        </w:tc>
        <w:tc>
          <w:tcPr>
            <w:tcW w:w="1310" w:type="dxa"/>
            <w:noWrap/>
            <w:hideMark/>
          </w:tcPr>
          <w:p w14:paraId="40E7C46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13.32</w:t>
            </w:r>
          </w:p>
        </w:tc>
      </w:tr>
      <w:tr w:rsidR="008816B2" w:rsidRPr="00095C62" w14:paraId="4B38DE7A" w14:textId="77777777" w:rsidTr="000A1A9C">
        <w:trPr>
          <w:trHeight w:val="288"/>
          <w:jc w:val="center"/>
        </w:trPr>
        <w:tc>
          <w:tcPr>
            <w:tcW w:w="1137" w:type="dxa"/>
            <w:noWrap/>
            <w:vAlign w:val="center"/>
            <w:hideMark/>
          </w:tcPr>
          <w:p w14:paraId="07C8C4D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2008</w:t>
            </w:r>
          </w:p>
        </w:tc>
        <w:tc>
          <w:tcPr>
            <w:tcW w:w="1397" w:type="dxa"/>
            <w:noWrap/>
            <w:vAlign w:val="center"/>
            <w:hideMark/>
          </w:tcPr>
          <w:p w14:paraId="3C352F9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9511.00</w:t>
            </w:r>
          </w:p>
        </w:tc>
        <w:tc>
          <w:tcPr>
            <w:tcW w:w="1137" w:type="dxa"/>
            <w:noWrap/>
            <w:hideMark/>
          </w:tcPr>
          <w:p w14:paraId="5F6ED35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123.79</w:t>
            </w:r>
          </w:p>
        </w:tc>
        <w:tc>
          <w:tcPr>
            <w:tcW w:w="1576" w:type="dxa"/>
            <w:noWrap/>
            <w:vAlign w:val="center"/>
            <w:hideMark/>
          </w:tcPr>
          <w:p w14:paraId="39AED8F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9308.00</w:t>
            </w:r>
          </w:p>
        </w:tc>
        <w:tc>
          <w:tcPr>
            <w:tcW w:w="1137" w:type="dxa"/>
            <w:noWrap/>
            <w:hideMark/>
          </w:tcPr>
          <w:p w14:paraId="03C6818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132.70</w:t>
            </w:r>
          </w:p>
        </w:tc>
        <w:tc>
          <w:tcPr>
            <w:tcW w:w="1571" w:type="dxa"/>
            <w:noWrap/>
            <w:vAlign w:val="center"/>
            <w:hideMark/>
          </w:tcPr>
          <w:p w14:paraId="7164E7C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978.66</w:t>
            </w:r>
          </w:p>
        </w:tc>
        <w:tc>
          <w:tcPr>
            <w:tcW w:w="1310" w:type="dxa"/>
            <w:noWrap/>
            <w:hideMark/>
          </w:tcPr>
          <w:p w14:paraId="471D5453"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3.98</w:t>
            </w:r>
          </w:p>
        </w:tc>
      </w:tr>
      <w:tr w:rsidR="008816B2" w:rsidRPr="00095C62" w14:paraId="79B8FC8E" w14:textId="77777777" w:rsidTr="000A1A9C">
        <w:trPr>
          <w:trHeight w:val="288"/>
          <w:jc w:val="center"/>
        </w:trPr>
        <w:tc>
          <w:tcPr>
            <w:tcW w:w="1137" w:type="dxa"/>
            <w:noWrap/>
            <w:vAlign w:val="center"/>
            <w:hideMark/>
          </w:tcPr>
          <w:p w14:paraId="5FBBBE7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2009</w:t>
            </w:r>
          </w:p>
        </w:tc>
        <w:tc>
          <w:tcPr>
            <w:tcW w:w="1397" w:type="dxa"/>
            <w:noWrap/>
            <w:vAlign w:val="center"/>
            <w:hideMark/>
          </w:tcPr>
          <w:p w14:paraId="4087CF4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9735.00</w:t>
            </w:r>
          </w:p>
        </w:tc>
        <w:tc>
          <w:tcPr>
            <w:tcW w:w="1137" w:type="dxa"/>
            <w:noWrap/>
            <w:hideMark/>
          </w:tcPr>
          <w:p w14:paraId="35269E2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129.06</w:t>
            </w:r>
          </w:p>
        </w:tc>
        <w:tc>
          <w:tcPr>
            <w:tcW w:w="1576" w:type="dxa"/>
            <w:noWrap/>
            <w:vAlign w:val="center"/>
            <w:hideMark/>
          </w:tcPr>
          <w:p w14:paraId="258EC23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9700.00</w:t>
            </w:r>
          </w:p>
        </w:tc>
        <w:tc>
          <w:tcPr>
            <w:tcW w:w="1137" w:type="dxa"/>
            <w:noWrap/>
            <w:hideMark/>
          </w:tcPr>
          <w:p w14:paraId="70BEB09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142.50</w:t>
            </w:r>
          </w:p>
        </w:tc>
        <w:tc>
          <w:tcPr>
            <w:tcW w:w="1571" w:type="dxa"/>
            <w:noWrap/>
            <w:vAlign w:val="center"/>
            <w:hideMark/>
          </w:tcPr>
          <w:p w14:paraId="5E88A807"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996.40</w:t>
            </w:r>
          </w:p>
        </w:tc>
        <w:tc>
          <w:tcPr>
            <w:tcW w:w="1310" w:type="dxa"/>
            <w:noWrap/>
            <w:hideMark/>
          </w:tcPr>
          <w:p w14:paraId="3BA3106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5.87</w:t>
            </w:r>
          </w:p>
        </w:tc>
      </w:tr>
      <w:tr w:rsidR="008816B2" w:rsidRPr="00095C62" w14:paraId="76CE4A84" w14:textId="77777777" w:rsidTr="000A1A9C">
        <w:trPr>
          <w:trHeight w:val="288"/>
          <w:jc w:val="center"/>
        </w:trPr>
        <w:tc>
          <w:tcPr>
            <w:tcW w:w="1137" w:type="dxa"/>
            <w:noWrap/>
            <w:vAlign w:val="center"/>
            <w:hideMark/>
          </w:tcPr>
          <w:p w14:paraId="48BDDC2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2010</w:t>
            </w:r>
          </w:p>
        </w:tc>
        <w:tc>
          <w:tcPr>
            <w:tcW w:w="1397" w:type="dxa"/>
            <w:noWrap/>
            <w:vAlign w:val="center"/>
            <w:hideMark/>
          </w:tcPr>
          <w:p w14:paraId="36B4AFA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9601.00</w:t>
            </w:r>
          </w:p>
        </w:tc>
        <w:tc>
          <w:tcPr>
            <w:tcW w:w="1137" w:type="dxa"/>
            <w:noWrap/>
            <w:hideMark/>
          </w:tcPr>
          <w:p w14:paraId="4CC32C1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125.91</w:t>
            </w:r>
          </w:p>
        </w:tc>
        <w:tc>
          <w:tcPr>
            <w:tcW w:w="1576" w:type="dxa"/>
            <w:noWrap/>
            <w:vAlign w:val="center"/>
            <w:hideMark/>
          </w:tcPr>
          <w:p w14:paraId="767FAF2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10130.00</w:t>
            </w:r>
          </w:p>
        </w:tc>
        <w:tc>
          <w:tcPr>
            <w:tcW w:w="1137" w:type="dxa"/>
            <w:noWrap/>
            <w:hideMark/>
          </w:tcPr>
          <w:p w14:paraId="1B6F062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153.25</w:t>
            </w:r>
          </w:p>
        </w:tc>
        <w:tc>
          <w:tcPr>
            <w:tcW w:w="1571" w:type="dxa"/>
            <w:noWrap/>
            <w:vAlign w:val="center"/>
            <w:hideMark/>
          </w:tcPr>
          <w:p w14:paraId="0D4B7BE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1055.10</w:t>
            </w:r>
          </w:p>
        </w:tc>
        <w:tc>
          <w:tcPr>
            <w:tcW w:w="1310" w:type="dxa"/>
            <w:noWrap/>
            <w:hideMark/>
          </w:tcPr>
          <w:p w14:paraId="23DD2B2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12.10</w:t>
            </w:r>
          </w:p>
        </w:tc>
      </w:tr>
      <w:tr w:rsidR="008816B2" w:rsidRPr="00095C62" w14:paraId="319E7153" w14:textId="77777777" w:rsidTr="000A1A9C">
        <w:trPr>
          <w:trHeight w:val="288"/>
          <w:jc w:val="center"/>
        </w:trPr>
        <w:tc>
          <w:tcPr>
            <w:tcW w:w="1137" w:type="dxa"/>
            <w:noWrap/>
            <w:vAlign w:val="center"/>
            <w:hideMark/>
          </w:tcPr>
          <w:p w14:paraId="630D9CB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2011</w:t>
            </w:r>
          </w:p>
        </w:tc>
        <w:tc>
          <w:tcPr>
            <w:tcW w:w="1397" w:type="dxa"/>
            <w:noWrap/>
            <w:vAlign w:val="center"/>
            <w:hideMark/>
          </w:tcPr>
          <w:p w14:paraId="1C43095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10109.00</w:t>
            </w:r>
          </w:p>
        </w:tc>
        <w:tc>
          <w:tcPr>
            <w:tcW w:w="1137" w:type="dxa"/>
            <w:noWrap/>
            <w:hideMark/>
          </w:tcPr>
          <w:p w14:paraId="52CAA3D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137.86</w:t>
            </w:r>
          </w:p>
        </w:tc>
        <w:tc>
          <w:tcPr>
            <w:tcW w:w="1576" w:type="dxa"/>
            <w:noWrap/>
            <w:vAlign w:val="center"/>
            <w:hideMark/>
          </w:tcPr>
          <w:p w14:paraId="42FCBA1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11940.00</w:t>
            </w:r>
          </w:p>
        </w:tc>
        <w:tc>
          <w:tcPr>
            <w:tcW w:w="1137" w:type="dxa"/>
            <w:noWrap/>
            <w:hideMark/>
          </w:tcPr>
          <w:p w14:paraId="747BBA4D"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198.50</w:t>
            </w:r>
          </w:p>
        </w:tc>
        <w:tc>
          <w:tcPr>
            <w:tcW w:w="1571" w:type="dxa"/>
            <w:noWrap/>
            <w:vAlign w:val="center"/>
            <w:hideMark/>
          </w:tcPr>
          <w:p w14:paraId="49A713C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1181.13</w:t>
            </w:r>
          </w:p>
        </w:tc>
        <w:tc>
          <w:tcPr>
            <w:tcW w:w="1310" w:type="dxa"/>
            <w:noWrap/>
            <w:hideMark/>
          </w:tcPr>
          <w:p w14:paraId="29AECA9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25.49</w:t>
            </w:r>
          </w:p>
        </w:tc>
      </w:tr>
      <w:tr w:rsidR="008816B2" w:rsidRPr="00095C62" w14:paraId="1BAA4374" w14:textId="77777777" w:rsidTr="000A1A9C">
        <w:trPr>
          <w:trHeight w:val="288"/>
          <w:jc w:val="center"/>
        </w:trPr>
        <w:tc>
          <w:tcPr>
            <w:tcW w:w="1137" w:type="dxa"/>
            <w:noWrap/>
            <w:vAlign w:val="center"/>
            <w:hideMark/>
          </w:tcPr>
          <w:p w14:paraId="266E43A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2012</w:t>
            </w:r>
          </w:p>
        </w:tc>
        <w:tc>
          <w:tcPr>
            <w:tcW w:w="1397" w:type="dxa"/>
            <w:noWrap/>
            <w:vAlign w:val="center"/>
            <w:hideMark/>
          </w:tcPr>
          <w:p w14:paraId="6F26814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10841.00</w:t>
            </w:r>
          </w:p>
        </w:tc>
        <w:tc>
          <w:tcPr>
            <w:tcW w:w="1137" w:type="dxa"/>
            <w:noWrap/>
            <w:hideMark/>
          </w:tcPr>
          <w:p w14:paraId="333BA883"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155.08</w:t>
            </w:r>
          </w:p>
        </w:tc>
        <w:tc>
          <w:tcPr>
            <w:tcW w:w="1576" w:type="dxa"/>
            <w:noWrap/>
            <w:vAlign w:val="center"/>
            <w:hideMark/>
          </w:tcPr>
          <w:p w14:paraId="12BC8A53"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12186.00</w:t>
            </w:r>
          </w:p>
        </w:tc>
        <w:tc>
          <w:tcPr>
            <w:tcW w:w="1137" w:type="dxa"/>
            <w:noWrap/>
            <w:hideMark/>
          </w:tcPr>
          <w:p w14:paraId="661358B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204.65</w:t>
            </w:r>
          </w:p>
        </w:tc>
        <w:tc>
          <w:tcPr>
            <w:tcW w:w="1571" w:type="dxa"/>
            <w:noWrap/>
            <w:vAlign w:val="center"/>
            <w:hideMark/>
          </w:tcPr>
          <w:p w14:paraId="0F40022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1124.07</w:t>
            </w:r>
          </w:p>
        </w:tc>
        <w:tc>
          <w:tcPr>
            <w:tcW w:w="1310" w:type="dxa"/>
            <w:noWrap/>
            <w:hideMark/>
          </w:tcPr>
          <w:p w14:paraId="25A08F6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19.43</w:t>
            </w:r>
          </w:p>
        </w:tc>
      </w:tr>
      <w:tr w:rsidR="008816B2" w:rsidRPr="00095C62" w14:paraId="5320C96E" w14:textId="77777777" w:rsidTr="000A1A9C">
        <w:trPr>
          <w:trHeight w:val="288"/>
          <w:jc w:val="center"/>
        </w:trPr>
        <w:tc>
          <w:tcPr>
            <w:tcW w:w="1137" w:type="dxa"/>
            <w:noWrap/>
            <w:vAlign w:val="center"/>
            <w:hideMark/>
          </w:tcPr>
          <w:p w14:paraId="6DEA753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2013</w:t>
            </w:r>
          </w:p>
        </w:tc>
        <w:tc>
          <w:tcPr>
            <w:tcW w:w="1397" w:type="dxa"/>
            <w:noWrap/>
            <w:vAlign w:val="center"/>
            <w:hideMark/>
          </w:tcPr>
          <w:p w14:paraId="56A04C3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11716.00</w:t>
            </w:r>
          </w:p>
        </w:tc>
        <w:tc>
          <w:tcPr>
            <w:tcW w:w="1137" w:type="dxa"/>
            <w:noWrap/>
            <w:hideMark/>
          </w:tcPr>
          <w:p w14:paraId="5E980C6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175.67</w:t>
            </w:r>
          </w:p>
        </w:tc>
        <w:tc>
          <w:tcPr>
            <w:tcW w:w="1576" w:type="dxa"/>
            <w:noWrap/>
            <w:vAlign w:val="center"/>
            <w:hideMark/>
          </w:tcPr>
          <w:p w14:paraId="0A21B1E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9477.00</w:t>
            </w:r>
          </w:p>
        </w:tc>
        <w:tc>
          <w:tcPr>
            <w:tcW w:w="1137" w:type="dxa"/>
            <w:noWrap/>
            <w:hideMark/>
          </w:tcPr>
          <w:p w14:paraId="49B1B704"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136.93</w:t>
            </w:r>
          </w:p>
        </w:tc>
        <w:tc>
          <w:tcPr>
            <w:tcW w:w="1571" w:type="dxa"/>
            <w:noWrap/>
            <w:vAlign w:val="center"/>
            <w:hideMark/>
          </w:tcPr>
          <w:p w14:paraId="41C6E9B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808.89</w:t>
            </w:r>
          </w:p>
        </w:tc>
        <w:tc>
          <w:tcPr>
            <w:tcW w:w="1310" w:type="dxa"/>
            <w:noWrap/>
            <w:hideMark/>
          </w:tcPr>
          <w:p w14:paraId="07012CD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-14.06</w:t>
            </w:r>
          </w:p>
        </w:tc>
      </w:tr>
      <w:tr w:rsidR="008816B2" w:rsidRPr="00095C62" w14:paraId="5BFE6D1D" w14:textId="77777777" w:rsidTr="000A1A9C">
        <w:trPr>
          <w:trHeight w:val="288"/>
          <w:jc w:val="center"/>
        </w:trPr>
        <w:tc>
          <w:tcPr>
            <w:tcW w:w="1137" w:type="dxa"/>
            <w:noWrap/>
            <w:vAlign w:val="center"/>
            <w:hideMark/>
          </w:tcPr>
          <w:p w14:paraId="2BDC5EB3"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2014</w:t>
            </w:r>
          </w:p>
        </w:tc>
        <w:tc>
          <w:tcPr>
            <w:tcW w:w="1397" w:type="dxa"/>
            <w:noWrap/>
            <w:vAlign w:val="center"/>
            <w:hideMark/>
          </w:tcPr>
          <w:p w14:paraId="4029B56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10911.00</w:t>
            </w:r>
          </w:p>
        </w:tc>
        <w:tc>
          <w:tcPr>
            <w:tcW w:w="1137" w:type="dxa"/>
            <w:noWrap/>
            <w:hideMark/>
          </w:tcPr>
          <w:p w14:paraId="1B21B32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156.73</w:t>
            </w:r>
          </w:p>
        </w:tc>
        <w:tc>
          <w:tcPr>
            <w:tcW w:w="1576" w:type="dxa"/>
            <w:noWrap/>
            <w:vAlign w:val="center"/>
            <w:hideMark/>
          </w:tcPr>
          <w:p w14:paraId="76E2742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8711.00</w:t>
            </w:r>
          </w:p>
        </w:tc>
        <w:tc>
          <w:tcPr>
            <w:tcW w:w="1137" w:type="dxa"/>
            <w:noWrap/>
            <w:hideMark/>
          </w:tcPr>
          <w:p w14:paraId="688EAA3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117.78</w:t>
            </w:r>
          </w:p>
        </w:tc>
        <w:tc>
          <w:tcPr>
            <w:tcW w:w="1571" w:type="dxa"/>
            <w:noWrap/>
            <w:vAlign w:val="center"/>
            <w:hideMark/>
          </w:tcPr>
          <w:p w14:paraId="4426280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798.37</w:t>
            </w:r>
          </w:p>
        </w:tc>
        <w:tc>
          <w:tcPr>
            <w:tcW w:w="1310" w:type="dxa"/>
            <w:noWrap/>
            <w:hideMark/>
          </w:tcPr>
          <w:p w14:paraId="06D95E2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-15.17</w:t>
            </w:r>
          </w:p>
        </w:tc>
      </w:tr>
      <w:tr w:rsidR="008816B2" w:rsidRPr="00095C62" w14:paraId="2FC59F83" w14:textId="77777777" w:rsidTr="000A1A9C">
        <w:trPr>
          <w:trHeight w:val="288"/>
          <w:jc w:val="center"/>
        </w:trPr>
        <w:tc>
          <w:tcPr>
            <w:tcW w:w="1137" w:type="dxa"/>
            <w:noWrap/>
            <w:vAlign w:val="center"/>
            <w:hideMark/>
          </w:tcPr>
          <w:p w14:paraId="4AACD50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2015</w:t>
            </w:r>
          </w:p>
        </w:tc>
        <w:tc>
          <w:tcPr>
            <w:tcW w:w="1397" w:type="dxa"/>
            <w:noWrap/>
            <w:vAlign w:val="center"/>
            <w:hideMark/>
          </w:tcPr>
          <w:p w14:paraId="6375C2DD"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11605.00</w:t>
            </w:r>
          </w:p>
        </w:tc>
        <w:tc>
          <w:tcPr>
            <w:tcW w:w="1137" w:type="dxa"/>
            <w:noWrap/>
            <w:hideMark/>
          </w:tcPr>
          <w:p w14:paraId="37C1772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173.06</w:t>
            </w:r>
          </w:p>
        </w:tc>
        <w:tc>
          <w:tcPr>
            <w:tcW w:w="1576" w:type="dxa"/>
            <w:noWrap/>
            <w:vAlign w:val="center"/>
            <w:hideMark/>
          </w:tcPr>
          <w:p w14:paraId="14049EA3"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6929.00</w:t>
            </w:r>
          </w:p>
        </w:tc>
        <w:tc>
          <w:tcPr>
            <w:tcW w:w="1137" w:type="dxa"/>
            <w:noWrap/>
            <w:hideMark/>
          </w:tcPr>
          <w:p w14:paraId="10467EAD"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73.23</w:t>
            </w:r>
          </w:p>
        </w:tc>
        <w:tc>
          <w:tcPr>
            <w:tcW w:w="1571" w:type="dxa"/>
            <w:noWrap/>
            <w:vAlign w:val="center"/>
            <w:hideMark/>
          </w:tcPr>
          <w:p w14:paraId="7B7673C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597.07</w:t>
            </w:r>
          </w:p>
        </w:tc>
        <w:tc>
          <w:tcPr>
            <w:tcW w:w="1310" w:type="dxa"/>
            <w:noWrap/>
            <w:hideMark/>
          </w:tcPr>
          <w:p w14:paraId="0A45B88D"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-36.56</w:t>
            </w:r>
          </w:p>
        </w:tc>
      </w:tr>
      <w:tr w:rsidR="008816B2" w:rsidRPr="00095C62" w14:paraId="3A706C95" w14:textId="77777777" w:rsidTr="000A1A9C">
        <w:trPr>
          <w:trHeight w:val="288"/>
          <w:jc w:val="center"/>
        </w:trPr>
        <w:tc>
          <w:tcPr>
            <w:tcW w:w="1137" w:type="dxa"/>
            <w:noWrap/>
            <w:vAlign w:val="center"/>
            <w:hideMark/>
          </w:tcPr>
          <w:p w14:paraId="4B85377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2016</w:t>
            </w:r>
          </w:p>
        </w:tc>
        <w:tc>
          <w:tcPr>
            <w:tcW w:w="1397" w:type="dxa"/>
            <w:noWrap/>
            <w:vAlign w:val="center"/>
            <w:hideMark/>
          </w:tcPr>
          <w:p w14:paraId="50AD7FA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11183.00</w:t>
            </w:r>
          </w:p>
        </w:tc>
        <w:tc>
          <w:tcPr>
            <w:tcW w:w="1137" w:type="dxa"/>
            <w:noWrap/>
            <w:hideMark/>
          </w:tcPr>
          <w:p w14:paraId="2B074F6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163.13</w:t>
            </w:r>
          </w:p>
        </w:tc>
        <w:tc>
          <w:tcPr>
            <w:tcW w:w="1576" w:type="dxa"/>
            <w:noWrap/>
            <w:vAlign w:val="center"/>
            <w:hideMark/>
          </w:tcPr>
          <w:p w14:paraId="527E40E4"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10992.00</w:t>
            </w:r>
          </w:p>
        </w:tc>
        <w:tc>
          <w:tcPr>
            <w:tcW w:w="1137" w:type="dxa"/>
            <w:noWrap/>
            <w:hideMark/>
          </w:tcPr>
          <w:p w14:paraId="508C4B2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174.80</w:t>
            </w:r>
          </w:p>
        </w:tc>
        <w:tc>
          <w:tcPr>
            <w:tcW w:w="1571" w:type="dxa"/>
            <w:noWrap/>
            <w:vAlign w:val="center"/>
            <w:hideMark/>
          </w:tcPr>
          <w:p w14:paraId="312D3A8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982.92</w:t>
            </w:r>
          </w:p>
        </w:tc>
        <w:tc>
          <w:tcPr>
            <w:tcW w:w="1310" w:type="dxa"/>
            <w:noWrap/>
            <w:hideMark/>
          </w:tcPr>
          <w:p w14:paraId="2F2BB2A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4.44</w:t>
            </w:r>
          </w:p>
        </w:tc>
      </w:tr>
      <w:tr w:rsidR="008816B2" w:rsidRPr="00095C62" w14:paraId="154DF774" w14:textId="77777777" w:rsidTr="000A1A9C">
        <w:trPr>
          <w:trHeight w:val="288"/>
          <w:jc w:val="center"/>
        </w:trPr>
        <w:tc>
          <w:tcPr>
            <w:tcW w:w="1137" w:type="dxa"/>
            <w:noWrap/>
            <w:vAlign w:val="center"/>
            <w:hideMark/>
          </w:tcPr>
          <w:p w14:paraId="06025C6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2017</w:t>
            </w:r>
          </w:p>
        </w:tc>
        <w:tc>
          <w:tcPr>
            <w:tcW w:w="1397" w:type="dxa"/>
            <w:noWrap/>
            <w:vAlign w:val="center"/>
            <w:hideMark/>
          </w:tcPr>
          <w:p w14:paraId="239FD82D"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10329.00</w:t>
            </w:r>
          </w:p>
        </w:tc>
        <w:tc>
          <w:tcPr>
            <w:tcW w:w="1137" w:type="dxa"/>
            <w:noWrap/>
            <w:hideMark/>
          </w:tcPr>
          <w:p w14:paraId="4634FA6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143.04</w:t>
            </w:r>
          </w:p>
        </w:tc>
        <w:tc>
          <w:tcPr>
            <w:tcW w:w="1576" w:type="dxa"/>
            <w:noWrap/>
            <w:vAlign w:val="center"/>
            <w:hideMark/>
          </w:tcPr>
          <w:p w14:paraId="797658BD"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8350.00</w:t>
            </w:r>
          </w:p>
        </w:tc>
        <w:tc>
          <w:tcPr>
            <w:tcW w:w="1137" w:type="dxa"/>
            <w:noWrap/>
            <w:hideMark/>
          </w:tcPr>
          <w:p w14:paraId="4C37546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108.75</w:t>
            </w:r>
          </w:p>
        </w:tc>
        <w:tc>
          <w:tcPr>
            <w:tcW w:w="1571" w:type="dxa"/>
            <w:noWrap/>
            <w:vAlign w:val="center"/>
            <w:hideMark/>
          </w:tcPr>
          <w:p w14:paraId="01ACE1B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808.40</w:t>
            </w:r>
          </w:p>
        </w:tc>
        <w:tc>
          <w:tcPr>
            <w:tcW w:w="1310" w:type="dxa"/>
            <w:noWrap/>
            <w:hideMark/>
          </w:tcPr>
          <w:p w14:paraId="605AC53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-14.11</w:t>
            </w:r>
          </w:p>
        </w:tc>
      </w:tr>
      <w:tr w:rsidR="008816B2" w:rsidRPr="00095C62" w14:paraId="2E72190E" w14:textId="77777777" w:rsidTr="000A1A9C">
        <w:trPr>
          <w:trHeight w:val="288"/>
          <w:jc w:val="center"/>
        </w:trPr>
        <w:tc>
          <w:tcPr>
            <w:tcW w:w="1137" w:type="dxa"/>
            <w:noWrap/>
            <w:vAlign w:val="center"/>
            <w:hideMark/>
          </w:tcPr>
          <w:p w14:paraId="6B1AE764"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2018</w:t>
            </w:r>
          </w:p>
        </w:tc>
        <w:tc>
          <w:tcPr>
            <w:tcW w:w="1397" w:type="dxa"/>
            <w:noWrap/>
            <w:vAlign w:val="center"/>
            <w:hideMark/>
          </w:tcPr>
          <w:p w14:paraId="022BE7C2"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11131.00</w:t>
            </w:r>
          </w:p>
        </w:tc>
        <w:tc>
          <w:tcPr>
            <w:tcW w:w="1137" w:type="dxa"/>
            <w:noWrap/>
            <w:hideMark/>
          </w:tcPr>
          <w:p w14:paraId="6966BDD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161.91</w:t>
            </w:r>
          </w:p>
        </w:tc>
        <w:tc>
          <w:tcPr>
            <w:tcW w:w="1576" w:type="dxa"/>
            <w:noWrap/>
            <w:vAlign w:val="center"/>
            <w:hideMark/>
          </w:tcPr>
          <w:p w14:paraId="258DBC13"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10930.00</w:t>
            </w:r>
          </w:p>
        </w:tc>
        <w:tc>
          <w:tcPr>
            <w:tcW w:w="1137" w:type="dxa"/>
            <w:noWrap/>
            <w:hideMark/>
          </w:tcPr>
          <w:p w14:paraId="4974DCA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173.25</w:t>
            </w:r>
          </w:p>
        </w:tc>
        <w:tc>
          <w:tcPr>
            <w:tcW w:w="1571" w:type="dxa"/>
            <w:noWrap/>
            <w:vAlign w:val="center"/>
            <w:hideMark/>
          </w:tcPr>
          <w:p w14:paraId="2341AB8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981.94</w:t>
            </w:r>
          </w:p>
        </w:tc>
        <w:tc>
          <w:tcPr>
            <w:tcW w:w="1310" w:type="dxa"/>
            <w:noWrap/>
            <w:hideMark/>
          </w:tcPr>
          <w:p w14:paraId="295EA1C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4.33</w:t>
            </w:r>
          </w:p>
        </w:tc>
      </w:tr>
      <w:tr w:rsidR="008816B2" w:rsidRPr="00095C62" w14:paraId="4FF04631" w14:textId="77777777" w:rsidTr="000A1A9C">
        <w:trPr>
          <w:trHeight w:val="288"/>
          <w:jc w:val="center"/>
        </w:trPr>
        <w:tc>
          <w:tcPr>
            <w:tcW w:w="1137" w:type="dxa"/>
            <w:noWrap/>
            <w:vAlign w:val="center"/>
            <w:hideMark/>
          </w:tcPr>
          <w:p w14:paraId="6A37F0E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2019</w:t>
            </w:r>
          </w:p>
        </w:tc>
        <w:tc>
          <w:tcPr>
            <w:tcW w:w="1397" w:type="dxa"/>
            <w:noWrap/>
            <w:vAlign w:val="center"/>
            <w:hideMark/>
          </w:tcPr>
          <w:p w14:paraId="7F226878"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12193.00</w:t>
            </w:r>
          </w:p>
        </w:tc>
        <w:tc>
          <w:tcPr>
            <w:tcW w:w="1137" w:type="dxa"/>
            <w:noWrap/>
            <w:hideMark/>
          </w:tcPr>
          <w:p w14:paraId="660EC28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186.89</w:t>
            </w:r>
          </w:p>
        </w:tc>
        <w:tc>
          <w:tcPr>
            <w:tcW w:w="1576" w:type="dxa"/>
            <w:noWrap/>
            <w:vAlign w:val="center"/>
            <w:hideMark/>
          </w:tcPr>
          <w:p w14:paraId="5F495D2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9300.00</w:t>
            </w:r>
          </w:p>
        </w:tc>
        <w:tc>
          <w:tcPr>
            <w:tcW w:w="1137" w:type="dxa"/>
            <w:noWrap/>
            <w:hideMark/>
          </w:tcPr>
          <w:p w14:paraId="1C869BA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132.50</w:t>
            </w:r>
          </w:p>
        </w:tc>
        <w:tc>
          <w:tcPr>
            <w:tcW w:w="1571" w:type="dxa"/>
            <w:noWrap/>
            <w:vAlign w:val="center"/>
            <w:hideMark/>
          </w:tcPr>
          <w:p w14:paraId="730DEEE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762.73</w:t>
            </w:r>
          </w:p>
        </w:tc>
        <w:tc>
          <w:tcPr>
            <w:tcW w:w="1310" w:type="dxa"/>
            <w:noWrap/>
            <w:hideMark/>
          </w:tcPr>
          <w:p w14:paraId="78938F6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-18.96</w:t>
            </w:r>
          </w:p>
        </w:tc>
      </w:tr>
      <w:tr w:rsidR="008816B2" w:rsidRPr="00095C62" w14:paraId="73E726C8" w14:textId="77777777" w:rsidTr="000A1A9C">
        <w:trPr>
          <w:trHeight w:val="288"/>
          <w:jc w:val="center"/>
        </w:trPr>
        <w:tc>
          <w:tcPr>
            <w:tcW w:w="1137" w:type="dxa"/>
            <w:noWrap/>
            <w:vAlign w:val="center"/>
            <w:hideMark/>
          </w:tcPr>
          <w:p w14:paraId="4FC1AA6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2020</w:t>
            </w:r>
          </w:p>
        </w:tc>
        <w:tc>
          <w:tcPr>
            <w:tcW w:w="1397" w:type="dxa"/>
            <w:noWrap/>
            <w:vAlign w:val="center"/>
            <w:hideMark/>
          </w:tcPr>
          <w:p w14:paraId="53B415A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12918.00</w:t>
            </w:r>
          </w:p>
        </w:tc>
        <w:tc>
          <w:tcPr>
            <w:tcW w:w="1137" w:type="dxa"/>
            <w:noWrap/>
            <w:hideMark/>
          </w:tcPr>
          <w:p w14:paraId="3EAE88E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203.95</w:t>
            </w:r>
          </w:p>
        </w:tc>
        <w:tc>
          <w:tcPr>
            <w:tcW w:w="1576" w:type="dxa"/>
            <w:noWrap/>
            <w:vAlign w:val="center"/>
            <w:hideMark/>
          </w:tcPr>
          <w:p w14:paraId="48C69700"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10456.00</w:t>
            </w:r>
          </w:p>
        </w:tc>
        <w:tc>
          <w:tcPr>
            <w:tcW w:w="1137" w:type="dxa"/>
            <w:noWrap/>
            <w:hideMark/>
          </w:tcPr>
          <w:p w14:paraId="059BC4B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161.40</w:t>
            </w:r>
          </w:p>
        </w:tc>
        <w:tc>
          <w:tcPr>
            <w:tcW w:w="1571" w:type="dxa"/>
            <w:noWrap/>
            <w:vAlign w:val="center"/>
            <w:hideMark/>
          </w:tcPr>
          <w:p w14:paraId="43D6D25C"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809.41</w:t>
            </w:r>
          </w:p>
        </w:tc>
        <w:tc>
          <w:tcPr>
            <w:tcW w:w="1310" w:type="dxa"/>
            <w:noWrap/>
            <w:hideMark/>
          </w:tcPr>
          <w:p w14:paraId="2350F58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-14.00</w:t>
            </w:r>
          </w:p>
        </w:tc>
      </w:tr>
      <w:tr w:rsidR="008816B2" w:rsidRPr="00095C62" w14:paraId="6F75E30A" w14:textId="77777777" w:rsidTr="000A1A9C">
        <w:trPr>
          <w:trHeight w:val="288"/>
          <w:jc w:val="center"/>
        </w:trPr>
        <w:tc>
          <w:tcPr>
            <w:tcW w:w="1137" w:type="dxa"/>
            <w:noWrap/>
            <w:vAlign w:val="center"/>
            <w:hideMark/>
          </w:tcPr>
          <w:p w14:paraId="05C7CD75"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2021</w:t>
            </w:r>
          </w:p>
        </w:tc>
        <w:tc>
          <w:tcPr>
            <w:tcW w:w="1397" w:type="dxa"/>
            <w:noWrap/>
            <w:vAlign w:val="center"/>
            <w:hideMark/>
          </w:tcPr>
          <w:p w14:paraId="5D21AC49"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12147.00</w:t>
            </w:r>
          </w:p>
        </w:tc>
        <w:tc>
          <w:tcPr>
            <w:tcW w:w="1137" w:type="dxa"/>
            <w:noWrap/>
            <w:hideMark/>
          </w:tcPr>
          <w:p w14:paraId="6FDB61DB"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185.81</w:t>
            </w:r>
          </w:p>
        </w:tc>
        <w:tc>
          <w:tcPr>
            <w:tcW w:w="1576" w:type="dxa"/>
            <w:noWrap/>
            <w:vAlign w:val="center"/>
            <w:hideMark/>
          </w:tcPr>
          <w:p w14:paraId="4E45F9A1"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11889.00</w:t>
            </w:r>
          </w:p>
        </w:tc>
        <w:tc>
          <w:tcPr>
            <w:tcW w:w="1137" w:type="dxa"/>
            <w:noWrap/>
            <w:hideMark/>
          </w:tcPr>
          <w:p w14:paraId="6D86850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197.23</w:t>
            </w:r>
          </w:p>
        </w:tc>
        <w:tc>
          <w:tcPr>
            <w:tcW w:w="1571" w:type="dxa"/>
            <w:noWrap/>
            <w:vAlign w:val="center"/>
            <w:hideMark/>
          </w:tcPr>
          <w:p w14:paraId="5CAB55AE"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978.76</w:t>
            </w:r>
          </w:p>
        </w:tc>
        <w:tc>
          <w:tcPr>
            <w:tcW w:w="1310" w:type="dxa"/>
            <w:noWrap/>
            <w:hideMark/>
          </w:tcPr>
          <w:p w14:paraId="3402EE1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3.99</w:t>
            </w:r>
          </w:p>
        </w:tc>
      </w:tr>
      <w:tr w:rsidR="008816B2" w:rsidRPr="00095C62" w14:paraId="75B244A7" w14:textId="77777777" w:rsidTr="000A1A9C">
        <w:trPr>
          <w:trHeight w:val="288"/>
          <w:jc w:val="center"/>
        </w:trPr>
        <w:tc>
          <w:tcPr>
            <w:tcW w:w="1137" w:type="dxa"/>
            <w:noWrap/>
            <w:vAlign w:val="center"/>
            <w:hideMark/>
          </w:tcPr>
          <w:p w14:paraId="1893F74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2022</w:t>
            </w:r>
          </w:p>
        </w:tc>
        <w:tc>
          <w:tcPr>
            <w:tcW w:w="1397" w:type="dxa"/>
            <w:noWrap/>
            <w:vAlign w:val="center"/>
            <w:hideMark/>
          </w:tcPr>
          <w:p w14:paraId="7F8280B6"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13000.00</w:t>
            </w:r>
          </w:p>
        </w:tc>
        <w:tc>
          <w:tcPr>
            <w:tcW w:w="1137" w:type="dxa"/>
            <w:noWrap/>
            <w:hideMark/>
          </w:tcPr>
          <w:p w14:paraId="4C90B41D"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205.88</w:t>
            </w:r>
          </w:p>
        </w:tc>
        <w:tc>
          <w:tcPr>
            <w:tcW w:w="1576" w:type="dxa"/>
            <w:noWrap/>
            <w:vAlign w:val="center"/>
            <w:hideMark/>
          </w:tcPr>
          <w:p w14:paraId="665A88E3"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12038.00</w:t>
            </w:r>
          </w:p>
        </w:tc>
        <w:tc>
          <w:tcPr>
            <w:tcW w:w="1137" w:type="dxa"/>
            <w:noWrap/>
            <w:hideMark/>
          </w:tcPr>
          <w:p w14:paraId="3A4249D3"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200.95</w:t>
            </w:r>
          </w:p>
        </w:tc>
        <w:tc>
          <w:tcPr>
            <w:tcW w:w="1571" w:type="dxa"/>
            <w:noWrap/>
            <w:vAlign w:val="center"/>
            <w:hideMark/>
          </w:tcPr>
          <w:p w14:paraId="1C1709EF"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926.00</w:t>
            </w:r>
          </w:p>
        </w:tc>
        <w:tc>
          <w:tcPr>
            <w:tcW w:w="1310" w:type="dxa"/>
            <w:noWrap/>
            <w:hideMark/>
          </w:tcPr>
          <w:p w14:paraId="3AE4C6FA" w14:textId="77777777" w:rsidR="008816B2" w:rsidRPr="00095C62" w:rsidRDefault="008816B2" w:rsidP="00D13B0A">
            <w:pPr>
              <w:jc w:val="center"/>
              <w:rPr>
                <w:rFonts w:ascii="Arial" w:hAnsi="Arial" w:cs="Arial"/>
                <w:b w:val="0"/>
                <w:bCs w:val="0"/>
                <w:color w:val="000000" w:themeColor="text1"/>
              </w:rPr>
            </w:pPr>
            <w:r w:rsidRPr="00095C62">
              <w:rPr>
                <w:rFonts w:ascii="Arial" w:hAnsi="Arial" w:cs="Arial"/>
                <w:b w:val="0"/>
                <w:bCs w:val="0"/>
                <w:color w:val="000000" w:themeColor="text1"/>
              </w:rPr>
              <w:t>-1.61</w:t>
            </w:r>
          </w:p>
        </w:tc>
      </w:tr>
    </w:tbl>
    <w:p w14:paraId="5300A0B8" w14:textId="77777777" w:rsidR="008816B2" w:rsidRPr="00095C62" w:rsidRDefault="008816B2" w:rsidP="00D13B0A">
      <w:pPr>
        <w:spacing w:after="120" w:line="240" w:lineRule="auto"/>
        <w:jc w:val="both"/>
        <w:rPr>
          <w:rFonts w:ascii="Arial" w:hAnsi="Arial" w:cs="Arial"/>
          <w:b/>
          <w:bCs/>
          <w:color w:val="000000" w:themeColor="text1"/>
        </w:rPr>
      </w:pPr>
      <w:r w:rsidRPr="00095C62">
        <w:rPr>
          <w:rFonts w:ascii="Arial" w:hAnsi="Arial" w:cs="Arial"/>
          <w:b/>
          <w:bCs/>
          <w:color w:val="000000" w:themeColor="text1"/>
        </w:rPr>
        <w:t>Source: DGCI&amp;S, E&amp;S Division, USDA</w:t>
      </w:r>
    </w:p>
    <w:p w14:paraId="5A229BF8" w14:textId="397F1DEB" w:rsidR="008816B2" w:rsidRPr="00095C62" w:rsidRDefault="008816B2" w:rsidP="00D13B0A">
      <w:pPr>
        <w:spacing w:after="120" w:line="240" w:lineRule="auto"/>
        <w:jc w:val="both"/>
        <w:rPr>
          <w:rFonts w:ascii="Arial" w:hAnsi="Arial" w:cs="Arial"/>
          <w:b/>
          <w:bCs/>
          <w:color w:val="000000" w:themeColor="text1"/>
        </w:rPr>
      </w:pPr>
      <w:bookmarkStart w:id="2" w:name="_Hlk175227350"/>
      <w:r w:rsidRPr="00095C62">
        <w:rPr>
          <w:rFonts w:ascii="Arial" w:hAnsi="Arial" w:cs="Arial"/>
          <w:b/>
          <w:bCs/>
          <w:color w:val="000000" w:themeColor="text1"/>
        </w:rPr>
        <w:t xml:space="preserve">Growth and Instability in Area, Production and Productivity of Soybean in India </w:t>
      </w:r>
    </w:p>
    <w:bookmarkEnd w:id="2"/>
    <w:p w14:paraId="7CC64CDC" w14:textId="716D1E1F" w:rsidR="008816B2" w:rsidRPr="00AD501D" w:rsidRDefault="008816B2" w:rsidP="00D13B0A">
      <w:pPr>
        <w:spacing w:after="120" w:line="240" w:lineRule="auto"/>
        <w:ind w:firstLine="720"/>
        <w:jc w:val="both"/>
        <w:rPr>
          <w:rFonts w:ascii="Arial" w:hAnsi="Arial" w:cs="Arial"/>
          <w:color w:val="000000" w:themeColor="text1"/>
          <w:sz w:val="20"/>
          <w:szCs w:val="20"/>
        </w:rPr>
      </w:pPr>
      <w:r w:rsidRPr="00295062">
        <w:rPr>
          <w:rFonts w:ascii="Arial" w:hAnsi="Arial" w:cs="Arial"/>
          <w:color w:val="000000" w:themeColor="text1"/>
          <w:sz w:val="20"/>
          <w:szCs w:val="20"/>
        </w:rPr>
        <w:t xml:space="preserve">The data in Table </w:t>
      </w:r>
      <w:r w:rsidR="00954846" w:rsidRPr="00295062">
        <w:rPr>
          <w:rFonts w:ascii="Arial" w:hAnsi="Arial" w:cs="Arial"/>
          <w:color w:val="000000" w:themeColor="text1"/>
          <w:sz w:val="20"/>
          <w:szCs w:val="20"/>
        </w:rPr>
        <w:t>2</w:t>
      </w:r>
      <w:r w:rsidRPr="00295062">
        <w:rPr>
          <w:rFonts w:ascii="Arial" w:hAnsi="Arial" w:cs="Arial"/>
          <w:color w:val="000000" w:themeColor="text1"/>
          <w:sz w:val="20"/>
          <w:szCs w:val="20"/>
        </w:rPr>
        <w:t>, clearly illustrated that the compound annual growth rate for the area</w:t>
      </w:r>
      <w:r w:rsidR="00CC30BB" w:rsidRPr="00295062">
        <w:rPr>
          <w:rFonts w:ascii="Arial" w:hAnsi="Arial" w:cs="Arial"/>
          <w:color w:val="000000" w:themeColor="text1"/>
          <w:sz w:val="20"/>
          <w:szCs w:val="20"/>
        </w:rPr>
        <w:t xml:space="preserve"> and production</w:t>
      </w:r>
      <w:r w:rsidRPr="00295062">
        <w:rPr>
          <w:rFonts w:ascii="Arial" w:hAnsi="Arial" w:cs="Arial"/>
          <w:color w:val="000000" w:themeColor="text1"/>
          <w:sz w:val="20"/>
          <w:szCs w:val="20"/>
        </w:rPr>
        <w:t xml:space="preserve"> of soybean stood at an impressive 4.01 per cent</w:t>
      </w:r>
      <w:r w:rsidR="00CC30BB" w:rsidRPr="00295062">
        <w:rPr>
          <w:rFonts w:ascii="Arial" w:hAnsi="Arial" w:cs="Arial"/>
          <w:color w:val="000000" w:themeColor="text1"/>
          <w:sz w:val="20"/>
          <w:szCs w:val="20"/>
        </w:rPr>
        <w:t xml:space="preserve"> and 3.94 per cent</w:t>
      </w:r>
      <w:r w:rsidRPr="00295062">
        <w:rPr>
          <w:rFonts w:ascii="Arial" w:hAnsi="Arial" w:cs="Arial"/>
          <w:color w:val="000000" w:themeColor="text1"/>
          <w:sz w:val="20"/>
          <w:szCs w:val="20"/>
        </w:rPr>
        <w:t xml:space="preserve">, with a significance level of one per cent. This indicated a noteworthy average annual expansion of the area </w:t>
      </w:r>
      <w:r w:rsidR="00CC30BB" w:rsidRPr="00295062">
        <w:rPr>
          <w:rFonts w:ascii="Arial" w:hAnsi="Arial" w:cs="Arial"/>
          <w:color w:val="000000" w:themeColor="text1"/>
          <w:sz w:val="20"/>
          <w:szCs w:val="20"/>
        </w:rPr>
        <w:t xml:space="preserve">and production </w:t>
      </w:r>
      <w:r w:rsidRPr="00295062">
        <w:rPr>
          <w:rFonts w:ascii="Arial" w:hAnsi="Arial" w:cs="Arial"/>
          <w:color w:val="000000" w:themeColor="text1"/>
          <w:sz w:val="20"/>
          <w:szCs w:val="20"/>
        </w:rPr>
        <w:t xml:space="preserve">by 4 per cent. The productivity of soybean in India was non-significant throughout the period, increasing negatively by 0.07 per cent, </w:t>
      </w:r>
      <w:r w:rsidR="00CC30BB" w:rsidRPr="00295062">
        <w:rPr>
          <w:rFonts w:ascii="Arial" w:hAnsi="Arial" w:cs="Arial"/>
          <w:color w:val="000000" w:themeColor="text1"/>
          <w:sz w:val="20"/>
          <w:szCs w:val="20"/>
        </w:rPr>
        <w:t>indicated the</w:t>
      </w:r>
      <w:r w:rsidRPr="00295062">
        <w:rPr>
          <w:rFonts w:ascii="Arial" w:hAnsi="Arial" w:cs="Arial"/>
          <w:color w:val="000000" w:themeColor="text1"/>
          <w:sz w:val="20"/>
          <w:szCs w:val="20"/>
        </w:rPr>
        <w:t xml:space="preserve"> stagnation in yield per hectare. The production increase is attributed to area expansion only.</w:t>
      </w:r>
      <w:r w:rsidR="00AD501D">
        <w:rPr>
          <w:rFonts w:ascii="Arial" w:hAnsi="Arial" w:cs="Arial"/>
          <w:color w:val="000000" w:themeColor="text1"/>
          <w:sz w:val="20"/>
          <w:szCs w:val="20"/>
        </w:rPr>
        <w:t xml:space="preserve"> A similar result was found by </w:t>
      </w:r>
      <w:r w:rsidR="00AD501D" w:rsidRPr="00232C63">
        <w:rPr>
          <w:rFonts w:ascii="Arial" w:hAnsi="Arial" w:cs="Arial"/>
          <w:color w:val="000000" w:themeColor="text1"/>
          <w:sz w:val="20"/>
          <w:szCs w:val="20"/>
          <w:lang w:eastAsia="en-IN" w:bidi="mr-IN"/>
        </w:rPr>
        <w:t>Qiao</w:t>
      </w:r>
      <w:r w:rsidR="00AD501D">
        <w:rPr>
          <w:rFonts w:ascii="Arial" w:hAnsi="Arial" w:cs="Arial"/>
          <w:color w:val="000000" w:themeColor="text1"/>
          <w:sz w:val="20"/>
          <w:szCs w:val="20"/>
          <w:lang w:eastAsia="en-IN" w:bidi="mr-IN"/>
        </w:rPr>
        <w:t xml:space="preserve"> </w:t>
      </w:r>
      <w:r w:rsidR="00AD501D" w:rsidRPr="00AD501D">
        <w:rPr>
          <w:rFonts w:ascii="Arial" w:hAnsi="Arial" w:cs="Arial"/>
          <w:i/>
          <w:iCs/>
          <w:color w:val="000000" w:themeColor="text1"/>
          <w:sz w:val="20"/>
          <w:szCs w:val="20"/>
          <w:lang w:eastAsia="en-IN" w:bidi="mr-IN"/>
        </w:rPr>
        <w:t>et al.</w:t>
      </w:r>
      <w:r w:rsidR="00AD501D">
        <w:rPr>
          <w:rFonts w:ascii="Arial" w:hAnsi="Arial" w:cs="Arial"/>
          <w:i/>
          <w:iCs/>
          <w:color w:val="000000" w:themeColor="text1"/>
          <w:sz w:val="20"/>
          <w:szCs w:val="20"/>
          <w:lang w:eastAsia="en-IN" w:bidi="mr-IN"/>
        </w:rPr>
        <w:t xml:space="preserve"> </w:t>
      </w:r>
      <w:r w:rsidR="00AD501D">
        <w:rPr>
          <w:rFonts w:ascii="Arial" w:hAnsi="Arial" w:cs="Arial"/>
          <w:color w:val="000000" w:themeColor="text1"/>
          <w:sz w:val="20"/>
          <w:szCs w:val="20"/>
          <w:lang w:eastAsia="en-IN" w:bidi="mr-IN"/>
        </w:rPr>
        <w:t xml:space="preserve">(2023). </w:t>
      </w:r>
    </w:p>
    <w:p w14:paraId="5FCF9C75" w14:textId="56D97D78" w:rsidR="008816B2" w:rsidRPr="00295062" w:rsidRDefault="008816B2" w:rsidP="00D13B0A">
      <w:pPr>
        <w:spacing w:after="120" w:line="240" w:lineRule="auto"/>
        <w:ind w:firstLine="720"/>
        <w:jc w:val="both"/>
        <w:rPr>
          <w:rFonts w:ascii="Arial" w:hAnsi="Arial" w:cs="Arial"/>
          <w:color w:val="000000" w:themeColor="text1"/>
          <w:sz w:val="20"/>
          <w:szCs w:val="20"/>
        </w:rPr>
      </w:pPr>
      <w:r w:rsidRPr="00295062">
        <w:rPr>
          <w:rFonts w:ascii="Arial" w:hAnsi="Arial" w:cs="Arial"/>
          <w:color w:val="000000" w:themeColor="text1"/>
          <w:sz w:val="20"/>
          <w:szCs w:val="20"/>
        </w:rPr>
        <w:t xml:space="preserve">The Cuddy Della Valle instability index revealed a medium instability of soybean production which stood at 17.36 per cent, indicating relatively stable trends. Area instability was even lower, at 8.67 per cent. Productivity instability was measured at 14.13 per cent. It </w:t>
      </w:r>
      <w:r w:rsidR="000A1A9C" w:rsidRPr="00295062">
        <w:rPr>
          <w:rFonts w:ascii="Arial" w:hAnsi="Arial" w:cs="Arial"/>
          <w:color w:val="000000" w:themeColor="text1"/>
          <w:sz w:val="20"/>
          <w:szCs w:val="20"/>
        </w:rPr>
        <w:t xml:space="preserve">indicated that the </w:t>
      </w:r>
      <w:r w:rsidRPr="00295062">
        <w:rPr>
          <w:rFonts w:ascii="Arial" w:hAnsi="Arial" w:cs="Arial"/>
          <w:color w:val="000000" w:themeColor="text1"/>
          <w:sz w:val="20"/>
          <w:szCs w:val="20"/>
        </w:rPr>
        <w:t xml:space="preserve">intra year variation was less in area compare to production and productivity. </w:t>
      </w:r>
    </w:p>
    <w:p w14:paraId="3AB211B7" w14:textId="291E6C9A" w:rsidR="008816B2" w:rsidRPr="00295062" w:rsidRDefault="008816B2" w:rsidP="00D13B0A">
      <w:pPr>
        <w:spacing w:after="120" w:line="240" w:lineRule="auto"/>
        <w:ind w:firstLine="720"/>
        <w:jc w:val="both"/>
        <w:rPr>
          <w:rFonts w:ascii="Arial" w:hAnsi="Arial" w:cs="Arial"/>
          <w:b/>
          <w:bCs/>
          <w:color w:val="000000" w:themeColor="text1"/>
          <w:sz w:val="20"/>
          <w:szCs w:val="20"/>
        </w:rPr>
      </w:pPr>
      <w:r w:rsidRPr="00295062">
        <w:rPr>
          <w:rFonts w:ascii="Arial" w:hAnsi="Arial" w:cs="Arial"/>
          <w:color w:val="000000" w:themeColor="text1"/>
          <w:sz w:val="20"/>
          <w:szCs w:val="20"/>
        </w:rPr>
        <w:t xml:space="preserve">The analysis reveals that the growth in soybean production was primarily due to area expansion, while productivity declined during the period. </w:t>
      </w:r>
    </w:p>
    <w:p w14:paraId="5C5E71D2" w14:textId="7C2BE26D" w:rsidR="008816B2" w:rsidRPr="00095C62" w:rsidRDefault="00CC30BB" w:rsidP="00D13B0A">
      <w:pPr>
        <w:widowControl w:val="0"/>
        <w:autoSpaceDE w:val="0"/>
        <w:autoSpaceDN w:val="0"/>
        <w:spacing w:after="120" w:line="240" w:lineRule="auto"/>
        <w:ind w:left="1440" w:hanging="1440"/>
        <w:jc w:val="both"/>
        <w:rPr>
          <w:rFonts w:ascii="Arial" w:eastAsiaTheme="minorEastAsia" w:hAnsi="Arial" w:cs="Arial"/>
          <w:b/>
          <w:bCs/>
          <w:color w:val="000000" w:themeColor="text1"/>
          <w:kern w:val="0"/>
          <w14:ligatures w14:val="none"/>
        </w:rPr>
      </w:pPr>
      <w:r w:rsidRPr="00095C62">
        <w:rPr>
          <w:rFonts w:ascii="Arial" w:eastAsiaTheme="minorEastAsia" w:hAnsi="Arial" w:cs="Arial"/>
          <w:b/>
          <w:bCs/>
          <w:color w:val="000000" w:themeColor="text1"/>
          <w:kern w:val="0"/>
          <w14:ligatures w14:val="none"/>
        </w:rPr>
        <w:t>Table 2</w:t>
      </w:r>
      <w:r w:rsidRPr="00095C62">
        <w:rPr>
          <w:rFonts w:ascii="Arial" w:eastAsiaTheme="minorEastAsia" w:hAnsi="Arial" w:cs="Arial"/>
          <w:b/>
          <w:bCs/>
          <w:color w:val="000000" w:themeColor="text1"/>
          <w:kern w:val="0"/>
          <w14:ligatures w14:val="none"/>
        </w:rPr>
        <w:tab/>
      </w:r>
      <w:r w:rsidR="008816B2" w:rsidRPr="00095C62">
        <w:rPr>
          <w:rFonts w:ascii="Arial" w:eastAsiaTheme="minorEastAsia" w:hAnsi="Arial" w:cs="Arial"/>
          <w:b/>
          <w:bCs/>
          <w:color w:val="000000" w:themeColor="text1"/>
          <w:kern w:val="0"/>
          <w14:ligatures w14:val="none"/>
        </w:rPr>
        <w:t xml:space="preserve">Growth and Instability in Area, Production and Productivity of Soybean in India </w:t>
      </w:r>
    </w:p>
    <w:tbl>
      <w:tblPr>
        <w:tblStyle w:val="TableGrid"/>
        <w:tblW w:w="0" w:type="auto"/>
        <w:jc w:val="center"/>
        <w:tblLook w:val="04A0" w:firstRow="1" w:lastRow="0" w:firstColumn="1" w:lastColumn="0" w:noHBand="0" w:noVBand="1"/>
      </w:tblPr>
      <w:tblGrid>
        <w:gridCol w:w="2065"/>
        <w:gridCol w:w="1700"/>
        <w:gridCol w:w="1300"/>
        <w:gridCol w:w="1520"/>
      </w:tblGrid>
      <w:tr w:rsidR="008816B2" w:rsidRPr="00295062" w14:paraId="493BB5CA" w14:textId="77777777" w:rsidTr="000A1A9C">
        <w:trPr>
          <w:trHeight w:val="288"/>
          <w:jc w:val="center"/>
        </w:trPr>
        <w:tc>
          <w:tcPr>
            <w:tcW w:w="2065" w:type="dxa"/>
            <w:noWrap/>
            <w:vAlign w:val="center"/>
            <w:hideMark/>
          </w:tcPr>
          <w:p w14:paraId="2E41650C"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Particulars</w:t>
            </w:r>
          </w:p>
        </w:tc>
        <w:tc>
          <w:tcPr>
            <w:tcW w:w="1700" w:type="dxa"/>
            <w:noWrap/>
            <w:vAlign w:val="center"/>
            <w:hideMark/>
          </w:tcPr>
          <w:p w14:paraId="1DCE5C72"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Area</w:t>
            </w:r>
          </w:p>
        </w:tc>
        <w:tc>
          <w:tcPr>
            <w:tcW w:w="1300" w:type="dxa"/>
            <w:noWrap/>
            <w:vAlign w:val="center"/>
            <w:hideMark/>
          </w:tcPr>
          <w:p w14:paraId="10BD4826"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Production</w:t>
            </w:r>
          </w:p>
        </w:tc>
        <w:tc>
          <w:tcPr>
            <w:tcW w:w="1520" w:type="dxa"/>
            <w:noWrap/>
            <w:vAlign w:val="center"/>
            <w:hideMark/>
          </w:tcPr>
          <w:p w14:paraId="48859F43"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Productivity</w:t>
            </w:r>
          </w:p>
        </w:tc>
      </w:tr>
      <w:tr w:rsidR="008816B2" w:rsidRPr="00295062" w14:paraId="6D8484CF" w14:textId="77777777" w:rsidTr="000A1A9C">
        <w:trPr>
          <w:trHeight w:val="312"/>
          <w:jc w:val="center"/>
        </w:trPr>
        <w:tc>
          <w:tcPr>
            <w:tcW w:w="2065" w:type="dxa"/>
            <w:noWrap/>
            <w:vAlign w:val="center"/>
            <w:hideMark/>
          </w:tcPr>
          <w:p w14:paraId="12B9E82B"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CAGR</w:t>
            </w:r>
          </w:p>
        </w:tc>
        <w:tc>
          <w:tcPr>
            <w:tcW w:w="1700" w:type="dxa"/>
            <w:noWrap/>
            <w:vAlign w:val="center"/>
            <w:hideMark/>
          </w:tcPr>
          <w:p w14:paraId="010C6EAD"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4.01 ***</w:t>
            </w:r>
          </w:p>
        </w:tc>
        <w:tc>
          <w:tcPr>
            <w:tcW w:w="1300" w:type="dxa"/>
            <w:noWrap/>
            <w:vAlign w:val="center"/>
            <w:hideMark/>
          </w:tcPr>
          <w:p w14:paraId="54FE8709"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3.94 ***</w:t>
            </w:r>
          </w:p>
        </w:tc>
        <w:tc>
          <w:tcPr>
            <w:tcW w:w="1520" w:type="dxa"/>
            <w:noWrap/>
            <w:vAlign w:val="center"/>
            <w:hideMark/>
          </w:tcPr>
          <w:p w14:paraId="438F5A35"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 xml:space="preserve">-0.07 </w:t>
            </w:r>
          </w:p>
        </w:tc>
      </w:tr>
      <w:tr w:rsidR="008816B2" w:rsidRPr="00295062" w14:paraId="4FA29FCA" w14:textId="77777777" w:rsidTr="000A1A9C">
        <w:trPr>
          <w:trHeight w:val="312"/>
          <w:jc w:val="center"/>
        </w:trPr>
        <w:tc>
          <w:tcPr>
            <w:tcW w:w="2065" w:type="dxa"/>
            <w:noWrap/>
            <w:vAlign w:val="center"/>
            <w:hideMark/>
          </w:tcPr>
          <w:p w14:paraId="0FE7E613"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CV</w:t>
            </w:r>
          </w:p>
        </w:tc>
        <w:tc>
          <w:tcPr>
            <w:tcW w:w="1700" w:type="dxa"/>
            <w:noWrap/>
            <w:vAlign w:val="center"/>
            <w:hideMark/>
          </w:tcPr>
          <w:p w14:paraId="4E721788"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32.78</w:t>
            </w:r>
          </w:p>
        </w:tc>
        <w:tc>
          <w:tcPr>
            <w:tcW w:w="1300" w:type="dxa"/>
            <w:noWrap/>
            <w:vAlign w:val="center"/>
            <w:hideMark/>
          </w:tcPr>
          <w:p w14:paraId="09FD91D4"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35.57</w:t>
            </w:r>
          </w:p>
        </w:tc>
        <w:tc>
          <w:tcPr>
            <w:tcW w:w="1520" w:type="dxa"/>
            <w:noWrap/>
            <w:vAlign w:val="center"/>
            <w:hideMark/>
          </w:tcPr>
          <w:p w14:paraId="5FD02830"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14.13</w:t>
            </w:r>
          </w:p>
        </w:tc>
      </w:tr>
      <w:tr w:rsidR="008816B2" w:rsidRPr="00295062" w14:paraId="56FE171C" w14:textId="77777777" w:rsidTr="000A1A9C">
        <w:trPr>
          <w:trHeight w:val="324"/>
          <w:jc w:val="center"/>
        </w:trPr>
        <w:tc>
          <w:tcPr>
            <w:tcW w:w="2065" w:type="dxa"/>
            <w:noWrap/>
            <w:vAlign w:val="center"/>
            <w:hideMark/>
          </w:tcPr>
          <w:p w14:paraId="2CD8E6DE"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CDVI</w:t>
            </w:r>
          </w:p>
        </w:tc>
        <w:tc>
          <w:tcPr>
            <w:tcW w:w="1700" w:type="dxa"/>
            <w:noWrap/>
            <w:vAlign w:val="center"/>
            <w:hideMark/>
          </w:tcPr>
          <w:p w14:paraId="181DAE5D"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8.67</w:t>
            </w:r>
          </w:p>
        </w:tc>
        <w:tc>
          <w:tcPr>
            <w:tcW w:w="1300" w:type="dxa"/>
            <w:noWrap/>
            <w:vAlign w:val="center"/>
            <w:hideMark/>
          </w:tcPr>
          <w:p w14:paraId="45B6E5D9"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17.36</w:t>
            </w:r>
          </w:p>
        </w:tc>
        <w:tc>
          <w:tcPr>
            <w:tcW w:w="1520" w:type="dxa"/>
            <w:noWrap/>
            <w:vAlign w:val="center"/>
            <w:hideMark/>
          </w:tcPr>
          <w:p w14:paraId="149C9B4A" w14:textId="77777777" w:rsidR="008816B2" w:rsidRPr="00295062" w:rsidRDefault="008816B2" w:rsidP="00D13B0A">
            <w:pPr>
              <w:jc w:val="center"/>
              <w:rPr>
                <w:rFonts w:ascii="Arial" w:hAnsi="Arial" w:cs="Arial"/>
                <w:b w:val="0"/>
                <w:bCs w:val="0"/>
                <w:color w:val="000000" w:themeColor="text1"/>
                <w:sz w:val="20"/>
                <w:szCs w:val="20"/>
              </w:rPr>
            </w:pPr>
            <w:r w:rsidRPr="00295062">
              <w:rPr>
                <w:rFonts w:ascii="Arial" w:hAnsi="Arial" w:cs="Arial"/>
                <w:b w:val="0"/>
                <w:bCs w:val="0"/>
                <w:color w:val="000000" w:themeColor="text1"/>
                <w:sz w:val="20"/>
                <w:szCs w:val="20"/>
              </w:rPr>
              <w:t>14.12</w:t>
            </w:r>
          </w:p>
        </w:tc>
      </w:tr>
    </w:tbl>
    <w:p w14:paraId="76E669E2" w14:textId="005BF545" w:rsidR="00157149" w:rsidRPr="00295062" w:rsidRDefault="008816B2" w:rsidP="00D13B0A">
      <w:pPr>
        <w:spacing w:before="120" w:after="120" w:line="240" w:lineRule="auto"/>
        <w:jc w:val="both"/>
        <w:rPr>
          <w:rFonts w:ascii="Arial" w:hAnsi="Arial" w:cs="Arial"/>
          <w:i/>
          <w:iCs/>
          <w:color w:val="000000" w:themeColor="text1"/>
          <w:sz w:val="20"/>
          <w:szCs w:val="20"/>
        </w:rPr>
      </w:pPr>
      <w:r w:rsidRPr="00295062">
        <w:rPr>
          <w:rFonts w:ascii="Arial" w:hAnsi="Arial" w:cs="Arial"/>
          <w:i/>
          <w:iCs/>
          <w:color w:val="000000" w:themeColor="text1"/>
          <w:sz w:val="20"/>
          <w:szCs w:val="20"/>
        </w:rPr>
        <w:t>*** Significant at 1 per cent</w:t>
      </w:r>
      <w:r w:rsidR="00157149" w:rsidRPr="00295062">
        <w:rPr>
          <w:rFonts w:ascii="Arial" w:hAnsi="Arial" w:cs="Arial"/>
          <w:i/>
          <w:iCs/>
          <w:color w:val="000000" w:themeColor="text1"/>
          <w:sz w:val="20"/>
          <w:szCs w:val="20"/>
        </w:rPr>
        <w:t xml:space="preserve"> </w:t>
      </w:r>
      <w:r w:rsidRPr="00295062">
        <w:rPr>
          <w:rFonts w:ascii="Arial" w:hAnsi="Arial" w:cs="Arial"/>
          <w:i/>
          <w:iCs/>
          <w:color w:val="000000" w:themeColor="text1"/>
          <w:sz w:val="20"/>
          <w:szCs w:val="20"/>
        </w:rPr>
        <w:t>level</w:t>
      </w:r>
      <w:bookmarkStart w:id="3" w:name="_Hlk175482110"/>
      <w:r w:rsidR="00157149" w:rsidRPr="00295062">
        <w:rPr>
          <w:rFonts w:ascii="Arial" w:hAnsi="Arial" w:cs="Arial"/>
          <w:i/>
          <w:iCs/>
          <w:color w:val="000000" w:themeColor="text1"/>
          <w:sz w:val="20"/>
          <w:szCs w:val="20"/>
        </w:rPr>
        <w:t xml:space="preserve"> of significance</w:t>
      </w:r>
    </w:p>
    <w:p w14:paraId="35C193D8" w14:textId="77777777" w:rsidR="00BA625C" w:rsidRDefault="00BA625C" w:rsidP="00D13B0A">
      <w:pPr>
        <w:spacing w:before="120" w:after="120" w:line="240" w:lineRule="auto"/>
        <w:jc w:val="both"/>
        <w:rPr>
          <w:rFonts w:ascii="Arial" w:eastAsiaTheme="minorEastAsia" w:hAnsi="Arial" w:cs="Arial"/>
          <w:b/>
          <w:bCs/>
          <w:color w:val="000000" w:themeColor="text1"/>
          <w:kern w:val="0"/>
          <w14:ligatures w14:val="none"/>
        </w:rPr>
      </w:pPr>
    </w:p>
    <w:p w14:paraId="3A0482DB" w14:textId="74EFFCC9" w:rsidR="008816B2" w:rsidRPr="00095C62" w:rsidRDefault="008816B2" w:rsidP="00D13B0A">
      <w:pPr>
        <w:spacing w:before="120" w:after="120" w:line="240" w:lineRule="auto"/>
        <w:jc w:val="both"/>
        <w:rPr>
          <w:rFonts w:ascii="Arial" w:eastAsiaTheme="minorEastAsia" w:hAnsi="Arial" w:cs="Arial"/>
          <w:b/>
          <w:bCs/>
          <w:color w:val="000000" w:themeColor="text1"/>
          <w:kern w:val="0"/>
          <w14:ligatures w14:val="none"/>
        </w:rPr>
      </w:pPr>
      <w:r w:rsidRPr="00095C62">
        <w:rPr>
          <w:rFonts w:ascii="Arial" w:eastAsiaTheme="minorEastAsia" w:hAnsi="Arial" w:cs="Arial"/>
          <w:b/>
          <w:bCs/>
          <w:color w:val="000000" w:themeColor="text1"/>
          <w:kern w:val="0"/>
          <w14:ligatures w14:val="none"/>
        </w:rPr>
        <w:lastRenderedPageBreak/>
        <w:t>Import of Soybean</w:t>
      </w:r>
    </w:p>
    <w:bookmarkEnd w:id="3"/>
    <w:p w14:paraId="5A1CCE65" w14:textId="084D73DD" w:rsidR="008816B2" w:rsidRPr="00295062" w:rsidRDefault="008816B2" w:rsidP="00D13B0A">
      <w:pPr>
        <w:spacing w:after="0" w:line="240" w:lineRule="auto"/>
        <w:ind w:firstLine="720"/>
        <w:jc w:val="both"/>
        <w:rPr>
          <w:rFonts w:ascii="Arial" w:eastAsia="Times New Roman" w:hAnsi="Arial" w:cs="Arial"/>
          <w:color w:val="000000" w:themeColor="text1"/>
          <w:kern w:val="0"/>
          <w:sz w:val="20"/>
          <w:szCs w:val="20"/>
          <w:lang w:bidi="mr-IN"/>
          <w14:ligatures w14:val="none"/>
        </w:rPr>
      </w:pPr>
      <w:r w:rsidRPr="00295062">
        <w:rPr>
          <w:rFonts w:ascii="Arial" w:eastAsia="Times New Roman" w:hAnsi="Arial" w:cs="Arial"/>
          <w:color w:val="000000" w:themeColor="text1"/>
          <w:kern w:val="0"/>
          <w:sz w:val="20"/>
          <w:szCs w:val="20"/>
          <w:lang w:bidi="mr-IN"/>
          <w14:ligatures w14:val="none"/>
        </w:rPr>
        <w:t xml:space="preserve">India's soybean imports exhibited substantial fluctuations from 2000 to 2022, as shown in Table </w:t>
      </w:r>
      <w:r w:rsidR="00FC1941" w:rsidRPr="00295062">
        <w:rPr>
          <w:rFonts w:ascii="Arial" w:eastAsia="Times New Roman" w:hAnsi="Arial" w:cs="Arial"/>
          <w:color w:val="000000" w:themeColor="text1"/>
          <w:kern w:val="0"/>
          <w:sz w:val="20"/>
          <w:szCs w:val="20"/>
          <w:lang w:bidi="mr-IN"/>
          <w14:ligatures w14:val="none"/>
        </w:rPr>
        <w:t>3</w:t>
      </w:r>
      <w:r w:rsidRPr="00295062">
        <w:rPr>
          <w:rFonts w:ascii="Arial" w:eastAsia="Times New Roman" w:hAnsi="Arial" w:cs="Arial"/>
          <w:color w:val="000000" w:themeColor="text1"/>
          <w:kern w:val="0"/>
          <w:sz w:val="20"/>
          <w:szCs w:val="20"/>
          <w:lang w:bidi="mr-IN"/>
          <w14:ligatures w14:val="none"/>
        </w:rPr>
        <w:t xml:space="preserve">.  </w:t>
      </w:r>
      <w:r w:rsidR="00CC30BB" w:rsidRPr="00295062">
        <w:rPr>
          <w:rFonts w:ascii="Arial" w:eastAsia="Times New Roman" w:hAnsi="Arial" w:cs="Arial"/>
          <w:color w:val="000000" w:themeColor="text1"/>
          <w:kern w:val="0"/>
          <w:sz w:val="20"/>
          <w:szCs w:val="20"/>
          <w:lang w:bidi="mr-IN"/>
          <w14:ligatures w14:val="none"/>
        </w:rPr>
        <w:t>T</w:t>
      </w:r>
      <w:r w:rsidRPr="00295062">
        <w:rPr>
          <w:rFonts w:ascii="Arial" w:eastAsia="Times New Roman" w:hAnsi="Arial" w:cs="Arial"/>
          <w:color w:val="000000" w:themeColor="text1"/>
          <w:kern w:val="0"/>
          <w:sz w:val="20"/>
          <w:szCs w:val="20"/>
          <w:lang w:bidi="mr-IN"/>
          <w14:ligatures w14:val="none"/>
        </w:rPr>
        <w:t xml:space="preserve">he initial imports were negligible, recording </w:t>
      </w:r>
      <w:r w:rsidR="00C9760D">
        <w:rPr>
          <w:rFonts w:ascii="Arial" w:eastAsia="Times New Roman" w:hAnsi="Arial" w:cs="Arial"/>
          <w:color w:val="000000" w:themeColor="text1"/>
          <w:kern w:val="0"/>
          <w:sz w:val="20"/>
          <w:szCs w:val="20"/>
          <w:lang w:bidi="mr-IN"/>
          <w14:ligatures w14:val="none"/>
        </w:rPr>
        <w:t>80</w:t>
      </w:r>
      <w:r w:rsidRPr="00295062">
        <w:rPr>
          <w:rFonts w:ascii="Arial" w:eastAsia="Times New Roman" w:hAnsi="Arial" w:cs="Arial"/>
          <w:color w:val="000000" w:themeColor="text1"/>
          <w:kern w:val="0"/>
          <w:sz w:val="20"/>
          <w:szCs w:val="20"/>
          <w:lang w:bidi="mr-IN"/>
          <w14:ligatures w14:val="none"/>
        </w:rPr>
        <w:t xml:space="preserve"> metric tonnes. Over the base year 2000, imports grew by 51.98 per cent in 2001, reaching 11</w:t>
      </w:r>
      <w:r w:rsidR="00C9760D">
        <w:rPr>
          <w:rFonts w:ascii="Arial" w:eastAsia="Times New Roman" w:hAnsi="Arial" w:cs="Arial"/>
          <w:color w:val="000000" w:themeColor="text1"/>
          <w:kern w:val="0"/>
          <w:sz w:val="20"/>
          <w:szCs w:val="20"/>
          <w:lang w:bidi="mr-IN"/>
          <w14:ligatures w14:val="none"/>
        </w:rPr>
        <w:t>0</w:t>
      </w:r>
      <w:r w:rsidRPr="00295062">
        <w:rPr>
          <w:rFonts w:ascii="Arial" w:eastAsia="Times New Roman" w:hAnsi="Arial" w:cs="Arial"/>
          <w:color w:val="000000" w:themeColor="text1"/>
          <w:kern w:val="0"/>
          <w:sz w:val="20"/>
          <w:szCs w:val="20"/>
          <w:lang w:bidi="mr-IN"/>
          <w14:ligatures w14:val="none"/>
        </w:rPr>
        <w:t xml:space="preserve"> thousand metric tonnes. However, this upward trend was short-lived, as imports drastically declined by 99.67 per cent in 2002, to a mere </w:t>
      </w:r>
      <w:r w:rsidR="00C9760D">
        <w:rPr>
          <w:rFonts w:ascii="Arial" w:eastAsia="Times New Roman" w:hAnsi="Arial" w:cs="Arial"/>
          <w:color w:val="000000" w:themeColor="text1"/>
          <w:kern w:val="0"/>
          <w:sz w:val="20"/>
          <w:szCs w:val="20"/>
          <w:lang w:bidi="mr-IN"/>
          <w14:ligatures w14:val="none"/>
        </w:rPr>
        <w:t>0.</w:t>
      </w:r>
      <w:r w:rsidRPr="00295062">
        <w:rPr>
          <w:rFonts w:ascii="Arial" w:eastAsia="Times New Roman" w:hAnsi="Arial" w:cs="Arial"/>
          <w:color w:val="000000" w:themeColor="text1"/>
          <w:kern w:val="0"/>
          <w:sz w:val="20"/>
          <w:szCs w:val="20"/>
          <w:lang w:bidi="mr-IN"/>
          <w14:ligatures w14:val="none"/>
        </w:rPr>
        <w:t xml:space="preserve">25 </w:t>
      </w:r>
      <w:r w:rsidR="00C9760D" w:rsidRPr="00295062">
        <w:rPr>
          <w:rFonts w:ascii="Arial" w:eastAsia="Times New Roman" w:hAnsi="Arial" w:cs="Arial"/>
          <w:color w:val="000000" w:themeColor="text1"/>
          <w:kern w:val="0"/>
          <w:sz w:val="20"/>
          <w:szCs w:val="20"/>
          <w:lang w:bidi="mr-IN"/>
          <w14:ligatures w14:val="none"/>
        </w:rPr>
        <w:t>metric tonnes</w:t>
      </w:r>
      <w:r w:rsidRPr="00295062">
        <w:rPr>
          <w:rFonts w:ascii="Arial" w:eastAsia="Times New Roman" w:hAnsi="Arial" w:cs="Arial"/>
          <w:color w:val="000000" w:themeColor="text1"/>
          <w:kern w:val="0"/>
          <w:sz w:val="20"/>
          <w:szCs w:val="20"/>
          <w:lang w:bidi="mr-IN"/>
          <w14:ligatures w14:val="none"/>
        </w:rPr>
        <w:t xml:space="preserve">. This negligible import level persisted until 2006. </w:t>
      </w:r>
    </w:p>
    <w:p w14:paraId="1E26D36F" w14:textId="5B05110E" w:rsidR="008816B2" w:rsidRPr="00295062" w:rsidRDefault="008816B2" w:rsidP="00D13B0A">
      <w:pPr>
        <w:spacing w:after="0" w:line="240" w:lineRule="auto"/>
        <w:ind w:firstLine="720"/>
        <w:jc w:val="both"/>
        <w:rPr>
          <w:rFonts w:ascii="Arial" w:eastAsia="Times New Roman" w:hAnsi="Arial" w:cs="Arial"/>
          <w:color w:val="000000" w:themeColor="text1"/>
          <w:kern w:val="0"/>
          <w:sz w:val="20"/>
          <w:szCs w:val="20"/>
          <w:lang w:bidi="mr-IN"/>
          <w14:ligatures w14:val="none"/>
        </w:rPr>
      </w:pPr>
      <w:r w:rsidRPr="00295062">
        <w:rPr>
          <w:rFonts w:ascii="Arial" w:eastAsia="Times New Roman" w:hAnsi="Arial" w:cs="Arial"/>
          <w:color w:val="000000" w:themeColor="text1"/>
          <w:kern w:val="0"/>
          <w:sz w:val="20"/>
          <w:szCs w:val="20"/>
          <w:lang w:bidi="mr-IN"/>
          <w14:ligatures w14:val="none"/>
        </w:rPr>
        <w:t xml:space="preserve">A turning point occurred in 2006, marking the beginning of a gradual increase. By 2012, imports had risen by </w:t>
      </w:r>
      <w:r w:rsidRPr="00295062">
        <w:rPr>
          <w:rFonts w:ascii="Arial" w:hAnsi="Arial" w:cs="Arial"/>
          <w:color w:val="000000" w:themeColor="text1"/>
          <w:sz w:val="20"/>
          <w:szCs w:val="20"/>
        </w:rPr>
        <w:t>1016.40</w:t>
      </w:r>
      <w:r w:rsidRPr="00295062">
        <w:rPr>
          <w:rFonts w:ascii="Arial" w:eastAsia="Times New Roman" w:hAnsi="Arial" w:cs="Arial"/>
          <w:color w:val="000000" w:themeColor="text1"/>
          <w:kern w:val="0"/>
          <w:sz w:val="20"/>
          <w:szCs w:val="20"/>
          <w:lang w:bidi="mr-IN"/>
          <w14:ligatures w14:val="none"/>
        </w:rPr>
        <w:t xml:space="preserve"> per cent over the base year, reaching 8</w:t>
      </w:r>
      <w:r w:rsidR="00C9760D">
        <w:rPr>
          <w:rFonts w:ascii="Arial" w:eastAsia="Times New Roman" w:hAnsi="Arial" w:cs="Arial"/>
          <w:color w:val="000000" w:themeColor="text1"/>
          <w:kern w:val="0"/>
          <w:sz w:val="20"/>
          <w:szCs w:val="20"/>
          <w:lang w:bidi="mr-IN"/>
          <w14:ligatures w14:val="none"/>
        </w:rPr>
        <w:t>0</w:t>
      </w:r>
      <w:r w:rsidRPr="00295062">
        <w:rPr>
          <w:rFonts w:ascii="Arial" w:eastAsia="Times New Roman" w:hAnsi="Arial" w:cs="Arial"/>
          <w:color w:val="000000" w:themeColor="text1"/>
          <w:kern w:val="0"/>
          <w:sz w:val="20"/>
          <w:szCs w:val="20"/>
          <w:lang w:bidi="mr-IN"/>
          <w14:ligatures w14:val="none"/>
        </w:rPr>
        <w:t>4 metric tonnes. The subsequent years saw remarkable increases in imports. The analysis of soybean imports trends revealed a significant increase in imports from 2014 onwards.</w:t>
      </w:r>
    </w:p>
    <w:p w14:paraId="5289FB86" w14:textId="1E62AD5E" w:rsidR="008816B2" w:rsidRPr="00295062" w:rsidRDefault="001F47EC" w:rsidP="00D13B0A">
      <w:pPr>
        <w:spacing w:after="120" w:line="240" w:lineRule="auto"/>
        <w:ind w:firstLine="720"/>
        <w:jc w:val="both"/>
        <w:rPr>
          <w:rFonts w:ascii="Arial" w:eastAsia="Times New Roman" w:hAnsi="Arial" w:cs="Arial"/>
          <w:color w:val="000000" w:themeColor="text1"/>
          <w:kern w:val="0"/>
          <w:sz w:val="20"/>
          <w:szCs w:val="20"/>
          <w:lang w:bidi="mr-IN"/>
          <w14:ligatures w14:val="none"/>
        </w:rPr>
      </w:pPr>
      <w:r w:rsidRPr="00295062">
        <w:rPr>
          <w:rFonts w:ascii="Arial" w:eastAsia="Times New Roman" w:hAnsi="Arial" w:cs="Arial"/>
          <w:color w:val="000000" w:themeColor="text1"/>
          <w:kern w:val="0"/>
          <w:sz w:val="20"/>
          <w:szCs w:val="20"/>
          <w:lang w:bidi="mr-IN"/>
          <w14:ligatures w14:val="none"/>
        </w:rPr>
        <w:t>T</w:t>
      </w:r>
      <w:r w:rsidR="008816B2" w:rsidRPr="00295062">
        <w:rPr>
          <w:rFonts w:ascii="Arial" w:eastAsia="Times New Roman" w:hAnsi="Arial" w:cs="Arial"/>
          <w:color w:val="000000" w:themeColor="text1"/>
          <w:kern w:val="0"/>
          <w:sz w:val="20"/>
          <w:szCs w:val="20"/>
          <w:lang w:bidi="mr-IN"/>
          <w14:ligatures w14:val="none"/>
        </w:rPr>
        <w:t xml:space="preserve">his significant fluctuation in imports was primarily attributed to decreased productivity, resulting in stagnation in production, and consequently, imports surged to meet domestic demand. A similar result was found by Persaud (2019). </w:t>
      </w:r>
      <w:r w:rsidR="00C9760D">
        <w:rPr>
          <w:rFonts w:ascii="Arial" w:eastAsia="Times New Roman" w:hAnsi="Arial" w:cs="Arial"/>
          <w:color w:val="000000" w:themeColor="text1"/>
          <w:kern w:val="0"/>
          <w:sz w:val="20"/>
          <w:szCs w:val="20"/>
          <w:lang w:bidi="mr-IN"/>
          <w14:ligatures w14:val="none"/>
        </w:rPr>
        <w:t xml:space="preserve"> </w:t>
      </w:r>
    </w:p>
    <w:p w14:paraId="12833859" w14:textId="6E58AAF2" w:rsidR="008816B2" w:rsidRDefault="00CC30BB" w:rsidP="00D13B0A">
      <w:pPr>
        <w:widowControl w:val="0"/>
        <w:autoSpaceDE w:val="0"/>
        <w:autoSpaceDN w:val="0"/>
        <w:spacing w:after="120" w:line="240" w:lineRule="auto"/>
        <w:jc w:val="both"/>
        <w:rPr>
          <w:rFonts w:ascii="Arial" w:eastAsiaTheme="minorEastAsia" w:hAnsi="Arial" w:cs="Arial"/>
          <w:b/>
          <w:bCs/>
          <w:color w:val="000000" w:themeColor="text1"/>
          <w:kern w:val="0"/>
          <w14:ligatures w14:val="none"/>
        </w:rPr>
      </w:pPr>
      <w:r w:rsidRPr="00095C62">
        <w:rPr>
          <w:rFonts w:ascii="Arial" w:eastAsiaTheme="minorEastAsia" w:hAnsi="Arial" w:cs="Arial"/>
          <w:b/>
          <w:bCs/>
          <w:color w:val="000000" w:themeColor="text1"/>
          <w:kern w:val="0"/>
          <w14:ligatures w14:val="none"/>
        </w:rPr>
        <w:t>Table 3</w:t>
      </w:r>
      <w:r w:rsidRPr="00095C62">
        <w:rPr>
          <w:rFonts w:ascii="Arial" w:eastAsiaTheme="minorEastAsia" w:hAnsi="Arial" w:cs="Arial"/>
          <w:b/>
          <w:bCs/>
          <w:color w:val="000000" w:themeColor="text1"/>
          <w:kern w:val="0"/>
          <w14:ligatures w14:val="none"/>
        </w:rPr>
        <w:tab/>
      </w:r>
      <w:r w:rsidR="008816B2" w:rsidRPr="00095C62">
        <w:rPr>
          <w:rFonts w:ascii="Arial" w:eastAsiaTheme="minorEastAsia" w:hAnsi="Arial" w:cs="Arial"/>
          <w:b/>
          <w:bCs/>
          <w:color w:val="000000" w:themeColor="text1"/>
          <w:kern w:val="0"/>
          <w14:ligatures w14:val="none"/>
        </w:rPr>
        <w:t xml:space="preserve">Import of Soybean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255"/>
        <w:gridCol w:w="2340"/>
      </w:tblGrid>
      <w:tr w:rsidR="008816B2" w:rsidRPr="0059757E" w14:paraId="5ED3911A" w14:textId="77777777" w:rsidTr="000A1A9C">
        <w:trPr>
          <w:trHeight w:val="20"/>
          <w:jc w:val="center"/>
        </w:trPr>
        <w:tc>
          <w:tcPr>
            <w:tcW w:w="1255" w:type="dxa"/>
            <w:noWrap/>
            <w:vAlign w:val="center"/>
            <w:hideMark/>
          </w:tcPr>
          <w:p w14:paraId="4F155AB0" w14:textId="77777777" w:rsidR="008816B2" w:rsidRPr="0059757E" w:rsidRDefault="008816B2" w:rsidP="00D13B0A">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Year</w:t>
            </w:r>
          </w:p>
        </w:tc>
        <w:tc>
          <w:tcPr>
            <w:tcW w:w="2255" w:type="dxa"/>
            <w:noWrap/>
            <w:vAlign w:val="center"/>
            <w:hideMark/>
          </w:tcPr>
          <w:p w14:paraId="01450029" w14:textId="77777777" w:rsidR="008816B2" w:rsidRPr="0059757E" w:rsidRDefault="008816B2" w:rsidP="00D13B0A">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Import Quantity</w:t>
            </w:r>
          </w:p>
          <w:p w14:paraId="4F23DFCA" w14:textId="7B11A1F1" w:rsidR="008816B2" w:rsidRPr="0059757E" w:rsidRDefault="00EA2E88" w:rsidP="00D13B0A">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w:t>
            </w:r>
            <w:r w:rsidR="008816B2" w:rsidRPr="0059757E">
              <w:rPr>
                <w:rFonts w:ascii="Arial" w:eastAsia="Times New Roman" w:hAnsi="Arial" w:cs="Arial"/>
                <w:color w:val="000000" w:themeColor="text1"/>
                <w:kern w:val="0"/>
                <w:sz w:val="20"/>
                <w:szCs w:val="20"/>
                <w:lang w:bidi="mr-IN"/>
                <w14:ligatures w14:val="none"/>
              </w:rPr>
              <w:t>MT)</w:t>
            </w:r>
          </w:p>
        </w:tc>
        <w:tc>
          <w:tcPr>
            <w:tcW w:w="2340" w:type="dxa"/>
            <w:noWrap/>
            <w:vAlign w:val="center"/>
            <w:hideMark/>
          </w:tcPr>
          <w:p w14:paraId="2E4D1962" w14:textId="77777777" w:rsidR="008816B2" w:rsidRPr="0059757E" w:rsidRDefault="008816B2" w:rsidP="00D13B0A">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Per Cent Change</w:t>
            </w:r>
          </w:p>
        </w:tc>
      </w:tr>
      <w:tr w:rsidR="0059757E" w:rsidRPr="0059757E" w14:paraId="32A54024" w14:textId="77777777" w:rsidTr="000A1A9C">
        <w:trPr>
          <w:trHeight w:val="20"/>
          <w:jc w:val="center"/>
        </w:trPr>
        <w:tc>
          <w:tcPr>
            <w:tcW w:w="1255" w:type="dxa"/>
            <w:shd w:val="clear" w:color="000000" w:fill="FFFFFF"/>
            <w:noWrap/>
            <w:vAlign w:val="center"/>
            <w:hideMark/>
          </w:tcPr>
          <w:p w14:paraId="75727DBD"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2000</w:t>
            </w:r>
          </w:p>
        </w:tc>
        <w:tc>
          <w:tcPr>
            <w:tcW w:w="2255" w:type="dxa"/>
            <w:shd w:val="clear" w:color="000000" w:fill="FFFFFF"/>
            <w:noWrap/>
            <w:vAlign w:val="center"/>
            <w:hideMark/>
          </w:tcPr>
          <w:p w14:paraId="444EC00F" w14:textId="77957663"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101112"/>
                <w:sz w:val="20"/>
                <w:szCs w:val="20"/>
              </w:rPr>
              <w:t>80.00</w:t>
            </w:r>
          </w:p>
        </w:tc>
        <w:tc>
          <w:tcPr>
            <w:tcW w:w="2340" w:type="dxa"/>
            <w:noWrap/>
            <w:vAlign w:val="center"/>
            <w:hideMark/>
          </w:tcPr>
          <w:p w14:paraId="1C2AD7CB"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w:t>
            </w:r>
          </w:p>
        </w:tc>
      </w:tr>
      <w:tr w:rsidR="0059757E" w:rsidRPr="0059757E" w14:paraId="3AE83C62" w14:textId="77777777" w:rsidTr="000A1A9C">
        <w:trPr>
          <w:trHeight w:val="20"/>
          <w:jc w:val="center"/>
        </w:trPr>
        <w:tc>
          <w:tcPr>
            <w:tcW w:w="1255" w:type="dxa"/>
            <w:noWrap/>
            <w:vAlign w:val="center"/>
            <w:hideMark/>
          </w:tcPr>
          <w:p w14:paraId="089A842A"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2001</w:t>
            </w:r>
          </w:p>
        </w:tc>
        <w:tc>
          <w:tcPr>
            <w:tcW w:w="2255" w:type="dxa"/>
            <w:noWrap/>
            <w:vAlign w:val="center"/>
            <w:hideMark/>
          </w:tcPr>
          <w:p w14:paraId="2ACD05FE" w14:textId="594F6B44"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101112"/>
                <w:sz w:val="20"/>
                <w:szCs w:val="20"/>
              </w:rPr>
              <w:t>110.00</w:t>
            </w:r>
          </w:p>
        </w:tc>
        <w:tc>
          <w:tcPr>
            <w:tcW w:w="2340" w:type="dxa"/>
            <w:noWrap/>
            <w:vAlign w:val="bottom"/>
            <w:hideMark/>
          </w:tcPr>
          <w:p w14:paraId="166BA6BC"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themeColor="text1"/>
                <w:sz w:val="20"/>
                <w:szCs w:val="20"/>
              </w:rPr>
              <w:t>51.98</w:t>
            </w:r>
          </w:p>
        </w:tc>
      </w:tr>
      <w:tr w:rsidR="0059757E" w:rsidRPr="0059757E" w14:paraId="5A90644D" w14:textId="77777777" w:rsidTr="000A1A9C">
        <w:trPr>
          <w:trHeight w:val="20"/>
          <w:jc w:val="center"/>
        </w:trPr>
        <w:tc>
          <w:tcPr>
            <w:tcW w:w="1255" w:type="dxa"/>
            <w:noWrap/>
            <w:vAlign w:val="center"/>
            <w:hideMark/>
          </w:tcPr>
          <w:p w14:paraId="7A615D61"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2002</w:t>
            </w:r>
          </w:p>
        </w:tc>
        <w:tc>
          <w:tcPr>
            <w:tcW w:w="2255" w:type="dxa"/>
            <w:noWrap/>
            <w:vAlign w:val="center"/>
            <w:hideMark/>
          </w:tcPr>
          <w:p w14:paraId="04485405" w14:textId="74F4640D"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sz w:val="20"/>
                <w:szCs w:val="20"/>
              </w:rPr>
              <w:t>0.25</w:t>
            </w:r>
          </w:p>
        </w:tc>
        <w:tc>
          <w:tcPr>
            <w:tcW w:w="2340" w:type="dxa"/>
            <w:noWrap/>
            <w:vAlign w:val="bottom"/>
            <w:hideMark/>
          </w:tcPr>
          <w:p w14:paraId="65CBE801"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themeColor="text1"/>
                <w:sz w:val="20"/>
                <w:szCs w:val="20"/>
              </w:rPr>
              <w:t>-99.67</w:t>
            </w:r>
          </w:p>
        </w:tc>
      </w:tr>
      <w:tr w:rsidR="0059757E" w:rsidRPr="0059757E" w14:paraId="5347A886" w14:textId="77777777" w:rsidTr="000A1A9C">
        <w:trPr>
          <w:trHeight w:val="20"/>
          <w:jc w:val="center"/>
        </w:trPr>
        <w:tc>
          <w:tcPr>
            <w:tcW w:w="1255" w:type="dxa"/>
            <w:noWrap/>
            <w:vAlign w:val="center"/>
            <w:hideMark/>
          </w:tcPr>
          <w:p w14:paraId="7064B410"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2003</w:t>
            </w:r>
          </w:p>
        </w:tc>
        <w:tc>
          <w:tcPr>
            <w:tcW w:w="2255" w:type="dxa"/>
            <w:noWrap/>
            <w:vAlign w:val="center"/>
            <w:hideMark/>
          </w:tcPr>
          <w:p w14:paraId="625CBEB3" w14:textId="05B69E79"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sz w:val="20"/>
                <w:szCs w:val="20"/>
              </w:rPr>
              <w:t>3.65</w:t>
            </w:r>
          </w:p>
        </w:tc>
        <w:tc>
          <w:tcPr>
            <w:tcW w:w="2340" w:type="dxa"/>
            <w:noWrap/>
            <w:vAlign w:val="bottom"/>
            <w:hideMark/>
          </w:tcPr>
          <w:p w14:paraId="1B0CC0A8"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themeColor="text1"/>
                <w:sz w:val="20"/>
                <w:szCs w:val="20"/>
              </w:rPr>
              <w:t>-95.13</w:t>
            </w:r>
          </w:p>
        </w:tc>
      </w:tr>
      <w:tr w:rsidR="0059757E" w:rsidRPr="0059757E" w14:paraId="35DCAB64" w14:textId="77777777" w:rsidTr="000A1A9C">
        <w:trPr>
          <w:trHeight w:val="20"/>
          <w:jc w:val="center"/>
        </w:trPr>
        <w:tc>
          <w:tcPr>
            <w:tcW w:w="1255" w:type="dxa"/>
            <w:noWrap/>
            <w:vAlign w:val="center"/>
            <w:hideMark/>
          </w:tcPr>
          <w:p w14:paraId="7F18FF0F"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2004</w:t>
            </w:r>
          </w:p>
        </w:tc>
        <w:tc>
          <w:tcPr>
            <w:tcW w:w="2255" w:type="dxa"/>
            <w:noWrap/>
            <w:vAlign w:val="center"/>
            <w:hideMark/>
          </w:tcPr>
          <w:p w14:paraId="7CFDCF3E" w14:textId="37929E8B"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sz w:val="20"/>
                <w:szCs w:val="20"/>
              </w:rPr>
              <w:t>0.14</w:t>
            </w:r>
          </w:p>
        </w:tc>
        <w:tc>
          <w:tcPr>
            <w:tcW w:w="2340" w:type="dxa"/>
            <w:noWrap/>
            <w:vAlign w:val="bottom"/>
            <w:hideMark/>
          </w:tcPr>
          <w:p w14:paraId="300473D6"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themeColor="text1"/>
                <w:sz w:val="20"/>
                <w:szCs w:val="20"/>
              </w:rPr>
              <w:t>-99.82</w:t>
            </w:r>
          </w:p>
        </w:tc>
      </w:tr>
      <w:tr w:rsidR="0059757E" w:rsidRPr="0059757E" w14:paraId="7E2E29C9" w14:textId="77777777" w:rsidTr="000A1A9C">
        <w:trPr>
          <w:trHeight w:val="20"/>
          <w:jc w:val="center"/>
        </w:trPr>
        <w:tc>
          <w:tcPr>
            <w:tcW w:w="1255" w:type="dxa"/>
            <w:noWrap/>
            <w:vAlign w:val="center"/>
            <w:hideMark/>
          </w:tcPr>
          <w:p w14:paraId="6DA7DC37"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2005</w:t>
            </w:r>
          </w:p>
        </w:tc>
        <w:tc>
          <w:tcPr>
            <w:tcW w:w="2255" w:type="dxa"/>
            <w:noWrap/>
            <w:vAlign w:val="center"/>
            <w:hideMark/>
          </w:tcPr>
          <w:p w14:paraId="5BB80F5B" w14:textId="382D6194"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sz w:val="20"/>
                <w:szCs w:val="20"/>
              </w:rPr>
              <w:t>1.49</w:t>
            </w:r>
          </w:p>
        </w:tc>
        <w:tc>
          <w:tcPr>
            <w:tcW w:w="2340" w:type="dxa"/>
            <w:noWrap/>
            <w:vAlign w:val="bottom"/>
            <w:hideMark/>
          </w:tcPr>
          <w:p w14:paraId="3F320D1F"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themeColor="text1"/>
                <w:sz w:val="20"/>
                <w:szCs w:val="20"/>
              </w:rPr>
              <w:t>-98.01</w:t>
            </w:r>
          </w:p>
        </w:tc>
      </w:tr>
      <w:tr w:rsidR="0059757E" w:rsidRPr="0059757E" w14:paraId="39284C56" w14:textId="77777777" w:rsidTr="000A1A9C">
        <w:trPr>
          <w:trHeight w:val="20"/>
          <w:jc w:val="center"/>
        </w:trPr>
        <w:tc>
          <w:tcPr>
            <w:tcW w:w="1255" w:type="dxa"/>
            <w:noWrap/>
            <w:vAlign w:val="center"/>
            <w:hideMark/>
          </w:tcPr>
          <w:p w14:paraId="4C0607D1"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2006</w:t>
            </w:r>
          </w:p>
        </w:tc>
        <w:tc>
          <w:tcPr>
            <w:tcW w:w="2255" w:type="dxa"/>
            <w:noWrap/>
            <w:vAlign w:val="center"/>
            <w:hideMark/>
          </w:tcPr>
          <w:p w14:paraId="1E66CA40" w14:textId="2636D3B2"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101112"/>
                <w:sz w:val="20"/>
                <w:szCs w:val="20"/>
              </w:rPr>
              <w:t>20.00</w:t>
            </w:r>
          </w:p>
        </w:tc>
        <w:tc>
          <w:tcPr>
            <w:tcW w:w="2340" w:type="dxa"/>
            <w:noWrap/>
            <w:vAlign w:val="bottom"/>
            <w:hideMark/>
          </w:tcPr>
          <w:p w14:paraId="6869AD40"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themeColor="text1"/>
                <w:sz w:val="20"/>
                <w:szCs w:val="20"/>
              </w:rPr>
              <w:t>-70.45</w:t>
            </w:r>
          </w:p>
        </w:tc>
      </w:tr>
      <w:tr w:rsidR="0059757E" w:rsidRPr="0059757E" w14:paraId="3D41498C" w14:textId="77777777" w:rsidTr="000A1A9C">
        <w:trPr>
          <w:trHeight w:val="20"/>
          <w:jc w:val="center"/>
        </w:trPr>
        <w:tc>
          <w:tcPr>
            <w:tcW w:w="1255" w:type="dxa"/>
            <w:noWrap/>
            <w:vAlign w:val="center"/>
            <w:hideMark/>
          </w:tcPr>
          <w:p w14:paraId="5A056225"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2007</w:t>
            </w:r>
          </w:p>
        </w:tc>
        <w:tc>
          <w:tcPr>
            <w:tcW w:w="2255" w:type="dxa"/>
            <w:noWrap/>
            <w:vAlign w:val="center"/>
            <w:hideMark/>
          </w:tcPr>
          <w:p w14:paraId="1B931CA8" w14:textId="3CF36DE4"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101112"/>
                <w:sz w:val="20"/>
                <w:szCs w:val="20"/>
              </w:rPr>
              <w:t>30.00</w:t>
            </w:r>
          </w:p>
        </w:tc>
        <w:tc>
          <w:tcPr>
            <w:tcW w:w="2340" w:type="dxa"/>
            <w:noWrap/>
            <w:vAlign w:val="bottom"/>
            <w:hideMark/>
          </w:tcPr>
          <w:p w14:paraId="75BF0C21"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themeColor="text1"/>
                <w:sz w:val="20"/>
                <w:szCs w:val="20"/>
              </w:rPr>
              <w:t>-57.98</w:t>
            </w:r>
          </w:p>
        </w:tc>
      </w:tr>
      <w:tr w:rsidR="0059757E" w:rsidRPr="0059757E" w14:paraId="48130307" w14:textId="77777777" w:rsidTr="000A1A9C">
        <w:trPr>
          <w:trHeight w:val="20"/>
          <w:jc w:val="center"/>
        </w:trPr>
        <w:tc>
          <w:tcPr>
            <w:tcW w:w="1255" w:type="dxa"/>
            <w:noWrap/>
            <w:vAlign w:val="center"/>
            <w:hideMark/>
          </w:tcPr>
          <w:p w14:paraId="0CAF4792"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2008</w:t>
            </w:r>
          </w:p>
        </w:tc>
        <w:tc>
          <w:tcPr>
            <w:tcW w:w="2255" w:type="dxa"/>
            <w:noWrap/>
            <w:vAlign w:val="center"/>
            <w:hideMark/>
          </w:tcPr>
          <w:p w14:paraId="3B5958FF" w14:textId="5AEB209C"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101112"/>
                <w:sz w:val="20"/>
                <w:szCs w:val="20"/>
              </w:rPr>
              <w:t>50.00</w:t>
            </w:r>
          </w:p>
        </w:tc>
        <w:tc>
          <w:tcPr>
            <w:tcW w:w="2340" w:type="dxa"/>
            <w:noWrap/>
            <w:vAlign w:val="bottom"/>
            <w:hideMark/>
          </w:tcPr>
          <w:p w14:paraId="6DB807E0"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themeColor="text1"/>
                <w:sz w:val="20"/>
                <w:szCs w:val="20"/>
              </w:rPr>
              <w:t>-37.97</w:t>
            </w:r>
          </w:p>
        </w:tc>
      </w:tr>
      <w:tr w:rsidR="0059757E" w:rsidRPr="0059757E" w14:paraId="1747EF1B" w14:textId="77777777" w:rsidTr="000A1A9C">
        <w:trPr>
          <w:trHeight w:val="20"/>
          <w:jc w:val="center"/>
        </w:trPr>
        <w:tc>
          <w:tcPr>
            <w:tcW w:w="1255" w:type="dxa"/>
            <w:noWrap/>
            <w:vAlign w:val="center"/>
            <w:hideMark/>
          </w:tcPr>
          <w:p w14:paraId="1C67F7B1"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2009</w:t>
            </w:r>
          </w:p>
        </w:tc>
        <w:tc>
          <w:tcPr>
            <w:tcW w:w="2255" w:type="dxa"/>
            <w:noWrap/>
            <w:vAlign w:val="center"/>
            <w:hideMark/>
          </w:tcPr>
          <w:p w14:paraId="5B95F41A" w14:textId="35DBCED1"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101112"/>
                <w:sz w:val="20"/>
                <w:szCs w:val="20"/>
              </w:rPr>
              <w:t>60.00</w:t>
            </w:r>
          </w:p>
        </w:tc>
        <w:tc>
          <w:tcPr>
            <w:tcW w:w="2340" w:type="dxa"/>
            <w:noWrap/>
            <w:vAlign w:val="bottom"/>
            <w:hideMark/>
          </w:tcPr>
          <w:p w14:paraId="22C26921"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themeColor="text1"/>
                <w:sz w:val="20"/>
                <w:szCs w:val="20"/>
              </w:rPr>
              <w:t>-16.87</w:t>
            </w:r>
          </w:p>
        </w:tc>
      </w:tr>
      <w:tr w:rsidR="0059757E" w:rsidRPr="0059757E" w14:paraId="6001DE4A" w14:textId="77777777" w:rsidTr="000A1A9C">
        <w:trPr>
          <w:trHeight w:val="20"/>
          <w:jc w:val="center"/>
        </w:trPr>
        <w:tc>
          <w:tcPr>
            <w:tcW w:w="1255" w:type="dxa"/>
            <w:noWrap/>
            <w:vAlign w:val="center"/>
            <w:hideMark/>
          </w:tcPr>
          <w:p w14:paraId="3DACA9AA"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2010</w:t>
            </w:r>
          </w:p>
        </w:tc>
        <w:tc>
          <w:tcPr>
            <w:tcW w:w="2255" w:type="dxa"/>
            <w:noWrap/>
            <w:vAlign w:val="center"/>
            <w:hideMark/>
          </w:tcPr>
          <w:p w14:paraId="23F5A3D8" w14:textId="49E6BD86"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sz w:val="20"/>
                <w:szCs w:val="20"/>
              </w:rPr>
              <w:t>4.58</w:t>
            </w:r>
          </w:p>
        </w:tc>
        <w:tc>
          <w:tcPr>
            <w:tcW w:w="2340" w:type="dxa"/>
            <w:noWrap/>
            <w:vAlign w:val="bottom"/>
            <w:hideMark/>
          </w:tcPr>
          <w:p w14:paraId="219B5B14"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themeColor="text1"/>
                <w:sz w:val="20"/>
                <w:szCs w:val="20"/>
              </w:rPr>
              <w:t>-93.89</w:t>
            </w:r>
          </w:p>
        </w:tc>
      </w:tr>
      <w:tr w:rsidR="0059757E" w:rsidRPr="0059757E" w14:paraId="7AD77466" w14:textId="77777777" w:rsidTr="000A1A9C">
        <w:trPr>
          <w:trHeight w:val="20"/>
          <w:jc w:val="center"/>
        </w:trPr>
        <w:tc>
          <w:tcPr>
            <w:tcW w:w="1255" w:type="dxa"/>
            <w:noWrap/>
            <w:vAlign w:val="center"/>
            <w:hideMark/>
          </w:tcPr>
          <w:p w14:paraId="42B9966C"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2011</w:t>
            </w:r>
          </w:p>
        </w:tc>
        <w:tc>
          <w:tcPr>
            <w:tcW w:w="2255" w:type="dxa"/>
            <w:noWrap/>
            <w:vAlign w:val="center"/>
            <w:hideMark/>
          </w:tcPr>
          <w:p w14:paraId="64CC8965" w14:textId="3C0A7BE5"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101112"/>
                <w:sz w:val="20"/>
                <w:szCs w:val="20"/>
              </w:rPr>
              <w:t>120.00</w:t>
            </w:r>
          </w:p>
        </w:tc>
        <w:tc>
          <w:tcPr>
            <w:tcW w:w="2340" w:type="dxa"/>
            <w:noWrap/>
            <w:vAlign w:val="bottom"/>
            <w:hideMark/>
          </w:tcPr>
          <w:p w14:paraId="15BFD191"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themeColor="text1"/>
                <w:sz w:val="20"/>
                <w:szCs w:val="20"/>
              </w:rPr>
              <w:t>61.31</w:t>
            </w:r>
          </w:p>
        </w:tc>
      </w:tr>
      <w:tr w:rsidR="0059757E" w:rsidRPr="0059757E" w14:paraId="583457C7" w14:textId="77777777" w:rsidTr="000A1A9C">
        <w:trPr>
          <w:trHeight w:val="20"/>
          <w:jc w:val="center"/>
        </w:trPr>
        <w:tc>
          <w:tcPr>
            <w:tcW w:w="1255" w:type="dxa"/>
            <w:noWrap/>
            <w:vAlign w:val="center"/>
            <w:hideMark/>
          </w:tcPr>
          <w:p w14:paraId="36996D42"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2012</w:t>
            </w:r>
          </w:p>
        </w:tc>
        <w:tc>
          <w:tcPr>
            <w:tcW w:w="2255" w:type="dxa"/>
            <w:noWrap/>
            <w:vAlign w:val="center"/>
            <w:hideMark/>
          </w:tcPr>
          <w:p w14:paraId="37014EB9" w14:textId="201DE7C8"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101112"/>
                <w:sz w:val="20"/>
                <w:szCs w:val="20"/>
              </w:rPr>
              <w:t>840.00</w:t>
            </w:r>
          </w:p>
        </w:tc>
        <w:tc>
          <w:tcPr>
            <w:tcW w:w="2340" w:type="dxa"/>
            <w:noWrap/>
            <w:vAlign w:val="bottom"/>
            <w:hideMark/>
          </w:tcPr>
          <w:p w14:paraId="4835EF91"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themeColor="text1"/>
                <w:sz w:val="20"/>
                <w:szCs w:val="20"/>
              </w:rPr>
              <w:t>1016.40</w:t>
            </w:r>
          </w:p>
        </w:tc>
      </w:tr>
      <w:tr w:rsidR="0059757E" w:rsidRPr="0059757E" w14:paraId="5B5521D8" w14:textId="77777777" w:rsidTr="000A1A9C">
        <w:trPr>
          <w:trHeight w:val="20"/>
          <w:jc w:val="center"/>
        </w:trPr>
        <w:tc>
          <w:tcPr>
            <w:tcW w:w="1255" w:type="dxa"/>
            <w:noWrap/>
            <w:vAlign w:val="center"/>
            <w:hideMark/>
          </w:tcPr>
          <w:p w14:paraId="6B185FC8"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2013</w:t>
            </w:r>
          </w:p>
        </w:tc>
        <w:tc>
          <w:tcPr>
            <w:tcW w:w="2255" w:type="dxa"/>
            <w:noWrap/>
            <w:vAlign w:val="center"/>
            <w:hideMark/>
          </w:tcPr>
          <w:p w14:paraId="211F6A7A" w14:textId="74B7F2A8"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101112"/>
                <w:sz w:val="20"/>
                <w:szCs w:val="20"/>
              </w:rPr>
              <w:t>520.00</w:t>
            </w:r>
          </w:p>
        </w:tc>
        <w:tc>
          <w:tcPr>
            <w:tcW w:w="2340" w:type="dxa"/>
            <w:noWrap/>
            <w:vAlign w:val="bottom"/>
            <w:hideMark/>
          </w:tcPr>
          <w:p w14:paraId="4D4496AC"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themeColor="text1"/>
                <w:sz w:val="20"/>
                <w:szCs w:val="20"/>
              </w:rPr>
              <w:t>586.99</w:t>
            </w:r>
          </w:p>
        </w:tc>
      </w:tr>
      <w:tr w:rsidR="0059757E" w:rsidRPr="0059757E" w14:paraId="636CFFCD" w14:textId="77777777" w:rsidTr="000A1A9C">
        <w:trPr>
          <w:trHeight w:val="20"/>
          <w:jc w:val="center"/>
        </w:trPr>
        <w:tc>
          <w:tcPr>
            <w:tcW w:w="1255" w:type="dxa"/>
            <w:noWrap/>
            <w:vAlign w:val="center"/>
            <w:hideMark/>
          </w:tcPr>
          <w:p w14:paraId="6C0041BE"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2014</w:t>
            </w:r>
          </w:p>
        </w:tc>
        <w:tc>
          <w:tcPr>
            <w:tcW w:w="2255" w:type="dxa"/>
            <w:noWrap/>
            <w:vAlign w:val="center"/>
            <w:hideMark/>
          </w:tcPr>
          <w:p w14:paraId="60E713E7" w14:textId="21323C22"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101112"/>
                <w:sz w:val="20"/>
                <w:szCs w:val="20"/>
              </w:rPr>
              <w:t>3880.00</w:t>
            </w:r>
          </w:p>
        </w:tc>
        <w:tc>
          <w:tcPr>
            <w:tcW w:w="2340" w:type="dxa"/>
            <w:noWrap/>
            <w:vAlign w:val="bottom"/>
            <w:hideMark/>
          </w:tcPr>
          <w:p w14:paraId="1BF364C1"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themeColor="text1"/>
                <w:sz w:val="20"/>
                <w:szCs w:val="20"/>
              </w:rPr>
              <w:t>5066.79</w:t>
            </w:r>
          </w:p>
        </w:tc>
      </w:tr>
      <w:tr w:rsidR="0059757E" w:rsidRPr="0059757E" w14:paraId="41120F1F" w14:textId="77777777" w:rsidTr="000A1A9C">
        <w:trPr>
          <w:trHeight w:val="20"/>
          <w:jc w:val="center"/>
        </w:trPr>
        <w:tc>
          <w:tcPr>
            <w:tcW w:w="1255" w:type="dxa"/>
            <w:noWrap/>
            <w:vAlign w:val="center"/>
            <w:hideMark/>
          </w:tcPr>
          <w:p w14:paraId="679E4472"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2015</w:t>
            </w:r>
          </w:p>
        </w:tc>
        <w:tc>
          <w:tcPr>
            <w:tcW w:w="2255" w:type="dxa"/>
            <w:noWrap/>
            <w:vAlign w:val="center"/>
            <w:hideMark/>
          </w:tcPr>
          <w:p w14:paraId="3DB4B59C" w14:textId="03FD5E1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101112"/>
                <w:sz w:val="20"/>
                <w:szCs w:val="20"/>
              </w:rPr>
              <w:t>13380.00</w:t>
            </w:r>
          </w:p>
        </w:tc>
        <w:tc>
          <w:tcPr>
            <w:tcW w:w="2340" w:type="dxa"/>
            <w:noWrap/>
            <w:vAlign w:val="bottom"/>
            <w:hideMark/>
          </w:tcPr>
          <w:p w14:paraId="58A80699"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themeColor="text1"/>
                <w:sz w:val="20"/>
                <w:szCs w:val="20"/>
              </w:rPr>
              <w:t>17738.79</w:t>
            </w:r>
          </w:p>
        </w:tc>
      </w:tr>
      <w:tr w:rsidR="0059757E" w:rsidRPr="0059757E" w14:paraId="5EBCAF6F" w14:textId="77777777" w:rsidTr="000A1A9C">
        <w:trPr>
          <w:trHeight w:val="20"/>
          <w:jc w:val="center"/>
        </w:trPr>
        <w:tc>
          <w:tcPr>
            <w:tcW w:w="1255" w:type="dxa"/>
            <w:noWrap/>
            <w:vAlign w:val="center"/>
            <w:hideMark/>
          </w:tcPr>
          <w:p w14:paraId="6CDAF58C"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2016</w:t>
            </w:r>
          </w:p>
        </w:tc>
        <w:tc>
          <w:tcPr>
            <w:tcW w:w="2255" w:type="dxa"/>
            <w:noWrap/>
            <w:vAlign w:val="center"/>
            <w:hideMark/>
          </w:tcPr>
          <w:p w14:paraId="270ADB2C" w14:textId="2897D3A5"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101112"/>
                <w:sz w:val="20"/>
                <w:szCs w:val="20"/>
              </w:rPr>
              <w:t>63620.00</w:t>
            </w:r>
          </w:p>
        </w:tc>
        <w:tc>
          <w:tcPr>
            <w:tcW w:w="2340" w:type="dxa"/>
            <w:noWrap/>
            <w:vAlign w:val="bottom"/>
            <w:hideMark/>
          </w:tcPr>
          <w:p w14:paraId="6686DC42"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themeColor="text1"/>
                <w:sz w:val="20"/>
                <w:szCs w:val="20"/>
              </w:rPr>
              <w:t>84720.49</w:t>
            </w:r>
          </w:p>
        </w:tc>
      </w:tr>
      <w:tr w:rsidR="0059757E" w:rsidRPr="0059757E" w14:paraId="0C6D2201" w14:textId="77777777" w:rsidTr="000A1A9C">
        <w:trPr>
          <w:trHeight w:val="20"/>
          <w:jc w:val="center"/>
        </w:trPr>
        <w:tc>
          <w:tcPr>
            <w:tcW w:w="1255" w:type="dxa"/>
            <w:noWrap/>
            <w:vAlign w:val="center"/>
            <w:hideMark/>
          </w:tcPr>
          <w:p w14:paraId="07A31EE7"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2017</w:t>
            </w:r>
          </w:p>
        </w:tc>
        <w:tc>
          <w:tcPr>
            <w:tcW w:w="2255" w:type="dxa"/>
            <w:noWrap/>
            <w:vAlign w:val="center"/>
            <w:hideMark/>
          </w:tcPr>
          <w:p w14:paraId="17E534C6" w14:textId="6EA77BF0"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101112"/>
                <w:sz w:val="20"/>
                <w:szCs w:val="20"/>
              </w:rPr>
              <w:t>77750.00</w:t>
            </w:r>
          </w:p>
        </w:tc>
        <w:tc>
          <w:tcPr>
            <w:tcW w:w="2340" w:type="dxa"/>
            <w:noWrap/>
            <w:vAlign w:val="bottom"/>
            <w:hideMark/>
          </w:tcPr>
          <w:p w14:paraId="4F2653E4"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themeColor="text1"/>
                <w:sz w:val="20"/>
                <w:szCs w:val="20"/>
              </w:rPr>
              <w:t>103556.23</w:t>
            </w:r>
          </w:p>
        </w:tc>
      </w:tr>
      <w:tr w:rsidR="0059757E" w:rsidRPr="0059757E" w14:paraId="2DDA3BB4" w14:textId="77777777" w:rsidTr="000A1A9C">
        <w:trPr>
          <w:trHeight w:val="20"/>
          <w:jc w:val="center"/>
        </w:trPr>
        <w:tc>
          <w:tcPr>
            <w:tcW w:w="1255" w:type="dxa"/>
            <w:noWrap/>
            <w:vAlign w:val="center"/>
            <w:hideMark/>
          </w:tcPr>
          <w:p w14:paraId="51BE417A"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2018</w:t>
            </w:r>
          </w:p>
        </w:tc>
        <w:tc>
          <w:tcPr>
            <w:tcW w:w="2255" w:type="dxa"/>
            <w:noWrap/>
            <w:vAlign w:val="center"/>
            <w:hideMark/>
          </w:tcPr>
          <w:p w14:paraId="0AE2B93E" w14:textId="0AF2921E"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101112"/>
                <w:sz w:val="20"/>
                <w:szCs w:val="20"/>
              </w:rPr>
              <w:t>214560.00</w:t>
            </w:r>
          </w:p>
        </w:tc>
        <w:tc>
          <w:tcPr>
            <w:tcW w:w="2340" w:type="dxa"/>
            <w:noWrap/>
            <w:vAlign w:val="bottom"/>
            <w:hideMark/>
          </w:tcPr>
          <w:p w14:paraId="36E943C9"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themeColor="text1"/>
                <w:sz w:val="20"/>
                <w:szCs w:val="20"/>
              </w:rPr>
              <w:t>285943.01</w:t>
            </w:r>
          </w:p>
        </w:tc>
      </w:tr>
      <w:tr w:rsidR="0059757E" w:rsidRPr="0059757E" w14:paraId="782EB70B" w14:textId="77777777" w:rsidTr="000A1A9C">
        <w:trPr>
          <w:trHeight w:val="20"/>
          <w:jc w:val="center"/>
        </w:trPr>
        <w:tc>
          <w:tcPr>
            <w:tcW w:w="1255" w:type="dxa"/>
            <w:noWrap/>
            <w:vAlign w:val="center"/>
            <w:hideMark/>
          </w:tcPr>
          <w:p w14:paraId="28313F62"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2019</w:t>
            </w:r>
          </w:p>
        </w:tc>
        <w:tc>
          <w:tcPr>
            <w:tcW w:w="2255" w:type="dxa"/>
            <w:noWrap/>
            <w:vAlign w:val="center"/>
            <w:hideMark/>
          </w:tcPr>
          <w:p w14:paraId="04596806" w14:textId="1C1308E2"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101112"/>
                <w:sz w:val="20"/>
                <w:szCs w:val="20"/>
              </w:rPr>
              <w:t>229480.00</w:t>
            </w:r>
          </w:p>
        </w:tc>
        <w:tc>
          <w:tcPr>
            <w:tcW w:w="2340" w:type="dxa"/>
            <w:noWrap/>
            <w:vAlign w:val="bottom"/>
            <w:hideMark/>
          </w:tcPr>
          <w:p w14:paraId="74F8645A"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themeColor="text1"/>
                <w:sz w:val="20"/>
                <w:szCs w:val="20"/>
              </w:rPr>
              <w:t>305831.29</w:t>
            </w:r>
          </w:p>
        </w:tc>
      </w:tr>
      <w:tr w:rsidR="0059757E" w:rsidRPr="0059757E" w14:paraId="3A76309D" w14:textId="77777777" w:rsidTr="000A1A9C">
        <w:trPr>
          <w:trHeight w:val="20"/>
          <w:jc w:val="center"/>
        </w:trPr>
        <w:tc>
          <w:tcPr>
            <w:tcW w:w="1255" w:type="dxa"/>
            <w:noWrap/>
            <w:vAlign w:val="center"/>
            <w:hideMark/>
          </w:tcPr>
          <w:p w14:paraId="333125FF"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2020</w:t>
            </w:r>
          </w:p>
        </w:tc>
        <w:tc>
          <w:tcPr>
            <w:tcW w:w="2255" w:type="dxa"/>
            <w:noWrap/>
            <w:vAlign w:val="center"/>
            <w:hideMark/>
          </w:tcPr>
          <w:p w14:paraId="7F8B6AFE" w14:textId="7652BE94"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101112"/>
                <w:sz w:val="20"/>
                <w:szCs w:val="20"/>
              </w:rPr>
              <w:t>505220.00</w:t>
            </w:r>
          </w:p>
        </w:tc>
        <w:tc>
          <w:tcPr>
            <w:tcW w:w="2340" w:type="dxa"/>
            <w:noWrap/>
            <w:vAlign w:val="bottom"/>
            <w:hideMark/>
          </w:tcPr>
          <w:p w14:paraId="22949DCB"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themeColor="text1"/>
                <w:sz w:val="20"/>
                <w:szCs w:val="20"/>
              </w:rPr>
              <w:t>673449.84</w:t>
            </w:r>
          </w:p>
        </w:tc>
      </w:tr>
      <w:tr w:rsidR="0059757E" w:rsidRPr="0059757E" w14:paraId="46F84D8F" w14:textId="77777777" w:rsidTr="0035270E">
        <w:trPr>
          <w:trHeight w:val="20"/>
          <w:jc w:val="center"/>
        </w:trPr>
        <w:tc>
          <w:tcPr>
            <w:tcW w:w="1255" w:type="dxa"/>
            <w:noWrap/>
            <w:vAlign w:val="center"/>
            <w:hideMark/>
          </w:tcPr>
          <w:p w14:paraId="6333D5E4"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2021</w:t>
            </w:r>
          </w:p>
        </w:tc>
        <w:tc>
          <w:tcPr>
            <w:tcW w:w="2255" w:type="dxa"/>
            <w:noWrap/>
            <w:vAlign w:val="center"/>
            <w:hideMark/>
          </w:tcPr>
          <w:p w14:paraId="56A18A62" w14:textId="2C78C17E"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Calibri" w:hAnsi="Calibri" w:cs="Calibri"/>
                <w:color w:val="000000"/>
                <w:sz w:val="20"/>
                <w:szCs w:val="20"/>
              </w:rPr>
              <w:t>614920.00</w:t>
            </w:r>
          </w:p>
        </w:tc>
        <w:tc>
          <w:tcPr>
            <w:tcW w:w="2340" w:type="dxa"/>
            <w:noWrap/>
            <w:vAlign w:val="bottom"/>
            <w:hideMark/>
          </w:tcPr>
          <w:p w14:paraId="0E46A36D"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themeColor="text1"/>
                <w:sz w:val="20"/>
                <w:szCs w:val="20"/>
              </w:rPr>
              <w:t>819698.96</w:t>
            </w:r>
          </w:p>
        </w:tc>
      </w:tr>
      <w:tr w:rsidR="0059757E" w:rsidRPr="0059757E" w14:paraId="6FBFB1A0" w14:textId="77777777" w:rsidTr="0035270E">
        <w:trPr>
          <w:trHeight w:val="20"/>
          <w:jc w:val="center"/>
        </w:trPr>
        <w:tc>
          <w:tcPr>
            <w:tcW w:w="1255" w:type="dxa"/>
            <w:noWrap/>
            <w:vAlign w:val="center"/>
            <w:hideMark/>
          </w:tcPr>
          <w:p w14:paraId="3EC4534C"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eastAsia="Times New Roman" w:hAnsi="Arial" w:cs="Arial"/>
                <w:color w:val="000000" w:themeColor="text1"/>
                <w:kern w:val="0"/>
                <w:sz w:val="20"/>
                <w:szCs w:val="20"/>
                <w:lang w:bidi="mr-IN"/>
                <w14:ligatures w14:val="none"/>
              </w:rPr>
              <w:t>2022</w:t>
            </w:r>
          </w:p>
        </w:tc>
        <w:tc>
          <w:tcPr>
            <w:tcW w:w="2255" w:type="dxa"/>
            <w:noWrap/>
            <w:vAlign w:val="center"/>
            <w:hideMark/>
          </w:tcPr>
          <w:p w14:paraId="0CBC571D" w14:textId="377B4198"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Calibri" w:hAnsi="Calibri" w:cs="Calibri"/>
                <w:color w:val="000000"/>
                <w:sz w:val="20"/>
                <w:szCs w:val="20"/>
              </w:rPr>
              <w:t>489580.00</w:t>
            </w:r>
          </w:p>
        </w:tc>
        <w:tc>
          <w:tcPr>
            <w:tcW w:w="2340" w:type="dxa"/>
            <w:noWrap/>
            <w:vAlign w:val="bottom"/>
            <w:hideMark/>
          </w:tcPr>
          <w:p w14:paraId="3066B878" w14:textId="77777777" w:rsidR="0059757E" w:rsidRPr="0059757E" w:rsidRDefault="0059757E" w:rsidP="0059757E">
            <w:pPr>
              <w:spacing w:after="0" w:line="240" w:lineRule="auto"/>
              <w:jc w:val="center"/>
              <w:rPr>
                <w:rFonts w:ascii="Arial" w:eastAsia="Times New Roman" w:hAnsi="Arial" w:cs="Arial"/>
                <w:color w:val="000000" w:themeColor="text1"/>
                <w:kern w:val="0"/>
                <w:sz w:val="20"/>
                <w:szCs w:val="20"/>
                <w:lang w:bidi="mr-IN"/>
                <w14:ligatures w14:val="none"/>
              </w:rPr>
            </w:pPr>
            <w:r w:rsidRPr="0059757E">
              <w:rPr>
                <w:rFonts w:ascii="Arial" w:hAnsi="Arial" w:cs="Arial"/>
                <w:color w:val="000000" w:themeColor="text1"/>
                <w:sz w:val="20"/>
                <w:szCs w:val="20"/>
              </w:rPr>
              <w:t>652588.34</w:t>
            </w:r>
          </w:p>
        </w:tc>
      </w:tr>
    </w:tbl>
    <w:p w14:paraId="280E45C1" w14:textId="77777777" w:rsidR="008816B2" w:rsidRPr="00095C62" w:rsidRDefault="008816B2" w:rsidP="00D13B0A">
      <w:pPr>
        <w:spacing w:after="120" w:line="240" w:lineRule="auto"/>
        <w:ind w:left="720"/>
        <w:jc w:val="both"/>
        <w:rPr>
          <w:rFonts w:ascii="Arial" w:eastAsiaTheme="minorEastAsia" w:hAnsi="Arial" w:cs="Arial"/>
          <w:b/>
          <w:bCs/>
          <w:color w:val="000000" w:themeColor="text1"/>
          <w:lang w:bidi="mr-IN"/>
          <w14:ligatures w14:val="none"/>
        </w:rPr>
      </w:pPr>
      <w:r w:rsidRPr="00095C62">
        <w:rPr>
          <w:rFonts w:ascii="Arial" w:eastAsiaTheme="minorEastAsia" w:hAnsi="Arial" w:cs="Arial"/>
          <w:b/>
          <w:bCs/>
          <w:color w:val="000000" w:themeColor="text1"/>
          <w:lang w:bidi="mr-IN"/>
          <w14:ligatures w14:val="none"/>
        </w:rPr>
        <w:t xml:space="preserve">                 Source: DGCI&amp;S, Indiastat, USDA</w:t>
      </w:r>
    </w:p>
    <w:p w14:paraId="239EA1DE" w14:textId="77777777" w:rsidR="008816B2" w:rsidRPr="00095C62" w:rsidRDefault="008816B2" w:rsidP="00D13B0A">
      <w:pPr>
        <w:widowControl w:val="0"/>
        <w:autoSpaceDE w:val="0"/>
        <w:autoSpaceDN w:val="0"/>
        <w:spacing w:after="120" w:line="240" w:lineRule="auto"/>
        <w:jc w:val="both"/>
        <w:rPr>
          <w:rFonts w:ascii="Arial" w:eastAsiaTheme="minorEastAsia" w:hAnsi="Arial" w:cs="Arial"/>
          <w:b/>
          <w:bCs/>
          <w:color w:val="000000" w:themeColor="text1"/>
          <w:kern w:val="0"/>
          <w14:ligatures w14:val="none"/>
        </w:rPr>
      </w:pPr>
      <w:r w:rsidRPr="00095C62">
        <w:rPr>
          <w:rFonts w:ascii="Arial" w:eastAsiaTheme="minorEastAsia" w:hAnsi="Arial" w:cs="Arial"/>
          <w:b/>
          <w:bCs/>
          <w:color w:val="000000" w:themeColor="text1"/>
          <w:kern w:val="0"/>
          <w14:ligatures w14:val="none"/>
        </w:rPr>
        <w:t>Growth and Instability in the Import of Soybean</w:t>
      </w:r>
    </w:p>
    <w:p w14:paraId="17B47FC4" w14:textId="2793E541" w:rsidR="008816B2" w:rsidRPr="00295062" w:rsidRDefault="008816B2" w:rsidP="00D13B0A">
      <w:pPr>
        <w:spacing w:after="120" w:line="240" w:lineRule="auto"/>
        <w:ind w:firstLine="720"/>
        <w:jc w:val="both"/>
        <w:rPr>
          <w:rFonts w:ascii="Arial" w:eastAsiaTheme="minorEastAsia" w:hAnsi="Arial" w:cs="Arial"/>
          <w:color w:val="000000" w:themeColor="text1"/>
          <w:sz w:val="20"/>
          <w:szCs w:val="20"/>
          <w:lang w:bidi="mr-IN"/>
          <w14:ligatures w14:val="none"/>
        </w:rPr>
      </w:pPr>
      <w:bookmarkStart w:id="4" w:name="_Hlk175483214"/>
      <w:r w:rsidRPr="00295062">
        <w:rPr>
          <w:rFonts w:ascii="Arial" w:eastAsiaTheme="minorEastAsia" w:hAnsi="Arial" w:cs="Arial"/>
          <w:color w:val="000000" w:themeColor="text1"/>
          <w:sz w:val="20"/>
          <w:szCs w:val="20"/>
          <w:lang w:bidi="mr-IN"/>
          <w14:ligatures w14:val="none"/>
        </w:rPr>
        <w:t xml:space="preserve">This study analyzed India's soybean imports from 2000 to 2022 and found a remarkable CAGR of 90.70 per cent, which was statistically significant at a one per cent level, as presented in Table </w:t>
      </w:r>
      <w:r w:rsidR="00954846" w:rsidRPr="00295062">
        <w:rPr>
          <w:rFonts w:ascii="Arial" w:eastAsiaTheme="minorEastAsia" w:hAnsi="Arial" w:cs="Arial"/>
          <w:color w:val="000000" w:themeColor="text1"/>
          <w:sz w:val="20"/>
          <w:szCs w:val="20"/>
          <w:lang w:bidi="mr-IN"/>
          <w14:ligatures w14:val="none"/>
        </w:rPr>
        <w:t>4</w:t>
      </w:r>
      <w:r w:rsidRPr="00295062">
        <w:rPr>
          <w:rFonts w:ascii="Arial" w:eastAsiaTheme="minorEastAsia" w:hAnsi="Arial" w:cs="Arial"/>
          <w:color w:val="000000" w:themeColor="text1"/>
          <w:sz w:val="20"/>
          <w:szCs w:val="20"/>
          <w:lang w:bidi="mr-IN"/>
          <w14:ligatures w14:val="none"/>
        </w:rPr>
        <w:t>. Over the 23 years, India's soybean imports exhibited extraordinary growth, accompanied by substantial volatility and instability. Specifically, the CV was 194.19 per cent, indicating significant year-to-year fluctuations, while the CDVI value of 85.87 per cent confirmed a high level of intra-year instability. These findings indicated that India's soybean import market was highly unpredictable during that period, posing challenges for stakeholders to forecast future trends.</w:t>
      </w:r>
    </w:p>
    <w:p w14:paraId="02964BF0" w14:textId="77777777" w:rsidR="008816B2" w:rsidRPr="00295062" w:rsidRDefault="008816B2" w:rsidP="00D13B0A">
      <w:pPr>
        <w:spacing w:after="120" w:line="240" w:lineRule="auto"/>
        <w:ind w:firstLine="720"/>
        <w:jc w:val="both"/>
        <w:rPr>
          <w:rFonts w:ascii="Arial" w:eastAsiaTheme="minorEastAsia" w:hAnsi="Arial" w:cs="Arial"/>
          <w:color w:val="000000" w:themeColor="text1"/>
          <w:sz w:val="20"/>
          <w:szCs w:val="20"/>
          <w:lang w:bidi="mr-IN"/>
          <w14:ligatures w14:val="none"/>
        </w:rPr>
      </w:pPr>
      <w:r w:rsidRPr="00295062">
        <w:rPr>
          <w:rFonts w:ascii="Arial" w:eastAsiaTheme="minorEastAsia" w:hAnsi="Arial" w:cs="Arial"/>
          <w:color w:val="000000" w:themeColor="text1"/>
          <w:sz w:val="20"/>
          <w:szCs w:val="20"/>
          <w:lang w:bidi="mr-IN"/>
          <w14:ligatures w14:val="none"/>
        </w:rPr>
        <w:t xml:space="preserve">The findings suggest that India's soybean imports have experienced remarkable growth, accompanied by significant fluctuations. The rapid growth in soybean imports may be attributed to increasing domestic demand for consumption and simultaneously stagnation in production level.  The substantial instability in imports could be due to factors like global price volatility, trade policies, or supply chain disruptions. </w:t>
      </w:r>
    </w:p>
    <w:bookmarkEnd w:id="4"/>
    <w:p w14:paraId="25E90206" w14:textId="69668D91" w:rsidR="008816B2" w:rsidRPr="00095C62" w:rsidRDefault="00CC30BB" w:rsidP="00D13B0A">
      <w:pPr>
        <w:widowControl w:val="0"/>
        <w:autoSpaceDE w:val="0"/>
        <w:autoSpaceDN w:val="0"/>
        <w:spacing w:after="120" w:line="240" w:lineRule="auto"/>
        <w:jc w:val="both"/>
        <w:rPr>
          <w:rFonts w:ascii="Arial" w:eastAsiaTheme="minorEastAsia" w:hAnsi="Arial" w:cs="Arial"/>
          <w:b/>
          <w:bCs/>
          <w:color w:val="000000" w:themeColor="text1"/>
          <w:kern w:val="0"/>
          <w14:ligatures w14:val="none"/>
        </w:rPr>
      </w:pPr>
      <w:r w:rsidRPr="00095C62">
        <w:rPr>
          <w:rFonts w:ascii="Arial" w:eastAsiaTheme="minorEastAsia" w:hAnsi="Arial" w:cs="Arial"/>
          <w:b/>
          <w:bCs/>
          <w:color w:val="000000" w:themeColor="text1"/>
          <w:kern w:val="0"/>
          <w14:ligatures w14:val="none"/>
        </w:rPr>
        <w:t>Table 4</w:t>
      </w:r>
      <w:r w:rsidRPr="00095C62">
        <w:rPr>
          <w:rFonts w:ascii="Arial" w:eastAsiaTheme="minorEastAsia" w:hAnsi="Arial" w:cs="Arial"/>
          <w:b/>
          <w:bCs/>
          <w:color w:val="000000" w:themeColor="text1"/>
          <w:kern w:val="0"/>
          <w14:ligatures w14:val="none"/>
        </w:rPr>
        <w:tab/>
      </w:r>
      <w:r w:rsidR="008816B2" w:rsidRPr="00095C62">
        <w:rPr>
          <w:rFonts w:ascii="Arial" w:eastAsiaTheme="minorEastAsia" w:hAnsi="Arial" w:cs="Arial"/>
          <w:b/>
          <w:bCs/>
          <w:color w:val="000000" w:themeColor="text1"/>
          <w:kern w:val="0"/>
          <w14:ligatures w14:val="none"/>
        </w:rPr>
        <w:t xml:space="preserve">Growth and Instability in the Import of Soybean  </w:t>
      </w:r>
    </w:p>
    <w:tbl>
      <w:tblPr>
        <w:tblStyle w:val="TableGrid1"/>
        <w:tblW w:w="0" w:type="auto"/>
        <w:jc w:val="center"/>
        <w:tblLook w:val="04A0" w:firstRow="1" w:lastRow="0" w:firstColumn="1" w:lastColumn="0" w:noHBand="0" w:noVBand="1"/>
      </w:tblPr>
      <w:tblGrid>
        <w:gridCol w:w="1880"/>
        <w:gridCol w:w="1720"/>
      </w:tblGrid>
      <w:tr w:rsidR="008816B2" w:rsidRPr="00095C62" w14:paraId="79300ACF" w14:textId="77777777" w:rsidTr="000A1A9C">
        <w:trPr>
          <w:trHeight w:val="312"/>
          <w:jc w:val="center"/>
        </w:trPr>
        <w:tc>
          <w:tcPr>
            <w:tcW w:w="1880" w:type="dxa"/>
            <w:noWrap/>
            <w:vAlign w:val="center"/>
            <w:hideMark/>
          </w:tcPr>
          <w:p w14:paraId="76FF5B38"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Particulars</w:t>
            </w:r>
          </w:p>
        </w:tc>
        <w:tc>
          <w:tcPr>
            <w:tcW w:w="1720" w:type="dxa"/>
            <w:noWrap/>
            <w:vAlign w:val="center"/>
            <w:hideMark/>
          </w:tcPr>
          <w:p w14:paraId="3D5B78A4"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Import</w:t>
            </w:r>
          </w:p>
        </w:tc>
      </w:tr>
      <w:tr w:rsidR="008816B2" w:rsidRPr="00095C62" w14:paraId="21063D08" w14:textId="77777777" w:rsidTr="000A1A9C">
        <w:trPr>
          <w:trHeight w:val="312"/>
          <w:jc w:val="center"/>
        </w:trPr>
        <w:tc>
          <w:tcPr>
            <w:tcW w:w="1880" w:type="dxa"/>
            <w:noWrap/>
            <w:vAlign w:val="center"/>
            <w:hideMark/>
          </w:tcPr>
          <w:p w14:paraId="431BA23B"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CAGR</w:t>
            </w:r>
          </w:p>
        </w:tc>
        <w:tc>
          <w:tcPr>
            <w:tcW w:w="1720" w:type="dxa"/>
            <w:noWrap/>
            <w:vAlign w:val="center"/>
            <w:hideMark/>
          </w:tcPr>
          <w:p w14:paraId="162B952B"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90.70 ***</w:t>
            </w:r>
          </w:p>
        </w:tc>
      </w:tr>
      <w:tr w:rsidR="008816B2" w:rsidRPr="00095C62" w14:paraId="4599398E" w14:textId="77777777" w:rsidTr="000A1A9C">
        <w:trPr>
          <w:trHeight w:val="312"/>
          <w:jc w:val="center"/>
        </w:trPr>
        <w:tc>
          <w:tcPr>
            <w:tcW w:w="1880" w:type="dxa"/>
            <w:noWrap/>
            <w:vAlign w:val="center"/>
            <w:hideMark/>
          </w:tcPr>
          <w:p w14:paraId="07602E68"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CV</w:t>
            </w:r>
          </w:p>
        </w:tc>
        <w:tc>
          <w:tcPr>
            <w:tcW w:w="1720" w:type="dxa"/>
            <w:noWrap/>
            <w:vAlign w:val="center"/>
            <w:hideMark/>
          </w:tcPr>
          <w:p w14:paraId="0FE0FEBC"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194.19</w:t>
            </w:r>
          </w:p>
        </w:tc>
      </w:tr>
      <w:tr w:rsidR="008816B2" w:rsidRPr="00095C62" w14:paraId="28925E00" w14:textId="77777777" w:rsidTr="000A1A9C">
        <w:trPr>
          <w:trHeight w:val="324"/>
          <w:jc w:val="center"/>
        </w:trPr>
        <w:tc>
          <w:tcPr>
            <w:tcW w:w="1880" w:type="dxa"/>
            <w:noWrap/>
            <w:vAlign w:val="center"/>
            <w:hideMark/>
          </w:tcPr>
          <w:p w14:paraId="2241CC76"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lastRenderedPageBreak/>
              <w:t>CDVI</w:t>
            </w:r>
          </w:p>
        </w:tc>
        <w:tc>
          <w:tcPr>
            <w:tcW w:w="1720" w:type="dxa"/>
            <w:noWrap/>
            <w:vAlign w:val="center"/>
            <w:hideMark/>
          </w:tcPr>
          <w:p w14:paraId="514D9678"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85.87</w:t>
            </w:r>
          </w:p>
        </w:tc>
      </w:tr>
    </w:tbl>
    <w:p w14:paraId="1B5F0F34" w14:textId="77777777" w:rsidR="0014287A" w:rsidRPr="00295062" w:rsidRDefault="0014287A" w:rsidP="00D13B0A">
      <w:pPr>
        <w:spacing w:before="120" w:after="120" w:line="240" w:lineRule="auto"/>
        <w:jc w:val="both"/>
        <w:rPr>
          <w:rFonts w:ascii="Arial" w:hAnsi="Arial" w:cs="Arial"/>
          <w:i/>
          <w:iCs/>
          <w:color w:val="000000" w:themeColor="text1"/>
          <w:sz w:val="20"/>
          <w:szCs w:val="20"/>
        </w:rPr>
      </w:pPr>
      <w:r w:rsidRPr="00295062">
        <w:rPr>
          <w:rFonts w:ascii="Arial" w:hAnsi="Arial" w:cs="Arial"/>
          <w:i/>
          <w:iCs/>
          <w:color w:val="000000" w:themeColor="text1"/>
          <w:sz w:val="20"/>
          <w:szCs w:val="20"/>
        </w:rPr>
        <w:t>*** Significant at 1 per cent level of significance</w:t>
      </w:r>
    </w:p>
    <w:p w14:paraId="05729325" w14:textId="48D1493C" w:rsidR="00954846" w:rsidRPr="00095C62" w:rsidRDefault="00954846" w:rsidP="00D13B0A">
      <w:pPr>
        <w:widowControl w:val="0"/>
        <w:autoSpaceDE w:val="0"/>
        <w:autoSpaceDN w:val="0"/>
        <w:spacing w:after="120" w:line="240" w:lineRule="auto"/>
        <w:jc w:val="both"/>
        <w:rPr>
          <w:rFonts w:ascii="Arial" w:eastAsiaTheme="minorEastAsia" w:hAnsi="Arial" w:cs="Arial"/>
          <w:b/>
          <w:bCs/>
          <w:color w:val="000000" w:themeColor="text1"/>
          <w:kern w:val="0"/>
          <w14:ligatures w14:val="none"/>
        </w:rPr>
      </w:pPr>
      <w:r w:rsidRPr="00095C62">
        <w:rPr>
          <w:rFonts w:ascii="Arial" w:eastAsiaTheme="minorEastAsia" w:hAnsi="Arial" w:cs="Arial"/>
          <w:b/>
          <w:bCs/>
          <w:color w:val="000000" w:themeColor="text1"/>
          <w:kern w:val="0"/>
          <w14:ligatures w14:val="none"/>
        </w:rPr>
        <w:t>Export of Soybean</w:t>
      </w:r>
    </w:p>
    <w:p w14:paraId="0E2EB6FC" w14:textId="6A182561" w:rsidR="008816B2" w:rsidRPr="00295062" w:rsidRDefault="008816B2" w:rsidP="00D13B0A">
      <w:pPr>
        <w:spacing w:after="120" w:line="240" w:lineRule="auto"/>
        <w:ind w:firstLine="720"/>
        <w:jc w:val="both"/>
        <w:rPr>
          <w:rFonts w:ascii="Arial" w:eastAsiaTheme="minorEastAsia" w:hAnsi="Arial" w:cs="Arial"/>
          <w:color w:val="000000" w:themeColor="text1"/>
          <w:sz w:val="20"/>
          <w:szCs w:val="20"/>
          <w:lang w:bidi="mr-IN"/>
          <w14:ligatures w14:val="none"/>
        </w:rPr>
      </w:pPr>
      <w:r w:rsidRPr="00295062">
        <w:rPr>
          <w:rFonts w:ascii="Arial" w:eastAsiaTheme="minorEastAsia" w:hAnsi="Arial" w:cs="Arial"/>
          <w:color w:val="000000" w:themeColor="text1"/>
          <w:sz w:val="20"/>
          <w:szCs w:val="20"/>
          <w:lang w:bidi="mr-IN"/>
          <w14:ligatures w14:val="none"/>
        </w:rPr>
        <w:t xml:space="preserve">Table </w:t>
      </w:r>
      <w:r w:rsidR="00C47CD6" w:rsidRPr="00295062">
        <w:rPr>
          <w:rFonts w:ascii="Arial" w:eastAsiaTheme="minorEastAsia" w:hAnsi="Arial" w:cs="Arial"/>
          <w:color w:val="000000" w:themeColor="text1"/>
          <w:sz w:val="20"/>
          <w:szCs w:val="20"/>
          <w:lang w:bidi="mr-IN"/>
          <w14:ligatures w14:val="none"/>
        </w:rPr>
        <w:t>5</w:t>
      </w:r>
      <w:r w:rsidRPr="00295062">
        <w:rPr>
          <w:rFonts w:ascii="Arial" w:eastAsiaTheme="minorEastAsia" w:hAnsi="Arial" w:cs="Arial"/>
          <w:color w:val="000000" w:themeColor="text1"/>
          <w:sz w:val="20"/>
          <w:szCs w:val="20"/>
          <w:lang w:bidi="mr-IN"/>
          <w14:ligatures w14:val="none"/>
        </w:rPr>
        <w:t>, provided an extensive analysis of India's soybean exports over 28 years, showcasing significant growth and variability. From an initial 0.07 thousand metric tonnes in 1995, exports surged to 54.39 thousand metric tonnes by 2022.Export volumes fluctuated substantially, with the lowest recorded level at 0.07 thousand metric tonnes in 1995 and the highest at 292.49 thousand metric tonnes in 2017.</w:t>
      </w:r>
      <w:r w:rsidR="003466D3" w:rsidRPr="00295062">
        <w:rPr>
          <w:rFonts w:ascii="Arial" w:eastAsiaTheme="minorEastAsia" w:hAnsi="Arial" w:cs="Arial"/>
          <w:color w:val="000000" w:themeColor="text1"/>
          <w:sz w:val="20"/>
          <w:szCs w:val="20"/>
          <w:lang w:bidi="mr-IN"/>
          <w14:ligatures w14:val="none"/>
        </w:rPr>
        <w:t xml:space="preserve"> </w:t>
      </w:r>
      <w:r w:rsidRPr="00295062">
        <w:rPr>
          <w:rFonts w:ascii="Arial" w:eastAsiaTheme="minorEastAsia" w:hAnsi="Arial" w:cs="Arial"/>
          <w:color w:val="000000" w:themeColor="text1"/>
          <w:sz w:val="20"/>
          <w:szCs w:val="20"/>
          <w:lang w:bidi="mr-IN"/>
          <w14:ligatures w14:val="none"/>
        </w:rPr>
        <w:t>The export of soybeans exhibited fluctuating growth over the years. In 2000, exports rose to 43.38 thousand metric tonnes from 1.73 thousand metric tonnes in 1999</w:t>
      </w:r>
      <w:r w:rsidR="003466D3" w:rsidRPr="00295062">
        <w:rPr>
          <w:rFonts w:ascii="Arial" w:eastAsiaTheme="minorEastAsia" w:hAnsi="Arial" w:cs="Arial"/>
          <w:color w:val="000000" w:themeColor="text1"/>
          <w:sz w:val="20"/>
          <w:szCs w:val="20"/>
          <w:lang w:bidi="mr-IN"/>
          <w14:ligatures w14:val="none"/>
        </w:rPr>
        <w:t>.</w:t>
      </w:r>
      <w:r w:rsidRPr="00295062">
        <w:rPr>
          <w:rFonts w:ascii="Arial" w:eastAsiaTheme="minorEastAsia" w:hAnsi="Arial" w:cs="Arial"/>
          <w:color w:val="000000" w:themeColor="text1"/>
          <w:sz w:val="20"/>
          <w:szCs w:val="20"/>
          <w:lang w:bidi="mr-IN"/>
          <w14:ligatures w14:val="none"/>
        </w:rPr>
        <w:t xml:space="preserve"> </w:t>
      </w:r>
      <w:r w:rsidR="00CC30BB" w:rsidRPr="00295062">
        <w:rPr>
          <w:rFonts w:ascii="Arial" w:eastAsiaTheme="minorEastAsia" w:hAnsi="Arial" w:cs="Arial"/>
          <w:color w:val="000000" w:themeColor="text1"/>
          <w:sz w:val="20"/>
          <w:szCs w:val="20"/>
          <w:lang w:bidi="mr-IN"/>
          <w14:ligatures w14:val="none"/>
        </w:rPr>
        <w:t xml:space="preserve"> </w:t>
      </w:r>
    </w:p>
    <w:p w14:paraId="1979F1AD" w14:textId="77777777" w:rsidR="00B271EB" w:rsidRPr="00295062" w:rsidRDefault="00B271EB" w:rsidP="00D13B0A">
      <w:pPr>
        <w:spacing w:after="120" w:line="240" w:lineRule="auto"/>
        <w:ind w:firstLine="720"/>
        <w:jc w:val="both"/>
        <w:rPr>
          <w:rFonts w:ascii="Arial" w:eastAsiaTheme="minorEastAsia" w:hAnsi="Arial" w:cs="Arial"/>
          <w:color w:val="000000" w:themeColor="text1"/>
          <w:sz w:val="20"/>
          <w:szCs w:val="20"/>
          <w:lang w:bidi="mr-IN"/>
          <w14:ligatures w14:val="none"/>
        </w:rPr>
      </w:pPr>
      <w:r w:rsidRPr="00295062">
        <w:rPr>
          <w:rFonts w:ascii="Arial" w:eastAsiaTheme="minorEastAsia" w:hAnsi="Arial" w:cs="Arial"/>
          <w:color w:val="000000" w:themeColor="text1"/>
          <w:sz w:val="20"/>
          <w:szCs w:val="20"/>
          <w:lang w:bidi="mr-IN"/>
          <w14:ligatures w14:val="none"/>
        </w:rPr>
        <w:t xml:space="preserve">As </w:t>
      </w:r>
      <w:bookmarkStart w:id="5" w:name="_Hlk183876906"/>
      <w:r w:rsidRPr="00295062">
        <w:rPr>
          <w:rFonts w:ascii="Arial" w:eastAsiaTheme="minorEastAsia" w:hAnsi="Arial" w:cs="Arial"/>
          <w:color w:val="000000" w:themeColor="text1"/>
          <w:sz w:val="20"/>
          <w:szCs w:val="20"/>
          <w:lang w:bidi="mr-IN"/>
          <w14:ligatures w14:val="none"/>
        </w:rPr>
        <w:t xml:space="preserve">the AFTA and China-India Trade Agreement (2010) sparked a seven-year surge in India's soybean exports to China (2010 to 2017-18). Nevertheless, exports slowed considerably thereafter. </w:t>
      </w:r>
      <w:bookmarkEnd w:id="5"/>
      <w:r w:rsidRPr="00295062">
        <w:rPr>
          <w:rFonts w:ascii="Arial" w:eastAsiaTheme="minorEastAsia" w:hAnsi="Arial" w:cs="Arial"/>
          <w:color w:val="000000" w:themeColor="text1"/>
          <w:sz w:val="20"/>
          <w:szCs w:val="20"/>
          <w:lang w:bidi="mr-IN"/>
          <w14:ligatures w14:val="none"/>
        </w:rPr>
        <w:t xml:space="preserve">India's soybean exports traditionally went to the US, Canada, and Belgium. However, after the ASEAN Free Trade Area agreement, China became the primary buyer from 2010 to 2017. In 2017, China shifted to the US and Brazil due to competitive pricing, leading to a decline in India's soybean exports. </w:t>
      </w:r>
      <w:bookmarkStart w:id="6" w:name="_Hlk182928852"/>
      <w:r w:rsidRPr="00295062">
        <w:rPr>
          <w:rFonts w:ascii="Arial" w:eastAsiaTheme="minorEastAsia" w:hAnsi="Arial" w:cs="Arial"/>
          <w:color w:val="000000" w:themeColor="text1"/>
          <w:sz w:val="20"/>
          <w:szCs w:val="20"/>
          <w:lang w:bidi="mr-IN"/>
          <w14:ligatures w14:val="none"/>
        </w:rPr>
        <w:t xml:space="preserve">Similar outcomes were reported by Singh </w:t>
      </w:r>
      <w:r w:rsidRPr="00295062">
        <w:rPr>
          <w:rFonts w:ascii="Arial" w:eastAsiaTheme="minorEastAsia" w:hAnsi="Arial" w:cs="Arial"/>
          <w:i/>
          <w:iCs/>
          <w:color w:val="000000" w:themeColor="text1"/>
          <w:sz w:val="20"/>
          <w:szCs w:val="20"/>
          <w:lang w:bidi="mr-IN"/>
          <w14:ligatures w14:val="none"/>
        </w:rPr>
        <w:t xml:space="preserve">et al. </w:t>
      </w:r>
      <w:r w:rsidRPr="00295062">
        <w:rPr>
          <w:rFonts w:ascii="Arial" w:eastAsiaTheme="minorEastAsia" w:hAnsi="Arial" w:cs="Arial"/>
          <w:color w:val="000000" w:themeColor="text1"/>
          <w:sz w:val="20"/>
          <w:szCs w:val="20"/>
          <w:lang w:bidi="mr-IN"/>
          <w14:ligatures w14:val="none"/>
        </w:rPr>
        <w:t>(2022)</w:t>
      </w:r>
      <w:bookmarkEnd w:id="6"/>
      <w:r w:rsidRPr="00295062">
        <w:rPr>
          <w:rFonts w:ascii="Arial" w:eastAsiaTheme="minorEastAsia" w:hAnsi="Arial" w:cs="Arial"/>
          <w:color w:val="000000" w:themeColor="text1"/>
          <w:sz w:val="20"/>
          <w:szCs w:val="20"/>
          <w:lang w:bidi="mr-IN"/>
          <w14:ligatures w14:val="none"/>
        </w:rPr>
        <w:t>.</w:t>
      </w:r>
    </w:p>
    <w:p w14:paraId="6209A502" w14:textId="21D6736D" w:rsidR="008816B2" w:rsidRPr="00095C62" w:rsidRDefault="003466D3" w:rsidP="00D13B0A">
      <w:pPr>
        <w:widowControl w:val="0"/>
        <w:autoSpaceDE w:val="0"/>
        <w:autoSpaceDN w:val="0"/>
        <w:spacing w:after="120" w:line="240" w:lineRule="auto"/>
        <w:jc w:val="both"/>
        <w:rPr>
          <w:rFonts w:ascii="Arial" w:eastAsiaTheme="minorEastAsia" w:hAnsi="Arial" w:cs="Arial"/>
          <w:b/>
          <w:bCs/>
          <w:color w:val="000000" w:themeColor="text1"/>
          <w:kern w:val="0"/>
          <w14:ligatures w14:val="none"/>
        </w:rPr>
      </w:pPr>
      <w:r w:rsidRPr="00095C62">
        <w:rPr>
          <w:rFonts w:ascii="Arial" w:eastAsiaTheme="minorEastAsia" w:hAnsi="Arial" w:cs="Arial"/>
          <w:b/>
          <w:bCs/>
          <w:color w:val="000000" w:themeColor="text1"/>
          <w:kern w:val="0"/>
          <w14:ligatures w14:val="none"/>
        </w:rPr>
        <w:t xml:space="preserve">Table 5 </w:t>
      </w:r>
      <w:r w:rsidRPr="00095C62">
        <w:rPr>
          <w:rFonts w:ascii="Arial" w:eastAsiaTheme="minorEastAsia" w:hAnsi="Arial" w:cs="Arial"/>
          <w:b/>
          <w:bCs/>
          <w:color w:val="000000" w:themeColor="text1"/>
          <w:kern w:val="0"/>
          <w14:ligatures w14:val="none"/>
        </w:rPr>
        <w:tab/>
      </w:r>
      <w:r w:rsidR="008816B2" w:rsidRPr="00095C62">
        <w:rPr>
          <w:rFonts w:ascii="Arial" w:eastAsiaTheme="minorEastAsia" w:hAnsi="Arial" w:cs="Arial"/>
          <w:b/>
          <w:bCs/>
          <w:color w:val="000000" w:themeColor="text1"/>
          <w:kern w:val="0"/>
          <w14:ligatures w14:val="none"/>
        </w:rPr>
        <w:t xml:space="preserve">Export of Soybean  </w:t>
      </w: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977"/>
        <w:gridCol w:w="1832"/>
      </w:tblGrid>
      <w:tr w:rsidR="008816B2" w:rsidRPr="00095C62" w14:paraId="5573C25A" w14:textId="77777777" w:rsidTr="000A1A9C">
        <w:trPr>
          <w:trHeight w:val="20"/>
          <w:jc w:val="center"/>
        </w:trPr>
        <w:tc>
          <w:tcPr>
            <w:tcW w:w="1231" w:type="dxa"/>
            <w:noWrap/>
            <w:vAlign w:val="center"/>
            <w:hideMark/>
          </w:tcPr>
          <w:p w14:paraId="270C1ADD"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Year</w:t>
            </w:r>
          </w:p>
        </w:tc>
        <w:tc>
          <w:tcPr>
            <w:tcW w:w="1977" w:type="dxa"/>
            <w:noWrap/>
            <w:vAlign w:val="center"/>
            <w:hideMark/>
          </w:tcPr>
          <w:p w14:paraId="166F61A9"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Export Quantity (000’ MT)</w:t>
            </w:r>
          </w:p>
        </w:tc>
        <w:tc>
          <w:tcPr>
            <w:tcW w:w="1832" w:type="dxa"/>
            <w:noWrap/>
            <w:vAlign w:val="center"/>
            <w:hideMark/>
          </w:tcPr>
          <w:p w14:paraId="4A024DE9"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Per Cent Change</w:t>
            </w:r>
          </w:p>
        </w:tc>
      </w:tr>
      <w:tr w:rsidR="008816B2" w:rsidRPr="00095C62" w14:paraId="316593EB" w14:textId="77777777" w:rsidTr="000A1A9C">
        <w:tblPrEx>
          <w:jc w:val="left"/>
        </w:tblPrEx>
        <w:trPr>
          <w:trHeight w:val="20"/>
        </w:trPr>
        <w:tc>
          <w:tcPr>
            <w:tcW w:w="1231" w:type="dxa"/>
            <w:noWrap/>
            <w:vAlign w:val="center"/>
            <w:hideMark/>
          </w:tcPr>
          <w:p w14:paraId="54F3E750"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1995</w:t>
            </w:r>
          </w:p>
        </w:tc>
        <w:tc>
          <w:tcPr>
            <w:tcW w:w="1977" w:type="dxa"/>
            <w:noWrap/>
          </w:tcPr>
          <w:p w14:paraId="2BFDC221"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0.07</w:t>
            </w:r>
          </w:p>
        </w:tc>
        <w:tc>
          <w:tcPr>
            <w:tcW w:w="1832" w:type="dxa"/>
            <w:vAlign w:val="center"/>
          </w:tcPr>
          <w:p w14:paraId="410D2C34"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w:t>
            </w:r>
          </w:p>
        </w:tc>
      </w:tr>
      <w:tr w:rsidR="008816B2" w:rsidRPr="00095C62" w14:paraId="6767E844" w14:textId="77777777" w:rsidTr="000A1A9C">
        <w:tblPrEx>
          <w:jc w:val="left"/>
        </w:tblPrEx>
        <w:trPr>
          <w:trHeight w:val="20"/>
        </w:trPr>
        <w:tc>
          <w:tcPr>
            <w:tcW w:w="1231" w:type="dxa"/>
            <w:noWrap/>
            <w:vAlign w:val="center"/>
            <w:hideMark/>
          </w:tcPr>
          <w:p w14:paraId="20E86DB9"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1996</w:t>
            </w:r>
          </w:p>
        </w:tc>
        <w:tc>
          <w:tcPr>
            <w:tcW w:w="1977" w:type="dxa"/>
            <w:noWrap/>
          </w:tcPr>
          <w:p w14:paraId="0FC61366"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1.30</w:t>
            </w:r>
          </w:p>
        </w:tc>
        <w:tc>
          <w:tcPr>
            <w:tcW w:w="1832" w:type="dxa"/>
          </w:tcPr>
          <w:p w14:paraId="3CE2E494"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1898.28</w:t>
            </w:r>
          </w:p>
        </w:tc>
      </w:tr>
      <w:tr w:rsidR="008816B2" w:rsidRPr="00095C62" w14:paraId="7E882299" w14:textId="77777777" w:rsidTr="000A1A9C">
        <w:tblPrEx>
          <w:jc w:val="left"/>
        </w:tblPrEx>
        <w:trPr>
          <w:trHeight w:val="20"/>
        </w:trPr>
        <w:tc>
          <w:tcPr>
            <w:tcW w:w="1231" w:type="dxa"/>
            <w:noWrap/>
            <w:vAlign w:val="center"/>
            <w:hideMark/>
          </w:tcPr>
          <w:p w14:paraId="18466521"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1997</w:t>
            </w:r>
          </w:p>
        </w:tc>
        <w:tc>
          <w:tcPr>
            <w:tcW w:w="1977" w:type="dxa"/>
            <w:noWrap/>
          </w:tcPr>
          <w:p w14:paraId="5FA25018"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11.47</w:t>
            </w:r>
          </w:p>
        </w:tc>
        <w:tc>
          <w:tcPr>
            <w:tcW w:w="1832" w:type="dxa"/>
          </w:tcPr>
          <w:p w14:paraId="70E78FE4"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17544.62</w:t>
            </w:r>
          </w:p>
        </w:tc>
      </w:tr>
      <w:tr w:rsidR="008816B2" w:rsidRPr="00095C62" w14:paraId="3923C6A1" w14:textId="77777777" w:rsidTr="000A1A9C">
        <w:tblPrEx>
          <w:jc w:val="left"/>
        </w:tblPrEx>
        <w:trPr>
          <w:trHeight w:val="20"/>
        </w:trPr>
        <w:tc>
          <w:tcPr>
            <w:tcW w:w="1231" w:type="dxa"/>
            <w:noWrap/>
            <w:vAlign w:val="center"/>
            <w:hideMark/>
          </w:tcPr>
          <w:p w14:paraId="47A442B0"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1998</w:t>
            </w:r>
          </w:p>
        </w:tc>
        <w:tc>
          <w:tcPr>
            <w:tcW w:w="1977" w:type="dxa"/>
            <w:noWrap/>
          </w:tcPr>
          <w:p w14:paraId="039F4491"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1.33</w:t>
            </w:r>
          </w:p>
        </w:tc>
        <w:tc>
          <w:tcPr>
            <w:tcW w:w="1832" w:type="dxa"/>
          </w:tcPr>
          <w:p w14:paraId="10160E00"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1941.25</w:t>
            </w:r>
          </w:p>
        </w:tc>
      </w:tr>
      <w:tr w:rsidR="008816B2" w:rsidRPr="00095C62" w14:paraId="0CFBE96E" w14:textId="77777777" w:rsidTr="000A1A9C">
        <w:tblPrEx>
          <w:jc w:val="left"/>
        </w:tblPrEx>
        <w:trPr>
          <w:trHeight w:val="20"/>
        </w:trPr>
        <w:tc>
          <w:tcPr>
            <w:tcW w:w="1231" w:type="dxa"/>
            <w:noWrap/>
            <w:vAlign w:val="center"/>
            <w:hideMark/>
          </w:tcPr>
          <w:p w14:paraId="2C87E3E8"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1999</w:t>
            </w:r>
          </w:p>
        </w:tc>
        <w:tc>
          <w:tcPr>
            <w:tcW w:w="1977" w:type="dxa"/>
            <w:noWrap/>
          </w:tcPr>
          <w:p w14:paraId="743F17D1"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1.73</w:t>
            </w:r>
          </w:p>
        </w:tc>
        <w:tc>
          <w:tcPr>
            <w:tcW w:w="1832" w:type="dxa"/>
          </w:tcPr>
          <w:p w14:paraId="33819347"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2557.91</w:t>
            </w:r>
          </w:p>
        </w:tc>
      </w:tr>
      <w:tr w:rsidR="008816B2" w:rsidRPr="00095C62" w14:paraId="506CFC92" w14:textId="77777777" w:rsidTr="000A1A9C">
        <w:tblPrEx>
          <w:jc w:val="left"/>
        </w:tblPrEx>
        <w:trPr>
          <w:trHeight w:val="20"/>
        </w:trPr>
        <w:tc>
          <w:tcPr>
            <w:tcW w:w="1231" w:type="dxa"/>
            <w:shd w:val="clear" w:color="000000" w:fill="FFFFFF"/>
            <w:noWrap/>
            <w:vAlign w:val="center"/>
            <w:hideMark/>
          </w:tcPr>
          <w:p w14:paraId="3736E43F"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2000</w:t>
            </w:r>
          </w:p>
        </w:tc>
        <w:tc>
          <w:tcPr>
            <w:tcW w:w="1977" w:type="dxa"/>
            <w:shd w:val="clear" w:color="000000" w:fill="FFFFFF"/>
            <w:noWrap/>
          </w:tcPr>
          <w:p w14:paraId="4FDF2312"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43.38</w:t>
            </w:r>
          </w:p>
        </w:tc>
        <w:tc>
          <w:tcPr>
            <w:tcW w:w="1832" w:type="dxa"/>
          </w:tcPr>
          <w:p w14:paraId="3E514FBE"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66644.62</w:t>
            </w:r>
          </w:p>
        </w:tc>
      </w:tr>
      <w:tr w:rsidR="008816B2" w:rsidRPr="00095C62" w14:paraId="52E9BFC1" w14:textId="77777777" w:rsidTr="000A1A9C">
        <w:tblPrEx>
          <w:jc w:val="left"/>
        </w:tblPrEx>
        <w:trPr>
          <w:trHeight w:val="20"/>
        </w:trPr>
        <w:tc>
          <w:tcPr>
            <w:tcW w:w="1231" w:type="dxa"/>
            <w:noWrap/>
            <w:vAlign w:val="center"/>
            <w:hideMark/>
          </w:tcPr>
          <w:p w14:paraId="002250FF"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2001</w:t>
            </w:r>
          </w:p>
        </w:tc>
        <w:tc>
          <w:tcPr>
            <w:tcW w:w="1977" w:type="dxa"/>
            <w:noWrap/>
          </w:tcPr>
          <w:p w14:paraId="3F8A05F4"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32.50</w:t>
            </w:r>
          </w:p>
        </w:tc>
        <w:tc>
          <w:tcPr>
            <w:tcW w:w="1832" w:type="dxa"/>
          </w:tcPr>
          <w:p w14:paraId="2D1327C7"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49894.77</w:t>
            </w:r>
          </w:p>
        </w:tc>
      </w:tr>
      <w:tr w:rsidR="008816B2" w:rsidRPr="00095C62" w14:paraId="78080432" w14:textId="77777777" w:rsidTr="000A1A9C">
        <w:tblPrEx>
          <w:jc w:val="left"/>
        </w:tblPrEx>
        <w:trPr>
          <w:trHeight w:val="20"/>
        </w:trPr>
        <w:tc>
          <w:tcPr>
            <w:tcW w:w="1231" w:type="dxa"/>
            <w:noWrap/>
            <w:vAlign w:val="center"/>
            <w:hideMark/>
          </w:tcPr>
          <w:p w14:paraId="6C6E2D5F"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2002</w:t>
            </w:r>
          </w:p>
        </w:tc>
        <w:tc>
          <w:tcPr>
            <w:tcW w:w="1977" w:type="dxa"/>
            <w:noWrap/>
          </w:tcPr>
          <w:p w14:paraId="59CF82AE"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0.97</w:t>
            </w:r>
          </w:p>
        </w:tc>
        <w:tc>
          <w:tcPr>
            <w:tcW w:w="1832" w:type="dxa"/>
          </w:tcPr>
          <w:p w14:paraId="08D54014"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1393.26</w:t>
            </w:r>
          </w:p>
        </w:tc>
      </w:tr>
      <w:tr w:rsidR="008816B2" w:rsidRPr="00095C62" w14:paraId="4EE65CAE" w14:textId="77777777" w:rsidTr="000A1A9C">
        <w:tblPrEx>
          <w:jc w:val="left"/>
        </w:tblPrEx>
        <w:trPr>
          <w:trHeight w:val="20"/>
        </w:trPr>
        <w:tc>
          <w:tcPr>
            <w:tcW w:w="1231" w:type="dxa"/>
            <w:noWrap/>
            <w:vAlign w:val="center"/>
            <w:hideMark/>
          </w:tcPr>
          <w:p w14:paraId="6695F68F"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2003</w:t>
            </w:r>
          </w:p>
        </w:tc>
        <w:tc>
          <w:tcPr>
            <w:tcW w:w="1977" w:type="dxa"/>
            <w:noWrap/>
          </w:tcPr>
          <w:p w14:paraId="2220CAA8"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17.91</w:t>
            </w:r>
          </w:p>
        </w:tc>
        <w:tc>
          <w:tcPr>
            <w:tcW w:w="1832" w:type="dxa"/>
          </w:tcPr>
          <w:p w14:paraId="5F0B486D"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27457.38</w:t>
            </w:r>
          </w:p>
        </w:tc>
      </w:tr>
      <w:tr w:rsidR="008816B2" w:rsidRPr="00095C62" w14:paraId="2D8D84E9" w14:textId="77777777" w:rsidTr="000A1A9C">
        <w:tblPrEx>
          <w:jc w:val="left"/>
        </w:tblPrEx>
        <w:trPr>
          <w:trHeight w:val="20"/>
        </w:trPr>
        <w:tc>
          <w:tcPr>
            <w:tcW w:w="1231" w:type="dxa"/>
            <w:noWrap/>
            <w:vAlign w:val="center"/>
            <w:hideMark/>
          </w:tcPr>
          <w:p w14:paraId="767E6C4E"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2004</w:t>
            </w:r>
          </w:p>
        </w:tc>
        <w:tc>
          <w:tcPr>
            <w:tcW w:w="1977" w:type="dxa"/>
            <w:noWrap/>
          </w:tcPr>
          <w:p w14:paraId="6B0DD828"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226.51</w:t>
            </w:r>
          </w:p>
        </w:tc>
        <w:tc>
          <w:tcPr>
            <w:tcW w:w="1832" w:type="dxa"/>
          </w:tcPr>
          <w:p w14:paraId="0D2A5F0F"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348376.92</w:t>
            </w:r>
          </w:p>
        </w:tc>
      </w:tr>
      <w:tr w:rsidR="008816B2" w:rsidRPr="00095C62" w14:paraId="550C31FC" w14:textId="77777777" w:rsidTr="000A1A9C">
        <w:tblPrEx>
          <w:jc w:val="left"/>
        </w:tblPrEx>
        <w:trPr>
          <w:trHeight w:val="20"/>
        </w:trPr>
        <w:tc>
          <w:tcPr>
            <w:tcW w:w="1231" w:type="dxa"/>
            <w:noWrap/>
            <w:vAlign w:val="center"/>
            <w:hideMark/>
          </w:tcPr>
          <w:p w14:paraId="2930BCE8"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2005</w:t>
            </w:r>
          </w:p>
        </w:tc>
        <w:tc>
          <w:tcPr>
            <w:tcW w:w="1977" w:type="dxa"/>
            <w:noWrap/>
          </w:tcPr>
          <w:p w14:paraId="4DCBD717"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7.46</w:t>
            </w:r>
          </w:p>
        </w:tc>
        <w:tc>
          <w:tcPr>
            <w:tcW w:w="1832" w:type="dxa"/>
          </w:tcPr>
          <w:p w14:paraId="200759C9"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11373.91</w:t>
            </w:r>
          </w:p>
        </w:tc>
      </w:tr>
      <w:tr w:rsidR="008816B2" w:rsidRPr="00095C62" w14:paraId="2A7A6E0B" w14:textId="77777777" w:rsidTr="000A1A9C">
        <w:tblPrEx>
          <w:jc w:val="left"/>
        </w:tblPrEx>
        <w:trPr>
          <w:trHeight w:val="20"/>
        </w:trPr>
        <w:tc>
          <w:tcPr>
            <w:tcW w:w="1231" w:type="dxa"/>
            <w:noWrap/>
            <w:vAlign w:val="center"/>
            <w:hideMark/>
          </w:tcPr>
          <w:p w14:paraId="4FE672B4"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2006</w:t>
            </w:r>
          </w:p>
        </w:tc>
        <w:tc>
          <w:tcPr>
            <w:tcW w:w="1977" w:type="dxa"/>
            <w:noWrap/>
          </w:tcPr>
          <w:p w14:paraId="56CB3B48"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5.29</w:t>
            </w:r>
          </w:p>
        </w:tc>
        <w:tc>
          <w:tcPr>
            <w:tcW w:w="1832" w:type="dxa"/>
          </w:tcPr>
          <w:p w14:paraId="4DAE1578"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8039.65</w:t>
            </w:r>
          </w:p>
        </w:tc>
      </w:tr>
      <w:tr w:rsidR="008816B2" w:rsidRPr="00095C62" w14:paraId="1AF76EFE" w14:textId="77777777" w:rsidTr="000A1A9C">
        <w:tblPrEx>
          <w:jc w:val="left"/>
        </w:tblPrEx>
        <w:trPr>
          <w:trHeight w:val="20"/>
        </w:trPr>
        <w:tc>
          <w:tcPr>
            <w:tcW w:w="1231" w:type="dxa"/>
            <w:noWrap/>
            <w:vAlign w:val="center"/>
            <w:hideMark/>
          </w:tcPr>
          <w:p w14:paraId="35DC607B"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2007</w:t>
            </w:r>
          </w:p>
        </w:tc>
        <w:tc>
          <w:tcPr>
            <w:tcW w:w="1977" w:type="dxa"/>
            <w:noWrap/>
          </w:tcPr>
          <w:p w14:paraId="626E2945"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2.65</w:t>
            </w:r>
          </w:p>
        </w:tc>
        <w:tc>
          <w:tcPr>
            <w:tcW w:w="1832" w:type="dxa"/>
          </w:tcPr>
          <w:p w14:paraId="37322D0F"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3976.12</w:t>
            </w:r>
          </w:p>
        </w:tc>
      </w:tr>
      <w:tr w:rsidR="008816B2" w:rsidRPr="00095C62" w14:paraId="6DEF5EE0" w14:textId="77777777" w:rsidTr="000A1A9C">
        <w:tblPrEx>
          <w:jc w:val="left"/>
        </w:tblPrEx>
        <w:trPr>
          <w:trHeight w:val="20"/>
        </w:trPr>
        <w:tc>
          <w:tcPr>
            <w:tcW w:w="1231" w:type="dxa"/>
            <w:noWrap/>
            <w:vAlign w:val="center"/>
            <w:hideMark/>
          </w:tcPr>
          <w:p w14:paraId="2169D83F"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2008</w:t>
            </w:r>
          </w:p>
        </w:tc>
        <w:tc>
          <w:tcPr>
            <w:tcW w:w="1977" w:type="dxa"/>
            <w:noWrap/>
          </w:tcPr>
          <w:p w14:paraId="7499B7C9"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19.17</w:t>
            </w:r>
          </w:p>
        </w:tc>
        <w:tc>
          <w:tcPr>
            <w:tcW w:w="1832" w:type="dxa"/>
          </w:tcPr>
          <w:p w14:paraId="482C7E20"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29399.38</w:t>
            </w:r>
          </w:p>
        </w:tc>
      </w:tr>
      <w:tr w:rsidR="008816B2" w:rsidRPr="00095C62" w14:paraId="0A6769A5" w14:textId="77777777" w:rsidTr="000A1A9C">
        <w:tblPrEx>
          <w:jc w:val="left"/>
        </w:tblPrEx>
        <w:trPr>
          <w:trHeight w:val="20"/>
        </w:trPr>
        <w:tc>
          <w:tcPr>
            <w:tcW w:w="1231" w:type="dxa"/>
            <w:noWrap/>
            <w:vAlign w:val="center"/>
            <w:hideMark/>
          </w:tcPr>
          <w:p w14:paraId="13179BA2"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2009</w:t>
            </w:r>
          </w:p>
        </w:tc>
        <w:tc>
          <w:tcPr>
            <w:tcW w:w="1977" w:type="dxa"/>
            <w:noWrap/>
          </w:tcPr>
          <w:p w14:paraId="0BBA4AD4"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50.33</w:t>
            </w:r>
          </w:p>
        </w:tc>
        <w:tc>
          <w:tcPr>
            <w:tcW w:w="1832" w:type="dxa"/>
          </w:tcPr>
          <w:p w14:paraId="04D56A9B"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77327.23</w:t>
            </w:r>
          </w:p>
        </w:tc>
      </w:tr>
      <w:tr w:rsidR="008816B2" w:rsidRPr="00095C62" w14:paraId="52DB7489" w14:textId="77777777" w:rsidTr="000A1A9C">
        <w:tblPrEx>
          <w:jc w:val="left"/>
        </w:tblPrEx>
        <w:trPr>
          <w:trHeight w:val="20"/>
        </w:trPr>
        <w:tc>
          <w:tcPr>
            <w:tcW w:w="1231" w:type="dxa"/>
            <w:noWrap/>
            <w:vAlign w:val="center"/>
            <w:hideMark/>
          </w:tcPr>
          <w:p w14:paraId="3C4C8E4C"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2010</w:t>
            </w:r>
          </w:p>
        </w:tc>
        <w:tc>
          <w:tcPr>
            <w:tcW w:w="1977" w:type="dxa"/>
            <w:noWrap/>
          </w:tcPr>
          <w:p w14:paraId="5FFBCBA7"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17.32</w:t>
            </w:r>
          </w:p>
        </w:tc>
        <w:tc>
          <w:tcPr>
            <w:tcW w:w="1832" w:type="dxa"/>
          </w:tcPr>
          <w:p w14:paraId="59C0C1E6"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26548.92</w:t>
            </w:r>
          </w:p>
        </w:tc>
      </w:tr>
      <w:tr w:rsidR="008816B2" w:rsidRPr="00095C62" w14:paraId="25890E6A" w14:textId="77777777" w:rsidTr="000A1A9C">
        <w:tblPrEx>
          <w:jc w:val="left"/>
        </w:tblPrEx>
        <w:trPr>
          <w:trHeight w:val="20"/>
        </w:trPr>
        <w:tc>
          <w:tcPr>
            <w:tcW w:w="1231" w:type="dxa"/>
            <w:noWrap/>
            <w:vAlign w:val="center"/>
            <w:hideMark/>
          </w:tcPr>
          <w:p w14:paraId="48129FC2"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2011</w:t>
            </w:r>
          </w:p>
        </w:tc>
        <w:tc>
          <w:tcPr>
            <w:tcW w:w="1977" w:type="dxa"/>
            <w:noWrap/>
          </w:tcPr>
          <w:p w14:paraId="0D87B636"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30.56</w:t>
            </w:r>
          </w:p>
        </w:tc>
        <w:tc>
          <w:tcPr>
            <w:tcW w:w="1832" w:type="dxa"/>
          </w:tcPr>
          <w:p w14:paraId="2A65FC34"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46909.85</w:t>
            </w:r>
          </w:p>
        </w:tc>
      </w:tr>
      <w:tr w:rsidR="008816B2" w:rsidRPr="00095C62" w14:paraId="190F055E" w14:textId="77777777" w:rsidTr="000A1A9C">
        <w:tblPrEx>
          <w:jc w:val="left"/>
        </w:tblPrEx>
        <w:trPr>
          <w:trHeight w:val="20"/>
        </w:trPr>
        <w:tc>
          <w:tcPr>
            <w:tcW w:w="1231" w:type="dxa"/>
            <w:noWrap/>
            <w:vAlign w:val="center"/>
            <w:hideMark/>
          </w:tcPr>
          <w:p w14:paraId="15FAC2D7"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2012</w:t>
            </w:r>
          </w:p>
        </w:tc>
        <w:tc>
          <w:tcPr>
            <w:tcW w:w="1977" w:type="dxa"/>
            <w:noWrap/>
          </w:tcPr>
          <w:p w14:paraId="50116CC6"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46.25</w:t>
            </w:r>
          </w:p>
        </w:tc>
        <w:tc>
          <w:tcPr>
            <w:tcW w:w="1832" w:type="dxa"/>
          </w:tcPr>
          <w:p w14:paraId="4786CA63"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71055.08</w:t>
            </w:r>
          </w:p>
        </w:tc>
      </w:tr>
      <w:tr w:rsidR="008816B2" w:rsidRPr="00095C62" w14:paraId="4A42F292" w14:textId="77777777" w:rsidTr="000A1A9C">
        <w:tblPrEx>
          <w:jc w:val="left"/>
        </w:tblPrEx>
        <w:trPr>
          <w:trHeight w:val="20"/>
        </w:trPr>
        <w:tc>
          <w:tcPr>
            <w:tcW w:w="1231" w:type="dxa"/>
            <w:noWrap/>
            <w:vAlign w:val="center"/>
            <w:hideMark/>
          </w:tcPr>
          <w:p w14:paraId="704DB2F9"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2013</w:t>
            </w:r>
          </w:p>
        </w:tc>
        <w:tc>
          <w:tcPr>
            <w:tcW w:w="1977" w:type="dxa"/>
            <w:noWrap/>
          </w:tcPr>
          <w:p w14:paraId="6FD7F3C3"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109.60</w:t>
            </w:r>
          </w:p>
        </w:tc>
        <w:tc>
          <w:tcPr>
            <w:tcW w:w="1832" w:type="dxa"/>
          </w:tcPr>
          <w:p w14:paraId="4AAF830A"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168509.23</w:t>
            </w:r>
          </w:p>
        </w:tc>
      </w:tr>
      <w:tr w:rsidR="008816B2" w:rsidRPr="00095C62" w14:paraId="0CF2DED1" w14:textId="77777777" w:rsidTr="000A1A9C">
        <w:tblPrEx>
          <w:jc w:val="left"/>
        </w:tblPrEx>
        <w:trPr>
          <w:trHeight w:val="20"/>
        </w:trPr>
        <w:tc>
          <w:tcPr>
            <w:tcW w:w="1231" w:type="dxa"/>
            <w:noWrap/>
            <w:vAlign w:val="center"/>
            <w:hideMark/>
          </w:tcPr>
          <w:p w14:paraId="0560A003"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2014</w:t>
            </w:r>
          </w:p>
        </w:tc>
        <w:tc>
          <w:tcPr>
            <w:tcW w:w="1977" w:type="dxa"/>
            <w:noWrap/>
          </w:tcPr>
          <w:p w14:paraId="66E745D0"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204.37</w:t>
            </w:r>
          </w:p>
        </w:tc>
        <w:tc>
          <w:tcPr>
            <w:tcW w:w="1832" w:type="dxa"/>
          </w:tcPr>
          <w:p w14:paraId="516E3BA4"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314307.69</w:t>
            </w:r>
          </w:p>
        </w:tc>
      </w:tr>
      <w:tr w:rsidR="008816B2" w:rsidRPr="00095C62" w14:paraId="08443ADD" w14:textId="77777777" w:rsidTr="000A1A9C">
        <w:tblPrEx>
          <w:jc w:val="left"/>
        </w:tblPrEx>
        <w:trPr>
          <w:trHeight w:val="20"/>
        </w:trPr>
        <w:tc>
          <w:tcPr>
            <w:tcW w:w="1231" w:type="dxa"/>
            <w:noWrap/>
            <w:vAlign w:val="center"/>
            <w:hideMark/>
          </w:tcPr>
          <w:p w14:paraId="5C5AC267"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2015</w:t>
            </w:r>
          </w:p>
        </w:tc>
        <w:tc>
          <w:tcPr>
            <w:tcW w:w="1977" w:type="dxa"/>
            <w:noWrap/>
          </w:tcPr>
          <w:p w14:paraId="20E0D864"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212.02</w:t>
            </w:r>
          </w:p>
        </w:tc>
        <w:tc>
          <w:tcPr>
            <w:tcW w:w="1832" w:type="dxa"/>
          </w:tcPr>
          <w:p w14:paraId="6CDA282D"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326076.92</w:t>
            </w:r>
          </w:p>
        </w:tc>
      </w:tr>
      <w:tr w:rsidR="008816B2" w:rsidRPr="00095C62" w14:paraId="21DDB587" w14:textId="77777777" w:rsidTr="000A1A9C">
        <w:tblPrEx>
          <w:jc w:val="left"/>
        </w:tblPrEx>
        <w:trPr>
          <w:trHeight w:val="20"/>
        </w:trPr>
        <w:tc>
          <w:tcPr>
            <w:tcW w:w="1231" w:type="dxa"/>
            <w:noWrap/>
            <w:vAlign w:val="center"/>
            <w:hideMark/>
          </w:tcPr>
          <w:p w14:paraId="3C92F525"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2016</w:t>
            </w:r>
          </w:p>
        </w:tc>
        <w:tc>
          <w:tcPr>
            <w:tcW w:w="1977" w:type="dxa"/>
            <w:noWrap/>
          </w:tcPr>
          <w:p w14:paraId="6CD36381"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149.83</w:t>
            </w:r>
          </w:p>
        </w:tc>
        <w:tc>
          <w:tcPr>
            <w:tcW w:w="1832" w:type="dxa"/>
          </w:tcPr>
          <w:p w14:paraId="049D4E9E"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230410.77</w:t>
            </w:r>
          </w:p>
        </w:tc>
      </w:tr>
      <w:tr w:rsidR="008816B2" w:rsidRPr="00095C62" w14:paraId="4F9B96EE" w14:textId="77777777" w:rsidTr="000A1A9C">
        <w:tblPrEx>
          <w:jc w:val="left"/>
        </w:tblPrEx>
        <w:trPr>
          <w:trHeight w:val="20"/>
        </w:trPr>
        <w:tc>
          <w:tcPr>
            <w:tcW w:w="1231" w:type="dxa"/>
            <w:noWrap/>
            <w:vAlign w:val="center"/>
            <w:hideMark/>
          </w:tcPr>
          <w:p w14:paraId="5189C360"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2017</w:t>
            </w:r>
          </w:p>
        </w:tc>
        <w:tc>
          <w:tcPr>
            <w:tcW w:w="1977" w:type="dxa"/>
            <w:noWrap/>
          </w:tcPr>
          <w:p w14:paraId="2D1910B8"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292.49</w:t>
            </w:r>
          </w:p>
        </w:tc>
        <w:tc>
          <w:tcPr>
            <w:tcW w:w="1832" w:type="dxa"/>
          </w:tcPr>
          <w:p w14:paraId="35A32A54"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449886.15</w:t>
            </w:r>
          </w:p>
        </w:tc>
      </w:tr>
      <w:tr w:rsidR="008816B2" w:rsidRPr="00095C62" w14:paraId="4A1F9F17" w14:textId="77777777" w:rsidTr="000A1A9C">
        <w:tblPrEx>
          <w:jc w:val="left"/>
        </w:tblPrEx>
        <w:trPr>
          <w:trHeight w:val="20"/>
        </w:trPr>
        <w:tc>
          <w:tcPr>
            <w:tcW w:w="1231" w:type="dxa"/>
            <w:noWrap/>
            <w:vAlign w:val="center"/>
            <w:hideMark/>
          </w:tcPr>
          <w:p w14:paraId="1EFA0E11"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2018</w:t>
            </w:r>
          </w:p>
        </w:tc>
        <w:tc>
          <w:tcPr>
            <w:tcW w:w="1977" w:type="dxa"/>
            <w:noWrap/>
          </w:tcPr>
          <w:p w14:paraId="79FA6156"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209.85</w:t>
            </w:r>
          </w:p>
        </w:tc>
        <w:tc>
          <w:tcPr>
            <w:tcW w:w="1832" w:type="dxa"/>
          </w:tcPr>
          <w:p w14:paraId="1575252B"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322740.00</w:t>
            </w:r>
          </w:p>
        </w:tc>
      </w:tr>
      <w:tr w:rsidR="008816B2" w:rsidRPr="00095C62" w14:paraId="1C86DC64" w14:textId="77777777" w:rsidTr="000A1A9C">
        <w:tblPrEx>
          <w:jc w:val="left"/>
        </w:tblPrEx>
        <w:trPr>
          <w:trHeight w:val="20"/>
        </w:trPr>
        <w:tc>
          <w:tcPr>
            <w:tcW w:w="1231" w:type="dxa"/>
            <w:noWrap/>
            <w:vAlign w:val="center"/>
            <w:hideMark/>
          </w:tcPr>
          <w:p w14:paraId="3A26FF3C"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2019</w:t>
            </w:r>
          </w:p>
        </w:tc>
        <w:tc>
          <w:tcPr>
            <w:tcW w:w="1977" w:type="dxa"/>
            <w:noWrap/>
          </w:tcPr>
          <w:p w14:paraId="051A7E63"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103.73</w:t>
            </w:r>
          </w:p>
        </w:tc>
        <w:tc>
          <w:tcPr>
            <w:tcW w:w="1832" w:type="dxa"/>
          </w:tcPr>
          <w:p w14:paraId="646F4A6B"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159481.54</w:t>
            </w:r>
          </w:p>
        </w:tc>
      </w:tr>
      <w:tr w:rsidR="008816B2" w:rsidRPr="00095C62" w14:paraId="53CCD9C2" w14:textId="77777777" w:rsidTr="000A1A9C">
        <w:tblPrEx>
          <w:jc w:val="left"/>
        </w:tblPrEx>
        <w:trPr>
          <w:trHeight w:val="20"/>
        </w:trPr>
        <w:tc>
          <w:tcPr>
            <w:tcW w:w="1231" w:type="dxa"/>
            <w:noWrap/>
            <w:vAlign w:val="center"/>
            <w:hideMark/>
          </w:tcPr>
          <w:p w14:paraId="7CC1A2EB"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2020</w:t>
            </w:r>
          </w:p>
        </w:tc>
        <w:tc>
          <w:tcPr>
            <w:tcW w:w="1977" w:type="dxa"/>
            <w:noWrap/>
          </w:tcPr>
          <w:p w14:paraId="2B941339"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72.02</w:t>
            </w:r>
          </w:p>
        </w:tc>
        <w:tc>
          <w:tcPr>
            <w:tcW w:w="1832" w:type="dxa"/>
          </w:tcPr>
          <w:p w14:paraId="6AB2434D"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110700.77</w:t>
            </w:r>
          </w:p>
        </w:tc>
      </w:tr>
      <w:tr w:rsidR="008816B2" w:rsidRPr="00095C62" w14:paraId="5D23B5A5" w14:textId="77777777" w:rsidTr="000A1A9C">
        <w:tblPrEx>
          <w:jc w:val="left"/>
        </w:tblPrEx>
        <w:trPr>
          <w:trHeight w:val="20"/>
        </w:trPr>
        <w:tc>
          <w:tcPr>
            <w:tcW w:w="1231" w:type="dxa"/>
            <w:noWrap/>
            <w:vAlign w:val="center"/>
            <w:hideMark/>
          </w:tcPr>
          <w:p w14:paraId="74CAB9D2"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2021</w:t>
            </w:r>
          </w:p>
        </w:tc>
        <w:tc>
          <w:tcPr>
            <w:tcW w:w="1977" w:type="dxa"/>
            <w:noWrap/>
          </w:tcPr>
          <w:p w14:paraId="20479F08"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24.48</w:t>
            </w:r>
          </w:p>
        </w:tc>
        <w:tc>
          <w:tcPr>
            <w:tcW w:w="1832" w:type="dxa"/>
          </w:tcPr>
          <w:p w14:paraId="76ACC58D"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37558.31</w:t>
            </w:r>
          </w:p>
        </w:tc>
      </w:tr>
      <w:tr w:rsidR="008816B2" w:rsidRPr="00095C62" w14:paraId="66FFA1F5" w14:textId="77777777" w:rsidTr="000A1A9C">
        <w:tblPrEx>
          <w:jc w:val="left"/>
        </w:tblPrEx>
        <w:trPr>
          <w:trHeight w:val="20"/>
        </w:trPr>
        <w:tc>
          <w:tcPr>
            <w:tcW w:w="1231" w:type="dxa"/>
            <w:noWrap/>
            <w:vAlign w:val="center"/>
            <w:hideMark/>
          </w:tcPr>
          <w:p w14:paraId="3DFC6BDC"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imes New Roman" w:hAnsi="Arial" w:cs="Arial"/>
                <w:color w:val="000000" w:themeColor="text1"/>
                <w:lang w:bidi="mr-IN"/>
                <w14:ligatures w14:val="none"/>
              </w:rPr>
              <w:t>2022</w:t>
            </w:r>
          </w:p>
        </w:tc>
        <w:tc>
          <w:tcPr>
            <w:tcW w:w="1977" w:type="dxa"/>
            <w:noWrap/>
          </w:tcPr>
          <w:p w14:paraId="17C2A680"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eastAsiaTheme="minorEastAsia" w:hAnsi="Arial" w:cs="Arial"/>
                <w:color w:val="000000" w:themeColor="text1"/>
                <w:lang w:bidi="mr-IN"/>
                <w14:ligatures w14:val="none"/>
              </w:rPr>
              <w:t>54.39</w:t>
            </w:r>
          </w:p>
        </w:tc>
        <w:tc>
          <w:tcPr>
            <w:tcW w:w="1832" w:type="dxa"/>
          </w:tcPr>
          <w:p w14:paraId="217A2C3B" w14:textId="77777777" w:rsidR="008816B2" w:rsidRPr="00095C62" w:rsidRDefault="008816B2" w:rsidP="00D13B0A">
            <w:pPr>
              <w:spacing w:after="0" w:line="240" w:lineRule="auto"/>
              <w:jc w:val="center"/>
              <w:rPr>
                <w:rFonts w:ascii="Arial" w:eastAsia="Times New Roman" w:hAnsi="Arial" w:cs="Arial"/>
                <w:color w:val="000000" w:themeColor="text1"/>
                <w:lang w:bidi="mr-IN"/>
                <w14:ligatures w14:val="none"/>
              </w:rPr>
            </w:pPr>
            <w:r w:rsidRPr="00095C62">
              <w:rPr>
                <w:rFonts w:ascii="Arial" w:hAnsi="Arial" w:cs="Arial"/>
                <w:color w:val="000000" w:themeColor="text1"/>
              </w:rPr>
              <w:t>83582.00</w:t>
            </w:r>
          </w:p>
        </w:tc>
      </w:tr>
    </w:tbl>
    <w:p w14:paraId="77F51BA0" w14:textId="77777777" w:rsidR="008816B2" w:rsidRPr="00095C62" w:rsidRDefault="008816B2" w:rsidP="00D13B0A">
      <w:pPr>
        <w:spacing w:after="120" w:line="240" w:lineRule="auto"/>
        <w:jc w:val="both"/>
        <w:rPr>
          <w:rFonts w:ascii="Arial" w:eastAsiaTheme="minorEastAsia" w:hAnsi="Arial" w:cs="Arial"/>
          <w:b/>
          <w:bCs/>
          <w:color w:val="000000" w:themeColor="text1"/>
          <w:lang w:bidi="mr-IN"/>
          <w14:ligatures w14:val="none"/>
        </w:rPr>
      </w:pPr>
      <w:r w:rsidRPr="00095C62">
        <w:rPr>
          <w:rFonts w:ascii="Arial" w:eastAsiaTheme="minorEastAsia" w:hAnsi="Arial" w:cs="Arial"/>
          <w:color w:val="000000" w:themeColor="text1"/>
          <w:lang w:bidi="mr-IN"/>
          <w14:ligatures w14:val="none"/>
        </w:rPr>
        <w:t xml:space="preserve">   </w:t>
      </w:r>
      <w:r w:rsidRPr="00095C62">
        <w:rPr>
          <w:rFonts w:ascii="Arial" w:eastAsiaTheme="minorEastAsia" w:hAnsi="Arial" w:cs="Arial"/>
          <w:color w:val="000000" w:themeColor="text1"/>
          <w:lang w:bidi="mr-IN"/>
          <w14:ligatures w14:val="none"/>
        </w:rPr>
        <w:tab/>
      </w:r>
      <w:r w:rsidRPr="00095C62">
        <w:rPr>
          <w:rFonts w:ascii="Arial" w:eastAsiaTheme="minorEastAsia" w:hAnsi="Arial" w:cs="Arial"/>
          <w:color w:val="000000" w:themeColor="text1"/>
          <w:lang w:bidi="mr-IN"/>
          <w14:ligatures w14:val="none"/>
        </w:rPr>
        <w:tab/>
      </w:r>
      <w:r w:rsidRPr="00095C62">
        <w:rPr>
          <w:rFonts w:ascii="Arial" w:eastAsiaTheme="minorEastAsia" w:hAnsi="Arial" w:cs="Arial"/>
          <w:color w:val="000000" w:themeColor="text1"/>
          <w:lang w:bidi="mr-IN"/>
          <w14:ligatures w14:val="none"/>
        </w:rPr>
        <w:tab/>
      </w:r>
      <w:r w:rsidRPr="00095C62">
        <w:rPr>
          <w:rFonts w:ascii="Arial" w:eastAsiaTheme="minorEastAsia" w:hAnsi="Arial" w:cs="Arial"/>
          <w:b/>
          <w:bCs/>
          <w:color w:val="000000" w:themeColor="text1"/>
          <w:lang w:bidi="mr-IN"/>
          <w14:ligatures w14:val="none"/>
        </w:rPr>
        <w:t>Source: DGCI&amp;S, Indiastat, USDA</w:t>
      </w:r>
    </w:p>
    <w:p w14:paraId="2F1E23B8" w14:textId="1D12C12B" w:rsidR="008816B2" w:rsidRPr="00095C62" w:rsidRDefault="008816B2" w:rsidP="00D13B0A">
      <w:pPr>
        <w:widowControl w:val="0"/>
        <w:autoSpaceDE w:val="0"/>
        <w:autoSpaceDN w:val="0"/>
        <w:spacing w:after="120" w:line="240" w:lineRule="auto"/>
        <w:jc w:val="both"/>
        <w:rPr>
          <w:rFonts w:ascii="Arial" w:eastAsia="Verdana" w:hAnsi="Arial" w:cs="Arial"/>
          <w:b/>
          <w:bCs/>
          <w:color w:val="000000" w:themeColor="text1"/>
          <w:kern w:val="0"/>
          <w14:ligatures w14:val="none"/>
        </w:rPr>
      </w:pPr>
      <w:r w:rsidRPr="00095C62">
        <w:rPr>
          <w:rFonts w:ascii="Arial" w:eastAsiaTheme="minorEastAsia" w:hAnsi="Arial" w:cs="Arial"/>
          <w:b/>
          <w:bCs/>
          <w:color w:val="000000" w:themeColor="text1"/>
          <w:kern w:val="0"/>
          <w14:ligatures w14:val="none"/>
        </w:rPr>
        <w:t xml:space="preserve">Growth and Instability in the Export of Soybean  </w:t>
      </w:r>
    </w:p>
    <w:p w14:paraId="324D1D2A" w14:textId="455E96DC" w:rsidR="008816B2" w:rsidRPr="00295062" w:rsidRDefault="008816B2" w:rsidP="00D13B0A">
      <w:pPr>
        <w:shd w:val="clear" w:color="auto" w:fill="FFFFFF"/>
        <w:spacing w:after="120" w:line="240" w:lineRule="auto"/>
        <w:ind w:firstLine="720"/>
        <w:jc w:val="both"/>
        <w:rPr>
          <w:rFonts w:ascii="Arial" w:eastAsia="Times New Roman" w:hAnsi="Arial" w:cs="Arial"/>
          <w:color w:val="000000" w:themeColor="text1"/>
          <w:kern w:val="0"/>
          <w:sz w:val="20"/>
          <w:szCs w:val="20"/>
          <w:lang w:bidi="mr-IN"/>
          <w14:ligatures w14:val="none"/>
        </w:rPr>
      </w:pPr>
      <w:r w:rsidRPr="00295062">
        <w:rPr>
          <w:rFonts w:ascii="Arial" w:eastAsia="Times New Roman" w:hAnsi="Arial" w:cs="Arial"/>
          <w:color w:val="000000" w:themeColor="text1"/>
          <w:kern w:val="0"/>
          <w:sz w:val="20"/>
          <w:szCs w:val="20"/>
          <w:lang w:bidi="mr-IN"/>
          <w14:ligatures w14:val="none"/>
        </w:rPr>
        <w:t xml:space="preserve">Table </w:t>
      </w:r>
      <w:r w:rsidR="00A706E3" w:rsidRPr="00295062">
        <w:rPr>
          <w:rFonts w:ascii="Arial" w:eastAsia="Times New Roman" w:hAnsi="Arial" w:cs="Arial"/>
          <w:color w:val="000000" w:themeColor="text1"/>
          <w:kern w:val="0"/>
          <w:sz w:val="20"/>
          <w:szCs w:val="20"/>
          <w:lang w:bidi="mr-IN"/>
          <w14:ligatures w14:val="none"/>
        </w:rPr>
        <w:t>6</w:t>
      </w:r>
      <w:r w:rsidRPr="00295062">
        <w:rPr>
          <w:rFonts w:ascii="Arial" w:eastAsia="Times New Roman" w:hAnsi="Arial" w:cs="Arial"/>
          <w:color w:val="000000" w:themeColor="text1"/>
          <w:kern w:val="0"/>
          <w:sz w:val="20"/>
          <w:szCs w:val="20"/>
          <w:lang w:bidi="mr-IN"/>
          <w14:ligatures w14:val="none"/>
        </w:rPr>
        <w:t>, showed that India's soybean exports grew at a significant annual growth rate of 19.60 per cent from 1995 to 2022. This growth rate was statistically significant at a one per cent level, indicating strong growth in exports.</w:t>
      </w:r>
    </w:p>
    <w:p w14:paraId="5860C7CA" w14:textId="09725EC9" w:rsidR="008816B2" w:rsidRPr="00295062" w:rsidRDefault="008816B2" w:rsidP="00D13B0A">
      <w:pPr>
        <w:spacing w:after="120" w:line="240" w:lineRule="auto"/>
        <w:ind w:firstLine="720"/>
        <w:jc w:val="both"/>
        <w:rPr>
          <w:rFonts w:ascii="Arial" w:eastAsia="Times New Roman" w:hAnsi="Arial" w:cs="Arial"/>
          <w:color w:val="000000" w:themeColor="text1"/>
          <w:kern w:val="0"/>
          <w:sz w:val="20"/>
          <w:szCs w:val="20"/>
          <w:lang w:bidi="mr-IN"/>
          <w14:ligatures w14:val="none"/>
        </w:rPr>
      </w:pPr>
      <w:r w:rsidRPr="00295062">
        <w:rPr>
          <w:rFonts w:ascii="Arial" w:eastAsia="Times New Roman" w:hAnsi="Arial" w:cs="Arial"/>
          <w:color w:val="000000" w:themeColor="text1"/>
          <w:kern w:val="0"/>
          <w:sz w:val="20"/>
          <w:szCs w:val="20"/>
          <w:lang w:bidi="mr-IN"/>
          <w14:ligatures w14:val="none"/>
        </w:rPr>
        <w:t xml:space="preserve">The coefficient of variation for exports was exceptionally high at 122.31 per cent, revealing a very high degree of variability in the export. Additionally, the Cuddy Della Valle instability index stood at 85.49 per cent, indicating a high level of instability in the export figures. These findings highlighted the </w:t>
      </w:r>
      <w:r w:rsidRPr="00295062">
        <w:rPr>
          <w:rFonts w:ascii="Arial" w:eastAsia="Times New Roman" w:hAnsi="Arial" w:cs="Arial"/>
          <w:color w:val="000000" w:themeColor="text1"/>
          <w:kern w:val="0"/>
          <w:sz w:val="20"/>
          <w:szCs w:val="20"/>
          <w:lang w:bidi="mr-IN"/>
          <w14:ligatures w14:val="none"/>
        </w:rPr>
        <w:lastRenderedPageBreak/>
        <w:t xml:space="preserve">effectiveness of the CDVI in capturing fluctuations in agricultural production and exports by utilizing the coefficient of determination to detrend the coefficient of variation. </w:t>
      </w:r>
      <w:r w:rsidRPr="00295062">
        <w:rPr>
          <w:rFonts w:ascii="Arial" w:eastAsiaTheme="minorEastAsia" w:hAnsi="Arial" w:cs="Arial"/>
          <w:color w:val="000000" w:themeColor="text1"/>
          <w:sz w:val="20"/>
          <w:szCs w:val="20"/>
          <w:lang w:bidi="mr-IN"/>
          <w14:ligatures w14:val="none"/>
        </w:rPr>
        <w:t xml:space="preserve">The study revealed that India's soybean exports exhibited remarkable growth, marked by substantial fluctuations, primarily due to the surplus production and Asian Free Trade Area agreement. </w:t>
      </w:r>
      <w:r w:rsidRPr="00295062">
        <w:rPr>
          <w:rFonts w:ascii="Arial" w:eastAsia="Times New Roman" w:hAnsi="Arial" w:cs="Arial"/>
          <w:color w:val="000000" w:themeColor="text1"/>
          <w:kern w:val="0"/>
          <w:sz w:val="20"/>
          <w:szCs w:val="20"/>
          <w:lang w:bidi="mr-IN"/>
          <w14:ligatures w14:val="none"/>
        </w:rPr>
        <w:t>The evidence accepted the alternative hypothesis, confirming that there was a fluctuation in the export of soybean.</w:t>
      </w:r>
    </w:p>
    <w:p w14:paraId="13DD6461" w14:textId="2DDEF88D" w:rsidR="008816B2" w:rsidRPr="00095C62" w:rsidRDefault="003466D3" w:rsidP="00D13B0A">
      <w:pPr>
        <w:widowControl w:val="0"/>
        <w:autoSpaceDE w:val="0"/>
        <w:autoSpaceDN w:val="0"/>
        <w:spacing w:after="120" w:line="240" w:lineRule="auto"/>
        <w:jc w:val="both"/>
        <w:rPr>
          <w:rFonts w:ascii="Arial" w:eastAsiaTheme="minorEastAsia" w:hAnsi="Arial" w:cs="Arial"/>
          <w:b/>
          <w:bCs/>
          <w:color w:val="000000" w:themeColor="text1"/>
          <w:kern w:val="0"/>
          <w14:ligatures w14:val="none"/>
        </w:rPr>
      </w:pPr>
      <w:r w:rsidRPr="00095C62">
        <w:rPr>
          <w:rFonts w:ascii="Arial" w:eastAsiaTheme="minorEastAsia" w:hAnsi="Arial" w:cs="Arial"/>
          <w:b/>
          <w:bCs/>
          <w:color w:val="000000" w:themeColor="text1"/>
          <w:kern w:val="0"/>
          <w14:ligatures w14:val="none"/>
        </w:rPr>
        <w:t>Table 6</w:t>
      </w:r>
      <w:r w:rsidRPr="00095C62">
        <w:rPr>
          <w:rFonts w:ascii="Arial" w:eastAsiaTheme="minorEastAsia" w:hAnsi="Arial" w:cs="Arial"/>
          <w:b/>
          <w:bCs/>
          <w:color w:val="000000" w:themeColor="text1"/>
          <w:kern w:val="0"/>
          <w14:ligatures w14:val="none"/>
        </w:rPr>
        <w:tab/>
      </w:r>
      <w:r w:rsidR="008816B2" w:rsidRPr="00095C62">
        <w:rPr>
          <w:rFonts w:ascii="Arial" w:eastAsiaTheme="minorEastAsia" w:hAnsi="Arial" w:cs="Arial"/>
          <w:b/>
          <w:bCs/>
          <w:color w:val="000000" w:themeColor="text1"/>
          <w:kern w:val="0"/>
          <w14:ligatures w14:val="none"/>
        </w:rPr>
        <w:t xml:space="preserve">Growth and Instability in the Export of Soybean  </w:t>
      </w:r>
    </w:p>
    <w:tbl>
      <w:tblPr>
        <w:tblStyle w:val="TableGrid1"/>
        <w:tblW w:w="0" w:type="auto"/>
        <w:jc w:val="center"/>
        <w:tblLook w:val="04A0" w:firstRow="1" w:lastRow="0" w:firstColumn="1" w:lastColumn="0" w:noHBand="0" w:noVBand="1"/>
      </w:tblPr>
      <w:tblGrid>
        <w:gridCol w:w="1880"/>
        <w:gridCol w:w="1720"/>
      </w:tblGrid>
      <w:tr w:rsidR="008816B2" w:rsidRPr="00095C62" w14:paraId="6C3766E5" w14:textId="77777777" w:rsidTr="000A1A9C">
        <w:trPr>
          <w:trHeight w:val="312"/>
          <w:jc w:val="center"/>
        </w:trPr>
        <w:tc>
          <w:tcPr>
            <w:tcW w:w="1880" w:type="dxa"/>
            <w:noWrap/>
            <w:vAlign w:val="center"/>
            <w:hideMark/>
          </w:tcPr>
          <w:p w14:paraId="2F60A878"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Particulars</w:t>
            </w:r>
          </w:p>
        </w:tc>
        <w:tc>
          <w:tcPr>
            <w:tcW w:w="1720" w:type="dxa"/>
            <w:noWrap/>
            <w:vAlign w:val="center"/>
            <w:hideMark/>
          </w:tcPr>
          <w:p w14:paraId="2A2BC528"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Export</w:t>
            </w:r>
          </w:p>
        </w:tc>
      </w:tr>
      <w:tr w:rsidR="008816B2" w:rsidRPr="00095C62" w14:paraId="1E0E0BA3" w14:textId="77777777" w:rsidTr="000A1A9C">
        <w:trPr>
          <w:trHeight w:val="312"/>
          <w:jc w:val="center"/>
        </w:trPr>
        <w:tc>
          <w:tcPr>
            <w:tcW w:w="1880" w:type="dxa"/>
            <w:noWrap/>
            <w:vAlign w:val="center"/>
            <w:hideMark/>
          </w:tcPr>
          <w:p w14:paraId="24735774"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CAGR</w:t>
            </w:r>
          </w:p>
        </w:tc>
        <w:tc>
          <w:tcPr>
            <w:tcW w:w="1720" w:type="dxa"/>
            <w:noWrap/>
            <w:vAlign w:val="center"/>
          </w:tcPr>
          <w:p w14:paraId="77EEC525"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19.60 ***</w:t>
            </w:r>
          </w:p>
        </w:tc>
      </w:tr>
      <w:tr w:rsidR="008816B2" w:rsidRPr="00095C62" w14:paraId="5E2894CB" w14:textId="77777777" w:rsidTr="000A1A9C">
        <w:trPr>
          <w:trHeight w:val="312"/>
          <w:jc w:val="center"/>
        </w:trPr>
        <w:tc>
          <w:tcPr>
            <w:tcW w:w="1880" w:type="dxa"/>
            <w:noWrap/>
            <w:vAlign w:val="center"/>
            <w:hideMark/>
          </w:tcPr>
          <w:p w14:paraId="1BE134F9"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CV</w:t>
            </w:r>
          </w:p>
        </w:tc>
        <w:tc>
          <w:tcPr>
            <w:tcW w:w="1720" w:type="dxa"/>
            <w:noWrap/>
            <w:vAlign w:val="center"/>
          </w:tcPr>
          <w:p w14:paraId="29B9F63F"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122.31</w:t>
            </w:r>
          </w:p>
        </w:tc>
      </w:tr>
      <w:tr w:rsidR="008816B2" w:rsidRPr="00095C62" w14:paraId="4CCC814C" w14:textId="77777777" w:rsidTr="000A1A9C">
        <w:trPr>
          <w:trHeight w:val="324"/>
          <w:jc w:val="center"/>
        </w:trPr>
        <w:tc>
          <w:tcPr>
            <w:tcW w:w="1880" w:type="dxa"/>
            <w:noWrap/>
            <w:vAlign w:val="center"/>
            <w:hideMark/>
          </w:tcPr>
          <w:p w14:paraId="55E11BA4"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CDVI</w:t>
            </w:r>
          </w:p>
        </w:tc>
        <w:tc>
          <w:tcPr>
            <w:tcW w:w="1720" w:type="dxa"/>
            <w:noWrap/>
            <w:vAlign w:val="center"/>
          </w:tcPr>
          <w:p w14:paraId="37EE51FF" w14:textId="77777777" w:rsidR="008816B2" w:rsidRPr="00095C62" w:rsidRDefault="008816B2" w:rsidP="00D13B0A">
            <w:pPr>
              <w:jc w:val="center"/>
              <w:rPr>
                <w:rFonts w:ascii="Arial" w:eastAsiaTheme="minorEastAsia" w:hAnsi="Arial" w:cs="Arial"/>
                <w:b w:val="0"/>
                <w:bCs w:val="0"/>
                <w:color w:val="000000" w:themeColor="text1"/>
                <w:lang w:bidi="mr-IN"/>
                <w14:ligatures w14:val="none"/>
              </w:rPr>
            </w:pPr>
            <w:r w:rsidRPr="00095C62">
              <w:rPr>
                <w:rFonts w:ascii="Arial" w:eastAsiaTheme="minorEastAsia" w:hAnsi="Arial" w:cs="Arial"/>
                <w:b w:val="0"/>
                <w:bCs w:val="0"/>
                <w:color w:val="000000" w:themeColor="text1"/>
                <w:lang w:bidi="mr-IN"/>
                <w14:ligatures w14:val="none"/>
              </w:rPr>
              <w:t>85.49</w:t>
            </w:r>
          </w:p>
        </w:tc>
      </w:tr>
    </w:tbl>
    <w:p w14:paraId="39178346" w14:textId="77777777" w:rsidR="00D269F2" w:rsidRPr="00295062" w:rsidRDefault="00D269F2" w:rsidP="00D13B0A">
      <w:pPr>
        <w:spacing w:before="120" w:after="120" w:line="240" w:lineRule="auto"/>
        <w:jc w:val="both"/>
        <w:rPr>
          <w:rFonts w:ascii="Arial" w:hAnsi="Arial" w:cs="Arial"/>
          <w:i/>
          <w:iCs/>
          <w:color w:val="000000" w:themeColor="text1"/>
          <w:sz w:val="20"/>
          <w:szCs w:val="20"/>
        </w:rPr>
      </w:pPr>
      <w:r w:rsidRPr="00295062">
        <w:rPr>
          <w:rFonts w:ascii="Arial" w:hAnsi="Arial" w:cs="Arial"/>
          <w:i/>
          <w:iCs/>
          <w:color w:val="000000" w:themeColor="text1"/>
          <w:sz w:val="20"/>
          <w:szCs w:val="20"/>
        </w:rPr>
        <w:t>*** Significant at 1 per cent level of significance</w:t>
      </w:r>
    </w:p>
    <w:p w14:paraId="67A6E3C4" w14:textId="118D7C03" w:rsidR="00A07C0F" w:rsidRPr="00095C62" w:rsidRDefault="00C728C2" w:rsidP="00D13B0A">
      <w:pPr>
        <w:spacing w:after="120" w:line="240" w:lineRule="auto"/>
        <w:jc w:val="both"/>
        <w:rPr>
          <w:rFonts w:ascii="Arial" w:hAnsi="Arial" w:cs="Arial"/>
          <w:b/>
          <w:bCs/>
          <w:color w:val="000000" w:themeColor="text1"/>
          <w:lang w:val="en-IN" w:eastAsia="en-IN" w:bidi="mr-IN"/>
        </w:rPr>
      </w:pPr>
      <w:r w:rsidRPr="00095C62">
        <w:rPr>
          <w:rFonts w:ascii="Arial" w:hAnsi="Arial" w:cs="Arial"/>
          <w:b/>
          <w:bCs/>
          <w:color w:val="000000" w:themeColor="text1"/>
          <w:lang w:val="en-IN" w:eastAsia="en-IN" w:bidi="mr-IN"/>
        </w:rPr>
        <w:t>CONCLUSION</w:t>
      </w:r>
    </w:p>
    <w:p w14:paraId="28A02B11" w14:textId="51EC2C8B" w:rsidR="008A001F" w:rsidRDefault="008A001F" w:rsidP="00D13B0A">
      <w:pPr>
        <w:spacing w:after="120" w:line="240" w:lineRule="auto"/>
        <w:jc w:val="both"/>
        <w:rPr>
          <w:rFonts w:ascii="Arial" w:hAnsi="Arial" w:cs="Arial"/>
          <w:color w:val="000000" w:themeColor="text1"/>
          <w:sz w:val="20"/>
          <w:szCs w:val="20"/>
          <w:lang w:val="en-IN" w:eastAsia="en-IN" w:bidi="mr-IN"/>
        </w:rPr>
      </w:pPr>
      <w:r w:rsidRPr="00095C62">
        <w:rPr>
          <w:rFonts w:ascii="Arial" w:hAnsi="Arial" w:cs="Arial"/>
          <w:color w:val="000000" w:themeColor="text1"/>
          <w:lang w:val="en-IN" w:eastAsia="en-IN" w:bidi="mr-IN"/>
        </w:rPr>
        <w:tab/>
      </w:r>
      <w:r w:rsidRPr="00295062">
        <w:rPr>
          <w:rFonts w:ascii="Arial" w:hAnsi="Arial" w:cs="Arial"/>
          <w:color w:val="000000" w:themeColor="text1"/>
          <w:sz w:val="20"/>
          <w:szCs w:val="20"/>
          <w:lang w:val="en-IN" w:eastAsia="en-IN" w:bidi="mr-IN"/>
        </w:rPr>
        <w:t xml:space="preserve">The above results depicted that increased production of soybean was mainly due to area expansion rather than the productivity improvement, while import was surged mainly during last few years resulted by decline in productivity and export were showed upward trend during 2010-2017 due to increase in production and AFTA. Import of soybean was increased due to decline in productivity and it results in decline in production it fails to meet the domestic demand and hence </w:t>
      </w:r>
      <w:r w:rsidR="00E7667A" w:rsidRPr="00295062">
        <w:rPr>
          <w:rFonts w:ascii="Arial" w:hAnsi="Arial" w:cs="Arial"/>
          <w:color w:val="000000" w:themeColor="text1"/>
          <w:sz w:val="20"/>
          <w:szCs w:val="20"/>
          <w:lang w:val="en-IN" w:eastAsia="en-IN" w:bidi="mr-IN"/>
        </w:rPr>
        <w:t>India</w:t>
      </w:r>
      <w:r w:rsidRPr="00295062">
        <w:rPr>
          <w:rFonts w:ascii="Arial" w:hAnsi="Arial" w:cs="Arial"/>
          <w:color w:val="000000" w:themeColor="text1"/>
          <w:sz w:val="20"/>
          <w:szCs w:val="20"/>
          <w:lang w:val="en-IN" w:eastAsia="en-IN" w:bidi="mr-IN"/>
        </w:rPr>
        <w:t xml:space="preserve"> need to </w:t>
      </w:r>
      <w:r w:rsidR="00E7667A" w:rsidRPr="00295062">
        <w:rPr>
          <w:rFonts w:ascii="Arial" w:hAnsi="Arial" w:cs="Arial"/>
          <w:color w:val="000000" w:themeColor="text1"/>
          <w:sz w:val="20"/>
          <w:szCs w:val="20"/>
          <w:lang w:val="en-IN" w:eastAsia="en-IN" w:bidi="mr-IN"/>
        </w:rPr>
        <w:t>focus</w:t>
      </w:r>
      <w:r w:rsidRPr="00295062">
        <w:rPr>
          <w:rFonts w:ascii="Arial" w:hAnsi="Arial" w:cs="Arial"/>
          <w:color w:val="000000" w:themeColor="text1"/>
          <w:sz w:val="20"/>
          <w:szCs w:val="20"/>
          <w:lang w:val="en-IN" w:eastAsia="en-IN" w:bidi="mr-IN"/>
        </w:rPr>
        <w:t xml:space="preserve"> on productivity improvement</w:t>
      </w:r>
      <w:r w:rsidR="00E7667A" w:rsidRPr="00295062">
        <w:rPr>
          <w:rFonts w:ascii="Arial" w:hAnsi="Arial" w:cs="Arial"/>
          <w:color w:val="000000" w:themeColor="text1"/>
          <w:sz w:val="20"/>
          <w:szCs w:val="20"/>
          <w:lang w:val="en-IN" w:eastAsia="en-IN" w:bidi="mr-IN"/>
        </w:rPr>
        <w:t>.</w:t>
      </w:r>
      <w:r w:rsidRPr="00295062">
        <w:rPr>
          <w:rFonts w:ascii="Arial" w:hAnsi="Arial" w:cs="Arial"/>
          <w:color w:val="000000" w:themeColor="text1"/>
          <w:sz w:val="20"/>
          <w:szCs w:val="20"/>
          <w:lang w:val="en-IN" w:eastAsia="en-IN" w:bidi="mr-IN"/>
        </w:rPr>
        <w:t xml:space="preserve"> </w:t>
      </w:r>
    </w:p>
    <w:p w14:paraId="6C75ADA1" w14:textId="7992F138" w:rsidR="00BE315D" w:rsidRDefault="00BE315D" w:rsidP="00D13B0A">
      <w:pPr>
        <w:spacing w:after="120" w:line="240" w:lineRule="auto"/>
        <w:jc w:val="both"/>
        <w:rPr>
          <w:rFonts w:ascii="Arial" w:hAnsi="Arial" w:cs="Arial"/>
          <w:color w:val="000000" w:themeColor="text1"/>
          <w:sz w:val="20"/>
          <w:szCs w:val="20"/>
          <w:lang w:val="en-IN" w:eastAsia="en-IN" w:bidi="mr-IN"/>
        </w:rPr>
      </w:pPr>
    </w:p>
    <w:p w14:paraId="5F924804" w14:textId="77777777" w:rsidR="00BE315D" w:rsidRPr="00B031CA" w:rsidRDefault="00BE315D" w:rsidP="00BE315D">
      <w:pPr>
        <w:rPr>
          <w:rFonts w:ascii="Calibri" w:eastAsia="Calibri" w:hAnsi="Calibri" w:cs="Times New Roman"/>
          <w:b/>
          <w:highlight w:val="yellow"/>
        </w:rPr>
      </w:pPr>
      <w:bookmarkStart w:id="7" w:name="_Hlk197682619"/>
      <w:bookmarkStart w:id="8" w:name="_Hlk180402183"/>
      <w:bookmarkStart w:id="9" w:name="_Hlk183680988"/>
      <w:r w:rsidRPr="00B031CA">
        <w:rPr>
          <w:rFonts w:ascii="Calibri" w:eastAsia="Calibri" w:hAnsi="Calibri" w:cs="Times New Roman"/>
          <w:b/>
          <w:highlight w:val="yellow"/>
        </w:rPr>
        <w:t>Disclaimer (Artificial intelligence)</w:t>
      </w:r>
    </w:p>
    <w:p w14:paraId="09E1B0CD" w14:textId="77777777" w:rsidR="00BE315D" w:rsidRPr="009C5487" w:rsidRDefault="00BE315D" w:rsidP="00BE315D">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324858CD" w14:textId="77777777" w:rsidR="00BE315D" w:rsidRPr="009C5487" w:rsidRDefault="00BE315D" w:rsidP="00BE315D">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bookmarkEnd w:id="7"/>
    <w:bookmarkEnd w:id="8"/>
    <w:bookmarkEnd w:id="9"/>
    <w:p w14:paraId="3F6A9681" w14:textId="77777777" w:rsidR="00381438" w:rsidRDefault="00381438" w:rsidP="00C728C2">
      <w:pPr>
        <w:pStyle w:val="ReferHead"/>
        <w:spacing w:after="0"/>
        <w:jc w:val="both"/>
        <w:rPr>
          <w:rFonts w:ascii="Arial" w:hAnsi="Arial" w:cs="Arial"/>
        </w:rPr>
      </w:pPr>
    </w:p>
    <w:p w14:paraId="254D5D2F" w14:textId="7A704095" w:rsidR="00C728C2" w:rsidRDefault="00C728C2" w:rsidP="00C728C2">
      <w:pPr>
        <w:pStyle w:val="ReferHead"/>
        <w:spacing w:after="0"/>
        <w:jc w:val="both"/>
        <w:rPr>
          <w:rFonts w:ascii="Arial" w:hAnsi="Arial" w:cs="Arial"/>
        </w:rPr>
      </w:pPr>
      <w:r w:rsidRPr="00FB3A86">
        <w:rPr>
          <w:rFonts w:ascii="Arial" w:hAnsi="Arial" w:cs="Arial"/>
        </w:rPr>
        <w:t>References</w:t>
      </w:r>
    </w:p>
    <w:p w14:paraId="1460F8D2" w14:textId="77777777" w:rsidR="006D1B1D" w:rsidRPr="00295062" w:rsidRDefault="006D1B1D" w:rsidP="00752B67">
      <w:pPr>
        <w:spacing w:after="0" w:line="240" w:lineRule="auto"/>
        <w:ind w:left="720" w:hanging="720"/>
        <w:jc w:val="both"/>
        <w:rPr>
          <w:rFonts w:ascii="Arial" w:hAnsi="Arial" w:cs="Arial"/>
          <w:color w:val="000000" w:themeColor="text1"/>
          <w:sz w:val="20"/>
          <w:szCs w:val="20"/>
          <w:lang w:eastAsia="en-IN" w:bidi="mr-IN"/>
        </w:rPr>
      </w:pPr>
      <w:r w:rsidRPr="00295062">
        <w:rPr>
          <w:rFonts w:ascii="Arial" w:hAnsi="Arial" w:cs="Arial"/>
          <w:color w:val="000000" w:themeColor="text1"/>
          <w:sz w:val="20"/>
          <w:szCs w:val="20"/>
          <w:lang w:eastAsia="en-IN" w:bidi="mr-IN"/>
        </w:rPr>
        <w:t xml:space="preserve">Agarwal, P. K. and Singh, O. P. (2014). An economic analysis of soybean cultivation in </w:t>
      </w:r>
      <w:proofErr w:type="spellStart"/>
      <w:r w:rsidRPr="00295062">
        <w:rPr>
          <w:rFonts w:ascii="Arial" w:hAnsi="Arial" w:cs="Arial"/>
          <w:color w:val="000000" w:themeColor="text1"/>
          <w:sz w:val="20"/>
          <w:szCs w:val="20"/>
          <w:lang w:eastAsia="en-IN" w:bidi="mr-IN"/>
        </w:rPr>
        <w:t>Narsinghpur</w:t>
      </w:r>
      <w:proofErr w:type="spellEnd"/>
      <w:r w:rsidRPr="00295062">
        <w:rPr>
          <w:rFonts w:ascii="Arial" w:hAnsi="Arial" w:cs="Arial"/>
          <w:color w:val="000000" w:themeColor="text1"/>
          <w:sz w:val="20"/>
          <w:szCs w:val="20"/>
          <w:lang w:eastAsia="en-IN" w:bidi="mr-IN"/>
        </w:rPr>
        <w:t xml:space="preserve"> district of Madhya Pradesh, India. </w:t>
      </w:r>
      <w:r w:rsidRPr="00295062">
        <w:rPr>
          <w:rFonts w:ascii="Arial" w:hAnsi="Arial" w:cs="Arial"/>
          <w:i/>
          <w:iCs/>
          <w:color w:val="000000" w:themeColor="text1"/>
          <w:sz w:val="20"/>
          <w:szCs w:val="20"/>
          <w:lang w:eastAsia="en-IN" w:bidi="mr-IN"/>
        </w:rPr>
        <w:t>Indian Journal of Agricultural Research</w:t>
      </w:r>
      <w:r w:rsidRPr="00295062">
        <w:rPr>
          <w:rFonts w:ascii="Arial" w:hAnsi="Arial" w:cs="Arial"/>
          <w:color w:val="000000" w:themeColor="text1"/>
          <w:sz w:val="20"/>
          <w:szCs w:val="20"/>
          <w:lang w:eastAsia="en-IN" w:bidi="mr-IN"/>
        </w:rPr>
        <w:t xml:space="preserve">, </w:t>
      </w:r>
      <w:r w:rsidRPr="00295062">
        <w:rPr>
          <w:rFonts w:ascii="Arial" w:hAnsi="Arial" w:cs="Arial"/>
          <w:i/>
          <w:iCs/>
          <w:color w:val="000000" w:themeColor="text1"/>
          <w:sz w:val="20"/>
          <w:szCs w:val="20"/>
          <w:lang w:eastAsia="en-IN" w:bidi="mr-IN"/>
        </w:rPr>
        <w:t>48</w:t>
      </w:r>
      <w:r w:rsidRPr="00295062">
        <w:rPr>
          <w:rFonts w:ascii="Arial" w:hAnsi="Arial" w:cs="Arial"/>
          <w:color w:val="000000" w:themeColor="text1"/>
          <w:sz w:val="20"/>
          <w:szCs w:val="20"/>
          <w:lang w:eastAsia="en-IN" w:bidi="mr-IN"/>
        </w:rPr>
        <w:t xml:space="preserve">(3), 185-191. </w:t>
      </w:r>
    </w:p>
    <w:p w14:paraId="340076ED" w14:textId="4D035858" w:rsidR="006D1B1D" w:rsidRPr="00295062" w:rsidRDefault="006D1B1D" w:rsidP="00752B67">
      <w:pPr>
        <w:spacing w:after="0" w:line="240" w:lineRule="auto"/>
        <w:ind w:left="720" w:hanging="720"/>
        <w:jc w:val="both"/>
        <w:rPr>
          <w:rFonts w:ascii="Arial" w:hAnsi="Arial" w:cs="Arial"/>
          <w:color w:val="000000" w:themeColor="text1"/>
          <w:sz w:val="20"/>
          <w:szCs w:val="20"/>
          <w:lang w:eastAsia="en-IN" w:bidi="mr-IN"/>
        </w:rPr>
      </w:pPr>
      <w:proofErr w:type="spellStart"/>
      <w:r w:rsidRPr="00295062">
        <w:rPr>
          <w:rFonts w:ascii="Arial" w:hAnsi="Arial" w:cs="Arial"/>
          <w:color w:val="000000" w:themeColor="text1"/>
          <w:sz w:val="20"/>
          <w:szCs w:val="20"/>
          <w:lang w:eastAsia="en-IN" w:bidi="mr-IN"/>
        </w:rPr>
        <w:t>Bharadi</w:t>
      </w:r>
      <w:proofErr w:type="spellEnd"/>
      <w:r w:rsidRPr="00295062">
        <w:rPr>
          <w:rFonts w:ascii="Arial" w:hAnsi="Arial" w:cs="Arial"/>
          <w:color w:val="000000" w:themeColor="text1"/>
          <w:sz w:val="20"/>
          <w:szCs w:val="20"/>
          <w:lang w:eastAsia="en-IN" w:bidi="mr-IN"/>
        </w:rPr>
        <w:t xml:space="preserve">, H. H. and </w:t>
      </w:r>
      <w:proofErr w:type="spellStart"/>
      <w:r w:rsidRPr="00295062">
        <w:rPr>
          <w:rFonts w:ascii="Arial" w:hAnsi="Arial" w:cs="Arial"/>
          <w:color w:val="000000" w:themeColor="text1"/>
          <w:sz w:val="20"/>
          <w:szCs w:val="20"/>
          <w:lang w:eastAsia="en-IN" w:bidi="mr-IN"/>
        </w:rPr>
        <w:t>Kurubetta</w:t>
      </w:r>
      <w:proofErr w:type="spellEnd"/>
      <w:r w:rsidRPr="00295062">
        <w:rPr>
          <w:rFonts w:ascii="Arial" w:hAnsi="Arial" w:cs="Arial"/>
          <w:color w:val="000000" w:themeColor="text1"/>
          <w:sz w:val="20"/>
          <w:szCs w:val="20"/>
          <w:lang w:eastAsia="en-IN" w:bidi="mr-IN"/>
        </w:rPr>
        <w:t xml:space="preserve">, S., (2018). An analysis of growth rate performance of oilseed crops in Karnataka state. </w:t>
      </w:r>
      <w:r w:rsidRPr="00295062">
        <w:rPr>
          <w:rFonts w:ascii="Arial" w:hAnsi="Arial" w:cs="Arial"/>
          <w:i/>
          <w:iCs/>
          <w:color w:val="000000" w:themeColor="text1"/>
          <w:sz w:val="20"/>
          <w:szCs w:val="20"/>
          <w:lang w:eastAsia="en-IN" w:bidi="mr-IN"/>
        </w:rPr>
        <w:t>International Journal of Farm Sciences</w:t>
      </w:r>
      <w:r w:rsidRPr="00295062">
        <w:rPr>
          <w:rFonts w:ascii="Arial" w:hAnsi="Arial" w:cs="Arial"/>
          <w:color w:val="000000" w:themeColor="text1"/>
          <w:sz w:val="20"/>
          <w:szCs w:val="20"/>
          <w:lang w:eastAsia="en-IN" w:bidi="mr-IN"/>
        </w:rPr>
        <w:t xml:space="preserve">, </w:t>
      </w:r>
      <w:r w:rsidRPr="00295062">
        <w:rPr>
          <w:rFonts w:ascii="Arial" w:hAnsi="Arial" w:cs="Arial"/>
          <w:i/>
          <w:iCs/>
          <w:color w:val="000000" w:themeColor="text1"/>
          <w:sz w:val="20"/>
          <w:szCs w:val="20"/>
          <w:lang w:eastAsia="en-IN" w:bidi="mr-IN"/>
        </w:rPr>
        <w:t>8</w:t>
      </w:r>
      <w:r w:rsidRPr="00295062">
        <w:rPr>
          <w:rFonts w:ascii="Arial" w:hAnsi="Arial" w:cs="Arial"/>
          <w:color w:val="000000" w:themeColor="text1"/>
          <w:sz w:val="20"/>
          <w:szCs w:val="20"/>
          <w:lang w:eastAsia="en-IN" w:bidi="mr-IN"/>
        </w:rPr>
        <w:t>(1), 110-11</w:t>
      </w:r>
      <w:bookmarkStart w:id="10" w:name="_GoBack"/>
      <w:bookmarkEnd w:id="10"/>
      <w:r w:rsidRPr="00295062">
        <w:rPr>
          <w:rFonts w:ascii="Arial" w:hAnsi="Arial" w:cs="Arial"/>
          <w:color w:val="000000" w:themeColor="text1"/>
          <w:sz w:val="20"/>
          <w:szCs w:val="20"/>
          <w:lang w:eastAsia="en-IN" w:bidi="mr-IN"/>
        </w:rPr>
        <w:t xml:space="preserve">3. </w:t>
      </w:r>
    </w:p>
    <w:p w14:paraId="54F1607A" w14:textId="77777777" w:rsidR="006D1B1D" w:rsidRPr="00295062" w:rsidRDefault="006D1B1D" w:rsidP="00752B67">
      <w:pPr>
        <w:spacing w:after="0" w:line="240" w:lineRule="auto"/>
        <w:ind w:left="720" w:hanging="720"/>
        <w:jc w:val="both"/>
        <w:rPr>
          <w:rFonts w:ascii="Arial" w:hAnsi="Arial" w:cs="Arial"/>
          <w:color w:val="000000" w:themeColor="text1"/>
          <w:sz w:val="20"/>
          <w:szCs w:val="20"/>
          <w:lang w:val="en-IN" w:eastAsia="en-IN" w:bidi="mr-IN"/>
        </w:rPr>
      </w:pPr>
      <w:proofErr w:type="spellStart"/>
      <w:r w:rsidRPr="00295062">
        <w:rPr>
          <w:rFonts w:ascii="Arial" w:hAnsi="Arial" w:cs="Arial"/>
          <w:color w:val="000000" w:themeColor="text1"/>
          <w:sz w:val="20"/>
          <w:szCs w:val="20"/>
          <w:lang w:eastAsia="en-IN" w:bidi="mr-IN"/>
        </w:rPr>
        <w:t>Dupare</w:t>
      </w:r>
      <w:proofErr w:type="spellEnd"/>
      <w:r w:rsidRPr="00295062">
        <w:rPr>
          <w:rFonts w:ascii="Arial" w:hAnsi="Arial" w:cs="Arial"/>
          <w:color w:val="000000" w:themeColor="text1"/>
          <w:sz w:val="20"/>
          <w:szCs w:val="20"/>
          <w:lang w:eastAsia="en-IN" w:bidi="mr-IN"/>
        </w:rPr>
        <w:t xml:space="preserve">, B. U., </w:t>
      </w:r>
      <w:proofErr w:type="spellStart"/>
      <w:r w:rsidRPr="00295062">
        <w:rPr>
          <w:rFonts w:ascii="Arial" w:hAnsi="Arial" w:cs="Arial"/>
          <w:color w:val="000000" w:themeColor="text1"/>
          <w:sz w:val="20"/>
          <w:szCs w:val="20"/>
          <w:lang w:eastAsia="en-IN" w:bidi="mr-IN"/>
        </w:rPr>
        <w:t>Billore</w:t>
      </w:r>
      <w:proofErr w:type="spellEnd"/>
      <w:r w:rsidRPr="00295062">
        <w:rPr>
          <w:rFonts w:ascii="Arial" w:hAnsi="Arial" w:cs="Arial"/>
          <w:color w:val="000000" w:themeColor="text1"/>
          <w:sz w:val="20"/>
          <w:szCs w:val="20"/>
          <w:lang w:eastAsia="en-IN" w:bidi="mr-IN"/>
        </w:rPr>
        <w:t xml:space="preserve">, S. D., Sharma, A. N. and Joshi, O. P. (2014). Contribution of area, productivity and their interaction towards changing oilseeds and soybean production scenario in India. </w:t>
      </w:r>
      <w:r w:rsidRPr="00295062">
        <w:rPr>
          <w:rFonts w:ascii="Arial" w:hAnsi="Arial" w:cs="Arial"/>
          <w:i/>
          <w:iCs/>
          <w:color w:val="000000" w:themeColor="text1"/>
          <w:sz w:val="20"/>
          <w:szCs w:val="20"/>
          <w:lang w:eastAsia="en-IN" w:bidi="mr-IN"/>
        </w:rPr>
        <w:t>Legume Research-An International Journal</w:t>
      </w:r>
      <w:r w:rsidRPr="00295062">
        <w:rPr>
          <w:rFonts w:ascii="Arial" w:hAnsi="Arial" w:cs="Arial"/>
          <w:color w:val="000000" w:themeColor="text1"/>
          <w:sz w:val="20"/>
          <w:szCs w:val="20"/>
          <w:lang w:eastAsia="en-IN" w:bidi="mr-IN"/>
        </w:rPr>
        <w:t xml:space="preserve">, </w:t>
      </w:r>
      <w:r w:rsidRPr="00295062">
        <w:rPr>
          <w:rFonts w:ascii="Arial" w:hAnsi="Arial" w:cs="Arial"/>
          <w:i/>
          <w:iCs/>
          <w:color w:val="000000" w:themeColor="text1"/>
          <w:sz w:val="20"/>
          <w:szCs w:val="20"/>
          <w:lang w:eastAsia="en-IN" w:bidi="mr-IN"/>
        </w:rPr>
        <w:t>37</w:t>
      </w:r>
      <w:r w:rsidRPr="00295062">
        <w:rPr>
          <w:rFonts w:ascii="Arial" w:hAnsi="Arial" w:cs="Arial"/>
          <w:color w:val="000000" w:themeColor="text1"/>
          <w:sz w:val="20"/>
          <w:szCs w:val="20"/>
          <w:lang w:eastAsia="en-IN" w:bidi="mr-IN"/>
        </w:rPr>
        <w:t xml:space="preserve">(6), 635-640. </w:t>
      </w:r>
    </w:p>
    <w:p w14:paraId="198AD3CD" w14:textId="77777777" w:rsidR="006D1B1D" w:rsidRPr="00295062" w:rsidRDefault="006D1B1D" w:rsidP="00752B67">
      <w:pPr>
        <w:spacing w:after="0" w:line="240" w:lineRule="auto"/>
        <w:ind w:left="720" w:hanging="720"/>
        <w:jc w:val="both"/>
        <w:rPr>
          <w:rFonts w:ascii="Arial" w:hAnsi="Arial" w:cs="Arial"/>
          <w:color w:val="000000" w:themeColor="text1"/>
          <w:sz w:val="20"/>
          <w:szCs w:val="20"/>
          <w:lang w:val="en-IN" w:eastAsia="en-IN" w:bidi="mr-IN"/>
        </w:rPr>
      </w:pPr>
      <w:proofErr w:type="spellStart"/>
      <w:r w:rsidRPr="00295062">
        <w:rPr>
          <w:rFonts w:ascii="Arial" w:hAnsi="Arial" w:cs="Arial"/>
          <w:color w:val="000000" w:themeColor="text1"/>
          <w:sz w:val="20"/>
          <w:szCs w:val="20"/>
          <w:lang w:eastAsia="en-IN" w:bidi="mr-IN"/>
        </w:rPr>
        <w:t>Pathrikar</w:t>
      </w:r>
      <w:proofErr w:type="spellEnd"/>
      <w:r w:rsidRPr="00295062">
        <w:rPr>
          <w:rFonts w:ascii="Arial" w:hAnsi="Arial" w:cs="Arial"/>
          <w:color w:val="000000" w:themeColor="text1"/>
          <w:sz w:val="20"/>
          <w:szCs w:val="20"/>
          <w:lang w:eastAsia="en-IN" w:bidi="mr-IN"/>
        </w:rPr>
        <w:t xml:space="preserve">, D. T., </w:t>
      </w:r>
      <w:proofErr w:type="spellStart"/>
      <w:r w:rsidRPr="00295062">
        <w:rPr>
          <w:rFonts w:ascii="Arial" w:hAnsi="Arial" w:cs="Arial"/>
          <w:color w:val="000000" w:themeColor="text1"/>
          <w:sz w:val="20"/>
          <w:szCs w:val="20"/>
          <w:lang w:eastAsia="en-IN" w:bidi="mr-IN"/>
        </w:rPr>
        <w:t>Perke</w:t>
      </w:r>
      <w:proofErr w:type="spellEnd"/>
      <w:r w:rsidRPr="00295062">
        <w:rPr>
          <w:rFonts w:ascii="Arial" w:hAnsi="Arial" w:cs="Arial"/>
          <w:color w:val="000000" w:themeColor="text1"/>
          <w:sz w:val="20"/>
          <w:szCs w:val="20"/>
          <w:lang w:eastAsia="en-IN" w:bidi="mr-IN"/>
        </w:rPr>
        <w:t xml:space="preserve">, D. S. and More, S. S. (2021). Growth rates in area, production and productivity of soybean in Marathwada region of Maharashtra state. </w:t>
      </w:r>
      <w:r w:rsidRPr="00295062">
        <w:rPr>
          <w:rFonts w:ascii="Arial" w:hAnsi="Arial" w:cs="Arial"/>
          <w:i/>
          <w:iCs/>
          <w:color w:val="000000" w:themeColor="text1"/>
          <w:sz w:val="20"/>
          <w:szCs w:val="20"/>
          <w:lang w:eastAsia="en-IN" w:bidi="mr-IN"/>
        </w:rPr>
        <w:t xml:space="preserve">The Pharma Innovation Journal, </w:t>
      </w:r>
      <w:r w:rsidRPr="00295062">
        <w:rPr>
          <w:rFonts w:ascii="Arial" w:hAnsi="Arial" w:cs="Arial"/>
          <w:color w:val="000000" w:themeColor="text1"/>
          <w:sz w:val="20"/>
          <w:szCs w:val="20"/>
          <w:lang w:eastAsia="en-IN" w:bidi="mr-IN"/>
        </w:rPr>
        <w:t xml:space="preserve">SP-11(1): 1009-1012. </w:t>
      </w:r>
    </w:p>
    <w:p w14:paraId="687F7954" w14:textId="77777777" w:rsidR="006D1B1D" w:rsidRPr="00295062" w:rsidRDefault="006D1B1D" w:rsidP="00752B67">
      <w:pPr>
        <w:spacing w:after="0" w:line="240" w:lineRule="auto"/>
        <w:ind w:left="720" w:hanging="720"/>
        <w:jc w:val="both"/>
        <w:rPr>
          <w:rFonts w:ascii="Arial" w:hAnsi="Arial" w:cs="Arial"/>
          <w:color w:val="000000" w:themeColor="text1"/>
          <w:sz w:val="20"/>
          <w:szCs w:val="20"/>
          <w:lang w:val="en-IN" w:eastAsia="en-IN" w:bidi="mr-IN"/>
        </w:rPr>
      </w:pPr>
      <w:r w:rsidRPr="00295062">
        <w:rPr>
          <w:rFonts w:ascii="Arial" w:hAnsi="Arial" w:cs="Arial"/>
          <w:color w:val="000000" w:themeColor="text1"/>
          <w:sz w:val="20"/>
          <w:szCs w:val="20"/>
          <w:lang w:eastAsia="en-IN" w:bidi="mr-IN"/>
        </w:rPr>
        <w:t xml:space="preserve">Persaud, S. (2019). Impacts on India’s Farmers and Processors of Reducing Soybean Import Barriers. </w:t>
      </w:r>
      <w:r w:rsidRPr="00295062">
        <w:rPr>
          <w:rFonts w:ascii="Arial" w:hAnsi="Arial" w:cs="Arial"/>
          <w:i/>
          <w:iCs/>
          <w:color w:val="000000" w:themeColor="text1"/>
          <w:sz w:val="20"/>
          <w:szCs w:val="20"/>
          <w:lang w:eastAsia="en-IN" w:bidi="mr-IN"/>
        </w:rPr>
        <w:t xml:space="preserve">ERS-USDA Report, OCS-19J-02. www. </w:t>
      </w:r>
      <w:proofErr w:type="spellStart"/>
      <w:r w:rsidRPr="00295062">
        <w:rPr>
          <w:rFonts w:ascii="Arial" w:hAnsi="Arial" w:cs="Arial"/>
          <w:i/>
          <w:iCs/>
          <w:color w:val="000000" w:themeColor="text1"/>
          <w:sz w:val="20"/>
          <w:szCs w:val="20"/>
          <w:lang w:eastAsia="en-IN" w:bidi="mr-IN"/>
        </w:rPr>
        <w:t>ers</w:t>
      </w:r>
      <w:proofErr w:type="spellEnd"/>
      <w:r w:rsidRPr="00295062">
        <w:rPr>
          <w:rFonts w:ascii="Arial" w:hAnsi="Arial" w:cs="Arial"/>
          <w:i/>
          <w:iCs/>
          <w:color w:val="000000" w:themeColor="text1"/>
          <w:sz w:val="20"/>
          <w:szCs w:val="20"/>
          <w:lang w:eastAsia="en-IN" w:bidi="mr-IN"/>
        </w:rPr>
        <w:t xml:space="preserve">. </w:t>
      </w:r>
      <w:proofErr w:type="spellStart"/>
      <w:r w:rsidRPr="00295062">
        <w:rPr>
          <w:rFonts w:ascii="Arial" w:hAnsi="Arial" w:cs="Arial"/>
          <w:i/>
          <w:iCs/>
          <w:color w:val="000000" w:themeColor="text1"/>
          <w:sz w:val="20"/>
          <w:szCs w:val="20"/>
          <w:lang w:eastAsia="en-IN" w:bidi="mr-IN"/>
        </w:rPr>
        <w:t>usda</w:t>
      </w:r>
      <w:proofErr w:type="spellEnd"/>
      <w:r w:rsidRPr="00295062">
        <w:rPr>
          <w:rFonts w:ascii="Arial" w:hAnsi="Arial" w:cs="Arial"/>
          <w:i/>
          <w:iCs/>
          <w:color w:val="000000" w:themeColor="text1"/>
          <w:sz w:val="20"/>
          <w:szCs w:val="20"/>
          <w:lang w:eastAsia="en-IN" w:bidi="mr-IN"/>
        </w:rPr>
        <w:t>. gov</w:t>
      </w:r>
      <w:r w:rsidRPr="00295062">
        <w:rPr>
          <w:rFonts w:ascii="Arial" w:hAnsi="Arial" w:cs="Arial"/>
          <w:color w:val="000000" w:themeColor="text1"/>
          <w:sz w:val="20"/>
          <w:szCs w:val="20"/>
          <w:lang w:eastAsia="en-IN" w:bidi="mr-IN"/>
        </w:rPr>
        <w:t xml:space="preserve">, 1-33. </w:t>
      </w:r>
    </w:p>
    <w:p w14:paraId="5E2600BE" w14:textId="1F1A5232" w:rsidR="00232C63" w:rsidRDefault="00232C63" w:rsidP="00752B67">
      <w:pPr>
        <w:spacing w:after="0" w:line="240" w:lineRule="auto"/>
        <w:ind w:left="720" w:hanging="720"/>
        <w:jc w:val="both"/>
        <w:rPr>
          <w:rFonts w:ascii="Arial" w:hAnsi="Arial" w:cs="Arial"/>
          <w:color w:val="000000" w:themeColor="text1"/>
          <w:sz w:val="20"/>
          <w:szCs w:val="20"/>
          <w:lang w:eastAsia="en-IN" w:bidi="mr-IN"/>
        </w:rPr>
      </w:pPr>
      <w:r w:rsidRPr="00232C63">
        <w:rPr>
          <w:rFonts w:ascii="Arial" w:hAnsi="Arial" w:cs="Arial"/>
          <w:color w:val="000000" w:themeColor="text1"/>
          <w:sz w:val="20"/>
          <w:szCs w:val="20"/>
          <w:lang w:eastAsia="en-IN" w:bidi="mr-IN"/>
        </w:rPr>
        <w:t xml:space="preserve">Qiao, C., Cheng, C. </w:t>
      </w:r>
      <w:r>
        <w:rPr>
          <w:rFonts w:ascii="Arial" w:hAnsi="Arial" w:cs="Arial"/>
          <w:color w:val="000000" w:themeColor="text1"/>
          <w:sz w:val="20"/>
          <w:szCs w:val="20"/>
          <w:lang w:eastAsia="en-IN" w:bidi="mr-IN"/>
        </w:rPr>
        <w:t>and</w:t>
      </w:r>
      <w:r w:rsidRPr="00232C63">
        <w:rPr>
          <w:rFonts w:ascii="Arial" w:hAnsi="Arial" w:cs="Arial"/>
          <w:color w:val="000000" w:themeColor="text1"/>
          <w:sz w:val="20"/>
          <w:szCs w:val="20"/>
          <w:lang w:eastAsia="en-IN" w:bidi="mr-IN"/>
        </w:rPr>
        <w:t xml:space="preserve"> Ali, T. (2023). How climate change and international trade will shape the future global soybean security pattern. </w:t>
      </w:r>
      <w:r w:rsidRPr="00232C63">
        <w:rPr>
          <w:rFonts w:ascii="Arial" w:hAnsi="Arial" w:cs="Arial"/>
          <w:i/>
          <w:iCs/>
          <w:color w:val="000000" w:themeColor="text1"/>
          <w:sz w:val="20"/>
          <w:szCs w:val="20"/>
          <w:lang w:eastAsia="en-IN" w:bidi="mr-IN"/>
        </w:rPr>
        <w:t>Journal of Cleaner Production</w:t>
      </w:r>
      <w:r w:rsidRPr="00232C63">
        <w:rPr>
          <w:rFonts w:ascii="Arial" w:hAnsi="Arial" w:cs="Arial"/>
          <w:color w:val="000000" w:themeColor="text1"/>
          <w:sz w:val="20"/>
          <w:szCs w:val="20"/>
          <w:lang w:eastAsia="en-IN" w:bidi="mr-IN"/>
        </w:rPr>
        <w:t>, </w:t>
      </w:r>
      <w:r w:rsidRPr="00232C63">
        <w:rPr>
          <w:rFonts w:ascii="Arial" w:hAnsi="Arial" w:cs="Arial"/>
          <w:i/>
          <w:iCs/>
          <w:color w:val="000000" w:themeColor="text1"/>
          <w:sz w:val="20"/>
          <w:szCs w:val="20"/>
          <w:lang w:eastAsia="en-IN" w:bidi="mr-IN"/>
        </w:rPr>
        <w:t>422</w:t>
      </w:r>
      <w:r w:rsidRPr="00232C63">
        <w:rPr>
          <w:rFonts w:ascii="Arial" w:hAnsi="Arial" w:cs="Arial"/>
          <w:color w:val="000000" w:themeColor="text1"/>
          <w:sz w:val="20"/>
          <w:szCs w:val="20"/>
          <w:lang w:eastAsia="en-IN" w:bidi="mr-IN"/>
        </w:rPr>
        <w:t>, 138603.</w:t>
      </w:r>
    </w:p>
    <w:p w14:paraId="74B66930" w14:textId="64AD0F04" w:rsidR="00D30FAC" w:rsidRPr="00295062" w:rsidRDefault="004E0066" w:rsidP="00752B67">
      <w:pPr>
        <w:spacing w:after="0" w:line="240" w:lineRule="auto"/>
        <w:ind w:left="720" w:hanging="720"/>
        <w:jc w:val="both"/>
        <w:rPr>
          <w:rFonts w:ascii="Arial" w:hAnsi="Arial" w:cs="Arial"/>
          <w:color w:val="000000" w:themeColor="text1"/>
          <w:sz w:val="20"/>
          <w:szCs w:val="20"/>
          <w:lang w:val="en-IN" w:eastAsia="en-IN" w:bidi="mr-IN"/>
        </w:rPr>
      </w:pPr>
      <w:r w:rsidRPr="00295062">
        <w:rPr>
          <w:rFonts w:ascii="Arial" w:hAnsi="Arial" w:cs="Arial"/>
          <w:color w:val="000000" w:themeColor="text1"/>
          <w:sz w:val="20"/>
          <w:szCs w:val="20"/>
          <w:lang w:val="en-IN" w:eastAsia="en-IN" w:bidi="mr-IN"/>
        </w:rPr>
        <w:t>Sharma, P. and Patel, R. M. (2017). Soybean monitor/market watch (September). ICAR-Indian Institute of Soybean Research.</w:t>
      </w:r>
    </w:p>
    <w:p w14:paraId="0E365480" w14:textId="3ADD1204" w:rsidR="00D30FAC" w:rsidRPr="00295062" w:rsidRDefault="004E0066" w:rsidP="00752B67">
      <w:pPr>
        <w:spacing w:after="0" w:line="240" w:lineRule="auto"/>
        <w:ind w:left="720" w:hanging="720"/>
        <w:jc w:val="both"/>
        <w:rPr>
          <w:rFonts w:ascii="Arial" w:hAnsi="Arial" w:cs="Arial"/>
          <w:color w:val="000000" w:themeColor="text1"/>
          <w:sz w:val="20"/>
          <w:szCs w:val="20"/>
          <w:lang w:val="en-IN" w:eastAsia="en-IN" w:bidi="mr-IN"/>
        </w:rPr>
      </w:pPr>
      <w:r w:rsidRPr="00295062">
        <w:rPr>
          <w:rFonts w:ascii="Arial" w:hAnsi="Arial" w:cs="Arial"/>
          <w:color w:val="000000" w:themeColor="text1"/>
          <w:sz w:val="20"/>
          <w:szCs w:val="20"/>
          <w:lang w:val="en-IN" w:eastAsia="en-IN" w:bidi="mr-IN"/>
        </w:rPr>
        <w:t>Singh, J., Noor, A. and Akhter, R. (2022). India’s Soyabean Export: Trends, Directions and Way Forward. Asian Journal of Economics and Business, Vol. 3, No. 2, pp. 205-218.</w:t>
      </w:r>
    </w:p>
    <w:p w14:paraId="2C438761" w14:textId="77777777" w:rsidR="00B031CA" w:rsidRDefault="004E0066" w:rsidP="00752B67">
      <w:pPr>
        <w:spacing w:after="0" w:line="240" w:lineRule="auto"/>
        <w:ind w:left="720" w:hanging="720"/>
        <w:jc w:val="both"/>
        <w:rPr>
          <w:rFonts w:ascii="Arial" w:hAnsi="Arial" w:cs="Arial"/>
          <w:color w:val="000000" w:themeColor="text1"/>
          <w:sz w:val="20"/>
          <w:szCs w:val="20"/>
          <w:lang w:eastAsia="en-IN" w:bidi="mr-IN"/>
        </w:rPr>
      </w:pPr>
      <w:r w:rsidRPr="00295062">
        <w:rPr>
          <w:rFonts w:ascii="Arial" w:hAnsi="Arial" w:cs="Arial"/>
          <w:color w:val="000000" w:themeColor="text1"/>
          <w:sz w:val="20"/>
          <w:szCs w:val="20"/>
          <w:lang w:eastAsia="en-IN" w:bidi="mr-IN"/>
        </w:rPr>
        <w:t xml:space="preserve">Tambe, P. C., </w:t>
      </w:r>
      <w:proofErr w:type="spellStart"/>
      <w:r w:rsidRPr="00295062">
        <w:rPr>
          <w:rFonts w:ascii="Arial" w:hAnsi="Arial" w:cs="Arial"/>
          <w:color w:val="000000" w:themeColor="text1"/>
          <w:sz w:val="20"/>
          <w:szCs w:val="20"/>
          <w:lang w:eastAsia="en-IN" w:bidi="mr-IN"/>
        </w:rPr>
        <w:t>Gavali</w:t>
      </w:r>
      <w:proofErr w:type="spellEnd"/>
      <w:r w:rsidRPr="00295062">
        <w:rPr>
          <w:rFonts w:ascii="Arial" w:hAnsi="Arial" w:cs="Arial"/>
          <w:color w:val="000000" w:themeColor="text1"/>
          <w:sz w:val="20"/>
          <w:szCs w:val="20"/>
          <w:lang w:eastAsia="en-IN" w:bidi="mr-IN"/>
        </w:rPr>
        <w:t xml:space="preserve">, A. V. and Yadav, D. B. (2021). Growth and instability in area, production and productivity of soybean in Maharashtra. </w:t>
      </w:r>
      <w:r w:rsidRPr="00295062">
        <w:rPr>
          <w:rFonts w:ascii="Arial" w:hAnsi="Arial" w:cs="Arial"/>
          <w:i/>
          <w:iCs/>
          <w:color w:val="000000" w:themeColor="text1"/>
          <w:sz w:val="20"/>
          <w:szCs w:val="20"/>
          <w:lang w:eastAsia="en-IN" w:bidi="mr-IN"/>
        </w:rPr>
        <w:t>Int. J. Chem. Stud</w:t>
      </w:r>
      <w:r w:rsidRPr="00295062">
        <w:rPr>
          <w:rFonts w:ascii="Arial" w:hAnsi="Arial" w:cs="Arial"/>
          <w:color w:val="000000" w:themeColor="text1"/>
          <w:sz w:val="20"/>
          <w:szCs w:val="20"/>
          <w:lang w:eastAsia="en-IN" w:bidi="mr-IN"/>
        </w:rPr>
        <w:t xml:space="preserve">, </w:t>
      </w:r>
      <w:r w:rsidRPr="00295062">
        <w:rPr>
          <w:rFonts w:ascii="Arial" w:hAnsi="Arial" w:cs="Arial"/>
          <w:i/>
          <w:iCs/>
          <w:color w:val="000000" w:themeColor="text1"/>
          <w:sz w:val="20"/>
          <w:szCs w:val="20"/>
          <w:lang w:eastAsia="en-IN" w:bidi="mr-IN"/>
        </w:rPr>
        <w:t>9</w:t>
      </w:r>
      <w:r w:rsidRPr="00295062">
        <w:rPr>
          <w:rFonts w:ascii="Arial" w:hAnsi="Arial" w:cs="Arial"/>
          <w:color w:val="000000" w:themeColor="text1"/>
          <w:sz w:val="20"/>
          <w:szCs w:val="20"/>
          <w:lang w:eastAsia="en-IN" w:bidi="mr-IN"/>
        </w:rPr>
        <w:t>, 3393-3395.</w:t>
      </w:r>
    </w:p>
    <w:p w14:paraId="6E89238C" w14:textId="0F72FA37" w:rsidR="00A64E3D" w:rsidRDefault="00B031CA" w:rsidP="00752B67">
      <w:pPr>
        <w:spacing w:after="0" w:line="240" w:lineRule="auto"/>
        <w:ind w:left="720" w:hanging="720"/>
        <w:jc w:val="both"/>
        <w:rPr>
          <w:rFonts w:ascii="Arial" w:hAnsi="Arial" w:cs="Arial"/>
          <w:color w:val="000000" w:themeColor="text1"/>
          <w:sz w:val="20"/>
          <w:szCs w:val="20"/>
          <w:lang w:eastAsia="en-IN" w:bidi="mr-IN"/>
        </w:rPr>
      </w:pPr>
      <w:r w:rsidRPr="00B031CA">
        <w:rPr>
          <w:rFonts w:ascii="Arial" w:hAnsi="Arial" w:cs="Arial"/>
          <w:color w:val="000000" w:themeColor="text1"/>
          <w:sz w:val="20"/>
          <w:szCs w:val="20"/>
          <w:lang w:eastAsia="en-IN" w:bidi="mr-IN"/>
        </w:rPr>
        <w:t>Abiodun, O. A. (2017). The role of oilseed crops in human diet and industrial use. Oilseed crops: yield and adaptations under environmental stress, 249-263.</w:t>
      </w:r>
      <w:r w:rsidR="004E0066" w:rsidRPr="00295062">
        <w:rPr>
          <w:rFonts w:ascii="Arial" w:hAnsi="Arial" w:cs="Arial"/>
          <w:color w:val="000000" w:themeColor="text1"/>
          <w:sz w:val="20"/>
          <w:szCs w:val="20"/>
          <w:lang w:eastAsia="en-IN" w:bidi="mr-IN"/>
        </w:rPr>
        <w:t xml:space="preserve"> </w:t>
      </w:r>
    </w:p>
    <w:p w14:paraId="494D2B28" w14:textId="77777777" w:rsidR="00232C63" w:rsidRPr="00295062" w:rsidRDefault="00232C63" w:rsidP="00752B67">
      <w:pPr>
        <w:spacing w:after="0" w:line="240" w:lineRule="auto"/>
        <w:ind w:left="720" w:hanging="720"/>
        <w:jc w:val="both"/>
        <w:rPr>
          <w:rFonts w:ascii="Arial" w:hAnsi="Arial" w:cs="Arial"/>
          <w:color w:val="000000" w:themeColor="text1"/>
          <w:sz w:val="20"/>
          <w:szCs w:val="20"/>
          <w:lang w:val="en-IN" w:eastAsia="en-IN" w:bidi="mr-IN"/>
        </w:rPr>
      </w:pPr>
    </w:p>
    <w:sectPr w:rsidR="00232C63" w:rsidRPr="00295062" w:rsidSect="00D34D0E">
      <w:headerReference w:type="even" r:id="rId8"/>
      <w:headerReference w:type="default" r:id="rId9"/>
      <w:footerReference w:type="even" r:id="rId10"/>
      <w:footerReference w:type="default" r:id="rId11"/>
      <w:headerReference w:type="first" r:id="rId12"/>
      <w:footerReference w:type="first" r:id="rId13"/>
      <w:pgSz w:w="11909" w:h="16834" w:code="9"/>
      <w:pgMar w:top="562" w:right="850" w:bottom="562" w:left="1699"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C1818" w14:textId="77777777" w:rsidR="00AC4BF7" w:rsidRDefault="00AC4BF7" w:rsidP="00013C85">
      <w:pPr>
        <w:spacing w:after="0" w:line="240" w:lineRule="auto"/>
      </w:pPr>
      <w:r>
        <w:separator/>
      </w:r>
    </w:p>
  </w:endnote>
  <w:endnote w:type="continuationSeparator" w:id="0">
    <w:p w14:paraId="5AA43D1C" w14:textId="77777777" w:rsidR="00AC4BF7" w:rsidRDefault="00AC4BF7" w:rsidP="00013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3FC99" w14:textId="77777777" w:rsidR="00381438" w:rsidRDefault="00381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8143F" w14:textId="77777777" w:rsidR="00381438" w:rsidRDefault="00381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8A3A9" w14:textId="77777777" w:rsidR="00381438" w:rsidRDefault="00381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9B791" w14:textId="77777777" w:rsidR="00AC4BF7" w:rsidRDefault="00AC4BF7" w:rsidP="00013C85">
      <w:pPr>
        <w:spacing w:after="0" w:line="240" w:lineRule="auto"/>
      </w:pPr>
      <w:r>
        <w:separator/>
      </w:r>
    </w:p>
  </w:footnote>
  <w:footnote w:type="continuationSeparator" w:id="0">
    <w:p w14:paraId="47D95623" w14:textId="77777777" w:rsidR="00AC4BF7" w:rsidRDefault="00AC4BF7" w:rsidP="00013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6FF3C" w14:textId="51712561" w:rsidR="00381438" w:rsidRDefault="00AC4BF7">
    <w:pPr>
      <w:pStyle w:val="Header"/>
    </w:pPr>
    <w:r>
      <w:rPr>
        <w:noProof/>
      </w:rPr>
      <w:pict w14:anchorId="44216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95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C8799" w14:textId="666C7AEC" w:rsidR="000A1A9C" w:rsidRPr="00013C85" w:rsidRDefault="00AC4BF7">
    <w:pPr>
      <w:pStyle w:val="Header"/>
      <w:jc w:val="right"/>
      <w:rPr>
        <w:rFonts w:ascii="Times New Roman" w:hAnsi="Times New Roman" w:cs="Times New Roman"/>
        <w:b/>
        <w:bCs/>
        <w:sz w:val="24"/>
        <w:szCs w:val="24"/>
      </w:rPr>
    </w:pPr>
    <w:r>
      <w:rPr>
        <w:noProof/>
      </w:rPr>
      <w:pict w14:anchorId="34637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95689"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404265581"/>
        <w:docPartObj>
          <w:docPartGallery w:val="Page Numbers (Top of Page)"/>
          <w:docPartUnique/>
        </w:docPartObj>
      </w:sdtPr>
      <w:sdtEndPr>
        <w:rPr>
          <w:rFonts w:ascii="Times New Roman" w:hAnsi="Times New Roman" w:cs="Times New Roman"/>
          <w:b/>
          <w:bCs/>
          <w:noProof/>
          <w:sz w:val="24"/>
          <w:szCs w:val="24"/>
        </w:rPr>
      </w:sdtEndPr>
      <w:sdtContent>
        <w:r w:rsidR="000A1A9C" w:rsidRPr="00013C85">
          <w:rPr>
            <w:rFonts w:ascii="Times New Roman" w:hAnsi="Times New Roman" w:cs="Times New Roman"/>
            <w:b/>
            <w:bCs/>
            <w:sz w:val="24"/>
            <w:szCs w:val="24"/>
          </w:rPr>
          <w:fldChar w:fldCharType="begin"/>
        </w:r>
        <w:r w:rsidR="000A1A9C" w:rsidRPr="00013C85">
          <w:rPr>
            <w:rFonts w:ascii="Times New Roman" w:hAnsi="Times New Roman" w:cs="Times New Roman"/>
            <w:b/>
            <w:bCs/>
            <w:sz w:val="24"/>
            <w:szCs w:val="24"/>
          </w:rPr>
          <w:instrText xml:space="preserve"> PAGE   \* MERGEFORMAT </w:instrText>
        </w:r>
        <w:r w:rsidR="000A1A9C" w:rsidRPr="00013C85">
          <w:rPr>
            <w:rFonts w:ascii="Times New Roman" w:hAnsi="Times New Roman" w:cs="Times New Roman"/>
            <w:b/>
            <w:bCs/>
            <w:sz w:val="24"/>
            <w:szCs w:val="24"/>
          </w:rPr>
          <w:fldChar w:fldCharType="separate"/>
        </w:r>
        <w:r w:rsidR="000A1A9C" w:rsidRPr="00013C85">
          <w:rPr>
            <w:rFonts w:ascii="Times New Roman" w:hAnsi="Times New Roman" w:cs="Times New Roman"/>
            <w:b/>
            <w:bCs/>
            <w:noProof/>
            <w:sz w:val="24"/>
            <w:szCs w:val="24"/>
          </w:rPr>
          <w:t>2</w:t>
        </w:r>
        <w:r w:rsidR="000A1A9C" w:rsidRPr="00013C85">
          <w:rPr>
            <w:rFonts w:ascii="Times New Roman" w:hAnsi="Times New Roman" w:cs="Times New Roman"/>
            <w:b/>
            <w:bCs/>
            <w:noProof/>
            <w:sz w:val="24"/>
            <w:szCs w:val="24"/>
          </w:rPr>
          <w:fldChar w:fldCharType="end"/>
        </w:r>
      </w:sdtContent>
    </w:sdt>
  </w:p>
  <w:p w14:paraId="6CB81D98" w14:textId="77777777" w:rsidR="000A1A9C" w:rsidRDefault="000A1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4DB9C" w14:textId="67D2D846" w:rsidR="00381438" w:rsidRDefault="00AC4BF7">
    <w:pPr>
      <w:pStyle w:val="Header"/>
    </w:pPr>
    <w:r>
      <w:rPr>
        <w:noProof/>
      </w:rPr>
      <w:pict w14:anchorId="5C73F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95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84F"/>
    <w:multiLevelType w:val="multilevel"/>
    <w:tmpl w:val="D8AAB4F8"/>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4.2.3.%4"/>
      <w:lvlJc w:val="left"/>
      <w:pPr>
        <w:ind w:left="1080" w:hanging="36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F7136F"/>
    <w:multiLevelType w:val="hybridMultilevel"/>
    <w:tmpl w:val="7CA43B12"/>
    <w:lvl w:ilvl="0" w:tplc="EA4C2138">
      <w:start w:val="131"/>
      <w:numFmt w:val="decimal"/>
      <w:lvlText w:val="Table 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A60CF"/>
    <w:multiLevelType w:val="multilevel"/>
    <w:tmpl w:val="86C25882"/>
    <w:lvl w:ilvl="0">
      <w:start w:val="4"/>
      <w:numFmt w:val="decimal"/>
      <w:lvlText w:val="%1"/>
      <w:lvlJc w:val="left"/>
      <w:pPr>
        <w:ind w:left="480" w:hanging="480"/>
      </w:pPr>
      <w:rPr>
        <w:rFonts w:ascii="Times New Roman" w:hAnsi="Times New Roman" w:cs="Times New Roman" w:hint="default"/>
        <w:b/>
      </w:rPr>
    </w:lvl>
    <w:lvl w:ilvl="1">
      <w:start w:val="1"/>
      <w:numFmt w:val="decimal"/>
      <w:lvlText w:val="%1.%2"/>
      <w:lvlJc w:val="left"/>
      <w:pPr>
        <w:ind w:left="480" w:hanging="480"/>
      </w:pPr>
      <w:rPr>
        <w:rFonts w:ascii="Times New Roman" w:hAnsi="Times New Roman" w:cs="Times New Roman" w:hint="default"/>
        <w:b/>
      </w:rPr>
    </w:lvl>
    <w:lvl w:ilvl="2">
      <w:start w:val="1"/>
      <w:numFmt w:val="decimal"/>
      <w:lvlText w:val="1.%3"/>
      <w:lvlJc w:val="left"/>
      <w:pPr>
        <w:ind w:left="360" w:hanging="360"/>
      </w:pPr>
      <w:rPr>
        <w:rFonts w:hint="default"/>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440" w:hanging="1440"/>
      </w:pPr>
      <w:rPr>
        <w:rFonts w:ascii="Times New Roman" w:hAnsi="Times New Roman" w:cs="Times New Roman" w:hint="default"/>
        <w:b/>
      </w:rPr>
    </w:lvl>
    <w:lvl w:ilvl="8">
      <w:start w:val="1"/>
      <w:numFmt w:val="decimal"/>
      <w:lvlText w:val="%1.%2.%3.%4.%5.%6.%7.%8.%9"/>
      <w:lvlJc w:val="left"/>
      <w:pPr>
        <w:ind w:left="1800" w:hanging="1800"/>
      </w:pPr>
      <w:rPr>
        <w:rFonts w:ascii="Times New Roman" w:hAnsi="Times New Roman" w:cs="Times New Roman" w:hint="default"/>
        <w:b/>
      </w:rPr>
    </w:lvl>
  </w:abstractNum>
  <w:abstractNum w:abstractNumId="3" w15:restartNumberingAfterBreak="0">
    <w:nsid w:val="0EE04E1F"/>
    <w:multiLevelType w:val="hybridMultilevel"/>
    <w:tmpl w:val="707CE146"/>
    <w:lvl w:ilvl="0" w:tplc="4E26959E">
      <w:start w:val="1"/>
      <w:numFmt w:val="decimal"/>
      <w:lvlText w:val="4.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278E5"/>
    <w:multiLevelType w:val="hybridMultilevel"/>
    <w:tmpl w:val="8C648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F2455"/>
    <w:multiLevelType w:val="hybridMultilevel"/>
    <w:tmpl w:val="90884FEE"/>
    <w:lvl w:ilvl="0" w:tplc="A840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D24AD"/>
    <w:multiLevelType w:val="multilevel"/>
    <w:tmpl w:val="75386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0A51DB"/>
    <w:multiLevelType w:val="multilevel"/>
    <w:tmpl w:val="AE0ED1E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4.2.2.%4"/>
      <w:lvlJc w:val="left"/>
      <w:pPr>
        <w:ind w:left="450" w:hanging="36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82EEC1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D0C616D"/>
    <w:multiLevelType w:val="hybridMultilevel"/>
    <w:tmpl w:val="BDDC563A"/>
    <w:lvl w:ilvl="0" w:tplc="9AFC5052">
      <w:start w:val="1"/>
      <w:numFmt w:val="upperRoman"/>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360285"/>
    <w:multiLevelType w:val="hybridMultilevel"/>
    <w:tmpl w:val="8F84664A"/>
    <w:lvl w:ilvl="0" w:tplc="20A0096E">
      <w:start w:val="2"/>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B75B3B"/>
    <w:multiLevelType w:val="hybridMultilevel"/>
    <w:tmpl w:val="46D2627A"/>
    <w:lvl w:ilvl="0" w:tplc="099AC170">
      <w:start w:val="1"/>
      <w:numFmt w:val="low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D2FC9"/>
    <w:multiLevelType w:val="hybridMultilevel"/>
    <w:tmpl w:val="EDFA0EF2"/>
    <w:lvl w:ilvl="0" w:tplc="FE20CBA4">
      <w:start w:val="1"/>
      <w:numFmt w:val="decimal"/>
      <w:lvlText w:val="1.%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4209E4"/>
    <w:multiLevelType w:val="hybridMultilevel"/>
    <w:tmpl w:val="1CD2E56E"/>
    <w:lvl w:ilvl="0" w:tplc="7FCC20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1565BD"/>
    <w:multiLevelType w:val="hybridMultilevel"/>
    <w:tmpl w:val="777894E4"/>
    <w:lvl w:ilvl="0" w:tplc="EAB6E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F44B07"/>
    <w:multiLevelType w:val="hybridMultilevel"/>
    <w:tmpl w:val="C32C264A"/>
    <w:lvl w:ilvl="0" w:tplc="65AE40D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6F1ADF"/>
    <w:multiLevelType w:val="hybridMultilevel"/>
    <w:tmpl w:val="3654BB96"/>
    <w:lvl w:ilvl="0" w:tplc="9AFC5052">
      <w:start w:val="1"/>
      <w:numFmt w:val="upp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E33DE9"/>
    <w:multiLevelType w:val="hybridMultilevel"/>
    <w:tmpl w:val="D5664F9A"/>
    <w:lvl w:ilvl="0" w:tplc="F1D4144E">
      <w:start w:val="1"/>
      <w:numFmt w:val="decimal"/>
      <w:lvlText w:val="Table 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2575C2"/>
    <w:multiLevelType w:val="hybridMultilevel"/>
    <w:tmpl w:val="A858CC2E"/>
    <w:lvl w:ilvl="0" w:tplc="FE20CBA4">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C875C6"/>
    <w:multiLevelType w:val="hybridMultilevel"/>
    <w:tmpl w:val="33163420"/>
    <w:lvl w:ilvl="0" w:tplc="7FCC205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78031F"/>
    <w:multiLevelType w:val="hybridMultilevel"/>
    <w:tmpl w:val="CE82CC40"/>
    <w:lvl w:ilvl="0" w:tplc="BE22D7A2">
      <w:start w:val="3"/>
      <w:numFmt w:val="decimal"/>
      <w:lvlText w:val="3.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28549B"/>
    <w:multiLevelType w:val="hybridMultilevel"/>
    <w:tmpl w:val="F76EFD1A"/>
    <w:lvl w:ilvl="0" w:tplc="C9C2B60C">
      <w:start w:val="132"/>
      <w:numFmt w:val="decimal"/>
      <w:lvlText w:val="Table 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4C0DCF"/>
    <w:multiLevelType w:val="hybridMultilevel"/>
    <w:tmpl w:val="4820791C"/>
    <w:lvl w:ilvl="0" w:tplc="FB628D74">
      <w:start w:val="1"/>
      <w:numFmt w:val="low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FD7CA7"/>
    <w:multiLevelType w:val="hybridMultilevel"/>
    <w:tmpl w:val="2EAE549A"/>
    <w:lvl w:ilvl="0" w:tplc="581A638C">
      <w:start w:val="1"/>
      <w:numFmt w:val="decimal"/>
      <w:lvlText w:val="1.%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8D4755"/>
    <w:multiLevelType w:val="hybridMultilevel"/>
    <w:tmpl w:val="FFC82A16"/>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435EFE"/>
    <w:multiLevelType w:val="hybridMultilevel"/>
    <w:tmpl w:val="F4F88FB6"/>
    <w:lvl w:ilvl="0" w:tplc="DE260F4C">
      <w:start w:val="1"/>
      <w:numFmt w:val="lowerLetter"/>
      <w:lvlText w:val="4.4.1.1.%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9D3A99"/>
    <w:multiLevelType w:val="hybridMultilevel"/>
    <w:tmpl w:val="240C69C4"/>
    <w:lvl w:ilvl="0" w:tplc="1016A058">
      <w:start w:val="1"/>
      <w:numFmt w:val="decimal"/>
      <w:lvlText w:val="4.3.1.%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F45E03"/>
    <w:multiLevelType w:val="hybridMultilevel"/>
    <w:tmpl w:val="88DC00D2"/>
    <w:lvl w:ilvl="0" w:tplc="F57C5C64">
      <w:start w:val="116"/>
      <w:numFmt w:val="decimal"/>
      <w:lvlText w:val="Table 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A82E28"/>
    <w:multiLevelType w:val="hybridMultilevel"/>
    <w:tmpl w:val="2EA4A2F2"/>
    <w:lvl w:ilvl="0" w:tplc="81D2D8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C672D7"/>
    <w:multiLevelType w:val="hybridMultilevel"/>
    <w:tmpl w:val="0A20D30C"/>
    <w:lvl w:ilvl="0" w:tplc="434E8666">
      <w:start w:val="3"/>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7"/>
  </w:num>
  <w:num w:numId="4">
    <w:abstractNumId w:val="0"/>
  </w:num>
  <w:num w:numId="5">
    <w:abstractNumId w:val="26"/>
  </w:num>
  <w:num w:numId="6">
    <w:abstractNumId w:val="27"/>
  </w:num>
  <w:num w:numId="7">
    <w:abstractNumId w:val="3"/>
  </w:num>
  <w:num w:numId="8">
    <w:abstractNumId w:val="25"/>
  </w:num>
  <w:num w:numId="9">
    <w:abstractNumId w:val="1"/>
  </w:num>
  <w:num w:numId="10">
    <w:abstractNumId w:val="21"/>
  </w:num>
  <w:num w:numId="11">
    <w:abstractNumId w:val="18"/>
  </w:num>
  <w:num w:numId="12">
    <w:abstractNumId w:val="23"/>
  </w:num>
  <w:num w:numId="13">
    <w:abstractNumId w:val="15"/>
  </w:num>
  <w:num w:numId="14">
    <w:abstractNumId w:val="17"/>
  </w:num>
  <w:num w:numId="15">
    <w:abstractNumId w:val="8"/>
  </w:num>
  <w:num w:numId="16">
    <w:abstractNumId w:val="24"/>
  </w:num>
  <w:num w:numId="17">
    <w:abstractNumId w:val="10"/>
  </w:num>
  <w:num w:numId="18">
    <w:abstractNumId w:val="5"/>
  </w:num>
  <w:num w:numId="19">
    <w:abstractNumId w:val="11"/>
  </w:num>
  <w:num w:numId="20">
    <w:abstractNumId w:val="22"/>
  </w:num>
  <w:num w:numId="21">
    <w:abstractNumId w:val="20"/>
  </w:num>
  <w:num w:numId="22">
    <w:abstractNumId w:val="16"/>
  </w:num>
  <w:num w:numId="23">
    <w:abstractNumId w:val="9"/>
  </w:num>
  <w:num w:numId="24">
    <w:abstractNumId w:val="19"/>
  </w:num>
  <w:num w:numId="25">
    <w:abstractNumId w:val="13"/>
  </w:num>
  <w:num w:numId="26">
    <w:abstractNumId w:val="29"/>
  </w:num>
  <w:num w:numId="27">
    <w:abstractNumId w:val="4"/>
  </w:num>
  <w:num w:numId="28">
    <w:abstractNumId w:val="14"/>
  </w:num>
  <w:num w:numId="29">
    <w:abstractNumId w:val="2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mirrorMargin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5D"/>
    <w:rsid w:val="00003A4B"/>
    <w:rsid w:val="00013C85"/>
    <w:rsid w:val="00026CA0"/>
    <w:rsid w:val="00043E79"/>
    <w:rsid w:val="000460D4"/>
    <w:rsid w:val="00061113"/>
    <w:rsid w:val="00070962"/>
    <w:rsid w:val="00071874"/>
    <w:rsid w:val="00082D01"/>
    <w:rsid w:val="00085462"/>
    <w:rsid w:val="00086A42"/>
    <w:rsid w:val="00095C62"/>
    <w:rsid w:val="000A1A9C"/>
    <w:rsid w:val="000C039E"/>
    <w:rsid w:val="000C41A3"/>
    <w:rsid w:val="000C587F"/>
    <w:rsid w:val="000C7E90"/>
    <w:rsid w:val="000D46AE"/>
    <w:rsid w:val="000F465D"/>
    <w:rsid w:val="000F46E6"/>
    <w:rsid w:val="0014287A"/>
    <w:rsid w:val="001523DE"/>
    <w:rsid w:val="00157149"/>
    <w:rsid w:val="00175BEB"/>
    <w:rsid w:val="001823D7"/>
    <w:rsid w:val="00182878"/>
    <w:rsid w:val="001843BB"/>
    <w:rsid w:val="00194FC5"/>
    <w:rsid w:val="001B0510"/>
    <w:rsid w:val="001B5A56"/>
    <w:rsid w:val="001D5106"/>
    <w:rsid w:val="001F47EC"/>
    <w:rsid w:val="00201F6C"/>
    <w:rsid w:val="00232C63"/>
    <w:rsid w:val="00232F52"/>
    <w:rsid w:val="0024011C"/>
    <w:rsid w:val="00270E8B"/>
    <w:rsid w:val="002714E4"/>
    <w:rsid w:val="00295062"/>
    <w:rsid w:val="002962C0"/>
    <w:rsid w:val="002A44DE"/>
    <w:rsid w:val="002C6515"/>
    <w:rsid w:val="002D3D9B"/>
    <w:rsid w:val="002F55CE"/>
    <w:rsid w:val="00323C61"/>
    <w:rsid w:val="003347AA"/>
    <w:rsid w:val="003466D3"/>
    <w:rsid w:val="00347D88"/>
    <w:rsid w:val="00360FD6"/>
    <w:rsid w:val="003735B8"/>
    <w:rsid w:val="00381438"/>
    <w:rsid w:val="00383AE2"/>
    <w:rsid w:val="00390595"/>
    <w:rsid w:val="003979DA"/>
    <w:rsid w:val="003A16D1"/>
    <w:rsid w:val="003B1023"/>
    <w:rsid w:val="003B53D6"/>
    <w:rsid w:val="003D6B9F"/>
    <w:rsid w:val="00407C8D"/>
    <w:rsid w:val="00410489"/>
    <w:rsid w:val="00416C31"/>
    <w:rsid w:val="00440203"/>
    <w:rsid w:val="004672AA"/>
    <w:rsid w:val="0049649A"/>
    <w:rsid w:val="004A1228"/>
    <w:rsid w:val="004A36BC"/>
    <w:rsid w:val="004D0667"/>
    <w:rsid w:val="004D5A4F"/>
    <w:rsid w:val="004E0066"/>
    <w:rsid w:val="004E17D6"/>
    <w:rsid w:val="00512801"/>
    <w:rsid w:val="00545AA7"/>
    <w:rsid w:val="00552275"/>
    <w:rsid w:val="00574537"/>
    <w:rsid w:val="00586F6E"/>
    <w:rsid w:val="005907CF"/>
    <w:rsid w:val="0059757E"/>
    <w:rsid w:val="005A4347"/>
    <w:rsid w:val="005B3B8A"/>
    <w:rsid w:val="005B3E75"/>
    <w:rsid w:val="00607F23"/>
    <w:rsid w:val="00620AB6"/>
    <w:rsid w:val="00620B34"/>
    <w:rsid w:val="006222E2"/>
    <w:rsid w:val="006607CD"/>
    <w:rsid w:val="00660EAF"/>
    <w:rsid w:val="006658C8"/>
    <w:rsid w:val="006740C6"/>
    <w:rsid w:val="00676CEB"/>
    <w:rsid w:val="0067701E"/>
    <w:rsid w:val="006931E5"/>
    <w:rsid w:val="006A1D96"/>
    <w:rsid w:val="006D1B1D"/>
    <w:rsid w:val="006D65D3"/>
    <w:rsid w:val="006D6A72"/>
    <w:rsid w:val="00705222"/>
    <w:rsid w:val="00711196"/>
    <w:rsid w:val="007444AD"/>
    <w:rsid w:val="00752B67"/>
    <w:rsid w:val="0076399F"/>
    <w:rsid w:val="007A1697"/>
    <w:rsid w:val="007B1716"/>
    <w:rsid w:val="007B26CB"/>
    <w:rsid w:val="007B2782"/>
    <w:rsid w:val="007C0CF3"/>
    <w:rsid w:val="007C2F02"/>
    <w:rsid w:val="00804452"/>
    <w:rsid w:val="0080650D"/>
    <w:rsid w:val="0082480D"/>
    <w:rsid w:val="00825031"/>
    <w:rsid w:val="00830BB5"/>
    <w:rsid w:val="00844870"/>
    <w:rsid w:val="008548E8"/>
    <w:rsid w:val="0085785B"/>
    <w:rsid w:val="00877B88"/>
    <w:rsid w:val="008816B2"/>
    <w:rsid w:val="00885AE6"/>
    <w:rsid w:val="008912E9"/>
    <w:rsid w:val="008A001F"/>
    <w:rsid w:val="008B7CEA"/>
    <w:rsid w:val="008E27C0"/>
    <w:rsid w:val="00930C03"/>
    <w:rsid w:val="009364B9"/>
    <w:rsid w:val="00952291"/>
    <w:rsid w:val="00954846"/>
    <w:rsid w:val="00986FD2"/>
    <w:rsid w:val="00990153"/>
    <w:rsid w:val="00990CED"/>
    <w:rsid w:val="00995D51"/>
    <w:rsid w:val="009F56D7"/>
    <w:rsid w:val="00A00704"/>
    <w:rsid w:val="00A07C0F"/>
    <w:rsid w:val="00A475DF"/>
    <w:rsid w:val="00A57D92"/>
    <w:rsid w:val="00A64E3D"/>
    <w:rsid w:val="00A706E3"/>
    <w:rsid w:val="00A774A4"/>
    <w:rsid w:val="00AC0728"/>
    <w:rsid w:val="00AC1148"/>
    <w:rsid w:val="00AC4BF7"/>
    <w:rsid w:val="00AD501D"/>
    <w:rsid w:val="00AE68E8"/>
    <w:rsid w:val="00B031CA"/>
    <w:rsid w:val="00B12B1A"/>
    <w:rsid w:val="00B179B4"/>
    <w:rsid w:val="00B271EB"/>
    <w:rsid w:val="00B423D9"/>
    <w:rsid w:val="00BA625C"/>
    <w:rsid w:val="00BB0027"/>
    <w:rsid w:val="00BB7AFD"/>
    <w:rsid w:val="00BC3DA7"/>
    <w:rsid w:val="00BD4FF4"/>
    <w:rsid w:val="00BE315D"/>
    <w:rsid w:val="00BF0BFC"/>
    <w:rsid w:val="00C04F84"/>
    <w:rsid w:val="00C25106"/>
    <w:rsid w:val="00C35455"/>
    <w:rsid w:val="00C47CD6"/>
    <w:rsid w:val="00C56475"/>
    <w:rsid w:val="00C728C2"/>
    <w:rsid w:val="00C82FAE"/>
    <w:rsid w:val="00C9760D"/>
    <w:rsid w:val="00CC30BB"/>
    <w:rsid w:val="00CD679C"/>
    <w:rsid w:val="00D13B0A"/>
    <w:rsid w:val="00D269F2"/>
    <w:rsid w:val="00D26E71"/>
    <w:rsid w:val="00D30FAC"/>
    <w:rsid w:val="00D34D0E"/>
    <w:rsid w:val="00D40E1C"/>
    <w:rsid w:val="00D42D30"/>
    <w:rsid w:val="00D87786"/>
    <w:rsid w:val="00D946DC"/>
    <w:rsid w:val="00DA48CB"/>
    <w:rsid w:val="00DC62A9"/>
    <w:rsid w:val="00DD71D6"/>
    <w:rsid w:val="00DE3BD9"/>
    <w:rsid w:val="00E0437E"/>
    <w:rsid w:val="00E117F2"/>
    <w:rsid w:val="00E13CCD"/>
    <w:rsid w:val="00E218CD"/>
    <w:rsid w:val="00E41FEA"/>
    <w:rsid w:val="00E66ED6"/>
    <w:rsid w:val="00E718A4"/>
    <w:rsid w:val="00E7667A"/>
    <w:rsid w:val="00E9129D"/>
    <w:rsid w:val="00E93768"/>
    <w:rsid w:val="00E97492"/>
    <w:rsid w:val="00EA2E88"/>
    <w:rsid w:val="00EA5180"/>
    <w:rsid w:val="00EA5B4D"/>
    <w:rsid w:val="00ED68DB"/>
    <w:rsid w:val="00EE055D"/>
    <w:rsid w:val="00EF6CA9"/>
    <w:rsid w:val="00F269F1"/>
    <w:rsid w:val="00F36024"/>
    <w:rsid w:val="00F4056E"/>
    <w:rsid w:val="00F47B08"/>
    <w:rsid w:val="00F53D5B"/>
    <w:rsid w:val="00F77226"/>
    <w:rsid w:val="00F93E26"/>
    <w:rsid w:val="00FA4676"/>
    <w:rsid w:val="00FA66D7"/>
    <w:rsid w:val="00FC1941"/>
    <w:rsid w:val="00FE7A35"/>
    <w:rsid w:val="00FF44C1"/>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64C36F"/>
  <w15:chartTrackingRefBased/>
  <w15:docId w15:val="{3F5A2DE6-7B04-4C06-AF1D-AF9ED8B0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
        <w:bCs/>
        <w:color w:val="000000" w:themeColor="text1"/>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6B2"/>
    <w:rPr>
      <w:rFonts w:asciiTheme="minorHAnsi" w:hAnsiTheme="minorHAnsi" w:cstheme="minorBidi"/>
      <w:b w:val="0"/>
      <w:bCs w:val="0"/>
      <w:color w:val="auto"/>
      <w:sz w:val="22"/>
      <w:szCs w:val="22"/>
    </w:rPr>
  </w:style>
  <w:style w:type="paragraph" w:styleId="Heading1">
    <w:name w:val="heading 1"/>
    <w:basedOn w:val="Normal"/>
    <w:next w:val="Normal"/>
    <w:link w:val="Heading1Char"/>
    <w:uiPriority w:val="9"/>
    <w:qFormat/>
    <w:rsid w:val="00EE05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05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05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05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05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0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5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05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055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055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E055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E05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05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05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05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0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55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E0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5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055D"/>
    <w:pPr>
      <w:spacing w:before="160"/>
      <w:jc w:val="center"/>
    </w:pPr>
    <w:rPr>
      <w:i/>
      <w:iCs/>
      <w:color w:val="404040" w:themeColor="text1" w:themeTint="BF"/>
    </w:rPr>
  </w:style>
  <w:style w:type="character" w:customStyle="1" w:styleId="QuoteChar">
    <w:name w:val="Quote Char"/>
    <w:basedOn w:val="DefaultParagraphFont"/>
    <w:link w:val="Quote"/>
    <w:uiPriority w:val="29"/>
    <w:rsid w:val="00EE055D"/>
    <w:rPr>
      <w:i/>
      <w:iCs/>
      <w:color w:val="404040" w:themeColor="text1" w:themeTint="BF"/>
    </w:rPr>
  </w:style>
  <w:style w:type="paragraph" w:styleId="ListParagraph">
    <w:name w:val="List Paragraph"/>
    <w:basedOn w:val="Normal"/>
    <w:uiPriority w:val="34"/>
    <w:qFormat/>
    <w:rsid w:val="00EE055D"/>
    <w:pPr>
      <w:ind w:left="720"/>
      <w:contextualSpacing/>
    </w:pPr>
  </w:style>
  <w:style w:type="character" w:styleId="IntenseEmphasis">
    <w:name w:val="Intense Emphasis"/>
    <w:basedOn w:val="DefaultParagraphFont"/>
    <w:uiPriority w:val="21"/>
    <w:qFormat/>
    <w:rsid w:val="00EE055D"/>
    <w:rPr>
      <w:i/>
      <w:iCs/>
      <w:color w:val="2F5496" w:themeColor="accent1" w:themeShade="BF"/>
    </w:rPr>
  </w:style>
  <w:style w:type="paragraph" w:styleId="IntenseQuote">
    <w:name w:val="Intense Quote"/>
    <w:basedOn w:val="Normal"/>
    <w:next w:val="Normal"/>
    <w:link w:val="IntenseQuoteChar"/>
    <w:uiPriority w:val="30"/>
    <w:qFormat/>
    <w:rsid w:val="00EE05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055D"/>
    <w:rPr>
      <w:i/>
      <w:iCs/>
      <w:color w:val="2F5496" w:themeColor="accent1" w:themeShade="BF"/>
    </w:rPr>
  </w:style>
  <w:style w:type="character" w:styleId="IntenseReference">
    <w:name w:val="Intense Reference"/>
    <w:basedOn w:val="DefaultParagraphFont"/>
    <w:uiPriority w:val="32"/>
    <w:qFormat/>
    <w:rsid w:val="00EE055D"/>
    <w:rPr>
      <w:b w:val="0"/>
      <w:bCs w:val="0"/>
      <w:smallCaps/>
      <w:color w:val="2F5496" w:themeColor="accent1" w:themeShade="BF"/>
      <w:spacing w:val="5"/>
    </w:rPr>
  </w:style>
  <w:style w:type="table" w:styleId="TableGrid">
    <w:name w:val="Table Grid"/>
    <w:basedOn w:val="TableNormal"/>
    <w:uiPriority w:val="59"/>
    <w:rsid w:val="008816B2"/>
    <w:pPr>
      <w:spacing w:after="0" w:line="240" w:lineRule="auto"/>
    </w:pPr>
    <w:rPr>
      <w:rFonts w:asciiTheme="minorHAnsi" w:eastAsiaTheme="minorEastAsia" w:hAnsiTheme="minorHAnsi" w:cs="Mangal"/>
      <w:b w:val="0"/>
      <w:bCs w:val="0"/>
      <w:color w:val="auto"/>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816B2"/>
    <w:pPr>
      <w:spacing w:after="0" w:line="240" w:lineRule="auto"/>
    </w:pPr>
    <w:rPr>
      <w:rFonts w:asciiTheme="minorHAnsi" w:hAnsiTheme="minorHAnsi" w:cstheme="minorBidi"/>
      <w:b w:val="0"/>
      <w:bCs w:val="0"/>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816B2"/>
    <w:pPr>
      <w:spacing w:after="0" w:line="240" w:lineRule="auto"/>
    </w:pPr>
    <w:rPr>
      <w:rFonts w:asciiTheme="minorHAnsi" w:hAnsiTheme="minorHAnsi" w:cstheme="minorBidi"/>
      <w:b w:val="0"/>
      <w:bCs w:val="0"/>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C85"/>
    <w:rPr>
      <w:rFonts w:asciiTheme="minorHAnsi" w:hAnsiTheme="minorHAnsi" w:cstheme="minorBidi"/>
      <w:b w:val="0"/>
      <w:bCs w:val="0"/>
      <w:color w:val="auto"/>
      <w:sz w:val="22"/>
      <w:szCs w:val="22"/>
    </w:rPr>
  </w:style>
  <w:style w:type="paragraph" w:styleId="Footer">
    <w:name w:val="footer"/>
    <w:basedOn w:val="Normal"/>
    <w:link w:val="FooterChar"/>
    <w:uiPriority w:val="99"/>
    <w:unhideWhenUsed/>
    <w:rsid w:val="00013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C85"/>
    <w:rPr>
      <w:rFonts w:asciiTheme="minorHAnsi" w:hAnsiTheme="minorHAnsi" w:cstheme="minorBidi"/>
      <w:b w:val="0"/>
      <w:bCs w:val="0"/>
      <w:color w:val="auto"/>
      <w:sz w:val="22"/>
      <w:szCs w:val="22"/>
    </w:rPr>
  </w:style>
  <w:style w:type="paragraph" w:customStyle="1" w:styleId="Default">
    <w:name w:val="Default"/>
    <w:rsid w:val="007B26CB"/>
    <w:pPr>
      <w:autoSpaceDE w:val="0"/>
      <w:autoSpaceDN w:val="0"/>
      <w:adjustRightInd w:val="0"/>
      <w:spacing w:after="0" w:line="240" w:lineRule="auto"/>
    </w:pPr>
    <w:rPr>
      <w:color w:val="000000"/>
      <w:kern w:val="0"/>
      <w:lang w:bidi="mr-IN"/>
    </w:rPr>
  </w:style>
  <w:style w:type="character" w:styleId="Hyperlink">
    <w:name w:val="Hyperlink"/>
    <w:basedOn w:val="DefaultParagraphFont"/>
    <w:uiPriority w:val="99"/>
    <w:unhideWhenUsed/>
    <w:rsid w:val="00B271EB"/>
    <w:rPr>
      <w:color w:val="0563C1" w:themeColor="hyperlink"/>
      <w:u w:val="single"/>
    </w:rPr>
  </w:style>
  <w:style w:type="character" w:styleId="UnresolvedMention">
    <w:name w:val="Unresolved Mention"/>
    <w:basedOn w:val="DefaultParagraphFont"/>
    <w:uiPriority w:val="99"/>
    <w:semiHidden/>
    <w:unhideWhenUsed/>
    <w:rsid w:val="00B271EB"/>
    <w:rPr>
      <w:color w:val="605E5C"/>
      <w:shd w:val="clear" w:color="auto" w:fill="E1DFDD"/>
    </w:rPr>
  </w:style>
  <w:style w:type="paragraph" w:styleId="NormalWeb">
    <w:name w:val="Normal (Web)"/>
    <w:basedOn w:val="Normal"/>
    <w:uiPriority w:val="99"/>
    <w:unhideWhenUsed/>
    <w:rsid w:val="002F55CE"/>
    <w:pPr>
      <w:spacing w:before="100" w:beforeAutospacing="1" w:after="100" w:afterAutospacing="1" w:line="240" w:lineRule="auto"/>
    </w:pPr>
    <w:rPr>
      <w:rFonts w:ascii="Times New Roman" w:eastAsia="Times New Roman" w:hAnsi="Times New Roman" w:cs="Times New Roman"/>
      <w:kern w:val="0"/>
      <w:sz w:val="24"/>
      <w:szCs w:val="24"/>
      <w:lang w:bidi="mr-IN"/>
      <w14:ligatures w14:val="none"/>
    </w:rPr>
  </w:style>
  <w:style w:type="character" w:styleId="Emphasis">
    <w:name w:val="Emphasis"/>
    <w:basedOn w:val="DefaultParagraphFont"/>
    <w:uiPriority w:val="20"/>
    <w:qFormat/>
    <w:rsid w:val="002F55CE"/>
    <w:rPr>
      <w:i/>
      <w:iCs/>
    </w:rPr>
  </w:style>
  <w:style w:type="paragraph" w:customStyle="1" w:styleId="ReferHead">
    <w:name w:val="Refer Head"/>
    <w:basedOn w:val="Normal"/>
    <w:rsid w:val="00C728C2"/>
    <w:pPr>
      <w:keepNext/>
      <w:spacing w:after="240" w:line="240" w:lineRule="auto"/>
    </w:pPr>
    <w:rPr>
      <w:rFonts w:ascii="Helvetica" w:eastAsia="Times New Roman" w:hAnsi="Helvetica" w:cs="Times New Roman"/>
      <w:b/>
      <w:caps/>
      <w:kern w:val="0"/>
      <w:szCs w:val="20"/>
      <w14:ligatures w14:val="none"/>
    </w:rPr>
  </w:style>
  <w:style w:type="paragraph" w:customStyle="1" w:styleId="AcknHead">
    <w:name w:val="Ackn Head"/>
    <w:basedOn w:val="Normal"/>
    <w:rsid w:val="00AE68E8"/>
    <w:pPr>
      <w:keepNext/>
      <w:spacing w:after="240" w:line="240" w:lineRule="auto"/>
    </w:pPr>
    <w:rPr>
      <w:rFonts w:ascii="Helvetica" w:eastAsia="Times New Roman" w:hAnsi="Helvetica" w:cs="Times New Roman"/>
      <w:b/>
      <w:caps/>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339307">
      <w:bodyDiv w:val="1"/>
      <w:marLeft w:val="0"/>
      <w:marRight w:val="0"/>
      <w:marTop w:val="0"/>
      <w:marBottom w:val="0"/>
      <w:divBdr>
        <w:top w:val="none" w:sz="0" w:space="0" w:color="auto"/>
        <w:left w:val="none" w:sz="0" w:space="0" w:color="auto"/>
        <w:bottom w:val="none" w:sz="0" w:space="0" w:color="auto"/>
        <w:right w:val="none" w:sz="0" w:space="0" w:color="auto"/>
      </w:divBdr>
    </w:div>
    <w:div w:id="453790524">
      <w:bodyDiv w:val="1"/>
      <w:marLeft w:val="0"/>
      <w:marRight w:val="0"/>
      <w:marTop w:val="0"/>
      <w:marBottom w:val="0"/>
      <w:divBdr>
        <w:top w:val="none" w:sz="0" w:space="0" w:color="auto"/>
        <w:left w:val="none" w:sz="0" w:space="0" w:color="auto"/>
        <w:bottom w:val="none" w:sz="0" w:space="0" w:color="auto"/>
        <w:right w:val="none" w:sz="0" w:space="0" w:color="auto"/>
      </w:divBdr>
      <w:divsChild>
        <w:div w:id="1260602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C620-9641-4698-B43F-E527FEE4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7</Pages>
  <Words>3085</Words>
  <Characters>17590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Patil</dc:creator>
  <cp:keywords/>
  <dc:description/>
  <cp:lastModifiedBy>SDI 1183</cp:lastModifiedBy>
  <cp:revision>266</cp:revision>
  <dcterms:created xsi:type="dcterms:W3CDTF">2025-04-28T10:10:00Z</dcterms:created>
  <dcterms:modified xsi:type="dcterms:W3CDTF">2025-08-22T06:58:00Z</dcterms:modified>
</cp:coreProperties>
</file>