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96473" w14:textId="77777777" w:rsidR="00B05ED5" w:rsidRDefault="00B05ED5">
      <w:pPr>
        <w:pStyle w:val="Author"/>
        <w:spacing w:line="240" w:lineRule="auto"/>
        <w:jc w:val="left"/>
        <w:rPr>
          <w:rFonts w:ascii="Arial" w:hAnsi="Arial" w:cs="Arial"/>
          <w:b w:val="0"/>
          <w:i/>
          <w:kern w:val="28"/>
          <w:sz w:val="28"/>
          <w:szCs w:val="16"/>
          <w:u w:val="single"/>
        </w:rPr>
      </w:pPr>
    </w:p>
    <w:p w14:paraId="66AF5815" w14:textId="7CEE854C" w:rsidR="00B05ED5" w:rsidRDefault="00460EE6">
      <w:pPr>
        <w:pStyle w:val="Author"/>
        <w:spacing w:line="240" w:lineRule="auto"/>
        <w:rPr>
          <w:rFonts w:ascii="Arial" w:hAnsi="Arial" w:cs="Arial"/>
          <w:bCs/>
          <w:iCs/>
          <w:kern w:val="28"/>
          <w:sz w:val="36"/>
        </w:rPr>
      </w:pPr>
      <w:r>
        <w:rPr>
          <w:rFonts w:ascii="Arial" w:hAnsi="Arial" w:cs="Arial"/>
          <w:bCs/>
          <w:iCs/>
          <w:kern w:val="28"/>
          <w:sz w:val="36"/>
        </w:rPr>
        <w:t xml:space="preserve">Evaluation of agricultural practices in urban areas: the case of pesticides uses on market garden sites in </w:t>
      </w:r>
      <w:proofErr w:type="spellStart"/>
      <w:r>
        <w:rPr>
          <w:rFonts w:ascii="Arial" w:hAnsi="Arial" w:cs="Arial"/>
          <w:bCs/>
          <w:iCs/>
          <w:kern w:val="28"/>
          <w:sz w:val="36"/>
        </w:rPr>
        <w:t>Sarh</w:t>
      </w:r>
      <w:proofErr w:type="spellEnd"/>
      <w:r w:rsidR="009C7608">
        <w:rPr>
          <w:rFonts w:ascii="Arial" w:hAnsi="Arial" w:cs="Arial"/>
          <w:bCs/>
          <w:iCs/>
          <w:kern w:val="28"/>
          <w:sz w:val="36"/>
        </w:rPr>
        <w:t xml:space="preserve">, </w:t>
      </w:r>
      <w:r>
        <w:rPr>
          <w:rFonts w:ascii="Arial" w:hAnsi="Arial" w:cs="Arial"/>
          <w:bCs/>
          <w:iCs/>
          <w:kern w:val="28"/>
          <w:sz w:val="36"/>
        </w:rPr>
        <w:t>Chad</w:t>
      </w:r>
    </w:p>
    <w:p w14:paraId="6FD30254" w14:textId="77777777" w:rsidR="00B05ED5" w:rsidRDefault="00B05ED5">
      <w:pPr>
        <w:pStyle w:val="Author"/>
        <w:spacing w:line="240" w:lineRule="auto"/>
        <w:jc w:val="both"/>
        <w:rPr>
          <w:rFonts w:ascii="Arial" w:hAnsi="Arial" w:cs="Arial"/>
          <w:sz w:val="36"/>
        </w:rPr>
      </w:pPr>
    </w:p>
    <w:p w14:paraId="0D0D5584" w14:textId="77777777" w:rsidR="00B05ED5" w:rsidRDefault="00B05ED5">
      <w:pPr>
        <w:pStyle w:val="Author"/>
        <w:spacing w:line="240" w:lineRule="auto"/>
        <w:rPr>
          <w:rFonts w:ascii="Arial" w:hAnsi="Arial" w:cs="Arial"/>
          <w:b w:val="0"/>
          <w:i/>
          <w:sz w:val="16"/>
        </w:rPr>
      </w:pPr>
    </w:p>
    <w:p w14:paraId="53966C50" w14:textId="77777777" w:rsidR="00B05ED5" w:rsidRDefault="00B05ED5">
      <w:pPr>
        <w:pStyle w:val="Affiliation"/>
        <w:spacing w:after="0" w:line="240" w:lineRule="auto"/>
        <w:jc w:val="both"/>
        <w:rPr>
          <w:rFonts w:ascii="Arial" w:hAnsi="Arial" w:cs="Arial"/>
        </w:rPr>
      </w:pPr>
    </w:p>
    <w:p w14:paraId="4CC61E37" w14:textId="77777777" w:rsidR="00B05ED5" w:rsidRDefault="00B05ED5">
      <w:pPr>
        <w:pStyle w:val="Affiliation"/>
        <w:spacing w:after="0" w:line="240" w:lineRule="auto"/>
        <w:jc w:val="both"/>
        <w:rPr>
          <w:rFonts w:ascii="Arial" w:hAnsi="Arial" w:cs="Arial"/>
        </w:rPr>
      </w:pPr>
    </w:p>
    <w:p w14:paraId="6782060F" w14:textId="77777777" w:rsidR="00B05ED5" w:rsidRDefault="0073437F">
      <w:pPr>
        <w:pStyle w:val="Copyright"/>
        <w:spacing w:after="0" w:line="240" w:lineRule="auto"/>
        <w:jc w:val="both"/>
        <w:rPr>
          <w:rFonts w:ascii="Arial" w:hAnsi="Arial" w:cs="Arial"/>
        </w:rPr>
        <w:sectPr w:rsidR="00B05ED5" w:rsidSect="008033B9">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79344246">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460EE6">
        <w:rPr>
          <w:rFonts w:ascii="Arial" w:hAnsi="Arial" w:cs="Arial"/>
        </w:rPr>
        <w:t>.</w:t>
      </w:r>
    </w:p>
    <w:p w14:paraId="022F64BD" w14:textId="77777777" w:rsidR="00B05ED5" w:rsidRDefault="00460EE6">
      <w:pPr>
        <w:pStyle w:val="AbstHead"/>
        <w:spacing w:after="0"/>
        <w:jc w:val="both"/>
        <w:rPr>
          <w:rFonts w:ascii="Arial" w:hAnsi="Arial" w:cs="Arial"/>
        </w:rPr>
      </w:pPr>
      <w:r>
        <w:rPr>
          <w:rFonts w:ascii="Arial" w:hAnsi="Arial" w:cs="Arial"/>
        </w:rPr>
        <w:t>ABSTRACT</w:t>
      </w:r>
    </w:p>
    <w:p w14:paraId="6F3860BA" w14:textId="77777777" w:rsidR="00B05ED5" w:rsidRDefault="00B05ED5">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B05ED5" w14:paraId="1AF0A6D0" w14:textId="77777777">
        <w:tc>
          <w:tcPr>
            <w:tcW w:w="9576" w:type="dxa"/>
            <w:shd w:val="clear" w:color="auto" w:fill="F2F2F2"/>
          </w:tcPr>
          <w:p w14:paraId="60E3B702" w14:textId="31C2F49F" w:rsidR="00B05ED5" w:rsidRDefault="00460EE6" w:rsidP="00CA5C45">
            <w:pPr>
              <w:pStyle w:val="Body"/>
              <w:spacing w:after="0"/>
              <w:rPr>
                <w:rFonts w:ascii="Arial" w:eastAsia="Calibri" w:hAnsi="Arial" w:cs="Arial"/>
                <w:szCs w:val="22"/>
              </w:rPr>
            </w:pPr>
            <w:r>
              <w:rPr>
                <w:rFonts w:ascii="Arial" w:eastAsia="Calibri" w:hAnsi="Arial" w:cs="Arial"/>
                <w:szCs w:val="22"/>
              </w:rPr>
              <w:t xml:space="preserve">The aim of this study is to assess the phytosanitary practices of urban market gardeners and to provide a better understanding of the risks associated with market gardening practices, particularly the use of pesticides. </w:t>
            </w:r>
            <w:r w:rsidR="00CA5C45" w:rsidRPr="00CA5C45">
              <w:rPr>
                <w:rFonts w:ascii="Arial" w:eastAsia="Calibri" w:hAnsi="Arial" w:cs="Arial"/>
                <w:szCs w:val="22"/>
                <w:highlight w:val="yellow"/>
              </w:rPr>
              <w:t>She</w:t>
            </w:r>
            <w:r w:rsidR="004B5E06" w:rsidRPr="00CA5C45">
              <w:rPr>
                <w:rFonts w:ascii="Arial" w:eastAsia="Calibri" w:hAnsi="Arial" w:cs="Arial"/>
                <w:szCs w:val="22"/>
                <w:highlight w:val="yellow"/>
              </w:rPr>
              <w:t xml:space="preserve"> </w:t>
            </w:r>
            <w:r w:rsidR="004B5E06" w:rsidRPr="004B5E06">
              <w:rPr>
                <w:rFonts w:ascii="Arial" w:eastAsia="Calibri" w:hAnsi="Arial" w:cs="Arial"/>
                <w:szCs w:val="22"/>
                <w:highlight w:val="yellow"/>
              </w:rPr>
              <w:t xml:space="preserve">took place in the town of </w:t>
            </w:r>
            <w:proofErr w:type="spellStart"/>
            <w:r w:rsidR="004B5E06" w:rsidRPr="004B5E06">
              <w:rPr>
                <w:rFonts w:ascii="Arial" w:eastAsia="Calibri" w:hAnsi="Arial" w:cs="Arial"/>
                <w:szCs w:val="22"/>
                <w:highlight w:val="yellow"/>
              </w:rPr>
              <w:t>Sarh</w:t>
            </w:r>
            <w:proofErr w:type="spellEnd"/>
            <w:r w:rsidR="004B5E06" w:rsidRPr="004B5E06">
              <w:rPr>
                <w:rFonts w:ascii="Arial" w:eastAsia="Calibri" w:hAnsi="Arial" w:cs="Arial"/>
                <w:szCs w:val="22"/>
                <w:highlight w:val="yellow"/>
              </w:rPr>
              <w:t xml:space="preserve">, in Chad's </w:t>
            </w:r>
            <w:proofErr w:type="spellStart"/>
            <w:r w:rsidR="004B5E06" w:rsidRPr="004B5E06">
              <w:rPr>
                <w:rFonts w:ascii="Arial" w:eastAsia="Calibri" w:hAnsi="Arial" w:cs="Arial"/>
                <w:szCs w:val="22"/>
                <w:highlight w:val="yellow"/>
              </w:rPr>
              <w:t>Moyen</w:t>
            </w:r>
            <w:proofErr w:type="spellEnd"/>
            <w:r w:rsidR="004B5E06" w:rsidRPr="004B5E06">
              <w:rPr>
                <w:rFonts w:ascii="Arial" w:eastAsia="Calibri" w:hAnsi="Arial" w:cs="Arial"/>
                <w:szCs w:val="22"/>
                <w:highlight w:val="yellow"/>
              </w:rPr>
              <w:t xml:space="preserve"> Chari province.</w:t>
            </w:r>
            <w:r w:rsidR="004B5E06" w:rsidRPr="004B5E06">
              <w:rPr>
                <w:rFonts w:ascii="Arial" w:eastAsia="Calibri" w:hAnsi="Arial" w:cs="Arial"/>
                <w:szCs w:val="22"/>
              </w:rPr>
              <w:t xml:space="preserve"> </w:t>
            </w:r>
            <w:r>
              <w:rPr>
                <w:rFonts w:ascii="Arial" w:eastAsia="Calibri" w:hAnsi="Arial" w:cs="Arial"/>
                <w:szCs w:val="22"/>
              </w:rPr>
              <w:t xml:space="preserve">The study consisted in conducting surveys based on semi-directed interviews using a questionnaire, in order to understand the knowledge, attitudes and practices of growers through the study. A total of 100 market gardeners using pesticides were surveyed. The results showed that the majority (97%) of market gardeners were men aged between 20 and 50, with secondary education. Observations revealed the use of unauthorized pesticides, often intended specifically for other crops. The active ingredients of the most commonly used </w:t>
            </w:r>
            <w:proofErr w:type="gramStart"/>
            <w:r>
              <w:rPr>
                <w:rFonts w:ascii="Arial" w:eastAsia="Calibri" w:hAnsi="Arial" w:cs="Arial"/>
                <w:szCs w:val="22"/>
              </w:rPr>
              <w:t xml:space="preserve">pesticides </w:t>
            </w:r>
            <w:r w:rsidR="004B5E06">
              <w:rPr>
                <w:rFonts w:ascii="Arial" w:eastAsia="Calibri" w:hAnsi="Arial" w:cs="Arial"/>
                <w:szCs w:val="22"/>
              </w:rPr>
              <w:t xml:space="preserve"> </w:t>
            </w:r>
            <w:r w:rsidR="004B5E06" w:rsidRPr="004B5E06">
              <w:rPr>
                <w:rFonts w:ascii="Arial" w:eastAsia="Calibri" w:hAnsi="Arial" w:cs="Arial"/>
                <w:szCs w:val="22"/>
                <w:highlight w:val="yellow"/>
              </w:rPr>
              <w:t>was</w:t>
            </w:r>
            <w:proofErr w:type="gramEnd"/>
            <w:r>
              <w:rPr>
                <w:rFonts w:ascii="Arial" w:eastAsia="Calibri" w:hAnsi="Arial" w:cs="Arial"/>
                <w:szCs w:val="22"/>
              </w:rPr>
              <w:t xml:space="preserve">: Acetamiprid, Cypermethrin, Cypermethrin, Cypermethrin and Chlorpyrifos-ethyl. These </w:t>
            </w:r>
            <w:proofErr w:type="gramStart"/>
            <w:r>
              <w:rPr>
                <w:rFonts w:ascii="Arial" w:eastAsia="Calibri" w:hAnsi="Arial" w:cs="Arial"/>
                <w:szCs w:val="22"/>
              </w:rPr>
              <w:t xml:space="preserve">pesticides  </w:t>
            </w:r>
            <w:r w:rsidR="004B5E06" w:rsidRPr="004B5E06">
              <w:rPr>
                <w:rFonts w:ascii="Arial" w:eastAsia="Calibri" w:hAnsi="Arial" w:cs="Arial"/>
                <w:szCs w:val="22"/>
                <w:highlight w:val="yellow"/>
              </w:rPr>
              <w:t>were</w:t>
            </w:r>
            <w:proofErr w:type="gramEnd"/>
            <w:r w:rsidR="004B5E06">
              <w:rPr>
                <w:rFonts w:ascii="Arial" w:eastAsia="Calibri" w:hAnsi="Arial" w:cs="Arial"/>
                <w:szCs w:val="22"/>
              </w:rPr>
              <w:t xml:space="preserve"> </w:t>
            </w:r>
            <w:r>
              <w:rPr>
                <w:rFonts w:ascii="Arial" w:eastAsia="Calibri" w:hAnsi="Arial" w:cs="Arial"/>
                <w:szCs w:val="22"/>
              </w:rPr>
              <w:t>used without any adequate means of protection, and 81% of market gardeners dispose of the packaging in the immediate environment. Concerning the time taken for the last pre-harvest treatment, only 7% of those surveyed observed a normal delay of more than 21 days and 29% applied a delay of less than a week. In the event of product ineffectiveness, 85% of growers adopt the strategy of overdosing, 11% change products and 4% resort to combining with a second product. With regard to the risks to human health associated with handling plant protection products, 92% of those surveyed said they had perceived harmful effects such as headaches and/or fever (58%), nasal congestion, colds and/or coughs (16%), skin burns (10%), dizziness, nausea and/or vomiting (5%) and red eyes (3%). In view of the potential risk of intoxication to growers, it would be urgent to train market gardeners in the use of pesticides. Promoting the use of biopesticides and compliance with standards for pesticide packaging management is an alternative way of reducing the negative impacts of phytosanitary products.</w:t>
            </w:r>
          </w:p>
        </w:tc>
      </w:tr>
    </w:tbl>
    <w:p w14:paraId="1D3C404C" w14:textId="77777777" w:rsidR="00B05ED5" w:rsidRDefault="00B05ED5">
      <w:pPr>
        <w:pStyle w:val="Body"/>
        <w:spacing w:after="0"/>
        <w:rPr>
          <w:rFonts w:ascii="Arial" w:hAnsi="Arial" w:cs="Arial"/>
          <w:i/>
        </w:rPr>
      </w:pPr>
    </w:p>
    <w:p w14:paraId="2B7B6912" w14:textId="093D82D4" w:rsidR="00B05ED5" w:rsidRDefault="00460EE6">
      <w:pPr>
        <w:pStyle w:val="Body"/>
        <w:spacing w:after="0"/>
        <w:rPr>
          <w:rFonts w:ascii="Arial" w:hAnsi="Arial" w:cs="Arial"/>
          <w:i/>
        </w:rPr>
      </w:pPr>
      <w:r>
        <w:rPr>
          <w:rFonts w:ascii="Arial" w:hAnsi="Arial" w:cs="Arial"/>
          <w:i/>
        </w:rPr>
        <w:t xml:space="preserve">Keywords: urban agriculture, pesticides, market gardening, </w:t>
      </w:r>
      <w:r w:rsidR="009C7608" w:rsidRPr="009C7608">
        <w:rPr>
          <w:rFonts w:ascii="Arial" w:hAnsi="Arial" w:cs="Arial"/>
          <w:i/>
        </w:rPr>
        <w:t>pre-harvest treatment</w:t>
      </w:r>
      <w:r w:rsidR="009C7608">
        <w:rPr>
          <w:rFonts w:ascii="Arial" w:hAnsi="Arial" w:cs="Arial"/>
          <w:i/>
        </w:rPr>
        <w:t xml:space="preserve">, </w:t>
      </w:r>
      <w:bookmarkStart w:id="0" w:name="_GoBack"/>
      <w:bookmarkEnd w:id="0"/>
      <w:r>
        <w:rPr>
          <w:rFonts w:ascii="Arial" w:hAnsi="Arial" w:cs="Arial"/>
          <w:i/>
        </w:rPr>
        <w:t>Sarh</w:t>
      </w:r>
      <w:r w:rsidR="009C7608">
        <w:rPr>
          <w:rFonts w:ascii="Arial" w:hAnsi="Arial" w:cs="Arial"/>
          <w:i/>
        </w:rPr>
        <w:t>,</w:t>
      </w:r>
    </w:p>
    <w:p w14:paraId="387A99A0" w14:textId="77777777" w:rsidR="00B05ED5" w:rsidRDefault="00B05ED5">
      <w:pPr>
        <w:pStyle w:val="Body"/>
        <w:spacing w:after="0"/>
        <w:rPr>
          <w:rFonts w:ascii="Arial" w:hAnsi="Arial" w:cs="Arial"/>
          <w:i/>
        </w:rPr>
      </w:pPr>
    </w:p>
    <w:p w14:paraId="526470E8" w14:textId="77777777" w:rsidR="00B05ED5" w:rsidRDefault="00B05ED5">
      <w:pPr>
        <w:pStyle w:val="Body"/>
        <w:spacing w:after="0"/>
        <w:rPr>
          <w:rFonts w:ascii="Arial" w:hAnsi="Arial" w:cs="Arial"/>
          <w:i/>
          <w:sz w:val="18"/>
        </w:rPr>
      </w:pPr>
    </w:p>
    <w:p w14:paraId="724C4FB1" w14:textId="77777777" w:rsidR="00B05ED5" w:rsidRDefault="00460EE6">
      <w:pPr>
        <w:pStyle w:val="AbstHead"/>
        <w:spacing w:after="0"/>
        <w:jc w:val="both"/>
        <w:rPr>
          <w:rFonts w:ascii="Arial" w:hAnsi="Arial" w:cs="Arial"/>
        </w:rPr>
      </w:pPr>
      <w:r>
        <w:rPr>
          <w:rFonts w:ascii="Arial" w:hAnsi="Arial" w:cs="Arial"/>
        </w:rPr>
        <w:t>1. INTRODUCTION</w:t>
      </w:r>
    </w:p>
    <w:p w14:paraId="749A2A37" w14:textId="77777777" w:rsidR="00B05ED5" w:rsidRDefault="00B05ED5">
      <w:pPr>
        <w:pStyle w:val="AbstHead"/>
        <w:spacing w:after="0"/>
        <w:jc w:val="both"/>
        <w:rPr>
          <w:rFonts w:ascii="Arial" w:hAnsi="Arial" w:cs="Arial"/>
        </w:rPr>
      </w:pPr>
    </w:p>
    <w:p w14:paraId="595275FE" w14:textId="016E30F9" w:rsidR="00B05ED5" w:rsidRDefault="00460EE6">
      <w:pPr>
        <w:pStyle w:val="Body"/>
        <w:spacing w:after="0"/>
        <w:rPr>
          <w:rFonts w:ascii="Arial" w:hAnsi="Arial" w:cs="Arial"/>
        </w:rPr>
      </w:pPr>
      <w:r>
        <w:rPr>
          <w:rFonts w:ascii="Arial" w:hAnsi="Arial" w:cs="Arial"/>
        </w:rPr>
        <w:t>Market gardening is an important component of urban agriculture. It is part of the urban environment in Africa (</w:t>
      </w:r>
      <w:proofErr w:type="spellStart"/>
      <w:r>
        <w:rPr>
          <w:rFonts w:ascii="Arial" w:hAnsi="Arial" w:cs="Arial"/>
        </w:rPr>
        <w:t>Massounga</w:t>
      </w:r>
      <w:proofErr w:type="spellEnd"/>
      <w:r>
        <w:rPr>
          <w:rFonts w:ascii="Arial" w:hAnsi="Arial" w:cs="Arial"/>
        </w:rPr>
        <w:t xml:space="preserve"> et al, 2025, </w:t>
      </w:r>
      <w:proofErr w:type="spellStart"/>
      <w:r>
        <w:rPr>
          <w:rFonts w:ascii="Arial" w:hAnsi="Arial" w:cs="Arial"/>
        </w:rPr>
        <w:t>Mougeot</w:t>
      </w:r>
      <w:proofErr w:type="spellEnd"/>
      <w:r>
        <w:rPr>
          <w:rFonts w:ascii="Arial" w:hAnsi="Arial" w:cs="Arial"/>
        </w:rPr>
        <w:t xml:space="preserve"> and </w:t>
      </w:r>
      <w:proofErr w:type="spellStart"/>
      <w:r>
        <w:rPr>
          <w:rFonts w:ascii="Arial" w:hAnsi="Arial" w:cs="Arial"/>
        </w:rPr>
        <w:t>Moustier</w:t>
      </w:r>
      <w:proofErr w:type="spellEnd"/>
      <w:r>
        <w:rPr>
          <w:rFonts w:ascii="Arial" w:hAnsi="Arial" w:cs="Arial"/>
        </w:rPr>
        <w:t>, 2004). Several studies carried out in Africa show that market gardening is the main agricultural activity (</w:t>
      </w:r>
      <w:proofErr w:type="spellStart"/>
      <w:r>
        <w:rPr>
          <w:rFonts w:ascii="Arial" w:hAnsi="Arial" w:cs="Arial"/>
        </w:rPr>
        <w:t>Ouédraogo</w:t>
      </w:r>
      <w:proofErr w:type="spellEnd"/>
      <w:r>
        <w:rPr>
          <w:rFonts w:ascii="Arial" w:hAnsi="Arial" w:cs="Arial"/>
        </w:rPr>
        <w:t xml:space="preserve">, 2008). It therefore plays </w:t>
      </w:r>
      <w:r w:rsidR="00B467AE" w:rsidRPr="00B467AE">
        <w:rPr>
          <w:rFonts w:ascii="Arial" w:hAnsi="Arial" w:cs="Arial"/>
          <w:highlight w:val="yellow"/>
        </w:rPr>
        <w:t>a</w:t>
      </w:r>
      <w:r w:rsidRPr="00B467AE">
        <w:rPr>
          <w:rFonts w:ascii="Arial" w:hAnsi="Arial" w:cs="Arial"/>
          <w:highlight w:val="yellow"/>
        </w:rPr>
        <w:t xml:space="preserve"> </w:t>
      </w:r>
      <w:r w:rsidR="00B467AE" w:rsidRPr="00B467AE">
        <w:rPr>
          <w:rFonts w:ascii="Arial" w:hAnsi="Arial" w:cs="Arial"/>
          <w:highlight w:val="yellow"/>
        </w:rPr>
        <w:t>crucial</w:t>
      </w:r>
      <w:r>
        <w:rPr>
          <w:rFonts w:ascii="Arial" w:hAnsi="Arial" w:cs="Arial"/>
        </w:rPr>
        <w:t xml:space="preserve"> role in the diet of urban populations. Market garden crops play a key role in most nutrition and poverty alleviation programs, and contribute significantly to family incomes (James et al., 2010). Market gardener’s supply vegetables to increasingly populated cities, as the world's population is growing, with an estimated 8 billion inhabitants by 2022 (Gross, 2023). Thus, increasing agricultural production and improving plant nutrition is a major challenge for these farming systems (Smith, 2021). On the other hand, in such a constraining environment, it seems important to </w:t>
      </w:r>
      <w:r>
        <w:rPr>
          <w:rFonts w:ascii="Arial" w:hAnsi="Arial" w:cs="Arial"/>
        </w:rPr>
        <w:lastRenderedPageBreak/>
        <w:t>constantly evaluate the production conditions of vegetable crops in relation to the producers' standard of living (</w:t>
      </w:r>
      <w:proofErr w:type="spellStart"/>
      <w:r>
        <w:rPr>
          <w:rFonts w:ascii="Arial" w:hAnsi="Arial" w:cs="Arial"/>
        </w:rPr>
        <w:t>Ballé</w:t>
      </w:r>
      <w:proofErr w:type="spellEnd"/>
      <w:r>
        <w:rPr>
          <w:rFonts w:ascii="Arial" w:hAnsi="Arial" w:cs="Arial"/>
        </w:rPr>
        <w:t xml:space="preserve">, 2024). In fact, market garden production in urban areas is limited by multiple abiotic and biotic constraints that affect yields and the ensuing post-harvest operations. The pressure of bio-aggressors has been identified as the major constraint due to the crop losses inflicted on market gardeners (Kanda et al., 2014; </w:t>
      </w:r>
      <w:proofErr w:type="spellStart"/>
      <w:r>
        <w:rPr>
          <w:rFonts w:ascii="Arial" w:hAnsi="Arial" w:cs="Arial"/>
        </w:rPr>
        <w:t>Mondédji</w:t>
      </w:r>
      <w:proofErr w:type="spellEnd"/>
      <w:r>
        <w:rPr>
          <w:rFonts w:ascii="Arial" w:hAnsi="Arial" w:cs="Arial"/>
        </w:rPr>
        <w:t xml:space="preserve"> et al., 2015). The use of synthetic pesticides is increasingly common in developing countries. However, studies have highlighted the existence of poor phytosanitary practices, in particular failure to comply with prescribed doses, protection </w:t>
      </w:r>
      <w:r w:rsidR="004B5E06" w:rsidRPr="004B5E06">
        <w:rPr>
          <w:rFonts w:ascii="Arial" w:hAnsi="Arial" w:cs="Arial"/>
          <w:highlight w:val="yellow"/>
        </w:rPr>
        <w:t>gears</w:t>
      </w:r>
      <w:r w:rsidR="004B5E06">
        <w:rPr>
          <w:rFonts w:ascii="Arial" w:hAnsi="Arial" w:cs="Arial"/>
        </w:rPr>
        <w:t xml:space="preserve"> </w:t>
      </w:r>
      <w:r>
        <w:rPr>
          <w:rFonts w:ascii="Arial" w:hAnsi="Arial" w:cs="Arial"/>
        </w:rPr>
        <w:t>and hygiene instructions recommended during treatments, as well as poor management of phytosanitary product packaging (</w:t>
      </w:r>
      <w:proofErr w:type="spellStart"/>
      <w:r>
        <w:rPr>
          <w:rFonts w:ascii="Arial" w:hAnsi="Arial" w:cs="Arial"/>
        </w:rPr>
        <w:t>Soro</w:t>
      </w:r>
      <w:proofErr w:type="spellEnd"/>
      <w:r>
        <w:rPr>
          <w:rFonts w:ascii="Arial" w:hAnsi="Arial" w:cs="Arial"/>
        </w:rPr>
        <w:t xml:space="preserve"> et al., 2018; </w:t>
      </w:r>
      <w:proofErr w:type="spellStart"/>
      <w:r>
        <w:rPr>
          <w:rFonts w:ascii="Arial" w:hAnsi="Arial" w:cs="Arial"/>
        </w:rPr>
        <w:t>Mambe</w:t>
      </w:r>
      <w:proofErr w:type="spellEnd"/>
      <w:r>
        <w:rPr>
          <w:rFonts w:ascii="Arial" w:hAnsi="Arial" w:cs="Arial"/>
        </w:rPr>
        <w:t>-Ani et al., 2019). In Chad, urban market gardening is an important activity for many city dwellers. Market garden production involves several types of produce that contribute to a balanced diet, either as a supplement or seasoning for sauces, or as a starter (</w:t>
      </w:r>
      <w:proofErr w:type="spellStart"/>
      <w:r>
        <w:rPr>
          <w:rFonts w:ascii="Arial" w:hAnsi="Arial" w:cs="Arial"/>
        </w:rPr>
        <w:t>Nazal</w:t>
      </w:r>
      <w:proofErr w:type="spellEnd"/>
      <w:r>
        <w:rPr>
          <w:rFonts w:ascii="Arial" w:hAnsi="Arial" w:cs="Arial"/>
        </w:rPr>
        <w:t xml:space="preserve">, 2021). According to </w:t>
      </w:r>
      <w:proofErr w:type="spellStart"/>
      <w:r>
        <w:rPr>
          <w:rFonts w:ascii="Arial" w:hAnsi="Arial" w:cs="Arial"/>
        </w:rPr>
        <w:t>Doudoua</w:t>
      </w:r>
      <w:proofErr w:type="spellEnd"/>
      <w:r>
        <w:rPr>
          <w:rFonts w:ascii="Arial" w:hAnsi="Arial" w:cs="Arial"/>
        </w:rPr>
        <w:t xml:space="preserve"> et al (2020), market gardening offers poor urban populations the opportunity to access products essential to their survival, for both food and financial needs. Although market gardening plays an important role in the diets of urban dwellers and makes a significant contribution to the incomes of vulnerable families, it is faced with pest pressure that limits its productivity. The proliferation of parasites on plants hampers their growth and development. Insects (locusts, caterpillars, aphids, etc.) that feed on plant buds, leaves, flowers, fruit, etc. cause considerable damage (</w:t>
      </w:r>
      <w:proofErr w:type="spellStart"/>
      <w:r>
        <w:rPr>
          <w:rFonts w:ascii="Arial" w:hAnsi="Arial" w:cs="Arial"/>
        </w:rPr>
        <w:t>Nazal</w:t>
      </w:r>
      <w:proofErr w:type="spellEnd"/>
      <w:r>
        <w:rPr>
          <w:rFonts w:ascii="Arial" w:hAnsi="Arial" w:cs="Arial"/>
        </w:rPr>
        <w:t xml:space="preserve">, 2019). The parasitic pressure exerted on market garden crops in Chad leads to a reduction in production and consequently in market gardeners' incomes. Growers have found solutions to these constraints in the massive application of phytosanitary products, some of which are prohibited, and which ultimately pose environmental and health problems. The aim of the study was to investigate the use of phytosanitary products in the town of </w:t>
      </w:r>
      <w:proofErr w:type="spellStart"/>
      <w:r>
        <w:rPr>
          <w:rFonts w:ascii="Arial" w:hAnsi="Arial" w:cs="Arial"/>
        </w:rPr>
        <w:t>Sarh</w:t>
      </w:r>
      <w:proofErr w:type="spellEnd"/>
      <w:r>
        <w:rPr>
          <w:rFonts w:ascii="Arial" w:hAnsi="Arial" w:cs="Arial"/>
        </w:rPr>
        <w:t>.</w:t>
      </w:r>
    </w:p>
    <w:p w14:paraId="4B856E69" w14:textId="77777777" w:rsidR="00B05ED5" w:rsidRDefault="00B05ED5">
      <w:pPr>
        <w:pStyle w:val="Body"/>
        <w:spacing w:after="0"/>
        <w:rPr>
          <w:rFonts w:ascii="Arial" w:hAnsi="Arial" w:cs="Arial"/>
        </w:rPr>
      </w:pPr>
    </w:p>
    <w:p w14:paraId="58E98384" w14:textId="77777777" w:rsidR="00B05ED5" w:rsidRDefault="00460EE6">
      <w:pPr>
        <w:pStyle w:val="AbstHead"/>
        <w:spacing w:after="0"/>
        <w:jc w:val="both"/>
        <w:rPr>
          <w:rFonts w:ascii="Arial" w:hAnsi="Arial" w:cs="Arial"/>
        </w:rPr>
      </w:pPr>
      <w:r>
        <w:rPr>
          <w:rFonts w:ascii="Arial" w:hAnsi="Arial" w:cs="Arial"/>
        </w:rPr>
        <w:t>2. material and methods</w:t>
      </w:r>
    </w:p>
    <w:p w14:paraId="116742D6" w14:textId="77777777" w:rsidR="00B05ED5" w:rsidRDefault="00B05ED5">
      <w:pPr>
        <w:pStyle w:val="AbstHead"/>
        <w:spacing w:after="0"/>
        <w:jc w:val="both"/>
        <w:rPr>
          <w:rFonts w:ascii="Arial" w:hAnsi="Arial" w:cs="Arial"/>
        </w:rPr>
      </w:pPr>
    </w:p>
    <w:p w14:paraId="417BC417" w14:textId="77777777" w:rsidR="00B05ED5" w:rsidRDefault="00460EE6">
      <w:pPr>
        <w:pStyle w:val="Body"/>
        <w:spacing w:after="0"/>
        <w:rPr>
          <w:rFonts w:ascii="Arial" w:hAnsi="Arial" w:cs="Arial"/>
          <w:b/>
          <w:sz w:val="22"/>
        </w:rPr>
      </w:pPr>
      <w:r>
        <w:rPr>
          <w:rFonts w:ascii="Arial" w:hAnsi="Arial" w:cs="Arial"/>
          <w:b/>
          <w:caps/>
          <w:sz w:val="22"/>
        </w:rPr>
        <w:t xml:space="preserve">2.1 </w:t>
      </w:r>
      <w:r>
        <w:rPr>
          <w:rFonts w:ascii="Arial" w:hAnsi="Arial" w:cs="Arial"/>
          <w:b/>
          <w:sz w:val="22"/>
        </w:rPr>
        <w:t>Geographical scope of the study</w:t>
      </w:r>
    </w:p>
    <w:p w14:paraId="441E709C" w14:textId="77777777" w:rsidR="00B05ED5" w:rsidRDefault="00B05ED5">
      <w:pPr>
        <w:pStyle w:val="Body"/>
        <w:spacing w:after="0"/>
        <w:rPr>
          <w:rFonts w:ascii="Arial" w:hAnsi="Arial" w:cs="Arial"/>
          <w:b/>
          <w:sz w:val="22"/>
        </w:rPr>
      </w:pPr>
    </w:p>
    <w:p w14:paraId="5ED2EABC" w14:textId="77777777" w:rsidR="00B05ED5" w:rsidRDefault="00460EE6">
      <w:pPr>
        <w:pStyle w:val="Body"/>
        <w:rPr>
          <w:rFonts w:ascii="Arial" w:hAnsi="Arial" w:cs="Arial"/>
        </w:rPr>
      </w:pPr>
      <w:r>
        <w:rPr>
          <w:rFonts w:ascii="Arial" w:hAnsi="Arial" w:cs="Arial"/>
        </w:rPr>
        <w:t xml:space="preserve">The study took place in the town of </w:t>
      </w:r>
      <w:proofErr w:type="spellStart"/>
      <w:r>
        <w:rPr>
          <w:rFonts w:ascii="Arial" w:hAnsi="Arial" w:cs="Arial"/>
        </w:rPr>
        <w:t>Sarh</w:t>
      </w:r>
      <w:proofErr w:type="spellEnd"/>
      <w:r>
        <w:rPr>
          <w:rFonts w:ascii="Arial" w:hAnsi="Arial" w:cs="Arial"/>
        </w:rPr>
        <w:t xml:space="preserve">, in Chad's </w:t>
      </w:r>
      <w:proofErr w:type="spellStart"/>
      <w:r>
        <w:rPr>
          <w:rFonts w:ascii="Arial" w:hAnsi="Arial" w:cs="Arial"/>
        </w:rPr>
        <w:t>Moyen</w:t>
      </w:r>
      <w:proofErr w:type="spellEnd"/>
      <w:r>
        <w:rPr>
          <w:rFonts w:ascii="Arial" w:hAnsi="Arial" w:cs="Arial"/>
        </w:rPr>
        <w:t xml:space="preserve"> Chari province. The town of </w:t>
      </w:r>
      <w:proofErr w:type="spellStart"/>
      <w:r>
        <w:rPr>
          <w:rFonts w:ascii="Arial" w:hAnsi="Arial" w:cs="Arial"/>
        </w:rPr>
        <w:t>Sarh</w:t>
      </w:r>
      <w:proofErr w:type="spellEnd"/>
      <w:r>
        <w:rPr>
          <w:rFonts w:ascii="Arial" w:hAnsi="Arial" w:cs="Arial"/>
        </w:rPr>
        <w:t xml:space="preserve"> is located in the south of the country, on the banks of the Chari River, close to the border with the Central African Republic. The climate is </w:t>
      </w:r>
      <w:proofErr w:type="spellStart"/>
      <w:r>
        <w:rPr>
          <w:rFonts w:ascii="Arial" w:hAnsi="Arial" w:cs="Arial"/>
        </w:rPr>
        <w:t>Sudanian</w:t>
      </w:r>
      <w:proofErr w:type="spellEnd"/>
      <w:r>
        <w:rPr>
          <w:rFonts w:ascii="Arial" w:hAnsi="Arial" w:cs="Arial"/>
        </w:rPr>
        <w:t xml:space="preserve">, with a hot dry season from November to April and a hot wet rainy season from May to October. Rainfall averages between 800 and 1,200 mm per year. Average annual temperatures range from 24 to 38°C. The soils are ferruginous, leached and reddish in color, with a uniformly sandy-clay to clay texture and a pH that is slightly acidic at the surface and very acidic at depth. Bordered by the Chari and </w:t>
      </w:r>
      <w:proofErr w:type="spellStart"/>
      <w:r>
        <w:rPr>
          <w:rFonts w:ascii="Arial" w:hAnsi="Arial" w:cs="Arial"/>
        </w:rPr>
        <w:t>Barh-Kôh</w:t>
      </w:r>
      <w:proofErr w:type="spellEnd"/>
      <w:r>
        <w:rPr>
          <w:rFonts w:ascii="Arial" w:hAnsi="Arial" w:cs="Arial"/>
        </w:rPr>
        <w:t xml:space="preserve"> rivers, the town of </w:t>
      </w:r>
      <w:proofErr w:type="spellStart"/>
      <w:r>
        <w:rPr>
          <w:rFonts w:ascii="Arial" w:hAnsi="Arial" w:cs="Arial"/>
        </w:rPr>
        <w:t>Sarh</w:t>
      </w:r>
      <w:proofErr w:type="spellEnd"/>
      <w:r>
        <w:rPr>
          <w:rFonts w:ascii="Arial" w:hAnsi="Arial" w:cs="Arial"/>
        </w:rPr>
        <w:t xml:space="preserve"> is located on a vast, featureless plain. Its topography is marked by a gentle westward slope towards the Bahr </w:t>
      </w:r>
      <w:proofErr w:type="spellStart"/>
      <w:r>
        <w:rPr>
          <w:rFonts w:ascii="Arial" w:hAnsi="Arial" w:cs="Arial"/>
        </w:rPr>
        <w:t>Kôh</w:t>
      </w:r>
      <w:proofErr w:type="spellEnd"/>
      <w:r>
        <w:rPr>
          <w:rFonts w:ascii="Arial" w:hAnsi="Arial" w:cs="Arial"/>
        </w:rPr>
        <w:t xml:space="preserve"> river. The hydrographic layout, soil and climate are ideal for market gardening.</w:t>
      </w:r>
    </w:p>
    <w:p w14:paraId="5C8414DF" w14:textId="77777777" w:rsidR="00B05ED5" w:rsidRDefault="00B05ED5">
      <w:pPr>
        <w:pStyle w:val="Body"/>
        <w:spacing w:after="0"/>
        <w:rPr>
          <w:rFonts w:ascii="Arial" w:hAnsi="Arial" w:cs="Arial"/>
        </w:rPr>
      </w:pPr>
    </w:p>
    <w:p w14:paraId="5221A267" w14:textId="77777777" w:rsidR="00B05ED5" w:rsidRDefault="00460EE6">
      <w:pPr>
        <w:pStyle w:val="Body"/>
        <w:spacing w:after="0"/>
        <w:rPr>
          <w:rFonts w:ascii="Arial" w:hAnsi="Arial" w:cs="Arial"/>
          <w:b/>
          <w:sz w:val="22"/>
        </w:rPr>
      </w:pPr>
      <w:r>
        <w:rPr>
          <w:rFonts w:ascii="Arial" w:hAnsi="Arial" w:cs="Arial"/>
          <w:b/>
          <w:caps/>
          <w:sz w:val="22"/>
        </w:rPr>
        <w:t xml:space="preserve">2.2 </w:t>
      </w:r>
      <w:r>
        <w:rPr>
          <w:rFonts w:ascii="Arial" w:hAnsi="Arial" w:cs="Arial"/>
          <w:b/>
          <w:sz w:val="22"/>
        </w:rPr>
        <w:t>Methodology</w:t>
      </w:r>
    </w:p>
    <w:p w14:paraId="6F6018C4" w14:textId="77777777" w:rsidR="00B05ED5" w:rsidRDefault="00B05ED5">
      <w:pPr>
        <w:pStyle w:val="Body"/>
        <w:spacing w:after="0"/>
        <w:rPr>
          <w:rFonts w:ascii="Arial" w:hAnsi="Arial" w:cs="Arial"/>
          <w:b/>
          <w:sz w:val="22"/>
        </w:rPr>
      </w:pPr>
    </w:p>
    <w:p w14:paraId="54A2FEC1" w14:textId="77777777" w:rsidR="00B05ED5" w:rsidRDefault="00460EE6">
      <w:pPr>
        <w:pStyle w:val="Body"/>
        <w:spacing w:after="0"/>
        <w:rPr>
          <w:rFonts w:ascii="Arial" w:hAnsi="Arial" w:cs="Arial"/>
        </w:rPr>
      </w:pPr>
      <w:r>
        <w:rPr>
          <w:rFonts w:ascii="Arial" w:hAnsi="Arial" w:cs="Arial"/>
        </w:rPr>
        <w:t xml:space="preserve">The study is exploratory and descriptive in nature, and took place from March to May 2024, a period conducive to market gardening. It is a descriptive cross-sectional study of market gardeners who use pesticides. The present study covered 9 market garden production sites chosen from the 13 listed in the town of </w:t>
      </w:r>
      <w:proofErr w:type="spellStart"/>
      <w:r>
        <w:rPr>
          <w:rFonts w:ascii="Arial" w:hAnsi="Arial" w:cs="Arial"/>
        </w:rPr>
        <w:t>Sarh</w:t>
      </w:r>
      <w:proofErr w:type="spellEnd"/>
      <w:r>
        <w:rPr>
          <w:rFonts w:ascii="Arial" w:hAnsi="Arial" w:cs="Arial"/>
        </w:rPr>
        <w:t xml:space="preserve">. These were: </w:t>
      </w:r>
      <w:proofErr w:type="spellStart"/>
      <w:r>
        <w:rPr>
          <w:rFonts w:ascii="Arial" w:hAnsi="Arial" w:cs="Arial"/>
        </w:rPr>
        <w:t>Balimba</w:t>
      </w:r>
      <w:proofErr w:type="spellEnd"/>
      <w:r>
        <w:rPr>
          <w:rFonts w:ascii="Arial" w:hAnsi="Arial" w:cs="Arial"/>
        </w:rPr>
        <w:t xml:space="preserve">, Banda, </w:t>
      </w:r>
      <w:proofErr w:type="spellStart"/>
      <w:r>
        <w:rPr>
          <w:rFonts w:ascii="Arial" w:hAnsi="Arial" w:cs="Arial"/>
        </w:rPr>
        <w:t>Doyaba</w:t>
      </w:r>
      <w:proofErr w:type="spellEnd"/>
      <w:r>
        <w:rPr>
          <w:rFonts w:ascii="Arial" w:hAnsi="Arial" w:cs="Arial"/>
        </w:rPr>
        <w:t xml:space="preserve">, Jardin, </w:t>
      </w:r>
      <w:proofErr w:type="spellStart"/>
      <w:r>
        <w:rPr>
          <w:rFonts w:ascii="Arial" w:hAnsi="Arial" w:cs="Arial"/>
        </w:rPr>
        <w:t>Kamati</w:t>
      </w:r>
      <w:proofErr w:type="spellEnd"/>
      <w:r>
        <w:rPr>
          <w:rFonts w:ascii="Arial" w:hAnsi="Arial" w:cs="Arial"/>
        </w:rPr>
        <w:t xml:space="preserve">, </w:t>
      </w:r>
      <w:proofErr w:type="spellStart"/>
      <w:r>
        <w:rPr>
          <w:rFonts w:ascii="Arial" w:hAnsi="Arial" w:cs="Arial"/>
        </w:rPr>
        <w:t>Keguéteré</w:t>
      </w:r>
      <w:proofErr w:type="spellEnd"/>
      <w:r>
        <w:rPr>
          <w:rFonts w:ascii="Arial" w:hAnsi="Arial" w:cs="Arial"/>
        </w:rPr>
        <w:t xml:space="preserve">, </w:t>
      </w:r>
      <w:proofErr w:type="spellStart"/>
      <w:r>
        <w:rPr>
          <w:rFonts w:ascii="Arial" w:hAnsi="Arial" w:cs="Arial"/>
        </w:rPr>
        <w:t>Malron</w:t>
      </w:r>
      <w:proofErr w:type="spellEnd"/>
      <w:r>
        <w:rPr>
          <w:rFonts w:ascii="Arial" w:hAnsi="Arial" w:cs="Arial"/>
        </w:rPr>
        <w:t xml:space="preserve"> and </w:t>
      </w:r>
      <w:proofErr w:type="spellStart"/>
      <w:r>
        <w:rPr>
          <w:rFonts w:ascii="Arial" w:hAnsi="Arial" w:cs="Arial"/>
        </w:rPr>
        <w:t>Maingara</w:t>
      </w:r>
      <w:proofErr w:type="spellEnd"/>
      <w:r>
        <w:rPr>
          <w:rFonts w:ascii="Arial" w:hAnsi="Arial" w:cs="Arial"/>
        </w:rPr>
        <w:t>.</w:t>
      </w:r>
    </w:p>
    <w:p w14:paraId="0C140D28" w14:textId="77777777" w:rsidR="00B05ED5" w:rsidRDefault="00B05ED5">
      <w:pPr>
        <w:pStyle w:val="Body"/>
        <w:spacing w:after="0"/>
        <w:rPr>
          <w:rFonts w:ascii="Arial" w:hAnsi="Arial" w:cs="Arial"/>
        </w:rPr>
      </w:pPr>
    </w:p>
    <w:p w14:paraId="78495F3D" w14:textId="77777777" w:rsidR="00B05ED5" w:rsidRDefault="00460EE6">
      <w:pPr>
        <w:pStyle w:val="Body"/>
        <w:rPr>
          <w:rFonts w:ascii="Arial" w:hAnsi="Arial" w:cs="Arial"/>
        </w:rPr>
      </w:pPr>
      <w:r>
        <w:rPr>
          <w:rFonts w:ascii="Arial" w:hAnsi="Arial" w:cs="Arial"/>
        </w:rPr>
        <w:t xml:space="preserve">The choice of study sites was guided by the exploratory field trip, informal discussions with market gardeners and existing documentation. After first locating the various market garden sites in our study area, we chose the sites on the basis of the organization of the growers and the dynamism of the farms. </w:t>
      </w:r>
    </w:p>
    <w:p w14:paraId="31D7B1B4" w14:textId="77777777" w:rsidR="00B05ED5" w:rsidRDefault="00460EE6">
      <w:pPr>
        <w:pStyle w:val="Body"/>
        <w:rPr>
          <w:rFonts w:ascii="Arial" w:hAnsi="Arial" w:cs="Arial"/>
        </w:rPr>
      </w:pPr>
      <w:r>
        <w:rPr>
          <w:rFonts w:ascii="Arial" w:hAnsi="Arial" w:cs="Arial"/>
        </w:rPr>
        <w:lastRenderedPageBreak/>
        <w:t>Surveys were carried out on the basis of semi-structured interviews using a questionnaire designed for this purpose, in order to understand the knowledge, attitudes, practices and perceptions of the groups targeted by the study. A total of 100 market gardeners using pesticides were surveyed. All market gardeners participating in the study gave their free and informed consent.</w:t>
      </w:r>
    </w:p>
    <w:p w14:paraId="3AC91AB0" w14:textId="77777777" w:rsidR="00B05ED5" w:rsidRDefault="00460EE6">
      <w:pPr>
        <w:pStyle w:val="Body"/>
        <w:spacing w:after="0"/>
        <w:rPr>
          <w:rFonts w:ascii="Arial" w:hAnsi="Arial" w:cs="Arial"/>
        </w:rPr>
      </w:pPr>
      <w:r>
        <w:rPr>
          <w:rFonts w:ascii="Arial" w:hAnsi="Arial" w:cs="Arial"/>
        </w:rPr>
        <w:t xml:space="preserve">The study methodology was based on field surveys of market gardeners in the study area. The main information gathered from market gardeners related to their socio-demographic data (gender, age, level of education), the species produced, the period of market gardening, pesticide use and management, the health of market gardeners following the use of phytosanitary products, and the training of market gardeners in the use of phytosanitary products. </w:t>
      </w:r>
    </w:p>
    <w:p w14:paraId="501192AD" w14:textId="77777777" w:rsidR="00B05ED5" w:rsidRDefault="00B05ED5">
      <w:pPr>
        <w:pStyle w:val="Body"/>
        <w:spacing w:after="0"/>
        <w:rPr>
          <w:rFonts w:ascii="Arial" w:hAnsi="Arial" w:cs="Arial"/>
        </w:rPr>
      </w:pPr>
    </w:p>
    <w:p w14:paraId="4D34CE4A" w14:textId="77777777" w:rsidR="00B05ED5" w:rsidRDefault="00460EE6">
      <w:pPr>
        <w:pStyle w:val="Body"/>
        <w:spacing w:after="0"/>
        <w:rPr>
          <w:rFonts w:ascii="Arial" w:hAnsi="Arial" w:cs="Arial"/>
          <w:b/>
          <w:sz w:val="22"/>
        </w:rPr>
      </w:pPr>
      <w:r>
        <w:rPr>
          <w:rFonts w:ascii="Arial" w:hAnsi="Arial" w:cs="Arial"/>
          <w:b/>
          <w:caps/>
          <w:sz w:val="22"/>
        </w:rPr>
        <w:t xml:space="preserve">2.3 </w:t>
      </w:r>
      <w:r>
        <w:rPr>
          <w:rFonts w:ascii="Arial" w:hAnsi="Arial" w:cs="Arial"/>
          <w:b/>
          <w:sz w:val="22"/>
        </w:rPr>
        <w:t>Statistical Analysis</w:t>
      </w:r>
    </w:p>
    <w:p w14:paraId="7DDAC5BF" w14:textId="77777777" w:rsidR="00B05ED5" w:rsidRDefault="00B05ED5">
      <w:pPr>
        <w:pStyle w:val="Body"/>
        <w:spacing w:after="0"/>
        <w:rPr>
          <w:rFonts w:ascii="Arial" w:hAnsi="Arial" w:cs="Arial"/>
        </w:rPr>
      </w:pPr>
    </w:p>
    <w:p w14:paraId="4CE11A8F" w14:textId="77777777" w:rsidR="00B05ED5" w:rsidRDefault="00460EE6">
      <w:pPr>
        <w:pStyle w:val="Body"/>
        <w:spacing w:after="0"/>
        <w:rPr>
          <w:rFonts w:ascii="Arial" w:hAnsi="Arial" w:cs="Arial"/>
        </w:rPr>
      </w:pPr>
      <w:r>
        <w:rPr>
          <w:rFonts w:ascii="Arial" w:hAnsi="Arial" w:cs="Arial"/>
        </w:rPr>
        <w:t>After checking and coding the forms, the data were statistically processed using Sphinx plus2 software. Statistical parameters (averages and percentages) were calculated and used to construct the graphs, targeting the following variables: socio-demographic profile knowledge of pesticides, characteristics of pesticides used, types of vegetables grown, time of treatment, pre-harvest interval, protective measures during treatment, packaging management, level of risk perception, manifestation of discomfort linked to pesticide applications, attitudes adopted in the event of discomfort and history of training in the application of phytosanitary products.</w:t>
      </w:r>
    </w:p>
    <w:p w14:paraId="72C4C89F" w14:textId="77777777" w:rsidR="00B05ED5" w:rsidRDefault="00B05ED5">
      <w:pPr>
        <w:pStyle w:val="Body"/>
        <w:spacing w:after="0"/>
        <w:rPr>
          <w:rFonts w:ascii="Arial" w:hAnsi="Arial" w:cs="Arial"/>
        </w:rPr>
      </w:pPr>
    </w:p>
    <w:p w14:paraId="02517274" w14:textId="77777777" w:rsidR="00B05ED5" w:rsidRDefault="00460EE6">
      <w:pPr>
        <w:pStyle w:val="Head1"/>
        <w:spacing w:after="0"/>
        <w:jc w:val="both"/>
        <w:rPr>
          <w:rFonts w:ascii="Arial" w:hAnsi="Arial" w:cs="Arial"/>
        </w:rPr>
      </w:pPr>
      <w:r>
        <w:rPr>
          <w:rFonts w:ascii="Arial" w:hAnsi="Arial" w:cs="Arial"/>
        </w:rPr>
        <w:t>3. results and discussion</w:t>
      </w:r>
    </w:p>
    <w:p w14:paraId="09A074D5" w14:textId="77777777" w:rsidR="00B05ED5" w:rsidRDefault="00B05ED5">
      <w:pPr>
        <w:pStyle w:val="Head1"/>
        <w:spacing w:after="0"/>
        <w:jc w:val="both"/>
        <w:rPr>
          <w:rFonts w:ascii="Arial" w:hAnsi="Arial" w:cs="Arial"/>
        </w:rPr>
      </w:pPr>
    </w:p>
    <w:p w14:paraId="6BAEB4B1" w14:textId="77777777" w:rsidR="00B05ED5" w:rsidRDefault="00460EE6">
      <w:pPr>
        <w:pStyle w:val="Body"/>
        <w:spacing w:after="0"/>
        <w:rPr>
          <w:rFonts w:ascii="Arial" w:hAnsi="Arial" w:cs="Arial"/>
          <w:b/>
          <w:sz w:val="22"/>
        </w:rPr>
      </w:pPr>
      <w:r>
        <w:rPr>
          <w:rFonts w:ascii="Arial" w:hAnsi="Arial" w:cs="Arial"/>
          <w:b/>
          <w:caps/>
          <w:sz w:val="22"/>
        </w:rPr>
        <w:t xml:space="preserve">3.1 </w:t>
      </w:r>
      <w:r>
        <w:rPr>
          <w:rFonts w:ascii="Arial" w:hAnsi="Arial" w:cs="Arial"/>
          <w:b/>
          <w:sz w:val="22"/>
        </w:rPr>
        <w:t>Socio-demographic profile of market gardeners</w:t>
      </w:r>
    </w:p>
    <w:p w14:paraId="2856ECAB" w14:textId="77777777" w:rsidR="00B05ED5" w:rsidRDefault="00B05ED5">
      <w:pPr>
        <w:pStyle w:val="Body"/>
        <w:spacing w:after="0"/>
        <w:rPr>
          <w:rFonts w:ascii="Arial" w:hAnsi="Arial" w:cs="Arial"/>
          <w:b/>
          <w:sz w:val="22"/>
        </w:rPr>
      </w:pPr>
    </w:p>
    <w:p w14:paraId="29C228ED" w14:textId="77777777" w:rsidR="00B05ED5" w:rsidRDefault="00460EE6">
      <w:pPr>
        <w:pStyle w:val="Body"/>
        <w:spacing w:after="0"/>
        <w:rPr>
          <w:rFonts w:ascii="Arial" w:hAnsi="Arial" w:cs="Arial"/>
        </w:rPr>
      </w:pPr>
      <w:r>
        <w:rPr>
          <w:rFonts w:ascii="Arial" w:hAnsi="Arial" w:cs="Arial"/>
        </w:rPr>
        <w:t xml:space="preserve">Farming in the town of </w:t>
      </w:r>
      <w:proofErr w:type="spellStart"/>
      <w:r>
        <w:rPr>
          <w:rFonts w:ascii="Arial" w:hAnsi="Arial" w:cs="Arial"/>
        </w:rPr>
        <w:t>Sarh</w:t>
      </w:r>
      <w:proofErr w:type="spellEnd"/>
      <w:r>
        <w:rPr>
          <w:rFonts w:ascii="Arial" w:hAnsi="Arial" w:cs="Arial"/>
        </w:rPr>
        <w:t xml:space="preserve"> is widely dominated by men. Women are less interested in production, but are much more involved in marketing market garden produce. This trend corroborates the findings of </w:t>
      </w:r>
      <w:proofErr w:type="spellStart"/>
      <w:r>
        <w:rPr>
          <w:rFonts w:ascii="Arial" w:hAnsi="Arial" w:cs="Arial"/>
        </w:rPr>
        <w:t>Cissé</w:t>
      </w:r>
      <w:proofErr w:type="spellEnd"/>
      <w:r>
        <w:rPr>
          <w:rFonts w:ascii="Arial" w:hAnsi="Arial" w:cs="Arial"/>
        </w:rPr>
        <w:t xml:space="preserve"> et al, (2021) in Dakar, </w:t>
      </w:r>
      <w:proofErr w:type="spellStart"/>
      <w:r>
        <w:rPr>
          <w:rFonts w:ascii="Arial" w:hAnsi="Arial" w:cs="Arial"/>
        </w:rPr>
        <w:t>Nazal</w:t>
      </w:r>
      <w:proofErr w:type="spellEnd"/>
      <w:r>
        <w:rPr>
          <w:rFonts w:ascii="Arial" w:hAnsi="Arial" w:cs="Arial"/>
        </w:rPr>
        <w:t xml:space="preserve"> (2021) in N’Djamena and Agmas &amp; </w:t>
      </w:r>
      <w:proofErr w:type="spellStart"/>
      <w:r>
        <w:rPr>
          <w:rFonts w:ascii="Arial" w:hAnsi="Arial" w:cs="Arial"/>
        </w:rPr>
        <w:t>Adugna</w:t>
      </w:r>
      <w:proofErr w:type="spellEnd"/>
      <w:r>
        <w:rPr>
          <w:rFonts w:ascii="Arial" w:hAnsi="Arial" w:cs="Arial"/>
        </w:rPr>
        <w:t xml:space="preserve">, (2020) in Ethiopia, where market gardening is </w:t>
      </w:r>
      <w:r w:rsidR="001D3288" w:rsidRPr="001D3288">
        <w:rPr>
          <w:rFonts w:ascii="Arial" w:hAnsi="Arial" w:cs="Arial"/>
          <w:highlight w:val="yellow"/>
        </w:rPr>
        <w:t>done</w:t>
      </w:r>
      <w:r w:rsidR="001D3288">
        <w:rPr>
          <w:rFonts w:ascii="Arial" w:hAnsi="Arial" w:cs="Arial"/>
        </w:rPr>
        <w:t xml:space="preserve"> </w:t>
      </w:r>
      <w:r>
        <w:rPr>
          <w:rFonts w:ascii="Arial" w:hAnsi="Arial" w:cs="Arial"/>
        </w:rPr>
        <w:t>predominantly</w:t>
      </w:r>
      <w:r w:rsidR="001D3288">
        <w:rPr>
          <w:rFonts w:ascii="Arial" w:hAnsi="Arial" w:cs="Arial"/>
        </w:rPr>
        <w:t xml:space="preserve"> </w:t>
      </w:r>
      <w:r w:rsidR="001D3288" w:rsidRPr="001D3288">
        <w:rPr>
          <w:rFonts w:ascii="Arial" w:hAnsi="Arial" w:cs="Arial"/>
          <w:highlight w:val="yellow"/>
        </w:rPr>
        <w:t>by</w:t>
      </w:r>
      <w:r>
        <w:rPr>
          <w:rFonts w:ascii="Arial" w:hAnsi="Arial" w:cs="Arial"/>
        </w:rPr>
        <w:t xml:space="preserve"> </w:t>
      </w:r>
      <w:r w:rsidRPr="001D3288">
        <w:rPr>
          <w:rFonts w:ascii="Arial" w:hAnsi="Arial" w:cs="Arial"/>
          <w:highlight w:val="yellow"/>
        </w:rPr>
        <w:t>male</w:t>
      </w:r>
      <w:r w:rsidR="001D3288" w:rsidRPr="001D3288">
        <w:rPr>
          <w:rFonts w:ascii="Arial" w:hAnsi="Arial" w:cs="Arial"/>
          <w:highlight w:val="yellow"/>
        </w:rPr>
        <w:t>s</w:t>
      </w:r>
      <w:r>
        <w:rPr>
          <w:rFonts w:ascii="Arial" w:hAnsi="Arial" w:cs="Arial"/>
        </w:rPr>
        <w:t xml:space="preserve">. The study conducted by </w:t>
      </w:r>
      <w:proofErr w:type="spellStart"/>
      <w:r>
        <w:rPr>
          <w:rFonts w:ascii="Arial" w:hAnsi="Arial" w:cs="Arial"/>
        </w:rPr>
        <w:t>Benjamine</w:t>
      </w:r>
      <w:proofErr w:type="spellEnd"/>
      <w:r>
        <w:rPr>
          <w:rFonts w:ascii="Arial" w:hAnsi="Arial" w:cs="Arial"/>
        </w:rPr>
        <w:t xml:space="preserve"> and </w:t>
      </w:r>
      <w:proofErr w:type="spellStart"/>
      <w:r>
        <w:rPr>
          <w:rFonts w:ascii="Arial" w:hAnsi="Arial" w:cs="Arial"/>
        </w:rPr>
        <w:t>Wadou</w:t>
      </w:r>
      <w:proofErr w:type="spellEnd"/>
      <w:r>
        <w:rPr>
          <w:rFonts w:ascii="Arial" w:hAnsi="Arial" w:cs="Arial"/>
        </w:rPr>
        <w:t xml:space="preserve"> (2023) in the town of </w:t>
      </w:r>
      <w:proofErr w:type="spellStart"/>
      <w:r>
        <w:rPr>
          <w:rFonts w:ascii="Arial" w:hAnsi="Arial" w:cs="Arial"/>
        </w:rPr>
        <w:t>Maroua</w:t>
      </w:r>
      <w:proofErr w:type="spellEnd"/>
      <w:r>
        <w:rPr>
          <w:rFonts w:ascii="Arial" w:hAnsi="Arial" w:cs="Arial"/>
        </w:rPr>
        <w:t xml:space="preserve"> showed that only 14% of women are involved in market garden production. </w:t>
      </w:r>
      <w:proofErr w:type="spellStart"/>
      <w:r>
        <w:rPr>
          <w:rFonts w:ascii="Arial" w:hAnsi="Arial" w:cs="Arial"/>
        </w:rPr>
        <w:t>Ganacadja</w:t>
      </w:r>
      <w:proofErr w:type="spellEnd"/>
      <w:r>
        <w:rPr>
          <w:rFonts w:ascii="Arial" w:hAnsi="Arial" w:cs="Arial"/>
        </w:rPr>
        <w:t xml:space="preserve"> et al, (2022) and Ondo (2011) had reported respectively 1.45% and 5.6% as the proportion of women in three provinces of Gabon and in the Libreville area. The level of women's involvement in market gardening in </w:t>
      </w:r>
      <w:proofErr w:type="spellStart"/>
      <w:r>
        <w:rPr>
          <w:rFonts w:ascii="Arial" w:hAnsi="Arial" w:cs="Arial"/>
        </w:rPr>
        <w:t>Haut-Ogooué</w:t>
      </w:r>
      <w:proofErr w:type="spellEnd"/>
      <w:r>
        <w:rPr>
          <w:rFonts w:ascii="Arial" w:hAnsi="Arial" w:cs="Arial"/>
        </w:rPr>
        <w:t xml:space="preserve"> is 22% (</w:t>
      </w:r>
      <w:proofErr w:type="spellStart"/>
      <w:r>
        <w:rPr>
          <w:rFonts w:ascii="Arial" w:hAnsi="Arial" w:cs="Arial"/>
        </w:rPr>
        <w:t>Massounga</w:t>
      </w:r>
      <w:proofErr w:type="spellEnd"/>
      <w:r>
        <w:rPr>
          <w:rFonts w:ascii="Arial" w:hAnsi="Arial" w:cs="Arial"/>
        </w:rPr>
        <w:t xml:space="preserve"> et al, 2025). For Ondo (2011) and </w:t>
      </w:r>
      <w:proofErr w:type="spellStart"/>
      <w:r>
        <w:rPr>
          <w:rFonts w:ascii="Arial" w:hAnsi="Arial" w:cs="Arial"/>
        </w:rPr>
        <w:t>Koffie-Bikpo</w:t>
      </w:r>
      <w:proofErr w:type="spellEnd"/>
      <w:r>
        <w:rPr>
          <w:rFonts w:ascii="Arial" w:hAnsi="Arial" w:cs="Arial"/>
        </w:rPr>
        <w:t xml:space="preserve"> and </w:t>
      </w:r>
      <w:proofErr w:type="spellStart"/>
      <w:r>
        <w:rPr>
          <w:rFonts w:ascii="Arial" w:hAnsi="Arial" w:cs="Arial"/>
        </w:rPr>
        <w:t>Adaye</w:t>
      </w:r>
      <w:proofErr w:type="spellEnd"/>
      <w:r>
        <w:rPr>
          <w:rFonts w:ascii="Arial" w:hAnsi="Arial" w:cs="Arial"/>
        </w:rPr>
        <w:t xml:space="preserve"> (2014), the low representation of women is linked to the difficulty of accessing land and financing, and to the arduous work involved in making boards and ridges. On the other hand, this study contrasts with the observations of </w:t>
      </w:r>
      <w:proofErr w:type="spellStart"/>
      <w:r>
        <w:rPr>
          <w:rFonts w:ascii="Arial" w:hAnsi="Arial" w:cs="Arial"/>
        </w:rPr>
        <w:t>Dasylva</w:t>
      </w:r>
      <w:proofErr w:type="spellEnd"/>
      <w:r>
        <w:rPr>
          <w:rFonts w:ascii="Arial" w:hAnsi="Arial" w:cs="Arial"/>
        </w:rPr>
        <w:t xml:space="preserve"> et al, (2023) in </w:t>
      </w:r>
      <w:proofErr w:type="spellStart"/>
      <w:r>
        <w:rPr>
          <w:rFonts w:ascii="Arial" w:hAnsi="Arial" w:cs="Arial"/>
        </w:rPr>
        <w:t>Ziguinchor</w:t>
      </w:r>
      <w:proofErr w:type="spellEnd"/>
      <w:r>
        <w:rPr>
          <w:rFonts w:ascii="Arial" w:hAnsi="Arial" w:cs="Arial"/>
        </w:rPr>
        <w:t xml:space="preserve"> and those of </w:t>
      </w:r>
      <w:proofErr w:type="spellStart"/>
      <w:r>
        <w:rPr>
          <w:rFonts w:ascii="Arial" w:hAnsi="Arial" w:cs="Arial"/>
        </w:rPr>
        <w:t>Nguegang</w:t>
      </w:r>
      <w:proofErr w:type="spellEnd"/>
      <w:r>
        <w:rPr>
          <w:rFonts w:ascii="Arial" w:hAnsi="Arial" w:cs="Arial"/>
        </w:rPr>
        <w:t xml:space="preserve"> (2008) in Yaoundé, who reported a proportion of 86% and 65% women market gardeners respectively. In Kampala, men perceive agricultural production as a marginal activity, culturally reserved for women, according to Boland (2005). In terms of marital status, more than half the market gardeners are married (64%), and the majority (87%) have market gardening as their main activity. The majority of market gardeners are aged between 20 and 50, which could be explained by the fact that they are often married and responsible for their households. Young people under 20 and older people over 50 are poorly represented in the town's production activity, with respectively 10% and 7% of market gardeners surveyed. These results are in line with those of Touré (2020) in </w:t>
      </w:r>
      <w:proofErr w:type="spellStart"/>
      <w:r>
        <w:rPr>
          <w:rFonts w:ascii="Arial" w:hAnsi="Arial" w:cs="Arial"/>
        </w:rPr>
        <w:t>Banguinéda</w:t>
      </w:r>
      <w:proofErr w:type="spellEnd"/>
      <w:r>
        <w:rPr>
          <w:rFonts w:ascii="Arial" w:hAnsi="Arial" w:cs="Arial"/>
        </w:rPr>
        <w:t xml:space="preserve"> (Mali), where the dominant age bracket is between 40 and 49. However, they differ from those of Agmas </w:t>
      </w:r>
      <w:r w:rsidR="00B467AE" w:rsidRPr="00B467AE">
        <w:rPr>
          <w:rFonts w:ascii="Arial" w:hAnsi="Arial" w:cs="Arial"/>
          <w:highlight w:val="yellow"/>
        </w:rPr>
        <w:t>&amp;</w:t>
      </w:r>
      <w:r>
        <w:rPr>
          <w:rFonts w:ascii="Arial" w:hAnsi="Arial" w:cs="Arial"/>
        </w:rPr>
        <w:t xml:space="preserve"> </w:t>
      </w:r>
      <w:proofErr w:type="spellStart"/>
      <w:r>
        <w:rPr>
          <w:rFonts w:ascii="Arial" w:hAnsi="Arial" w:cs="Arial"/>
        </w:rPr>
        <w:t>Adugna</w:t>
      </w:r>
      <w:proofErr w:type="spellEnd"/>
      <w:r>
        <w:rPr>
          <w:rFonts w:ascii="Arial" w:hAnsi="Arial" w:cs="Arial"/>
        </w:rPr>
        <w:t>, (2020), who observed a higher proportion of young market gardeners (48.7%).</w:t>
      </w:r>
    </w:p>
    <w:p w14:paraId="18A8C68B" w14:textId="77777777" w:rsidR="00B05ED5" w:rsidRDefault="00B05ED5">
      <w:pPr>
        <w:pStyle w:val="Body"/>
        <w:spacing w:after="0"/>
        <w:rPr>
          <w:rFonts w:ascii="Arial" w:hAnsi="Arial" w:cs="Arial"/>
        </w:rPr>
      </w:pPr>
    </w:p>
    <w:p w14:paraId="1DD5900D" w14:textId="77777777" w:rsidR="00B05ED5" w:rsidRDefault="00460EE6">
      <w:pPr>
        <w:pStyle w:val="Body"/>
        <w:spacing w:after="0"/>
        <w:rPr>
          <w:rFonts w:ascii="Arial" w:hAnsi="Arial" w:cs="Arial"/>
        </w:rPr>
      </w:pPr>
      <w:r>
        <w:rPr>
          <w:rFonts w:ascii="Arial" w:hAnsi="Arial" w:cs="Arial"/>
        </w:rPr>
        <w:lastRenderedPageBreak/>
        <w:t>In terms of level of education, more than half the respondents (87%) had attended school, with secondary school dominating (58%). Market gardeners with a primary education accounted for a quarter of respondents (25%). 13% of market gardeners were illiterate. The use of pesticides requires a minimum of theoretical and practical knowledge to rule out any risk to human health and the environment (</w:t>
      </w:r>
      <w:proofErr w:type="spellStart"/>
      <w:r>
        <w:rPr>
          <w:rFonts w:ascii="Arial" w:hAnsi="Arial" w:cs="Arial"/>
        </w:rPr>
        <w:t>Cissé</w:t>
      </w:r>
      <w:proofErr w:type="spellEnd"/>
      <w:r>
        <w:rPr>
          <w:rFonts w:ascii="Arial" w:hAnsi="Arial" w:cs="Arial"/>
        </w:rPr>
        <w:t xml:space="preserve"> et al., 2006; Kanda et al., 2014; </w:t>
      </w:r>
      <w:proofErr w:type="spellStart"/>
      <w:r>
        <w:rPr>
          <w:rFonts w:ascii="Arial" w:hAnsi="Arial" w:cs="Arial"/>
        </w:rPr>
        <w:t>Wognin</w:t>
      </w:r>
      <w:proofErr w:type="spellEnd"/>
      <w:r>
        <w:rPr>
          <w:rFonts w:ascii="Arial" w:hAnsi="Arial" w:cs="Arial"/>
        </w:rPr>
        <w:t xml:space="preserve"> et al., 2013). The study highlighted the low level of education among farmers. This has been observed by other authors (</w:t>
      </w:r>
      <w:proofErr w:type="spellStart"/>
      <w:r>
        <w:rPr>
          <w:rFonts w:ascii="Arial" w:hAnsi="Arial" w:cs="Arial"/>
        </w:rPr>
        <w:t>Diao</w:t>
      </w:r>
      <w:proofErr w:type="spellEnd"/>
      <w:r>
        <w:rPr>
          <w:rFonts w:ascii="Arial" w:hAnsi="Arial" w:cs="Arial"/>
        </w:rPr>
        <w:t xml:space="preserve"> Maty, 2004; Ondo, 2011; </w:t>
      </w:r>
      <w:proofErr w:type="spellStart"/>
      <w:r>
        <w:rPr>
          <w:rFonts w:ascii="Arial" w:hAnsi="Arial" w:cs="Arial"/>
        </w:rPr>
        <w:t>Bayendi</w:t>
      </w:r>
      <w:proofErr w:type="spellEnd"/>
      <w:r>
        <w:rPr>
          <w:rFonts w:ascii="Arial" w:hAnsi="Arial" w:cs="Arial"/>
        </w:rPr>
        <w:t xml:space="preserve"> L. et al., 2017; </w:t>
      </w:r>
      <w:proofErr w:type="spellStart"/>
      <w:r>
        <w:rPr>
          <w:rFonts w:ascii="Arial" w:hAnsi="Arial" w:cs="Arial"/>
        </w:rPr>
        <w:t>Massounga</w:t>
      </w:r>
      <w:proofErr w:type="spellEnd"/>
      <w:r>
        <w:rPr>
          <w:rFonts w:ascii="Arial" w:hAnsi="Arial" w:cs="Arial"/>
        </w:rPr>
        <w:t xml:space="preserve"> et al, 2025). The educational level of market gardeners is predominantly secondary, which could be explained by the difficulties of access to the formal sector for those with little schooling. Overall, the level of education of the growers will enable them to set up a system to reduce the negative impacts of pesticide use. All the market gardeners surveyed have received no training in the application of phytosanitary products. To combat pathogens, they rely on the advice of other growers or suppliers. Those who can read sometimes consult the instructions for use on the packaging. The socio-demographic characteristics </w:t>
      </w:r>
      <w:proofErr w:type="gramStart"/>
      <w:r>
        <w:rPr>
          <w:rFonts w:ascii="Arial" w:hAnsi="Arial" w:cs="Arial"/>
        </w:rPr>
        <w:t>taken into account</w:t>
      </w:r>
      <w:proofErr w:type="gramEnd"/>
      <w:r>
        <w:rPr>
          <w:rFonts w:ascii="Arial" w:hAnsi="Arial" w:cs="Arial"/>
        </w:rPr>
        <w:t xml:space="preserve"> in this survey can greatly influence pesticide use practices.</w:t>
      </w:r>
    </w:p>
    <w:p w14:paraId="2503F620" w14:textId="77777777" w:rsidR="00B05ED5" w:rsidRDefault="00B05ED5">
      <w:pPr>
        <w:pStyle w:val="Body"/>
        <w:spacing w:after="0"/>
        <w:rPr>
          <w:rFonts w:ascii="Arial" w:hAnsi="Arial" w:cs="Arial"/>
        </w:rPr>
      </w:pPr>
    </w:p>
    <w:p w14:paraId="2405F455" w14:textId="77777777" w:rsidR="00B05ED5" w:rsidRDefault="00460EE6">
      <w:pPr>
        <w:tabs>
          <w:tab w:val="left" w:pos="1080"/>
        </w:tabs>
        <w:jc w:val="both"/>
        <w:rPr>
          <w:rFonts w:ascii="Arial" w:hAnsi="Arial"/>
          <w:b/>
        </w:rPr>
      </w:pPr>
      <w:r>
        <w:rPr>
          <w:rFonts w:ascii="Arial" w:hAnsi="Arial"/>
          <w:b/>
        </w:rPr>
        <w:t>Table 1.</w:t>
      </w:r>
      <w:r>
        <w:rPr>
          <w:rFonts w:ascii="Arial" w:hAnsi="Arial"/>
          <w:b/>
        </w:rPr>
        <w:tab/>
        <w:t>Socio-demographic characteristics of the study population</w:t>
      </w:r>
    </w:p>
    <w:p w14:paraId="137B1807" w14:textId="77777777" w:rsidR="00B05ED5" w:rsidRDefault="00B05ED5">
      <w:pPr>
        <w:tabs>
          <w:tab w:val="left" w:pos="1080"/>
        </w:tabs>
        <w:jc w:val="both"/>
        <w:rPr>
          <w:rFonts w:ascii="Arial" w:hAnsi="Arial"/>
          <w:b/>
        </w:rPr>
      </w:pPr>
    </w:p>
    <w:tbl>
      <w:tblPr>
        <w:tblStyle w:val="TableauListe6Couleur1"/>
        <w:tblW w:w="0" w:type="auto"/>
        <w:tblLook w:val="04A0" w:firstRow="1" w:lastRow="0" w:firstColumn="1" w:lastColumn="0" w:noHBand="0" w:noVBand="1"/>
      </w:tblPr>
      <w:tblGrid>
        <w:gridCol w:w="3470"/>
        <w:gridCol w:w="3470"/>
      </w:tblGrid>
      <w:tr w:rsidR="00B05ED5" w14:paraId="0C181377" w14:textId="77777777" w:rsidTr="00B05ED5">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470" w:type="dxa"/>
          </w:tcPr>
          <w:p w14:paraId="74559264" w14:textId="77777777" w:rsidR="00B05ED5" w:rsidRDefault="00460EE6">
            <w:pPr>
              <w:jc w:val="both"/>
              <w:rPr>
                <w:rFonts w:ascii="Arial" w:hAnsi="Arial"/>
                <w:b w:val="0"/>
                <w:sz w:val="20"/>
                <w:szCs w:val="20"/>
              </w:rPr>
            </w:pPr>
            <w:r>
              <w:rPr>
                <w:rFonts w:ascii="Arial" w:hAnsi="Arial"/>
                <w:bCs w:val="0"/>
                <w:sz w:val="20"/>
                <w:szCs w:val="20"/>
              </w:rPr>
              <w:t>Characteristics</w:t>
            </w:r>
          </w:p>
        </w:tc>
        <w:tc>
          <w:tcPr>
            <w:tcW w:w="3470" w:type="dxa"/>
          </w:tcPr>
          <w:p w14:paraId="11DDFBF8" w14:textId="77777777" w:rsidR="00B05ED5" w:rsidRDefault="00460EE6">
            <w:pPr>
              <w:jc w:val="center"/>
              <w:cnfStyle w:val="100000000000" w:firstRow="1" w:lastRow="0" w:firstColumn="0" w:lastColumn="0" w:oddVBand="0" w:evenVBand="0" w:oddHBand="0" w:evenHBand="0" w:firstRowFirstColumn="0" w:firstRowLastColumn="0" w:lastRowFirstColumn="0" w:lastRowLastColumn="0"/>
              <w:rPr>
                <w:rFonts w:ascii="Arial" w:hAnsi="Arial"/>
                <w:b w:val="0"/>
                <w:sz w:val="20"/>
                <w:szCs w:val="20"/>
                <w:lang w:val="fr-FR"/>
              </w:rPr>
            </w:pPr>
            <w:r>
              <w:rPr>
                <w:rFonts w:ascii="Arial" w:hAnsi="Arial"/>
                <w:bCs w:val="0"/>
                <w:sz w:val="20"/>
                <w:szCs w:val="20"/>
                <w:lang w:val="fr-FR"/>
              </w:rPr>
              <w:t>Frequency (%)</w:t>
            </w:r>
          </w:p>
        </w:tc>
      </w:tr>
      <w:tr w:rsidR="00B05ED5" w14:paraId="723A4372" w14:textId="77777777" w:rsidTr="00B05ED5">
        <w:trPr>
          <w:trHeight w:val="268"/>
        </w:trPr>
        <w:tc>
          <w:tcPr>
            <w:cnfStyle w:val="001000000000" w:firstRow="0" w:lastRow="0" w:firstColumn="1" w:lastColumn="0" w:oddVBand="0" w:evenVBand="0" w:oddHBand="0" w:evenHBand="0" w:firstRowFirstColumn="0" w:firstRowLastColumn="0" w:lastRowFirstColumn="0" w:lastRowLastColumn="0"/>
            <w:tcW w:w="6940" w:type="dxa"/>
            <w:gridSpan w:val="2"/>
          </w:tcPr>
          <w:p w14:paraId="12AF82D1" w14:textId="77777777" w:rsidR="00B05ED5" w:rsidRDefault="00460EE6">
            <w:pPr>
              <w:jc w:val="both"/>
              <w:rPr>
                <w:rFonts w:ascii="Arial" w:hAnsi="Arial" w:cs="Arial"/>
                <w:b w:val="0"/>
                <w:bCs w:val="0"/>
                <w:sz w:val="20"/>
                <w:szCs w:val="20"/>
                <w:lang w:val="fr-FR"/>
              </w:rPr>
            </w:pPr>
            <w:proofErr w:type="spellStart"/>
            <w:r>
              <w:rPr>
                <w:rFonts w:ascii="Arial" w:hAnsi="Arial" w:cs="Arial"/>
                <w:sz w:val="20"/>
                <w:szCs w:val="20"/>
                <w:lang w:val="fr-FR"/>
              </w:rPr>
              <w:t>Gender</w:t>
            </w:r>
            <w:proofErr w:type="spellEnd"/>
            <w:r>
              <w:rPr>
                <w:rFonts w:ascii="Arial" w:hAnsi="Arial" w:cs="Arial"/>
                <w:sz w:val="20"/>
                <w:szCs w:val="20"/>
                <w:lang w:val="fr-FR"/>
              </w:rPr>
              <w:t xml:space="preserve">  </w:t>
            </w:r>
          </w:p>
        </w:tc>
      </w:tr>
      <w:tr w:rsidR="00B05ED5" w14:paraId="5AD6DB8F" w14:textId="77777777" w:rsidTr="00B05ED5">
        <w:trPr>
          <w:trHeight w:val="268"/>
        </w:trPr>
        <w:tc>
          <w:tcPr>
            <w:cnfStyle w:val="001000000000" w:firstRow="0" w:lastRow="0" w:firstColumn="1" w:lastColumn="0" w:oddVBand="0" w:evenVBand="0" w:oddHBand="0" w:evenHBand="0" w:firstRowFirstColumn="0" w:firstRowLastColumn="0" w:lastRowFirstColumn="0" w:lastRowLastColumn="0"/>
            <w:tcW w:w="3470" w:type="dxa"/>
            <w:tcBorders>
              <w:bottom w:val="nil"/>
            </w:tcBorders>
          </w:tcPr>
          <w:p w14:paraId="403A5D1B" w14:textId="77777777" w:rsidR="00B05ED5" w:rsidRDefault="00460EE6">
            <w:pPr>
              <w:jc w:val="both"/>
              <w:rPr>
                <w:rFonts w:ascii="Arial" w:hAnsi="Arial" w:cs="Arial"/>
                <w:sz w:val="20"/>
                <w:szCs w:val="20"/>
                <w:lang w:val="fr-FR"/>
              </w:rPr>
            </w:pPr>
            <w:r>
              <w:rPr>
                <w:rFonts w:ascii="Arial" w:hAnsi="Arial" w:cs="Arial"/>
                <w:b w:val="0"/>
                <w:bCs w:val="0"/>
                <w:sz w:val="20"/>
                <w:szCs w:val="20"/>
                <w:lang w:val="fr-FR"/>
              </w:rPr>
              <w:t xml:space="preserve">  Men </w:t>
            </w:r>
          </w:p>
        </w:tc>
        <w:tc>
          <w:tcPr>
            <w:tcW w:w="3470" w:type="dxa"/>
            <w:tcBorders>
              <w:bottom w:val="nil"/>
            </w:tcBorders>
          </w:tcPr>
          <w:p w14:paraId="1A12B5D8" w14:textId="77777777" w:rsidR="00B05ED5" w:rsidRDefault="00460EE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97,00</w:t>
            </w:r>
          </w:p>
        </w:tc>
      </w:tr>
      <w:tr w:rsidR="00B05ED5" w14:paraId="21EA71A6" w14:textId="77777777" w:rsidTr="00B05ED5">
        <w:trPr>
          <w:trHeight w:val="268"/>
        </w:trPr>
        <w:tc>
          <w:tcPr>
            <w:cnfStyle w:val="001000000000" w:firstRow="0" w:lastRow="0" w:firstColumn="1" w:lastColumn="0" w:oddVBand="0" w:evenVBand="0" w:oddHBand="0" w:evenHBand="0" w:firstRowFirstColumn="0" w:firstRowLastColumn="0" w:lastRowFirstColumn="0" w:lastRowLastColumn="0"/>
            <w:tcW w:w="3470" w:type="dxa"/>
            <w:tcBorders>
              <w:top w:val="nil"/>
              <w:bottom w:val="single" w:sz="4" w:space="0" w:color="auto"/>
            </w:tcBorders>
          </w:tcPr>
          <w:p w14:paraId="7FB1F0B6" w14:textId="77777777" w:rsidR="00B05ED5" w:rsidRDefault="00460EE6">
            <w:pPr>
              <w:jc w:val="both"/>
              <w:rPr>
                <w:rFonts w:ascii="Arial" w:hAnsi="Arial" w:cs="Arial"/>
                <w:sz w:val="20"/>
                <w:szCs w:val="20"/>
                <w:lang w:val="fr-FR"/>
              </w:rPr>
            </w:pPr>
            <w:r>
              <w:rPr>
                <w:rFonts w:ascii="Arial" w:hAnsi="Arial" w:cs="Arial"/>
                <w:b w:val="0"/>
                <w:bCs w:val="0"/>
                <w:sz w:val="20"/>
                <w:szCs w:val="20"/>
                <w:lang w:val="fr-FR"/>
              </w:rPr>
              <w:t xml:space="preserve">  </w:t>
            </w:r>
            <w:proofErr w:type="spellStart"/>
            <w:r>
              <w:rPr>
                <w:rFonts w:ascii="Arial" w:hAnsi="Arial" w:cs="Arial"/>
                <w:b w:val="0"/>
                <w:bCs w:val="0"/>
                <w:sz w:val="20"/>
                <w:szCs w:val="20"/>
                <w:lang w:val="fr-FR"/>
              </w:rPr>
              <w:t>Women</w:t>
            </w:r>
            <w:proofErr w:type="spellEnd"/>
            <w:r>
              <w:rPr>
                <w:rFonts w:ascii="Arial" w:hAnsi="Arial" w:cs="Arial"/>
                <w:b w:val="0"/>
                <w:bCs w:val="0"/>
                <w:sz w:val="20"/>
                <w:szCs w:val="20"/>
                <w:lang w:val="fr-FR"/>
              </w:rPr>
              <w:t xml:space="preserve"> </w:t>
            </w:r>
          </w:p>
        </w:tc>
        <w:tc>
          <w:tcPr>
            <w:tcW w:w="3470" w:type="dxa"/>
            <w:tcBorders>
              <w:top w:val="nil"/>
              <w:bottom w:val="single" w:sz="4" w:space="0" w:color="auto"/>
            </w:tcBorders>
          </w:tcPr>
          <w:p w14:paraId="686C684E" w14:textId="77777777" w:rsidR="00B05ED5" w:rsidRDefault="00460EE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Pr>
                <w:rFonts w:ascii="Arial" w:hAnsi="Arial" w:cs="Arial"/>
                <w:sz w:val="20"/>
                <w:szCs w:val="20"/>
                <w:lang w:val="fr-FR"/>
              </w:rPr>
              <w:t>3,00</w:t>
            </w:r>
          </w:p>
        </w:tc>
      </w:tr>
      <w:tr w:rsidR="00B05ED5" w14:paraId="1193054A" w14:textId="77777777" w:rsidTr="00B05ED5">
        <w:trPr>
          <w:trHeight w:val="268"/>
        </w:trPr>
        <w:tc>
          <w:tcPr>
            <w:cnfStyle w:val="001000000000" w:firstRow="0" w:lastRow="0" w:firstColumn="1" w:lastColumn="0" w:oddVBand="0" w:evenVBand="0" w:oddHBand="0" w:evenHBand="0" w:firstRowFirstColumn="0" w:firstRowLastColumn="0" w:lastRowFirstColumn="0" w:lastRowLastColumn="0"/>
            <w:tcW w:w="6940" w:type="dxa"/>
            <w:gridSpan w:val="2"/>
            <w:tcBorders>
              <w:top w:val="single" w:sz="4" w:space="0" w:color="auto"/>
            </w:tcBorders>
          </w:tcPr>
          <w:p w14:paraId="3A16A3B4" w14:textId="77777777" w:rsidR="00B05ED5" w:rsidRDefault="00460EE6">
            <w:pPr>
              <w:jc w:val="both"/>
              <w:rPr>
                <w:rFonts w:ascii="Arial" w:hAnsi="Arial" w:cs="Arial"/>
                <w:b w:val="0"/>
                <w:bCs w:val="0"/>
                <w:sz w:val="20"/>
                <w:szCs w:val="20"/>
                <w:lang w:val="fr-FR"/>
              </w:rPr>
            </w:pPr>
            <w:r>
              <w:rPr>
                <w:rFonts w:ascii="Arial" w:hAnsi="Arial" w:cs="Arial"/>
                <w:sz w:val="20"/>
                <w:szCs w:val="20"/>
                <w:lang w:val="fr-FR"/>
              </w:rPr>
              <w:t>Age range (</w:t>
            </w:r>
            <w:r>
              <w:rPr>
                <w:rFonts w:ascii="Arial" w:hAnsi="Arial" w:cs="Arial"/>
                <w:sz w:val="20"/>
                <w:szCs w:val="20"/>
              </w:rPr>
              <w:t>years</w:t>
            </w:r>
            <w:r>
              <w:rPr>
                <w:rFonts w:ascii="Arial" w:hAnsi="Arial" w:cs="Arial"/>
                <w:sz w:val="20"/>
                <w:szCs w:val="20"/>
                <w:lang w:val="fr-FR"/>
              </w:rPr>
              <w:t>)</w:t>
            </w:r>
          </w:p>
        </w:tc>
      </w:tr>
      <w:tr w:rsidR="00B05ED5" w14:paraId="66FED95E" w14:textId="77777777" w:rsidTr="00B05ED5">
        <w:trPr>
          <w:trHeight w:val="313"/>
        </w:trPr>
        <w:tc>
          <w:tcPr>
            <w:cnfStyle w:val="001000000000" w:firstRow="0" w:lastRow="0" w:firstColumn="1" w:lastColumn="0" w:oddVBand="0" w:evenVBand="0" w:oddHBand="0" w:evenHBand="0" w:firstRowFirstColumn="0" w:firstRowLastColumn="0" w:lastRowFirstColumn="0" w:lastRowLastColumn="0"/>
            <w:tcW w:w="3470" w:type="dxa"/>
          </w:tcPr>
          <w:p w14:paraId="503E93A4" w14:textId="77777777" w:rsidR="00B05ED5" w:rsidRDefault="00460EE6">
            <w:pPr>
              <w:autoSpaceDE w:val="0"/>
              <w:autoSpaceDN w:val="0"/>
              <w:adjustRightInd w:val="0"/>
              <w:ind w:left="60" w:right="60"/>
              <w:jc w:val="both"/>
              <w:rPr>
                <w:rFonts w:ascii="Arial" w:hAnsi="Arial" w:cs="Arial"/>
                <w:color w:val="000000"/>
                <w:sz w:val="20"/>
                <w:szCs w:val="20"/>
                <w:lang w:val="fr-FR"/>
              </w:rPr>
            </w:pPr>
            <w:r>
              <w:rPr>
                <w:rFonts w:ascii="Arial" w:hAnsi="Arial" w:cs="Arial"/>
                <w:b w:val="0"/>
                <w:bCs w:val="0"/>
                <w:color w:val="000000"/>
                <w:sz w:val="20"/>
                <w:szCs w:val="20"/>
                <w:lang w:val="fr-FR"/>
              </w:rPr>
              <w:t xml:space="preserve">  &lt; 20</w:t>
            </w:r>
          </w:p>
        </w:tc>
        <w:tc>
          <w:tcPr>
            <w:tcW w:w="3470" w:type="dxa"/>
          </w:tcPr>
          <w:p w14:paraId="0BB2D76B" w14:textId="77777777" w:rsidR="00B05ED5" w:rsidRDefault="00460EE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rPr>
            </w:pPr>
            <w:r>
              <w:rPr>
                <w:rFonts w:ascii="Arial" w:hAnsi="Arial" w:cs="Arial"/>
                <w:color w:val="000000"/>
                <w:sz w:val="20"/>
                <w:szCs w:val="20"/>
                <w:lang w:val="fr-FR"/>
              </w:rPr>
              <w:t>10,0</w:t>
            </w:r>
          </w:p>
        </w:tc>
      </w:tr>
      <w:tr w:rsidR="00B05ED5" w14:paraId="74CC6DCF" w14:textId="77777777" w:rsidTr="00B05ED5">
        <w:trPr>
          <w:trHeight w:val="313"/>
        </w:trPr>
        <w:tc>
          <w:tcPr>
            <w:cnfStyle w:val="001000000000" w:firstRow="0" w:lastRow="0" w:firstColumn="1" w:lastColumn="0" w:oddVBand="0" w:evenVBand="0" w:oddHBand="0" w:evenHBand="0" w:firstRowFirstColumn="0" w:firstRowLastColumn="0" w:lastRowFirstColumn="0" w:lastRowLastColumn="0"/>
            <w:tcW w:w="3470" w:type="dxa"/>
          </w:tcPr>
          <w:p w14:paraId="59E5DF83" w14:textId="77777777" w:rsidR="00B05ED5" w:rsidRDefault="00460EE6">
            <w:pPr>
              <w:autoSpaceDE w:val="0"/>
              <w:autoSpaceDN w:val="0"/>
              <w:adjustRightInd w:val="0"/>
              <w:ind w:left="60" w:right="60"/>
              <w:jc w:val="both"/>
              <w:rPr>
                <w:rFonts w:ascii="Arial" w:hAnsi="Arial" w:cs="Arial"/>
                <w:color w:val="000000"/>
                <w:sz w:val="20"/>
                <w:szCs w:val="20"/>
                <w:lang w:val="fr-FR"/>
              </w:rPr>
            </w:pPr>
            <w:r>
              <w:rPr>
                <w:rFonts w:ascii="Arial" w:hAnsi="Arial" w:cs="Arial"/>
                <w:b w:val="0"/>
                <w:bCs w:val="0"/>
                <w:color w:val="000000"/>
                <w:sz w:val="20"/>
                <w:szCs w:val="20"/>
                <w:lang w:val="fr-FR"/>
              </w:rPr>
              <w:t xml:space="preserve">  [20-35]</w:t>
            </w:r>
          </w:p>
        </w:tc>
        <w:tc>
          <w:tcPr>
            <w:tcW w:w="3470" w:type="dxa"/>
          </w:tcPr>
          <w:p w14:paraId="62BC81CD" w14:textId="77777777" w:rsidR="00B05ED5" w:rsidRDefault="00460EE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rPr>
            </w:pPr>
            <w:r>
              <w:rPr>
                <w:rFonts w:ascii="Arial" w:hAnsi="Arial" w:cs="Arial"/>
                <w:color w:val="000000"/>
                <w:sz w:val="20"/>
                <w:szCs w:val="20"/>
                <w:lang w:val="fr-FR"/>
              </w:rPr>
              <w:t>45,0</w:t>
            </w:r>
          </w:p>
        </w:tc>
      </w:tr>
      <w:tr w:rsidR="00B05ED5" w14:paraId="122163DA" w14:textId="77777777" w:rsidTr="00B05ED5">
        <w:trPr>
          <w:trHeight w:val="313"/>
        </w:trPr>
        <w:tc>
          <w:tcPr>
            <w:cnfStyle w:val="001000000000" w:firstRow="0" w:lastRow="0" w:firstColumn="1" w:lastColumn="0" w:oddVBand="0" w:evenVBand="0" w:oddHBand="0" w:evenHBand="0" w:firstRowFirstColumn="0" w:firstRowLastColumn="0" w:lastRowFirstColumn="0" w:lastRowLastColumn="0"/>
            <w:tcW w:w="3470" w:type="dxa"/>
            <w:tcBorders>
              <w:bottom w:val="nil"/>
            </w:tcBorders>
          </w:tcPr>
          <w:p w14:paraId="619DA452" w14:textId="77777777" w:rsidR="00B05ED5" w:rsidRDefault="00460EE6">
            <w:pPr>
              <w:autoSpaceDE w:val="0"/>
              <w:autoSpaceDN w:val="0"/>
              <w:adjustRightInd w:val="0"/>
              <w:ind w:left="60" w:right="60"/>
              <w:jc w:val="both"/>
              <w:rPr>
                <w:rFonts w:ascii="Arial" w:hAnsi="Arial" w:cs="Arial"/>
                <w:color w:val="000000"/>
                <w:sz w:val="20"/>
                <w:szCs w:val="20"/>
                <w:lang w:val="fr-FR"/>
              </w:rPr>
            </w:pPr>
            <w:r>
              <w:rPr>
                <w:rFonts w:ascii="Arial" w:hAnsi="Arial" w:cs="Arial"/>
                <w:b w:val="0"/>
                <w:bCs w:val="0"/>
                <w:color w:val="000000"/>
                <w:sz w:val="20"/>
                <w:szCs w:val="20"/>
                <w:lang w:val="fr-FR"/>
              </w:rPr>
              <w:t xml:space="preserve">  [36-50]</w:t>
            </w:r>
          </w:p>
        </w:tc>
        <w:tc>
          <w:tcPr>
            <w:tcW w:w="3470" w:type="dxa"/>
            <w:tcBorders>
              <w:bottom w:val="nil"/>
            </w:tcBorders>
          </w:tcPr>
          <w:p w14:paraId="77B5BD05" w14:textId="77777777" w:rsidR="00B05ED5" w:rsidRDefault="00460EE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rPr>
            </w:pPr>
            <w:r>
              <w:rPr>
                <w:rFonts w:ascii="Arial" w:hAnsi="Arial" w:cs="Arial"/>
                <w:color w:val="000000"/>
                <w:sz w:val="20"/>
                <w:szCs w:val="20"/>
                <w:lang w:val="fr-FR"/>
              </w:rPr>
              <w:t>38,0</w:t>
            </w:r>
          </w:p>
        </w:tc>
      </w:tr>
      <w:tr w:rsidR="00B05ED5" w14:paraId="0EFA667E" w14:textId="77777777" w:rsidTr="00B05ED5">
        <w:trPr>
          <w:trHeight w:val="313"/>
        </w:trPr>
        <w:tc>
          <w:tcPr>
            <w:cnfStyle w:val="001000000000" w:firstRow="0" w:lastRow="0" w:firstColumn="1" w:lastColumn="0" w:oddVBand="0" w:evenVBand="0" w:oddHBand="0" w:evenHBand="0" w:firstRowFirstColumn="0" w:firstRowLastColumn="0" w:lastRowFirstColumn="0" w:lastRowLastColumn="0"/>
            <w:tcW w:w="3470" w:type="dxa"/>
            <w:tcBorders>
              <w:top w:val="nil"/>
              <w:bottom w:val="single" w:sz="4" w:space="0" w:color="auto"/>
            </w:tcBorders>
          </w:tcPr>
          <w:p w14:paraId="26005F90" w14:textId="77777777" w:rsidR="00B05ED5" w:rsidRDefault="00460EE6">
            <w:pPr>
              <w:autoSpaceDE w:val="0"/>
              <w:autoSpaceDN w:val="0"/>
              <w:adjustRightInd w:val="0"/>
              <w:ind w:left="60" w:right="60"/>
              <w:jc w:val="both"/>
              <w:rPr>
                <w:rFonts w:ascii="Arial" w:hAnsi="Arial" w:cs="Arial"/>
                <w:color w:val="000000"/>
                <w:sz w:val="20"/>
                <w:szCs w:val="20"/>
                <w:lang w:val="fr-FR"/>
              </w:rPr>
            </w:pPr>
            <w:r>
              <w:rPr>
                <w:rFonts w:ascii="Arial" w:hAnsi="Arial" w:cs="Arial"/>
                <w:b w:val="0"/>
                <w:bCs w:val="0"/>
                <w:color w:val="000000"/>
                <w:sz w:val="20"/>
                <w:szCs w:val="20"/>
                <w:lang w:val="fr-FR"/>
              </w:rPr>
              <w:t xml:space="preserve">  ˃ 50</w:t>
            </w:r>
          </w:p>
        </w:tc>
        <w:tc>
          <w:tcPr>
            <w:tcW w:w="3470" w:type="dxa"/>
            <w:tcBorders>
              <w:top w:val="nil"/>
              <w:bottom w:val="single" w:sz="4" w:space="0" w:color="auto"/>
            </w:tcBorders>
          </w:tcPr>
          <w:p w14:paraId="775EE815" w14:textId="77777777" w:rsidR="00B05ED5" w:rsidRDefault="00460EE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rPr>
            </w:pPr>
            <w:r>
              <w:rPr>
                <w:rFonts w:ascii="Arial" w:hAnsi="Arial" w:cs="Arial"/>
                <w:color w:val="000000"/>
                <w:sz w:val="20"/>
                <w:szCs w:val="20"/>
                <w:lang w:val="fr-FR"/>
              </w:rPr>
              <w:t>7,0</w:t>
            </w:r>
          </w:p>
        </w:tc>
      </w:tr>
      <w:tr w:rsidR="00B05ED5" w14:paraId="5F8460B2" w14:textId="77777777" w:rsidTr="00B05ED5">
        <w:trPr>
          <w:trHeight w:val="313"/>
        </w:trPr>
        <w:tc>
          <w:tcPr>
            <w:cnfStyle w:val="001000000000" w:firstRow="0" w:lastRow="0" w:firstColumn="1" w:lastColumn="0" w:oddVBand="0" w:evenVBand="0" w:oddHBand="0" w:evenHBand="0" w:firstRowFirstColumn="0" w:firstRowLastColumn="0" w:lastRowFirstColumn="0" w:lastRowLastColumn="0"/>
            <w:tcW w:w="6940" w:type="dxa"/>
            <w:gridSpan w:val="2"/>
            <w:tcBorders>
              <w:top w:val="single" w:sz="4" w:space="0" w:color="auto"/>
            </w:tcBorders>
          </w:tcPr>
          <w:p w14:paraId="373AA2CD" w14:textId="77777777" w:rsidR="00B05ED5" w:rsidRDefault="00460EE6">
            <w:pPr>
              <w:autoSpaceDE w:val="0"/>
              <w:autoSpaceDN w:val="0"/>
              <w:adjustRightInd w:val="0"/>
              <w:ind w:left="60" w:right="60"/>
              <w:jc w:val="both"/>
              <w:rPr>
                <w:rFonts w:ascii="Arial" w:hAnsi="Arial" w:cs="Arial"/>
                <w:b w:val="0"/>
                <w:bCs w:val="0"/>
                <w:color w:val="000000"/>
                <w:sz w:val="20"/>
                <w:szCs w:val="20"/>
                <w:lang w:val="fr-FR"/>
              </w:rPr>
            </w:pPr>
            <w:r>
              <w:rPr>
                <w:rFonts w:ascii="Arial" w:hAnsi="Arial" w:cs="Arial"/>
                <w:sz w:val="20"/>
                <w:szCs w:val="20"/>
                <w:lang w:val="fr-FR"/>
              </w:rPr>
              <w:t xml:space="preserve">Matrimonial </w:t>
            </w:r>
            <w:r>
              <w:rPr>
                <w:rFonts w:ascii="Arial" w:hAnsi="Arial" w:cs="Arial"/>
                <w:sz w:val="20"/>
                <w:szCs w:val="20"/>
              </w:rPr>
              <w:t>status</w:t>
            </w:r>
          </w:p>
        </w:tc>
      </w:tr>
      <w:tr w:rsidR="00B05ED5" w14:paraId="2F1D49E3" w14:textId="77777777" w:rsidTr="00B05ED5">
        <w:trPr>
          <w:trHeight w:val="313"/>
        </w:trPr>
        <w:tc>
          <w:tcPr>
            <w:cnfStyle w:val="001000000000" w:firstRow="0" w:lastRow="0" w:firstColumn="1" w:lastColumn="0" w:oddVBand="0" w:evenVBand="0" w:oddHBand="0" w:evenHBand="0" w:firstRowFirstColumn="0" w:firstRowLastColumn="0" w:lastRowFirstColumn="0" w:lastRowLastColumn="0"/>
            <w:tcW w:w="3470" w:type="dxa"/>
          </w:tcPr>
          <w:p w14:paraId="747E7EC7" w14:textId="77777777" w:rsidR="00B05ED5" w:rsidRDefault="00460EE6">
            <w:pPr>
              <w:autoSpaceDE w:val="0"/>
              <w:autoSpaceDN w:val="0"/>
              <w:adjustRightInd w:val="0"/>
              <w:ind w:left="60" w:right="60"/>
              <w:jc w:val="both"/>
              <w:rPr>
                <w:rFonts w:ascii="Arial" w:hAnsi="Arial" w:cs="Arial"/>
                <w:color w:val="000000"/>
                <w:sz w:val="20"/>
                <w:szCs w:val="20"/>
                <w:lang w:val="fr-FR"/>
              </w:rPr>
            </w:pPr>
            <w:r>
              <w:rPr>
                <w:rFonts w:ascii="Arial" w:hAnsi="Arial" w:cs="Arial"/>
                <w:b w:val="0"/>
                <w:bCs w:val="0"/>
                <w:color w:val="000000"/>
                <w:sz w:val="20"/>
                <w:szCs w:val="20"/>
                <w:lang w:val="fr-FR"/>
              </w:rPr>
              <w:t xml:space="preserve">  Single</w:t>
            </w:r>
          </w:p>
        </w:tc>
        <w:tc>
          <w:tcPr>
            <w:tcW w:w="3470" w:type="dxa"/>
          </w:tcPr>
          <w:p w14:paraId="33D28AA2" w14:textId="77777777" w:rsidR="00B05ED5" w:rsidRDefault="00460EE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rPr>
            </w:pPr>
            <w:r>
              <w:rPr>
                <w:rFonts w:ascii="Arial" w:hAnsi="Arial" w:cs="Arial"/>
                <w:color w:val="000000"/>
                <w:sz w:val="20"/>
                <w:szCs w:val="20"/>
                <w:lang w:val="fr-FR"/>
              </w:rPr>
              <w:t>23</w:t>
            </w:r>
          </w:p>
        </w:tc>
      </w:tr>
      <w:tr w:rsidR="00B05ED5" w14:paraId="1E5AE486" w14:textId="77777777" w:rsidTr="00B05ED5">
        <w:trPr>
          <w:trHeight w:val="313"/>
        </w:trPr>
        <w:tc>
          <w:tcPr>
            <w:cnfStyle w:val="001000000000" w:firstRow="0" w:lastRow="0" w:firstColumn="1" w:lastColumn="0" w:oddVBand="0" w:evenVBand="0" w:oddHBand="0" w:evenHBand="0" w:firstRowFirstColumn="0" w:firstRowLastColumn="0" w:lastRowFirstColumn="0" w:lastRowLastColumn="0"/>
            <w:tcW w:w="3470" w:type="dxa"/>
          </w:tcPr>
          <w:p w14:paraId="11A8458F" w14:textId="77777777" w:rsidR="00B05ED5" w:rsidRDefault="00460EE6">
            <w:pPr>
              <w:autoSpaceDE w:val="0"/>
              <w:autoSpaceDN w:val="0"/>
              <w:adjustRightInd w:val="0"/>
              <w:ind w:left="60" w:right="60"/>
              <w:jc w:val="both"/>
              <w:rPr>
                <w:rFonts w:ascii="Arial" w:hAnsi="Arial" w:cs="Arial"/>
                <w:color w:val="000000"/>
                <w:sz w:val="20"/>
                <w:szCs w:val="20"/>
                <w:lang w:val="fr-FR"/>
              </w:rPr>
            </w:pPr>
            <w:r>
              <w:rPr>
                <w:rFonts w:ascii="Arial" w:hAnsi="Arial" w:cs="Arial"/>
                <w:b w:val="0"/>
                <w:bCs w:val="0"/>
                <w:color w:val="000000"/>
                <w:sz w:val="20"/>
                <w:szCs w:val="20"/>
                <w:lang w:val="fr-FR"/>
              </w:rPr>
              <w:t xml:space="preserve">  Married </w:t>
            </w:r>
          </w:p>
        </w:tc>
        <w:tc>
          <w:tcPr>
            <w:tcW w:w="3470" w:type="dxa"/>
          </w:tcPr>
          <w:p w14:paraId="7F814C59" w14:textId="77777777" w:rsidR="00B05ED5" w:rsidRDefault="00460EE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rPr>
            </w:pPr>
            <w:r>
              <w:rPr>
                <w:rFonts w:ascii="Arial" w:hAnsi="Arial" w:cs="Arial"/>
                <w:color w:val="000000"/>
                <w:sz w:val="20"/>
                <w:szCs w:val="20"/>
                <w:lang w:val="fr-FR"/>
              </w:rPr>
              <w:t>64</w:t>
            </w:r>
          </w:p>
        </w:tc>
      </w:tr>
      <w:tr w:rsidR="00B05ED5" w14:paraId="659B6A5B" w14:textId="77777777" w:rsidTr="00B05ED5">
        <w:trPr>
          <w:trHeight w:val="313"/>
        </w:trPr>
        <w:tc>
          <w:tcPr>
            <w:cnfStyle w:val="001000000000" w:firstRow="0" w:lastRow="0" w:firstColumn="1" w:lastColumn="0" w:oddVBand="0" w:evenVBand="0" w:oddHBand="0" w:evenHBand="0" w:firstRowFirstColumn="0" w:firstRowLastColumn="0" w:lastRowFirstColumn="0" w:lastRowLastColumn="0"/>
            <w:tcW w:w="3470" w:type="dxa"/>
            <w:tcBorders>
              <w:bottom w:val="nil"/>
            </w:tcBorders>
          </w:tcPr>
          <w:p w14:paraId="1FFDBBA1" w14:textId="77777777" w:rsidR="00B05ED5" w:rsidRDefault="00460EE6">
            <w:pPr>
              <w:autoSpaceDE w:val="0"/>
              <w:autoSpaceDN w:val="0"/>
              <w:adjustRightInd w:val="0"/>
              <w:ind w:left="60" w:right="60"/>
              <w:jc w:val="both"/>
              <w:rPr>
                <w:rFonts w:ascii="Arial" w:hAnsi="Arial" w:cs="Arial"/>
                <w:color w:val="000000"/>
                <w:sz w:val="20"/>
                <w:szCs w:val="20"/>
              </w:rPr>
            </w:pPr>
            <w:r>
              <w:rPr>
                <w:rFonts w:ascii="Arial" w:hAnsi="Arial" w:cs="Arial"/>
                <w:b w:val="0"/>
                <w:bCs w:val="0"/>
                <w:color w:val="000000"/>
                <w:sz w:val="20"/>
                <w:szCs w:val="20"/>
                <w:lang w:val="fr-FR"/>
              </w:rPr>
              <w:t xml:space="preserve">  </w:t>
            </w:r>
            <w:r>
              <w:rPr>
                <w:rFonts w:ascii="Arial" w:hAnsi="Arial" w:cs="Arial"/>
                <w:b w:val="0"/>
                <w:bCs w:val="0"/>
                <w:color w:val="000000"/>
                <w:sz w:val="20"/>
                <w:szCs w:val="20"/>
              </w:rPr>
              <w:t>Divorced</w:t>
            </w:r>
          </w:p>
        </w:tc>
        <w:tc>
          <w:tcPr>
            <w:tcW w:w="3470" w:type="dxa"/>
            <w:tcBorders>
              <w:bottom w:val="nil"/>
            </w:tcBorders>
          </w:tcPr>
          <w:p w14:paraId="6413C5E2" w14:textId="77777777" w:rsidR="00B05ED5" w:rsidRDefault="00460EE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rPr>
            </w:pPr>
            <w:r>
              <w:rPr>
                <w:rFonts w:ascii="Arial" w:hAnsi="Arial" w:cs="Arial"/>
                <w:color w:val="000000"/>
                <w:sz w:val="20"/>
                <w:szCs w:val="20"/>
                <w:lang w:val="fr-FR"/>
              </w:rPr>
              <w:t>8</w:t>
            </w:r>
          </w:p>
        </w:tc>
      </w:tr>
      <w:tr w:rsidR="00B05ED5" w14:paraId="4CC8AABE" w14:textId="77777777" w:rsidTr="00B05ED5">
        <w:trPr>
          <w:trHeight w:val="313"/>
        </w:trPr>
        <w:tc>
          <w:tcPr>
            <w:cnfStyle w:val="001000000000" w:firstRow="0" w:lastRow="0" w:firstColumn="1" w:lastColumn="0" w:oddVBand="0" w:evenVBand="0" w:oddHBand="0" w:evenHBand="0" w:firstRowFirstColumn="0" w:firstRowLastColumn="0" w:lastRowFirstColumn="0" w:lastRowLastColumn="0"/>
            <w:tcW w:w="3470" w:type="dxa"/>
            <w:tcBorders>
              <w:top w:val="nil"/>
              <w:bottom w:val="single" w:sz="4" w:space="0" w:color="auto"/>
            </w:tcBorders>
          </w:tcPr>
          <w:p w14:paraId="164C1D8C" w14:textId="77777777" w:rsidR="00B05ED5" w:rsidRDefault="00460EE6">
            <w:pPr>
              <w:autoSpaceDE w:val="0"/>
              <w:autoSpaceDN w:val="0"/>
              <w:adjustRightInd w:val="0"/>
              <w:ind w:left="60" w:right="60"/>
              <w:jc w:val="both"/>
              <w:rPr>
                <w:rFonts w:ascii="Arial" w:hAnsi="Arial" w:cs="Arial"/>
                <w:color w:val="000000"/>
                <w:sz w:val="20"/>
                <w:szCs w:val="20"/>
                <w:lang w:val="fr-FR"/>
              </w:rPr>
            </w:pPr>
            <w:r>
              <w:rPr>
                <w:rFonts w:ascii="Arial" w:hAnsi="Arial" w:cs="Arial"/>
                <w:b w:val="0"/>
                <w:bCs w:val="0"/>
                <w:color w:val="000000"/>
                <w:sz w:val="20"/>
                <w:szCs w:val="20"/>
                <w:lang w:val="fr-FR"/>
              </w:rPr>
              <w:t xml:space="preserve">  </w:t>
            </w:r>
            <w:proofErr w:type="spellStart"/>
            <w:r>
              <w:rPr>
                <w:rFonts w:ascii="Arial" w:hAnsi="Arial" w:cs="Arial"/>
                <w:b w:val="0"/>
                <w:bCs w:val="0"/>
                <w:color w:val="000000"/>
                <w:sz w:val="20"/>
                <w:szCs w:val="20"/>
                <w:lang w:val="fr-FR"/>
              </w:rPr>
              <w:t>Widow</w:t>
            </w:r>
            <w:proofErr w:type="spellEnd"/>
          </w:p>
        </w:tc>
        <w:tc>
          <w:tcPr>
            <w:tcW w:w="3470" w:type="dxa"/>
            <w:tcBorders>
              <w:top w:val="nil"/>
              <w:bottom w:val="single" w:sz="4" w:space="0" w:color="auto"/>
            </w:tcBorders>
          </w:tcPr>
          <w:p w14:paraId="01163A56" w14:textId="77777777" w:rsidR="00B05ED5" w:rsidRDefault="00460EE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rPr>
            </w:pPr>
            <w:r>
              <w:rPr>
                <w:rFonts w:ascii="Arial" w:hAnsi="Arial" w:cs="Arial"/>
                <w:color w:val="000000"/>
                <w:sz w:val="20"/>
                <w:szCs w:val="20"/>
                <w:lang w:val="fr-FR"/>
              </w:rPr>
              <w:t>5</w:t>
            </w:r>
          </w:p>
        </w:tc>
      </w:tr>
      <w:tr w:rsidR="00B05ED5" w14:paraId="5EA613DA" w14:textId="77777777" w:rsidTr="00B05ED5">
        <w:trPr>
          <w:trHeight w:val="313"/>
        </w:trPr>
        <w:tc>
          <w:tcPr>
            <w:cnfStyle w:val="001000000000" w:firstRow="0" w:lastRow="0" w:firstColumn="1" w:lastColumn="0" w:oddVBand="0" w:evenVBand="0" w:oddHBand="0" w:evenHBand="0" w:firstRowFirstColumn="0" w:firstRowLastColumn="0" w:lastRowFirstColumn="0" w:lastRowLastColumn="0"/>
            <w:tcW w:w="6940" w:type="dxa"/>
            <w:gridSpan w:val="2"/>
            <w:tcBorders>
              <w:top w:val="single" w:sz="4" w:space="0" w:color="auto"/>
            </w:tcBorders>
          </w:tcPr>
          <w:p w14:paraId="494B0906" w14:textId="77777777" w:rsidR="00B05ED5" w:rsidRDefault="00460EE6">
            <w:pPr>
              <w:autoSpaceDE w:val="0"/>
              <w:autoSpaceDN w:val="0"/>
              <w:adjustRightInd w:val="0"/>
              <w:ind w:left="60" w:right="60"/>
              <w:jc w:val="both"/>
              <w:rPr>
                <w:rFonts w:ascii="Arial" w:hAnsi="Arial" w:cs="Arial"/>
                <w:b w:val="0"/>
                <w:bCs w:val="0"/>
                <w:color w:val="000000"/>
                <w:sz w:val="20"/>
                <w:szCs w:val="20"/>
                <w:lang w:val="fr-FR"/>
              </w:rPr>
            </w:pPr>
            <w:r>
              <w:rPr>
                <w:rFonts w:ascii="Arial" w:hAnsi="Arial" w:cs="Arial"/>
                <w:sz w:val="20"/>
                <w:szCs w:val="20"/>
                <w:lang w:val="fr-FR"/>
              </w:rPr>
              <w:t xml:space="preserve">Education </w:t>
            </w:r>
            <w:r>
              <w:rPr>
                <w:rFonts w:ascii="Arial" w:hAnsi="Arial" w:cs="Arial"/>
                <w:sz w:val="20"/>
                <w:szCs w:val="20"/>
              </w:rPr>
              <w:t>level</w:t>
            </w:r>
          </w:p>
        </w:tc>
      </w:tr>
      <w:tr w:rsidR="00B05ED5" w14:paraId="4F7C44D8" w14:textId="77777777" w:rsidTr="00B05ED5">
        <w:trPr>
          <w:trHeight w:val="313"/>
        </w:trPr>
        <w:tc>
          <w:tcPr>
            <w:cnfStyle w:val="001000000000" w:firstRow="0" w:lastRow="0" w:firstColumn="1" w:lastColumn="0" w:oddVBand="0" w:evenVBand="0" w:oddHBand="0" w:evenHBand="0" w:firstRowFirstColumn="0" w:firstRowLastColumn="0" w:lastRowFirstColumn="0" w:lastRowLastColumn="0"/>
            <w:tcW w:w="3470" w:type="dxa"/>
          </w:tcPr>
          <w:p w14:paraId="245488E2" w14:textId="77777777" w:rsidR="00B05ED5" w:rsidRDefault="00460EE6">
            <w:pPr>
              <w:autoSpaceDE w:val="0"/>
              <w:autoSpaceDN w:val="0"/>
              <w:adjustRightInd w:val="0"/>
              <w:ind w:left="60" w:right="60"/>
              <w:jc w:val="both"/>
              <w:rPr>
                <w:rFonts w:ascii="Arial" w:hAnsi="Arial" w:cs="Arial"/>
                <w:color w:val="000000"/>
                <w:sz w:val="20"/>
                <w:szCs w:val="20"/>
                <w:lang w:val="fr-FR"/>
              </w:rPr>
            </w:pPr>
            <w:r>
              <w:rPr>
                <w:rFonts w:ascii="Arial" w:hAnsi="Arial" w:cs="Arial"/>
                <w:b w:val="0"/>
                <w:bCs w:val="0"/>
                <w:color w:val="000000"/>
                <w:sz w:val="20"/>
                <w:szCs w:val="20"/>
                <w:lang w:val="fr-FR"/>
              </w:rPr>
              <w:t xml:space="preserve">  No</w:t>
            </w:r>
          </w:p>
        </w:tc>
        <w:tc>
          <w:tcPr>
            <w:tcW w:w="3470" w:type="dxa"/>
          </w:tcPr>
          <w:p w14:paraId="5A141526" w14:textId="77777777" w:rsidR="00B05ED5" w:rsidRDefault="00460EE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rPr>
            </w:pPr>
            <w:r>
              <w:rPr>
                <w:rFonts w:ascii="Arial" w:hAnsi="Arial" w:cs="Arial"/>
                <w:color w:val="000000"/>
                <w:sz w:val="20"/>
                <w:szCs w:val="20"/>
                <w:lang w:val="fr-FR"/>
              </w:rPr>
              <w:t>13,0</w:t>
            </w:r>
          </w:p>
        </w:tc>
      </w:tr>
      <w:tr w:rsidR="00B05ED5" w14:paraId="17C33452" w14:textId="77777777" w:rsidTr="00B05ED5">
        <w:trPr>
          <w:trHeight w:val="313"/>
        </w:trPr>
        <w:tc>
          <w:tcPr>
            <w:cnfStyle w:val="001000000000" w:firstRow="0" w:lastRow="0" w:firstColumn="1" w:lastColumn="0" w:oddVBand="0" w:evenVBand="0" w:oddHBand="0" w:evenHBand="0" w:firstRowFirstColumn="0" w:firstRowLastColumn="0" w:lastRowFirstColumn="0" w:lastRowLastColumn="0"/>
            <w:tcW w:w="3470" w:type="dxa"/>
          </w:tcPr>
          <w:p w14:paraId="6D69FDD7" w14:textId="77777777" w:rsidR="00B05ED5" w:rsidRDefault="00460EE6">
            <w:pPr>
              <w:autoSpaceDE w:val="0"/>
              <w:autoSpaceDN w:val="0"/>
              <w:adjustRightInd w:val="0"/>
              <w:ind w:left="60" w:right="60"/>
              <w:jc w:val="both"/>
              <w:rPr>
                <w:rFonts w:ascii="Arial" w:hAnsi="Arial" w:cs="Arial"/>
                <w:color w:val="000000"/>
                <w:sz w:val="20"/>
                <w:szCs w:val="20"/>
                <w:lang w:val="fr-FR"/>
              </w:rPr>
            </w:pPr>
            <w:r>
              <w:rPr>
                <w:rFonts w:ascii="Arial" w:hAnsi="Arial" w:cs="Arial"/>
                <w:b w:val="0"/>
                <w:bCs w:val="0"/>
                <w:color w:val="000000"/>
                <w:sz w:val="20"/>
                <w:szCs w:val="20"/>
                <w:lang w:val="fr-FR"/>
              </w:rPr>
              <w:t xml:space="preserve">  Elementary</w:t>
            </w:r>
          </w:p>
        </w:tc>
        <w:tc>
          <w:tcPr>
            <w:tcW w:w="3470" w:type="dxa"/>
          </w:tcPr>
          <w:p w14:paraId="163C061D" w14:textId="77777777" w:rsidR="00B05ED5" w:rsidRDefault="00460EE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rPr>
            </w:pPr>
            <w:r>
              <w:rPr>
                <w:rFonts w:ascii="Arial" w:hAnsi="Arial" w:cs="Arial"/>
                <w:color w:val="000000"/>
                <w:sz w:val="20"/>
                <w:szCs w:val="20"/>
                <w:lang w:val="fr-FR"/>
              </w:rPr>
              <w:t>25,0</w:t>
            </w:r>
          </w:p>
        </w:tc>
      </w:tr>
      <w:tr w:rsidR="00B05ED5" w14:paraId="4C20E640" w14:textId="77777777" w:rsidTr="00B05ED5">
        <w:trPr>
          <w:trHeight w:val="313"/>
        </w:trPr>
        <w:tc>
          <w:tcPr>
            <w:cnfStyle w:val="001000000000" w:firstRow="0" w:lastRow="0" w:firstColumn="1" w:lastColumn="0" w:oddVBand="0" w:evenVBand="0" w:oddHBand="0" w:evenHBand="0" w:firstRowFirstColumn="0" w:firstRowLastColumn="0" w:lastRowFirstColumn="0" w:lastRowLastColumn="0"/>
            <w:tcW w:w="3470" w:type="dxa"/>
            <w:tcBorders>
              <w:bottom w:val="nil"/>
            </w:tcBorders>
          </w:tcPr>
          <w:p w14:paraId="36BAE097" w14:textId="77777777" w:rsidR="00B05ED5" w:rsidRDefault="00460EE6">
            <w:pPr>
              <w:autoSpaceDE w:val="0"/>
              <w:autoSpaceDN w:val="0"/>
              <w:adjustRightInd w:val="0"/>
              <w:ind w:left="60" w:right="60"/>
              <w:jc w:val="both"/>
              <w:rPr>
                <w:rFonts w:ascii="Arial" w:hAnsi="Arial" w:cs="Arial"/>
                <w:color w:val="000000"/>
                <w:sz w:val="20"/>
                <w:szCs w:val="20"/>
              </w:rPr>
            </w:pPr>
            <w:r>
              <w:rPr>
                <w:rFonts w:ascii="Arial" w:hAnsi="Arial" w:cs="Arial"/>
                <w:b w:val="0"/>
                <w:bCs w:val="0"/>
                <w:color w:val="000000"/>
                <w:sz w:val="20"/>
                <w:szCs w:val="20"/>
              </w:rPr>
              <w:t xml:space="preserve">  Secondary</w:t>
            </w:r>
          </w:p>
        </w:tc>
        <w:tc>
          <w:tcPr>
            <w:tcW w:w="3470" w:type="dxa"/>
            <w:tcBorders>
              <w:bottom w:val="nil"/>
            </w:tcBorders>
          </w:tcPr>
          <w:p w14:paraId="3A46E08A" w14:textId="77777777" w:rsidR="00B05ED5" w:rsidRDefault="00460EE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rPr>
            </w:pPr>
            <w:r>
              <w:rPr>
                <w:rFonts w:ascii="Arial" w:hAnsi="Arial" w:cs="Arial"/>
                <w:color w:val="000000"/>
                <w:sz w:val="20"/>
                <w:szCs w:val="20"/>
                <w:lang w:val="fr-FR"/>
              </w:rPr>
              <w:t>58,0</w:t>
            </w:r>
          </w:p>
        </w:tc>
      </w:tr>
      <w:tr w:rsidR="00B05ED5" w14:paraId="1A6C16CD" w14:textId="77777777" w:rsidTr="00B05ED5">
        <w:trPr>
          <w:trHeight w:val="313"/>
        </w:trPr>
        <w:tc>
          <w:tcPr>
            <w:cnfStyle w:val="001000000000" w:firstRow="0" w:lastRow="0" w:firstColumn="1" w:lastColumn="0" w:oddVBand="0" w:evenVBand="0" w:oddHBand="0" w:evenHBand="0" w:firstRowFirstColumn="0" w:firstRowLastColumn="0" w:lastRowFirstColumn="0" w:lastRowLastColumn="0"/>
            <w:tcW w:w="3470" w:type="dxa"/>
            <w:tcBorders>
              <w:top w:val="nil"/>
              <w:bottom w:val="single" w:sz="4" w:space="0" w:color="auto"/>
            </w:tcBorders>
          </w:tcPr>
          <w:p w14:paraId="252DF01B" w14:textId="77777777" w:rsidR="00B05ED5" w:rsidRDefault="00460EE6">
            <w:pPr>
              <w:autoSpaceDE w:val="0"/>
              <w:autoSpaceDN w:val="0"/>
              <w:adjustRightInd w:val="0"/>
              <w:ind w:left="60" w:right="60"/>
              <w:jc w:val="both"/>
              <w:rPr>
                <w:rFonts w:ascii="Arial" w:hAnsi="Arial" w:cs="Arial"/>
                <w:color w:val="000000"/>
                <w:sz w:val="20"/>
                <w:szCs w:val="20"/>
              </w:rPr>
            </w:pPr>
            <w:r>
              <w:rPr>
                <w:rFonts w:ascii="Arial" w:hAnsi="Arial" w:cs="Arial"/>
                <w:b w:val="0"/>
                <w:bCs w:val="0"/>
                <w:color w:val="000000"/>
                <w:sz w:val="20"/>
                <w:szCs w:val="20"/>
              </w:rPr>
              <w:t xml:space="preserve">  University</w:t>
            </w:r>
          </w:p>
        </w:tc>
        <w:tc>
          <w:tcPr>
            <w:tcW w:w="3470" w:type="dxa"/>
            <w:tcBorders>
              <w:top w:val="nil"/>
              <w:bottom w:val="single" w:sz="4" w:space="0" w:color="auto"/>
            </w:tcBorders>
          </w:tcPr>
          <w:p w14:paraId="6E6100E4" w14:textId="77777777" w:rsidR="00B05ED5" w:rsidRDefault="00460EE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rPr>
            </w:pPr>
            <w:r>
              <w:rPr>
                <w:rFonts w:ascii="Arial" w:hAnsi="Arial" w:cs="Arial"/>
                <w:color w:val="000000"/>
                <w:sz w:val="20"/>
                <w:szCs w:val="20"/>
                <w:lang w:val="fr-FR"/>
              </w:rPr>
              <w:t>4,0</w:t>
            </w:r>
          </w:p>
        </w:tc>
      </w:tr>
      <w:tr w:rsidR="00B05ED5" w14:paraId="653E6F8B" w14:textId="77777777" w:rsidTr="00B05ED5">
        <w:trPr>
          <w:trHeight w:val="410"/>
        </w:trPr>
        <w:tc>
          <w:tcPr>
            <w:cnfStyle w:val="001000000000" w:firstRow="0" w:lastRow="0" w:firstColumn="1" w:lastColumn="0" w:oddVBand="0" w:evenVBand="0" w:oddHBand="0" w:evenHBand="0" w:firstRowFirstColumn="0" w:firstRowLastColumn="0" w:lastRowFirstColumn="0" w:lastRowLastColumn="0"/>
            <w:tcW w:w="6940" w:type="dxa"/>
            <w:gridSpan w:val="2"/>
            <w:tcBorders>
              <w:top w:val="single" w:sz="4" w:space="0" w:color="auto"/>
            </w:tcBorders>
          </w:tcPr>
          <w:p w14:paraId="3FB38692" w14:textId="77777777" w:rsidR="00B05ED5" w:rsidRDefault="00460EE6">
            <w:pPr>
              <w:autoSpaceDE w:val="0"/>
              <w:autoSpaceDN w:val="0"/>
              <w:adjustRightInd w:val="0"/>
              <w:spacing w:line="320" w:lineRule="atLeast"/>
              <w:ind w:left="60" w:right="60"/>
              <w:jc w:val="both"/>
              <w:rPr>
                <w:rFonts w:ascii="Arial" w:hAnsi="Arial" w:cs="Arial"/>
                <w:b w:val="0"/>
                <w:bCs w:val="0"/>
                <w:color w:val="000000"/>
                <w:sz w:val="20"/>
                <w:szCs w:val="20"/>
                <w:lang w:val="fr-FR"/>
              </w:rPr>
            </w:pPr>
            <w:proofErr w:type="spellStart"/>
            <w:r>
              <w:rPr>
                <w:rFonts w:ascii="Arial" w:hAnsi="Arial" w:cs="Arial"/>
                <w:color w:val="auto"/>
                <w:sz w:val="20"/>
                <w:szCs w:val="20"/>
                <w:lang w:val="fr-FR"/>
              </w:rPr>
              <w:t>Market</w:t>
            </w:r>
            <w:proofErr w:type="spellEnd"/>
            <w:r>
              <w:rPr>
                <w:rFonts w:ascii="Arial" w:hAnsi="Arial" w:cs="Arial"/>
                <w:color w:val="auto"/>
                <w:sz w:val="20"/>
                <w:szCs w:val="20"/>
                <w:lang w:val="fr-FR"/>
              </w:rPr>
              <w:t xml:space="preserve"> </w:t>
            </w:r>
            <w:r>
              <w:rPr>
                <w:rFonts w:ascii="Arial" w:hAnsi="Arial" w:cs="Arial"/>
                <w:color w:val="auto"/>
                <w:sz w:val="20"/>
                <w:szCs w:val="20"/>
              </w:rPr>
              <w:t>gardening Main activity</w:t>
            </w:r>
          </w:p>
        </w:tc>
      </w:tr>
      <w:tr w:rsidR="00B05ED5" w14:paraId="354FF20B" w14:textId="77777777" w:rsidTr="00B05ED5">
        <w:trPr>
          <w:trHeight w:val="313"/>
        </w:trPr>
        <w:tc>
          <w:tcPr>
            <w:cnfStyle w:val="001000000000" w:firstRow="0" w:lastRow="0" w:firstColumn="1" w:lastColumn="0" w:oddVBand="0" w:evenVBand="0" w:oddHBand="0" w:evenHBand="0" w:firstRowFirstColumn="0" w:firstRowLastColumn="0" w:lastRowFirstColumn="0" w:lastRowLastColumn="0"/>
            <w:tcW w:w="3470" w:type="dxa"/>
            <w:tcBorders>
              <w:bottom w:val="nil"/>
            </w:tcBorders>
          </w:tcPr>
          <w:p w14:paraId="274A25E7" w14:textId="77777777" w:rsidR="00B05ED5" w:rsidRDefault="00460EE6">
            <w:pPr>
              <w:autoSpaceDE w:val="0"/>
              <w:autoSpaceDN w:val="0"/>
              <w:adjustRightInd w:val="0"/>
              <w:ind w:left="60" w:right="60"/>
              <w:jc w:val="both"/>
              <w:rPr>
                <w:rFonts w:ascii="Arial" w:hAnsi="Arial" w:cs="Arial"/>
                <w:color w:val="000000"/>
                <w:sz w:val="20"/>
                <w:szCs w:val="20"/>
                <w:lang w:val="fr-FR"/>
              </w:rPr>
            </w:pPr>
            <w:r>
              <w:rPr>
                <w:rFonts w:ascii="Arial" w:hAnsi="Arial" w:cs="Arial"/>
                <w:b w:val="0"/>
                <w:bCs w:val="0"/>
                <w:color w:val="000000"/>
                <w:sz w:val="20"/>
                <w:szCs w:val="20"/>
                <w:lang w:val="fr-FR"/>
              </w:rPr>
              <w:t xml:space="preserve">  Yes</w:t>
            </w:r>
          </w:p>
        </w:tc>
        <w:tc>
          <w:tcPr>
            <w:tcW w:w="3470" w:type="dxa"/>
            <w:tcBorders>
              <w:bottom w:val="nil"/>
            </w:tcBorders>
          </w:tcPr>
          <w:p w14:paraId="629CD2CD" w14:textId="77777777" w:rsidR="00B05ED5" w:rsidRDefault="00460EE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rPr>
            </w:pPr>
            <w:r>
              <w:rPr>
                <w:rFonts w:ascii="Arial" w:hAnsi="Arial" w:cs="Arial"/>
                <w:color w:val="000000"/>
                <w:sz w:val="20"/>
                <w:szCs w:val="20"/>
                <w:lang w:val="fr-FR"/>
              </w:rPr>
              <w:t>87,0</w:t>
            </w:r>
          </w:p>
        </w:tc>
      </w:tr>
      <w:tr w:rsidR="00B05ED5" w14:paraId="573DE3F7" w14:textId="77777777" w:rsidTr="00B05ED5">
        <w:trPr>
          <w:trHeight w:val="298"/>
        </w:trPr>
        <w:tc>
          <w:tcPr>
            <w:cnfStyle w:val="001000000000" w:firstRow="0" w:lastRow="0" w:firstColumn="1" w:lastColumn="0" w:oddVBand="0" w:evenVBand="0" w:oddHBand="0" w:evenHBand="0" w:firstRowFirstColumn="0" w:firstRowLastColumn="0" w:lastRowFirstColumn="0" w:lastRowLastColumn="0"/>
            <w:tcW w:w="3470" w:type="dxa"/>
            <w:tcBorders>
              <w:top w:val="nil"/>
              <w:bottom w:val="single" w:sz="4" w:space="0" w:color="auto"/>
            </w:tcBorders>
          </w:tcPr>
          <w:p w14:paraId="5705553B" w14:textId="77777777" w:rsidR="00B05ED5" w:rsidRDefault="00460EE6">
            <w:pPr>
              <w:autoSpaceDE w:val="0"/>
              <w:autoSpaceDN w:val="0"/>
              <w:adjustRightInd w:val="0"/>
              <w:ind w:left="60" w:right="60"/>
              <w:jc w:val="both"/>
              <w:rPr>
                <w:rFonts w:ascii="Arial" w:hAnsi="Arial" w:cs="Arial"/>
                <w:color w:val="000000"/>
                <w:sz w:val="20"/>
                <w:szCs w:val="20"/>
                <w:lang w:val="fr-FR"/>
              </w:rPr>
            </w:pPr>
            <w:r>
              <w:rPr>
                <w:rFonts w:ascii="Arial" w:hAnsi="Arial" w:cs="Arial"/>
                <w:b w:val="0"/>
                <w:bCs w:val="0"/>
                <w:color w:val="000000"/>
                <w:sz w:val="20"/>
                <w:szCs w:val="20"/>
                <w:lang w:val="fr-FR"/>
              </w:rPr>
              <w:t xml:space="preserve">  No</w:t>
            </w:r>
          </w:p>
        </w:tc>
        <w:tc>
          <w:tcPr>
            <w:tcW w:w="3470" w:type="dxa"/>
            <w:tcBorders>
              <w:top w:val="nil"/>
              <w:bottom w:val="single" w:sz="4" w:space="0" w:color="auto"/>
            </w:tcBorders>
          </w:tcPr>
          <w:p w14:paraId="02A38BFC" w14:textId="77777777" w:rsidR="00B05ED5" w:rsidRDefault="00460EE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rPr>
            </w:pPr>
            <w:r>
              <w:rPr>
                <w:rFonts w:ascii="Arial" w:hAnsi="Arial" w:cs="Arial"/>
                <w:color w:val="000000"/>
                <w:sz w:val="20"/>
                <w:szCs w:val="20"/>
                <w:lang w:val="fr-FR"/>
              </w:rPr>
              <w:t>13,0</w:t>
            </w:r>
          </w:p>
        </w:tc>
      </w:tr>
      <w:tr w:rsidR="00B05ED5" w14:paraId="704D8CEF" w14:textId="77777777" w:rsidTr="00B05ED5">
        <w:trPr>
          <w:trHeight w:val="298"/>
        </w:trPr>
        <w:tc>
          <w:tcPr>
            <w:cnfStyle w:val="001000000000" w:firstRow="0" w:lastRow="0" w:firstColumn="1" w:lastColumn="0" w:oddVBand="0" w:evenVBand="0" w:oddHBand="0" w:evenHBand="0" w:firstRowFirstColumn="0" w:firstRowLastColumn="0" w:lastRowFirstColumn="0" w:lastRowLastColumn="0"/>
            <w:tcW w:w="6940" w:type="dxa"/>
            <w:gridSpan w:val="2"/>
            <w:tcBorders>
              <w:top w:val="single" w:sz="4" w:space="0" w:color="auto"/>
            </w:tcBorders>
          </w:tcPr>
          <w:p w14:paraId="7C5F5505" w14:textId="77777777" w:rsidR="00B05ED5" w:rsidRDefault="00460EE6">
            <w:pPr>
              <w:autoSpaceDE w:val="0"/>
              <w:autoSpaceDN w:val="0"/>
              <w:adjustRightInd w:val="0"/>
              <w:spacing w:line="320" w:lineRule="atLeast"/>
              <w:ind w:right="60"/>
              <w:jc w:val="both"/>
              <w:rPr>
                <w:rFonts w:ascii="Arial" w:hAnsi="Arial" w:cs="Arial"/>
                <w:b w:val="0"/>
                <w:bCs w:val="0"/>
                <w:color w:val="000000"/>
                <w:sz w:val="20"/>
                <w:szCs w:val="20"/>
              </w:rPr>
            </w:pPr>
            <w:r>
              <w:rPr>
                <w:rFonts w:ascii="Arial" w:hAnsi="Arial" w:cs="Arial"/>
                <w:sz w:val="20"/>
                <w:szCs w:val="20"/>
              </w:rPr>
              <w:t>Training in the application of phytosanitary products</w:t>
            </w:r>
          </w:p>
        </w:tc>
      </w:tr>
      <w:tr w:rsidR="00B05ED5" w14:paraId="1B019C1F" w14:textId="77777777" w:rsidTr="00B05ED5">
        <w:trPr>
          <w:trHeight w:val="298"/>
        </w:trPr>
        <w:tc>
          <w:tcPr>
            <w:cnfStyle w:val="001000000000" w:firstRow="0" w:lastRow="0" w:firstColumn="1" w:lastColumn="0" w:oddVBand="0" w:evenVBand="0" w:oddHBand="0" w:evenHBand="0" w:firstRowFirstColumn="0" w:firstRowLastColumn="0" w:lastRowFirstColumn="0" w:lastRowLastColumn="0"/>
            <w:tcW w:w="3470" w:type="dxa"/>
          </w:tcPr>
          <w:p w14:paraId="6A24B138" w14:textId="77777777" w:rsidR="00B05ED5" w:rsidRDefault="00460EE6">
            <w:pPr>
              <w:autoSpaceDE w:val="0"/>
              <w:autoSpaceDN w:val="0"/>
              <w:adjustRightInd w:val="0"/>
              <w:ind w:right="60"/>
              <w:jc w:val="both"/>
              <w:rPr>
                <w:rFonts w:ascii="Arial" w:hAnsi="Arial" w:cs="Arial"/>
                <w:sz w:val="20"/>
                <w:szCs w:val="20"/>
                <w:lang w:val="fr-FR"/>
              </w:rPr>
            </w:pPr>
            <w:r>
              <w:rPr>
                <w:rFonts w:ascii="Arial" w:hAnsi="Arial" w:cs="Arial"/>
                <w:b w:val="0"/>
                <w:bCs w:val="0"/>
                <w:sz w:val="20"/>
                <w:szCs w:val="20"/>
              </w:rPr>
              <w:t xml:space="preserve">   </w:t>
            </w:r>
            <w:r>
              <w:rPr>
                <w:rFonts w:ascii="Arial" w:hAnsi="Arial" w:cs="Arial"/>
                <w:b w:val="0"/>
                <w:bCs w:val="0"/>
                <w:sz w:val="20"/>
                <w:szCs w:val="20"/>
                <w:lang w:val="fr-FR"/>
              </w:rPr>
              <w:t xml:space="preserve">Yes </w:t>
            </w:r>
          </w:p>
        </w:tc>
        <w:tc>
          <w:tcPr>
            <w:tcW w:w="3470" w:type="dxa"/>
          </w:tcPr>
          <w:p w14:paraId="1CAFB00D" w14:textId="77777777" w:rsidR="00B05ED5" w:rsidRDefault="00460EE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rPr>
            </w:pPr>
            <w:r>
              <w:rPr>
                <w:rFonts w:ascii="Arial" w:hAnsi="Arial" w:cs="Arial"/>
                <w:color w:val="000000"/>
                <w:sz w:val="20"/>
                <w:szCs w:val="20"/>
                <w:lang w:val="fr-FR"/>
              </w:rPr>
              <w:t>0</w:t>
            </w:r>
          </w:p>
        </w:tc>
      </w:tr>
      <w:tr w:rsidR="00B05ED5" w14:paraId="4F22C29D" w14:textId="77777777" w:rsidTr="00B05ED5">
        <w:trPr>
          <w:trHeight w:val="298"/>
        </w:trPr>
        <w:tc>
          <w:tcPr>
            <w:cnfStyle w:val="001000000000" w:firstRow="0" w:lastRow="0" w:firstColumn="1" w:lastColumn="0" w:oddVBand="0" w:evenVBand="0" w:oddHBand="0" w:evenHBand="0" w:firstRowFirstColumn="0" w:firstRowLastColumn="0" w:lastRowFirstColumn="0" w:lastRowLastColumn="0"/>
            <w:tcW w:w="3470" w:type="dxa"/>
          </w:tcPr>
          <w:p w14:paraId="27CF09FC" w14:textId="77777777" w:rsidR="00B05ED5" w:rsidRDefault="00460EE6">
            <w:pPr>
              <w:autoSpaceDE w:val="0"/>
              <w:autoSpaceDN w:val="0"/>
              <w:adjustRightInd w:val="0"/>
              <w:ind w:left="60" w:right="60"/>
              <w:jc w:val="both"/>
              <w:rPr>
                <w:rFonts w:ascii="Arial" w:hAnsi="Arial" w:cs="Arial"/>
                <w:sz w:val="20"/>
                <w:szCs w:val="20"/>
                <w:lang w:val="fr-FR"/>
              </w:rPr>
            </w:pPr>
            <w:r>
              <w:rPr>
                <w:rFonts w:ascii="Arial" w:hAnsi="Arial" w:cs="Arial"/>
                <w:b w:val="0"/>
                <w:bCs w:val="0"/>
                <w:sz w:val="20"/>
                <w:szCs w:val="20"/>
                <w:lang w:val="fr-FR"/>
              </w:rPr>
              <w:t xml:space="preserve">  No </w:t>
            </w:r>
          </w:p>
        </w:tc>
        <w:tc>
          <w:tcPr>
            <w:tcW w:w="3470" w:type="dxa"/>
          </w:tcPr>
          <w:p w14:paraId="4CBECF47" w14:textId="77777777" w:rsidR="00B05ED5" w:rsidRDefault="00460EE6">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rPr>
            </w:pPr>
            <w:r>
              <w:rPr>
                <w:rFonts w:ascii="Arial" w:hAnsi="Arial" w:cs="Arial"/>
                <w:color w:val="000000"/>
                <w:sz w:val="20"/>
                <w:szCs w:val="20"/>
                <w:lang w:val="fr-FR"/>
              </w:rPr>
              <w:t>100</w:t>
            </w:r>
          </w:p>
        </w:tc>
      </w:tr>
    </w:tbl>
    <w:p w14:paraId="0390E97D" w14:textId="77777777" w:rsidR="00B05ED5" w:rsidRDefault="00B05ED5">
      <w:pPr>
        <w:pStyle w:val="Body"/>
        <w:spacing w:after="0"/>
        <w:rPr>
          <w:rFonts w:ascii="Arial" w:hAnsi="Arial" w:cs="Arial"/>
        </w:rPr>
      </w:pPr>
    </w:p>
    <w:p w14:paraId="695A1BD3" w14:textId="77777777" w:rsidR="00B05ED5" w:rsidRDefault="00B05ED5">
      <w:pPr>
        <w:pStyle w:val="Body"/>
        <w:spacing w:after="0"/>
        <w:rPr>
          <w:rFonts w:ascii="Arial" w:hAnsi="Arial" w:cs="Arial"/>
        </w:rPr>
      </w:pPr>
    </w:p>
    <w:p w14:paraId="40EA6F6E" w14:textId="77777777" w:rsidR="00B05ED5" w:rsidRDefault="00460EE6">
      <w:pPr>
        <w:pStyle w:val="Body"/>
        <w:spacing w:after="0"/>
        <w:rPr>
          <w:rFonts w:ascii="Arial" w:hAnsi="Arial" w:cs="Arial"/>
        </w:rPr>
      </w:pPr>
      <w:r>
        <w:rPr>
          <w:rFonts w:ascii="Arial" w:hAnsi="Arial" w:cs="Arial"/>
          <w:b/>
          <w:caps/>
          <w:sz w:val="22"/>
        </w:rPr>
        <w:lastRenderedPageBreak/>
        <w:t>3.2 T</w:t>
      </w:r>
      <w:r>
        <w:rPr>
          <w:rFonts w:ascii="Arial" w:hAnsi="Arial" w:cs="Arial"/>
          <w:b/>
          <w:sz w:val="22"/>
        </w:rPr>
        <w:t>ypes of cultivated vegetables</w:t>
      </w:r>
    </w:p>
    <w:p w14:paraId="7CC19983" w14:textId="77777777" w:rsidR="00B05ED5" w:rsidRDefault="00B05ED5">
      <w:pPr>
        <w:pStyle w:val="Body"/>
        <w:spacing w:after="0"/>
        <w:rPr>
          <w:rFonts w:ascii="Arial" w:hAnsi="Arial" w:cs="Arial"/>
        </w:rPr>
      </w:pPr>
    </w:p>
    <w:p w14:paraId="2A2B2C87" w14:textId="319EEB0D" w:rsidR="00B05ED5" w:rsidRDefault="00460EE6" w:rsidP="001D3288">
      <w:pPr>
        <w:pStyle w:val="Body"/>
        <w:spacing w:after="0"/>
        <w:rPr>
          <w:rFonts w:ascii="Arial" w:hAnsi="Arial" w:cs="Arial"/>
        </w:rPr>
      </w:pPr>
      <w:r>
        <w:rPr>
          <w:rFonts w:ascii="Arial" w:hAnsi="Arial" w:cs="Arial"/>
        </w:rPr>
        <w:t xml:space="preserve">In the town of </w:t>
      </w:r>
      <w:proofErr w:type="spellStart"/>
      <w:r>
        <w:rPr>
          <w:rFonts w:ascii="Arial" w:hAnsi="Arial" w:cs="Arial"/>
        </w:rPr>
        <w:t>Sarh</w:t>
      </w:r>
      <w:proofErr w:type="spellEnd"/>
      <w:r>
        <w:rPr>
          <w:rFonts w:ascii="Arial" w:hAnsi="Arial" w:cs="Arial"/>
        </w:rPr>
        <w:t xml:space="preserve">, </w:t>
      </w:r>
      <w:r w:rsidR="001D3288" w:rsidRPr="001D3288">
        <w:rPr>
          <w:rFonts w:ascii="Arial" w:hAnsi="Arial" w:cs="Arial"/>
          <w:highlight w:val="yellow"/>
        </w:rPr>
        <w:t>Type of vegetable</w:t>
      </w:r>
      <w:r w:rsidR="001D3288" w:rsidRPr="001D3288">
        <w:rPr>
          <w:rFonts w:ascii="Arial" w:hAnsi="Arial" w:cs="Arial"/>
        </w:rPr>
        <w:t xml:space="preserve"> cultivated </w:t>
      </w:r>
      <w:r>
        <w:rPr>
          <w:rFonts w:ascii="Arial" w:hAnsi="Arial" w:cs="Arial"/>
        </w:rPr>
        <w:t>depends on the season. In the sites surveyed,</w:t>
      </w:r>
      <w:r w:rsidR="001D3288">
        <w:rPr>
          <w:rFonts w:ascii="Arial" w:hAnsi="Arial" w:cs="Arial"/>
        </w:rPr>
        <w:t xml:space="preserve"> </w:t>
      </w:r>
      <w:r w:rsidR="001D3288" w:rsidRPr="001D3288">
        <w:rPr>
          <w:rFonts w:ascii="Arial" w:hAnsi="Arial" w:cs="Arial"/>
          <w:highlight w:val="yellow"/>
        </w:rPr>
        <w:t>i</w:t>
      </w:r>
      <w:r w:rsidRPr="001D3288">
        <w:rPr>
          <w:rFonts w:ascii="Arial" w:hAnsi="Arial" w:cs="Arial"/>
          <w:highlight w:val="yellow"/>
        </w:rPr>
        <w:t>n</w:t>
      </w:r>
      <w:r>
        <w:rPr>
          <w:rFonts w:ascii="Arial" w:hAnsi="Arial" w:cs="Arial"/>
        </w:rPr>
        <w:t xml:space="preserve"> the town of </w:t>
      </w:r>
      <w:proofErr w:type="spellStart"/>
      <w:r>
        <w:rPr>
          <w:rFonts w:ascii="Arial" w:hAnsi="Arial" w:cs="Arial"/>
        </w:rPr>
        <w:t>Sarh</w:t>
      </w:r>
      <w:proofErr w:type="spellEnd"/>
      <w:r>
        <w:rPr>
          <w:rFonts w:ascii="Arial" w:hAnsi="Arial" w:cs="Arial"/>
        </w:rPr>
        <w:t xml:space="preserve">, the planting of species depends on the season. In the sites surveyed, during the study period and according to the </w:t>
      </w:r>
      <w:r w:rsidR="00A0613A" w:rsidRPr="00A0613A">
        <w:rPr>
          <w:rFonts w:ascii="Arial" w:hAnsi="Arial" w:cs="Arial"/>
          <w:highlight w:val="yellow"/>
        </w:rPr>
        <w:t>parts</w:t>
      </w:r>
      <w:r w:rsidR="00A0613A">
        <w:rPr>
          <w:rFonts w:ascii="Arial" w:hAnsi="Arial" w:cs="Arial"/>
        </w:rPr>
        <w:t xml:space="preserve"> </w:t>
      </w:r>
      <w:r>
        <w:rPr>
          <w:rFonts w:ascii="Arial" w:hAnsi="Arial" w:cs="Arial"/>
        </w:rPr>
        <w:t>consumed, the distribution of species shows that 50% of species are cultivated for their lea</w:t>
      </w:r>
      <w:r w:rsidR="001D3288">
        <w:rPr>
          <w:rFonts w:ascii="Arial" w:hAnsi="Arial" w:cs="Arial"/>
        </w:rPr>
        <w:t xml:space="preserve">ves, 25% for their fruits, </w:t>
      </w:r>
      <w:r w:rsidR="001D3288" w:rsidRPr="001D3288">
        <w:rPr>
          <w:rFonts w:ascii="Arial" w:hAnsi="Arial" w:cs="Arial"/>
          <w:highlight w:val="yellow"/>
        </w:rPr>
        <w:t>19</w:t>
      </w:r>
      <w:r w:rsidRPr="001D3288">
        <w:rPr>
          <w:rFonts w:ascii="Arial" w:hAnsi="Arial" w:cs="Arial"/>
          <w:highlight w:val="yellow"/>
        </w:rPr>
        <w:t>%</w:t>
      </w:r>
      <w:r w:rsidR="001D3288">
        <w:rPr>
          <w:rFonts w:ascii="Arial" w:hAnsi="Arial" w:cs="Arial"/>
        </w:rPr>
        <w:t xml:space="preserve"> for their roots or bulbs and </w:t>
      </w:r>
      <w:r w:rsidR="001D3288" w:rsidRPr="001D3288">
        <w:rPr>
          <w:rFonts w:ascii="Arial" w:hAnsi="Arial" w:cs="Arial"/>
          <w:highlight w:val="yellow"/>
        </w:rPr>
        <w:t>6</w:t>
      </w:r>
      <w:r w:rsidRPr="001D3288">
        <w:rPr>
          <w:rFonts w:ascii="Arial" w:hAnsi="Arial" w:cs="Arial"/>
          <w:highlight w:val="yellow"/>
        </w:rPr>
        <w:t>%</w:t>
      </w:r>
      <w:r>
        <w:rPr>
          <w:rFonts w:ascii="Arial" w:hAnsi="Arial" w:cs="Arial"/>
        </w:rPr>
        <w:t xml:space="preserve"> for their pods (</w:t>
      </w:r>
      <w:r w:rsidRPr="001D3288">
        <w:rPr>
          <w:rFonts w:ascii="Arial" w:hAnsi="Arial" w:cs="Arial"/>
          <w:highlight w:val="yellow"/>
        </w:rPr>
        <w:t xml:space="preserve">figure </w:t>
      </w:r>
      <w:r w:rsidR="001D3288" w:rsidRPr="001D3288">
        <w:rPr>
          <w:rFonts w:ascii="Arial" w:hAnsi="Arial" w:cs="Arial"/>
          <w:highlight w:val="yellow"/>
        </w:rPr>
        <w:t>1</w:t>
      </w:r>
      <w:r>
        <w:rPr>
          <w:rFonts w:ascii="Arial" w:hAnsi="Arial" w:cs="Arial"/>
        </w:rPr>
        <w:t xml:space="preserve">). Various types of vegetables are produced by market gardeners in </w:t>
      </w:r>
      <w:proofErr w:type="spellStart"/>
      <w:r>
        <w:rPr>
          <w:rFonts w:ascii="Arial" w:hAnsi="Arial" w:cs="Arial"/>
        </w:rPr>
        <w:t>Sarh</w:t>
      </w:r>
      <w:proofErr w:type="spellEnd"/>
      <w:r>
        <w:rPr>
          <w:rFonts w:ascii="Arial" w:hAnsi="Arial" w:cs="Arial"/>
        </w:rPr>
        <w:t xml:space="preserve">. The results of this study show that, depending on the organs consumed, market garden production is geared towards leafy vegetables. The dominance of leafy vegetables is linked to consumer demand. This diversity of vegetables with a dominance of leafy vegetables has been mentioned by </w:t>
      </w:r>
      <w:proofErr w:type="spellStart"/>
      <w:r>
        <w:rPr>
          <w:rFonts w:ascii="Arial" w:hAnsi="Arial" w:cs="Arial"/>
        </w:rPr>
        <w:t>Nazal</w:t>
      </w:r>
      <w:proofErr w:type="spellEnd"/>
      <w:r>
        <w:rPr>
          <w:rFonts w:ascii="Arial" w:hAnsi="Arial" w:cs="Arial"/>
        </w:rPr>
        <w:t xml:space="preserve"> et al (2017) and </w:t>
      </w:r>
      <w:proofErr w:type="spellStart"/>
      <w:r>
        <w:rPr>
          <w:rFonts w:ascii="Arial" w:hAnsi="Arial" w:cs="Arial"/>
        </w:rPr>
        <w:t>Nazal</w:t>
      </w:r>
      <w:proofErr w:type="spellEnd"/>
      <w:r>
        <w:rPr>
          <w:rFonts w:ascii="Arial" w:hAnsi="Arial" w:cs="Arial"/>
        </w:rPr>
        <w:t xml:space="preserve"> (2021) in N’Djamena, Kanda et al. </w:t>
      </w:r>
      <w:r w:rsidRPr="00B467AE">
        <w:rPr>
          <w:rFonts w:ascii="Arial" w:hAnsi="Arial" w:cs="Arial"/>
          <w:lang w:val="en-GB"/>
        </w:rPr>
        <w:t xml:space="preserve">(2014) in several Togolese towns. </w:t>
      </w:r>
      <w:r>
        <w:rPr>
          <w:rFonts w:ascii="Arial" w:hAnsi="Arial" w:cs="Arial"/>
        </w:rPr>
        <w:t>In the city of Kinshasa, leafy vegetables constitute 87% of the vegetables produced (</w:t>
      </w:r>
      <w:proofErr w:type="spellStart"/>
      <w:r>
        <w:rPr>
          <w:rFonts w:ascii="Arial" w:hAnsi="Arial" w:cs="Arial"/>
        </w:rPr>
        <w:t>Muzingu</w:t>
      </w:r>
      <w:proofErr w:type="spellEnd"/>
      <w:r>
        <w:rPr>
          <w:rFonts w:ascii="Arial" w:hAnsi="Arial" w:cs="Arial"/>
        </w:rPr>
        <w:t>, 2007). The share of leafy vegetables is 80% in Ibadan in Nigeria (Olajide-Taiwo et al., 2011) and Brazzaville in Congo (</w:t>
      </w:r>
      <w:proofErr w:type="spellStart"/>
      <w:r>
        <w:rPr>
          <w:rFonts w:ascii="Arial" w:hAnsi="Arial" w:cs="Arial"/>
        </w:rPr>
        <w:t>Moustier</w:t>
      </w:r>
      <w:proofErr w:type="spellEnd"/>
      <w:r>
        <w:rPr>
          <w:rFonts w:ascii="Arial" w:hAnsi="Arial" w:cs="Arial"/>
        </w:rPr>
        <w:t xml:space="preserve"> and Fall, 2004); 90% in Dar Es Salaam in Tanzania (Jacobi et al., 2000), Bissau and Antananarivo (</w:t>
      </w:r>
      <w:proofErr w:type="spellStart"/>
      <w:r>
        <w:rPr>
          <w:rFonts w:ascii="Arial" w:hAnsi="Arial" w:cs="Arial"/>
        </w:rPr>
        <w:t>Moustier</w:t>
      </w:r>
      <w:proofErr w:type="spellEnd"/>
      <w:r>
        <w:rPr>
          <w:rFonts w:ascii="Arial" w:hAnsi="Arial" w:cs="Arial"/>
        </w:rPr>
        <w:t xml:space="preserve"> and David, 1996). In Bangui, peri-urban areas account for 100% of the city's supply of leafy vegetables (</w:t>
      </w:r>
      <w:proofErr w:type="spellStart"/>
      <w:r>
        <w:rPr>
          <w:rFonts w:ascii="Arial" w:hAnsi="Arial" w:cs="Arial"/>
        </w:rPr>
        <w:t>Moustier</w:t>
      </w:r>
      <w:proofErr w:type="spellEnd"/>
      <w:r>
        <w:rPr>
          <w:rFonts w:ascii="Arial" w:hAnsi="Arial" w:cs="Arial"/>
        </w:rPr>
        <w:t xml:space="preserve"> and David, 1996). </w:t>
      </w:r>
    </w:p>
    <w:p w14:paraId="55580D49" w14:textId="77777777" w:rsidR="00B05ED5" w:rsidRDefault="00460EE6">
      <w:pPr>
        <w:pStyle w:val="Body"/>
        <w:spacing w:after="0"/>
        <w:rPr>
          <w:rFonts w:ascii="Arial" w:hAnsi="Arial" w:cs="Arial"/>
        </w:rPr>
      </w:pPr>
      <w:r>
        <w:rPr>
          <w:rFonts w:ascii="Arial" w:hAnsi="Arial" w:cs="Arial"/>
        </w:rPr>
        <w:t xml:space="preserve">Among leafy vegetables, lettuce predominates with 47.14%, followed by celery (12.52%), sorrel (12.20%), parsley (11.01%) and green onion (8.42%). Fruit vegetables consist mainly of okra; root/bulb vegetables are represented by carrot (63.25%), turnip (35.02%) and beet (1.71%). Green beans are the pod vegetable. </w:t>
      </w:r>
    </w:p>
    <w:p w14:paraId="2E0285FC" w14:textId="77777777" w:rsidR="00B05ED5" w:rsidRDefault="00B05ED5">
      <w:pPr>
        <w:pStyle w:val="Body"/>
        <w:spacing w:after="0"/>
        <w:rPr>
          <w:rFonts w:ascii="Arial" w:hAnsi="Arial" w:cs="Arial"/>
        </w:rPr>
      </w:pPr>
    </w:p>
    <w:p w14:paraId="31DACD92" w14:textId="77777777" w:rsidR="00B05ED5" w:rsidRDefault="00460EE6">
      <w:pPr>
        <w:pStyle w:val="Body"/>
        <w:spacing w:after="0"/>
        <w:rPr>
          <w:rFonts w:ascii="Arial" w:hAnsi="Arial" w:cs="Arial"/>
        </w:rPr>
      </w:pPr>
      <w:r>
        <w:rPr>
          <w:rFonts w:ascii="Arial" w:hAnsi="Arial" w:cs="Arial"/>
          <w:noProof/>
          <w:lang w:val="fr-FR" w:eastAsia="fr-FR"/>
        </w:rPr>
        <w:drawing>
          <wp:inline distT="0" distB="0" distL="0" distR="0" wp14:anchorId="64DF6187" wp14:editId="68AD59AC">
            <wp:extent cx="4724400" cy="195199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739399" cy="1958720"/>
                    </a:xfrm>
                    <a:prstGeom prst="rect">
                      <a:avLst/>
                    </a:prstGeom>
                    <a:noFill/>
                  </pic:spPr>
                </pic:pic>
              </a:graphicData>
            </a:graphic>
          </wp:inline>
        </w:drawing>
      </w:r>
    </w:p>
    <w:p w14:paraId="320D1648" w14:textId="77777777" w:rsidR="00B05ED5" w:rsidRDefault="00B05ED5">
      <w:pPr>
        <w:autoSpaceDE w:val="0"/>
        <w:autoSpaceDN w:val="0"/>
        <w:adjustRightInd w:val="0"/>
        <w:jc w:val="both"/>
        <w:rPr>
          <w:rFonts w:ascii="Arial" w:hAnsi="Arial" w:cs="Arial"/>
          <w:b/>
          <w:bCs/>
          <w:szCs w:val="22"/>
        </w:rPr>
      </w:pPr>
    </w:p>
    <w:p w14:paraId="3B1CA37F" w14:textId="77777777" w:rsidR="00B05ED5" w:rsidRDefault="00460EE6">
      <w:pPr>
        <w:autoSpaceDE w:val="0"/>
        <w:autoSpaceDN w:val="0"/>
        <w:adjustRightInd w:val="0"/>
        <w:jc w:val="both"/>
        <w:rPr>
          <w:rFonts w:ascii="Arial" w:hAnsi="Arial" w:cs="Arial"/>
          <w:b/>
          <w:bCs/>
          <w:szCs w:val="22"/>
        </w:rPr>
      </w:pPr>
      <w:r>
        <w:rPr>
          <w:rFonts w:ascii="Arial" w:hAnsi="Arial" w:cs="Arial"/>
          <w:b/>
          <w:bCs/>
          <w:szCs w:val="22"/>
        </w:rPr>
        <w:t>Fig. 1. Distribution of species by organs consumed</w:t>
      </w:r>
    </w:p>
    <w:p w14:paraId="54B902B9" w14:textId="77777777" w:rsidR="00B05ED5" w:rsidRDefault="00B05ED5">
      <w:pPr>
        <w:autoSpaceDE w:val="0"/>
        <w:autoSpaceDN w:val="0"/>
        <w:adjustRightInd w:val="0"/>
        <w:jc w:val="both"/>
        <w:rPr>
          <w:rFonts w:ascii="Arial" w:hAnsi="Arial" w:cs="Arial"/>
          <w:szCs w:val="22"/>
        </w:rPr>
      </w:pPr>
    </w:p>
    <w:p w14:paraId="58AA46E7" w14:textId="77777777" w:rsidR="00B05ED5" w:rsidRDefault="00B05ED5">
      <w:pPr>
        <w:pStyle w:val="Body"/>
        <w:spacing w:after="0"/>
        <w:rPr>
          <w:rFonts w:ascii="Arial" w:hAnsi="Arial" w:cs="Arial"/>
        </w:rPr>
      </w:pPr>
    </w:p>
    <w:p w14:paraId="176EE1A4" w14:textId="77777777" w:rsidR="00B05ED5" w:rsidRDefault="00460EE6">
      <w:pPr>
        <w:pStyle w:val="Body"/>
        <w:spacing w:after="0"/>
        <w:rPr>
          <w:rFonts w:ascii="Arial" w:hAnsi="Arial" w:cs="Arial"/>
        </w:rPr>
      </w:pPr>
      <w:r>
        <w:rPr>
          <w:rFonts w:ascii="Arial" w:hAnsi="Arial" w:cs="Arial"/>
          <w:b/>
          <w:caps/>
          <w:sz w:val="22"/>
        </w:rPr>
        <w:t xml:space="preserve">3.3 </w:t>
      </w:r>
      <w:r>
        <w:rPr>
          <w:rFonts w:ascii="Arial" w:hAnsi="Arial" w:cs="Arial"/>
          <w:b/>
          <w:sz w:val="22"/>
        </w:rPr>
        <w:t xml:space="preserve">Type of pesticides used and spraying equipment </w:t>
      </w:r>
    </w:p>
    <w:p w14:paraId="13D2FC44" w14:textId="77777777" w:rsidR="00B05ED5" w:rsidRDefault="00B05ED5">
      <w:pPr>
        <w:pStyle w:val="Body"/>
        <w:spacing w:after="0"/>
        <w:rPr>
          <w:rFonts w:ascii="Arial" w:hAnsi="Arial" w:cs="Arial"/>
        </w:rPr>
      </w:pPr>
    </w:p>
    <w:p w14:paraId="20246C36" w14:textId="244748D4" w:rsidR="00B05ED5" w:rsidRDefault="00460EE6">
      <w:pPr>
        <w:pStyle w:val="Body"/>
        <w:spacing w:after="0"/>
        <w:rPr>
          <w:rFonts w:ascii="Arial" w:hAnsi="Arial" w:cs="Arial"/>
          <w:szCs w:val="22"/>
        </w:rPr>
      </w:pPr>
      <w:r>
        <w:rPr>
          <w:rFonts w:ascii="Arial" w:hAnsi="Arial" w:cs="Arial"/>
          <w:szCs w:val="22"/>
        </w:rPr>
        <w:t>Market gardeners use pesticides to control pests in their crops. The systematic use of chemical pesticides could be explained by the fact that most market gardeners cannot conceive of producing vegetables and making a profit without chemical pesticides (</w:t>
      </w:r>
      <w:proofErr w:type="spellStart"/>
      <w:r>
        <w:rPr>
          <w:rFonts w:ascii="Arial" w:hAnsi="Arial" w:cs="Arial"/>
          <w:szCs w:val="22"/>
        </w:rPr>
        <w:t>Ahouangninou</w:t>
      </w:r>
      <w:proofErr w:type="spellEnd"/>
      <w:r>
        <w:rPr>
          <w:rFonts w:ascii="Arial" w:hAnsi="Arial" w:cs="Arial"/>
          <w:szCs w:val="22"/>
        </w:rPr>
        <w:t xml:space="preserve">, 2013). They generally obtain pesticides on the black market, following the advice of their colleagues or vendors. The choice of pesticides made by market gardeners depends on the availability of pesticides on the market. Various pesticides used by the market gardeners </w:t>
      </w:r>
      <w:proofErr w:type="gramStart"/>
      <w:r>
        <w:rPr>
          <w:rFonts w:ascii="Arial" w:hAnsi="Arial" w:cs="Arial"/>
          <w:szCs w:val="22"/>
        </w:rPr>
        <w:t xml:space="preserve">surveyed,  </w:t>
      </w:r>
      <w:r w:rsidR="001D3288" w:rsidRPr="001D3288">
        <w:rPr>
          <w:rFonts w:ascii="Arial" w:hAnsi="Arial" w:cs="Arial"/>
          <w:szCs w:val="22"/>
          <w:highlight w:val="yellow"/>
        </w:rPr>
        <w:t>were</w:t>
      </w:r>
      <w:proofErr w:type="gramEnd"/>
      <w:r w:rsidR="001D3288">
        <w:rPr>
          <w:rFonts w:ascii="Arial" w:hAnsi="Arial" w:cs="Arial"/>
          <w:szCs w:val="22"/>
        </w:rPr>
        <w:t xml:space="preserve"> </w:t>
      </w:r>
      <w:r>
        <w:rPr>
          <w:rFonts w:ascii="Arial" w:hAnsi="Arial" w:cs="Arial"/>
          <w:szCs w:val="22"/>
        </w:rPr>
        <w:t xml:space="preserve">Optimal 20 SP (65%), </w:t>
      </w:r>
      <w:proofErr w:type="spellStart"/>
      <w:r>
        <w:rPr>
          <w:rFonts w:ascii="Arial" w:hAnsi="Arial" w:cs="Arial"/>
          <w:szCs w:val="22"/>
        </w:rPr>
        <w:t>Cypercal</w:t>
      </w:r>
      <w:proofErr w:type="spellEnd"/>
      <w:r>
        <w:rPr>
          <w:rFonts w:ascii="Arial" w:hAnsi="Arial" w:cs="Arial"/>
          <w:szCs w:val="22"/>
        </w:rPr>
        <w:t xml:space="preserve"> 50 EC (59%), </w:t>
      </w:r>
      <w:proofErr w:type="spellStart"/>
      <w:r>
        <w:rPr>
          <w:rFonts w:ascii="Arial" w:hAnsi="Arial" w:cs="Arial"/>
          <w:szCs w:val="22"/>
        </w:rPr>
        <w:t>Vizir</w:t>
      </w:r>
      <w:proofErr w:type="spellEnd"/>
      <w:r>
        <w:rPr>
          <w:rFonts w:ascii="Arial" w:hAnsi="Arial" w:cs="Arial"/>
          <w:szCs w:val="22"/>
        </w:rPr>
        <w:t xml:space="preserve"> 92 EC (56%) and Emir Fort 104 EC (54%) predominating (Table 2). </w:t>
      </w:r>
      <w:proofErr w:type="spellStart"/>
      <w:r>
        <w:rPr>
          <w:rFonts w:ascii="Arial" w:hAnsi="Arial" w:cs="Arial"/>
          <w:szCs w:val="22"/>
        </w:rPr>
        <w:t>Calthio</w:t>
      </w:r>
      <w:proofErr w:type="spellEnd"/>
      <w:r>
        <w:rPr>
          <w:rFonts w:ascii="Arial" w:hAnsi="Arial" w:cs="Arial"/>
          <w:szCs w:val="22"/>
        </w:rPr>
        <w:t xml:space="preserve"> C 50 WS is an insecticide and fungicide mixture for seed protection. In most cases, some of the chemicals used are not suitable for market gardening. Some pesticides intended for cotton production are used in market gardening (</w:t>
      </w:r>
      <w:proofErr w:type="spellStart"/>
      <w:r>
        <w:rPr>
          <w:rFonts w:ascii="Arial" w:hAnsi="Arial" w:cs="Arial"/>
          <w:szCs w:val="22"/>
        </w:rPr>
        <w:t>Vizir</w:t>
      </w:r>
      <w:proofErr w:type="spellEnd"/>
      <w:r>
        <w:rPr>
          <w:rFonts w:ascii="Arial" w:hAnsi="Arial" w:cs="Arial"/>
          <w:szCs w:val="22"/>
        </w:rPr>
        <w:t xml:space="preserve"> 92 EC, Emir Fort, …). These results are in line with previous studies. According to </w:t>
      </w:r>
      <w:proofErr w:type="spellStart"/>
      <w:r>
        <w:rPr>
          <w:rFonts w:ascii="Arial" w:hAnsi="Arial" w:cs="Arial"/>
          <w:szCs w:val="22"/>
        </w:rPr>
        <w:t>Ahouangninou</w:t>
      </w:r>
      <w:proofErr w:type="spellEnd"/>
      <w:r>
        <w:rPr>
          <w:rFonts w:ascii="Arial" w:hAnsi="Arial" w:cs="Arial"/>
          <w:szCs w:val="22"/>
        </w:rPr>
        <w:t xml:space="preserve"> (2019), in the rural Commune of Tori-</w:t>
      </w:r>
      <w:proofErr w:type="spellStart"/>
      <w:r>
        <w:rPr>
          <w:rFonts w:ascii="Arial" w:hAnsi="Arial" w:cs="Arial"/>
          <w:szCs w:val="22"/>
        </w:rPr>
        <w:t>Bossito</w:t>
      </w:r>
      <w:proofErr w:type="spellEnd"/>
      <w:r>
        <w:rPr>
          <w:rFonts w:ascii="Arial" w:hAnsi="Arial" w:cs="Arial"/>
          <w:szCs w:val="22"/>
        </w:rPr>
        <w:t xml:space="preserve"> </w:t>
      </w:r>
      <w:r>
        <w:rPr>
          <w:rFonts w:ascii="Arial" w:hAnsi="Arial" w:cs="Arial"/>
          <w:szCs w:val="22"/>
        </w:rPr>
        <w:lastRenderedPageBreak/>
        <w:t xml:space="preserve">the preparation most used by over 84% of market gardeners was COTALMP 218EC, a binary formulation of </w:t>
      </w:r>
      <w:proofErr w:type="spellStart"/>
      <w:r>
        <w:rPr>
          <w:rFonts w:ascii="Arial" w:hAnsi="Arial" w:cs="Arial"/>
          <w:szCs w:val="22"/>
        </w:rPr>
        <w:t>lambdacyhalothrin</w:t>
      </w:r>
      <w:proofErr w:type="spellEnd"/>
      <w:r>
        <w:rPr>
          <w:rFonts w:ascii="Arial" w:hAnsi="Arial" w:cs="Arial"/>
          <w:szCs w:val="22"/>
        </w:rPr>
        <w:t xml:space="preserve"> and </w:t>
      </w:r>
      <w:proofErr w:type="spellStart"/>
      <w:r>
        <w:rPr>
          <w:rFonts w:ascii="Arial" w:hAnsi="Arial" w:cs="Arial"/>
          <w:szCs w:val="22"/>
        </w:rPr>
        <w:t>profenophos</w:t>
      </w:r>
      <w:proofErr w:type="spellEnd"/>
      <w:r>
        <w:rPr>
          <w:rFonts w:ascii="Arial" w:hAnsi="Arial" w:cs="Arial"/>
          <w:szCs w:val="22"/>
        </w:rPr>
        <w:t xml:space="preserve"> recommended for cotton production. There is also the problem of a lack of control over the active ingredients used to protect vegetable crops in Chad. For </w:t>
      </w:r>
      <w:r w:rsidRPr="00313E0B">
        <w:rPr>
          <w:rFonts w:ascii="Arial" w:hAnsi="Arial" w:cs="Arial"/>
          <w:szCs w:val="22"/>
          <w:highlight w:val="yellow"/>
        </w:rPr>
        <w:t>Ouat</w:t>
      </w:r>
      <w:r w:rsidR="00313E0B" w:rsidRPr="00313E0B">
        <w:rPr>
          <w:rFonts w:ascii="Arial" w:hAnsi="Arial" w:cs="Arial"/>
          <w:szCs w:val="22"/>
          <w:highlight w:val="yellow"/>
        </w:rPr>
        <w:t>t</w:t>
      </w:r>
      <w:r w:rsidRPr="00313E0B">
        <w:rPr>
          <w:rFonts w:ascii="Arial" w:hAnsi="Arial" w:cs="Arial"/>
          <w:szCs w:val="22"/>
          <w:highlight w:val="yellow"/>
        </w:rPr>
        <w:t>ara</w:t>
      </w:r>
      <w:r>
        <w:rPr>
          <w:rFonts w:ascii="Arial" w:hAnsi="Arial" w:cs="Arial"/>
          <w:szCs w:val="22"/>
        </w:rPr>
        <w:t xml:space="preserve"> (2014), farmers in developing countries, due to lack of training and illiteracy, misuse and abuse chemical inputs. Acetamiprid (</w:t>
      </w:r>
      <w:proofErr w:type="spellStart"/>
      <w:r>
        <w:rPr>
          <w:rFonts w:ascii="Arial" w:hAnsi="Arial" w:cs="Arial"/>
          <w:szCs w:val="22"/>
        </w:rPr>
        <w:t>Neonicotinoide</w:t>
      </w:r>
      <w:proofErr w:type="spellEnd"/>
      <w:r>
        <w:rPr>
          <w:rFonts w:ascii="Arial" w:hAnsi="Arial" w:cs="Arial"/>
          <w:szCs w:val="22"/>
        </w:rPr>
        <w:t xml:space="preserve"> family) and Cypermethrin (</w:t>
      </w:r>
      <w:proofErr w:type="spellStart"/>
      <w:r>
        <w:rPr>
          <w:rFonts w:ascii="Arial" w:hAnsi="Arial" w:cs="Arial"/>
          <w:szCs w:val="22"/>
        </w:rPr>
        <w:t>Pyrethrinoide</w:t>
      </w:r>
      <w:proofErr w:type="spellEnd"/>
      <w:r>
        <w:rPr>
          <w:rFonts w:ascii="Arial" w:hAnsi="Arial" w:cs="Arial"/>
          <w:szCs w:val="22"/>
        </w:rPr>
        <w:t xml:space="preserve"> family) are the most widely used active ingredients. Analysis of the phytosanitary practices of market gardeners carried out by Sani Ado et al. (2018) in 9 cuvettes in the </w:t>
      </w:r>
      <w:proofErr w:type="spellStart"/>
      <w:r>
        <w:rPr>
          <w:rFonts w:ascii="Arial" w:hAnsi="Arial" w:cs="Arial"/>
          <w:szCs w:val="22"/>
        </w:rPr>
        <w:t>Gouré</w:t>
      </w:r>
      <w:proofErr w:type="spellEnd"/>
      <w:r>
        <w:rPr>
          <w:rFonts w:ascii="Arial" w:hAnsi="Arial" w:cs="Arial"/>
          <w:szCs w:val="22"/>
        </w:rPr>
        <w:t xml:space="preserve"> department show that the most widely used pesticides are organophosphates (56%) and pyrethroids (42%).</w:t>
      </w:r>
    </w:p>
    <w:p w14:paraId="30580D3D" w14:textId="77777777" w:rsidR="00B05ED5" w:rsidRDefault="00B05ED5">
      <w:pPr>
        <w:pStyle w:val="Body"/>
        <w:spacing w:after="0"/>
        <w:rPr>
          <w:rFonts w:ascii="Arial" w:hAnsi="Arial" w:cs="Arial"/>
          <w:szCs w:val="22"/>
        </w:rPr>
      </w:pPr>
    </w:p>
    <w:p w14:paraId="3D00AAC9" w14:textId="77777777" w:rsidR="00B05ED5" w:rsidRDefault="00460EE6">
      <w:pPr>
        <w:tabs>
          <w:tab w:val="left" w:pos="1080"/>
        </w:tabs>
        <w:jc w:val="both"/>
        <w:rPr>
          <w:rFonts w:ascii="Arial" w:hAnsi="Arial"/>
          <w:b/>
        </w:rPr>
      </w:pPr>
      <w:r>
        <w:rPr>
          <w:rFonts w:ascii="Arial" w:hAnsi="Arial"/>
          <w:b/>
        </w:rPr>
        <w:t xml:space="preserve">Table 2. Pesticides used on </w:t>
      </w:r>
      <w:proofErr w:type="spellStart"/>
      <w:r>
        <w:rPr>
          <w:rFonts w:ascii="Arial" w:hAnsi="Arial"/>
          <w:b/>
        </w:rPr>
        <w:t>Sarh</w:t>
      </w:r>
      <w:proofErr w:type="spellEnd"/>
      <w:r>
        <w:rPr>
          <w:rFonts w:ascii="Arial" w:hAnsi="Arial"/>
          <w:b/>
        </w:rPr>
        <w:t xml:space="preserve"> market garden sites during the study period </w:t>
      </w:r>
    </w:p>
    <w:p w14:paraId="5DA4C1C0" w14:textId="77777777" w:rsidR="00B05ED5" w:rsidRDefault="00B05ED5">
      <w:pPr>
        <w:pStyle w:val="Body"/>
        <w:spacing w:after="0"/>
        <w:rPr>
          <w:rFonts w:ascii="Arial" w:hAnsi="Arial" w:cs="Arial"/>
          <w:szCs w:val="22"/>
        </w:rPr>
      </w:pPr>
    </w:p>
    <w:tbl>
      <w:tblPr>
        <w:tblStyle w:val="Tableausimple21"/>
        <w:tblW w:w="6658" w:type="dxa"/>
        <w:tblLook w:val="04A0" w:firstRow="1" w:lastRow="0" w:firstColumn="1" w:lastColumn="0" w:noHBand="0" w:noVBand="1"/>
      </w:tblPr>
      <w:tblGrid>
        <w:gridCol w:w="1980"/>
        <w:gridCol w:w="2835"/>
        <w:gridCol w:w="1843"/>
      </w:tblGrid>
      <w:tr w:rsidR="00B05ED5" w14:paraId="264CC642" w14:textId="77777777" w:rsidTr="00B05ED5">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980" w:type="dxa"/>
          </w:tcPr>
          <w:p w14:paraId="14A9CFB3" w14:textId="77777777" w:rsidR="00B05ED5" w:rsidRDefault="00460EE6">
            <w:pPr>
              <w:tabs>
                <w:tab w:val="left" w:pos="1591"/>
              </w:tabs>
              <w:jc w:val="both"/>
              <w:rPr>
                <w:rFonts w:ascii="Arial" w:hAnsi="Arial" w:cs="Arial"/>
              </w:rPr>
            </w:pPr>
            <w:r>
              <w:rPr>
                <w:rFonts w:ascii="Arial" w:hAnsi="Arial" w:cs="Arial"/>
              </w:rPr>
              <w:t>Trade name</w:t>
            </w:r>
          </w:p>
        </w:tc>
        <w:tc>
          <w:tcPr>
            <w:tcW w:w="2835" w:type="dxa"/>
          </w:tcPr>
          <w:p w14:paraId="5191BD8C" w14:textId="77777777" w:rsidR="00B05ED5" w:rsidRDefault="00460EE6">
            <w:pPr>
              <w:tabs>
                <w:tab w:val="left" w:pos="1591"/>
              </w:tabs>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Active ingredients</w:t>
            </w:r>
          </w:p>
        </w:tc>
        <w:tc>
          <w:tcPr>
            <w:tcW w:w="1843" w:type="dxa"/>
          </w:tcPr>
          <w:p w14:paraId="5F21948D" w14:textId="77777777" w:rsidR="00B05ED5" w:rsidRDefault="00460EE6">
            <w:pPr>
              <w:tabs>
                <w:tab w:val="left" w:pos="1591"/>
              </w:tabs>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Frequency</w:t>
            </w:r>
          </w:p>
        </w:tc>
      </w:tr>
      <w:tr w:rsidR="00B05ED5" w14:paraId="2C2C7E2F" w14:textId="77777777" w:rsidTr="00B05ED5">
        <w:trPr>
          <w:trHeight w:val="386"/>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7F7F7F" w:themeColor="text1" w:themeTint="80"/>
              <w:bottom w:val="single" w:sz="4" w:space="0" w:color="7F7F7F" w:themeColor="text1" w:themeTint="80"/>
            </w:tcBorders>
            <w:vAlign w:val="center"/>
          </w:tcPr>
          <w:p w14:paraId="6A5E8E11" w14:textId="77777777" w:rsidR="00B05ED5" w:rsidRDefault="00460EE6">
            <w:pPr>
              <w:autoSpaceDE w:val="0"/>
              <w:autoSpaceDN w:val="0"/>
              <w:adjustRightInd w:val="0"/>
              <w:rPr>
                <w:rFonts w:ascii="Arial" w:hAnsi="Arial" w:cs="Arial"/>
                <w:b w:val="0"/>
                <w:bCs w:val="0"/>
              </w:rPr>
            </w:pPr>
            <w:proofErr w:type="spellStart"/>
            <w:r>
              <w:rPr>
                <w:rFonts w:ascii="Arial" w:hAnsi="Arial" w:cs="Arial"/>
              </w:rPr>
              <w:t>Cypercal</w:t>
            </w:r>
            <w:proofErr w:type="spellEnd"/>
            <w:r>
              <w:rPr>
                <w:rFonts w:ascii="Arial" w:hAnsi="Arial" w:cs="Arial"/>
              </w:rPr>
              <w:t xml:space="preserve"> 50 EC</w:t>
            </w:r>
          </w:p>
        </w:tc>
        <w:tc>
          <w:tcPr>
            <w:tcW w:w="2835" w:type="dxa"/>
            <w:tcBorders>
              <w:top w:val="single" w:sz="4" w:space="0" w:color="7F7F7F" w:themeColor="text1" w:themeTint="80"/>
              <w:bottom w:val="single" w:sz="4" w:space="0" w:color="7F7F7F" w:themeColor="text1" w:themeTint="80"/>
            </w:tcBorders>
            <w:vAlign w:val="center"/>
          </w:tcPr>
          <w:p w14:paraId="487D15F1" w14:textId="77777777" w:rsidR="00B05ED5" w:rsidRDefault="00460EE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Cypermethrine</w:t>
            </w:r>
            <w:proofErr w:type="spellEnd"/>
            <w:r>
              <w:rPr>
                <w:rFonts w:ascii="Arial" w:hAnsi="Arial" w:cs="Arial"/>
              </w:rPr>
              <w:t xml:space="preserve"> 50 g/l</w:t>
            </w:r>
          </w:p>
        </w:tc>
        <w:tc>
          <w:tcPr>
            <w:tcW w:w="1843" w:type="dxa"/>
            <w:tcBorders>
              <w:top w:val="single" w:sz="4" w:space="0" w:color="7F7F7F" w:themeColor="text1" w:themeTint="80"/>
              <w:bottom w:val="single" w:sz="4" w:space="0" w:color="7F7F7F" w:themeColor="text1" w:themeTint="80"/>
            </w:tcBorders>
            <w:vAlign w:val="center"/>
          </w:tcPr>
          <w:p w14:paraId="01BF8A62" w14:textId="77777777" w:rsidR="00B05ED5" w:rsidRDefault="00460EE6">
            <w:pPr>
              <w:tabs>
                <w:tab w:val="left" w:pos="1591"/>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59 %</w:t>
            </w:r>
          </w:p>
        </w:tc>
      </w:tr>
      <w:tr w:rsidR="00B05ED5" w14:paraId="035B9697" w14:textId="77777777" w:rsidTr="00B05ED5">
        <w:trPr>
          <w:trHeight w:val="338"/>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41F1ADD7" w14:textId="77777777" w:rsidR="00B05ED5" w:rsidRDefault="00460EE6">
            <w:pPr>
              <w:autoSpaceDE w:val="0"/>
              <w:autoSpaceDN w:val="0"/>
              <w:adjustRightInd w:val="0"/>
              <w:rPr>
                <w:rFonts w:ascii="Arial" w:hAnsi="Arial" w:cs="Arial"/>
                <w:b w:val="0"/>
                <w:bCs w:val="0"/>
              </w:rPr>
            </w:pPr>
            <w:proofErr w:type="spellStart"/>
            <w:r>
              <w:rPr>
                <w:rFonts w:ascii="Arial" w:hAnsi="Arial" w:cs="Arial"/>
              </w:rPr>
              <w:t>Tamega</w:t>
            </w:r>
            <w:proofErr w:type="spellEnd"/>
            <w:r>
              <w:rPr>
                <w:rFonts w:ascii="Arial" w:hAnsi="Arial" w:cs="Arial"/>
              </w:rPr>
              <w:t xml:space="preserve"> 25% </w:t>
            </w:r>
          </w:p>
        </w:tc>
        <w:tc>
          <w:tcPr>
            <w:tcW w:w="2835" w:type="dxa"/>
            <w:vAlign w:val="center"/>
          </w:tcPr>
          <w:p w14:paraId="6FA6D6A3" w14:textId="77777777" w:rsidR="00B05ED5" w:rsidRDefault="00460EE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lang w:eastAsia="fr-FR"/>
              </w:rPr>
              <w:t>Deltamethrine</w:t>
            </w:r>
            <w:proofErr w:type="spellEnd"/>
            <w:r>
              <w:rPr>
                <w:rFonts w:ascii="Arial" w:hAnsi="Arial" w:cs="Arial"/>
                <w:lang w:eastAsia="fr-FR"/>
              </w:rPr>
              <w:t xml:space="preserve"> </w:t>
            </w:r>
            <w:r>
              <w:rPr>
                <w:rFonts w:ascii="Arial" w:hAnsi="Arial" w:cs="Arial"/>
              </w:rPr>
              <w:t>25g/l</w:t>
            </w:r>
          </w:p>
        </w:tc>
        <w:tc>
          <w:tcPr>
            <w:tcW w:w="1843" w:type="dxa"/>
            <w:vAlign w:val="center"/>
          </w:tcPr>
          <w:p w14:paraId="6E851AA1" w14:textId="77777777" w:rsidR="00B05ED5" w:rsidRDefault="00460EE6">
            <w:pPr>
              <w:tabs>
                <w:tab w:val="left" w:pos="1591"/>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36 %</w:t>
            </w:r>
          </w:p>
        </w:tc>
      </w:tr>
      <w:tr w:rsidR="00B05ED5" w14:paraId="58BA1755" w14:textId="77777777" w:rsidTr="00B05ED5">
        <w:trPr>
          <w:trHeight w:val="374"/>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7F7F7F" w:themeColor="text1" w:themeTint="80"/>
              <w:bottom w:val="single" w:sz="4" w:space="0" w:color="7F7F7F" w:themeColor="text1" w:themeTint="80"/>
            </w:tcBorders>
            <w:vAlign w:val="center"/>
          </w:tcPr>
          <w:p w14:paraId="6BACDB52" w14:textId="77777777" w:rsidR="00B05ED5" w:rsidRDefault="00460EE6">
            <w:pPr>
              <w:rPr>
                <w:rFonts w:ascii="Arial" w:hAnsi="Arial" w:cs="Arial"/>
                <w:b w:val="0"/>
                <w:bCs w:val="0"/>
              </w:rPr>
            </w:pPr>
            <w:proofErr w:type="spellStart"/>
            <w:r>
              <w:rPr>
                <w:rFonts w:ascii="Arial" w:hAnsi="Arial" w:cs="Arial"/>
              </w:rPr>
              <w:t>Topiscab</w:t>
            </w:r>
            <w:proofErr w:type="spellEnd"/>
            <w:r>
              <w:rPr>
                <w:rFonts w:ascii="Arial" w:hAnsi="Arial" w:cs="Arial"/>
              </w:rPr>
              <w:t xml:space="preserve"> 5% </w:t>
            </w:r>
          </w:p>
        </w:tc>
        <w:tc>
          <w:tcPr>
            <w:tcW w:w="2835" w:type="dxa"/>
            <w:tcBorders>
              <w:top w:val="single" w:sz="4" w:space="0" w:color="7F7F7F" w:themeColor="text1" w:themeTint="80"/>
              <w:bottom w:val="single" w:sz="4" w:space="0" w:color="7F7F7F" w:themeColor="text1" w:themeTint="80"/>
            </w:tcBorders>
            <w:vAlign w:val="center"/>
          </w:tcPr>
          <w:p w14:paraId="6166C908" w14:textId="77777777" w:rsidR="00B05ED5" w:rsidRDefault="00460EE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lang w:eastAsia="fr-FR"/>
              </w:rPr>
              <w:t>Permethrine</w:t>
            </w:r>
            <w:proofErr w:type="spellEnd"/>
          </w:p>
        </w:tc>
        <w:tc>
          <w:tcPr>
            <w:tcW w:w="1843" w:type="dxa"/>
            <w:tcBorders>
              <w:top w:val="single" w:sz="4" w:space="0" w:color="7F7F7F" w:themeColor="text1" w:themeTint="80"/>
              <w:bottom w:val="single" w:sz="4" w:space="0" w:color="7F7F7F" w:themeColor="text1" w:themeTint="80"/>
            </w:tcBorders>
            <w:vAlign w:val="center"/>
          </w:tcPr>
          <w:p w14:paraId="3F3B15A4" w14:textId="77777777" w:rsidR="00B05ED5" w:rsidRDefault="00460EE6">
            <w:pPr>
              <w:tabs>
                <w:tab w:val="left" w:pos="1591"/>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26 %</w:t>
            </w:r>
          </w:p>
        </w:tc>
      </w:tr>
      <w:tr w:rsidR="00B05ED5" w14:paraId="0BAB3E0B" w14:textId="77777777" w:rsidTr="00B05ED5">
        <w:trPr>
          <w:trHeight w:val="249"/>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761E0126" w14:textId="77777777" w:rsidR="00B05ED5" w:rsidRDefault="00460EE6">
            <w:pPr>
              <w:autoSpaceDE w:val="0"/>
              <w:autoSpaceDN w:val="0"/>
              <w:adjustRightInd w:val="0"/>
              <w:rPr>
                <w:rFonts w:ascii="Arial" w:hAnsi="Arial" w:cs="Arial"/>
                <w:b w:val="0"/>
                <w:bCs w:val="0"/>
              </w:rPr>
            </w:pPr>
            <w:proofErr w:type="spellStart"/>
            <w:r>
              <w:rPr>
                <w:rFonts w:ascii="Arial" w:hAnsi="Arial" w:cs="Arial"/>
              </w:rPr>
              <w:t>Gawa</w:t>
            </w:r>
            <w:proofErr w:type="spellEnd"/>
            <w:r>
              <w:rPr>
                <w:rFonts w:ascii="Arial" w:hAnsi="Arial" w:cs="Arial"/>
              </w:rPr>
              <w:t xml:space="preserve"> 30% </w:t>
            </w:r>
          </w:p>
        </w:tc>
        <w:tc>
          <w:tcPr>
            <w:tcW w:w="2835" w:type="dxa"/>
            <w:vAlign w:val="center"/>
          </w:tcPr>
          <w:p w14:paraId="781F16DF" w14:textId="77777777" w:rsidR="00B05ED5" w:rsidRDefault="00460EE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lang w:eastAsia="fr-FR"/>
              </w:rPr>
              <w:t>Imidoclopride</w:t>
            </w:r>
            <w:proofErr w:type="spellEnd"/>
            <w:r>
              <w:rPr>
                <w:rFonts w:ascii="Arial" w:hAnsi="Arial" w:cs="Arial"/>
                <w:lang w:eastAsia="fr-FR"/>
              </w:rPr>
              <w:t xml:space="preserve"> 30 g/l</w:t>
            </w:r>
          </w:p>
        </w:tc>
        <w:tc>
          <w:tcPr>
            <w:tcW w:w="1843" w:type="dxa"/>
            <w:vAlign w:val="center"/>
          </w:tcPr>
          <w:p w14:paraId="5BBD63D1" w14:textId="77777777" w:rsidR="00B05ED5" w:rsidRDefault="00460EE6">
            <w:pPr>
              <w:tabs>
                <w:tab w:val="left" w:pos="1591"/>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18 %</w:t>
            </w:r>
          </w:p>
        </w:tc>
      </w:tr>
      <w:tr w:rsidR="00B05ED5" w14:paraId="093AC708" w14:textId="77777777" w:rsidTr="00B05ED5">
        <w:trPr>
          <w:trHeight w:val="255"/>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7F7F7F" w:themeColor="text1" w:themeTint="80"/>
              <w:bottom w:val="single" w:sz="4" w:space="0" w:color="7F7F7F" w:themeColor="text1" w:themeTint="80"/>
            </w:tcBorders>
            <w:vAlign w:val="center"/>
          </w:tcPr>
          <w:p w14:paraId="4377DBCD" w14:textId="77777777" w:rsidR="00B05ED5" w:rsidRDefault="00460EE6">
            <w:pPr>
              <w:autoSpaceDE w:val="0"/>
              <w:autoSpaceDN w:val="0"/>
              <w:adjustRightInd w:val="0"/>
              <w:rPr>
                <w:rFonts w:ascii="Arial" w:hAnsi="Arial" w:cs="Arial"/>
                <w:b w:val="0"/>
                <w:bCs w:val="0"/>
                <w:lang w:eastAsia="fr-FR"/>
              </w:rPr>
            </w:pPr>
            <w:proofErr w:type="spellStart"/>
            <w:r>
              <w:rPr>
                <w:rFonts w:ascii="Arial" w:hAnsi="Arial" w:cs="Arial"/>
                <w:lang w:eastAsia="fr-FR"/>
              </w:rPr>
              <w:t>Curacron</w:t>
            </w:r>
            <w:proofErr w:type="spellEnd"/>
          </w:p>
        </w:tc>
        <w:tc>
          <w:tcPr>
            <w:tcW w:w="2835" w:type="dxa"/>
            <w:tcBorders>
              <w:top w:val="single" w:sz="4" w:space="0" w:color="7F7F7F" w:themeColor="text1" w:themeTint="80"/>
              <w:bottom w:val="single" w:sz="4" w:space="0" w:color="7F7F7F" w:themeColor="text1" w:themeTint="80"/>
            </w:tcBorders>
            <w:vAlign w:val="center"/>
          </w:tcPr>
          <w:p w14:paraId="68381CF7" w14:textId="77777777" w:rsidR="00B05ED5" w:rsidRDefault="00460EE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lang w:eastAsia="fr-FR"/>
              </w:rPr>
              <w:t>Profenofos</w:t>
            </w:r>
            <w:proofErr w:type="spellEnd"/>
            <w:r>
              <w:rPr>
                <w:rFonts w:ascii="Arial" w:hAnsi="Arial" w:cs="Arial"/>
                <w:lang w:eastAsia="fr-FR"/>
              </w:rPr>
              <w:t xml:space="preserve"> 500</w:t>
            </w:r>
            <w:r>
              <w:rPr>
                <w:rFonts w:ascii="Arial" w:hAnsi="Arial" w:cs="Arial"/>
              </w:rPr>
              <w:t xml:space="preserve"> g/l</w:t>
            </w:r>
          </w:p>
        </w:tc>
        <w:tc>
          <w:tcPr>
            <w:tcW w:w="1843" w:type="dxa"/>
            <w:tcBorders>
              <w:top w:val="single" w:sz="4" w:space="0" w:color="7F7F7F" w:themeColor="text1" w:themeTint="80"/>
              <w:bottom w:val="single" w:sz="4" w:space="0" w:color="7F7F7F" w:themeColor="text1" w:themeTint="80"/>
            </w:tcBorders>
            <w:vAlign w:val="center"/>
          </w:tcPr>
          <w:p w14:paraId="4BBC133C" w14:textId="77777777" w:rsidR="00B05ED5" w:rsidRDefault="00460EE6">
            <w:pPr>
              <w:tabs>
                <w:tab w:val="left" w:pos="1591"/>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10 %</w:t>
            </w:r>
          </w:p>
        </w:tc>
      </w:tr>
      <w:tr w:rsidR="00B05ED5" w14:paraId="203BC01A" w14:textId="77777777" w:rsidTr="00B05ED5">
        <w:trPr>
          <w:trHeight w:val="194"/>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2EF23667" w14:textId="77777777" w:rsidR="00B05ED5" w:rsidRDefault="00460EE6">
            <w:pPr>
              <w:autoSpaceDE w:val="0"/>
              <w:autoSpaceDN w:val="0"/>
              <w:adjustRightInd w:val="0"/>
              <w:rPr>
                <w:rFonts w:ascii="Arial" w:hAnsi="Arial" w:cs="Arial"/>
                <w:b w:val="0"/>
                <w:bCs w:val="0"/>
                <w:lang w:eastAsia="fr-FR"/>
              </w:rPr>
            </w:pPr>
            <w:r>
              <w:rPr>
                <w:rFonts w:ascii="Arial" w:hAnsi="Arial" w:cs="Arial"/>
              </w:rPr>
              <w:t>Optimal 20 SP</w:t>
            </w:r>
          </w:p>
        </w:tc>
        <w:tc>
          <w:tcPr>
            <w:tcW w:w="2835" w:type="dxa"/>
            <w:vAlign w:val="center"/>
          </w:tcPr>
          <w:p w14:paraId="1D1DE59C" w14:textId="77777777" w:rsidR="00B05ED5" w:rsidRDefault="00460EE6">
            <w:pPr>
              <w:tabs>
                <w:tab w:val="left" w:pos="1591"/>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Acétamipride</w:t>
            </w:r>
            <w:proofErr w:type="spellEnd"/>
            <w:r>
              <w:rPr>
                <w:rFonts w:ascii="Arial" w:hAnsi="Arial" w:cs="Arial"/>
              </w:rPr>
              <w:t xml:space="preserve"> 200 g/kg)</w:t>
            </w:r>
          </w:p>
        </w:tc>
        <w:tc>
          <w:tcPr>
            <w:tcW w:w="1843" w:type="dxa"/>
            <w:vAlign w:val="center"/>
          </w:tcPr>
          <w:p w14:paraId="1EFE637F" w14:textId="77777777" w:rsidR="00B05ED5" w:rsidRDefault="00460EE6">
            <w:pPr>
              <w:tabs>
                <w:tab w:val="left" w:pos="1591"/>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65 %</w:t>
            </w:r>
          </w:p>
        </w:tc>
      </w:tr>
      <w:tr w:rsidR="00B05ED5" w14:paraId="7925BA4A" w14:textId="77777777" w:rsidTr="00B05ED5">
        <w:trPr>
          <w:trHeight w:val="248"/>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7F7F7F" w:themeColor="text1" w:themeTint="80"/>
              <w:bottom w:val="single" w:sz="4" w:space="0" w:color="7F7F7F" w:themeColor="text1" w:themeTint="80"/>
            </w:tcBorders>
            <w:vAlign w:val="center"/>
          </w:tcPr>
          <w:p w14:paraId="2F456B6E" w14:textId="77777777" w:rsidR="00B05ED5" w:rsidRDefault="00460EE6">
            <w:pPr>
              <w:rPr>
                <w:rFonts w:ascii="Arial" w:hAnsi="Arial" w:cs="Arial"/>
                <w:b w:val="0"/>
                <w:bCs w:val="0"/>
              </w:rPr>
            </w:pPr>
            <w:r>
              <w:rPr>
                <w:rFonts w:ascii="Arial" w:hAnsi="Arial" w:cs="Arial"/>
              </w:rPr>
              <w:t>Perfect Killer</w:t>
            </w:r>
          </w:p>
        </w:tc>
        <w:tc>
          <w:tcPr>
            <w:tcW w:w="2835" w:type="dxa"/>
            <w:tcBorders>
              <w:top w:val="single" w:sz="4" w:space="0" w:color="7F7F7F" w:themeColor="text1" w:themeTint="80"/>
              <w:bottom w:val="single" w:sz="4" w:space="0" w:color="7F7F7F" w:themeColor="text1" w:themeTint="80"/>
            </w:tcBorders>
            <w:vAlign w:val="center"/>
          </w:tcPr>
          <w:p w14:paraId="15372777" w14:textId="77777777" w:rsidR="00B05ED5" w:rsidRDefault="00460EE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Chlorpyriphos-ethyl 480 g/l</w:t>
            </w:r>
          </w:p>
        </w:tc>
        <w:tc>
          <w:tcPr>
            <w:tcW w:w="1843" w:type="dxa"/>
            <w:tcBorders>
              <w:top w:val="single" w:sz="4" w:space="0" w:color="7F7F7F" w:themeColor="text1" w:themeTint="80"/>
              <w:bottom w:val="single" w:sz="4" w:space="0" w:color="7F7F7F" w:themeColor="text1" w:themeTint="80"/>
            </w:tcBorders>
            <w:vAlign w:val="center"/>
          </w:tcPr>
          <w:p w14:paraId="7FF1C529" w14:textId="77777777" w:rsidR="00B05ED5" w:rsidRDefault="00460EE6">
            <w:pPr>
              <w:tabs>
                <w:tab w:val="left" w:pos="1591"/>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18 %</w:t>
            </w:r>
          </w:p>
        </w:tc>
      </w:tr>
      <w:tr w:rsidR="00B05ED5" w14:paraId="40C3DEDE" w14:textId="77777777" w:rsidTr="00B05ED5">
        <w:trPr>
          <w:trHeight w:val="315"/>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3768A796" w14:textId="77777777" w:rsidR="00B05ED5" w:rsidRDefault="00460EE6">
            <w:pPr>
              <w:rPr>
                <w:rFonts w:ascii="Arial" w:hAnsi="Arial" w:cs="Arial"/>
                <w:b w:val="0"/>
                <w:bCs w:val="0"/>
              </w:rPr>
            </w:pPr>
            <w:r>
              <w:rPr>
                <w:rFonts w:ascii="Arial" w:hAnsi="Arial" w:cs="Arial"/>
              </w:rPr>
              <w:t>DD force</w:t>
            </w:r>
          </w:p>
        </w:tc>
        <w:tc>
          <w:tcPr>
            <w:tcW w:w="2835" w:type="dxa"/>
            <w:vAlign w:val="center"/>
          </w:tcPr>
          <w:p w14:paraId="44F20553" w14:textId="77777777" w:rsidR="00B05ED5" w:rsidRDefault="00460EE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Dichlorvos 1000 g/l</w:t>
            </w:r>
          </w:p>
        </w:tc>
        <w:tc>
          <w:tcPr>
            <w:tcW w:w="1843" w:type="dxa"/>
            <w:vAlign w:val="center"/>
          </w:tcPr>
          <w:p w14:paraId="13C32735" w14:textId="77777777" w:rsidR="00B05ED5" w:rsidRDefault="00460EE6">
            <w:pPr>
              <w:tabs>
                <w:tab w:val="left" w:pos="1591"/>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16 %</w:t>
            </w:r>
          </w:p>
        </w:tc>
      </w:tr>
      <w:tr w:rsidR="00B05ED5" w14:paraId="6BFB6439" w14:textId="77777777" w:rsidTr="00B05ED5">
        <w:trPr>
          <w:trHeight w:val="503"/>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7F7F7F" w:themeColor="text1" w:themeTint="80"/>
              <w:bottom w:val="single" w:sz="4" w:space="0" w:color="7F7F7F" w:themeColor="text1" w:themeTint="80"/>
            </w:tcBorders>
            <w:vAlign w:val="center"/>
          </w:tcPr>
          <w:p w14:paraId="3549B07C" w14:textId="77777777" w:rsidR="00B05ED5" w:rsidRDefault="00460EE6">
            <w:pPr>
              <w:rPr>
                <w:rFonts w:ascii="Arial" w:hAnsi="Arial" w:cs="Arial"/>
                <w:b w:val="0"/>
                <w:bCs w:val="0"/>
              </w:rPr>
            </w:pPr>
            <w:r>
              <w:rPr>
                <w:rFonts w:ascii="Arial" w:hAnsi="Arial" w:cs="Arial"/>
              </w:rPr>
              <w:t>Thalis 56 EC</w:t>
            </w:r>
          </w:p>
        </w:tc>
        <w:tc>
          <w:tcPr>
            <w:tcW w:w="2835" w:type="dxa"/>
            <w:tcBorders>
              <w:top w:val="single" w:sz="4" w:space="0" w:color="7F7F7F" w:themeColor="text1" w:themeTint="80"/>
              <w:bottom w:val="single" w:sz="4" w:space="0" w:color="7F7F7F" w:themeColor="text1" w:themeTint="80"/>
            </w:tcBorders>
            <w:vAlign w:val="center"/>
          </w:tcPr>
          <w:p w14:paraId="6704439C" w14:textId="77777777" w:rsidR="00B05ED5" w:rsidRDefault="00460EE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Emamectine</w:t>
            </w:r>
            <w:proofErr w:type="spellEnd"/>
            <w:r>
              <w:rPr>
                <w:rFonts w:ascii="Arial" w:hAnsi="Arial" w:cs="Arial"/>
              </w:rPr>
              <w:t xml:space="preserve"> benzoate 24 g/l</w:t>
            </w:r>
          </w:p>
          <w:p w14:paraId="29A2AB37" w14:textId="77777777" w:rsidR="00B05ED5" w:rsidRDefault="00460EE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Acétamipride</w:t>
            </w:r>
            <w:proofErr w:type="spellEnd"/>
            <w:r>
              <w:rPr>
                <w:rFonts w:ascii="Arial" w:hAnsi="Arial" w:cs="Arial"/>
              </w:rPr>
              <w:t xml:space="preserve"> 32g/l</w:t>
            </w:r>
          </w:p>
        </w:tc>
        <w:tc>
          <w:tcPr>
            <w:tcW w:w="1843" w:type="dxa"/>
            <w:tcBorders>
              <w:top w:val="single" w:sz="4" w:space="0" w:color="7F7F7F" w:themeColor="text1" w:themeTint="80"/>
              <w:bottom w:val="single" w:sz="4" w:space="0" w:color="7F7F7F" w:themeColor="text1" w:themeTint="80"/>
            </w:tcBorders>
            <w:vAlign w:val="center"/>
          </w:tcPr>
          <w:p w14:paraId="608F13E7" w14:textId="77777777" w:rsidR="00B05ED5" w:rsidRDefault="00460EE6">
            <w:pPr>
              <w:tabs>
                <w:tab w:val="left" w:pos="1591"/>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50 %</w:t>
            </w:r>
          </w:p>
        </w:tc>
      </w:tr>
      <w:tr w:rsidR="00B05ED5" w14:paraId="40FA8B0E" w14:textId="77777777" w:rsidTr="00B05ED5">
        <w:trPr>
          <w:trHeight w:val="567"/>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2640E0B6" w14:textId="77777777" w:rsidR="00B05ED5" w:rsidRDefault="00460EE6">
            <w:pPr>
              <w:rPr>
                <w:rFonts w:ascii="Arial" w:hAnsi="Arial" w:cs="Arial"/>
                <w:b w:val="0"/>
                <w:bCs w:val="0"/>
              </w:rPr>
            </w:pPr>
            <w:r>
              <w:rPr>
                <w:rFonts w:ascii="Arial" w:hAnsi="Arial" w:cs="Arial"/>
              </w:rPr>
              <w:t>Emir Fort 104 EC</w:t>
            </w:r>
          </w:p>
        </w:tc>
        <w:tc>
          <w:tcPr>
            <w:tcW w:w="2835" w:type="dxa"/>
            <w:vAlign w:val="center"/>
          </w:tcPr>
          <w:p w14:paraId="21F95F4A" w14:textId="77777777" w:rsidR="00B05ED5" w:rsidRDefault="00460EE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Cypermethrine</w:t>
            </w:r>
            <w:proofErr w:type="spellEnd"/>
            <w:r>
              <w:rPr>
                <w:rFonts w:ascii="Arial" w:hAnsi="Arial" w:cs="Arial"/>
              </w:rPr>
              <w:t xml:space="preserve"> 72 g/l</w:t>
            </w:r>
          </w:p>
          <w:p w14:paraId="76C9640F" w14:textId="77777777" w:rsidR="00B05ED5" w:rsidRDefault="00460EE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Acetamipride</w:t>
            </w:r>
            <w:proofErr w:type="spellEnd"/>
            <w:r>
              <w:rPr>
                <w:rFonts w:ascii="Arial" w:hAnsi="Arial" w:cs="Arial"/>
              </w:rPr>
              <w:t xml:space="preserve"> 32 g/l</w:t>
            </w:r>
          </w:p>
        </w:tc>
        <w:tc>
          <w:tcPr>
            <w:tcW w:w="1843" w:type="dxa"/>
            <w:vAlign w:val="center"/>
          </w:tcPr>
          <w:p w14:paraId="27108CE9" w14:textId="77777777" w:rsidR="00B05ED5" w:rsidRDefault="00460EE6">
            <w:pPr>
              <w:tabs>
                <w:tab w:val="left" w:pos="1591"/>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54 %</w:t>
            </w:r>
          </w:p>
        </w:tc>
      </w:tr>
      <w:tr w:rsidR="00B05ED5" w14:paraId="4146D88F" w14:textId="77777777" w:rsidTr="00B05ED5">
        <w:trPr>
          <w:trHeight w:val="567"/>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7F7F7F" w:themeColor="text1" w:themeTint="80"/>
              <w:bottom w:val="single" w:sz="4" w:space="0" w:color="7F7F7F" w:themeColor="text1" w:themeTint="80"/>
            </w:tcBorders>
            <w:vAlign w:val="center"/>
          </w:tcPr>
          <w:p w14:paraId="66B56BB4" w14:textId="77777777" w:rsidR="00B05ED5" w:rsidRDefault="00460EE6">
            <w:pPr>
              <w:rPr>
                <w:rFonts w:ascii="Arial" w:hAnsi="Arial" w:cs="Arial"/>
                <w:b w:val="0"/>
                <w:bCs w:val="0"/>
              </w:rPr>
            </w:pPr>
            <w:proofErr w:type="spellStart"/>
            <w:r>
              <w:rPr>
                <w:rFonts w:ascii="Arial" w:hAnsi="Arial" w:cs="Arial"/>
              </w:rPr>
              <w:t>Vizir</w:t>
            </w:r>
            <w:proofErr w:type="spellEnd"/>
            <w:r>
              <w:rPr>
                <w:rFonts w:ascii="Arial" w:hAnsi="Arial" w:cs="Arial"/>
              </w:rPr>
              <w:t xml:space="preserve"> 92 EC</w:t>
            </w:r>
          </w:p>
        </w:tc>
        <w:tc>
          <w:tcPr>
            <w:tcW w:w="2835" w:type="dxa"/>
            <w:tcBorders>
              <w:top w:val="single" w:sz="4" w:space="0" w:color="7F7F7F" w:themeColor="text1" w:themeTint="80"/>
              <w:bottom w:val="single" w:sz="4" w:space="0" w:color="7F7F7F" w:themeColor="text1" w:themeTint="80"/>
            </w:tcBorders>
            <w:vAlign w:val="center"/>
          </w:tcPr>
          <w:p w14:paraId="58F1CD81" w14:textId="77777777" w:rsidR="00B05ED5" w:rsidRDefault="00460EE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Cypermethrine</w:t>
            </w:r>
            <w:proofErr w:type="spellEnd"/>
            <w:r>
              <w:rPr>
                <w:rFonts w:ascii="Arial" w:hAnsi="Arial" w:cs="Arial"/>
              </w:rPr>
              <w:t xml:space="preserve"> 72 g/l</w:t>
            </w:r>
          </w:p>
          <w:p w14:paraId="4F65A408" w14:textId="77777777" w:rsidR="00B05ED5" w:rsidRDefault="00460EE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Albamectine</w:t>
            </w:r>
            <w:proofErr w:type="spellEnd"/>
            <w:r>
              <w:rPr>
                <w:rFonts w:ascii="Arial" w:hAnsi="Arial" w:cs="Arial"/>
              </w:rPr>
              <w:t xml:space="preserve"> 20 g/l</w:t>
            </w:r>
          </w:p>
        </w:tc>
        <w:tc>
          <w:tcPr>
            <w:tcW w:w="1843" w:type="dxa"/>
            <w:tcBorders>
              <w:top w:val="single" w:sz="4" w:space="0" w:color="7F7F7F" w:themeColor="text1" w:themeTint="80"/>
              <w:bottom w:val="single" w:sz="4" w:space="0" w:color="7F7F7F" w:themeColor="text1" w:themeTint="80"/>
            </w:tcBorders>
            <w:vAlign w:val="center"/>
          </w:tcPr>
          <w:p w14:paraId="09529C67" w14:textId="77777777" w:rsidR="00B05ED5" w:rsidRDefault="00460EE6">
            <w:pPr>
              <w:tabs>
                <w:tab w:val="left" w:pos="1591"/>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56 %</w:t>
            </w:r>
          </w:p>
        </w:tc>
      </w:tr>
      <w:tr w:rsidR="00B05ED5" w14:paraId="068DE142" w14:textId="77777777" w:rsidTr="00B05ED5">
        <w:trPr>
          <w:trHeight w:val="388"/>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55EEC82E" w14:textId="77777777" w:rsidR="00B05ED5" w:rsidRDefault="00460EE6">
            <w:pPr>
              <w:rPr>
                <w:rFonts w:ascii="Arial" w:hAnsi="Arial" w:cs="Arial"/>
                <w:b w:val="0"/>
                <w:bCs w:val="0"/>
              </w:rPr>
            </w:pPr>
            <w:proofErr w:type="spellStart"/>
            <w:r>
              <w:rPr>
                <w:rFonts w:ascii="Arial" w:hAnsi="Arial" w:cs="Arial"/>
              </w:rPr>
              <w:t>Chemthrin</w:t>
            </w:r>
            <w:proofErr w:type="spellEnd"/>
            <w:r>
              <w:rPr>
                <w:rFonts w:ascii="Arial" w:hAnsi="Arial" w:cs="Arial"/>
              </w:rPr>
              <w:t xml:space="preserve"> 10 EC</w:t>
            </w:r>
          </w:p>
        </w:tc>
        <w:tc>
          <w:tcPr>
            <w:tcW w:w="2835" w:type="dxa"/>
            <w:vAlign w:val="center"/>
          </w:tcPr>
          <w:p w14:paraId="44826B92" w14:textId="77777777" w:rsidR="00B05ED5" w:rsidRDefault="00460EE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Cypermethrine</w:t>
            </w:r>
            <w:proofErr w:type="spellEnd"/>
            <w:r>
              <w:rPr>
                <w:rFonts w:ascii="Arial" w:hAnsi="Arial" w:cs="Arial"/>
              </w:rPr>
              <w:t xml:space="preserve"> 10 g/l</w:t>
            </w:r>
          </w:p>
        </w:tc>
        <w:tc>
          <w:tcPr>
            <w:tcW w:w="1843" w:type="dxa"/>
            <w:vAlign w:val="center"/>
          </w:tcPr>
          <w:p w14:paraId="5A65983A" w14:textId="77777777" w:rsidR="00B05ED5" w:rsidRDefault="00460EE6">
            <w:pPr>
              <w:tabs>
                <w:tab w:val="left" w:pos="1591"/>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14 %</w:t>
            </w:r>
          </w:p>
        </w:tc>
      </w:tr>
      <w:tr w:rsidR="00B05ED5" w14:paraId="36E25BD2" w14:textId="77777777" w:rsidTr="00B05ED5">
        <w:trPr>
          <w:trHeight w:val="567"/>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7F7F7F" w:themeColor="text1" w:themeTint="80"/>
              <w:bottom w:val="single" w:sz="4" w:space="0" w:color="7F7F7F" w:themeColor="text1" w:themeTint="80"/>
            </w:tcBorders>
            <w:vAlign w:val="center"/>
          </w:tcPr>
          <w:p w14:paraId="0C0761F1" w14:textId="77777777" w:rsidR="00B05ED5" w:rsidRDefault="00460EE6">
            <w:pPr>
              <w:rPr>
                <w:rFonts w:ascii="Arial" w:hAnsi="Arial" w:cs="Arial"/>
                <w:b w:val="0"/>
                <w:bCs w:val="0"/>
              </w:rPr>
            </w:pPr>
            <w:proofErr w:type="spellStart"/>
            <w:r>
              <w:rPr>
                <w:rFonts w:ascii="Arial" w:hAnsi="Arial" w:cs="Arial"/>
              </w:rPr>
              <w:t>Calthio</w:t>
            </w:r>
            <w:proofErr w:type="spellEnd"/>
            <w:r>
              <w:rPr>
                <w:rFonts w:ascii="Arial" w:hAnsi="Arial" w:cs="Arial"/>
              </w:rPr>
              <w:t xml:space="preserve"> C 50 WS</w:t>
            </w:r>
          </w:p>
        </w:tc>
        <w:tc>
          <w:tcPr>
            <w:tcW w:w="2835" w:type="dxa"/>
            <w:tcBorders>
              <w:top w:val="single" w:sz="4" w:space="0" w:color="7F7F7F" w:themeColor="text1" w:themeTint="80"/>
              <w:bottom w:val="single" w:sz="4" w:space="0" w:color="7F7F7F" w:themeColor="text1" w:themeTint="80"/>
            </w:tcBorders>
            <w:vAlign w:val="center"/>
          </w:tcPr>
          <w:p w14:paraId="12452089" w14:textId="77777777" w:rsidR="00B05ED5" w:rsidRDefault="00460EE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Chlorpyrifos-</w:t>
            </w:r>
            <w:proofErr w:type="spellStart"/>
            <w:r>
              <w:rPr>
                <w:rFonts w:ascii="Arial" w:hAnsi="Arial" w:cs="Arial"/>
              </w:rPr>
              <w:t>éthyl</w:t>
            </w:r>
            <w:proofErr w:type="spellEnd"/>
            <w:r>
              <w:rPr>
                <w:rFonts w:ascii="Arial" w:hAnsi="Arial" w:cs="Arial"/>
              </w:rPr>
              <w:t xml:space="preserve"> 25%</w:t>
            </w:r>
          </w:p>
          <w:p w14:paraId="00FDF447" w14:textId="77777777" w:rsidR="00B05ED5" w:rsidRDefault="00460EE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Thiram 25%</w:t>
            </w:r>
          </w:p>
        </w:tc>
        <w:tc>
          <w:tcPr>
            <w:tcW w:w="1843" w:type="dxa"/>
            <w:tcBorders>
              <w:top w:val="single" w:sz="4" w:space="0" w:color="7F7F7F" w:themeColor="text1" w:themeTint="80"/>
              <w:bottom w:val="single" w:sz="4" w:space="0" w:color="7F7F7F" w:themeColor="text1" w:themeTint="80"/>
            </w:tcBorders>
            <w:vAlign w:val="center"/>
          </w:tcPr>
          <w:p w14:paraId="2990E65E" w14:textId="77777777" w:rsidR="00B05ED5" w:rsidRDefault="00460EE6">
            <w:pPr>
              <w:tabs>
                <w:tab w:val="left" w:pos="1591"/>
              </w:tabs>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36 %</w:t>
            </w:r>
          </w:p>
        </w:tc>
      </w:tr>
    </w:tbl>
    <w:p w14:paraId="24E96B0F" w14:textId="77777777" w:rsidR="00B05ED5" w:rsidRDefault="00B05ED5">
      <w:pPr>
        <w:pStyle w:val="Body"/>
        <w:spacing w:after="0"/>
        <w:rPr>
          <w:rFonts w:ascii="Arial" w:hAnsi="Arial" w:cs="Arial"/>
          <w:szCs w:val="22"/>
        </w:rPr>
      </w:pPr>
    </w:p>
    <w:p w14:paraId="29BCDF7D" w14:textId="77777777" w:rsidR="00B05ED5" w:rsidRDefault="00460EE6">
      <w:pPr>
        <w:pStyle w:val="Body"/>
        <w:spacing w:after="0"/>
        <w:rPr>
          <w:rFonts w:ascii="Arial" w:hAnsi="Arial" w:cs="Arial"/>
        </w:rPr>
      </w:pPr>
      <w:r>
        <w:rPr>
          <w:rFonts w:ascii="Arial" w:hAnsi="Arial" w:cs="Arial"/>
        </w:rPr>
        <w:t>To spray their crops with phytosanitary products, market gardeners use sprayers, branches with plant leaves or sometimes bottles with twigs</w:t>
      </w:r>
      <w:r w:rsidR="001D3288">
        <w:rPr>
          <w:rFonts w:ascii="Arial" w:hAnsi="Arial" w:cs="Arial"/>
        </w:rPr>
        <w:t xml:space="preserve"> </w:t>
      </w:r>
      <w:r w:rsidR="001D3288" w:rsidRPr="001D3288">
        <w:rPr>
          <w:rFonts w:ascii="Arial" w:hAnsi="Arial" w:cs="Arial"/>
          <w:highlight w:val="yellow"/>
        </w:rPr>
        <w:t>(figure 2)</w:t>
      </w:r>
      <w:r>
        <w:rPr>
          <w:rFonts w:ascii="Arial" w:hAnsi="Arial" w:cs="Arial"/>
        </w:rPr>
        <w:t>.</w:t>
      </w:r>
    </w:p>
    <w:p w14:paraId="4DD68B5C" w14:textId="77777777" w:rsidR="00B05ED5" w:rsidRDefault="00B05ED5">
      <w:pPr>
        <w:pStyle w:val="Body"/>
        <w:spacing w:after="0"/>
        <w:rPr>
          <w:rFonts w:ascii="Arial" w:hAnsi="Arial" w:cs="Arial"/>
        </w:rPr>
      </w:pPr>
    </w:p>
    <w:p w14:paraId="3AAD372B" w14:textId="77777777" w:rsidR="00B05ED5" w:rsidRDefault="00460EE6">
      <w:pPr>
        <w:pStyle w:val="Body"/>
        <w:spacing w:after="0"/>
        <w:rPr>
          <w:rFonts w:ascii="Arial" w:hAnsi="Arial" w:cs="Arial"/>
        </w:rPr>
      </w:pPr>
      <w:r>
        <w:rPr>
          <w:rFonts w:ascii="Arial" w:hAnsi="Arial" w:cs="Arial"/>
          <w:noProof/>
          <w:lang w:val="fr-FR" w:eastAsia="fr-FR"/>
        </w:rPr>
        <w:drawing>
          <wp:anchor distT="0" distB="0" distL="114300" distR="114300" simplePos="0" relativeHeight="251660288" behindDoc="0" locked="0" layoutInCell="1" allowOverlap="1" wp14:anchorId="5D560F52" wp14:editId="4996B5F3">
            <wp:simplePos x="0" y="0"/>
            <wp:positionH relativeFrom="margin">
              <wp:posOffset>990600</wp:posOffset>
            </wp:positionH>
            <wp:positionV relativeFrom="paragraph">
              <wp:posOffset>2540</wp:posOffset>
            </wp:positionV>
            <wp:extent cx="1221740" cy="1628775"/>
            <wp:effectExtent l="0" t="0" r="0" b="0"/>
            <wp:wrapNone/>
            <wp:docPr id="9" name="Image 9" descr="C:\Users\Adoum\Desktop\NAZAL\THESE\Prof_Memti\Malato\photos\IMG-20250515-WA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C:\Users\Adoum\Desktop\NAZAL\THESE\Prof_Memti\Malato\photos\IMG-20250515-WA0019.jpg"/>
                    <pic:cNvPicPr>
                      <a:picLocks noChangeAspect="1" noChangeArrowheads="1"/>
                    </pic:cNvPicPr>
                  </pic:nvPicPr>
                  <pic:blipFill>
                    <a:blip r:embed="rId16" cstate="print">
                      <a:extLst>
                        <a:ext uri="{BEBA8EAE-BF5A-486C-A8C5-ECC9F3942E4B}">
                          <a14:imgProps xmlns:a14="http://schemas.microsoft.com/office/drawing/2010/main">
                            <a14:imgLayer r:embed="rId17">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a:xfrm>
                      <a:off x="0" y="0"/>
                      <a:ext cx="1221581" cy="1628775"/>
                    </a:xfrm>
                    <a:prstGeom prst="rect">
                      <a:avLst/>
                    </a:prstGeom>
                    <a:noFill/>
                    <a:ln>
                      <a:noFill/>
                    </a:ln>
                  </pic:spPr>
                </pic:pic>
              </a:graphicData>
            </a:graphic>
          </wp:anchor>
        </w:drawing>
      </w:r>
    </w:p>
    <w:p w14:paraId="222A31EF" w14:textId="77777777" w:rsidR="00B05ED5" w:rsidRDefault="00460EE6">
      <w:pPr>
        <w:pStyle w:val="Body"/>
        <w:spacing w:after="0"/>
        <w:rPr>
          <w:rFonts w:ascii="Arial" w:hAnsi="Arial" w:cs="Arial"/>
        </w:rPr>
      </w:pPr>
      <w:r>
        <w:rPr>
          <w:rFonts w:ascii="Arial" w:hAnsi="Arial" w:cs="Arial"/>
          <w:noProof/>
          <w:lang w:val="fr-FR" w:eastAsia="fr-FR"/>
        </w:rPr>
        <w:drawing>
          <wp:anchor distT="0" distB="0" distL="114300" distR="114300" simplePos="0" relativeHeight="251661312" behindDoc="0" locked="0" layoutInCell="1" allowOverlap="1" wp14:anchorId="35CEFA1A" wp14:editId="605D9494">
            <wp:simplePos x="0" y="0"/>
            <wp:positionH relativeFrom="margin">
              <wp:posOffset>2117090</wp:posOffset>
            </wp:positionH>
            <wp:positionV relativeFrom="paragraph">
              <wp:posOffset>104775</wp:posOffset>
            </wp:positionV>
            <wp:extent cx="1576705" cy="1182370"/>
            <wp:effectExtent l="6668" t="0" r="0" b="0"/>
            <wp:wrapNone/>
            <wp:docPr id="10" name="Image 10" descr="C:\Users\Adoum\Desktop\NAZAL\THESE\Prof_Memti\Malato\photos\IMG-20250515-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C:\Users\Adoum\Desktop\NAZAL\THESE\Prof_Memti\Malato\photos\IMG-20250515-WA0005.jpg"/>
                    <pic:cNvPicPr>
                      <a:picLocks noChangeAspect="1" noChangeArrowheads="1"/>
                    </pic:cNvPicPr>
                  </pic:nvPicPr>
                  <pic:blipFill>
                    <a:blip r:embed="rId18" cstate="print">
                      <a:extLst>
                        <a:ext uri="{BEBA8EAE-BF5A-486C-A8C5-ECC9F3942E4B}">
                          <a14:imgProps xmlns:a14="http://schemas.microsoft.com/office/drawing/2010/main">
                            <a14:imgLayer r:embed="rId19">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a:xfrm rot="5400000">
                      <a:off x="0" y="0"/>
                      <a:ext cx="1576705" cy="1182529"/>
                    </a:xfrm>
                    <a:prstGeom prst="rect">
                      <a:avLst/>
                    </a:prstGeom>
                    <a:noFill/>
                    <a:ln>
                      <a:noFill/>
                    </a:ln>
                  </pic:spPr>
                </pic:pic>
              </a:graphicData>
            </a:graphic>
          </wp:anchor>
        </w:drawing>
      </w:r>
    </w:p>
    <w:p w14:paraId="47CA51F9" w14:textId="77777777" w:rsidR="00B05ED5" w:rsidRDefault="00B05ED5">
      <w:pPr>
        <w:pStyle w:val="Body"/>
        <w:spacing w:after="0"/>
        <w:rPr>
          <w:rFonts w:ascii="Arial" w:hAnsi="Arial" w:cs="Arial"/>
        </w:rPr>
      </w:pPr>
    </w:p>
    <w:p w14:paraId="37B7A77B" w14:textId="77777777" w:rsidR="00B05ED5" w:rsidRDefault="00B05ED5">
      <w:pPr>
        <w:pStyle w:val="Body"/>
        <w:spacing w:after="0"/>
        <w:rPr>
          <w:rFonts w:ascii="Arial" w:hAnsi="Arial" w:cs="Arial"/>
        </w:rPr>
      </w:pPr>
    </w:p>
    <w:p w14:paraId="1BA0F459" w14:textId="77777777" w:rsidR="00B05ED5" w:rsidRDefault="00B05ED5">
      <w:pPr>
        <w:pStyle w:val="Body"/>
        <w:spacing w:after="0"/>
        <w:rPr>
          <w:rFonts w:ascii="Arial" w:hAnsi="Arial" w:cs="Arial"/>
        </w:rPr>
      </w:pPr>
    </w:p>
    <w:p w14:paraId="08CACBEF" w14:textId="77777777" w:rsidR="00B05ED5" w:rsidRDefault="00B05ED5">
      <w:pPr>
        <w:pStyle w:val="Body"/>
        <w:spacing w:after="0"/>
        <w:rPr>
          <w:rFonts w:ascii="Arial" w:hAnsi="Arial" w:cs="Arial"/>
        </w:rPr>
      </w:pPr>
    </w:p>
    <w:p w14:paraId="66FE3BE1" w14:textId="77777777" w:rsidR="00B05ED5" w:rsidRDefault="00B05ED5">
      <w:pPr>
        <w:pStyle w:val="Body"/>
        <w:spacing w:after="0"/>
        <w:rPr>
          <w:rFonts w:ascii="Arial" w:hAnsi="Arial" w:cs="Arial"/>
        </w:rPr>
      </w:pPr>
    </w:p>
    <w:p w14:paraId="424C1F73" w14:textId="77777777" w:rsidR="00B05ED5" w:rsidRDefault="00B05ED5">
      <w:pPr>
        <w:pStyle w:val="Body"/>
        <w:spacing w:after="0"/>
        <w:rPr>
          <w:rFonts w:ascii="Arial" w:hAnsi="Arial" w:cs="Arial"/>
        </w:rPr>
      </w:pPr>
    </w:p>
    <w:p w14:paraId="7D5F4A27" w14:textId="77777777" w:rsidR="00B05ED5" w:rsidRDefault="00B05ED5">
      <w:pPr>
        <w:pStyle w:val="Body"/>
        <w:spacing w:after="0"/>
        <w:rPr>
          <w:rFonts w:ascii="Arial" w:hAnsi="Arial" w:cs="Arial"/>
        </w:rPr>
      </w:pPr>
    </w:p>
    <w:p w14:paraId="4BACB008" w14:textId="77777777" w:rsidR="00B05ED5" w:rsidRDefault="00B05ED5">
      <w:pPr>
        <w:pStyle w:val="Body"/>
        <w:spacing w:after="0"/>
        <w:rPr>
          <w:rFonts w:ascii="Arial" w:hAnsi="Arial" w:cs="Arial"/>
        </w:rPr>
      </w:pPr>
    </w:p>
    <w:p w14:paraId="3AE9F21B" w14:textId="77777777" w:rsidR="00B05ED5" w:rsidRDefault="00B05ED5">
      <w:pPr>
        <w:pStyle w:val="Body"/>
        <w:spacing w:after="0"/>
        <w:rPr>
          <w:rFonts w:ascii="Arial" w:hAnsi="Arial" w:cs="Arial"/>
        </w:rPr>
      </w:pPr>
    </w:p>
    <w:p w14:paraId="3BF9CF6C" w14:textId="77777777" w:rsidR="00B05ED5" w:rsidRDefault="00B05ED5">
      <w:pPr>
        <w:pStyle w:val="Body"/>
        <w:spacing w:after="0"/>
        <w:rPr>
          <w:rFonts w:ascii="Arial" w:hAnsi="Arial" w:cs="Arial"/>
        </w:rPr>
      </w:pPr>
    </w:p>
    <w:p w14:paraId="7997455C" w14:textId="77777777" w:rsidR="00B05ED5" w:rsidRDefault="00460EE6">
      <w:pPr>
        <w:pStyle w:val="Body"/>
        <w:spacing w:after="0"/>
        <w:rPr>
          <w:rFonts w:ascii="Arial" w:hAnsi="Arial" w:cs="Arial"/>
        </w:rPr>
      </w:pPr>
      <w:r>
        <w:rPr>
          <w:rFonts w:ascii="Arial" w:hAnsi="Arial" w:cs="Arial"/>
          <w:b/>
          <w:bCs/>
          <w:szCs w:val="22"/>
        </w:rPr>
        <w:t>Fig. 2. Bottles used for phytosanitary treatment</w:t>
      </w:r>
    </w:p>
    <w:p w14:paraId="3B4CE68A" w14:textId="77777777" w:rsidR="00B05ED5" w:rsidRDefault="00B05ED5">
      <w:pPr>
        <w:pStyle w:val="Body"/>
        <w:spacing w:after="0"/>
        <w:rPr>
          <w:rFonts w:ascii="Arial" w:hAnsi="Arial" w:cs="Arial"/>
        </w:rPr>
      </w:pPr>
    </w:p>
    <w:p w14:paraId="10350963" w14:textId="77777777" w:rsidR="00B05ED5" w:rsidRDefault="00B05ED5">
      <w:pPr>
        <w:pStyle w:val="Body"/>
        <w:spacing w:after="0"/>
        <w:rPr>
          <w:rFonts w:ascii="Arial" w:hAnsi="Arial" w:cs="Arial"/>
        </w:rPr>
      </w:pPr>
    </w:p>
    <w:p w14:paraId="5DB5D8DB" w14:textId="77777777" w:rsidR="00B05ED5" w:rsidRDefault="00460EE6">
      <w:pPr>
        <w:pStyle w:val="Body"/>
        <w:spacing w:after="0"/>
        <w:rPr>
          <w:rFonts w:ascii="Arial" w:hAnsi="Arial" w:cs="Arial"/>
        </w:rPr>
      </w:pPr>
      <w:r>
        <w:rPr>
          <w:rFonts w:ascii="Arial" w:hAnsi="Arial" w:cs="Arial"/>
          <w:b/>
          <w:caps/>
          <w:sz w:val="22"/>
        </w:rPr>
        <w:t xml:space="preserve">3.4 </w:t>
      </w:r>
      <w:r>
        <w:rPr>
          <w:rFonts w:ascii="Arial" w:hAnsi="Arial" w:cs="Arial"/>
          <w:b/>
          <w:sz w:val="22"/>
        </w:rPr>
        <w:t>Protective measures during plant protection treatments</w:t>
      </w:r>
    </w:p>
    <w:p w14:paraId="244D24C0" w14:textId="77777777" w:rsidR="00B05ED5" w:rsidRDefault="00B05ED5">
      <w:pPr>
        <w:pStyle w:val="Body"/>
        <w:spacing w:after="0"/>
        <w:rPr>
          <w:rFonts w:ascii="Arial" w:hAnsi="Arial" w:cs="Arial"/>
        </w:rPr>
      </w:pPr>
    </w:p>
    <w:p w14:paraId="3E878F66" w14:textId="77777777" w:rsidR="00B05ED5" w:rsidRDefault="00460EE6">
      <w:pPr>
        <w:pStyle w:val="Body"/>
        <w:spacing w:after="0"/>
        <w:rPr>
          <w:rFonts w:ascii="Arial" w:hAnsi="Arial" w:cs="Arial"/>
          <w:szCs w:val="22"/>
        </w:rPr>
      </w:pPr>
      <w:r>
        <w:rPr>
          <w:rFonts w:ascii="Arial" w:hAnsi="Arial" w:cs="Arial"/>
          <w:szCs w:val="22"/>
        </w:rPr>
        <w:t>The field surveys showed that none of the market gardeners had complete protective equipment, such as overalls, gloves, boots, muffs and goggles. The long-sleeved shirt seems to be the protective equipment most adopted by market gardeners (28%), followed by boots, dust covers and gloves with 7%, 6% and 4% respectively. Goggles are used by only 2% of market gardeners surveyed (Figure 3). On the other hand, the majority of market gardeners surveyed (53%) do not use any means of protection, even though they are aware of the importance of wearing personal protective equipment. Only a third of market gardeners combine two or three items of protective equipment. According to growers, the reasons given for this type of non-recommended use are lack of means, inaccessibility and the high cost of protective equipment. In the Commune of Tori-</w:t>
      </w:r>
      <w:proofErr w:type="spellStart"/>
      <w:r>
        <w:rPr>
          <w:rFonts w:ascii="Arial" w:hAnsi="Arial" w:cs="Arial"/>
          <w:szCs w:val="22"/>
        </w:rPr>
        <w:t>Bossito</w:t>
      </w:r>
      <w:proofErr w:type="spellEnd"/>
      <w:r>
        <w:rPr>
          <w:rFonts w:ascii="Arial" w:hAnsi="Arial" w:cs="Arial"/>
          <w:szCs w:val="22"/>
        </w:rPr>
        <w:t>, Benin, 4% of growers use personal protective equipment (</w:t>
      </w:r>
      <w:proofErr w:type="spellStart"/>
      <w:r>
        <w:rPr>
          <w:rFonts w:ascii="Arial" w:hAnsi="Arial" w:cs="Arial"/>
          <w:szCs w:val="22"/>
        </w:rPr>
        <w:t>Fifatin</w:t>
      </w:r>
      <w:proofErr w:type="spellEnd"/>
      <w:r>
        <w:rPr>
          <w:rFonts w:ascii="Arial" w:hAnsi="Arial" w:cs="Arial"/>
          <w:szCs w:val="22"/>
        </w:rPr>
        <w:t xml:space="preserve"> et al., 2020). The study carried out by Jean-Luc (2022) on the analysis of market garden production in the commune of </w:t>
      </w:r>
      <w:proofErr w:type="spellStart"/>
      <w:r>
        <w:rPr>
          <w:rFonts w:ascii="Arial" w:hAnsi="Arial" w:cs="Arial"/>
          <w:szCs w:val="22"/>
        </w:rPr>
        <w:t>Kenscoff</w:t>
      </w:r>
      <w:proofErr w:type="spellEnd"/>
      <w:r>
        <w:rPr>
          <w:rFonts w:ascii="Arial" w:hAnsi="Arial" w:cs="Arial"/>
          <w:szCs w:val="22"/>
        </w:rPr>
        <w:t xml:space="preserve"> (Haiti) showed that market gardeners do not even protect themselves during applications. This situation is undoubtedly linked to a lack of technical support from the authorities concerned.</w:t>
      </w:r>
    </w:p>
    <w:p w14:paraId="719517FD" w14:textId="77777777" w:rsidR="00B05ED5" w:rsidRDefault="00B05ED5">
      <w:pPr>
        <w:pStyle w:val="Body"/>
        <w:spacing w:after="0"/>
        <w:rPr>
          <w:rFonts w:ascii="Arial" w:hAnsi="Arial" w:cs="Arial"/>
          <w:szCs w:val="22"/>
        </w:rPr>
      </w:pPr>
    </w:p>
    <w:p w14:paraId="7FC6403D" w14:textId="77777777" w:rsidR="00B05ED5" w:rsidRDefault="00460EE6">
      <w:pPr>
        <w:pStyle w:val="Body"/>
        <w:spacing w:after="0"/>
        <w:rPr>
          <w:rFonts w:ascii="Arial" w:hAnsi="Arial" w:cs="Arial"/>
          <w:szCs w:val="22"/>
        </w:rPr>
      </w:pPr>
      <w:r>
        <w:rPr>
          <w:noProof/>
          <w:lang w:val="fr-FR" w:eastAsia="fr-FR"/>
        </w:rPr>
        <w:drawing>
          <wp:inline distT="0" distB="0" distL="0" distR="0" wp14:anchorId="0119E981" wp14:editId="5A1FB761">
            <wp:extent cx="5286375" cy="2305050"/>
            <wp:effectExtent l="0" t="0" r="0" b="0"/>
            <wp:docPr id="13"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39B63C3" w14:textId="77777777" w:rsidR="00B05ED5" w:rsidRDefault="00B05ED5">
      <w:pPr>
        <w:pStyle w:val="Body"/>
        <w:spacing w:after="0"/>
        <w:rPr>
          <w:rFonts w:ascii="Arial" w:hAnsi="Arial" w:cs="Arial"/>
          <w:szCs w:val="22"/>
        </w:rPr>
      </w:pPr>
    </w:p>
    <w:p w14:paraId="2B4F1691" w14:textId="77777777" w:rsidR="00B05ED5" w:rsidRDefault="00460EE6">
      <w:pPr>
        <w:pStyle w:val="Body"/>
        <w:spacing w:after="0"/>
        <w:rPr>
          <w:rFonts w:ascii="Arial" w:hAnsi="Arial" w:cs="Arial"/>
          <w:b/>
          <w:bCs/>
          <w:szCs w:val="22"/>
        </w:rPr>
      </w:pPr>
      <w:r>
        <w:rPr>
          <w:rFonts w:ascii="Arial" w:hAnsi="Arial" w:cs="Arial"/>
          <w:b/>
          <w:bCs/>
          <w:szCs w:val="22"/>
        </w:rPr>
        <w:t>Fig. 3. Distribution of respondents by equipment used</w:t>
      </w:r>
    </w:p>
    <w:p w14:paraId="142193B7" w14:textId="77777777" w:rsidR="00B05ED5" w:rsidRDefault="00B05ED5">
      <w:pPr>
        <w:pStyle w:val="Body"/>
        <w:spacing w:after="0"/>
        <w:rPr>
          <w:rFonts w:ascii="Arial" w:hAnsi="Arial" w:cs="Arial"/>
          <w:b/>
          <w:bCs/>
          <w:szCs w:val="22"/>
        </w:rPr>
      </w:pPr>
    </w:p>
    <w:p w14:paraId="672CA18E" w14:textId="77777777" w:rsidR="00B05ED5" w:rsidRDefault="00B05ED5">
      <w:pPr>
        <w:pStyle w:val="Body"/>
        <w:spacing w:after="0"/>
        <w:rPr>
          <w:rFonts w:ascii="Arial" w:hAnsi="Arial" w:cs="Arial"/>
          <w:b/>
          <w:caps/>
          <w:sz w:val="22"/>
        </w:rPr>
      </w:pPr>
    </w:p>
    <w:p w14:paraId="363EA8C4" w14:textId="77777777" w:rsidR="00B05ED5" w:rsidRDefault="00460EE6">
      <w:pPr>
        <w:pStyle w:val="Body"/>
        <w:spacing w:after="0"/>
        <w:rPr>
          <w:rFonts w:ascii="Arial" w:hAnsi="Arial" w:cs="Arial"/>
        </w:rPr>
      </w:pPr>
      <w:r>
        <w:rPr>
          <w:rFonts w:ascii="Arial" w:hAnsi="Arial" w:cs="Arial"/>
          <w:b/>
          <w:caps/>
          <w:sz w:val="22"/>
        </w:rPr>
        <w:t xml:space="preserve">3.5 </w:t>
      </w:r>
      <w:r>
        <w:rPr>
          <w:rFonts w:ascii="Arial" w:hAnsi="Arial" w:cs="Arial"/>
          <w:b/>
          <w:sz w:val="22"/>
        </w:rPr>
        <w:t>Packaging management</w:t>
      </w:r>
    </w:p>
    <w:p w14:paraId="1CDD3B6D" w14:textId="77777777" w:rsidR="00B05ED5" w:rsidRDefault="00B05ED5">
      <w:pPr>
        <w:pStyle w:val="Body"/>
        <w:spacing w:after="0"/>
        <w:rPr>
          <w:rFonts w:ascii="Arial" w:hAnsi="Arial" w:cs="Arial"/>
        </w:rPr>
      </w:pPr>
    </w:p>
    <w:p w14:paraId="6E3D7E5D" w14:textId="5DC1C5A8" w:rsidR="00B05ED5" w:rsidRDefault="00460EE6">
      <w:pPr>
        <w:pStyle w:val="Body"/>
        <w:spacing w:after="0"/>
        <w:rPr>
          <w:rFonts w:ascii="Arial" w:hAnsi="Arial" w:cs="Arial"/>
          <w:szCs w:val="22"/>
        </w:rPr>
      </w:pPr>
      <w:r>
        <w:rPr>
          <w:rFonts w:ascii="Arial" w:hAnsi="Arial" w:cs="Arial"/>
          <w:szCs w:val="22"/>
        </w:rPr>
        <w:t>Pesticide packaging management standards are not respected. After using pesticides, the majority of market gardeners dispose of the packaging in the immediate environment (81%). Some growers kept pesticide packaging for reuse (</w:t>
      </w:r>
      <w:r w:rsidRPr="001D3288">
        <w:rPr>
          <w:rFonts w:ascii="Arial" w:hAnsi="Arial" w:cs="Arial"/>
          <w:szCs w:val="22"/>
          <w:highlight w:val="yellow"/>
        </w:rPr>
        <w:t>1</w:t>
      </w:r>
      <w:r w:rsidR="001D3288" w:rsidRPr="001D3288">
        <w:rPr>
          <w:rFonts w:ascii="Arial" w:hAnsi="Arial" w:cs="Arial"/>
          <w:szCs w:val="22"/>
          <w:highlight w:val="yellow"/>
        </w:rPr>
        <w:t>1</w:t>
      </w:r>
      <w:r>
        <w:rPr>
          <w:rFonts w:ascii="Arial" w:hAnsi="Arial" w:cs="Arial"/>
          <w:szCs w:val="22"/>
        </w:rPr>
        <w:t>%). This form of recycling of pesticide packaging is due to the fact that market gardeners are not very well informed about the ecological risks incurred by this poor management of packaging. A small proportion of market gardeners bury their packaging in the ground (5%) or burn it (3%). This situation causes enormous environmental risks, notably contamination of water, soil and the atmosphere.</w:t>
      </w:r>
    </w:p>
    <w:p w14:paraId="4825B7B6" w14:textId="77777777" w:rsidR="00B05ED5" w:rsidRDefault="00B05ED5">
      <w:pPr>
        <w:pStyle w:val="Body"/>
        <w:spacing w:after="0"/>
        <w:rPr>
          <w:rFonts w:ascii="Arial" w:hAnsi="Arial" w:cs="Arial"/>
          <w:szCs w:val="22"/>
        </w:rPr>
      </w:pPr>
    </w:p>
    <w:p w14:paraId="6A0599C1" w14:textId="77777777" w:rsidR="00B05ED5" w:rsidRDefault="00460EE6">
      <w:pPr>
        <w:pStyle w:val="Body"/>
        <w:spacing w:after="0"/>
        <w:rPr>
          <w:rFonts w:ascii="Arial" w:hAnsi="Arial" w:cs="Arial"/>
          <w:szCs w:val="22"/>
        </w:rPr>
      </w:pPr>
      <w:r>
        <w:rPr>
          <w:rFonts w:ascii="Arial" w:hAnsi="Arial" w:cs="Arial"/>
          <w:noProof/>
          <w:szCs w:val="22"/>
          <w:lang w:val="fr-FR" w:eastAsia="fr-FR"/>
        </w:rPr>
        <w:lastRenderedPageBreak/>
        <w:drawing>
          <wp:inline distT="0" distB="0" distL="0" distR="0" wp14:anchorId="0DCAE2F4" wp14:editId="3B7159FF">
            <wp:extent cx="5212080" cy="24701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212080" cy="2470318"/>
                    </a:xfrm>
                    <a:prstGeom prst="rect">
                      <a:avLst/>
                    </a:prstGeom>
                    <a:noFill/>
                  </pic:spPr>
                </pic:pic>
              </a:graphicData>
            </a:graphic>
          </wp:inline>
        </w:drawing>
      </w:r>
    </w:p>
    <w:p w14:paraId="73E87CBE" w14:textId="77777777" w:rsidR="00B05ED5" w:rsidRDefault="00B05ED5">
      <w:pPr>
        <w:pStyle w:val="Body"/>
        <w:spacing w:after="0"/>
        <w:rPr>
          <w:rFonts w:ascii="Arial" w:hAnsi="Arial" w:cs="Arial"/>
          <w:szCs w:val="22"/>
        </w:rPr>
      </w:pPr>
    </w:p>
    <w:p w14:paraId="390679FD" w14:textId="77777777" w:rsidR="00B05ED5" w:rsidRDefault="00460EE6">
      <w:pPr>
        <w:pStyle w:val="Body"/>
        <w:spacing w:after="0"/>
        <w:rPr>
          <w:rFonts w:ascii="Arial" w:hAnsi="Arial" w:cs="Arial"/>
          <w:szCs w:val="22"/>
        </w:rPr>
      </w:pPr>
      <w:r>
        <w:rPr>
          <w:rFonts w:ascii="Arial" w:hAnsi="Arial" w:cs="Arial"/>
          <w:b/>
          <w:bCs/>
          <w:szCs w:val="22"/>
        </w:rPr>
        <w:t>Fig. 4. Packaging management by market gardeners</w:t>
      </w:r>
    </w:p>
    <w:p w14:paraId="4882A737" w14:textId="77777777" w:rsidR="00B05ED5" w:rsidRDefault="00B05ED5">
      <w:pPr>
        <w:pStyle w:val="Body"/>
        <w:spacing w:after="0"/>
        <w:rPr>
          <w:rFonts w:ascii="Arial" w:hAnsi="Arial" w:cs="Arial"/>
          <w:szCs w:val="22"/>
        </w:rPr>
      </w:pPr>
    </w:p>
    <w:p w14:paraId="5755CDAF" w14:textId="77777777" w:rsidR="00B05ED5" w:rsidRDefault="00B05ED5">
      <w:pPr>
        <w:pStyle w:val="Body"/>
        <w:spacing w:after="0"/>
        <w:rPr>
          <w:rFonts w:ascii="Arial" w:hAnsi="Arial" w:cs="Arial"/>
          <w:szCs w:val="22"/>
        </w:rPr>
      </w:pPr>
    </w:p>
    <w:p w14:paraId="11C09136" w14:textId="77777777" w:rsidR="00B05ED5" w:rsidRDefault="00460EE6">
      <w:pPr>
        <w:pStyle w:val="Body"/>
        <w:spacing w:after="0"/>
        <w:rPr>
          <w:rFonts w:ascii="Arial" w:hAnsi="Arial" w:cs="Arial"/>
        </w:rPr>
      </w:pPr>
      <w:r>
        <w:rPr>
          <w:rFonts w:ascii="Arial" w:hAnsi="Arial" w:cs="Arial"/>
          <w:b/>
          <w:caps/>
          <w:sz w:val="22"/>
        </w:rPr>
        <w:t xml:space="preserve">3.6 </w:t>
      </w:r>
      <w:r>
        <w:rPr>
          <w:rFonts w:ascii="Arial" w:hAnsi="Arial" w:cs="Arial"/>
          <w:b/>
          <w:sz w:val="22"/>
        </w:rPr>
        <w:t>Phytosanitary treatment times</w:t>
      </w:r>
    </w:p>
    <w:p w14:paraId="238F87E8" w14:textId="77777777" w:rsidR="00B05ED5" w:rsidRDefault="00B05ED5">
      <w:pPr>
        <w:pStyle w:val="Body"/>
        <w:spacing w:after="0"/>
        <w:rPr>
          <w:rFonts w:ascii="Arial" w:hAnsi="Arial" w:cs="Arial"/>
        </w:rPr>
      </w:pPr>
    </w:p>
    <w:p w14:paraId="545D871A" w14:textId="77777777" w:rsidR="00B05ED5" w:rsidRDefault="00460EE6">
      <w:pPr>
        <w:pStyle w:val="Body"/>
        <w:spacing w:after="0"/>
        <w:rPr>
          <w:rFonts w:ascii="Arial" w:hAnsi="Arial" w:cs="Arial"/>
          <w:szCs w:val="22"/>
        </w:rPr>
      </w:pPr>
      <w:r>
        <w:rPr>
          <w:rFonts w:ascii="Arial" w:hAnsi="Arial" w:cs="Arial"/>
          <w:szCs w:val="22"/>
        </w:rPr>
        <w:t>The timing of pesticide application by market gardeners varied widely across the sites surveyed. Not all market gardeners have precise times for spraying their crops, although the majority prefer to spray in the morning. Figure 5 shows that 61% of market gardeners prefer to apply pesticides in the morning, while 27% wait until evening to treat their crops. Although 3% of market gardeners prefer to apply pesticides at midday, 9% treat their crops at any time of the day, depending on their availability.</w:t>
      </w:r>
    </w:p>
    <w:p w14:paraId="2314D6A6" w14:textId="77777777" w:rsidR="00B05ED5" w:rsidRDefault="00B05ED5">
      <w:pPr>
        <w:pStyle w:val="Body"/>
        <w:spacing w:after="0"/>
        <w:rPr>
          <w:rFonts w:ascii="Arial" w:hAnsi="Arial" w:cs="Arial"/>
          <w:szCs w:val="22"/>
        </w:rPr>
      </w:pPr>
    </w:p>
    <w:p w14:paraId="717B6EDA" w14:textId="77777777" w:rsidR="00B05ED5" w:rsidRDefault="00460EE6">
      <w:pPr>
        <w:pStyle w:val="Body"/>
        <w:spacing w:after="0"/>
        <w:rPr>
          <w:rFonts w:ascii="Arial" w:hAnsi="Arial" w:cs="Arial"/>
          <w:szCs w:val="22"/>
        </w:rPr>
      </w:pPr>
      <w:r>
        <w:rPr>
          <w:rFonts w:ascii="Arial" w:hAnsi="Arial" w:cs="Arial"/>
          <w:noProof/>
          <w:szCs w:val="22"/>
          <w:lang w:val="fr-FR" w:eastAsia="fr-FR"/>
        </w:rPr>
        <w:drawing>
          <wp:inline distT="0" distB="0" distL="0" distR="0" wp14:anchorId="06965DB0" wp14:editId="5194D871">
            <wp:extent cx="4726305" cy="199072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4736854" cy="1995168"/>
                    </a:xfrm>
                    <a:prstGeom prst="rect">
                      <a:avLst/>
                    </a:prstGeom>
                    <a:noFill/>
                  </pic:spPr>
                </pic:pic>
              </a:graphicData>
            </a:graphic>
          </wp:inline>
        </w:drawing>
      </w:r>
    </w:p>
    <w:p w14:paraId="27588527" w14:textId="77777777" w:rsidR="00B05ED5" w:rsidRDefault="00B05ED5">
      <w:pPr>
        <w:pStyle w:val="Body"/>
        <w:spacing w:after="0"/>
        <w:rPr>
          <w:rFonts w:ascii="Arial" w:hAnsi="Arial" w:cs="Arial"/>
          <w:szCs w:val="22"/>
        </w:rPr>
      </w:pPr>
    </w:p>
    <w:p w14:paraId="09F8E8A3" w14:textId="77777777" w:rsidR="00B05ED5" w:rsidRDefault="00B05ED5">
      <w:pPr>
        <w:pStyle w:val="Body"/>
        <w:spacing w:after="0"/>
        <w:rPr>
          <w:rFonts w:ascii="Arial" w:hAnsi="Arial" w:cs="Arial"/>
          <w:szCs w:val="22"/>
        </w:rPr>
      </w:pPr>
    </w:p>
    <w:p w14:paraId="2D0162EC" w14:textId="77777777" w:rsidR="00B05ED5" w:rsidRDefault="00460EE6">
      <w:pPr>
        <w:pStyle w:val="Body"/>
        <w:spacing w:after="0"/>
        <w:rPr>
          <w:rFonts w:ascii="Arial" w:hAnsi="Arial" w:cs="Arial"/>
          <w:szCs w:val="22"/>
        </w:rPr>
      </w:pPr>
      <w:r>
        <w:rPr>
          <w:rFonts w:ascii="Arial" w:hAnsi="Arial" w:cs="Arial"/>
          <w:b/>
          <w:bCs/>
          <w:szCs w:val="22"/>
        </w:rPr>
        <w:t>Fig. 5. Distribution of market gardeners according to time of day of treatment</w:t>
      </w:r>
    </w:p>
    <w:p w14:paraId="293CC9EF" w14:textId="77777777" w:rsidR="00B05ED5" w:rsidRDefault="00B05ED5">
      <w:pPr>
        <w:pStyle w:val="Body"/>
        <w:spacing w:after="0"/>
        <w:rPr>
          <w:rFonts w:ascii="Arial" w:hAnsi="Arial" w:cs="Arial"/>
          <w:szCs w:val="22"/>
        </w:rPr>
      </w:pPr>
    </w:p>
    <w:p w14:paraId="1C1B9345" w14:textId="77777777" w:rsidR="00B05ED5" w:rsidRDefault="00460EE6">
      <w:pPr>
        <w:pStyle w:val="Body"/>
        <w:spacing w:after="0"/>
        <w:rPr>
          <w:rFonts w:ascii="Arial" w:hAnsi="Arial" w:cs="Arial"/>
        </w:rPr>
      </w:pPr>
      <w:r>
        <w:rPr>
          <w:rFonts w:ascii="Arial" w:hAnsi="Arial" w:cs="Arial"/>
          <w:b/>
          <w:caps/>
          <w:sz w:val="22"/>
        </w:rPr>
        <w:t xml:space="preserve">3.7 </w:t>
      </w:r>
      <w:r>
        <w:rPr>
          <w:rFonts w:ascii="Arial" w:hAnsi="Arial" w:cs="Arial"/>
          <w:b/>
          <w:sz w:val="22"/>
        </w:rPr>
        <w:t>Delay before harvest</w:t>
      </w:r>
    </w:p>
    <w:p w14:paraId="68ED6F71" w14:textId="77777777" w:rsidR="00B05ED5" w:rsidRDefault="00B05ED5">
      <w:pPr>
        <w:pStyle w:val="Body"/>
        <w:spacing w:after="0"/>
        <w:rPr>
          <w:rFonts w:ascii="Arial" w:hAnsi="Arial" w:cs="Arial"/>
        </w:rPr>
      </w:pPr>
    </w:p>
    <w:p w14:paraId="77D936C9" w14:textId="77777777" w:rsidR="00B05ED5" w:rsidRDefault="00460EE6">
      <w:pPr>
        <w:pStyle w:val="Body"/>
        <w:spacing w:after="0"/>
        <w:rPr>
          <w:rFonts w:ascii="Arial" w:hAnsi="Arial" w:cs="Arial"/>
          <w:szCs w:val="22"/>
        </w:rPr>
      </w:pPr>
      <w:r>
        <w:rPr>
          <w:rFonts w:ascii="Arial" w:hAnsi="Arial" w:cs="Arial"/>
          <w:szCs w:val="22"/>
        </w:rPr>
        <w:t xml:space="preserve">The majority of market gardeners surveyed know that it is essential to respect the time between the last application of pesticides and harvesting. Despite this, the pre-harvest safety period is not respected by these market gardeners, who set the pre-harvest period at their own discretion. Indeed, the majority of market gardeners surveyed observe a pre-harvest </w:t>
      </w:r>
      <w:r>
        <w:rPr>
          <w:rFonts w:ascii="Arial" w:hAnsi="Arial" w:cs="Arial"/>
          <w:szCs w:val="22"/>
        </w:rPr>
        <w:lastRenderedPageBreak/>
        <w:t>interval of less than two weeks. More than a quarter (29%) apply a pre-harvest interval of less than a week. Only 7% of market gardeners observe a normal delay of more than 21 days. Treatment is carried out whenever insects appear on the plant.</w:t>
      </w:r>
    </w:p>
    <w:p w14:paraId="6317BD12" w14:textId="77777777" w:rsidR="00B05ED5" w:rsidRDefault="00B05ED5">
      <w:pPr>
        <w:pStyle w:val="Body"/>
        <w:spacing w:after="0"/>
        <w:rPr>
          <w:rFonts w:ascii="Arial" w:hAnsi="Arial" w:cs="Arial"/>
          <w:szCs w:val="22"/>
        </w:rPr>
      </w:pPr>
    </w:p>
    <w:p w14:paraId="20BD45B7" w14:textId="77777777" w:rsidR="00B05ED5" w:rsidRDefault="00460EE6">
      <w:pPr>
        <w:pStyle w:val="Body"/>
        <w:spacing w:after="0"/>
        <w:rPr>
          <w:rFonts w:ascii="Arial" w:hAnsi="Arial" w:cs="Arial"/>
          <w:szCs w:val="22"/>
        </w:rPr>
      </w:pPr>
      <w:r>
        <w:rPr>
          <w:rFonts w:ascii="Arial" w:hAnsi="Arial" w:cs="Arial"/>
          <w:noProof/>
          <w:szCs w:val="22"/>
          <w:lang w:val="fr-FR" w:eastAsia="fr-FR"/>
        </w:rPr>
        <w:drawing>
          <wp:inline distT="0" distB="0" distL="0" distR="0" wp14:anchorId="56404708" wp14:editId="7AF1F1E4">
            <wp:extent cx="5305425" cy="198755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305425" cy="1987550"/>
                    </a:xfrm>
                    <a:prstGeom prst="rect">
                      <a:avLst/>
                    </a:prstGeom>
                    <a:noFill/>
                  </pic:spPr>
                </pic:pic>
              </a:graphicData>
            </a:graphic>
          </wp:inline>
        </w:drawing>
      </w:r>
    </w:p>
    <w:p w14:paraId="18283FB8" w14:textId="77777777" w:rsidR="00B05ED5" w:rsidRDefault="00B05ED5">
      <w:pPr>
        <w:pStyle w:val="Body"/>
        <w:spacing w:after="0"/>
        <w:rPr>
          <w:rFonts w:ascii="Arial" w:hAnsi="Arial" w:cs="Arial"/>
          <w:szCs w:val="22"/>
        </w:rPr>
      </w:pPr>
    </w:p>
    <w:p w14:paraId="5B213F32" w14:textId="77777777" w:rsidR="00B05ED5" w:rsidRDefault="00B05ED5">
      <w:pPr>
        <w:pStyle w:val="Body"/>
        <w:spacing w:after="0"/>
        <w:rPr>
          <w:rFonts w:ascii="Arial" w:hAnsi="Arial" w:cs="Arial"/>
          <w:szCs w:val="22"/>
        </w:rPr>
      </w:pPr>
    </w:p>
    <w:p w14:paraId="25825AB3" w14:textId="77777777" w:rsidR="00B05ED5" w:rsidRDefault="00460EE6">
      <w:pPr>
        <w:pStyle w:val="Body"/>
        <w:spacing w:after="0"/>
        <w:rPr>
          <w:rFonts w:ascii="Arial" w:hAnsi="Arial" w:cs="Arial"/>
          <w:b/>
          <w:bCs/>
          <w:szCs w:val="22"/>
        </w:rPr>
      </w:pPr>
      <w:r>
        <w:rPr>
          <w:rFonts w:ascii="Arial" w:hAnsi="Arial" w:cs="Arial"/>
          <w:b/>
          <w:bCs/>
          <w:szCs w:val="22"/>
        </w:rPr>
        <w:t xml:space="preserve">Fig. 6. Delay before harvest </w:t>
      </w:r>
    </w:p>
    <w:p w14:paraId="14DE5055" w14:textId="77777777" w:rsidR="00B05ED5" w:rsidRDefault="00B05ED5">
      <w:pPr>
        <w:pStyle w:val="Body"/>
        <w:spacing w:after="0"/>
        <w:rPr>
          <w:rFonts w:ascii="Arial" w:hAnsi="Arial" w:cs="Arial"/>
          <w:szCs w:val="22"/>
        </w:rPr>
      </w:pPr>
    </w:p>
    <w:p w14:paraId="2FBC9569" w14:textId="77777777" w:rsidR="00B05ED5" w:rsidRDefault="00460EE6">
      <w:pPr>
        <w:pStyle w:val="Body"/>
        <w:spacing w:after="0"/>
        <w:rPr>
          <w:rFonts w:ascii="Arial" w:hAnsi="Arial" w:cs="Arial"/>
        </w:rPr>
      </w:pPr>
      <w:r>
        <w:rPr>
          <w:rFonts w:ascii="Arial" w:hAnsi="Arial" w:cs="Arial"/>
          <w:b/>
          <w:caps/>
          <w:sz w:val="22"/>
        </w:rPr>
        <w:t xml:space="preserve">3.8 </w:t>
      </w:r>
      <w:r>
        <w:rPr>
          <w:rFonts w:ascii="Arial" w:hAnsi="Arial" w:cs="Arial"/>
          <w:b/>
          <w:sz w:val="22"/>
        </w:rPr>
        <w:t>Strategies in case of inefficiency</w:t>
      </w:r>
    </w:p>
    <w:p w14:paraId="70BCB063" w14:textId="77777777" w:rsidR="00B05ED5" w:rsidRDefault="00B05ED5">
      <w:pPr>
        <w:pStyle w:val="Body"/>
        <w:spacing w:after="0"/>
        <w:rPr>
          <w:rFonts w:ascii="Arial" w:hAnsi="Arial" w:cs="Arial"/>
        </w:rPr>
      </w:pPr>
    </w:p>
    <w:p w14:paraId="11C7BE9A" w14:textId="77777777" w:rsidR="00B05ED5" w:rsidRDefault="00460EE6">
      <w:pPr>
        <w:pStyle w:val="Body"/>
        <w:spacing w:after="0"/>
        <w:rPr>
          <w:rFonts w:ascii="Arial" w:hAnsi="Arial" w:cs="Arial"/>
          <w:szCs w:val="22"/>
        </w:rPr>
      </w:pPr>
      <w:r>
        <w:rPr>
          <w:rFonts w:ascii="Arial" w:hAnsi="Arial" w:cs="Arial"/>
          <w:szCs w:val="22"/>
        </w:rPr>
        <w:t>The strategy adopted by most market gardeners when pesticides are ineffective is to overdose (85%). This is not without consequences for human and environmental health. If the recommended dose is exceeded, the active ingredients are dispersed into the environment and harm the latter. This strategy was observed among market gardeners in the Commune of Tori-</w:t>
      </w:r>
      <w:proofErr w:type="spellStart"/>
      <w:r>
        <w:rPr>
          <w:rFonts w:ascii="Arial" w:hAnsi="Arial" w:cs="Arial"/>
          <w:szCs w:val="22"/>
        </w:rPr>
        <w:t>Bossito</w:t>
      </w:r>
      <w:proofErr w:type="spellEnd"/>
      <w:r>
        <w:rPr>
          <w:rFonts w:ascii="Arial" w:hAnsi="Arial" w:cs="Arial"/>
          <w:szCs w:val="22"/>
        </w:rPr>
        <w:t xml:space="preserve">, Benin, by </w:t>
      </w:r>
      <w:proofErr w:type="spellStart"/>
      <w:r>
        <w:rPr>
          <w:rFonts w:ascii="Arial" w:hAnsi="Arial" w:cs="Arial"/>
          <w:szCs w:val="22"/>
        </w:rPr>
        <w:t>Fifatin</w:t>
      </w:r>
      <w:proofErr w:type="spellEnd"/>
      <w:r>
        <w:rPr>
          <w:rFonts w:ascii="Arial" w:hAnsi="Arial" w:cs="Arial"/>
          <w:szCs w:val="22"/>
        </w:rPr>
        <w:t xml:space="preserve"> et al (2020). Few market gardeners change products if they are ineffective. Some growers change products (11%), while 4% of market gardeners surveyed indicated that they use a combination with a second product in the event of ineffectiveness of the first product used.</w:t>
      </w:r>
    </w:p>
    <w:p w14:paraId="36E7DE81" w14:textId="77777777" w:rsidR="00B05ED5" w:rsidRDefault="00B05ED5">
      <w:pPr>
        <w:pStyle w:val="Body"/>
        <w:spacing w:after="0"/>
        <w:rPr>
          <w:rFonts w:ascii="Arial" w:hAnsi="Arial" w:cs="Arial"/>
          <w:szCs w:val="22"/>
        </w:rPr>
      </w:pPr>
    </w:p>
    <w:p w14:paraId="784FDC6B" w14:textId="77777777" w:rsidR="00B05ED5" w:rsidRDefault="00B05ED5">
      <w:pPr>
        <w:pStyle w:val="Body"/>
        <w:spacing w:after="0"/>
        <w:rPr>
          <w:rFonts w:ascii="Arial" w:hAnsi="Arial" w:cs="Arial"/>
          <w:szCs w:val="22"/>
        </w:rPr>
      </w:pPr>
    </w:p>
    <w:p w14:paraId="2AC7E1BE" w14:textId="77777777" w:rsidR="00B05ED5" w:rsidRDefault="00460EE6">
      <w:pPr>
        <w:pStyle w:val="Body"/>
        <w:spacing w:after="0"/>
        <w:rPr>
          <w:rFonts w:ascii="Arial" w:hAnsi="Arial" w:cs="Arial"/>
          <w:szCs w:val="22"/>
        </w:rPr>
      </w:pPr>
      <w:r>
        <w:rPr>
          <w:noProof/>
          <w:lang w:val="fr-FR" w:eastAsia="fr-FR"/>
        </w:rPr>
        <w:drawing>
          <wp:inline distT="0" distB="0" distL="0" distR="0" wp14:anchorId="2ED9BEED" wp14:editId="727E50C1">
            <wp:extent cx="5048250" cy="1733550"/>
            <wp:effectExtent l="0" t="0" r="0" b="0"/>
            <wp:docPr id="1393943028" name="Graphique 1">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12C0D04" w14:textId="77777777" w:rsidR="00B05ED5" w:rsidRDefault="00B05ED5">
      <w:pPr>
        <w:pStyle w:val="Body"/>
        <w:spacing w:after="0"/>
        <w:rPr>
          <w:rFonts w:ascii="Arial" w:hAnsi="Arial" w:cs="Arial"/>
          <w:b/>
          <w:caps/>
          <w:sz w:val="22"/>
        </w:rPr>
      </w:pPr>
    </w:p>
    <w:p w14:paraId="21FC27E0" w14:textId="77777777" w:rsidR="00B05ED5" w:rsidRDefault="00460EE6">
      <w:pPr>
        <w:pStyle w:val="Body"/>
        <w:spacing w:after="0"/>
        <w:rPr>
          <w:rFonts w:ascii="Arial" w:hAnsi="Arial" w:cs="Arial"/>
          <w:b/>
          <w:bCs/>
          <w:szCs w:val="22"/>
        </w:rPr>
      </w:pPr>
      <w:r>
        <w:rPr>
          <w:rFonts w:ascii="Arial" w:hAnsi="Arial" w:cs="Arial"/>
          <w:b/>
          <w:bCs/>
          <w:szCs w:val="22"/>
        </w:rPr>
        <w:t xml:space="preserve">Fig. 7. Strategy in case of treatment failure  </w:t>
      </w:r>
    </w:p>
    <w:p w14:paraId="6192728C" w14:textId="77777777" w:rsidR="00B05ED5" w:rsidRDefault="00B05ED5">
      <w:pPr>
        <w:pStyle w:val="Body"/>
        <w:spacing w:after="0"/>
        <w:rPr>
          <w:rFonts w:ascii="Arial" w:hAnsi="Arial" w:cs="Arial"/>
          <w:b/>
          <w:caps/>
          <w:sz w:val="22"/>
        </w:rPr>
      </w:pPr>
    </w:p>
    <w:p w14:paraId="4A414B36" w14:textId="77777777" w:rsidR="00B05ED5" w:rsidRDefault="00460EE6">
      <w:pPr>
        <w:pStyle w:val="Body"/>
        <w:spacing w:after="0"/>
        <w:rPr>
          <w:rFonts w:ascii="Arial" w:hAnsi="Arial" w:cs="Arial"/>
        </w:rPr>
      </w:pPr>
      <w:r>
        <w:rPr>
          <w:rFonts w:ascii="Arial" w:hAnsi="Arial" w:cs="Arial"/>
          <w:b/>
          <w:caps/>
          <w:sz w:val="22"/>
        </w:rPr>
        <w:t xml:space="preserve">3.9 </w:t>
      </w:r>
      <w:r>
        <w:rPr>
          <w:rFonts w:ascii="Arial" w:hAnsi="Arial" w:cs="Arial"/>
          <w:b/>
          <w:sz w:val="22"/>
        </w:rPr>
        <w:t xml:space="preserve">Market gardeners' attitudes to plant protection products </w:t>
      </w:r>
    </w:p>
    <w:p w14:paraId="45EF351A" w14:textId="77777777" w:rsidR="00B05ED5" w:rsidRDefault="00B05ED5">
      <w:pPr>
        <w:pStyle w:val="Body"/>
        <w:spacing w:after="0"/>
        <w:rPr>
          <w:rFonts w:ascii="Arial" w:hAnsi="Arial" w:cs="Arial"/>
        </w:rPr>
      </w:pPr>
    </w:p>
    <w:p w14:paraId="04D50229" w14:textId="77777777" w:rsidR="00B05ED5" w:rsidRDefault="00460EE6">
      <w:pPr>
        <w:pStyle w:val="Body"/>
        <w:spacing w:after="0"/>
        <w:rPr>
          <w:rFonts w:ascii="Arial" w:hAnsi="Arial" w:cs="Arial"/>
          <w:szCs w:val="22"/>
        </w:rPr>
      </w:pPr>
      <w:r>
        <w:rPr>
          <w:rFonts w:ascii="Arial" w:hAnsi="Arial" w:cs="Arial"/>
          <w:szCs w:val="22"/>
        </w:rPr>
        <w:t xml:space="preserve">The majority of market gardeners surveyed stated that they had actually perceived the risks to human health from handling plant protection products. Headaches, respiratory problems, </w:t>
      </w:r>
      <w:r>
        <w:rPr>
          <w:rFonts w:ascii="Arial" w:hAnsi="Arial" w:cs="Arial"/>
          <w:szCs w:val="22"/>
        </w:rPr>
        <w:lastRenderedPageBreak/>
        <w:t xml:space="preserve">coughing, skin burns, dizziness, etc. are all symptoms of intoxication due to the use of these pesticides reported by market garden producers in </w:t>
      </w:r>
      <w:proofErr w:type="spellStart"/>
      <w:r>
        <w:rPr>
          <w:rFonts w:ascii="Arial" w:hAnsi="Arial" w:cs="Arial"/>
          <w:szCs w:val="22"/>
        </w:rPr>
        <w:t>Sarh</w:t>
      </w:r>
      <w:proofErr w:type="spellEnd"/>
      <w:r>
        <w:rPr>
          <w:rFonts w:ascii="Arial" w:hAnsi="Arial" w:cs="Arial"/>
          <w:szCs w:val="22"/>
        </w:rPr>
        <w:t xml:space="preserve"> and which have been reported by several authors: Kanda et al., 2009; </w:t>
      </w:r>
      <w:proofErr w:type="spellStart"/>
      <w:r>
        <w:rPr>
          <w:rFonts w:ascii="Arial" w:hAnsi="Arial" w:cs="Arial"/>
          <w:szCs w:val="22"/>
        </w:rPr>
        <w:t>Ahouangninou</w:t>
      </w:r>
      <w:proofErr w:type="spellEnd"/>
      <w:r>
        <w:rPr>
          <w:rFonts w:ascii="Arial" w:hAnsi="Arial" w:cs="Arial"/>
          <w:szCs w:val="22"/>
        </w:rPr>
        <w:t xml:space="preserve"> et al., 2011; Son et al., 2017). Although the majority of market gardeners surveyed are aware of the risks incurred by the inappropriate application of pesticides, few of them wash their hands or take a shower after crop treatments. Medical consultations related to pesticides are almost non-existent. If they feel unwell, market gardeners take medicines without a prescription. </w:t>
      </w:r>
    </w:p>
    <w:p w14:paraId="7AC09EF4" w14:textId="77777777" w:rsidR="00B05ED5" w:rsidRDefault="00B05ED5">
      <w:pPr>
        <w:pStyle w:val="Body"/>
        <w:spacing w:after="0"/>
        <w:rPr>
          <w:rFonts w:ascii="Arial" w:hAnsi="Arial" w:cs="Arial"/>
          <w:szCs w:val="22"/>
        </w:rPr>
      </w:pPr>
    </w:p>
    <w:p w14:paraId="4A9F0275" w14:textId="77777777" w:rsidR="00B05ED5" w:rsidRDefault="00460EE6">
      <w:pPr>
        <w:pStyle w:val="Body"/>
        <w:spacing w:after="0"/>
        <w:rPr>
          <w:rFonts w:ascii="Arial" w:hAnsi="Arial" w:cs="Arial"/>
          <w:szCs w:val="22"/>
        </w:rPr>
      </w:pPr>
      <w:r>
        <w:rPr>
          <w:rFonts w:ascii="Arial" w:hAnsi="Arial"/>
          <w:b/>
        </w:rPr>
        <w:t xml:space="preserve">Table 3. Distribution of respondents' complaints about pesticide application </w:t>
      </w:r>
    </w:p>
    <w:p w14:paraId="512E1A3F" w14:textId="77777777" w:rsidR="00B05ED5" w:rsidRDefault="00B05ED5">
      <w:pPr>
        <w:pStyle w:val="Body"/>
        <w:spacing w:after="0"/>
        <w:rPr>
          <w:rFonts w:ascii="Arial" w:hAnsi="Arial" w:cs="Arial"/>
          <w:szCs w:val="22"/>
        </w:rPr>
      </w:pPr>
    </w:p>
    <w:tbl>
      <w:tblPr>
        <w:tblStyle w:val="Tableausimple21"/>
        <w:tblW w:w="0" w:type="auto"/>
        <w:tblLook w:val="04A0" w:firstRow="1" w:lastRow="0" w:firstColumn="1" w:lastColumn="0" w:noHBand="0" w:noVBand="1"/>
      </w:tblPr>
      <w:tblGrid>
        <w:gridCol w:w="4531"/>
        <w:gridCol w:w="1560"/>
      </w:tblGrid>
      <w:tr w:rsidR="00B05ED5" w14:paraId="1267C3B8" w14:textId="77777777" w:rsidTr="00B05E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0B1B142" w14:textId="77777777" w:rsidR="00B05ED5" w:rsidRDefault="00460EE6">
            <w:pPr>
              <w:tabs>
                <w:tab w:val="left" w:pos="1591"/>
              </w:tabs>
              <w:spacing w:line="360" w:lineRule="auto"/>
              <w:jc w:val="both"/>
              <w:rPr>
                <w:rFonts w:ascii="Arial" w:hAnsi="Arial" w:cs="Arial"/>
              </w:rPr>
            </w:pPr>
            <w:r>
              <w:rPr>
                <w:rStyle w:val="fontstyle01"/>
                <w:rFonts w:ascii="Arial" w:hAnsi="Arial" w:cs="Arial"/>
                <w:sz w:val="20"/>
                <w:szCs w:val="20"/>
              </w:rPr>
              <w:t>Discomfort</w:t>
            </w:r>
          </w:p>
        </w:tc>
        <w:tc>
          <w:tcPr>
            <w:tcW w:w="1560" w:type="dxa"/>
          </w:tcPr>
          <w:p w14:paraId="6BEA3107" w14:textId="77777777" w:rsidR="00B05ED5" w:rsidRDefault="00460EE6">
            <w:pPr>
              <w:tabs>
                <w:tab w:val="left" w:pos="1591"/>
              </w:tabs>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Frequency</w:t>
            </w:r>
          </w:p>
        </w:tc>
      </w:tr>
      <w:tr w:rsidR="00B05ED5" w14:paraId="6561029B" w14:textId="77777777" w:rsidTr="00B05ED5">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7F7F7F" w:themeColor="text1" w:themeTint="80"/>
              <w:bottom w:val="single" w:sz="4" w:space="0" w:color="7F7F7F" w:themeColor="text1" w:themeTint="80"/>
            </w:tcBorders>
          </w:tcPr>
          <w:p w14:paraId="31CC2C28" w14:textId="77777777" w:rsidR="00B05ED5" w:rsidRDefault="00460EE6">
            <w:pPr>
              <w:tabs>
                <w:tab w:val="left" w:pos="1591"/>
              </w:tabs>
              <w:spacing w:line="360" w:lineRule="auto"/>
              <w:jc w:val="both"/>
              <w:rPr>
                <w:rFonts w:ascii="Arial" w:hAnsi="Arial" w:cs="Arial"/>
                <w:b w:val="0"/>
                <w:bCs w:val="0"/>
              </w:rPr>
            </w:pPr>
            <w:r>
              <w:rPr>
                <w:rFonts w:ascii="Arial" w:hAnsi="Arial" w:cs="Arial"/>
              </w:rPr>
              <w:t>Skin burns</w:t>
            </w:r>
          </w:p>
        </w:tc>
        <w:tc>
          <w:tcPr>
            <w:tcW w:w="1560" w:type="dxa"/>
            <w:tcBorders>
              <w:top w:val="single" w:sz="4" w:space="0" w:color="7F7F7F" w:themeColor="text1" w:themeTint="80"/>
              <w:bottom w:val="single" w:sz="4" w:space="0" w:color="7F7F7F" w:themeColor="text1" w:themeTint="80"/>
            </w:tcBorders>
          </w:tcPr>
          <w:p w14:paraId="00C6CADC" w14:textId="77777777" w:rsidR="00B05ED5" w:rsidRDefault="00460EE6">
            <w:pPr>
              <w:tabs>
                <w:tab w:val="left" w:pos="1591"/>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w:t>
            </w:r>
          </w:p>
        </w:tc>
      </w:tr>
      <w:tr w:rsidR="00B05ED5" w14:paraId="1D66DD9C" w14:textId="77777777" w:rsidTr="00B05ED5">
        <w:tc>
          <w:tcPr>
            <w:cnfStyle w:val="001000000000" w:firstRow="0" w:lastRow="0" w:firstColumn="1" w:lastColumn="0" w:oddVBand="0" w:evenVBand="0" w:oddHBand="0" w:evenHBand="0" w:firstRowFirstColumn="0" w:firstRowLastColumn="0" w:lastRowFirstColumn="0" w:lastRowLastColumn="0"/>
            <w:tcW w:w="4531" w:type="dxa"/>
          </w:tcPr>
          <w:p w14:paraId="55ADE65A" w14:textId="77777777" w:rsidR="00B05ED5" w:rsidRDefault="00460EE6">
            <w:pPr>
              <w:tabs>
                <w:tab w:val="left" w:pos="1591"/>
              </w:tabs>
              <w:spacing w:line="360" w:lineRule="auto"/>
              <w:jc w:val="both"/>
              <w:rPr>
                <w:rFonts w:ascii="Arial" w:hAnsi="Arial" w:cs="Arial"/>
                <w:b w:val="0"/>
                <w:bCs w:val="0"/>
              </w:rPr>
            </w:pPr>
            <w:r>
              <w:rPr>
                <w:rFonts w:ascii="Arial" w:hAnsi="Arial" w:cs="Arial"/>
              </w:rPr>
              <w:t>Headache and/or fever</w:t>
            </w:r>
          </w:p>
        </w:tc>
        <w:tc>
          <w:tcPr>
            <w:tcW w:w="1560" w:type="dxa"/>
          </w:tcPr>
          <w:p w14:paraId="0B6ADB2C" w14:textId="77777777" w:rsidR="00B05ED5" w:rsidRDefault="00460EE6">
            <w:pPr>
              <w:tabs>
                <w:tab w:val="left" w:pos="1591"/>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58%</w:t>
            </w:r>
          </w:p>
        </w:tc>
      </w:tr>
      <w:tr w:rsidR="00B05ED5" w14:paraId="65A2D86B" w14:textId="77777777" w:rsidTr="00B05ED5">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7F7F7F" w:themeColor="text1" w:themeTint="80"/>
              <w:bottom w:val="single" w:sz="4" w:space="0" w:color="7F7F7F" w:themeColor="text1" w:themeTint="80"/>
            </w:tcBorders>
          </w:tcPr>
          <w:p w14:paraId="0E506D1C" w14:textId="77777777" w:rsidR="00B05ED5" w:rsidRDefault="00460EE6">
            <w:pPr>
              <w:tabs>
                <w:tab w:val="left" w:pos="1591"/>
              </w:tabs>
              <w:spacing w:line="360" w:lineRule="auto"/>
              <w:jc w:val="both"/>
              <w:rPr>
                <w:rFonts w:ascii="Arial" w:hAnsi="Arial" w:cs="Arial"/>
                <w:b w:val="0"/>
                <w:bCs w:val="0"/>
              </w:rPr>
            </w:pPr>
            <w:r>
              <w:rPr>
                <w:rStyle w:val="fontstyle01"/>
                <w:rFonts w:ascii="Arial" w:hAnsi="Arial" w:cs="Arial"/>
                <w:sz w:val="20"/>
                <w:szCs w:val="20"/>
              </w:rPr>
              <w:t>Nasal congestion, colds and/or coughs</w:t>
            </w:r>
          </w:p>
        </w:tc>
        <w:tc>
          <w:tcPr>
            <w:tcW w:w="1560" w:type="dxa"/>
            <w:tcBorders>
              <w:top w:val="single" w:sz="4" w:space="0" w:color="7F7F7F" w:themeColor="text1" w:themeTint="80"/>
              <w:bottom w:val="single" w:sz="4" w:space="0" w:color="7F7F7F" w:themeColor="text1" w:themeTint="80"/>
            </w:tcBorders>
          </w:tcPr>
          <w:p w14:paraId="3E7690EE" w14:textId="77777777" w:rsidR="00B05ED5" w:rsidRDefault="00460EE6">
            <w:pPr>
              <w:tabs>
                <w:tab w:val="left" w:pos="1591"/>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16%</w:t>
            </w:r>
          </w:p>
        </w:tc>
      </w:tr>
      <w:tr w:rsidR="00B05ED5" w14:paraId="5513C441" w14:textId="77777777" w:rsidTr="00B05ED5">
        <w:tc>
          <w:tcPr>
            <w:cnfStyle w:val="001000000000" w:firstRow="0" w:lastRow="0" w:firstColumn="1" w:lastColumn="0" w:oddVBand="0" w:evenVBand="0" w:oddHBand="0" w:evenHBand="0" w:firstRowFirstColumn="0" w:firstRowLastColumn="0" w:lastRowFirstColumn="0" w:lastRowLastColumn="0"/>
            <w:tcW w:w="4531" w:type="dxa"/>
          </w:tcPr>
          <w:p w14:paraId="33557888" w14:textId="77777777" w:rsidR="00B05ED5" w:rsidRDefault="00460EE6">
            <w:pPr>
              <w:tabs>
                <w:tab w:val="left" w:pos="1591"/>
              </w:tabs>
              <w:spacing w:line="360" w:lineRule="auto"/>
              <w:jc w:val="both"/>
              <w:rPr>
                <w:rFonts w:ascii="Arial" w:hAnsi="Arial" w:cs="Arial"/>
                <w:b w:val="0"/>
                <w:bCs w:val="0"/>
              </w:rPr>
            </w:pPr>
            <w:r>
              <w:rPr>
                <w:rStyle w:val="fontstyle01"/>
                <w:rFonts w:ascii="Arial" w:hAnsi="Arial" w:cs="Arial"/>
                <w:sz w:val="20"/>
                <w:szCs w:val="20"/>
              </w:rPr>
              <w:t>Dizziness, nausea and/or vomiting</w:t>
            </w:r>
          </w:p>
        </w:tc>
        <w:tc>
          <w:tcPr>
            <w:tcW w:w="1560" w:type="dxa"/>
          </w:tcPr>
          <w:p w14:paraId="70FDD651" w14:textId="77777777" w:rsidR="00B05ED5" w:rsidRDefault="00460EE6">
            <w:pPr>
              <w:tabs>
                <w:tab w:val="left" w:pos="1591"/>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w:t>
            </w:r>
          </w:p>
        </w:tc>
      </w:tr>
      <w:tr w:rsidR="00B05ED5" w14:paraId="6CF5064C" w14:textId="77777777" w:rsidTr="00B05ED5">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7F7F7F" w:themeColor="text1" w:themeTint="80"/>
              <w:bottom w:val="single" w:sz="4" w:space="0" w:color="7F7F7F" w:themeColor="text1" w:themeTint="80"/>
            </w:tcBorders>
          </w:tcPr>
          <w:p w14:paraId="725CE1EE" w14:textId="77777777" w:rsidR="00B05ED5" w:rsidRDefault="00460EE6">
            <w:pPr>
              <w:tabs>
                <w:tab w:val="left" w:pos="1591"/>
              </w:tabs>
              <w:spacing w:line="360" w:lineRule="auto"/>
              <w:jc w:val="both"/>
              <w:rPr>
                <w:rFonts w:ascii="Arial" w:hAnsi="Arial" w:cs="Arial"/>
                <w:b w:val="0"/>
                <w:bCs w:val="0"/>
              </w:rPr>
            </w:pPr>
            <w:r>
              <w:rPr>
                <w:rFonts w:ascii="Arial" w:hAnsi="Arial" w:cs="Arial"/>
              </w:rPr>
              <w:t>Eye redness</w:t>
            </w:r>
          </w:p>
        </w:tc>
        <w:tc>
          <w:tcPr>
            <w:tcW w:w="1560" w:type="dxa"/>
            <w:tcBorders>
              <w:top w:val="single" w:sz="4" w:space="0" w:color="7F7F7F" w:themeColor="text1" w:themeTint="80"/>
              <w:bottom w:val="single" w:sz="4" w:space="0" w:color="7F7F7F" w:themeColor="text1" w:themeTint="80"/>
            </w:tcBorders>
          </w:tcPr>
          <w:p w14:paraId="70544C03" w14:textId="77777777" w:rsidR="00B05ED5" w:rsidRDefault="00460EE6">
            <w:pPr>
              <w:tabs>
                <w:tab w:val="left" w:pos="1591"/>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w:t>
            </w:r>
          </w:p>
        </w:tc>
      </w:tr>
      <w:tr w:rsidR="00B05ED5" w14:paraId="6C3DD17E" w14:textId="77777777" w:rsidTr="00B05ED5">
        <w:tc>
          <w:tcPr>
            <w:cnfStyle w:val="001000000000" w:firstRow="0" w:lastRow="0" w:firstColumn="1" w:lastColumn="0" w:oddVBand="0" w:evenVBand="0" w:oddHBand="0" w:evenHBand="0" w:firstRowFirstColumn="0" w:firstRowLastColumn="0" w:lastRowFirstColumn="0" w:lastRowLastColumn="0"/>
            <w:tcW w:w="4531" w:type="dxa"/>
          </w:tcPr>
          <w:p w14:paraId="0EFF9184" w14:textId="77777777" w:rsidR="00B05ED5" w:rsidRDefault="00460EE6">
            <w:pPr>
              <w:tabs>
                <w:tab w:val="left" w:pos="1591"/>
              </w:tabs>
              <w:spacing w:line="360" w:lineRule="auto"/>
              <w:jc w:val="both"/>
              <w:rPr>
                <w:rFonts w:ascii="Arial" w:hAnsi="Arial" w:cs="Arial"/>
                <w:b w:val="0"/>
                <w:bCs w:val="0"/>
              </w:rPr>
            </w:pPr>
            <w:r>
              <w:rPr>
                <w:rFonts w:ascii="Arial" w:hAnsi="Arial" w:cs="Arial"/>
              </w:rPr>
              <w:t>Nothing</w:t>
            </w:r>
          </w:p>
        </w:tc>
        <w:tc>
          <w:tcPr>
            <w:tcW w:w="1560" w:type="dxa"/>
          </w:tcPr>
          <w:p w14:paraId="7D7E2AD3" w14:textId="77777777" w:rsidR="00B05ED5" w:rsidRDefault="00460EE6">
            <w:pPr>
              <w:tabs>
                <w:tab w:val="left" w:pos="1591"/>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w:t>
            </w:r>
          </w:p>
        </w:tc>
      </w:tr>
    </w:tbl>
    <w:p w14:paraId="1A9ABDE5" w14:textId="77777777" w:rsidR="00B05ED5" w:rsidRDefault="00B05ED5">
      <w:pPr>
        <w:pStyle w:val="Body"/>
        <w:spacing w:after="0"/>
        <w:rPr>
          <w:rFonts w:ascii="Arial" w:hAnsi="Arial" w:cs="Arial"/>
          <w:szCs w:val="22"/>
        </w:rPr>
      </w:pPr>
    </w:p>
    <w:p w14:paraId="3D73BC0E" w14:textId="71098C06" w:rsidR="00B05ED5" w:rsidRDefault="00460EE6">
      <w:pPr>
        <w:pStyle w:val="Body"/>
        <w:spacing w:after="0"/>
        <w:rPr>
          <w:rFonts w:ascii="Arial" w:hAnsi="Arial" w:cs="Arial"/>
          <w:szCs w:val="22"/>
        </w:rPr>
      </w:pPr>
      <w:r>
        <w:rPr>
          <w:rFonts w:ascii="Arial" w:hAnsi="Arial" w:cs="Arial"/>
          <w:szCs w:val="22"/>
        </w:rPr>
        <w:t xml:space="preserve">The dependence of urban and peri-urban market gardening on chemical pesticides has been reported in </w:t>
      </w:r>
      <w:proofErr w:type="spellStart"/>
      <w:r>
        <w:rPr>
          <w:rFonts w:ascii="Arial" w:hAnsi="Arial" w:cs="Arial"/>
          <w:szCs w:val="22"/>
        </w:rPr>
        <w:t>N'Djaména</w:t>
      </w:r>
      <w:proofErr w:type="spellEnd"/>
      <w:r>
        <w:rPr>
          <w:rFonts w:ascii="Arial" w:hAnsi="Arial" w:cs="Arial"/>
          <w:szCs w:val="22"/>
        </w:rPr>
        <w:t xml:space="preserve"> by </w:t>
      </w:r>
      <w:proofErr w:type="spellStart"/>
      <w:r>
        <w:rPr>
          <w:rFonts w:ascii="Arial" w:hAnsi="Arial" w:cs="Arial"/>
          <w:szCs w:val="22"/>
        </w:rPr>
        <w:t>Nazal</w:t>
      </w:r>
      <w:proofErr w:type="spellEnd"/>
      <w:r>
        <w:rPr>
          <w:rFonts w:ascii="Arial" w:hAnsi="Arial" w:cs="Arial"/>
          <w:szCs w:val="22"/>
        </w:rPr>
        <w:t xml:space="preserve"> (2021), in Gabon by Ondo (2011), in Burkina Faso by Son </w:t>
      </w:r>
      <w:r w:rsidR="00A0613A">
        <w:rPr>
          <w:rFonts w:ascii="Arial" w:hAnsi="Arial" w:cs="Arial"/>
          <w:szCs w:val="22"/>
        </w:rPr>
        <w:t xml:space="preserve">et al. (2017) in Benin by </w:t>
      </w:r>
      <w:proofErr w:type="spellStart"/>
      <w:r w:rsidR="00A0613A" w:rsidRPr="00A0613A">
        <w:rPr>
          <w:rFonts w:ascii="Arial" w:hAnsi="Arial" w:cs="Arial"/>
          <w:szCs w:val="22"/>
          <w:highlight w:val="yellow"/>
        </w:rPr>
        <w:t>Akogbe</w:t>
      </w:r>
      <w:r w:rsidRPr="00A0613A">
        <w:rPr>
          <w:rFonts w:ascii="Arial" w:hAnsi="Arial" w:cs="Arial"/>
          <w:szCs w:val="22"/>
          <w:highlight w:val="yellow"/>
        </w:rPr>
        <w:t>to</w:t>
      </w:r>
      <w:proofErr w:type="spellEnd"/>
      <w:r>
        <w:rPr>
          <w:rFonts w:ascii="Arial" w:hAnsi="Arial" w:cs="Arial"/>
          <w:szCs w:val="22"/>
        </w:rPr>
        <w:t xml:space="preserve"> and al. (2005) and by </w:t>
      </w:r>
      <w:proofErr w:type="spellStart"/>
      <w:r>
        <w:rPr>
          <w:rFonts w:ascii="Arial" w:hAnsi="Arial" w:cs="Arial"/>
          <w:szCs w:val="22"/>
        </w:rPr>
        <w:t>Ahouangninou</w:t>
      </w:r>
      <w:proofErr w:type="spellEnd"/>
      <w:r>
        <w:rPr>
          <w:rFonts w:ascii="Arial" w:hAnsi="Arial" w:cs="Arial"/>
          <w:szCs w:val="22"/>
        </w:rPr>
        <w:t xml:space="preserve"> (2013).  This </w:t>
      </w:r>
      <w:proofErr w:type="gramStart"/>
      <w:r>
        <w:rPr>
          <w:rFonts w:ascii="Arial" w:hAnsi="Arial" w:cs="Arial"/>
          <w:szCs w:val="22"/>
        </w:rPr>
        <w:t xml:space="preserve">study  </w:t>
      </w:r>
      <w:r w:rsidR="00AD75D7" w:rsidRPr="00AD75D7">
        <w:rPr>
          <w:rFonts w:ascii="Arial" w:hAnsi="Arial" w:cs="Arial"/>
          <w:szCs w:val="22"/>
          <w:highlight w:val="yellow"/>
        </w:rPr>
        <w:t>revealed</w:t>
      </w:r>
      <w:proofErr w:type="gramEnd"/>
      <w:r w:rsidR="00AD75D7" w:rsidRPr="00AD75D7">
        <w:rPr>
          <w:rFonts w:ascii="Arial" w:hAnsi="Arial" w:cs="Arial"/>
          <w:szCs w:val="22"/>
        </w:rPr>
        <w:t xml:space="preserve"> </w:t>
      </w:r>
      <w:r>
        <w:rPr>
          <w:rFonts w:ascii="Arial" w:hAnsi="Arial" w:cs="Arial"/>
          <w:szCs w:val="22"/>
        </w:rPr>
        <w:t xml:space="preserve">that in the town of </w:t>
      </w:r>
      <w:proofErr w:type="spellStart"/>
      <w:r>
        <w:rPr>
          <w:rFonts w:ascii="Arial" w:hAnsi="Arial" w:cs="Arial"/>
          <w:szCs w:val="22"/>
        </w:rPr>
        <w:t>Sarh</w:t>
      </w:r>
      <w:proofErr w:type="spellEnd"/>
      <w:r>
        <w:rPr>
          <w:rFonts w:ascii="Arial" w:hAnsi="Arial" w:cs="Arial"/>
          <w:szCs w:val="22"/>
        </w:rPr>
        <w:t>, a great deal of effort needs to be made in terms of phytosanitary protection of market garden crops. Subsidizing the acquisition of appropriate personal protective equipment by these growers, reinforcing technical supervision, making effective bio-pesticides available on markets and introducing physical methods to combat all market garden pests will reduce the risks associated with the use of chemical pesticides (</w:t>
      </w:r>
      <w:proofErr w:type="spellStart"/>
      <w:r>
        <w:rPr>
          <w:rFonts w:ascii="Arial" w:hAnsi="Arial" w:cs="Arial"/>
          <w:szCs w:val="22"/>
        </w:rPr>
        <w:t>Ahouangninou</w:t>
      </w:r>
      <w:proofErr w:type="spellEnd"/>
      <w:r>
        <w:rPr>
          <w:rFonts w:ascii="Arial" w:hAnsi="Arial" w:cs="Arial"/>
          <w:szCs w:val="22"/>
        </w:rPr>
        <w:t>, 2013For Schmidt and Courcy (2017), sustainable agriculture practices are an operational response in many developing countries. To achieve this, “Produce more and better” must be the watchword of agricultural policies at local, national and regional levels. The use of organic inputs can help improve yields, reduce environmental and health risks, and ensure food safety. Producers must adopt bio-pesticides and natural pesticides in order to preserve the biological diversity of agricultural soils (</w:t>
      </w:r>
      <w:proofErr w:type="spellStart"/>
      <w:r>
        <w:rPr>
          <w:rFonts w:ascii="Arial" w:hAnsi="Arial" w:cs="Arial"/>
          <w:szCs w:val="22"/>
        </w:rPr>
        <w:t>Fifatin</w:t>
      </w:r>
      <w:proofErr w:type="spellEnd"/>
      <w:r>
        <w:rPr>
          <w:rFonts w:ascii="Arial" w:hAnsi="Arial" w:cs="Arial"/>
          <w:szCs w:val="22"/>
        </w:rPr>
        <w:t xml:space="preserve"> et al 2020). The FAO and WHO insist that extensive training programs be initiated for pesticide sellers and users to ensure correct selection and appropriate use of products, including the use of protective equipment, to reduce risk.</w:t>
      </w:r>
    </w:p>
    <w:p w14:paraId="1C0231F7" w14:textId="77777777" w:rsidR="00B05ED5" w:rsidRDefault="00B05ED5">
      <w:pPr>
        <w:pStyle w:val="Body"/>
        <w:spacing w:after="0"/>
        <w:rPr>
          <w:rFonts w:ascii="Arial" w:hAnsi="Arial" w:cs="Arial"/>
          <w:szCs w:val="22"/>
        </w:rPr>
      </w:pPr>
    </w:p>
    <w:p w14:paraId="1B439225" w14:textId="77777777" w:rsidR="00B05ED5" w:rsidRDefault="00460EE6">
      <w:pPr>
        <w:pStyle w:val="ConcHead"/>
        <w:spacing w:after="0"/>
        <w:jc w:val="both"/>
        <w:rPr>
          <w:rFonts w:ascii="Arial" w:hAnsi="Arial" w:cs="Arial"/>
        </w:rPr>
      </w:pPr>
      <w:r>
        <w:rPr>
          <w:rFonts w:ascii="Arial" w:hAnsi="Arial" w:cs="Arial"/>
        </w:rPr>
        <w:t>4. Conclusion</w:t>
      </w:r>
    </w:p>
    <w:p w14:paraId="0A4A5EE0" w14:textId="77777777" w:rsidR="00B05ED5" w:rsidRDefault="00B05ED5">
      <w:pPr>
        <w:pStyle w:val="ConcHead"/>
        <w:spacing w:after="0"/>
        <w:jc w:val="both"/>
        <w:rPr>
          <w:rFonts w:ascii="Arial" w:hAnsi="Arial" w:cs="Arial"/>
        </w:rPr>
      </w:pPr>
    </w:p>
    <w:p w14:paraId="62266B26" w14:textId="77777777" w:rsidR="00B05ED5" w:rsidRDefault="00460EE6">
      <w:pPr>
        <w:pStyle w:val="Body"/>
        <w:spacing w:after="0"/>
        <w:rPr>
          <w:rFonts w:ascii="Arial" w:hAnsi="Arial" w:cs="Arial"/>
        </w:rPr>
      </w:pPr>
      <w:r>
        <w:rPr>
          <w:rFonts w:ascii="Arial" w:hAnsi="Arial" w:cs="Arial"/>
        </w:rPr>
        <w:t xml:space="preserve">In the town of </w:t>
      </w:r>
      <w:proofErr w:type="spellStart"/>
      <w:r>
        <w:rPr>
          <w:rFonts w:ascii="Arial" w:hAnsi="Arial" w:cs="Arial"/>
        </w:rPr>
        <w:t>Sarh</w:t>
      </w:r>
      <w:proofErr w:type="spellEnd"/>
      <w:r>
        <w:rPr>
          <w:rFonts w:ascii="Arial" w:hAnsi="Arial" w:cs="Arial"/>
        </w:rPr>
        <w:t xml:space="preserve">, several crops are cultivated in market gardening, thanks in part to the presence of permanent watercourses. The desire to improve yields and protect crops against pathogens has led market gardeners to use pesticides. However, growers do not have a good knowledge of pesticides, nor do they respect the wearing of Personal Protective Equipment and the management of packaging after use. The results obtained reveal the potential risk of intoxication for growers, which urgently requires judicious training in the use of synthetic pesticides. The alternative would be to develop the use of bio-pesticides to reduce the negative impacts of pesticides. To protect consumers, studies need to be carried out to assess the level of contamination and the economic and environmental health risks associated with the consumption of market garden produce from the town of </w:t>
      </w:r>
      <w:proofErr w:type="spellStart"/>
      <w:r>
        <w:rPr>
          <w:rFonts w:ascii="Arial" w:hAnsi="Arial" w:cs="Arial"/>
        </w:rPr>
        <w:t>Sarh</w:t>
      </w:r>
      <w:proofErr w:type="spellEnd"/>
      <w:r>
        <w:rPr>
          <w:rFonts w:ascii="Arial" w:hAnsi="Arial" w:cs="Arial"/>
        </w:rPr>
        <w:t xml:space="preserve">. </w:t>
      </w:r>
    </w:p>
    <w:p w14:paraId="76E97E59" w14:textId="3CCE8C83" w:rsidR="00B05ED5" w:rsidRDefault="00B05ED5">
      <w:pPr>
        <w:pStyle w:val="Body"/>
        <w:spacing w:after="0"/>
        <w:rPr>
          <w:rFonts w:ascii="Arial" w:hAnsi="Arial" w:cs="Arial"/>
        </w:rPr>
      </w:pPr>
    </w:p>
    <w:p w14:paraId="3C5585F5" w14:textId="77777777" w:rsidR="009C7608" w:rsidRPr="009C7608" w:rsidRDefault="009C7608" w:rsidP="009C7608">
      <w:pPr>
        <w:pStyle w:val="Body"/>
        <w:rPr>
          <w:rFonts w:ascii="Arial" w:hAnsi="Arial" w:cs="Arial"/>
          <w:b/>
        </w:rPr>
      </w:pPr>
      <w:r w:rsidRPr="009C7608">
        <w:rPr>
          <w:rFonts w:ascii="Arial" w:hAnsi="Arial" w:cs="Arial"/>
          <w:b/>
        </w:rPr>
        <w:lastRenderedPageBreak/>
        <w:t xml:space="preserve">Consent </w:t>
      </w:r>
    </w:p>
    <w:p w14:paraId="5AF1534E" w14:textId="3800CBF7" w:rsidR="009C7608" w:rsidRDefault="009C7608" w:rsidP="009C7608">
      <w:pPr>
        <w:pStyle w:val="Body"/>
        <w:spacing w:after="0"/>
        <w:rPr>
          <w:rFonts w:ascii="Arial" w:hAnsi="Arial" w:cs="Arial"/>
        </w:rPr>
      </w:pPr>
      <w:r w:rsidRPr="009C7608">
        <w:rPr>
          <w:rFonts w:ascii="Arial" w:hAnsi="Arial" w:cs="Arial"/>
        </w:rPr>
        <w:t>As per international standards or university standards, Participants’ written consent has been collected and preserved by the author(s).</w:t>
      </w:r>
    </w:p>
    <w:p w14:paraId="1727B0E0" w14:textId="77777777" w:rsidR="009C7608" w:rsidRDefault="009C7608">
      <w:pPr>
        <w:pStyle w:val="AcknHead"/>
        <w:spacing w:after="0"/>
        <w:jc w:val="both"/>
        <w:rPr>
          <w:rFonts w:ascii="Arial" w:hAnsi="Arial" w:cs="Arial"/>
        </w:rPr>
      </w:pPr>
    </w:p>
    <w:p w14:paraId="274F5CC9" w14:textId="77777777" w:rsidR="009C7608" w:rsidRDefault="009C7608">
      <w:pPr>
        <w:pStyle w:val="AcknHead"/>
        <w:spacing w:after="0"/>
        <w:jc w:val="both"/>
        <w:rPr>
          <w:rFonts w:ascii="Arial" w:hAnsi="Arial" w:cs="Arial"/>
        </w:rPr>
      </w:pPr>
    </w:p>
    <w:p w14:paraId="72EEFC6D" w14:textId="77777777" w:rsidR="009C7608" w:rsidRDefault="009C7608">
      <w:pPr>
        <w:pStyle w:val="AcknHead"/>
        <w:spacing w:after="0"/>
        <w:jc w:val="both"/>
        <w:rPr>
          <w:rFonts w:ascii="Arial" w:hAnsi="Arial" w:cs="Arial"/>
        </w:rPr>
      </w:pPr>
    </w:p>
    <w:p w14:paraId="76A10B99" w14:textId="2AA76589" w:rsidR="00B05ED5" w:rsidRDefault="00460EE6">
      <w:pPr>
        <w:pStyle w:val="AcknHead"/>
        <w:spacing w:after="0"/>
        <w:jc w:val="both"/>
        <w:rPr>
          <w:rFonts w:ascii="Arial" w:hAnsi="Arial" w:cs="Arial"/>
        </w:rPr>
      </w:pPr>
      <w:r>
        <w:rPr>
          <w:rFonts w:ascii="Arial" w:hAnsi="Arial" w:cs="Arial"/>
        </w:rPr>
        <w:t>DISCLAIMER (ARTIFICIAL INTELLIGENCE)</w:t>
      </w:r>
    </w:p>
    <w:p w14:paraId="1B46E2BF" w14:textId="77777777" w:rsidR="00B05ED5" w:rsidRDefault="00B05ED5">
      <w:pPr>
        <w:pStyle w:val="AcknHead"/>
        <w:spacing w:after="0"/>
        <w:jc w:val="both"/>
        <w:rPr>
          <w:rFonts w:ascii="Arial" w:hAnsi="Arial" w:cs="Arial"/>
        </w:rPr>
      </w:pPr>
    </w:p>
    <w:p w14:paraId="09757E1A" w14:textId="77777777" w:rsidR="00B05ED5" w:rsidRDefault="00460EE6">
      <w:pPr>
        <w:pStyle w:val="Body"/>
        <w:rPr>
          <w:rFonts w:ascii="Arial" w:hAnsi="Arial" w:cs="Arial"/>
        </w:rPr>
      </w:pPr>
      <w:r>
        <w:rPr>
          <w:rFonts w:ascii="Arial" w:hAnsi="Arial" w:cs="Arial"/>
        </w:rPr>
        <w:t>Authors hereby declares that NO generative AI technologies such as Large Language Models (</w:t>
      </w:r>
      <w:proofErr w:type="spellStart"/>
      <w:r>
        <w:rPr>
          <w:rFonts w:ascii="Arial" w:hAnsi="Arial" w:cs="Arial"/>
        </w:rPr>
        <w:t>ChatGPT</w:t>
      </w:r>
      <w:proofErr w:type="spellEnd"/>
      <w:r>
        <w:rPr>
          <w:rFonts w:ascii="Arial" w:hAnsi="Arial" w:cs="Arial"/>
        </w:rPr>
        <w:t xml:space="preserve">, COPILOT, </w:t>
      </w:r>
      <w:proofErr w:type="spellStart"/>
      <w:r>
        <w:rPr>
          <w:rFonts w:ascii="Arial" w:hAnsi="Arial" w:cs="Arial"/>
        </w:rPr>
        <w:t>etc</w:t>
      </w:r>
      <w:proofErr w:type="spellEnd"/>
      <w:r>
        <w:rPr>
          <w:rFonts w:ascii="Arial" w:hAnsi="Arial" w:cs="Arial"/>
        </w:rPr>
        <w:t xml:space="preserve">) and text-to-image generators have been used during writing or editing of this manuscript. </w:t>
      </w:r>
    </w:p>
    <w:p w14:paraId="7B734E35" w14:textId="77777777" w:rsidR="00B05ED5" w:rsidRDefault="00B05ED5">
      <w:pPr>
        <w:pStyle w:val="Body"/>
        <w:spacing w:after="0"/>
        <w:rPr>
          <w:rFonts w:ascii="Arial" w:hAnsi="Arial" w:cs="Arial"/>
        </w:rPr>
      </w:pPr>
    </w:p>
    <w:p w14:paraId="118C5240" w14:textId="77777777" w:rsidR="00B05ED5" w:rsidRDefault="00B05ED5">
      <w:pPr>
        <w:pStyle w:val="ReferHead"/>
        <w:spacing w:after="0"/>
        <w:jc w:val="both"/>
        <w:rPr>
          <w:rFonts w:ascii="Arial" w:hAnsi="Arial" w:cs="Arial"/>
          <w:b w:val="0"/>
          <w:caps w:val="0"/>
          <w:sz w:val="20"/>
        </w:rPr>
      </w:pPr>
    </w:p>
    <w:p w14:paraId="70608FF9" w14:textId="77777777" w:rsidR="00B05ED5" w:rsidRDefault="00B05ED5">
      <w:pPr>
        <w:pStyle w:val="ReferHead"/>
        <w:spacing w:after="0"/>
        <w:jc w:val="both"/>
        <w:rPr>
          <w:rFonts w:ascii="Arial" w:hAnsi="Arial" w:cs="Arial"/>
          <w:b w:val="0"/>
          <w:caps w:val="0"/>
          <w:sz w:val="20"/>
        </w:rPr>
      </w:pPr>
    </w:p>
    <w:p w14:paraId="43802D8E" w14:textId="77777777" w:rsidR="00B05ED5" w:rsidRDefault="00460EE6">
      <w:pPr>
        <w:pStyle w:val="ReferHead"/>
        <w:spacing w:after="0"/>
        <w:jc w:val="both"/>
        <w:rPr>
          <w:rFonts w:ascii="Arial" w:hAnsi="Arial" w:cs="Arial"/>
        </w:rPr>
      </w:pPr>
      <w:r>
        <w:rPr>
          <w:rFonts w:ascii="Arial" w:hAnsi="Arial" w:cs="Arial"/>
        </w:rPr>
        <w:t>References</w:t>
      </w:r>
    </w:p>
    <w:p w14:paraId="27608238" w14:textId="77777777" w:rsidR="00B05ED5" w:rsidRDefault="00B05ED5">
      <w:pPr>
        <w:pStyle w:val="ReferHead"/>
        <w:spacing w:after="0"/>
        <w:jc w:val="both"/>
        <w:rPr>
          <w:rFonts w:ascii="Arial" w:hAnsi="Arial" w:cs="Arial"/>
        </w:rPr>
      </w:pPr>
    </w:p>
    <w:p w14:paraId="3C706BD2" w14:textId="77777777" w:rsidR="00B05ED5" w:rsidRDefault="00460EE6">
      <w:pPr>
        <w:pStyle w:val="Body"/>
        <w:rPr>
          <w:lang w:val="en-GB"/>
        </w:rPr>
      </w:pPr>
      <w:r>
        <w:rPr>
          <w:lang w:val="en-GB"/>
        </w:rPr>
        <w:t xml:space="preserve">Agmas, B., &amp; </w:t>
      </w:r>
      <w:proofErr w:type="spellStart"/>
      <w:r>
        <w:rPr>
          <w:lang w:val="en-GB"/>
        </w:rPr>
        <w:t>Adugna</w:t>
      </w:r>
      <w:proofErr w:type="spellEnd"/>
      <w:r>
        <w:rPr>
          <w:lang w:val="en-GB"/>
        </w:rPr>
        <w:t xml:space="preserve">, M. (2020). Attitudes and practices of farmers with regard to pesticide use in </w:t>
      </w:r>
      <w:proofErr w:type="spellStart"/>
      <w:r>
        <w:rPr>
          <w:lang w:val="en-GB"/>
        </w:rPr>
        <w:t>NorthWest</w:t>
      </w:r>
      <w:proofErr w:type="spellEnd"/>
      <w:r>
        <w:rPr>
          <w:lang w:val="en-GB"/>
        </w:rPr>
        <w:t xml:space="preserve"> Ethiopia. Cogent Environmental Science, 6(1), 1791462. https://doi.org/10.1080/23311843.2020.1791462</w:t>
      </w:r>
    </w:p>
    <w:p w14:paraId="3FE52A16" w14:textId="77777777" w:rsidR="00B05ED5" w:rsidRDefault="00460EE6">
      <w:pPr>
        <w:pStyle w:val="Body"/>
        <w:rPr>
          <w:lang w:val="en-GB"/>
        </w:rPr>
      </w:pPr>
      <w:proofErr w:type="spellStart"/>
      <w:r>
        <w:rPr>
          <w:lang w:val="en-GB"/>
        </w:rPr>
        <w:t>Ahouangninou</w:t>
      </w:r>
      <w:proofErr w:type="spellEnd"/>
      <w:r>
        <w:rPr>
          <w:lang w:val="en-GB"/>
        </w:rPr>
        <w:t xml:space="preserve"> C., Boko S.Y.W., </w:t>
      </w:r>
      <w:proofErr w:type="spellStart"/>
      <w:r>
        <w:rPr>
          <w:lang w:val="en-GB"/>
        </w:rPr>
        <w:t>Logbo</w:t>
      </w:r>
      <w:proofErr w:type="spellEnd"/>
      <w:r>
        <w:rPr>
          <w:lang w:val="en-GB"/>
        </w:rPr>
        <w:t xml:space="preserve"> J., </w:t>
      </w:r>
      <w:proofErr w:type="spellStart"/>
      <w:r>
        <w:rPr>
          <w:lang w:val="en-GB"/>
        </w:rPr>
        <w:t>Assogba-Komlan</w:t>
      </w:r>
      <w:proofErr w:type="spellEnd"/>
      <w:r>
        <w:rPr>
          <w:lang w:val="en-GB"/>
        </w:rPr>
        <w:t xml:space="preserve"> F., Martin T. &amp; </w:t>
      </w:r>
      <w:proofErr w:type="spellStart"/>
      <w:r>
        <w:rPr>
          <w:lang w:val="en-GB"/>
        </w:rPr>
        <w:t>Fayomi</w:t>
      </w:r>
      <w:proofErr w:type="spellEnd"/>
      <w:r>
        <w:rPr>
          <w:lang w:val="en-GB"/>
        </w:rPr>
        <w:t xml:space="preserve"> B. (2019). Analysis of the determinants of phytosanitary practices of market gardeners in southern Benin. Afrique SCIENCE 15(5), 252-265</w:t>
      </w:r>
    </w:p>
    <w:p w14:paraId="558C5CD1" w14:textId="77777777" w:rsidR="00B05ED5" w:rsidRDefault="00460EE6">
      <w:pPr>
        <w:pStyle w:val="Body"/>
        <w:rPr>
          <w:lang w:val="en-GB"/>
        </w:rPr>
      </w:pPr>
      <w:proofErr w:type="spellStart"/>
      <w:r>
        <w:rPr>
          <w:lang w:val="en-GB"/>
        </w:rPr>
        <w:t>Ahouangninou</w:t>
      </w:r>
      <w:proofErr w:type="spellEnd"/>
      <w:r>
        <w:rPr>
          <w:lang w:val="en-GB"/>
        </w:rPr>
        <w:t xml:space="preserve">, C., </w:t>
      </w:r>
      <w:proofErr w:type="spellStart"/>
      <w:r>
        <w:rPr>
          <w:lang w:val="en-GB"/>
        </w:rPr>
        <w:t>Fayomi</w:t>
      </w:r>
      <w:proofErr w:type="spellEnd"/>
      <w:r>
        <w:rPr>
          <w:lang w:val="en-GB"/>
        </w:rPr>
        <w:t>, BE. &amp; Martin, T. (2011). Health and Environmental Risk Assessment of Phytosanitary Practices Used by Market Gardeners in the Rural Commune of Tori-</w:t>
      </w:r>
      <w:proofErr w:type="spellStart"/>
      <w:r>
        <w:rPr>
          <w:lang w:val="en-GB"/>
        </w:rPr>
        <w:t>Bossito</w:t>
      </w:r>
      <w:proofErr w:type="spellEnd"/>
      <w:r>
        <w:rPr>
          <w:lang w:val="en-GB"/>
        </w:rPr>
        <w:t xml:space="preserve"> (Southern Benin). Cahiers Agricultures 20(3): 216–222. DOI: 10.1684/agr.2011.0485.</w:t>
      </w:r>
    </w:p>
    <w:p w14:paraId="04D19B11" w14:textId="77777777" w:rsidR="00B05ED5" w:rsidRDefault="00460EE6">
      <w:pPr>
        <w:pStyle w:val="Body"/>
        <w:rPr>
          <w:lang w:val="en-GB"/>
        </w:rPr>
      </w:pPr>
      <w:proofErr w:type="spellStart"/>
      <w:r>
        <w:rPr>
          <w:lang w:val="en-GB"/>
        </w:rPr>
        <w:t>Ahouangninou</w:t>
      </w:r>
      <w:proofErr w:type="spellEnd"/>
      <w:r>
        <w:rPr>
          <w:lang w:val="en-GB"/>
        </w:rPr>
        <w:t xml:space="preserve">, C. (2013). Sustainability of Market Gardening Production in Southern Benin: A Test of the Ecosystem Approach. Single Doctoral Thesis, University of Abomey </w:t>
      </w:r>
      <w:proofErr w:type="spellStart"/>
      <w:r>
        <w:rPr>
          <w:lang w:val="en-GB"/>
        </w:rPr>
        <w:t>Calavi</w:t>
      </w:r>
      <w:proofErr w:type="spellEnd"/>
      <w:r>
        <w:rPr>
          <w:lang w:val="en-GB"/>
        </w:rPr>
        <w:t>, Benin, 333p.</w:t>
      </w:r>
    </w:p>
    <w:p w14:paraId="7836862E" w14:textId="77777777" w:rsidR="00B05ED5" w:rsidRDefault="00460EE6">
      <w:pPr>
        <w:pStyle w:val="Body"/>
        <w:rPr>
          <w:lang w:val="en-GB"/>
        </w:rPr>
      </w:pPr>
      <w:proofErr w:type="spellStart"/>
      <w:r>
        <w:rPr>
          <w:lang w:val="en-GB"/>
        </w:rPr>
        <w:t>Akogbeto</w:t>
      </w:r>
      <w:proofErr w:type="spellEnd"/>
      <w:r>
        <w:rPr>
          <w:lang w:val="en-GB"/>
        </w:rPr>
        <w:t xml:space="preserve">, M.C., </w:t>
      </w:r>
      <w:proofErr w:type="spellStart"/>
      <w:r>
        <w:rPr>
          <w:lang w:val="en-GB"/>
        </w:rPr>
        <w:t>Djouaka</w:t>
      </w:r>
      <w:proofErr w:type="spellEnd"/>
      <w:r>
        <w:rPr>
          <w:lang w:val="en-GB"/>
        </w:rPr>
        <w:t xml:space="preserve">, R. &amp; </w:t>
      </w:r>
      <w:proofErr w:type="spellStart"/>
      <w:r>
        <w:rPr>
          <w:lang w:val="en-GB"/>
        </w:rPr>
        <w:t>Noukpo</w:t>
      </w:r>
      <w:proofErr w:type="spellEnd"/>
      <w:r>
        <w:rPr>
          <w:lang w:val="en-GB"/>
        </w:rPr>
        <w:t xml:space="preserve">, H. (2005). Use of Agricultural Insecticides in Benin. Bull Soc </w:t>
      </w:r>
      <w:proofErr w:type="spellStart"/>
      <w:r>
        <w:rPr>
          <w:lang w:val="en-GB"/>
        </w:rPr>
        <w:t>Pathol</w:t>
      </w:r>
      <w:proofErr w:type="spellEnd"/>
      <w:r>
        <w:rPr>
          <w:lang w:val="en-GB"/>
        </w:rPr>
        <w:t xml:space="preserve"> </w:t>
      </w:r>
      <w:proofErr w:type="spellStart"/>
      <w:r>
        <w:rPr>
          <w:lang w:val="en-GB"/>
        </w:rPr>
        <w:t>Exot</w:t>
      </w:r>
      <w:proofErr w:type="spellEnd"/>
      <w:r>
        <w:rPr>
          <w:lang w:val="en-GB"/>
        </w:rPr>
        <w:t>, 98: 400–405pp.</w:t>
      </w:r>
    </w:p>
    <w:p w14:paraId="5EC69CF4" w14:textId="77777777" w:rsidR="00B05ED5" w:rsidRDefault="00460EE6">
      <w:pPr>
        <w:pStyle w:val="Body"/>
        <w:rPr>
          <w:lang w:val="en-GB"/>
        </w:rPr>
      </w:pPr>
      <w:proofErr w:type="spellStart"/>
      <w:r>
        <w:rPr>
          <w:lang w:val="en-GB"/>
        </w:rPr>
        <w:t>Ballé</w:t>
      </w:r>
      <w:proofErr w:type="spellEnd"/>
      <w:r>
        <w:rPr>
          <w:lang w:val="en-GB"/>
        </w:rPr>
        <w:t xml:space="preserve">, S.G.R. (2024). Urban and peri-urban market gardening in the face of the scarcity of production factors in the city of </w:t>
      </w:r>
      <w:proofErr w:type="spellStart"/>
      <w:r>
        <w:rPr>
          <w:lang w:val="en-GB"/>
        </w:rPr>
        <w:t>Korhogo</w:t>
      </w:r>
      <w:proofErr w:type="spellEnd"/>
      <w:r>
        <w:rPr>
          <w:lang w:val="en-GB"/>
        </w:rPr>
        <w:t xml:space="preserve"> (Côte d'Ivoire). African Journal of Environment and Agriculture; 7(4), 56-66. DOI: https://dx.doi.org/10.4314/rafea.v7i4.7</w:t>
      </w:r>
    </w:p>
    <w:p w14:paraId="04801B6E" w14:textId="77777777" w:rsidR="00B05ED5" w:rsidRDefault="00460EE6">
      <w:pPr>
        <w:pStyle w:val="Body"/>
        <w:rPr>
          <w:lang w:val="en-GB"/>
        </w:rPr>
      </w:pPr>
      <w:proofErr w:type="spellStart"/>
      <w:r>
        <w:rPr>
          <w:lang w:val="en-GB"/>
        </w:rPr>
        <w:t>Bayendi</w:t>
      </w:r>
      <w:proofErr w:type="spellEnd"/>
      <w:r>
        <w:rPr>
          <w:lang w:val="en-GB"/>
        </w:rPr>
        <w:t xml:space="preserve">, L., Sandrine, M. </w:t>
      </w:r>
      <w:proofErr w:type="spellStart"/>
      <w:r>
        <w:rPr>
          <w:lang w:val="en-GB"/>
        </w:rPr>
        <w:t>Ndoutoume</w:t>
      </w:r>
      <w:proofErr w:type="spellEnd"/>
      <w:r>
        <w:rPr>
          <w:lang w:val="en-GB"/>
        </w:rPr>
        <w:t xml:space="preserve">, N. A. &amp; Francis, F. (2017). Peri-urban market gardening in Libreville and </w:t>
      </w:r>
      <w:proofErr w:type="spellStart"/>
      <w:r>
        <w:rPr>
          <w:lang w:val="en-GB"/>
        </w:rPr>
        <w:t>Owendo</w:t>
      </w:r>
      <w:proofErr w:type="spellEnd"/>
      <w:r>
        <w:rPr>
          <w:lang w:val="en-GB"/>
        </w:rPr>
        <w:t xml:space="preserve"> (Gabon): Cultural practices and sustainability. Cahiers Agricultures, 26(4). https://doi.org/10.1051/CAGRI/2017026.</w:t>
      </w:r>
    </w:p>
    <w:p w14:paraId="41A8F5D2" w14:textId="77777777" w:rsidR="00B05ED5" w:rsidRDefault="00460EE6">
      <w:pPr>
        <w:pStyle w:val="Body"/>
        <w:rPr>
          <w:lang w:val="en-GB"/>
        </w:rPr>
      </w:pPr>
      <w:proofErr w:type="spellStart"/>
      <w:r>
        <w:rPr>
          <w:lang w:val="en-GB"/>
        </w:rPr>
        <w:t>Benjamine</w:t>
      </w:r>
      <w:proofErr w:type="spellEnd"/>
      <w:r>
        <w:rPr>
          <w:lang w:val="en-GB"/>
        </w:rPr>
        <w:t xml:space="preserve">, A. &amp; </w:t>
      </w:r>
      <w:proofErr w:type="spellStart"/>
      <w:r>
        <w:rPr>
          <w:lang w:val="en-GB"/>
        </w:rPr>
        <w:t>Wadou</w:t>
      </w:r>
      <w:proofErr w:type="spellEnd"/>
      <w:r>
        <w:rPr>
          <w:lang w:val="en-GB"/>
        </w:rPr>
        <w:t xml:space="preserve">, B. (2023). Crop diversity and climate change adaptation strategies: The case of market gardening in the </w:t>
      </w:r>
      <w:proofErr w:type="spellStart"/>
      <w:r>
        <w:rPr>
          <w:lang w:val="en-GB"/>
        </w:rPr>
        <w:t>Maroua</w:t>
      </w:r>
      <w:proofErr w:type="spellEnd"/>
      <w:r>
        <w:rPr>
          <w:lang w:val="en-GB"/>
        </w:rPr>
        <w:t xml:space="preserve"> 1st district/Cameroon. https://doi.org/10.19044/esipreprint.7.2023.p116</w:t>
      </w:r>
    </w:p>
    <w:p w14:paraId="09EB4F3C" w14:textId="77777777" w:rsidR="00B05ED5" w:rsidRDefault="00460EE6">
      <w:pPr>
        <w:pStyle w:val="Body"/>
        <w:rPr>
          <w:lang w:val="en-GB"/>
        </w:rPr>
      </w:pPr>
      <w:r>
        <w:rPr>
          <w:lang w:val="en-GB"/>
        </w:rPr>
        <w:t xml:space="preserve">Boland, J. (2005). Urban agriculture: Growing vegetables in the city. 2nd edition, </w:t>
      </w:r>
      <w:proofErr w:type="spellStart"/>
      <w:r>
        <w:rPr>
          <w:lang w:val="en-GB"/>
        </w:rPr>
        <w:t>Agrodok</w:t>
      </w:r>
      <w:proofErr w:type="spellEnd"/>
      <w:r>
        <w:rPr>
          <w:lang w:val="en-GB"/>
        </w:rPr>
        <w:t xml:space="preserve"> Series No. 24. </w:t>
      </w:r>
      <w:proofErr w:type="spellStart"/>
      <w:r>
        <w:rPr>
          <w:lang w:val="en-GB"/>
        </w:rPr>
        <w:t>Agromisa</w:t>
      </w:r>
      <w:proofErr w:type="spellEnd"/>
      <w:r>
        <w:rPr>
          <w:lang w:val="en-GB"/>
        </w:rPr>
        <w:t xml:space="preserve"> Foundation, Wageningen.</w:t>
      </w:r>
    </w:p>
    <w:p w14:paraId="234B7163" w14:textId="77777777" w:rsidR="00B05ED5" w:rsidRDefault="00460EE6">
      <w:pPr>
        <w:pStyle w:val="Body"/>
        <w:rPr>
          <w:lang w:val="en-GB"/>
        </w:rPr>
      </w:pPr>
      <w:proofErr w:type="spellStart"/>
      <w:r>
        <w:rPr>
          <w:lang w:val="en-GB"/>
        </w:rPr>
        <w:lastRenderedPageBreak/>
        <w:t>Cissé</w:t>
      </w:r>
      <w:proofErr w:type="spellEnd"/>
      <w:r>
        <w:rPr>
          <w:lang w:val="en-GB"/>
        </w:rPr>
        <w:t xml:space="preserve">, A., </w:t>
      </w:r>
      <w:proofErr w:type="spellStart"/>
      <w:r>
        <w:rPr>
          <w:lang w:val="en-GB"/>
        </w:rPr>
        <w:t>Gueye</w:t>
      </w:r>
      <w:proofErr w:type="spellEnd"/>
      <w:r>
        <w:rPr>
          <w:lang w:val="en-GB"/>
        </w:rPr>
        <w:t xml:space="preserve">, C. M. L. B., </w:t>
      </w:r>
      <w:proofErr w:type="spellStart"/>
      <w:r>
        <w:rPr>
          <w:lang w:val="en-GB"/>
        </w:rPr>
        <w:t>Dia</w:t>
      </w:r>
      <w:proofErr w:type="spellEnd"/>
      <w:r>
        <w:rPr>
          <w:lang w:val="en-GB"/>
        </w:rPr>
        <w:t xml:space="preserve">, S., Kane, A., &amp; </w:t>
      </w:r>
      <w:proofErr w:type="spellStart"/>
      <w:r>
        <w:rPr>
          <w:lang w:val="en-GB"/>
        </w:rPr>
        <w:t>Sembène</w:t>
      </w:r>
      <w:proofErr w:type="spellEnd"/>
      <w:r>
        <w:rPr>
          <w:lang w:val="en-GB"/>
        </w:rPr>
        <w:t xml:space="preserve">, M. (2021). Pesticide choice and use in the </w:t>
      </w:r>
      <w:proofErr w:type="spellStart"/>
      <w:r>
        <w:rPr>
          <w:lang w:val="en-GB"/>
        </w:rPr>
        <w:t>Niayes</w:t>
      </w:r>
      <w:proofErr w:type="spellEnd"/>
      <w:r>
        <w:rPr>
          <w:lang w:val="en-GB"/>
        </w:rPr>
        <w:t xml:space="preserve"> area: The case of </w:t>
      </w:r>
      <w:proofErr w:type="spellStart"/>
      <w:r>
        <w:rPr>
          <w:lang w:val="en-GB"/>
        </w:rPr>
        <w:t>Notto</w:t>
      </w:r>
      <w:proofErr w:type="spellEnd"/>
      <w:r>
        <w:rPr>
          <w:lang w:val="en-GB"/>
        </w:rPr>
        <w:t xml:space="preserve"> </w:t>
      </w:r>
      <w:proofErr w:type="spellStart"/>
      <w:r>
        <w:rPr>
          <w:lang w:val="en-GB"/>
        </w:rPr>
        <w:t>Gouye</w:t>
      </w:r>
      <w:proofErr w:type="spellEnd"/>
      <w:r>
        <w:rPr>
          <w:lang w:val="en-GB"/>
        </w:rPr>
        <w:t xml:space="preserve"> </w:t>
      </w:r>
      <w:proofErr w:type="spellStart"/>
      <w:r>
        <w:rPr>
          <w:lang w:val="en-GB"/>
        </w:rPr>
        <w:t>Diama</w:t>
      </w:r>
      <w:proofErr w:type="spellEnd"/>
      <w:r>
        <w:rPr>
          <w:lang w:val="en-GB"/>
        </w:rPr>
        <w:t>. Afrique SCIENCE, 19(2), 55-67.</w:t>
      </w:r>
    </w:p>
    <w:p w14:paraId="2049AC79" w14:textId="77777777" w:rsidR="00B05ED5" w:rsidRDefault="00460EE6">
      <w:pPr>
        <w:pStyle w:val="Body"/>
        <w:rPr>
          <w:lang w:val="en-GB"/>
        </w:rPr>
      </w:pPr>
      <w:proofErr w:type="spellStart"/>
      <w:r>
        <w:rPr>
          <w:lang w:val="en-GB"/>
        </w:rPr>
        <w:t>Cissé</w:t>
      </w:r>
      <w:proofErr w:type="spellEnd"/>
      <w:r>
        <w:rPr>
          <w:lang w:val="en-GB"/>
        </w:rPr>
        <w:t xml:space="preserve"> G., Matthys B. &amp; </w:t>
      </w:r>
      <w:proofErr w:type="spellStart"/>
      <w:r>
        <w:rPr>
          <w:lang w:val="en-GB"/>
        </w:rPr>
        <w:t>Adiko</w:t>
      </w:r>
      <w:proofErr w:type="spellEnd"/>
      <w:r>
        <w:rPr>
          <w:lang w:val="en-GB"/>
        </w:rPr>
        <w:t xml:space="preserve"> A.F. (2006). The social network of market gardeners in Abidjan acts on the perception of concerns and health risks linked to water, Vertigo - The Electronic Review of Environmental Sciences, Special Edition 3</w:t>
      </w:r>
    </w:p>
    <w:p w14:paraId="456A58B3" w14:textId="77777777" w:rsidR="00B05ED5" w:rsidRDefault="00460EE6">
      <w:pPr>
        <w:pStyle w:val="Body"/>
        <w:rPr>
          <w:lang w:val="fr-FR"/>
        </w:rPr>
      </w:pPr>
      <w:proofErr w:type="spellStart"/>
      <w:r w:rsidRPr="00B467AE">
        <w:rPr>
          <w:lang w:val="en-GB"/>
        </w:rPr>
        <w:t>Dasylva</w:t>
      </w:r>
      <w:proofErr w:type="spellEnd"/>
      <w:r w:rsidRPr="00B467AE">
        <w:rPr>
          <w:lang w:val="en-GB"/>
        </w:rPr>
        <w:t xml:space="preserve">, M., </w:t>
      </w:r>
      <w:proofErr w:type="spellStart"/>
      <w:r w:rsidRPr="00B467AE">
        <w:rPr>
          <w:lang w:val="en-GB"/>
        </w:rPr>
        <w:t>Ndour</w:t>
      </w:r>
      <w:proofErr w:type="spellEnd"/>
      <w:r w:rsidRPr="00B467AE">
        <w:rPr>
          <w:lang w:val="en-GB"/>
        </w:rPr>
        <w:t xml:space="preserve">, N., &amp; Diallo, A. (2023). Diversity and Characteristics of Plant Agricultural Production Systems in the Municipality of </w:t>
      </w:r>
      <w:proofErr w:type="spellStart"/>
      <w:r w:rsidRPr="00B467AE">
        <w:rPr>
          <w:lang w:val="en-GB"/>
        </w:rPr>
        <w:t>Ziguinchor</w:t>
      </w:r>
      <w:proofErr w:type="spellEnd"/>
      <w:r w:rsidRPr="00B467AE">
        <w:rPr>
          <w:lang w:val="en-GB"/>
        </w:rPr>
        <w:t xml:space="preserve">, Senegal. </w:t>
      </w:r>
      <w:proofErr w:type="spellStart"/>
      <w:r>
        <w:rPr>
          <w:lang w:val="fr-FR"/>
        </w:rPr>
        <w:t>European</w:t>
      </w:r>
      <w:proofErr w:type="spellEnd"/>
      <w:r>
        <w:rPr>
          <w:lang w:val="fr-FR"/>
        </w:rPr>
        <w:t xml:space="preserve"> Scientific Journal, 19(3), 120-147. https://www.academia.edu/download/101708220/16396-Article_Text-47416-3-10-20230131.pdf</w:t>
      </w:r>
    </w:p>
    <w:p w14:paraId="1BD9B474" w14:textId="77777777" w:rsidR="00B05ED5" w:rsidRDefault="00460EE6">
      <w:pPr>
        <w:pStyle w:val="Body"/>
        <w:rPr>
          <w:lang w:val="fr-FR"/>
        </w:rPr>
      </w:pPr>
      <w:proofErr w:type="spellStart"/>
      <w:r w:rsidRPr="00B467AE">
        <w:rPr>
          <w:lang w:val="en-GB"/>
        </w:rPr>
        <w:t>Diao</w:t>
      </w:r>
      <w:proofErr w:type="spellEnd"/>
      <w:r w:rsidRPr="00B467AE">
        <w:rPr>
          <w:lang w:val="en-GB"/>
        </w:rPr>
        <w:t xml:space="preserve"> Maty, B. (2004). Situation and Constraints of Urban and Peri-Urban Horticultural and Animal Production Systems in the Dakar Region. </w:t>
      </w:r>
      <w:r>
        <w:rPr>
          <w:lang w:val="fr-FR"/>
        </w:rPr>
        <w:t>Cahiers Agricultures, 13(1), 39-49.</w:t>
      </w:r>
    </w:p>
    <w:p w14:paraId="09EC8F6D" w14:textId="77777777" w:rsidR="00B05ED5" w:rsidRPr="00B467AE" w:rsidRDefault="00460EE6">
      <w:pPr>
        <w:pStyle w:val="Body"/>
        <w:rPr>
          <w:lang w:val="en-GB"/>
        </w:rPr>
      </w:pPr>
      <w:proofErr w:type="spellStart"/>
      <w:r>
        <w:rPr>
          <w:lang w:val="fr-FR"/>
        </w:rPr>
        <w:t>Doudoua</w:t>
      </w:r>
      <w:proofErr w:type="spellEnd"/>
      <w:r>
        <w:rPr>
          <w:lang w:val="fr-FR"/>
        </w:rPr>
        <w:t xml:space="preserve">, Y., </w:t>
      </w:r>
      <w:proofErr w:type="spellStart"/>
      <w:r>
        <w:rPr>
          <w:lang w:val="fr-FR"/>
        </w:rPr>
        <w:t>Yengué</w:t>
      </w:r>
      <w:proofErr w:type="spellEnd"/>
      <w:r>
        <w:rPr>
          <w:lang w:val="fr-FR"/>
        </w:rPr>
        <w:t xml:space="preserve">, J.L., &amp; </w:t>
      </w:r>
      <w:proofErr w:type="spellStart"/>
      <w:r>
        <w:rPr>
          <w:lang w:val="fr-FR"/>
        </w:rPr>
        <w:t>Djondang</w:t>
      </w:r>
      <w:proofErr w:type="spellEnd"/>
      <w:r>
        <w:rPr>
          <w:lang w:val="fr-FR"/>
        </w:rPr>
        <w:t xml:space="preserve">, K. (2020). </w:t>
      </w:r>
      <w:r w:rsidRPr="00B467AE">
        <w:rPr>
          <w:lang w:val="en-GB"/>
        </w:rPr>
        <w:t xml:space="preserve">Market Gardening: Production Techniques and Difficulties Encountered by Producers in </w:t>
      </w:r>
      <w:proofErr w:type="spellStart"/>
      <w:r w:rsidRPr="00B467AE">
        <w:rPr>
          <w:lang w:val="en-GB"/>
        </w:rPr>
        <w:t>Moundou</w:t>
      </w:r>
      <w:proofErr w:type="spellEnd"/>
      <w:r w:rsidRPr="00B467AE">
        <w:rPr>
          <w:lang w:val="en-GB"/>
        </w:rPr>
        <w:t>, Chad. Space, Territories, Societies and Health Review, Vol. 3, No. 5, June 2020, pp. 49-66.</w:t>
      </w:r>
    </w:p>
    <w:p w14:paraId="5346EE70" w14:textId="77777777" w:rsidR="00B05ED5" w:rsidRPr="00B467AE" w:rsidRDefault="00460EE6">
      <w:pPr>
        <w:pStyle w:val="Body"/>
        <w:rPr>
          <w:lang w:val="en-GB"/>
        </w:rPr>
      </w:pPr>
      <w:proofErr w:type="spellStart"/>
      <w:r w:rsidRPr="00B467AE">
        <w:rPr>
          <w:lang w:val="en-GB"/>
        </w:rPr>
        <w:t>Fifatin</w:t>
      </w:r>
      <w:proofErr w:type="spellEnd"/>
      <w:r w:rsidRPr="00B467AE">
        <w:rPr>
          <w:lang w:val="en-GB"/>
        </w:rPr>
        <w:t xml:space="preserve">, M-A M., </w:t>
      </w:r>
      <w:proofErr w:type="spellStart"/>
      <w:r w:rsidRPr="00B467AE">
        <w:rPr>
          <w:lang w:val="en-GB"/>
        </w:rPr>
        <w:t>Ahouangninou</w:t>
      </w:r>
      <w:proofErr w:type="spellEnd"/>
      <w:r w:rsidRPr="00B467AE">
        <w:rPr>
          <w:lang w:val="en-GB"/>
        </w:rPr>
        <w:t xml:space="preserve">, C., </w:t>
      </w:r>
      <w:proofErr w:type="spellStart"/>
      <w:r w:rsidRPr="00B467AE">
        <w:rPr>
          <w:lang w:val="en-GB"/>
        </w:rPr>
        <w:t>Ayena</w:t>
      </w:r>
      <w:proofErr w:type="spellEnd"/>
      <w:r w:rsidRPr="00B467AE">
        <w:rPr>
          <w:lang w:val="en-GB"/>
        </w:rPr>
        <w:t xml:space="preserve">, A.A., </w:t>
      </w:r>
      <w:proofErr w:type="spellStart"/>
      <w:r w:rsidRPr="00B467AE">
        <w:rPr>
          <w:lang w:val="en-GB"/>
        </w:rPr>
        <w:t>Massede</w:t>
      </w:r>
      <w:proofErr w:type="spellEnd"/>
      <w:r w:rsidRPr="00B467AE">
        <w:rPr>
          <w:lang w:val="en-GB"/>
        </w:rPr>
        <w:t xml:space="preserve">, S. &amp; </w:t>
      </w:r>
      <w:proofErr w:type="spellStart"/>
      <w:r w:rsidRPr="00B467AE">
        <w:rPr>
          <w:lang w:val="en-GB"/>
        </w:rPr>
        <w:t>Tente</w:t>
      </w:r>
      <w:proofErr w:type="spellEnd"/>
      <w:r w:rsidRPr="00B467AE">
        <w:rPr>
          <w:lang w:val="en-GB"/>
        </w:rPr>
        <w:t>, B., (2020). Analysis of Chemical Input Management in Market Gardening in the Municipality of Tori-</w:t>
      </w:r>
      <w:proofErr w:type="spellStart"/>
      <w:r w:rsidRPr="00B467AE">
        <w:rPr>
          <w:lang w:val="en-GB"/>
        </w:rPr>
        <w:t>Bossito</w:t>
      </w:r>
      <w:proofErr w:type="spellEnd"/>
      <w:r w:rsidRPr="00B467AE">
        <w:rPr>
          <w:lang w:val="en-GB"/>
        </w:rPr>
        <w:t xml:space="preserve"> in Benin. International Journal of Progressive Sciences and Technologies, Vol. 22 No. 2, pp. 60-71</w:t>
      </w:r>
    </w:p>
    <w:p w14:paraId="63360E1C" w14:textId="77777777" w:rsidR="00B05ED5" w:rsidRPr="00B467AE" w:rsidRDefault="00460EE6">
      <w:pPr>
        <w:pStyle w:val="Body"/>
        <w:rPr>
          <w:lang w:val="en-GB"/>
        </w:rPr>
      </w:pPr>
      <w:proofErr w:type="spellStart"/>
      <w:r w:rsidRPr="00B467AE">
        <w:rPr>
          <w:lang w:val="en-GB"/>
        </w:rPr>
        <w:t>Ganacadja</w:t>
      </w:r>
      <w:proofErr w:type="spellEnd"/>
      <w:r w:rsidRPr="00B467AE">
        <w:rPr>
          <w:lang w:val="en-GB"/>
        </w:rPr>
        <w:t xml:space="preserve">, C., </w:t>
      </w:r>
      <w:proofErr w:type="spellStart"/>
      <w:r w:rsidRPr="00B467AE">
        <w:rPr>
          <w:lang w:val="en-GB"/>
        </w:rPr>
        <w:t>Mavoungou</w:t>
      </w:r>
      <w:proofErr w:type="spellEnd"/>
      <w:r w:rsidRPr="00B467AE">
        <w:rPr>
          <w:lang w:val="en-GB"/>
        </w:rPr>
        <w:t xml:space="preserve">, J. F., </w:t>
      </w:r>
      <w:proofErr w:type="spellStart"/>
      <w:r w:rsidRPr="00B467AE">
        <w:rPr>
          <w:lang w:val="en-GB"/>
        </w:rPr>
        <w:t>Mouketou</w:t>
      </w:r>
      <w:proofErr w:type="spellEnd"/>
      <w:r w:rsidRPr="00B467AE">
        <w:rPr>
          <w:lang w:val="en-GB"/>
        </w:rPr>
        <w:t xml:space="preserve">, A., </w:t>
      </w:r>
      <w:proofErr w:type="spellStart"/>
      <w:r w:rsidRPr="00B467AE">
        <w:rPr>
          <w:lang w:val="en-GB"/>
        </w:rPr>
        <w:t>Biroungou</w:t>
      </w:r>
      <w:proofErr w:type="spellEnd"/>
      <w:r w:rsidRPr="00B467AE">
        <w:rPr>
          <w:lang w:val="en-GB"/>
        </w:rPr>
        <w:t xml:space="preserve">, C. &amp; </w:t>
      </w:r>
      <w:proofErr w:type="spellStart"/>
      <w:r w:rsidRPr="00B467AE">
        <w:rPr>
          <w:lang w:val="en-GB"/>
        </w:rPr>
        <w:t>Nzengue</w:t>
      </w:r>
      <w:proofErr w:type="spellEnd"/>
      <w:r w:rsidRPr="00B467AE">
        <w:rPr>
          <w:lang w:val="en-GB"/>
        </w:rPr>
        <w:t>, E. (2022). Analysis of Some Characteristics of the Market Gardening Sector in Three Provinces of Gabon. ESI Preprints, August 2022. https://doi.org/10.19044/esipreprint.8.2022.p55</w:t>
      </w:r>
    </w:p>
    <w:p w14:paraId="2BC836B1" w14:textId="77777777" w:rsidR="00B05ED5" w:rsidRPr="00B467AE" w:rsidRDefault="00460EE6">
      <w:pPr>
        <w:pStyle w:val="Body"/>
        <w:rPr>
          <w:lang w:val="en-GB"/>
        </w:rPr>
      </w:pPr>
      <w:r w:rsidRPr="00B467AE">
        <w:rPr>
          <w:lang w:val="en-GB"/>
        </w:rPr>
        <w:t>Gross, M. (2023). Human population at the crossroads, 2023. Current Biology, Volume 33, Issue 1, 9 January 2023, Pages R1-R3.</w:t>
      </w:r>
    </w:p>
    <w:p w14:paraId="3AE6FB12" w14:textId="77777777" w:rsidR="00B05ED5" w:rsidRPr="00B467AE" w:rsidRDefault="00460EE6">
      <w:pPr>
        <w:pStyle w:val="Body"/>
        <w:rPr>
          <w:lang w:val="en-GB"/>
        </w:rPr>
      </w:pPr>
      <w:r w:rsidRPr="00B467AE">
        <w:rPr>
          <w:lang w:val="en-GB"/>
        </w:rPr>
        <w:t xml:space="preserve">Jacobi P., Amend J &amp; </w:t>
      </w:r>
      <w:proofErr w:type="spellStart"/>
      <w:r w:rsidRPr="00B467AE">
        <w:rPr>
          <w:lang w:val="en-GB"/>
        </w:rPr>
        <w:t>Kiango</w:t>
      </w:r>
      <w:proofErr w:type="spellEnd"/>
      <w:r w:rsidRPr="00B467AE">
        <w:rPr>
          <w:lang w:val="en-GB"/>
        </w:rPr>
        <w:t xml:space="preserve"> S. (2000). Urban agriculture in Dar es Salaam: providing for an essential part of the diet. In Bakker N et al (Eds) Growing cities, growing food: Urban agriculture on the policy agenda. German Foundation for International Development: </w:t>
      </w:r>
      <w:proofErr w:type="spellStart"/>
      <w:r w:rsidRPr="00B467AE">
        <w:rPr>
          <w:lang w:val="en-GB"/>
        </w:rPr>
        <w:t>Feldafing</w:t>
      </w:r>
      <w:proofErr w:type="spellEnd"/>
      <w:r w:rsidRPr="00B467AE">
        <w:rPr>
          <w:lang w:val="en-GB"/>
        </w:rPr>
        <w:t>, Germany.</w:t>
      </w:r>
    </w:p>
    <w:p w14:paraId="4A3AA20D" w14:textId="77777777" w:rsidR="00B05ED5" w:rsidRDefault="00460EE6">
      <w:pPr>
        <w:pStyle w:val="Body"/>
        <w:rPr>
          <w:lang w:val="fr-FR"/>
        </w:rPr>
      </w:pPr>
      <w:r w:rsidRPr="00B467AE">
        <w:rPr>
          <w:lang w:val="en-GB"/>
        </w:rPr>
        <w:t xml:space="preserve">James, B., </w:t>
      </w:r>
      <w:proofErr w:type="spellStart"/>
      <w:r w:rsidRPr="00B467AE">
        <w:rPr>
          <w:lang w:val="en-GB"/>
        </w:rPr>
        <w:t>Atcha-Ahowe</w:t>
      </w:r>
      <w:proofErr w:type="spellEnd"/>
      <w:r w:rsidRPr="00B467AE">
        <w:rPr>
          <w:lang w:val="en-GB"/>
        </w:rPr>
        <w:t xml:space="preserve">, C., </w:t>
      </w:r>
      <w:proofErr w:type="spellStart"/>
      <w:r w:rsidRPr="00B467AE">
        <w:rPr>
          <w:lang w:val="en-GB"/>
        </w:rPr>
        <w:t>Godonou</w:t>
      </w:r>
      <w:proofErr w:type="spellEnd"/>
      <w:r w:rsidRPr="00B467AE">
        <w:rPr>
          <w:lang w:val="en-GB"/>
        </w:rPr>
        <w:t xml:space="preserve">, I., </w:t>
      </w:r>
      <w:proofErr w:type="spellStart"/>
      <w:r w:rsidRPr="00B467AE">
        <w:rPr>
          <w:lang w:val="en-GB"/>
        </w:rPr>
        <w:t>Baimey</w:t>
      </w:r>
      <w:proofErr w:type="spellEnd"/>
      <w:r w:rsidRPr="00B467AE">
        <w:rPr>
          <w:lang w:val="en-GB"/>
        </w:rPr>
        <w:t xml:space="preserve">, H., </w:t>
      </w:r>
      <w:proofErr w:type="spellStart"/>
      <w:r w:rsidRPr="00B467AE">
        <w:rPr>
          <w:lang w:val="en-GB"/>
        </w:rPr>
        <w:t>Goergen</w:t>
      </w:r>
      <w:proofErr w:type="spellEnd"/>
      <w:r w:rsidRPr="00B467AE">
        <w:rPr>
          <w:lang w:val="en-GB"/>
        </w:rPr>
        <w:t xml:space="preserve">, G., </w:t>
      </w:r>
      <w:proofErr w:type="spellStart"/>
      <w:r w:rsidRPr="00B467AE">
        <w:rPr>
          <w:lang w:val="en-GB"/>
        </w:rPr>
        <w:t>Sikirou</w:t>
      </w:r>
      <w:proofErr w:type="spellEnd"/>
      <w:r w:rsidRPr="00B467AE">
        <w:rPr>
          <w:lang w:val="en-GB"/>
        </w:rPr>
        <w:t xml:space="preserve">, R., &amp; </w:t>
      </w:r>
      <w:proofErr w:type="spellStart"/>
      <w:r w:rsidRPr="00B467AE">
        <w:rPr>
          <w:lang w:val="en-GB"/>
        </w:rPr>
        <w:t>Toko</w:t>
      </w:r>
      <w:proofErr w:type="spellEnd"/>
      <w:r w:rsidRPr="00B467AE">
        <w:rPr>
          <w:lang w:val="en-GB"/>
        </w:rPr>
        <w:t xml:space="preserve">, M. (2010). Integrated Pest Management in Vegetable Production: A Guide for Extension Agents in West Africa. </w:t>
      </w:r>
      <w:r>
        <w:rPr>
          <w:lang w:val="fr-FR"/>
        </w:rPr>
        <w:t>International Institute of Tropical Agriculture (IITA), Ibadan, Nigeria. 2010, 120p.</w:t>
      </w:r>
    </w:p>
    <w:p w14:paraId="4667B59F" w14:textId="77777777" w:rsidR="00B05ED5" w:rsidRPr="00B467AE" w:rsidRDefault="00460EE6">
      <w:pPr>
        <w:pStyle w:val="Body"/>
        <w:rPr>
          <w:lang w:val="en-GB"/>
        </w:rPr>
      </w:pPr>
      <w:r>
        <w:rPr>
          <w:lang w:val="fr-FR"/>
        </w:rPr>
        <w:t xml:space="preserve">Jean Luc ST-P. (2022). </w:t>
      </w:r>
      <w:r w:rsidRPr="00B467AE">
        <w:rPr>
          <w:lang w:val="en-GB"/>
        </w:rPr>
        <w:t xml:space="preserve">Contribution to Peri-Urban Market Gardening through the Analysis of Vegetable Production in the Commune of </w:t>
      </w:r>
      <w:proofErr w:type="spellStart"/>
      <w:r w:rsidRPr="00B467AE">
        <w:rPr>
          <w:lang w:val="en-GB"/>
        </w:rPr>
        <w:t>Kenscoff</w:t>
      </w:r>
      <w:proofErr w:type="spellEnd"/>
      <w:r w:rsidRPr="00B467AE">
        <w:rPr>
          <w:lang w:val="en-GB"/>
        </w:rPr>
        <w:t xml:space="preserve"> (Haiti): The Case of the Grand Fond Communal Section. Master's Thesis in Integrated Production and Preservation of Natural Resources in Urban and Peri-Urban Environments, University of Gembloux </w:t>
      </w:r>
      <w:proofErr w:type="spellStart"/>
      <w:r w:rsidRPr="00B467AE">
        <w:rPr>
          <w:lang w:val="en-GB"/>
        </w:rPr>
        <w:t>Agro</w:t>
      </w:r>
      <w:proofErr w:type="spellEnd"/>
      <w:r w:rsidRPr="00B467AE">
        <w:rPr>
          <w:lang w:val="en-GB"/>
        </w:rPr>
        <w:t>-Bio Tech. http://hdl.handle.net/2268.2/16318</w:t>
      </w:r>
    </w:p>
    <w:p w14:paraId="13AF79FE" w14:textId="77777777" w:rsidR="00B05ED5" w:rsidRPr="00B467AE" w:rsidRDefault="00460EE6">
      <w:pPr>
        <w:pStyle w:val="Body"/>
        <w:rPr>
          <w:lang w:val="en-GB"/>
        </w:rPr>
      </w:pPr>
      <w:r w:rsidRPr="00B467AE">
        <w:rPr>
          <w:lang w:val="en-GB"/>
        </w:rPr>
        <w:t xml:space="preserve">Kanda, M., Wala, K., </w:t>
      </w:r>
      <w:proofErr w:type="spellStart"/>
      <w:r w:rsidRPr="00B467AE">
        <w:rPr>
          <w:lang w:val="en-GB"/>
        </w:rPr>
        <w:t>Batawila</w:t>
      </w:r>
      <w:proofErr w:type="spellEnd"/>
      <w:r w:rsidRPr="00B467AE">
        <w:rPr>
          <w:lang w:val="en-GB"/>
        </w:rPr>
        <w:t xml:space="preserve">, K., </w:t>
      </w:r>
      <w:proofErr w:type="spellStart"/>
      <w:r w:rsidRPr="00B467AE">
        <w:rPr>
          <w:lang w:val="en-GB"/>
        </w:rPr>
        <w:t>Djaneye-Boundjou</w:t>
      </w:r>
      <w:proofErr w:type="spellEnd"/>
      <w:r w:rsidRPr="00B467AE">
        <w:rPr>
          <w:lang w:val="en-GB"/>
        </w:rPr>
        <w:t xml:space="preserve">, G., </w:t>
      </w:r>
      <w:proofErr w:type="spellStart"/>
      <w:r w:rsidRPr="00B467AE">
        <w:rPr>
          <w:lang w:val="en-GB"/>
        </w:rPr>
        <w:t>Ahanchede</w:t>
      </w:r>
      <w:proofErr w:type="spellEnd"/>
      <w:r w:rsidRPr="00B467AE">
        <w:rPr>
          <w:lang w:val="en-GB"/>
        </w:rPr>
        <w:t xml:space="preserve">, A. &amp; </w:t>
      </w:r>
      <w:proofErr w:type="spellStart"/>
      <w:r w:rsidRPr="00B467AE">
        <w:rPr>
          <w:lang w:val="en-GB"/>
        </w:rPr>
        <w:t>Akpagana</w:t>
      </w:r>
      <w:proofErr w:type="spellEnd"/>
      <w:r w:rsidRPr="00B467AE">
        <w:rPr>
          <w:lang w:val="en-GB"/>
        </w:rPr>
        <w:t>, K. (2009). Peri-urban market gardening in Lomé: cultural practices, health risks, and spatial dynamics, Cahiers Agricultures, 18, 4 (2009) 356-363 p.</w:t>
      </w:r>
    </w:p>
    <w:p w14:paraId="4DE7C7F6" w14:textId="77777777" w:rsidR="00B05ED5" w:rsidRDefault="00460EE6">
      <w:pPr>
        <w:pStyle w:val="Body"/>
        <w:rPr>
          <w:lang w:val="fr-FR"/>
        </w:rPr>
      </w:pPr>
      <w:r w:rsidRPr="00B467AE">
        <w:rPr>
          <w:lang w:val="en-GB"/>
        </w:rPr>
        <w:lastRenderedPageBreak/>
        <w:t xml:space="preserve">Kanda M., </w:t>
      </w:r>
      <w:proofErr w:type="spellStart"/>
      <w:r w:rsidRPr="00B467AE">
        <w:rPr>
          <w:lang w:val="en-GB"/>
        </w:rPr>
        <w:t>Akpavi</w:t>
      </w:r>
      <w:proofErr w:type="spellEnd"/>
      <w:r w:rsidRPr="00B467AE">
        <w:rPr>
          <w:lang w:val="en-GB"/>
        </w:rPr>
        <w:t xml:space="preserve"> S., Wala K., </w:t>
      </w:r>
      <w:proofErr w:type="spellStart"/>
      <w:r w:rsidRPr="00B467AE">
        <w:rPr>
          <w:lang w:val="en-GB"/>
        </w:rPr>
        <w:t>Boundjou</w:t>
      </w:r>
      <w:proofErr w:type="spellEnd"/>
      <w:r w:rsidRPr="00B467AE">
        <w:rPr>
          <w:lang w:val="en-GB"/>
        </w:rPr>
        <w:t xml:space="preserve"> GD., &amp; </w:t>
      </w:r>
      <w:proofErr w:type="spellStart"/>
      <w:r w:rsidRPr="00B467AE">
        <w:rPr>
          <w:lang w:val="en-GB"/>
        </w:rPr>
        <w:t>Akpagana</w:t>
      </w:r>
      <w:proofErr w:type="spellEnd"/>
      <w:r w:rsidRPr="00B467AE">
        <w:rPr>
          <w:lang w:val="en-GB"/>
        </w:rPr>
        <w:t xml:space="preserve"> K. (2014). Diversity of cultivated species and constraints to production in market gardening in Togo. Int. J. Biol. </w:t>
      </w:r>
      <w:proofErr w:type="spellStart"/>
      <w:r>
        <w:rPr>
          <w:lang w:val="fr-FR"/>
        </w:rPr>
        <w:t>Chem</w:t>
      </w:r>
      <w:proofErr w:type="spellEnd"/>
      <w:r>
        <w:rPr>
          <w:lang w:val="fr-FR"/>
        </w:rPr>
        <w:t xml:space="preserve">. </w:t>
      </w:r>
      <w:proofErr w:type="spellStart"/>
      <w:r>
        <w:rPr>
          <w:lang w:val="fr-FR"/>
        </w:rPr>
        <w:t>Sci</w:t>
      </w:r>
      <w:proofErr w:type="spellEnd"/>
      <w:r>
        <w:rPr>
          <w:lang w:val="fr-FR"/>
        </w:rPr>
        <w:t>. 8(1): pp. 115-127.</w:t>
      </w:r>
    </w:p>
    <w:p w14:paraId="4FEEF52B" w14:textId="77777777" w:rsidR="00B05ED5" w:rsidRPr="00B467AE" w:rsidRDefault="00460EE6">
      <w:pPr>
        <w:pStyle w:val="Body"/>
        <w:rPr>
          <w:lang w:val="en-GB"/>
        </w:rPr>
      </w:pPr>
      <w:proofErr w:type="spellStart"/>
      <w:r>
        <w:rPr>
          <w:lang w:val="fr-FR"/>
        </w:rPr>
        <w:t>Koffié-Bikpo</w:t>
      </w:r>
      <w:proofErr w:type="spellEnd"/>
      <w:r>
        <w:rPr>
          <w:lang w:val="fr-FR"/>
        </w:rPr>
        <w:t xml:space="preserve">, C.Y. &amp; </w:t>
      </w:r>
      <w:proofErr w:type="spellStart"/>
      <w:r>
        <w:rPr>
          <w:lang w:val="fr-FR"/>
        </w:rPr>
        <w:t>Adaye</w:t>
      </w:r>
      <w:proofErr w:type="spellEnd"/>
      <w:r>
        <w:rPr>
          <w:lang w:val="fr-FR"/>
        </w:rPr>
        <w:t xml:space="preserve">, A.A. (2014). </w:t>
      </w:r>
      <w:r w:rsidRPr="00B467AE">
        <w:rPr>
          <w:lang w:val="en-GB"/>
        </w:rPr>
        <w:t>Commercial agriculture in Abidjan: the case of market gardening. For, (4), 141-149.</w:t>
      </w:r>
    </w:p>
    <w:p w14:paraId="1D40536E" w14:textId="77777777" w:rsidR="00B05ED5" w:rsidRDefault="00460EE6">
      <w:pPr>
        <w:pStyle w:val="Body"/>
        <w:rPr>
          <w:lang w:val="fr-FR"/>
        </w:rPr>
      </w:pPr>
      <w:proofErr w:type="spellStart"/>
      <w:r w:rsidRPr="00B467AE">
        <w:rPr>
          <w:lang w:val="en-GB"/>
        </w:rPr>
        <w:t>Dasylva</w:t>
      </w:r>
      <w:proofErr w:type="spellEnd"/>
      <w:r w:rsidRPr="00B467AE">
        <w:rPr>
          <w:lang w:val="en-GB"/>
        </w:rPr>
        <w:t xml:space="preserve">, M., </w:t>
      </w:r>
      <w:proofErr w:type="spellStart"/>
      <w:r w:rsidRPr="00B467AE">
        <w:rPr>
          <w:lang w:val="en-GB"/>
        </w:rPr>
        <w:t>Ndour</w:t>
      </w:r>
      <w:proofErr w:type="spellEnd"/>
      <w:r w:rsidRPr="00B467AE">
        <w:rPr>
          <w:lang w:val="en-GB"/>
        </w:rPr>
        <w:t xml:space="preserve">, N., &amp; Diallo, A. (2023). Diversity and Characteristics of Plant Agricultural Production Systems in the Municipality of </w:t>
      </w:r>
      <w:proofErr w:type="spellStart"/>
      <w:r w:rsidRPr="00B467AE">
        <w:rPr>
          <w:lang w:val="en-GB"/>
        </w:rPr>
        <w:t>Ziguinchor</w:t>
      </w:r>
      <w:proofErr w:type="spellEnd"/>
      <w:r w:rsidRPr="00B467AE">
        <w:rPr>
          <w:lang w:val="en-GB"/>
        </w:rPr>
        <w:t xml:space="preserve">, Senegal. </w:t>
      </w:r>
      <w:proofErr w:type="spellStart"/>
      <w:r>
        <w:rPr>
          <w:lang w:val="fr-FR"/>
        </w:rPr>
        <w:t>European</w:t>
      </w:r>
      <w:proofErr w:type="spellEnd"/>
      <w:r>
        <w:rPr>
          <w:lang w:val="fr-FR"/>
        </w:rPr>
        <w:t xml:space="preserve"> Scientific Journal, 19(3), 120-147. https://www.academia.edu/download/101708220/16396-Article_Text-47416-3-10-20230131.pdf</w:t>
      </w:r>
    </w:p>
    <w:p w14:paraId="47CD7083" w14:textId="77777777" w:rsidR="00B05ED5" w:rsidRDefault="00460EE6">
      <w:pPr>
        <w:pStyle w:val="Body"/>
        <w:rPr>
          <w:lang w:val="fr-FR"/>
        </w:rPr>
      </w:pPr>
      <w:proofErr w:type="spellStart"/>
      <w:r w:rsidRPr="00B467AE">
        <w:rPr>
          <w:lang w:val="en-GB"/>
        </w:rPr>
        <w:t>Diao</w:t>
      </w:r>
      <w:proofErr w:type="spellEnd"/>
      <w:r w:rsidRPr="00B467AE">
        <w:rPr>
          <w:lang w:val="en-GB"/>
        </w:rPr>
        <w:t xml:space="preserve"> Maty, B. (2004). Situation and Constraints of Urban and Peri-Urban Horticultural and Animal Production Systems in the Dakar Region. </w:t>
      </w:r>
      <w:r>
        <w:rPr>
          <w:lang w:val="fr-FR"/>
        </w:rPr>
        <w:t>Cahiers Agricultures, 13(1), 39-49.</w:t>
      </w:r>
    </w:p>
    <w:p w14:paraId="2F622B5B" w14:textId="77777777" w:rsidR="00B05ED5" w:rsidRPr="00B467AE" w:rsidRDefault="00460EE6">
      <w:pPr>
        <w:pStyle w:val="Body"/>
        <w:rPr>
          <w:lang w:val="en-GB"/>
        </w:rPr>
      </w:pPr>
      <w:proofErr w:type="spellStart"/>
      <w:r>
        <w:rPr>
          <w:lang w:val="fr-FR"/>
        </w:rPr>
        <w:t>Doudoua</w:t>
      </w:r>
      <w:proofErr w:type="spellEnd"/>
      <w:r>
        <w:rPr>
          <w:lang w:val="fr-FR"/>
        </w:rPr>
        <w:t xml:space="preserve">, Y., </w:t>
      </w:r>
      <w:proofErr w:type="spellStart"/>
      <w:r>
        <w:rPr>
          <w:lang w:val="fr-FR"/>
        </w:rPr>
        <w:t>Yengué</w:t>
      </w:r>
      <w:proofErr w:type="spellEnd"/>
      <w:r>
        <w:rPr>
          <w:lang w:val="fr-FR"/>
        </w:rPr>
        <w:t xml:space="preserve">, J.L., &amp; </w:t>
      </w:r>
      <w:proofErr w:type="spellStart"/>
      <w:r>
        <w:rPr>
          <w:lang w:val="fr-FR"/>
        </w:rPr>
        <w:t>Djondang</w:t>
      </w:r>
      <w:proofErr w:type="spellEnd"/>
      <w:r>
        <w:rPr>
          <w:lang w:val="fr-FR"/>
        </w:rPr>
        <w:t xml:space="preserve">, K. (2020). </w:t>
      </w:r>
      <w:r w:rsidRPr="00B467AE">
        <w:rPr>
          <w:lang w:val="en-GB"/>
        </w:rPr>
        <w:t xml:space="preserve">Market Gardening: Production Techniques and Difficulties Encountered by Producers in </w:t>
      </w:r>
      <w:proofErr w:type="spellStart"/>
      <w:r w:rsidRPr="00B467AE">
        <w:rPr>
          <w:lang w:val="en-GB"/>
        </w:rPr>
        <w:t>Moundou</w:t>
      </w:r>
      <w:proofErr w:type="spellEnd"/>
      <w:r w:rsidRPr="00B467AE">
        <w:rPr>
          <w:lang w:val="en-GB"/>
        </w:rPr>
        <w:t>, Chad. Space, Territories, Societies and Health Review, Vol. 3, No. 5, June 2020, pp. 49-66.</w:t>
      </w:r>
    </w:p>
    <w:p w14:paraId="64260CC3" w14:textId="77777777" w:rsidR="00B05ED5" w:rsidRPr="00B467AE" w:rsidRDefault="00460EE6">
      <w:pPr>
        <w:pStyle w:val="Body"/>
        <w:rPr>
          <w:lang w:val="en-GB"/>
        </w:rPr>
      </w:pPr>
      <w:proofErr w:type="spellStart"/>
      <w:r w:rsidRPr="00B467AE">
        <w:rPr>
          <w:lang w:val="en-GB"/>
        </w:rPr>
        <w:t>Fifatin</w:t>
      </w:r>
      <w:proofErr w:type="spellEnd"/>
      <w:r w:rsidRPr="00B467AE">
        <w:rPr>
          <w:lang w:val="en-GB"/>
        </w:rPr>
        <w:t xml:space="preserve">, M-A M., </w:t>
      </w:r>
      <w:proofErr w:type="spellStart"/>
      <w:r w:rsidRPr="00B467AE">
        <w:rPr>
          <w:lang w:val="en-GB"/>
        </w:rPr>
        <w:t>Ahouangninou</w:t>
      </w:r>
      <w:proofErr w:type="spellEnd"/>
      <w:r w:rsidRPr="00B467AE">
        <w:rPr>
          <w:lang w:val="en-GB"/>
        </w:rPr>
        <w:t xml:space="preserve">, C., </w:t>
      </w:r>
      <w:proofErr w:type="spellStart"/>
      <w:r w:rsidRPr="00B467AE">
        <w:rPr>
          <w:lang w:val="en-GB"/>
        </w:rPr>
        <w:t>Ayena</w:t>
      </w:r>
      <w:proofErr w:type="spellEnd"/>
      <w:r w:rsidRPr="00B467AE">
        <w:rPr>
          <w:lang w:val="en-GB"/>
        </w:rPr>
        <w:t xml:space="preserve">, A.A., </w:t>
      </w:r>
      <w:proofErr w:type="spellStart"/>
      <w:r w:rsidRPr="00B467AE">
        <w:rPr>
          <w:lang w:val="en-GB"/>
        </w:rPr>
        <w:t>Massede</w:t>
      </w:r>
      <w:proofErr w:type="spellEnd"/>
      <w:r w:rsidRPr="00B467AE">
        <w:rPr>
          <w:lang w:val="en-GB"/>
        </w:rPr>
        <w:t xml:space="preserve">, S. &amp; </w:t>
      </w:r>
      <w:proofErr w:type="spellStart"/>
      <w:r w:rsidRPr="00B467AE">
        <w:rPr>
          <w:lang w:val="en-GB"/>
        </w:rPr>
        <w:t>Tente</w:t>
      </w:r>
      <w:proofErr w:type="spellEnd"/>
      <w:r w:rsidRPr="00B467AE">
        <w:rPr>
          <w:lang w:val="en-GB"/>
        </w:rPr>
        <w:t>, B., (2020). Analysis of Chemical Input Management in Market Gardening in the Municipality of Tori-</w:t>
      </w:r>
      <w:proofErr w:type="spellStart"/>
      <w:r w:rsidRPr="00B467AE">
        <w:rPr>
          <w:lang w:val="en-GB"/>
        </w:rPr>
        <w:t>Bossito</w:t>
      </w:r>
      <w:proofErr w:type="spellEnd"/>
      <w:r w:rsidRPr="00B467AE">
        <w:rPr>
          <w:lang w:val="en-GB"/>
        </w:rPr>
        <w:t xml:space="preserve"> in Benin. International Journal of Progressive Sciences and Technologies, Vol. 22 No. 2, pp. 60-71</w:t>
      </w:r>
    </w:p>
    <w:p w14:paraId="22C4725A" w14:textId="77777777" w:rsidR="00B05ED5" w:rsidRPr="00B467AE" w:rsidRDefault="00460EE6">
      <w:pPr>
        <w:pStyle w:val="Body"/>
        <w:rPr>
          <w:lang w:val="en-GB"/>
        </w:rPr>
      </w:pPr>
      <w:proofErr w:type="spellStart"/>
      <w:r w:rsidRPr="00B467AE">
        <w:rPr>
          <w:lang w:val="en-GB"/>
        </w:rPr>
        <w:t>Ganacadja</w:t>
      </w:r>
      <w:proofErr w:type="spellEnd"/>
      <w:r w:rsidRPr="00B467AE">
        <w:rPr>
          <w:lang w:val="en-GB"/>
        </w:rPr>
        <w:t xml:space="preserve">, C., </w:t>
      </w:r>
      <w:proofErr w:type="spellStart"/>
      <w:r w:rsidRPr="00B467AE">
        <w:rPr>
          <w:lang w:val="en-GB"/>
        </w:rPr>
        <w:t>Mavoungou</w:t>
      </w:r>
      <w:proofErr w:type="spellEnd"/>
      <w:r w:rsidRPr="00B467AE">
        <w:rPr>
          <w:lang w:val="en-GB"/>
        </w:rPr>
        <w:t xml:space="preserve">, J. F., </w:t>
      </w:r>
      <w:proofErr w:type="spellStart"/>
      <w:r w:rsidRPr="00B467AE">
        <w:rPr>
          <w:lang w:val="en-GB"/>
        </w:rPr>
        <w:t>Mouketou</w:t>
      </w:r>
      <w:proofErr w:type="spellEnd"/>
      <w:r w:rsidRPr="00B467AE">
        <w:rPr>
          <w:lang w:val="en-GB"/>
        </w:rPr>
        <w:t xml:space="preserve">, A., </w:t>
      </w:r>
      <w:proofErr w:type="spellStart"/>
      <w:r w:rsidRPr="00B467AE">
        <w:rPr>
          <w:lang w:val="en-GB"/>
        </w:rPr>
        <w:t>Biroungou</w:t>
      </w:r>
      <w:proofErr w:type="spellEnd"/>
      <w:r w:rsidRPr="00B467AE">
        <w:rPr>
          <w:lang w:val="en-GB"/>
        </w:rPr>
        <w:t xml:space="preserve">, C. &amp; </w:t>
      </w:r>
      <w:proofErr w:type="spellStart"/>
      <w:r w:rsidRPr="00B467AE">
        <w:rPr>
          <w:lang w:val="en-GB"/>
        </w:rPr>
        <w:t>Nzengue</w:t>
      </w:r>
      <w:proofErr w:type="spellEnd"/>
      <w:r w:rsidRPr="00B467AE">
        <w:rPr>
          <w:lang w:val="en-GB"/>
        </w:rPr>
        <w:t>, E. (2022). Analysis of Some Characteristics of the Market Gardening Sector in Three Provinces of Gabon. ESI Preprints, August 2022. https://doi.org/10.19044/esipreprint.8.2022.p55</w:t>
      </w:r>
    </w:p>
    <w:p w14:paraId="6563B48B" w14:textId="77777777" w:rsidR="00B05ED5" w:rsidRPr="00B467AE" w:rsidRDefault="00460EE6">
      <w:pPr>
        <w:pStyle w:val="Body"/>
        <w:rPr>
          <w:lang w:val="en-GB"/>
        </w:rPr>
      </w:pPr>
      <w:r w:rsidRPr="00B467AE">
        <w:rPr>
          <w:lang w:val="en-GB"/>
        </w:rPr>
        <w:t>Gross, M. (2023). Human population at the crossroads, 2023. Current Biology, Volume 33, Issue 1, 9 January 2023, Pages R1-R3.</w:t>
      </w:r>
    </w:p>
    <w:p w14:paraId="3D122E22" w14:textId="77777777" w:rsidR="00B05ED5" w:rsidRPr="00B467AE" w:rsidRDefault="00460EE6">
      <w:pPr>
        <w:pStyle w:val="Body"/>
        <w:rPr>
          <w:lang w:val="en-GB"/>
        </w:rPr>
      </w:pPr>
      <w:r w:rsidRPr="00B467AE">
        <w:rPr>
          <w:lang w:val="en-GB"/>
        </w:rPr>
        <w:t xml:space="preserve">Jacobi P., Amend J &amp; </w:t>
      </w:r>
      <w:proofErr w:type="spellStart"/>
      <w:r w:rsidRPr="00B467AE">
        <w:rPr>
          <w:lang w:val="en-GB"/>
        </w:rPr>
        <w:t>Kiango</w:t>
      </w:r>
      <w:proofErr w:type="spellEnd"/>
      <w:r w:rsidRPr="00B467AE">
        <w:rPr>
          <w:lang w:val="en-GB"/>
        </w:rPr>
        <w:t xml:space="preserve"> S. (2000). Urban agriculture in Dar es Salaam: providing for an essential part of the diet. In Bakker N et al (Eds) Growing cities, growing food: Urban agriculture on the policy agenda. German Foundation for International Development: </w:t>
      </w:r>
      <w:proofErr w:type="spellStart"/>
      <w:r w:rsidRPr="00B467AE">
        <w:rPr>
          <w:lang w:val="en-GB"/>
        </w:rPr>
        <w:t>Feldafing</w:t>
      </w:r>
      <w:proofErr w:type="spellEnd"/>
      <w:r w:rsidRPr="00B467AE">
        <w:rPr>
          <w:lang w:val="en-GB"/>
        </w:rPr>
        <w:t>, Germany.</w:t>
      </w:r>
    </w:p>
    <w:p w14:paraId="7D80AEEE" w14:textId="77777777" w:rsidR="00B05ED5" w:rsidRDefault="00460EE6">
      <w:pPr>
        <w:pStyle w:val="Body"/>
        <w:rPr>
          <w:lang w:val="fr-FR"/>
        </w:rPr>
      </w:pPr>
      <w:r w:rsidRPr="00B467AE">
        <w:rPr>
          <w:lang w:val="en-GB"/>
        </w:rPr>
        <w:t xml:space="preserve">James, B., </w:t>
      </w:r>
      <w:proofErr w:type="spellStart"/>
      <w:r w:rsidRPr="00B467AE">
        <w:rPr>
          <w:lang w:val="en-GB"/>
        </w:rPr>
        <w:t>Atcha-Ahowe</w:t>
      </w:r>
      <w:proofErr w:type="spellEnd"/>
      <w:r w:rsidRPr="00B467AE">
        <w:rPr>
          <w:lang w:val="en-GB"/>
        </w:rPr>
        <w:t xml:space="preserve">, C., </w:t>
      </w:r>
      <w:proofErr w:type="spellStart"/>
      <w:r w:rsidRPr="00B467AE">
        <w:rPr>
          <w:lang w:val="en-GB"/>
        </w:rPr>
        <w:t>Godonou</w:t>
      </w:r>
      <w:proofErr w:type="spellEnd"/>
      <w:r w:rsidRPr="00B467AE">
        <w:rPr>
          <w:lang w:val="en-GB"/>
        </w:rPr>
        <w:t xml:space="preserve">, I., </w:t>
      </w:r>
      <w:proofErr w:type="spellStart"/>
      <w:r w:rsidRPr="00B467AE">
        <w:rPr>
          <w:lang w:val="en-GB"/>
        </w:rPr>
        <w:t>Baimey</w:t>
      </w:r>
      <w:proofErr w:type="spellEnd"/>
      <w:r w:rsidRPr="00B467AE">
        <w:rPr>
          <w:lang w:val="en-GB"/>
        </w:rPr>
        <w:t xml:space="preserve">, H., </w:t>
      </w:r>
      <w:proofErr w:type="spellStart"/>
      <w:r w:rsidRPr="00B467AE">
        <w:rPr>
          <w:lang w:val="en-GB"/>
        </w:rPr>
        <w:t>Goergen</w:t>
      </w:r>
      <w:proofErr w:type="spellEnd"/>
      <w:r w:rsidRPr="00B467AE">
        <w:rPr>
          <w:lang w:val="en-GB"/>
        </w:rPr>
        <w:t xml:space="preserve">, G., </w:t>
      </w:r>
      <w:proofErr w:type="spellStart"/>
      <w:r w:rsidRPr="00B467AE">
        <w:rPr>
          <w:lang w:val="en-GB"/>
        </w:rPr>
        <w:t>Sikirou</w:t>
      </w:r>
      <w:proofErr w:type="spellEnd"/>
      <w:r w:rsidRPr="00B467AE">
        <w:rPr>
          <w:lang w:val="en-GB"/>
        </w:rPr>
        <w:t xml:space="preserve">, R., &amp; </w:t>
      </w:r>
      <w:proofErr w:type="spellStart"/>
      <w:r w:rsidRPr="00B467AE">
        <w:rPr>
          <w:lang w:val="en-GB"/>
        </w:rPr>
        <w:t>Toko</w:t>
      </w:r>
      <w:proofErr w:type="spellEnd"/>
      <w:r w:rsidRPr="00B467AE">
        <w:rPr>
          <w:lang w:val="en-GB"/>
        </w:rPr>
        <w:t xml:space="preserve">, M. (2010). Integrated Pest Management in Vegetable Production: A Guide for Extension Agents in West Africa. </w:t>
      </w:r>
      <w:r>
        <w:rPr>
          <w:lang w:val="fr-FR"/>
        </w:rPr>
        <w:t>International Institute of Tropical Agriculture (IITA), Ibadan, Nigeria. 2010, 120p.</w:t>
      </w:r>
    </w:p>
    <w:p w14:paraId="4CC3E5D5" w14:textId="77777777" w:rsidR="00B05ED5" w:rsidRPr="00B467AE" w:rsidRDefault="00460EE6">
      <w:pPr>
        <w:pStyle w:val="Body"/>
        <w:rPr>
          <w:lang w:val="en-GB"/>
        </w:rPr>
      </w:pPr>
      <w:r>
        <w:rPr>
          <w:lang w:val="fr-FR"/>
        </w:rPr>
        <w:t xml:space="preserve">Jean Luc ST-P. (2022). </w:t>
      </w:r>
      <w:r w:rsidRPr="00B467AE">
        <w:rPr>
          <w:lang w:val="en-GB"/>
        </w:rPr>
        <w:t xml:space="preserve">Contribution to Peri-Urban Market Gardening through the Analysis of Vegetable Production in the Commune of </w:t>
      </w:r>
      <w:proofErr w:type="spellStart"/>
      <w:r w:rsidRPr="00B467AE">
        <w:rPr>
          <w:lang w:val="en-GB"/>
        </w:rPr>
        <w:t>Kenscoff</w:t>
      </w:r>
      <w:proofErr w:type="spellEnd"/>
      <w:r w:rsidRPr="00B467AE">
        <w:rPr>
          <w:lang w:val="en-GB"/>
        </w:rPr>
        <w:t xml:space="preserve"> (Haiti): The Case of the Grand Fond Communal Section. Master's Thesis in Integrated Production and Preservation of Natural Resources in Urban and Peri-Urban Environments, University of Gembloux </w:t>
      </w:r>
      <w:proofErr w:type="spellStart"/>
      <w:r w:rsidRPr="00B467AE">
        <w:rPr>
          <w:lang w:val="en-GB"/>
        </w:rPr>
        <w:t>Agro</w:t>
      </w:r>
      <w:proofErr w:type="spellEnd"/>
      <w:r w:rsidRPr="00B467AE">
        <w:rPr>
          <w:lang w:val="en-GB"/>
        </w:rPr>
        <w:t>-Bio Tech. http://hdl.handle.net/2268.2/16318</w:t>
      </w:r>
    </w:p>
    <w:p w14:paraId="12550282" w14:textId="77777777" w:rsidR="00B05ED5" w:rsidRPr="00B467AE" w:rsidRDefault="00460EE6">
      <w:pPr>
        <w:pStyle w:val="Body"/>
        <w:rPr>
          <w:lang w:val="en-GB"/>
        </w:rPr>
      </w:pPr>
      <w:r w:rsidRPr="00B467AE">
        <w:rPr>
          <w:lang w:val="en-GB"/>
        </w:rPr>
        <w:t xml:space="preserve">Kanda, M., Wala, K., </w:t>
      </w:r>
      <w:proofErr w:type="spellStart"/>
      <w:r w:rsidRPr="00B467AE">
        <w:rPr>
          <w:lang w:val="en-GB"/>
        </w:rPr>
        <w:t>Batawila</w:t>
      </w:r>
      <w:proofErr w:type="spellEnd"/>
      <w:r w:rsidRPr="00B467AE">
        <w:rPr>
          <w:lang w:val="en-GB"/>
        </w:rPr>
        <w:t xml:space="preserve">, K., </w:t>
      </w:r>
      <w:proofErr w:type="spellStart"/>
      <w:r w:rsidRPr="00B467AE">
        <w:rPr>
          <w:lang w:val="en-GB"/>
        </w:rPr>
        <w:t>Djaneye-Boundjou</w:t>
      </w:r>
      <w:proofErr w:type="spellEnd"/>
      <w:r w:rsidRPr="00B467AE">
        <w:rPr>
          <w:lang w:val="en-GB"/>
        </w:rPr>
        <w:t xml:space="preserve">, G., </w:t>
      </w:r>
      <w:proofErr w:type="spellStart"/>
      <w:r w:rsidRPr="00B467AE">
        <w:rPr>
          <w:lang w:val="en-GB"/>
        </w:rPr>
        <w:t>Ahanchede</w:t>
      </w:r>
      <w:proofErr w:type="spellEnd"/>
      <w:r w:rsidRPr="00B467AE">
        <w:rPr>
          <w:lang w:val="en-GB"/>
        </w:rPr>
        <w:t xml:space="preserve">, A. &amp; </w:t>
      </w:r>
      <w:proofErr w:type="spellStart"/>
      <w:r w:rsidRPr="00B467AE">
        <w:rPr>
          <w:lang w:val="en-GB"/>
        </w:rPr>
        <w:t>Akpagana</w:t>
      </w:r>
      <w:proofErr w:type="spellEnd"/>
      <w:r w:rsidRPr="00B467AE">
        <w:rPr>
          <w:lang w:val="en-GB"/>
        </w:rPr>
        <w:t>, K. (2009). Peri-urban market gardening in Lomé: cultural practices, health risks, and spatial dynamics, Cahiers Agricultures, 18, 4 (2009) 356-363 p.</w:t>
      </w:r>
    </w:p>
    <w:p w14:paraId="624DFECE" w14:textId="77777777" w:rsidR="00B05ED5" w:rsidRDefault="00460EE6">
      <w:pPr>
        <w:pStyle w:val="Body"/>
        <w:rPr>
          <w:lang w:val="fr-FR"/>
        </w:rPr>
      </w:pPr>
      <w:r w:rsidRPr="00B467AE">
        <w:rPr>
          <w:lang w:val="en-GB"/>
        </w:rPr>
        <w:lastRenderedPageBreak/>
        <w:t xml:space="preserve">Kanda M., </w:t>
      </w:r>
      <w:proofErr w:type="spellStart"/>
      <w:r w:rsidRPr="00B467AE">
        <w:rPr>
          <w:lang w:val="en-GB"/>
        </w:rPr>
        <w:t>Akpavi</w:t>
      </w:r>
      <w:proofErr w:type="spellEnd"/>
      <w:r w:rsidRPr="00B467AE">
        <w:rPr>
          <w:lang w:val="en-GB"/>
        </w:rPr>
        <w:t xml:space="preserve"> S., Wala K., </w:t>
      </w:r>
      <w:proofErr w:type="spellStart"/>
      <w:r w:rsidRPr="00B467AE">
        <w:rPr>
          <w:lang w:val="en-GB"/>
        </w:rPr>
        <w:t>Boundjou</w:t>
      </w:r>
      <w:proofErr w:type="spellEnd"/>
      <w:r w:rsidRPr="00B467AE">
        <w:rPr>
          <w:lang w:val="en-GB"/>
        </w:rPr>
        <w:t xml:space="preserve"> GD., &amp; </w:t>
      </w:r>
      <w:proofErr w:type="spellStart"/>
      <w:r w:rsidRPr="00B467AE">
        <w:rPr>
          <w:lang w:val="en-GB"/>
        </w:rPr>
        <w:t>Akpagana</w:t>
      </w:r>
      <w:proofErr w:type="spellEnd"/>
      <w:r w:rsidRPr="00B467AE">
        <w:rPr>
          <w:lang w:val="en-GB"/>
        </w:rPr>
        <w:t xml:space="preserve"> K. (2014). Diversity of cultivated species and constraints to production in market gardening in Togo. Int. J. Biol. </w:t>
      </w:r>
      <w:proofErr w:type="spellStart"/>
      <w:r>
        <w:rPr>
          <w:lang w:val="fr-FR"/>
        </w:rPr>
        <w:t>Chem</w:t>
      </w:r>
      <w:proofErr w:type="spellEnd"/>
      <w:r>
        <w:rPr>
          <w:lang w:val="fr-FR"/>
        </w:rPr>
        <w:t xml:space="preserve">. </w:t>
      </w:r>
      <w:proofErr w:type="spellStart"/>
      <w:r>
        <w:rPr>
          <w:lang w:val="fr-FR"/>
        </w:rPr>
        <w:t>Sci</w:t>
      </w:r>
      <w:proofErr w:type="spellEnd"/>
      <w:r>
        <w:rPr>
          <w:lang w:val="fr-FR"/>
        </w:rPr>
        <w:t>. 8(1): pp. 115-127.</w:t>
      </w:r>
    </w:p>
    <w:p w14:paraId="65350CE9" w14:textId="77777777" w:rsidR="00B05ED5" w:rsidRDefault="00460EE6">
      <w:pPr>
        <w:pStyle w:val="Body"/>
        <w:rPr>
          <w:lang w:val="en-GB"/>
        </w:rPr>
      </w:pPr>
      <w:proofErr w:type="spellStart"/>
      <w:r>
        <w:rPr>
          <w:lang w:val="fr-FR"/>
        </w:rPr>
        <w:t>Koffié-Bikpo</w:t>
      </w:r>
      <w:proofErr w:type="spellEnd"/>
      <w:r>
        <w:rPr>
          <w:lang w:val="fr-FR"/>
        </w:rPr>
        <w:t xml:space="preserve">, C.Y. &amp; </w:t>
      </w:r>
      <w:proofErr w:type="spellStart"/>
      <w:r>
        <w:rPr>
          <w:lang w:val="fr-FR"/>
        </w:rPr>
        <w:t>Adaye</w:t>
      </w:r>
      <w:proofErr w:type="spellEnd"/>
      <w:r>
        <w:rPr>
          <w:lang w:val="fr-FR"/>
        </w:rPr>
        <w:t xml:space="preserve">, A.A. (2014). </w:t>
      </w:r>
      <w:r w:rsidRPr="00B467AE">
        <w:rPr>
          <w:lang w:val="en-GB"/>
        </w:rPr>
        <w:t>Commercial agriculture in Abidjan: the case of market gardening. For, (4), 141-149.</w:t>
      </w:r>
    </w:p>
    <w:p w14:paraId="3F3D2BF3" w14:textId="77777777" w:rsidR="000E761D" w:rsidRPr="00A23EA4" w:rsidRDefault="000E761D" w:rsidP="000E761D">
      <w:pPr>
        <w:pStyle w:val="Body"/>
        <w:rPr>
          <w:lang w:val="en-GB"/>
        </w:rPr>
      </w:pPr>
      <w:proofErr w:type="spellStart"/>
      <w:r w:rsidRPr="00A23EA4">
        <w:rPr>
          <w:highlight w:val="yellow"/>
          <w:lang w:val="en-GB"/>
        </w:rPr>
        <w:t>Mougeot</w:t>
      </w:r>
      <w:proofErr w:type="spellEnd"/>
      <w:r w:rsidRPr="00A23EA4">
        <w:rPr>
          <w:highlight w:val="yellow"/>
          <w:lang w:val="en-GB"/>
        </w:rPr>
        <w:t xml:space="preserve"> L.J.A. &amp; </w:t>
      </w:r>
      <w:proofErr w:type="spellStart"/>
      <w:r w:rsidRPr="00A23EA4">
        <w:rPr>
          <w:highlight w:val="yellow"/>
          <w:lang w:val="en-GB"/>
        </w:rPr>
        <w:t>Moustier</w:t>
      </w:r>
      <w:proofErr w:type="spellEnd"/>
      <w:r w:rsidRPr="00A23EA4">
        <w:rPr>
          <w:highlight w:val="yellow"/>
          <w:lang w:val="en-GB"/>
        </w:rPr>
        <w:t xml:space="preserve"> P. (2004). </w:t>
      </w:r>
      <w:r w:rsidRPr="00A23EA4">
        <w:rPr>
          <w:highlight w:val="yellow"/>
          <w:lang w:val="fr-FR"/>
        </w:rPr>
        <w:t xml:space="preserve">Introduction. </w:t>
      </w:r>
      <w:proofErr w:type="gramStart"/>
      <w:r w:rsidRPr="00A23EA4">
        <w:rPr>
          <w:highlight w:val="yellow"/>
          <w:lang w:val="en-GB"/>
        </w:rPr>
        <w:t>In :</w:t>
      </w:r>
      <w:proofErr w:type="gramEnd"/>
      <w:r w:rsidRPr="00A23EA4">
        <w:rPr>
          <w:highlight w:val="yellow"/>
          <w:lang w:val="en-GB"/>
        </w:rPr>
        <w:t xml:space="preserve"> </w:t>
      </w:r>
      <w:r w:rsidR="00A23EA4" w:rsidRPr="00A23EA4">
        <w:rPr>
          <w:highlight w:val="yellow"/>
          <w:lang w:val="en-GB"/>
        </w:rPr>
        <w:t>Sustainable Development of Urban Agriculture in French-speaking Africa. Issues, concepts and methods.</w:t>
      </w:r>
      <w:r w:rsidRPr="00A23EA4">
        <w:rPr>
          <w:highlight w:val="yellow"/>
          <w:lang w:val="en-GB"/>
        </w:rPr>
        <w:t xml:space="preserve"> Smith O., </w:t>
      </w:r>
      <w:proofErr w:type="spellStart"/>
      <w:r w:rsidRPr="00A23EA4">
        <w:rPr>
          <w:highlight w:val="yellow"/>
          <w:lang w:val="en-GB"/>
        </w:rPr>
        <w:t>Moustier</w:t>
      </w:r>
      <w:proofErr w:type="spellEnd"/>
      <w:r w:rsidRPr="00A23EA4">
        <w:rPr>
          <w:highlight w:val="yellow"/>
          <w:lang w:val="en-GB"/>
        </w:rPr>
        <w:t xml:space="preserve"> P, </w:t>
      </w:r>
      <w:proofErr w:type="spellStart"/>
      <w:r w:rsidRPr="00A23EA4">
        <w:rPr>
          <w:highlight w:val="yellow"/>
          <w:lang w:val="en-GB"/>
        </w:rPr>
        <w:t>Mougeot</w:t>
      </w:r>
      <w:proofErr w:type="spellEnd"/>
      <w:r w:rsidRPr="00A23EA4">
        <w:rPr>
          <w:highlight w:val="yellow"/>
          <w:lang w:val="en-GB"/>
        </w:rPr>
        <w:t xml:space="preserve"> AJ-L, Fall A. CIRAD/CRDI: Montpelier, 11-21.</w:t>
      </w:r>
    </w:p>
    <w:p w14:paraId="28CBD2EF" w14:textId="77777777" w:rsidR="000E761D" w:rsidRPr="00923C13" w:rsidRDefault="000E761D" w:rsidP="000E761D">
      <w:pPr>
        <w:pStyle w:val="Body"/>
        <w:rPr>
          <w:lang w:val="fr-FR"/>
        </w:rPr>
      </w:pPr>
      <w:proofErr w:type="spellStart"/>
      <w:r w:rsidRPr="00A23EA4">
        <w:rPr>
          <w:highlight w:val="yellow"/>
          <w:lang w:val="en-GB"/>
        </w:rPr>
        <w:t>Moustier</w:t>
      </w:r>
      <w:proofErr w:type="spellEnd"/>
      <w:r w:rsidRPr="00A23EA4">
        <w:rPr>
          <w:highlight w:val="yellow"/>
          <w:lang w:val="en-GB"/>
        </w:rPr>
        <w:t xml:space="preserve">, P. &amp; David, O. (1997).  </w:t>
      </w:r>
      <w:r w:rsidR="00A23EA4" w:rsidRPr="00A23EA4">
        <w:rPr>
          <w:highlight w:val="yellow"/>
          <w:lang w:val="en-GB"/>
        </w:rPr>
        <w:t xml:space="preserve">Case study of the dynamics of peri-urban market gardening in sub-Saharan Africa. </w:t>
      </w:r>
      <w:r w:rsidR="00A23EA4" w:rsidRPr="00A23EA4">
        <w:rPr>
          <w:highlight w:val="yellow"/>
          <w:lang w:val="fr-FR"/>
        </w:rPr>
        <w:t xml:space="preserve">Document FAO N-DT/02/96, Projet : Approvisionnement et Distribution Alimentaire des villes d'Afrique francophone. FAO, Rome, </w:t>
      </w:r>
      <w:proofErr w:type="spellStart"/>
      <w:r w:rsidR="00A23EA4" w:rsidRPr="00A23EA4">
        <w:rPr>
          <w:highlight w:val="yellow"/>
          <w:lang w:val="fr-FR"/>
        </w:rPr>
        <w:t>Italy</w:t>
      </w:r>
      <w:proofErr w:type="spellEnd"/>
      <w:r w:rsidR="00A23EA4" w:rsidRPr="00A23EA4">
        <w:rPr>
          <w:highlight w:val="yellow"/>
          <w:lang w:val="fr-FR"/>
        </w:rPr>
        <w:t>, 1997, 36</w:t>
      </w:r>
    </w:p>
    <w:p w14:paraId="2E67E382" w14:textId="77777777" w:rsidR="000E761D" w:rsidRPr="007853FE" w:rsidRDefault="000E761D" w:rsidP="000E761D">
      <w:pPr>
        <w:pStyle w:val="Body"/>
      </w:pPr>
      <w:proofErr w:type="spellStart"/>
      <w:r w:rsidRPr="004B5E06">
        <w:rPr>
          <w:highlight w:val="yellow"/>
        </w:rPr>
        <w:t>Moustier</w:t>
      </w:r>
      <w:proofErr w:type="spellEnd"/>
      <w:r w:rsidRPr="004B5E06">
        <w:rPr>
          <w:highlight w:val="yellow"/>
        </w:rPr>
        <w:t xml:space="preserve">, P. &amp; Fall S.A. (2004). The Dynamics of Urban Agriculture: Characterization and Evaluation. In: Sustainable Development of Urban Agriculture in French-Speaking Africa. Issues, Concepts, and Methods. O.B. Smith, P. </w:t>
      </w:r>
      <w:proofErr w:type="spellStart"/>
      <w:r w:rsidRPr="004B5E06">
        <w:rPr>
          <w:highlight w:val="yellow"/>
        </w:rPr>
        <w:t>Moustier</w:t>
      </w:r>
      <w:proofErr w:type="spellEnd"/>
      <w:r w:rsidRPr="004B5E06">
        <w:rPr>
          <w:highlight w:val="yellow"/>
        </w:rPr>
        <w:t xml:space="preserve">, A.J.L. </w:t>
      </w:r>
      <w:proofErr w:type="spellStart"/>
      <w:r w:rsidRPr="004B5E06">
        <w:rPr>
          <w:highlight w:val="yellow"/>
        </w:rPr>
        <w:t>Mougeot</w:t>
      </w:r>
      <w:proofErr w:type="spellEnd"/>
      <w:r w:rsidRPr="004B5E06">
        <w:rPr>
          <w:highlight w:val="yellow"/>
        </w:rPr>
        <w:t>, and A. Fall (Eds.), CIRAD/CRDI, pp. 23-43.</w:t>
      </w:r>
    </w:p>
    <w:p w14:paraId="628FAD0B" w14:textId="77777777" w:rsidR="00912F5E" w:rsidRDefault="000E761D" w:rsidP="00B467AE">
      <w:pPr>
        <w:pStyle w:val="Body"/>
        <w:rPr>
          <w:lang w:val="fr-FR"/>
        </w:rPr>
      </w:pPr>
      <w:proofErr w:type="spellStart"/>
      <w:r w:rsidRPr="00912F5E">
        <w:rPr>
          <w:highlight w:val="yellow"/>
          <w:lang w:val="en-GB"/>
        </w:rPr>
        <w:t>Muzingu</w:t>
      </w:r>
      <w:proofErr w:type="spellEnd"/>
      <w:r w:rsidRPr="00912F5E">
        <w:rPr>
          <w:highlight w:val="yellow"/>
          <w:lang w:val="en-GB"/>
        </w:rPr>
        <w:t xml:space="preserve">, B.N. (2007). </w:t>
      </w:r>
      <w:r w:rsidR="00A23EA4" w:rsidRPr="00912F5E">
        <w:rPr>
          <w:highlight w:val="yellow"/>
          <w:lang w:val="en-GB"/>
        </w:rPr>
        <w:t xml:space="preserve">Dynamics of urban agriculture in Kinshasa / D.R. Congo: alternative to food insecurity Case of the market gardening sector. Thesis presented for obtaining a DEA at the Faculty of Agricultural Sciences of Gembloux and a Master's degree in Development, Environment and Society, jointly supervised by the Catholic University of Louvain, University of Liège. </w:t>
      </w:r>
      <w:r w:rsidR="00A23EA4" w:rsidRPr="00912F5E">
        <w:rPr>
          <w:highlight w:val="yellow"/>
          <w:lang w:val="fr-FR"/>
        </w:rPr>
        <w:t>90p.</w:t>
      </w:r>
    </w:p>
    <w:p w14:paraId="3CEE6F64" w14:textId="77777777" w:rsidR="00B467AE" w:rsidRDefault="00B467AE" w:rsidP="00B467AE">
      <w:pPr>
        <w:pStyle w:val="Body"/>
      </w:pPr>
      <w:proofErr w:type="spellStart"/>
      <w:r w:rsidRPr="00B467AE">
        <w:rPr>
          <w:highlight w:val="yellow"/>
        </w:rPr>
        <w:t>Nazal</w:t>
      </w:r>
      <w:proofErr w:type="spellEnd"/>
      <w:r w:rsidRPr="00B467AE">
        <w:rPr>
          <w:highlight w:val="yellow"/>
        </w:rPr>
        <w:t xml:space="preserve">, A.M., (2021). Quality assurance approach in the microbiological risk control plan related to the production of vegetables from urban and peri-urban agriculture in the city of N'Djamena. Doctoral thesis in Agronomy, Faculty of Agronomy, Abdou </w:t>
      </w:r>
      <w:proofErr w:type="spellStart"/>
      <w:r w:rsidRPr="00B467AE">
        <w:rPr>
          <w:highlight w:val="yellow"/>
        </w:rPr>
        <w:t>Moumouni</w:t>
      </w:r>
      <w:proofErr w:type="spellEnd"/>
      <w:r w:rsidRPr="00B467AE">
        <w:rPr>
          <w:highlight w:val="yellow"/>
        </w:rPr>
        <w:t xml:space="preserve"> University of Niamey (Niger).</w:t>
      </w:r>
    </w:p>
    <w:p w14:paraId="2234147D" w14:textId="77777777" w:rsidR="00A0613A" w:rsidRPr="007853FE" w:rsidRDefault="00A0613A" w:rsidP="00A0613A">
      <w:pPr>
        <w:pStyle w:val="Body"/>
      </w:pPr>
      <w:proofErr w:type="spellStart"/>
      <w:r w:rsidRPr="00A0613A">
        <w:rPr>
          <w:highlight w:val="yellow"/>
        </w:rPr>
        <w:t>Nazal</w:t>
      </w:r>
      <w:proofErr w:type="spellEnd"/>
      <w:r w:rsidRPr="00A0613A">
        <w:rPr>
          <w:highlight w:val="yellow"/>
        </w:rPr>
        <w:t xml:space="preserve">, A.M., </w:t>
      </w:r>
      <w:proofErr w:type="spellStart"/>
      <w:r w:rsidRPr="00A0613A">
        <w:rPr>
          <w:highlight w:val="yellow"/>
        </w:rPr>
        <w:t>Tidjani</w:t>
      </w:r>
      <w:proofErr w:type="spellEnd"/>
      <w:r w:rsidRPr="00A0613A">
        <w:rPr>
          <w:highlight w:val="yellow"/>
        </w:rPr>
        <w:t xml:space="preserve">, A., </w:t>
      </w:r>
      <w:proofErr w:type="spellStart"/>
      <w:r w:rsidRPr="00A0613A">
        <w:rPr>
          <w:highlight w:val="yellow"/>
        </w:rPr>
        <w:t>Doudoua</w:t>
      </w:r>
      <w:proofErr w:type="spellEnd"/>
      <w:r w:rsidRPr="00A0613A">
        <w:rPr>
          <w:highlight w:val="yellow"/>
        </w:rPr>
        <w:t xml:space="preserve">, Y. &amp; </w:t>
      </w:r>
      <w:proofErr w:type="spellStart"/>
      <w:r w:rsidRPr="00A0613A">
        <w:rPr>
          <w:highlight w:val="yellow"/>
        </w:rPr>
        <w:t>Balla</w:t>
      </w:r>
      <w:proofErr w:type="spellEnd"/>
      <w:r w:rsidRPr="00A0613A">
        <w:rPr>
          <w:highlight w:val="yellow"/>
        </w:rPr>
        <w:t>, A. (2017). Market gardening in urban and peri-urban areas: the case of the city of N'Djamena in Chad. Journal of Universities and International Development Cooperation (JUNCO). Turin, Italy, pp. 269-281.</w:t>
      </w:r>
    </w:p>
    <w:p w14:paraId="4302CBFD" w14:textId="77777777" w:rsidR="00A0613A" w:rsidRDefault="00A0613A" w:rsidP="00A0613A">
      <w:pPr>
        <w:pStyle w:val="Body"/>
      </w:pPr>
      <w:proofErr w:type="spellStart"/>
      <w:r w:rsidRPr="00A0613A">
        <w:rPr>
          <w:highlight w:val="yellow"/>
        </w:rPr>
        <w:t>Nguegang</w:t>
      </w:r>
      <w:proofErr w:type="spellEnd"/>
      <w:r w:rsidRPr="00A0613A">
        <w:rPr>
          <w:highlight w:val="yellow"/>
        </w:rPr>
        <w:t xml:space="preserve">, A.P. (2008). Urban and peri-urban agriculture in Yaoundé: a multifunctional analysis of a growing activity in a survival economy. Doctoral thesis in Agricultural Sciences and Biological Engineering, </w:t>
      </w:r>
      <w:proofErr w:type="spellStart"/>
      <w:r w:rsidRPr="00A0613A">
        <w:rPr>
          <w:highlight w:val="yellow"/>
        </w:rPr>
        <w:t>Université</w:t>
      </w:r>
      <w:proofErr w:type="spellEnd"/>
      <w:r w:rsidRPr="00A0613A">
        <w:rPr>
          <w:highlight w:val="yellow"/>
        </w:rPr>
        <w:t xml:space="preserve"> Libre de </w:t>
      </w:r>
      <w:proofErr w:type="spellStart"/>
      <w:r w:rsidRPr="00A0613A">
        <w:rPr>
          <w:highlight w:val="yellow"/>
        </w:rPr>
        <w:t>Bruxelles</w:t>
      </w:r>
      <w:proofErr w:type="spellEnd"/>
      <w:r w:rsidRPr="00A0613A">
        <w:rPr>
          <w:highlight w:val="yellow"/>
        </w:rPr>
        <w:t>, Faculty of Sciences, 200p.</w:t>
      </w:r>
    </w:p>
    <w:p w14:paraId="5D5874D0" w14:textId="77777777" w:rsidR="000E761D" w:rsidRDefault="000E761D" w:rsidP="000E761D">
      <w:pPr>
        <w:pStyle w:val="Body"/>
        <w:rPr>
          <w:lang w:val="en-GB"/>
        </w:rPr>
      </w:pPr>
      <w:r w:rsidRPr="000E761D">
        <w:rPr>
          <w:highlight w:val="yellow"/>
        </w:rPr>
        <w:t xml:space="preserve">Olajide-Taiwo L.O., </w:t>
      </w:r>
      <w:proofErr w:type="spellStart"/>
      <w:r w:rsidRPr="000E761D">
        <w:rPr>
          <w:highlight w:val="yellow"/>
        </w:rPr>
        <w:t>Cofie</w:t>
      </w:r>
      <w:proofErr w:type="spellEnd"/>
      <w:r w:rsidRPr="000E761D">
        <w:rPr>
          <w:highlight w:val="yellow"/>
        </w:rPr>
        <w:t xml:space="preserve"> O., </w:t>
      </w:r>
      <w:proofErr w:type="spellStart"/>
      <w:r w:rsidRPr="000E761D">
        <w:rPr>
          <w:highlight w:val="yellow"/>
        </w:rPr>
        <w:t>Odeleye</w:t>
      </w:r>
      <w:proofErr w:type="spellEnd"/>
      <w:r w:rsidRPr="000E761D">
        <w:rPr>
          <w:highlight w:val="yellow"/>
        </w:rPr>
        <w:t xml:space="preserve"> O.M.O., Olajide-Taiwo F.B., </w:t>
      </w:r>
      <w:proofErr w:type="spellStart"/>
      <w:r w:rsidRPr="000E761D">
        <w:rPr>
          <w:highlight w:val="yellow"/>
        </w:rPr>
        <w:t>Olufunmi</w:t>
      </w:r>
      <w:proofErr w:type="spellEnd"/>
      <w:r w:rsidRPr="000E761D">
        <w:rPr>
          <w:highlight w:val="yellow"/>
        </w:rPr>
        <w:t xml:space="preserve"> Y., Adebayo O. S. and Alabi O.O. (2011). </w:t>
      </w:r>
      <w:r w:rsidRPr="000E761D">
        <w:rPr>
          <w:highlight w:val="yellow"/>
          <w:lang w:val="en-GB"/>
        </w:rPr>
        <w:t xml:space="preserve">Effect of capacity building on production of safe and profitable leafy vegetables among farmers in Ibadan City of Nigeria. In </w:t>
      </w:r>
      <w:proofErr w:type="spellStart"/>
      <w:r w:rsidRPr="000E761D">
        <w:rPr>
          <w:highlight w:val="yellow"/>
          <w:lang w:val="en-GB"/>
        </w:rPr>
        <w:t>Mukisira</w:t>
      </w:r>
      <w:proofErr w:type="spellEnd"/>
      <w:r w:rsidRPr="000E761D">
        <w:rPr>
          <w:highlight w:val="yellow"/>
          <w:lang w:val="en-GB"/>
        </w:rPr>
        <w:t xml:space="preserve"> E. A., </w:t>
      </w:r>
      <w:proofErr w:type="spellStart"/>
      <w:r w:rsidRPr="000E761D">
        <w:rPr>
          <w:highlight w:val="yellow"/>
          <w:lang w:val="en-GB"/>
        </w:rPr>
        <w:t>Wasilwa</w:t>
      </w:r>
      <w:proofErr w:type="spellEnd"/>
      <w:r w:rsidRPr="000E761D">
        <w:rPr>
          <w:highlight w:val="yellow"/>
          <w:lang w:val="en-GB"/>
        </w:rPr>
        <w:t xml:space="preserve"> L. A., </w:t>
      </w:r>
      <w:proofErr w:type="spellStart"/>
      <w:r w:rsidRPr="000E761D">
        <w:rPr>
          <w:highlight w:val="yellow"/>
          <w:lang w:val="en-GB"/>
        </w:rPr>
        <w:t>Wesonga</w:t>
      </w:r>
      <w:proofErr w:type="spellEnd"/>
      <w:r w:rsidRPr="000E761D">
        <w:rPr>
          <w:highlight w:val="yellow"/>
          <w:lang w:val="en-GB"/>
        </w:rPr>
        <w:t xml:space="preserve"> J. and </w:t>
      </w:r>
      <w:proofErr w:type="spellStart"/>
      <w:r w:rsidRPr="000E761D">
        <w:rPr>
          <w:highlight w:val="yellow"/>
          <w:lang w:val="en-GB"/>
        </w:rPr>
        <w:t>Kahane</w:t>
      </w:r>
      <w:proofErr w:type="spellEnd"/>
      <w:r w:rsidRPr="000E761D">
        <w:rPr>
          <w:highlight w:val="yellow"/>
          <w:lang w:val="en-GB"/>
        </w:rPr>
        <w:t xml:space="preserve"> R. (Eds.). Proceedings of the First All African Horticultural Congress, 31 August - 3 September 2009. Leuven, Belgium: International Society for Horticultural Science (ISHS). pp.427-432.</w:t>
      </w:r>
      <w:r>
        <w:rPr>
          <w:lang w:val="en-GB"/>
        </w:rPr>
        <w:t xml:space="preserve"> </w:t>
      </w:r>
    </w:p>
    <w:p w14:paraId="2586297A" w14:textId="77777777" w:rsidR="00B05ED5" w:rsidRDefault="00460EE6">
      <w:pPr>
        <w:pStyle w:val="Body"/>
        <w:rPr>
          <w:lang w:val="en-GB"/>
        </w:rPr>
      </w:pPr>
      <w:r>
        <w:rPr>
          <w:lang w:val="en-GB"/>
        </w:rPr>
        <w:t>Ondo, J.O. (2011). Vulnerability of market garden soils in Gabon (Libreville region): acidification and mobility of metallic elements. Doctoral thesis in Terrestrial Environmental Sciences, University of Provence, France.</w:t>
      </w:r>
    </w:p>
    <w:p w14:paraId="26F205F6" w14:textId="77777777" w:rsidR="00B05ED5" w:rsidRPr="00313E0B" w:rsidRDefault="00460EE6">
      <w:pPr>
        <w:pStyle w:val="Body"/>
        <w:rPr>
          <w:lang w:val="en-GB"/>
        </w:rPr>
      </w:pPr>
      <w:r w:rsidRPr="00313E0B">
        <w:rPr>
          <w:lang w:val="en-GB"/>
        </w:rPr>
        <w:t>Ouattara, S. (2014). Impacts of chemical and organic inputs on soil macrofauna and maize yield. Final thesis in Agricultural Extension, Polytechnic University of Bobo-</w:t>
      </w:r>
      <w:proofErr w:type="spellStart"/>
      <w:r w:rsidRPr="00313E0B">
        <w:rPr>
          <w:lang w:val="en-GB"/>
        </w:rPr>
        <w:t>Dioulasso</w:t>
      </w:r>
      <w:proofErr w:type="spellEnd"/>
      <w:r w:rsidRPr="00313E0B">
        <w:rPr>
          <w:lang w:val="en-GB"/>
        </w:rPr>
        <w:t>, Burkina Faso, 59 p.</w:t>
      </w:r>
    </w:p>
    <w:p w14:paraId="2DDB83A3" w14:textId="77777777" w:rsidR="00B05ED5" w:rsidRDefault="00460EE6">
      <w:pPr>
        <w:pStyle w:val="Body"/>
        <w:rPr>
          <w:lang w:val="en-GB"/>
        </w:rPr>
      </w:pPr>
      <w:proofErr w:type="spellStart"/>
      <w:r>
        <w:rPr>
          <w:lang w:val="en-GB"/>
        </w:rPr>
        <w:lastRenderedPageBreak/>
        <w:t>Ouédraogo</w:t>
      </w:r>
      <w:proofErr w:type="spellEnd"/>
      <w:r>
        <w:rPr>
          <w:lang w:val="en-GB"/>
        </w:rPr>
        <w:t xml:space="preserve">, A. (2008). Vulnerability factors and risk adaptation strategies of urban and peri-urban market gardeners in the cities of </w:t>
      </w:r>
      <w:proofErr w:type="spellStart"/>
      <w:r>
        <w:rPr>
          <w:lang w:val="en-GB"/>
        </w:rPr>
        <w:t>Ouahigouya</w:t>
      </w:r>
      <w:proofErr w:type="spellEnd"/>
      <w:r>
        <w:rPr>
          <w:lang w:val="en-GB"/>
        </w:rPr>
        <w:t xml:space="preserve"> and </w:t>
      </w:r>
      <w:proofErr w:type="spellStart"/>
      <w:r>
        <w:rPr>
          <w:lang w:val="en-GB"/>
        </w:rPr>
        <w:t>Koudougou</w:t>
      </w:r>
      <w:proofErr w:type="spellEnd"/>
      <w:r>
        <w:rPr>
          <w:lang w:val="en-GB"/>
        </w:rPr>
        <w:t xml:space="preserve">. Engineering thesis. Institute of Rural Development, Polytechnic University of Bobo </w:t>
      </w:r>
      <w:proofErr w:type="spellStart"/>
      <w:r>
        <w:rPr>
          <w:lang w:val="en-GB"/>
        </w:rPr>
        <w:t>Dioulasso</w:t>
      </w:r>
      <w:proofErr w:type="spellEnd"/>
      <w:r>
        <w:rPr>
          <w:lang w:val="en-GB"/>
        </w:rPr>
        <w:t>, Burkina Faso, 58 p.</w:t>
      </w:r>
    </w:p>
    <w:p w14:paraId="5955D2D0" w14:textId="77777777" w:rsidR="00B05ED5" w:rsidRDefault="00460EE6">
      <w:pPr>
        <w:pStyle w:val="Body"/>
        <w:rPr>
          <w:lang w:val="en-GB"/>
        </w:rPr>
      </w:pPr>
      <w:r>
        <w:rPr>
          <w:lang w:val="en-GB"/>
        </w:rPr>
        <w:t xml:space="preserve">Sani Ado, M.N., </w:t>
      </w:r>
      <w:proofErr w:type="spellStart"/>
      <w:r>
        <w:rPr>
          <w:lang w:val="en-GB"/>
        </w:rPr>
        <w:t>Tankari</w:t>
      </w:r>
      <w:proofErr w:type="spellEnd"/>
      <w:r>
        <w:rPr>
          <w:lang w:val="en-GB"/>
        </w:rPr>
        <w:t xml:space="preserve"> Dan-</w:t>
      </w:r>
      <w:proofErr w:type="spellStart"/>
      <w:r>
        <w:rPr>
          <w:lang w:val="en-GB"/>
        </w:rPr>
        <w:t>Badjo</w:t>
      </w:r>
      <w:proofErr w:type="spellEnd"/>
      <w:r>
        <w:rPr>
          <w:lang w:val="en-GB"/>
        </w:rPr>
        <w:t xml:space="preserve">, A., </w:t>
      </w:r>
      <w:proofErr w:type="spellStart"/>
      <w:r>
        <w:rPr>
          <w:lang w:val="en-GB"/>
        </w:rPr>
        <w:t>Guero</w:t>
      </w:r>
      <w:proofErr w:type="spellEnd"/>
      <w:r>
        <w:rPr>
          <w:lang w:val="en-GB"/>
        </w:rPr>
        <w:t xml:space="preserve">, Y., </w:t>
      </w:r>
      <w:proofErr w:type="spellStart"/>
      <w:r>
        <w:rPr>
          <w:lang w:val="en-GB"/>
        </w:rPr>
        <w:t>Tidjani</w:t>
      </w:r>
      <w:proofErr w:type="spellEnd"/>
      <w:r>
        <w:rPr>
          <w:lang w:val="en-GB"/>
        </w:rPr>
        <w:t xml:space="preserve">, A.D., Dan </w:t>
      </w:r>
      <w:proofErr w:type="spellStart"/>
      <w:r>
        <w:rPr>
          <w:lang w:val="en-GB"/>
        </w:rPr>
        <w:t>Lamso</w:t>
      </w:r>
      <w:proofErr w:type="spellEnd"/>
      <w:r>
        <w:rPr>
          <w:lang w:val="en-GB"/>
        </w:rPr>
        <w:t xml:space="preserve">, N. &amp; </w:t>
      </w:r>
      <w:proofErr w:type="spellStart"/>
      <w:r>
        <w:rPr>
          <w:lang w:val="en-GB"/>
        </w:rPr>
        <w:t>Ambouta</w:t>
      </w:r>
      <w:proofErr w:type="spellEnd"/>
      <w:r>
        <w:rPr>
          <w:lang w:val="en-GB"/>
        </w:rPr>
        <w:t xml:space="preserve"> </w:t>
      </w:r>
      <w:proofErr w:type="gramStart"/>
      <w:r>
        <w:rPr>
          <w:lang w:val="en-GB"/>
        </w:rPr>
        <w:t>K.J.M..</w:t>
      </w:r>
      <w:proofErr w:type="gramEnd"/>
      <w:r>
        <w:rPr>
          <w:lang w:val="en-GB"/>
        </w:rPr>
        <w:t xml:space="preserve"> (2018). Diagnosis of pesticide use in the </w:t>
      </w:r>
      <w:proofErr w:type="spellStart"/>
      <w:r>
        <w:rPr>
          <w:lang w:val="en-GB"/>
        </w:rPr>
        <w:t>Gouré</w:t>
      </w:r>
      <w:proofErr w:type="spellEnd"/>
      <w:r>
        <w:rPr>
          <w:lang w:val="en-GB"/>
        </w:rPr>
        <w:t xml:space="preserve"> basins. Geo-Eco-Trop, 42, 2: 343-350</w:t>
      </w:r>
    </w:p>
    <w:p w14:paraId="4C856428" w14:textId="77777777" w:rsidR="00B05ED5" w:rsidRDefault="00460EE6">
      <w:pPr>
        <w:pStyle w:val="Body"/>
        <w:rPr>
          <w:lang w:val="en-GB"/>
        </w:rPr>
      </w:pPr>
      <w:r>
        <w:rPr>
          <w:lang w:val="en-GB"/>
        </w:rPr>
        <w:t>Schmidt, E. &amp; Courcy B. (2017), Sustainable agriculture: Societal issue and political challenge. Institute of Sustainable Agriculture, 12 p. https://agridurable.top/wpcontent/uploads/2017/06/NOTE-STRATEGIQUE.pdf. [Consulted 11/15/2019]</w:t>
      </w:r>
    </w:p>
    <w:p w14:paraId="69288375" w14:textId="77777777" w:rsidR="00B05ED5" w:rsidRDefault="00460EE6">
      <w:pPr>
        <w:pStyle w:val="Body"/>
        <w:rPr>
          <w:lang w:val="en-GB"/>
        </w:rPr>
      </w:pPr>
      <w:r>
        <w:rPr>
          <w:lang w:val="en-GB"/>
        </w:rPr>
        <w:t>Smith, C. M. (2021). Conventional breeding of insect-resistant crop plants: still the best way to feed the world population. Current Opinion in Insect Science, 45(Figure 1), 7 13. https://doi.org/10.1016/j.cois.2020.11.008.</w:t>
      </w:r>
    </w:p>
    <w:p w14:paraId="524808C7" w14:textId="77777777" w:rsidR="00B05ED5" w:rsidRPr="00B467AE" w:rsidRDefault="00460EE6">
      <w:pPr>
        <w:pStyle w:val="Body"/>
        <w:rPr>
          <w:lang w:val="fr-FR"/>
        </w:rPr>
      </w:pPr>
      <w:r>
        <w:rPr>
          <w:lang w:val="en-GB"/>
        </w:rPr>
        <w:t xml:space="preserve">Son, D., </w:t>
      </w:r>
      <w:proofErr w:type="spellStart"/>
      <w:r>
        <w:rPr>
          <w:lang w:val="en-GB"/>
        </w:rPr>
        <w:t>Somda</w:t>
      </w:r>
      <w:proofErr w:type="spellEnd"/>
      <w:r>
        <w:rPr>
          <w:lang w:val="en-GB"/>
        </w:rPr>
        <w:t xml:space="preserve">, I., </w:t>
      </w:r>
      <w:proofErr w:type="spellStart"/>
      <w:r>
        <w:rPr>
          <w:lang w:val="en-GB"/>
        </w:rPr>
        <w:t>Legreve</w:t>
      </w:r>
      <w:proofErr w:type="spellEnd"/>
      <w:r>
        <w:rPr>
          <w:lang w:val="en-GB"/>
        </w:rPr>
        <w:t xml:space="preserve">, A. &amp; </w:t>
      </w:r>
      <w:proofErr w:type="spellStart"/>
      <w:r>
        <w:rPr>
          <w:lang w:val="en-GB"/>
        </w:rPr>
        <w:t>Schiffers</w:t>
      </w:r>
      <w:proofErr w:type="spellEnd"/>
      <w:r>
        <w:rPr>
          <w:lang w:val="en-GB"/>
        </w:rPr>
        <w:t xml:space="preserve">, B. (2017). Phytosanitary practices of tomato producers in Burkina Faso and risks to health and the environment. </w:t>
      </w:r>
      <w:r w:rsidRPr="00B467AE">
        <w:rPr>
          <w:lang w:val="fr-FR"/>
        </w:rPr>
        <w:t xml:space="preserve">Cahiers Agricultures </w:t>
      </w:r>
      <w:proofErr w:type="gramStart"/>
      <w:r w:rsidRPr="00B467AE">
        <w:rPr>
          <w:lang w:val="fr-FR"/>
        </w:rPr>
        <w:t>26:</w:t>
      </w:r>
      <w:proofErr w:type="gramEnd"/>
      <w:r w:rsidRPr="00B467AE">
        <w:rPr>
          <w:lang w:val="fr-FR"/>
        </w:rPr>
        <w:t xml:space="preserve">25005. </w:t>
      </w:r>
      <w:proofErr w:type="gramStart"/>
      <w:r w:rsidRPr="00B467AE">
        <w:rPr>
          <w:lang w:val="fr-FR"/>
        </w:rPr>
        <w:t>DOI:</w:t>
      </w:r>
      <w:proofErr w:type="gramEnd"/>
      <w:r w:rsidRPr="00B467AE">
        <w:rPr>
          <w:lang w:val="fr-FR"/>
        </w:rPr>
        <w:t xml:space="preserve"> 10.1051/</w:t>
      </w:r>
      <w:proofErr w:type="spellStart"/>
      <w:r w:rsidRPr="00B467AE">
        <w:rPr>
          <w:lang w:val="fr-FR"/>
        </w:rPr>
        <w:t>cagri</w:t>
      </w:r>
      <w:proofErr w:type="spellEnd"/>
      <w:r w:rsidRPr="00B467AE">
        <w:rPr>
          <w:lang w:val="fr-FR"/>
        </w:rPr>
        <w:t>/2017010.</w:t>
      </w:r>
    </w:p>
    <w:p w14:paraId="30859C00" w14:textId="77777777" w:rsidR="00B05ED5" w:rsidRDefault="00460EE6">
      <w:pPr>
        <w:pStyle w:val="Body"/>
        <w:rPr>
          <w:lang w:val="en-GB"/>
        </w:rPr>
      </w:pPr>
      <w:r w:rsidRPr="00B467AE">
        <w:rPr>
          <w:lang w:val="fr-FR"/>
        </w:rPr>
        <w:t xml:space="preserve">Soro, G., Koffi, N.M., Kone, B., Kouakou, Y.E., M’Bra, K.R., Soro, P.D., et al. </w:t>
      </w:r>
      <w:r>
        <w:rPr>
          <w:lang w:val="en-GB"/>
        </w:rPr>
        <w:t xml:space="preserve">(2018). Use of plant protection products in market gardening around the drinking water supply dam of the city of </w:t>
      </w:r>
      <w:proofErr w:type="spellStart"/>
      <w:r>
        <w:rPr>
          <w:lang w:val="en-GB"/>
        </w:rPr>
        <w:t>Korhogo</w:t>
      </w:r>
      <w:proofErr w:type="spellEnd"/>
      <w:r>
        <w:rPr>
          <w:lang w:val="en-GB"/>
        </w:rPr>
        <w:t xml:space="preserve"> (northern Côte d’Ivoire): risks to public health. Environ. Risk Health, 17(2): 155-163. DOI: 10.1684/ers.2018.1147</w:t>
      </w:r>
    </w:p>
    <w:p w14:paraId="10BE8073" w14:textId="77777777" w:rsidR="00B05ED5" w:rsidRDefault="00460EE6">
      <w:pPr>
        <w:pStyle w:val="Body"/>
        <w:rPr>
          <w:lang w:val="en-GB"/>
        </w:rPr>
      </w:pPr>
      <w:r>
        <w:rPr>
          <w:lang w:val="en-GB"/>
        </w:rPr>
        <w:t xml:space="preserve">Touré, A. A. (2020). Knowledge, Attitude and Practice of Market Gardeners on the Rational Use of Pesticides in Bamako and </w:t>
      </w:r>
      <w:proofErr w:type="spellStart"/>
      <w:r>
        <w:rPr>
          <w:lang w:val="en-GB"/>
        </w:rPr>
        <w:t>Baguinéda</w:t>
      </w:r>
      <w:proofErr w:type="spellEnd"/>
      <w:r>
        <w:rPr>
          <w:lang w:val="en-GB"/>
        </w:rPr>
        <w:t xml:space="preserve"> [Thesis, University of Science, Techniques and Technologies of Bamako].</w:t>
      </w:r>
    </w:p>
    <w:p w14:paraId="77526416" w14:textId="77777777" w:rsidR="00B05ED5" w:rsidRDefault="00460EE6">
      <w:pPr>
        <w:pStyle w:val="Body"/>
        <w:rPr>
          <w:rFonts w:ascii="Arial" w:hAnsi="Arial" w:cs="Arial"/>
          <w:b/>
        </w:rPr>
      </w:pPr>
      <w:proofErr w:type="spellStart"/>
      <w:r>
        <w:rPr>
          <w:lang w:val="en-GB"/>
        </w:rPr>
        <w:t>Wognin</w:t>
      </w:r>
      <w:proofErr w:type="spellEnd"/>
      <w:r>
        <w:rPr>
          <w:lang w:val="en-GB"/>
        </w:rPr>
        <w:t xml:space="preserve">, A.S., </w:t>
      </w:r>
      <w:proofErr w:type="spellStart"/>
      <w:r>
        <w:rPr>
          <w:lang w:val="en-GB"/>
        </w:rPr>
        <w:t>Ouffoue</w:t>
      </w:r>
      <w:proofErr w:type="spellEnd"/>
      <w:r>
        <w:rPr>
          <w:lang w:val="en-GB"/>
        </w:rPr>
        <w:t xml:space="preserve">, S.K., </w:t>
      </w:r>
      <w:proofErr w:type="spellStart"/>
      <w:r>
        <w:rPr>
          <w:lang w:val="en-GB"/>
        </w:rPr>
        <w:t>Assemand</w:t>
      </w:r>
      <w:proofErr w:type="spellEnd"/>
      <w:r>
        <w:rPr>
          <w:lang w:val="en-GB"/>
        </w:rPr>
        <w:t xml:space="preserve">, E.F., </w:t>
      </w:r>
      <w:proofErr w:type="spellStart"/>
      <w:r>
        <w:rPr>
          <w:lang w:val="en-GB"/>
        </w:rPr>
        <w:t>Tano</w:t>
      </w:r>
      <w:proofErr w:type="spellEnd"/>
      <w:r>
        <w:rPr>
          <w:lang w:val="en-GB"/>
        </w:rPr>
        <w:t xml:space="preserve">, K. &amp; </w:t>
      </w:r>
      <w:proofErr w:type="spellStart"/>
      <w:r>
        <w:rPr>
          <w:lang w:val="en-GB"/>
        </w:rPr>
        <w:t>Koffi-Nevry</w:t>
      </w:r>
      <w:proofErr w:type="spellEnd"/>
      <w:r>
        <w:rPr>
          <w:lang w:val="en-GB"/>
        </w:rPr>
        <w:t>, R. (2013). Perception of health risks in market gardening in Abidjan, Ivory Coast. International Journal of Biological and Chemical Sciences 7(5): 1829–1827. DOI: 10.4314/</w:t>
      </w:r>
      <w:proofErr w:type="gramStart"/>
      <w:r>
        <w:rPr>
          <w:lang w:val="en-GB"/>
        </w:rPr>
        <w:t>ijbcs.v</w:t>
      </w:r>
      <w:proofErr w:type="gramEnd"/>
      <w:r>
        <w:rPr>
          <w:lang w:val="en-GB"/>
        </w:rPr>
        <w:t>7i5.4.</w:t>
      </w:r>
    </w:p>
    <w:sectPr w:rsidR="00B05ED5" w:rsidSect="008033B9">
      <w:headerReference w:type="even" r:id="rId25"/>
      <w:headerReference w:type="default" r:id="rId26"/>
      <w:footerReference w:type="default" r:id="rId27"/>
      <w:headerReference w:type="first" r:id="rId2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07461" w14:textId="77777777" w:rsidR="0073437F" w:rsidRDefault="0073437F">
      <w:r>
        <w:separator/>
      </w:r>
    </w:p>
  </w:endnote>
  <w:endnote w:type="continuationSeparator" w:id="0">
    <w:p w14:paraId="377CD6D2" w14:textId="77777777" w:rsidR="0073437F" w:rsidRDefault="00734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D0273" w14:textId="77777777" w:rsidR="008033B9" w:rsidRDefault="008033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D7B2E" w14:textId="77777777" w:rsidR="008033B9" w:rsidRDefault="008033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42858" w14:textId="77777777" w:rsidR="00B05ED5" w:rsidRPr="00723788" w:rsidRDefault="00B05ED5" w:rsidP="007237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D4468" w14:textId="77777777" w:rsidR="00B05ED5" w:rsidRDefault="00B05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85328" w14:textId="77777777" w:rsidR="0073437F" w:rsidRDefault="0073437F">
      <w:r>
        <w:separator/>
      </w:r>
    </w:p>
  </w:footnote>
  <w:footnote w:type="continuationSeparator" w:id="0">
    <w:p w14:paraId="36B7961D" w14:textId="77777777" w:rsidR="0073437F" w:rsidRDefault="00734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78F38" w14:textId="77777777" w:rsidR="008033B9" w:rsidRDefault="0073437F">
    <w:pPr>
      <w:pStyle w:val="Header"/>
    </w:pPr>
    <w:r>
      <w:rPr>
        <w:noProof/>
      </w:rPr>
      <w:pict w14:anchorId="5ED4BA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9108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C8BD2" w14:textId="77777777" w:rsidR="008033B9" w:rsidRDefault="0073437F">
    <w:pPr>
      <w:pStyle w:val="Header"/>
    </w:pPr>
    <w:r>
      <w:rPr>
        <w:noProof/>
      </w:rPr>
      <w:pict w14:anchorId="21F935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9108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12D93" w14:textId="77777777" w:rsidR="00B05ED5" w:rsidRDefault="0073437F">
    <w:pPr>
      <w:ind w:left="2160"/>
      <w:jc w:val="center"/>
      <w:rPr>
        <w:rFonts w:ascii="Times New Roman" w:eastAsia="Calibri" w:hAnsi="Times New Roman"/>
        <w:i/>
        <w:sz w:val="18"/>
        <w:szCs w:val="22"/>
      </w:rPr>
    </w:pPr>
    <w:r>
      <w:rPr>
        <w:noProof/>
      </w:rPr>
      <w:pict w14:anchorId="7096FD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91087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84E4901" w14:textId="77777777" w:rsidR="00B05ED5" w:rsidRDefault="00460EE6">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5E5374B7" w14:textId="77777777" w:rsidR="00B05ED5" w:rsidRDefault="00460EE6">
    <w:pPr>
      <w:jc w:val="center"/>
      <w:rPr>
        <w:rFonts w:ascii="Times New Roman" w:eastAsia="Calibri" w:hAnsi="Times New Roman"/>
        <w:i/>
        <w:sz w:val="18"/>
        <w:szCs w:val="22"/>
      </w:rPr>
    </w:pPr>
    <w:r>
      <w:rPr>
        <w:rFonts w:ascii="Times New Roman" w:eastAsia="Calibri" w:hAnsi="Times New Roman"/>
        <w:i/>
        <w:sz w:val="18"/>
        <w:szCs w:val="22"/>
      </w:rPr>
      <w:t>.</w:t>
    </w:r>
  </w:p>
  <w:p w14:paraId="42B18A04" w14:textId="77777777" w:rsidR="00B05ED5" w:rsidRDefault="00460EE6">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300886C2" w14:textId="77777777" w:rsidR="00B05ED5" w:rsidRDefault="00460EE6">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2268902" w14:textId="77777777" w:rsidR="00B05ED5" w:rsidRDefault="00460EE6">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B62E4F9" w14:textId="77777777" w:rsidR="00B05ED5" w:rsidRDefault="00460EE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3EE9A" w14:textId="77777777" w:rsidR="008033B9" w:rsidRDefault="0073437F">
    <w:pPr>
      <w:pStyle w:val="Header"/>
    </w:pPr>
    <w:r>
      <w:rPr>
        <w:noProof/>
      </w:rPr>
      <w:pict w14:anchorId="6B796C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91087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4CBD0" w14:textId="77777777" w:rsidR="008033B9" w:rsidRDefault="0073437F">
    <w:pPr>
      <w:pStyle w:val="Header"/>
    </w:pPr>
    <w:r>
      <w:rPr>
        <w:noProof/>
      </w:rPr>
      <w:pict w14:anchorId="2C3C77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91088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1F3C5" w14:textId="77777777" w:rsidR="008033B9" w:rsidRDefault="0073437F">
    <w:pPr>
      <w:pStyle w:val="Header"/>
    </w:pPr>
    <w:r>
      <w:rPr>
        <w:noProof/>
      </w:rPr>
      <w:pict w14:anchorId="26D285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91087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05ED5"/>
    <w:rsid w:val="000E761D"/>
    <w:rsid w:val="001D3288"/>
    <w:rsid w:val="003113FA"/>
    <w:rsid w:val="00313E0B"/>
    <w:rsid w:val="00460EE6"/>
    <w:rsid w:val="004B5E06"/>
    <w:rsid w:val="00723788"/>
    <w:rsid w:val="0073437F"/>
    <w:rsid w:val="008033B9"/>
    <w:rsid w:val="0085192B"/>
    <w:rsid w:val="00912F5E"/>
    <w:rsid w:val="009C7608"/>
    <w:rsid w:val="00A0613A"/>
    <w:rsid w:val="00A23EA4"/>
    <w:rsid w:val="00AD75D7"/>
    <w:rsid w:val="00B05ED5"/>
    <w:rsid w:val="00B467AE"/>
    <w:rsid w:val="00CA5C45"/>
    <w:rsid w:val="00F11B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26"/>
      </o:rules>
    </o:shapelayout>
  </w:shapeDefaults>
  <w:decimalSymbol w:val="."/>
  <w:listSeparator w:val=","/>
  <w14:docId w14:val="1C5698AF"/>
  <w15:docId w15:val="{3D6EA1A5-8B13-446A-85A7-28B721260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Mentionnonrsolue1">
    <w:name w:val="Mention non résolue1"/>
    <w:basedOn w:val="DefaultParagraphFont"/>
    <w:uiPriority w:val="99"/>
    <w:semiHidden/>
    <w:unhideWhenUsed/>
    <w:qFormat/>
    <w:rPr>
      <w:color w:val="605E5C"/>
      <w:shd w:val="clear" w:color="auto" w:fill="E1DFDD"/>
    </w:rPr>
  </w:style>
  <w:style w:type="table" w:customStyle="1" w:styleId="TableauListe6Couleur1">
    <w:name w:val="Tableau Liste 6 Couleur1"/>
    <w:basedOn w:val="TableNormal"/>
    <w:uiPriority w:val="51"/>
    <w:qFormat/>
    <w:rPr>
      <w:rFonts w:asciiTheme="minorHAnsi" w:eastAsiaTheme="minorHAnsi" w:hAnsiTheme="minorHAnsi" w:cstheme="minorBidi"/>
      <w:color w:val="000000" w:themeColor="text1"/>
      <w:sz w:val="22"/>
      <w:szCs w:val="22"/>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ontstyle01">
    <w:name w:val="fontstyle01"/>
    <w:basedOn w:val="DefaultParagraphFont"/>
    <w:qFormat/>
    <w:rPr>
      <w:rFonts w:ascii="Times New Roman" w:hAnsi="Times New Roman" w:cs="Times New Roman" w:hint="default"/>
      <w:color w:val="000000"/>
      <w:sz w:val="24"/>
      <w:szCs w:val="24"/>
    </w:rPr>
  </w:style>
  <w:style w:type="table" w:customStyle="1" w:styleId="Tableausimple21">
    <w:name w:val="Tableau simp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09013">
      <w:bodyDiv w:val="1"/>
      <w:marLeft w:val="0"/>
      <w:marRight w:val="0"/>
      <w:marTop w:val="0"/>
      <w:marBottom w:val="0"/>
      <w:divBdr>
        <w:top w:val="none" w:sz="0" w:space="0" w:color="auto"/>
        <w:left w:val="none" w:sz="0" w:space="0" w:color="auto"/>
        <w:bottom w:val="none" w:sz="0" w:space="0" w:color="auto"/>
        <w:right w:val="none" w:sz="0" w:space="0" w:color="auto"/>
      </w:divBdr>
    </w:div>
    <w:div w:id="86080159">
      <w:bodyDiv w:val="1"/>
      <w:marLeft w:val="0"/>
      <w:marRight w:val="0"/>
      <w:marTop w:val="0"/>
      <w:marBottom w:val="0"/>
      <w:divBdr>
        <w:top w:val="none" w:sz="0" w:space="0" w:color="auto"/>
        <w:left w:val="none" w:sz="0" w:space="0" w:color="auto"/>
        <w:bottom w:val="none" w:sz="0" w:space="0" w:color="auto"/>
        <w:right w:val="none" w:sz="0" w:space="0" w:color="auto"/>
      </w:divBdr>
    </w:div>
    <w:div w:id="91782805">
      <w:bodyDiv w:val="1"/>
      <w:marLeft w:val="0"/>
      <w:marRight w:val="0"/>
      <w:marTop w:val="0"/>
      <w:marBottom w:val="0"/>
      <w:divBdr>
        <w:top w:val="none" w:sz="0" w:space="0" w:color="auto"/>
        <w:left w:val="none" w:sz="0" w:space="0" w:color="auto"/>
        <w:bottom w:val="none" w:sz="0" w:space="0" w:color="auto"/>
        <w:right w:val="none" w:sz="0" w:space="0" w:color="auto"/>
      </w:divBdr>
    </w:div>
    <w:div w:id="153835087">
      <w:bodyDiv w:val="1"/>
      <w:marLeft w:val="0"/>
      <w:marRight w:val="0"/>
      <w:marTop w:val="0"/>
      <w:marBottom w:val="0"/>
      <w:divBdr>
        <w:top w:val="none" w:sz="0" w:space="0" w:color="auto"/>
        <w:left w:val="none" w:sz="0" w:space="0" w:color="auto"/>
        <w:bottom w:val="none" w:sz="0" w:space="0" w:color="auto"/>
        <w:right w:val="none" w:sz="0" w:space="0" w:color="auto"/>
      </w:divBdr>
    </w:div>
    <w:div w:id="179898955">
      <w:bodyDiv w:val="1"/>
      <w:marLeft w:val="0"/>
      <w:marRight w:val="0"/>
      <w:marTop w:val="0"/>
      <w:marBottom w:val="0"/>
      <w:divBdr>
        <w:top w:val="none" w:sz="0" w:space="0" w:color="auto"/>
        <w:left w:val="none" w:sz="0" w:space="0" w:color="auto"/>
        <w:bottom w:val="none" w:sz="0" w:space="0" w:color="auto"/>
        <w:right w:val="none" w:sz="0" w:space="0" w:color="auto"/>
      </w:divBdr>
    </w:div>
    <w:div w:id="554241808">
      <w:bodyDiv w:val="1"/>
      <w:marLeft w:val="0"/>
      <w:marRight w:val="0"/>
      <w:marTop w:val="0"/>
      <w:marBottom w:val="0"/>
      <w:divBdr>
        <w:top w:val="none" w:sz="0" w:space="0" w:color="auto"/>
        <w:left w:val="none" w:sz="0" w:space="0" w:color="auto"/>
        <w:bottom w:val="none" w:sz="0" w:space="0" w:color="auto"/>
        <w:right w:val="none" w:sz="0" w:space="0" w:color="auto"/>
      </w:divBdr>
    </w:div>
    <w:div w:id="641346558">
      <w:bodyDiv w:val="1"/>
      <w:marLeft w:val="0"/>
      <w:marRight w:val="0"/>
      <w:marTop w:val="0"/>
      <w:marBottom w:val="0"/>
      <w:divBdr>
        <w:top w:val="none" w:sz="0" w:space="0" w:color="auto"/>
        <w:left w:val="none" w:sz="0" w:space="0" w:color="auto"/>
        <w:bottom w:val="none" w:sz="0" w:space="0" w:color="auto"/>
        <w:right w:val="none" w:sz="0" w:space="0" w:color="auto"/>
      </w:divBdr>
    </w:div>
    <w:div w:id="871383290">
      <w:bodyDiv w:val="1"/>
      <w:marLeft w:val="0"/>
      <w:marRight w:val="0"/>
      <w:marTop w:val="0"/>
      <w:marBottom w:val="0"/>
      <w:divBdr>
        <w:top w:val="none" w:sz="0" w:space="0" w:color="auto"/>
        <w:left w:val="none" w:sz="0" w:space="0" w:color="auto"/>
        <w:bottom w:val="none" w:sz="0" w:space="0" w:color="auto"/>
        <w:right w:val="none" w:sz="0" w:space="0" w:color="auto"/>
      </w:divBdr>
    </w:div>
    <w:div w:id="1078134499">
      <w:bodyDiv w:val="1"/>
      <w:marLeft w:val="0"/>
      <w:marRight w:val="0"/>
      <w:marTop w:val="0"/>
      <w:marBottom w:val="0"/>
      <w:divBdr>
        <w:top w:val="none" w:sz="0" w:space="0" w:color="auto"/>
        <w:left w:val="none" w:sz="0" w:space="0" w:color="auto"/>
        <w:bottom w:val="none" w:sz="0" w:space="0" w:color="auto"/>
        <w:right w:val="none" w:sz="0" w:space="0" w:color="auto"/>
      </w:divBdr>
    </w:div>
    <w:div w:id="1297644586">
      <w:bodyDiv w:val="1"/>
      <w:marLeft w:val="0"/>
      <w:marRight w:val="0"/>
      <w:marTop w:val="0"/>
      <w:marBottom w:val="0"/>
      <w:divBdr>
        <w:top w:val="none" w:sz="0" w:space="0" w:color="auto"/>
        <w:left w:val="none" w:sz="0" w:space="0" w:color="auto"/>
        <w:bottom w:val="none" w:sz="0" w:space="0" w:color="auto"/>
        <w:right w:val="none" w:sz="0" w:space="0" w:color="auto"/>
      </w:divBdr>
    </w:div>
    <w:div w:id="1411657227">
      <w:bodyDiv w:val="1"/>
      <w:marLeft w:val="0"/>
      <w:marRight w:val="0"/>
      <w:marTop w:val="0"/>
      <w:marBottom w:val="0"/>
      <w:divBdr>
        <w:top w:val="none" w:sz="0" w:space="0" w:color="auto"/>
        <w:left w:val="none" w:sz="0" w:space="0" w:color="auto"/>
        <w:bottom w:val="none" w:sz="0" w:space="0" w:color="auto"/>
        <w:right w:val="none" w:sz="0" w:space="0" w:color="auto"/>
      </w:divBdr>
    </w:div>
    <w:div w:id="1621761684">
      <w:bodyDiv w:val="1"/>
      <w:marLeft w:val="0"/>
      <w:marRight w:val="0"/>
      <w:marTop w:val="0"/>
      <w:marBottom w:val="0"/>
      <w:divBdr>
        <w:top w:val="none" w:sz="0" w:space="0" w:color="auto"/>
        <w:left w:val="none" w:sz="0" w:space="0" w:color="auto"/>
        <w:bottom w:val="none" w:sz="0" w:space="0" w:color="auto"/>
        <w:right w:val="none" w:sz="0" w:space="0" w:color="auto"/>
      </w:divBdr>
    </w:div>
    <w:div w:id="1935899410">
      <w:bodyDiv w:val="1"/>
      <w:marLeft w:val="0"/>
      <w:marRight w:val="0"/>
      <w:marTop w:val="0"/>
      <w:marBottom w:val="0"/>
      <w:divBdr>
        <w:top w:val="none" w:sz="0" w:space="0" w:color="auto"/>
        <w:left w:val="none" w:sz="0" w:space="0" w:color="auto"/>
        <w:bottom w:val="none" w:sz="0" w:space="0" w:color="auto"/>
        <w:right w:val="none" w:sz="0" w:space="0" w:color="auto"/>
      </w:divBdr>
    </w:div>
    <w:div w:id="2008945865">
      <w:bodyDiv w:val="1"/>
      <w:marLeft w:val="0"/>
      <w:marRight w:val="0"/>
      <w:marTop w:val="0"/>
      <w:marBottom w:val="0"/>
      <w:divBdr>
        <w:top w:val="none" w:sz="0" w:space="0" w:color="auto"/>
        <w:left w:val="none" w:sz="0" w:space="0" w:color="auto"/>
        <w:bottom w:val="none" w:sz="0" w:space="0" w:color="auto"/>
        <w:right w:val="none" w:sz="0" w:space="0" w:color="auto"/>
      </w:divBdr>
    </w:div>
    <w:div w:id="2059549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footer" Target="footer2.xml"/><Relationship Id="rId17" Type="http://schemas.microsoft.com/office/2007/relationships/hdphoto" Target="media/hdphoto1.wdp"/><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chart" Target="charts/chart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6.png"/><Relationship Id="rId28" Type="http://schemas.openxmlformats.org/officeDocument/2006/relationships/header" Target="header6.xml"/><Relationship Id="rId10" Type="http://schemas.openxmlformats.org/officeDocument/2006/relationships/header" Target="header2.xml"/><Relationship Id="rId19" Type="http://schemas.microsoft.com/office/2007/relationships/hdphoto" Target="media/hdphoto2.wdp"/><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png"/><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BORAYE%20MONODJI\Desktop\article%20bai%20et%20tam\Donn&#233;es_Mbailaoeeee.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G:\Article\Artcile_pesticide\Nouveau%20dossier\Donn&#233;es_Mbailao.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11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Feuil1!$E$25:$E$30</c:f>
              <c:strCache>
                <c:ptCount val="6"/>
                <c:pt idx="0">
                  <c:v>Boots</c:v>
                </c:pt>
                <c:pt idx="1">
                  <c:v>Long sleeve shirts</c:v>
                </c:pt>
                <c:pt idx="2">
                  <c:v>Nose cap</c:v>
                </c:pt>
                <c:pt idx="3">
                  <c:v>Eyeglasses</c:v>
                </c:pt>
                <c:pt idx="4">
                  <c:v>Gloves</c:v>
                </c:pt>
                <c:pt idx="5">
                  <c:v>No protection</c:v>
                </c:pt>
              </c:strCache>
            </c:strRef>
          </c:cat>
          <c:val>
            <c:numRef>
              <c:f>Feuil1!$F$25:$F$30</c:f>
              <c:numCache>
                <c:formatCode>0%</c:formatCode>
                <c:ptCount val="6"/>
                <c:pt idx="0">
                  <c:v>7.0000000000000007E-2</c:v>
                </c:pt>
                <c:pt idx="1">
                  <c:v>0.28000000000000003</c:v>
                </c:pt>
                <c:pt idx="2">
                  <c:v>0.06</c:v>
                </c:pt>
                <c:pt idx="3">
                  <c:v>0.02</c:v>
                </c:pt>
                <c:pt idx="4">
                  <c:v>0.04</c:v>
                </c:pt>
                <c:pt idx="5" formatCode="0.00%">
                  <c:v>0.53</c:v>
                </c:pt>
              </c:numCache>
            </c:numRef>
          </c:val>
          <c:extLst>
            <c:ext xmlns:c16="http://schemas.microsoft.com/office/drawing/2014/chart" uri="{C3380CC4-5D6E-409C-BE32-E72D297353CC}">
              <c16:uniqueId val="{00000000-4B4B-4A61-A926-4519DA9C3769}"/>
            </c:ext>
          </c:extLst>
        </c:ser>
        <c:dLbls>
          <c:showLegendKey val="0"/>
          <c:showVal val="1"/>
          <c:showCatName val="0"/>
          <c:showSerName val="0"/>
          <c:showPercent val="0"/>
          <c:showBubbleSize val="0"/>
        </c:dLbls>
        <c:gapWidth val="444"/>
        <c:overlap val="-90"/>
        <c:axId val="344903728"/>
        <c:axId val="344908432"/>
      </c:barChart>
      <c:catAx>
        <c:axId val="344903728"/>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800" b="0" i="0" u="none" strike="noStrike" kern="1200" cap="all" spc="120" normalizeH="0" baseline="0">
                <a:solidFill>
                  <a:sysClr val="windowText" lastClr="000000"/>
                </a:solidFill>
                <a:latin typeface="+mn-lt"/>
                <a:ea typeface="+mn-ea"/>
                <a:cs typeface="+mn-cs"/>
              </a:defRPr>
            </a:pPr>
            <a:endParaRPr lang="en-US"/>
          </a:p>
        </c:txPr>
        <c:crossAx val="344908432"/>
        <c:crosses val="autoZero"/>
        <c:auto val="1"/>
        <c:lblAlgn val="ctr"/>
        <c:lblOffset val="100"/>
        <c:noMultiLvlLbl val="0"/>
      </c:catAx>
      <c:valAx>
        <c:axId val="344908432"/>
        <c:scaling>
          <c:orientation val="minMax"/>
        </c:scaling>
        <c:delete val="1"/>
        <c:axPos val="l"/>
        <c:numFmt formatCode="0%" sourceLinked="1"/>
        <c:majorTickMark val="none"/>
        <c:minorTickMark val="none"/>
        <c:tickLblPos val="nextTo"/>
        <c:crossAx val="344903728"/>
        <c:crosses val="autoZero"/>
        <c:crossBetween val="between"/>
      </c:valAx>
      <c:spPr>
        <a:noFill/>
        <a:ln>
          <a:noFill/>
        </a:ln>
        <a:effectLst/>
      </c:spPr>
    </c:plotArea>
    <c:plotVisOnly val="1"/>
    <c:dispBlanksAs val="gap"/>
    <c:showDLblsOverMax val="0"/>
    <c:extLst>
      <c:ext uri="{0b15fc19-7d7d-44ad-8c2d-2c3a37ce22c3}">
        <chartProps xmlns="https://web.wps.cn/et/2018/main" chartId="{30e9d1e4-2d95-4591-86c8-8a51f8dba4c6}"/>
      </c:ext>
    </c:extLst>
  </c:chart>
  <c:spPr>
    <a:solidFill>
      <a:schemeClr val="lt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Feuil1!$C$48</c:f>
              <c:strCache>
                <c:ptCount val="1"/>
                <c:pt idx="0">
                  <c:v>Fréquence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Feuil1!$B$49:$B$51</c:f>
              <c:strCache>
                <c:ptCount val="3"/>
                <c:pt idx="0">
                  <c:v>Overdose</c:v>
                </c:pt>
                <c:pt idx="1">
                  <c:v>Mixing</c:v>
                </c:pt>
                <c:pt idx="2">
                  <c:v>Product change</c:v>
                </c:pt>
              </c:strCache>
            </c:strRef>
          </c:cat>
          <c:val>
            <c:numRef>
              <c:f>Feuil1!$C$49:$C$51</c:f>
              <c:numCache>
                <c:formatCode>0%</c:formatCode>
                <c:ptCount val="3"/>
                <c:pt idx="0">
                  <c:v>0.85</c:v>
                </c:pt>
                <c:pt idx="1">
                  <c:v>0.04</c:v>
                </c:pt>
                <c:pt idx="2">
                  <c:v>0.11</c:v>
                </c:pt>
              </c:numCache>
            </c:numRef>
          </c:val>
          <c:extLst>
            <c:ext xmlns:c16="http://schemas.microsoft.com/office/drawing/2014/chart" uri="{C3380CC4-5D6E-409C-BE32-E72D297353CC}">
              <c16:uniqueId val="{00000000-3513-4B47-94E6-55D2DA5F22E0}"/>
            </c:ext>
          </c:extLst>
        </c:ser>
        <c:dLbls>
          <c:showLegendKey val="0"/>
          <c:showVal val="1"/>
          <c:showCatName val="0"/>
          <c:showSerName val="0"/>
          <c:showPercent val="0"/>
          <c:showBubbleSize val="0"/>
        </c:dLbls>
        <c:gapWidth val="75"/>
        <c:axId val="211402224"/>
        <c:axId val="211402552"/>
      </c:barChart>
      <c:catAx>
        <c:axId val="2114022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1402552"/>
        <c:crosses val="autoZero"/>
        <c:auto val="1"/>
        <c:lblAlgn val="ctr"/>
        <c:lblOffset val="100"/>
        <c:noMultiLvlLbl val="0"/>
      </c:catAx>
      <c:valAx>
        <c:axId val="211402552"/>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140222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DEBF92-8C6A-4F5D-9C52-E2FEB7E4A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212</TotalTime>
  <Pages>15</Pages>
  <Words>5642</Words>
  <Characters>32161</Characters>
  <Application>Microsoft Office Word</Application>
  <DocSecurity>0</DocSecurity>
  <Lines>268</Lines>
  <Paragraphs>75</Paragraphs>
  <ScaleCrop>false</ScaleCrop>
  <HeadingPairs>
    <vt:vector size="2" baseType="variant">
      <vt:variant>
        <vt:lpstr>Titre</vt:lpstr>
      </vt:variant>
      <vt:variant>
        <vt:i4>1</vt:i4>
      </vt:variant>
    </vt:vector>
  </HeadingPairs>
  <TitlesOfParts>
    <vt:vector size="1" baseType="lpstr">
      <vt:lpstr>Paper Template</vt:lpstr>
    </vt:vector>
  </TitlesOfParts>
  <Company>aaaa</Company>
  <LinksUpToDate>false</LinksUpToDate>
  <CharactersWithSpaces>37728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65</cp:revision>
  <cp:lastPrinted>1999-07-06T11:00:00Z</cp:lastPrinted>
  <dcterms:created xsi:type="dcterms:W3CDTF">2014-10-25T14:34:00Z</dcterms:created>
  <dcterms:modified xsi:type="dcterms:W3CDTF">2025-08-21T08:02:00Z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0772EEA1CDA946DD8689DBEE0CDE0DB7_12</vt:lpwstr>
  </property>
</Properties>
</file>