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5C57" w14:textId="16B6CFA8" w:rsidR="00A77D13" w:rsidRDefault="00681A22" w:rsidP="00A77D13">
      <w:pPr>
        <w:jc w:val="center"/>
        <w:rPr>
          <w:rFonts w:ascii="Times New Roman" w:hAnsi="Times New Roman" w:cs="Times New Roman"/>
          <w:b/>
          <w:bCs/>
          <w:sz w:val="24"/>
          <w:szCs w:val="24"/>
        </w:rPr>
      </w:pPr>
      <w:r w:rsidRPr="00681A22">
        <w:rPr>
          <w:rFonts w:ascii="Times New Roman" w:hAnsi="Times New Roman" w:cs="Times New Roman"/>
          <w:b/>
          <w:bCs/>
          <w:sz w:val="24"/>
          <w:szCs w:val="24"/>
        </w:rPr>
        <w:t xml:space="preserve">Enhancing Growth and Quality of </w:t>
      </w:r>
      <w:r w:rsidR="003A48E2" w:rsidRPr="003A48E2">
        <w:rPr>
          <w:rFonts w:ascii="Times New Roman" w:hAnsi="Times New Roman" w:cs="Times New Roman"/>
          <w:b/>
          <w:bCs/>
          <w:sz w:val="24"/>
          <w:szCs w:val="24"/>
        </w:rPr>
        <w:t>Cabbage (</w:t>
      </w:r>
      <w:r w:rsidR="003A48E2" w:rsidRPr="003A48E2">
        <w:rPr>
          <w:rFonts w:ascii="Times New Roman" w:hAnsi="Times New Roman" w:cs="Times New Roman"/>
          <w:b/>
          <w:bCs/>
          <w:i/>
          <w:iCs/>
          <w:sz w:val="24"/>
          <w:szCs w:val="24"/>
        </w:rPr>
        <w:t>Brassica oleracea</w:t>
      </w:r>
      <w:r w:rsidR="003A48E2" w:rsidRPr="003A48E2">
        <w:rPr>
          <w:rFonts w:ascii="Times New Roman" w:hAnsi="Times New Roman" w:cs="Times New Roman"/>
          <w:b/>
          <w:bCs/>
          <w:sz w:val="24"/>
          <w:szCs w:val="24"/>
        </w:rPr>
        <w:t xml:space="preserve"> var. </w:t>
      </w:r>
      <w:r w:rsidR="003A48E2" w:rsidRPr="003A48E2">
        <w:rPr>
          <w:rFonts w:ascii="Times New Roman" w:hAnsi="Times New Roman" w:cs="Times New Roman"/>
          <w:b/>
          <w:bCs/>
          <w:i/>
          <w:iCs/>
          <w:sz w:val="24"/>
          <w:szCs w:val="24"/>
        </w:rPr>
        <w:t>capitata</w:t>
      </w:r>
      <w:r w:rsidR="003A48E2" w:rsidRPr="003A48E2">
        <w:rPr>
          <w:rFonts w:ascii="Times New Roman" w:hAnsi="Times New Roman" w:cs="Times New Roman"/>
          <w:b/>
          <w:bCs/>
          <w:sz w:val="24"/>
          <w:szCs w:val="24"/>
        </w:rPr>
        <w:t xml:space="preserve"> L.)</w:t>
      </w:r>
      <w:r w:rsidRPr="003A48E2">
        <w:rPr>
          <w:rFonts w:ascii="Times New Roman" w:hAnsi="Times New Roman" w:cs="Times New Roman"/>
          <w:b/>
          <w:bCs/>
          <w:sz w:val="24"/>
          <w:szCs w:val="24"/>
        </w:rPr>
        <w:t xml:space="preserve"> through</w:t>
      </w:r>
      <w:r w:rsidRPr="00681A22">
        <w:rPr>
          <w:rFonts w:ascii="Times New Roman" w:hAnsi="Times New Roman" w:cs="Times New Roman"/>
          <w:b/>
          <w:bCs/>
          <w:sz w:val="24"/>
          <w:szCs w:val="24"/>
        </w:rPr>
        <w:t xml:space="preserve"> Foliar Application of Plant Growth Regulators under Eastern U.P. Conditions</w:t>
      </w:r>
      <w:r w:rsidR="00DD2F94">
        <w:rPr>
          <w:rFonts w:ascii="Times New Roman" w:hAnsi="Times New Roman" w:cs="Times New Roman"/>
          <w:b/>
          <w:bCs/>
          <w:sz w:val="24"/>
          <w:szCs w:val="24"/>
        </w:rPr>
        <w:t>, India</w:t>
      </w:r>
    </w:p>
    <w:p w14:paraId="1E33735A" w14:textId="77777777" w:rsidR="00867E1B" w:rsidRDefault="00867E1B" w:rsidP="00A77D13">
      <w:pPr>
        <w:jc w:val="center"/>
        <w:rPr>
          <w:rFonts w:ascii="Times New Roman" w:hAnsi="Times New Roman" w:cs="Times New Roman"/>
          <w:b/>
          <w:bCs/>
          <w:sz w:val="24"/>
          <w:szCs w:val="24"/>
        </w:rPr>
      </w:pPr>
    </w:p>
    <w:p w14:paraId="57FA2E06" w14:textId="77777777" w:rsidR="00867E1B" w:rsidRPr="00A77D13" w:rsidRDefault="00867E1B" w:rsidP="00A77D13">
      <w:pPr>
        <w:jc w:val="center"/>
        <w:rPr>
          <w:rFonts w:ascii="Times New Roman" w:hAnsi="Times New Roman" w:cs="Times New Roman"/>
          <w:b/>
          <w:bCs/>
          <w:sz w:val="24"/>
          <w:szCs w:val="24"/>
        </w:rPr>
      </w:pPr>
    </w:p>
    <w:p w14:paraId="49B11EE6" w14:textId="77777777" w:rsidR="00332DC2" w:rsidRDefault="00332DC2" w:rsidP="00767797">
      <w:pPr>
        <w:rPr>
          <w:rFonts w:ascii="Times New Roman" w:hAnsi="Times New Roman" w:cs="Times New Roman"/>
          <w:b/>
          <w:bCs/>
          <w:sz w:val="24"/>
          <w:szCs w:val="24"/>
        </w:rPr>
      </w:pPr>
    </w:p>
    <w:p w14:paraId="45C7EDEB" w14:textId="498335BB" w:rsidR="006F3988" w:rsidRPr="006F67D4" w:rsidRDefault="006F3988" w:rsidP="00767797">
      <w:pPr>
        <w:rPr>
          <w:rFonts w:ascii="Times New Roman" w:hAnsi="Times New Roman" w:cs="Times New Roman"/>
          <w:b/>
          <w:bCs/>
          <w:sz w:val="24"/>
          <w:szCs w:val="24"/>
        </w:rPr>
      </w:pPr>
      <w:r w:rsidRPr="006F67D4">
        <w:rPr>
          <w:rFonts w:ascii="Times New Roman" w:hAnsi="Times New Roman" w:cs="Times New Roman"/>
          <w:b/>
          <w:bCs/>
          <w:sz w:val="24"/>
          <w:szCs w:val="24"/>
        </w:rPr>
        <w:t>ABSTRACT</w:t>
      </w:r>
    </w:p>
    <w:p w14:paraId="7ACB33BD" w14:textId="0098BC77" w:rsidR="006F3988" w:rsidRPr="006F67D4" w:rsidRDefault="006F3988" w:rsidP="00767797">
      <w:pPr>
        <w:jc w:val="both"/>
        <w:rPr>
          <w:rFonts w:ascii="Times New Roman" w:hAnsi="Times New Roman" w:cs="Times New Roman"/>
          <w:sz w:val="24"/>
          <w:szCs w:val="24"/>
        </w:rPr>
      </w:pPr>
      <w:r w:rsidRPr="006F67D4">
        <w:rPr>
          <w:rFonts w:ascii="Times New Roman" w:hAnsi="Times New Roman" w:cs="Times New Roman"/>
          <w:sz w:val="24"/>
          <w:szCs w:val="24"/>
        </w:rPr>
        <w:t>The investigation was carried out during the rabi season of 2023–2024 at the Vegetable Research Farm, Department of Horticulture, Institute of Agricultural Sciences, Banaras Hindu University, Varanasi (U.P.), India. Cabbage (</w:t>
      </w:r>
      <w:r w:rsidRPr="006F67D4">
        <w:rPr>
          <w:rFonts w:ascii="Times New Roman" w:hAnsi="Times New Roman" w:cs="Times New Roman"/>
          <w:i/>
          <w:iCs/>
          <w:sz w:val="24"/>
          <w:szCs w:val="24"/>
        </w:rPr>
        <w:t>Brassica oleracea</w:t>
      </w:r>
      <w:r w:rsidRPr="006F67D4">
        <w:rPr>
          <w:rFonts w:ascii="Times New Roman" w:hAnsi="Times New Roman" w:cs="Times New Roman"/>
          <w:sz w:val="24"/>
          <w:szCs w:val="24"/>
        </w:rPr>
        <w:t xml:space="preserve"> var. </w:t>
      </w:r>
      <w:r w:rsidRPr="006F67D4">
        <w:rPr>
          <w:rFonts w:ascii="Times New Roman" w:hAnsi="Times New Roman" w:cs="Times New Roman"/>
          <w:i/>
          <w:iCs/>
          <w:sz w:val="24"/>
          <w:szCs w:val="24"/>
        </w:rPr>
        <w:t>capitata</w:t>
      </w:r>
      <w:r w:rsidRPr="006F67D4">
        <w:rPr>
          <w:rFonts w:ascii="Times New Roman" w:hAnsi="Times New Roman" w:cs="Times New Roman"/>
          <w:sz w:val="24"/>
          <w:szCs w:val="24"/>
        </w:rPr>
        <w:t xml:space="preserve"> L.), a commercially important </w:t>
      </w:r>
      <w:proofErr w:type="spellStart"/>
      <w:r w:rsidRPr="006F67D4">
        <w:rPr>
          <w:rFonts w:ascii="Times New Roman" w:hAnsi="Times New Roman" w:cs="Times New Roman"/>
          <w:sz w:val="24"/>
          <w:szCs w:val="24"/>
        </w:rPr>
        <w:t>cole</w:t>
      </w:r>
      <w:proofErr w:type="spellEnd"/>
      <w:r w:rsidRPr="006F67D4">
        <w:rPr>
          <w:rFonts w:ascii="Times New Roman" w:hAnsi="Times New Roman" w:cs="Times New Roman"/>
          <w:sz w:val="24"/>
          <w:szCs w:val="24"/>
        </w:rPr>
        <w:t xml:space="preserve"> crop, has its productivity enhanced through the application of plant hormones. The objective of the study was to assess the impact of foliar application of plant growth regulators</w:t>
      </w:r>
      <w:r w:rsidR="009573BE" w:rsidRPr="006F67D4">
        <w:rPr>
          <w:rFonts w:ascii="Times New Roman" w:hAnsi="Times New Roman" w:cs="Times New Roman"/>
          <w:sz w:val="24"/>
          <w:szCs w:val="24"/>
        </w:rPr>
        <w:t xml:space="preserve"> as </w:t>
      </w:r>
      <w:r w:rsidRPr="006F67D4">
        <w:rPr>
          <w:rFonts w:ascii="Times New Roman" w:hAnsi="Times New Roman" w:cs="Times New Roman"/>
          <w:sz w:val="24"/>
          <w:szCs w:val="24"/>
        </w:rPr>
        <w:t>gibberellic acid (GA₃) and naphthaleneacetic acid (NAA)</w:t>
      </w:r>
      <w:r w:rsidR="00226ABB" w:rsidRPr="006F67D4">
        <w:rPr>
          <w:rFonts w:ascii="Times New Roman" w:hAnsi="Times New Roman" w:cs="Times New Roman"/>
          <w:sz w:val="24"/>
          <w:szCs w:val="24"/>
        </w:rPr>
        <w:t xml:space="preserve">, </w:t>
      </w:r>
      <w:r w:rsidRPr="006F67D4">
        <w:rPr>
          <w:rFonts w:ascii="Times New Roman" w:hAnsi="Times New Roman" w:cs="Times New Roman"/>
          <w:sz w:val="24"/>
          <w:szCs w:val="24"/>
        </w:rPr>
        <w:t>on the vegetative growth, yield attributes</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of cabbage. The experiment followed a randomized block design comprising nine treatment combinations with three replications, using the cultivar ‘Golden Acre’. Treatments consisted of GA₃</w:t>
      </w:r>
      <w:r w:rsidR="004511F7" w:rsidRPr="006F67D4">
        <w:rPr>
          <w:rFonts w:ascii="Times New Roman" w:hAnsi="Times New Roman" w:cs="Times New Roman"/>
          <w:sz w:val="24"/>
          <w:szCs w:val="24"/>
        </w:rPr>
        <w:t xml:space="preserve"> at 60, 90, </w:t>
      </w:r>
      <w:r w:rsidRPr="006F67D4">
        <w:rPr>
          <w:rFonts w:ascii="Times New Roman" w:hAnsi="Times New Roman" w:cs="Times New Roman"/>
          <w:sz w:val="24"/>
          <w:szCs w:val="24"/>
        </w:rPr>
        <w:t xml:space="preserve">120 </w:t>
      </w:r>
      <w:r w:rsidR="00230F7F" w:rsidRPr="006F67D4">
        <w:rPr>
          <w:rFonts w:ascii="Times New Roman" w:hAnsi="Times New Roman" w:cs="Times New Roman"/>
          <w:sz w:val="24"/>
          <w:szCs w:val="24"/>
        </w:rPr>
        <w:t xml:space="preserve">and 150 </w:t>
      </w:r>
      <w:r w:rsidRPr="006F67D4">
        <w:rPr>
          <w:rFonts w:ascii="Times New Roman" w:hAnsi="Times New Roman" w:cs="Times New Roman"/>
          <w:sz w:val="24"/>
          <w:szCs w:val="24"/>
        </w:rPr>
        <w:t>ppm</w:t>
      </w:r>
      <w:r w:rsidR="004A59F6" w:rsidRPr="006F67D4">
        <w:rPr>
          <w:rFonts w:ascii="Times New Roman" w:hAnsi="Times New Roman" w:cs="Times New Roman"/>
          <w:sz w:val="24"/>
          <w:szCs w:val="24"/>
        </w:rPr>
        <w:t>;</w:t>
      </w:r>
      <w:r w:rsidRPr="006F67D4">
        <w:rPr>
          <w:rFonts w:ascii="Times New Roman" w:hAnsi="Times New Roman" w:cs="Times New Roman"/>
          <w:sz w:val="24"/>
          <w:szCs w:val="24"/>
        </w:rPr>
        <w:t xml:space="preserve"> NAA </w:t>
      </w:r>
      <w:r w:rsidR="001900B9" w:rsidRPr="006F67D4">
        <w:rPr>
          <w:rFonts w:ascii="Times New Roman" w:hAnsi="Times New Roman" w:cs="Times New Roman"/>
          <w:sz w:val="24"/>
          <w:szCs w:val="24"/>
        </w:rPr>
        <w:t xml:space="preserve">at </w:t>
      </w:r>
      <w:r w:rsidRPr="006F67D4">
        <w:rPr>
          <w:rFonts w:ascii="Times New Roman" w:hAnsi="Times New Roman" w:cs="Times New Roman"/>
          <w:sz w:val="24"/>
          <w:szCs w:val="24"/>
        </w:rPr>
        <w:t>40</w:t>
      </w:r>
      <w:r w:rsidR="001900B9" w:rsidRPr="006F67D4">
        <w:rPr>
          <w:rFonts w:ascii="Times New Roman" w:hAnsi="Times New Roman" w:cs="Times New Roman"/>
          <w:sz w:val="24"/>
          <w:szCs w:val="24"/>
        </w:rPr>
        <w:t>, 80, 120 and</w:t>
      </w:r>
      <w:r w:rsidR="006E5FD2" w:rsidRPr="006F67D4">
        <w:rPr>
          <w:rFonts w:ascii="Times New Roman" w:hAnsi="Times New Roman" w:cs="Times New Roman"/>
          <w:sz w:val="24"/>
          <w:szCs w:val="24"/>
        </w:rPr>
        <w:t xml:space="preserve"> </w:t>
      </w:r>
      <w:r w:rsidRPr="006F67D4">
        <w:rPr>
          <w:rFonts w:ascii="Times New Roman" w:hAnsi="Times New Roman" w:cs="Times New Roman"/>
          <w:sz w:val="24"/>
          <w:szCs w:val="24"/>
        </w:rPr>
        <w:t xml:space="preserve">150 </w:t>
      </w:r>
      <w:r w:rsidR="008B3F19" w:rsidRPr="006F67D4">
        <w:rPr>
          <w:rFonts w:ascii="Times New Roman" w:hAnsi="Times New Roman" w:cs="Times New Roman"/>
          <w:sz w:val="24"/>
          <w:szCs w:val="24"/>
        </w:rPr>
        <w:t>ppm, along</w:t>
      </w:r>
      <w:r w:rsidR="006E5FD2" w:rsidRPr="006F67D4">
        <w:rPr>
          <w:rFonts w:ascii="Times New Roman" w:hAnsi="Times New Roman" w:cs="Times New Roman"/>
          <w:sz w:val="24"/>
          <w:szCs w:val="24"/>
        </w:rPr>
        <w:t xml:space="preserve"> with </w:t>
      </w:r>
      <w:r w:rsidR="008B3F19" w:rsidRPr="006F67D4">
        <w:rPr>
          <w:rFonts w:ascii="Times New Roman" w:hAnsi="Times New Roman" w:cs="Times New Roman"/>
          <w:sz w:val="24"/>
          <w:szCs w:val="24"/>
        </w:rPr>
        <w:t xml:space="preserve">a </w:t>
      </w:r>
      <w:r w:rsidRPr="006F67D4">
        <w:rPr>
          <w:rFonts w:ascii="Times New Roman" w:hAnsi="Times New Roman" w:cs="Times New Roman"/>
          <w:sz w:val="24"/>
          <w:szCs w:val="24"/>
        </w:rPr>
        <w:t>control, sprayed at 30 and 45 days after transplanting. Statistically significant variations (p &lt; 0.05) were noted across all treatments. GA₃ at 90 ppm recorded maximum plant height (32.83 cm), canopy spread (53.78 cm), leaf dimensions</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wrapped leaf count (52.08), along with superior net head weight (1091.69 g), total biomass (1730.69 g), chlorophyll concentration (SPAD 70.13)</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vitamin C content (34.22 mg/100 g). NAA at 80 ppm also showed </w:t>
      </w:r>
      <w:r w:rsidR="008B3F19" w:rsidRPr="006F67D4">
        <w:rPr>
          <w:rFonts w:ascii="Times New Roman" w:hAnsi="Times New Roman" w:cs="Times New Roman"/>
          <w:sz w:val="24"/>
          <w:szCs w:val="24"/>
        </w:rPr>
        <w:t>favourable</w:t>
      </w:r>
      <w:r w:rsidRPr="006F67D4">
        <w:rPr>
          <w:rFonts w:ascii="Times New Roman" w:hAnsi="Times New Roman" w:cs="Times New Roman"/>
          <w:sz w:val="24"/>
          <w:szCs w:val="24"/>
        </w:rPr>
        <w:t xml:space="preserve"> performance, improving head size, foliage growth</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nutritional quality. Conversely, the untreated control exhibited the lowest values. Overall, the data suggest that appropriate use of GA₃ and NAA</w:t>
      </w:r>
      <w:r w:rsidR="008B3F19" w:rsidRPr="006F67D4">
        <w:rPr>
          <w:rFonts w:ascii="Times New Roman" w:hAnsi="Times New Roman" w:cs="Times New Roman"/>
          <w:sz w:val="24"/>
          <w:szCs w:val="24"/>
        </w:rPr>
        <w:t xml:space="preserve"> </w:t>
      </w:r>
      <w:r w:rsidRPr="006F67D4">
        <w:rPr>
          <w:rFonts w:ascii="Times New Roman" w:hAnsi="Times New Roman" w:cs="Times New Roman"/>
          <w:sz w:val="24"/>
          <w:szCs w:val="24"/>
        </w:rPr>
        <w:t>particularly at 90 ppm and 80 ppm, respectively</w:t>
      </w:r>
      <w:r w:rsidR="00A165D8" w:rsidRPr="006F67D4">
        <w:rPr>
          <w:rFonts w:ascii="Times New Roman" w:hAnsi="Times New Roman" w:cs="Times New Roman"/>
          <w:sz w:val="24"/>
          <w:szCs w:val="24"/>
        </w:rPr>
        <w:t xml:space="preserve">, </w:t>
      </w:r>
      <w:r w:rsidRPr="006F67D4">
        <w:rPr>
          <w:rFonts w:ascii="Times New Roman" w:hAnsi="Times New Roman" w:cs="Times New Roman"/>
          <w:sz w:val="24"/>
          <w:szCs w:val="24"/>
        </w:rPr>
        <w:t>substantially enhances cabbage growth, productivity</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through physiological modulation.</w:t>
      </w:r>
    </w:p>
    <w:p w14:paraId="1098BBDB" w14:textId="5F50C6D2" w:rsidR="00300CEE" w:rsidRPr="006F67D4" w:rsidRDefault="00174C98" w:rsidP="00767797">
      <w:pPr>
        <w:jc w:val="both"/>
        <w:rPr>
          <w:rFonts w:ascii="Times New Roman" w:hAnsi="Times New Roman" w:cs="Times New Roman"/>
        </w:rPr>
      </w:pPr>
      <w:r w:rsidRPr="006F67D4">
        <w:rPr>
          <w:rFonts w:ascii="Times New Roman" w:hAnsi="Times New Roman" w:cs="Times New Roman"/>
          <w:b/>
          <w:bCs/>
          <w:sz w:val="24"/>
          <w:szCs w:val="24"/>
        </w:rPr>
        <w:t>Keywords</w:t>
      </w:r>
      <w:r w:rsidRPr="006F67D4">
        <w:rPr>
          <w:rFonts w:ascii="Times New Roman" w:hAnsi="Times New Roman" w:cs="Times New Roman"/>
          <w:sz w:val="24"/>
          <w:szCs w:val="24"/>
        </w:rPr>
        <w:t xml:space="preserve">: </w:t>
      </w:r>
      <w:r w:rsidR="00A932BA" w:rsidRPr="006F67D4">
        <w:rPr>
          <w:rFonts w:ascii="Times New Roman" w:hAnsi="Times New Roman" w:cs="Times New Roman"/>
          <w:sz w:val="24"/>
          <w:szCs w:val="24"/>
        </w:rPr>
        <w:t>cabbage, gibberellic acid, naphthaleneacetic acid, plant growth regulators, yield attributes, quality traits</w:t>
      </w:r>
    </w:p>
    <w:p w14:paraId="3A545767" w14:textId="4E6B7EF9" w:rsidR="004465CF" w:rsidRPr="006F67D4" w:rsidRDefault="004465CF" w:rsidP="00767797">
      <w:pPr>
        <w:jc w:val="both"/>
        <w:rPr>
          <w:rFonts w:ascii="Times New Roman" w:hAnsi="Times New Roman" w:cs="Times New Roman"/>
          <w:b/>
          <w:bCs/>
          <w:sz w:val="24"/>
          <w:szCs w:val="24"/>
        </w:rPr>
      </w:pPr>
    </w:p>
    <w:p w14:paraId="05A6E056" w14:textId="6CFDCE6C" w:rsidR="00380A00" w:rsidRPr="006F67D4" w:rsidRDefault="00A556E6" w:rsidP="00A556E6">
      <w:pPr>
        <w:pStyle w:val="ListParagraph"/>
        <w:numPr>
          <w:ilvl w:val="0"/>
          <w:numId w:val="4"/>
        </w:numPr>
        <w:ind w:left="180" w:hanging="180"/>
        <w:rPr>
          <w:rFonts w:ascii="Times New Roman" w:hAnsi="Times New Roman" w:cs="Times New Roman"/>
          <w:b/>
          <w:bCs/>
          <w:sz w:val="24"/>
          <w:szCs w:val="24"/>
        </w:rPr>
      </w:pPr>
      <w:r w:rsidRPr="006F67D4">
        <w:rPr>
          <w:rFonts w:ascii="Times New Roman" w:hAnsi="Times New Roman" w:cs="Times New Roman"/>
          <w:b/>
          <w:bCs/>
          <w:sz w:val="24"/>
          <w:szCs w:val="24"/>
        </w:rPr>
        <w:t xml:space="preserve"> </w:t>
      </w:r>
      <w:r w:rsidR="00380A00" w:rsidRPr="006F67D4">
        <w:rPr>
          <w:rFonts w:ascii="Times New Roman" w:hAnsi="Times New Roman" w:cs="Times New Roman"/>
          <w:b/>
          <w:bCs/>
          <w:sz w:val="24"/>
          <w:szCs w:val="24"/>
        </w:rPr>
        <w:t>Introduction</w:t>
      </w:r>
    </w:p>
    <w:p w14:paraId="6DF8F24B" w14:textId="669F9F9A" w:rsidR="00380A00" w:rsidRPr="006F67D4" w:rsidRDefault="00380A00"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Cabbage is a cool-season, biennial leafy vegetable belonging to the family Brassicaceae. It is one of the most widely cultivated </w:t>
      </w:r>
      <w:proofErr w:type="spellStart"/>
      <w:r w:rsidRPr="006F67D4">
        <w:rPr>
          <w:rFonts w:ascii="Times New Roman" w:hAnsi="Times New Roman" w:cs="Times New Roman"/>
          <w:sz w:val="24"/>
          <w:szCs w:val="24"/>
        </w:rPr>
        <w:t>cole</w:t>
      </w:r>
      <w:proofErr w:type="spellEnd"/>
      <w:r w:rsidRPr="006F67D4">
        <w:rPr>
          <w:rFonts w:ascii="Times New Roman" w:hAnsi="Times New Roman" w:cs="Times New Roman"/>
          <w:sz w:val="24"/>
          <w:szCs w:val="24"/>
        </w:rPr>
        <w:t xml:space="preserve"> crops globally and holds substantial economic, nutritional</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horticultural value (Nikzad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xml:space="preserve">., 2020). The species originated from the wild ancestor </w:t>
      </w:r>
      <w:r w:rsidRPr="006F67D4">
        <w:rPr>
          <w:rFonts w:ascii="Times New Roman" w:hAnsi="Times New Roman" w:cs="Times New Roman"/>
          <w:i/>
          <w:iCs/>
          <w:sz w:val="24"/>
          <w:szCs w:val="24"/>
        </w:rPr>
        <w:t>Brassica oleracea</w:t>
      </w:r>
      <w:r w:rsidRPr="006F67D4">
        <w:rPr>
          <w:rFonts w:ascii="Times New Roman" w:hAnsi="Times New Roman" w:cs="Times New Roman"/>
          <w:sz w:val="24"/>
          <w:szCs w:val="24"/>
        </w:rPr>
        <w:t xml:space="preserve"> var. </w:t>
      </w:r>
      <w:r w:rsidRPr="006F67D4">
        <w:rPr>
          <w:rFonts w:ascii="Times New Roman" w:hAnsi="Times New Roman" w:cs="Times New Roman"/>
          <w:i/>
          <w:iCs/>
          <w:sz w:val="24"/>
          <w:szCs w:val="24"/>
        </w:rPr>
        <w:t>sylvestris</w:t>
      </w:r>
      <w:r w:rsidRPr="006F67D4">
        <w:rPr>
          <w:rFonts w:ascii="Times New Roman" w:hAnsi="Times New Roman" w:cs="Times New Roman"/>
          <w:sz w:val="24"/>
          <w:szCs w:val="24"/>
        </w:rPr>
        <w:t xml:space="preserve"> in the Mediterranean region and was initially grown for medicinal use before becoming a staple in culinary practices (</w:t>
      </w:r>
      <w:proofErr w:type="spellStart"/>
      <w:r w:rsidRPr="006F67D4">
        <w:rPr>
          <w:rFonts w:ascii="Times New Roman" w:hAnsi="Times New Roman" w:cs="Times New Roman"/>
          <w:sz w:val="24"/>
          <w:szCs w:val="24"/>
        </w:rPr>
        <w:t>Boriss</w:t>
      </w:r>
      <w:proofErr w:type="spellEnd"/>
      <w:r w:rsidRPr="006F67D4">
        <w:rPr>
          <w:rFonts w:ascii="Times New Roman" w:hAnsi="Times New Roman" w:cs="Times New Roman"/>
          <w:sz w:val="24"/>
          <w:szCs w:val="24"/>
        </w:rPr>
        <w:t xml:space="preserve"> </w:t>
      </w:r>
      <w:r w:rsidR="00990F80">
        <w:rPr>
          <w:rFonts w:ascii="Times New Roman" w:hAnsi="Times New Roman" w:cs="Times New Roman"/>
          <w:sz w:val="24"/>
          <w:szCs w:val="24"/>
        </w:rPr>
        <w:t>and</w:t>
      </w:r>
      <w:r w:rsidRPr="006F67D4">
        <w:rPr>
          <w:rFonts w:ascii="Times New Roman" w:hAnsi="Times New Roman" w:cs="Times New Roman"/>
          <w:sz w:val="24"/>
          <w:szCs w:val="24"/>
        </w:rPr>
        <w:t xml:space="preserve"> </w:t>
      </w:r>
      <w:proofErr w:type="spellStart"/>
      <w:r w:rsidRPr="006F67D4">
        <w:rPr>
          <w:rFonts w:ascii="Times New Roman" w:hAnsi="Times New Roman" w:cs="Times New Roman"/>
          <w:sz w:val="24"/>
          <w:szCs w:val="24"/>
        </w:rPr>
        <w:t>Kreith</w:t>
      </w:r>
      <w:proofErr w:type="spellEnd"/>
      <w:r w:rsidRPr="006F67D4">
        <w:rPr>
          <w:rFonts w:ascii="Times New Roman" w:hAnsi="Times New Roman" w:cs="Times New Roman"/>
          <w:sz w:val="24"/>
          <w:szCs w:val="24"/>
        </w:rPr>
        <w:t xml:space="preserve">, 2006). The term “cabbage” is derived from the French word </w:t>
      </w:r>
      <w:proofErr w:type="spellStart"/>
      <w:r w:rsidRPr="006F67D4">
        <w:rPr>
          <w:rFonts w:ascii="Times New Roman" w:hAnsi="Times New Roman" w:cs="Times New Roman"/>
          <w:i/>
          <w:iCs/>
          <w:sz w:val="24"/>
          <w:szCs w:val="24"/>
        </w:rPr>
        <w:t>caboche</w:t>
      </w:r>
      <w:proofErr w:type="spellEnd"/>
      <w:r w:rsidRPr="006F67D4">
        <w:rPr>
          <w:rFonts w:ascii="Times New Roman" w:hAnsi="Times New Roman" w:cs="Times New Roman"/>
          <w:sz w:val="24"/>
          <w:szCs w:val="24"/>
        </w:rPr>
        <w:t xml:space="preserve">, meaning “head,” which refers to the compact, globular formation of thickened leaves that constitutes its edible portion. Cabbage is known in India as “bandh-gobi” or “gobi” and is grown across seasons due to its adaptability, though it is primarily cultivated during the rabi season (Nikzad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2020). India is the 2</w:t>
      </w:r>
      <w:r w:rsidRPr="006F67D4">
        <w:rPr>
          <w:rFonts w:ascii="Times New Roman" w:hAnsi="Times New Roman" w:cs="Times New Roman"/>
          <w:sz w:val="24"/>
          <w:szCs w:val="24"/>
          <w:vertAlign w:val="superscript"/>
        </w:rPr>
        <w:t>nd</w:t>
      </w:r>
      <w:r w:rsidRPr="006F67D4">
        <w:rPr>
          <w:rFonts w:ascii="Times New Roman" w:hAnsi="Times New Roman" w:cs="Times New Roman"/>
          <w:sz w:val="24"/>
          <w:szCs w:val="24"/>
        </w:rPr>
        <w:t xml:space="preserve"> largest producer of vegetables globally and ranks fourth in cabbage cultivation. According to recent estimates, cabbage is grown on 12.99 thousand hectares in India with a production of 483.97 lakh metric tonnes (Anonymous, 2025). Uttar Pradesh alone contributes significantly with 12.99 thousand hectares under cabbage cultivation and 483.97 lakh MT production </w:t>
      </w:r>
      <w:r w:rsidRPr="006F67D4">
        <w:rPr>
          <w:rFonts w:ascii="Times New Roman" w:hAnsi="Times New Roman" w:cs="Times New Roman"/>
          <w:sz w:val="24"/>
          <w:szCs w:val="24"/>
        </w:rPr>
        <w:lastRenderedPageBreak/>
        <w:t xml:space="preserve">(Anonymous, 2025). Its production supports rural livelihoods and farm incomes, especially in peri-urban areas, due to its high productivity, market acceptability and prolonged shelf life. Cabbage consumption in India also contributes to dietary diversity, especially important considering the low per capita vegetable intake (86 g/day) compared to the ICMR-recommended 300 g/day (Ray </w:t>
      </w:r>
      <w:r w:rsidR="00990F80">
        <w:rPr>
          <w:rFonts w:ascii="Times New Roman" w:hAnsi="Times New Roman" w:cs="Times New Roman"/>
          <w:sz w:val="24"/>
          <w:szCs w:val="24"/>
        </w:rPr>
        <w:t>and</w:t>
      </w:r>
      <w:r w:rsidRPr="006F67D4">
        <w:rPr>
          <w:rFonts w:ascii="Times New Roman" w:hAnsi="Times New Roman" w:cs="Times New Roman"/>
          <w:sz w:val="24"/>
          <w:szCs w:val="24"/>
        </w:rPr>
        <w:t xml:space="preserve"> Ray, 2022). Cabbage is highly nutritious, rich in water (92%), proteins, carbohydrates, dietary </w:t>
      </w:r>
      <w:proofErr w:type="spellStart"/>
      <w:r w:rsidRPr="006F67D4">
        <w:rPr>
          <w:rFonts w:ascii="Times New Roman" w:hAnsi="Times New Roman" w:cs="Times New Roman"/>
          <w:sz w:val="24"/>
          <w:szCs w:val="24"/>
        </w:rPr>
        <w:t>fiber</w:t>
      </w:r>
      <w:proofErr w:type="spellEnd"/>
      <w:r w:rsidRPr="006F67D4">
        <w:rPr>
          <w:rFonts w:ascii="Times New Roman" w:hAnsi="Times New Roman" w:cs="Times New Roman"/>
          <w:sz w:val="24"/>
          <w:szCs w:val="24"/>
        </w:rPr>
        <w:t>, minerals (iron, calcium, potassium and phosphorus) and vitamins A and C, with added health benefits due to glucosinolates and sinigrin (</w:t>
      </w:r>
      <w:proofErr w:type="spellStart"/>
      <w:r w:rsidRPr="006F67D4">
        <w:rPr>
          <w:rFonts w:ascii="Times New Roman" w:hAnsi="Times New Roman" w:cs="Times New Roman"/>
          <w:sz w:val="24"/>
          <w:szCs w:val="24"/>
        </w:rPr>
        <w:t>sulfur</w:t>
      </w:r>
      <w:proofErr w:type="spellEnd"/>
      <w:r w:rsidRPr="006F67D4">
        <w:rPr>
          <w:rFonts w:ascii="Times New Roman" w:hAnsi="Times New Roman" w:cs="Times New Roman"/>
          <w:sz w:val="24"/>
          <w:szCs w:val="24"/>
        </w:rPr>
        <w:t xml:space="preserve">-containing compounds) with anti-carcinogenic properties (Chaudhari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xml:space="preserve">., 2017; Mishra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2023). The distinctive pungent flavour of cabbage is attributed to sinigrin, which also contributes to its medicinal utility, such as in the preparation of fermented products like sauerkraut used to treat scurvy (</w:t>
      </w:r>
      <w:proofErr w:type="spellStart"/>
      <w:r w:rsidRPr="006F67D4">
        <w:rPr>
          <w:rFonts w:ascii="Times New Roman" w:hAnsi="Times New Roman" w:cs="Times New Roman"/>
          <w:sz w:val="24"/>
          <w:szCs w:val="24"/>
        </w:rPr>
        <w:t>Siddeeg</w:t>
      </w:r>
      <w:proofErr w:type="spellEnd"/>
      <w:r w:rsidRPr="006F67D4">
        <w:rPr>
          <w:rFonts w:ascii="Times New Roman" w:hAnsi="Times New Roman" w:cs="Times New Roman"/>
          <w:sz w:val="24"/>
          <w:szCs w:val="24"/>
        </w:rPr>
        <w:t xml:space="preserve">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2022). It is consumed in various forms including salads, soups, curries, pickles</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processed foods, offering both taste and functional health benefits. Cabbage production and yield are influenced by multiple factors including environmental conditions, nutrient availability, crop management practices</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plant growth regulators (</w:t>
      </w:r>
      <w:proofErr w:type="spellStart"/>
      <w:r w:rsidRPr="006F67D4">
        <w:rPr>
          <w:rFonts w:ascii="Times New Roman" w:hAnsi="Times New Roman" w:cs="Times New Roman"/>
          <w:sz w:val="24"/>
          <w:szCs w:val="24"/>
        </w:rPr>
        <w:t>Painkra</w:t>
      </w:r>
      <w:proofErr w:type="spellEnd"/>
      <w:r w:rsidRPr="006F67D4">
        <w:rPr>
          <w:rFonts w:ascii="Times New Roman" w:hAnsi="Times New Roman" w:cs="Times New Roman"/>
          <w:sz w:val="24"/>
          <w:szCs w:val="24"/>
        </w:rPr>
        <w:t xml:space="preserve">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2023). PGRs are organic compounds that profoundly influence physiological and developmental processes in plants. Of particular interest are gibberellic acid and naphthaleneacetic acid, which are widely used to enhance the growth, yield</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of vegetable crops like cabbage, even at low concentrations (Verma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xml:space="preserve">., 2024). GA₃ promotes vegetative growth by stimulating cell elongation, enzyme activity and photosynthetic efficiency. It also delays senescence and enhances assimilate partitioning, leading to better head development and increased marketable yield (Prashant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2024; Bista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2022). NAA, a synthetic auxin, supports cell division, root proliferation and chlorophyll content, thereby improving nutrient uptake, head size, compactness and total biomass (Singh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2019; Meena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2019; </w:t>
      </w:r>
      <w:proofErr w:type="spellStart"/>
      <w:r w:rsidRPr="006F67D4">
        <w:rPr>
          <w:rFonts w:ascii="Times New Roman" w:hAnsi="Times New Roman" w:cs="Times New Roman"/>
          <w:sz w:val="24"/>
          <w:szCs w:val="24"/>
        </w:rPr>
        <w:t>Kumlay</w:t>
      </w:r>
      <w:proofErr w:type="spellEnd"/>
      <w:r w:rsidRPr="006F67D4">
        <w:rPr>
          <w:rFonts w:ascii="Times New Roman" w:hAnsi="Times New Roman" w:cs="Times New Roman"/>
          <w:sz w:val="24"/>
          <w:szCs w:val="24"/>
        </w:rPr>
        <w:t xml:space="preserve">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2021). Together, GA₃ and NAA have demonstrated synergistic effects on plant growth and quality enhancement in cabbage under various </w:t>
      </w:r>
      <w:proofErr w:type="spellStart"/>
      <w:r w:rsidRPr="006F67D4">
        <w:rPr>
          <w:rFonts w:ascii="Times New Roman" w:hAnsi="Times New Roman" w:cs="Times New Roman"/>
          <w:sz w:val="24"/>
          <w:szCs w:val="24"/>
        </w:rPr>
        <w:t>agro</w:t>
      </w:r>
      <w:proofErr w:type="spellEnd"/>
      <w:r w:rsidRPr="006F67D4">
        <w:rPr>
          <w:rFonts w:ascii="Times New Roman" w:hAnsi="Times New Roman" w:cs="Times New Roman"/>
          <w:sz w:val="24"/>
          <w:szCs w:val="24"/>
        </w:rPr>
        <w:t xml:space="preserve">-climatic conditions (Iqbal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2022; Barad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2020).</w:t>
      </w:r>
    </w:p>
    <w:p w14:paraId="33DE311B" w14:textId="113CDE18" w:rsidR="00380A00" w:rsidRPr="006F67D4" w:rsidRDefault="00A556E6" w:rsidP="00767797">
      <w:pPr>
        <w:jc w:val="both"/>
        <w:rPr>
          <w:rFonts w:ascii="Times New Roman" w:hAnsi="Times New Roman" w:cs="Times New Roman"/>
          <w:b/>
          <w:bCs/>
          <w:sz w:val="24"/>
          <w:szCs w:val="24"/>
        </w:rPr>
      </w:pPr>
      <w:r w:rsidRPr="006F67D4">
        <w:rPr>
          <w:rFonts w:ascii="Times New Roman" w:hAnsi="Times New Roman" w:cs="Times New Roman"/>
          <w:b/>
          <w:bCs/>
          <w:sz w:val="24"/>
          <w:szCs w:val="24"/>
        </w:rPr>
        <w:t xml:space="preserve">2. </w:t>
      </w:r>
      <w:r w:rsidR="00380A00" w:rsidRPr="006F67D4">
        <w:rPr>
          <w:rFonts w:ascii="Times New Roman" w:hAnsi="Times New Roman" w:cs="Times New Roman"/>
          <w:b/>
          <w:bCs/>
          <w:sz w:val="24"/>
          <w:szCs w:val="24"/>
        </w:rPr>
        <w:t>Material</w:t>
      </w:r>
      <w:r w:rsidR="00796AED" w:rsidRPr="006F67D4">
        <w:rPr>
          <w:rFonts w:ascii="Times New Roman" w:hAnsi="Times New Roman" w:cs="Times New Roman"/>
          <w:b/>
          <w:bCs/>
          <w:sz w:val="24"/>
          <w:szCs w:val="24"/>
        </w:rPr>
        <w:t>s</w:t>
      </w:r>
      <w:r w:rsidR="00380A00" w:rsidRPr="006F67D4">
        <w:rPr>
          <w:rFonts w:ascii="Times New Roman" w:hAnsi="Times New Roman" w:cs="Times New Roman"/>
          <w:b/>
          <w:bCs/>
          <w:sz w:val="24"/>
          <w:szCs w:val="24"/>
        </w:rPr>
        <w:t xml:space="preserve"> and methods</w:t>
      </w:r>
    </w:p>
    <w:p w14:paraId="69B9D3B1" w14:textId="6A698EC0" w:rsidR="002113B2" w:rsidRPr="006F67D4" w:rsidRDefault="002113B2"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The field study was carried out during the rabi season of 2023–2024 at the Vegetable Research Farm (South Block), Department of Horticulture, Institute of Agricultural Sciences, Banaras Hindu University, Varanasi (U.P.), India. The experiment followed a randomized block design comprising nine treatments with three replications, </w:t>
      </w:r>
      <w:r w:rsidR="001219B6" w:rsidRPr="006F67D4">
        <w:rPr>
          <w:rFonts w:ascii="Times New Roman" w:hAnsi="Times New Roman" w:cs="Times New Roman"/>
          <w:sz w:val="24"/>
          <w:szCs w:val="24"/>
        </w:rPr>
        <w:t>totalling</w:t>
      </w:r>
      <w:r w:rsidRPr="006F67D4">
        <w:rPr>
          <w:rFonts w:ascii="Times New Roman" w:hAnsi="Times New Roman" w:cs="Times New Roman"/>
          <w:sz w:val="24"/>
          <w:szCs w:val="24"/>
        </w:rPr>
        <w:t xml:space="preserve"> 27 plots. The cabbage cultivar ‘Golden Acre’ served as the experimental crop. Vigorous seedlings were transplanted into thoroughly prepared plots at a spacing of 60 × 45 cm, ensuring uniform agronomic practices across all treatments. Each plot accommodated 25 plants, from which five were randomly chosen and tagged for recording data on growth, yield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The treatments consisted of foliar application of gibberellic acid at concentrations of 30, 60, 90</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120 ppm</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naphthaleneacetic acid at 40, 80, 120</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150 ppm, along with an untreated control. Sprays were applied using a manual sprayer at two crop stages—30 and 45 days after transplanting (DAT). Observations were taken on plant height, canopy spread, leaf length and breadth, number of wrapped and unwrapped leaves, net head weight, total biomass, chlorophyll content (SPAD)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ascorbic acid content. The data were subjected to statistical analysis using ANOVA as per RBD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treatment means were compared using the critical difference (CD) test at a 5% probability level. The standard error of mean (</w:t>
      </w:r>
      <w:proofErr w:type="spellStart"/>
      <w:r w:rsidRPr="006F67D4">
        <w:rPr>
          <w:rFonts w:ascii="Times New Roman" w:hAnsi="Times New Roman" w:cs="Times New Roman"/>
          <w:sz w:val="24"/>
          <w:szCs w:val="24"/>
        </w:rPr>
        <w:t>SEm</w:t>
      </w:r>
      <w:proofErr w:type="spellEnd"/>
      <w:r w:rsidRPr="006F67D4">
        <w:rPr>
          <w:rFonts w:ascii="Times New Roman" w:hAnsi="Times New Roman" w:cs="Times New Roman"/>
          <w:sz w:val="24"/>
          <w:szCs w:val="24"/>
        </w:rPr>
        <w:t xml:space="preserve"> ±) was also computed to assess the reliability of the results.</w:t>
      </w:r>
    </w:p>
    <w:p w14:paraId="413C40C4" w14:textId="51DB6B8D" w:rsidR="00603484" w:rsidRPr="006F67D4" w:rsidRDefault="00603484" w:rsidP="00767797">
      <w:pPr>
        <w:jc w:val="both"/>
        <w:rPr>
          <w:rFonts w:ascii="Times New Roman" w:hAnsi="Times New Roman" w:cs="Times New Roman"/>
          <w:b/>
          <w:bCs/>
          <w:sz w:val="24"/>
          <w:szCs w:val="24"/>
        </w:rPr>
      </w:pPr>
      <w:r w:rsidRPr="006F67D4">
        <w:rPr>
          <w:rFonts w:ascii="Times New Roman" w:hAnsi="Times New Roman" w:cs="Times New Roman"/>
          <w:b/>
          <w:bCs/>
          <w:sz w:val="24"/>
          <w:szCs w:val="24"/>
        </w:rPr>
        <w:t>3. RESULTS AND DISCUSSION</w:t>
      </w:r>
    </w:p>
    <w:p w14:paraId="3F8D7466" w14:textId="52087452"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lastRenderedPageBreak/>
        <w:t xml:space="preserve">3.1. </w:t>
      </w:r>
      <w:r w:rsidR="000736DC" w:rsidRPr="007C0399">
        <w:rPr>
          <w:rFonts w:ascii="Times New Roman" w:hAnsi="Times New Roman" w:cs="Times New Roman"/>
          <w:b/>
          <w:bCs/>
          <w:sz w:val="24"/>
          <w:szCs w:val="24"/>
        </w:rPr>
        <w:t>P</w:t>
      </w:r>
      <w:r w:rsidRPr="007C0399">
        <w:rPr>
          <w:rFonts w:ascii="Times New Roman" w:hAnsi="Times New Roman" w:cs="Times New Roman"/>
          <w:b/>
          <w:bCs/>
          <w:sz w:val="24"/>
          <w:szCs w:val="24"/>
        </w:rPr>
        <w:t>lant height dynamics</w:t>
      </w:r>
    </w:p>
    <w:p w14:paraId="2C2493A4" w14:textId="5B8DEB54" w:rsidR="002A1D29" w:rsidRPr="006F67D4" w:rsidRDefault="004D1325" w:rsidP="00767797">
      <w:pPr>
        <w:tabs>
          <w:tab w:val="left" w:pos="540"/>
          <w:tab w:val="left" w:pos="630"/>
        </w:tabs>
        <w:spacing w:after="120" w:line="276" w:lineRule="auto"/>
        <w:jc w:val="both"/>
        <w:rPr>
          <w:rFonts w:ascii="Times New Roman" w:eastAsia="Calibri" w:hAnsi="Times New Roman" w:cs="Times New Roman"/>
          <w:sz w:val="24"/>
          <w:szCs w:val="24"/>
          <w14:ligatures w14:val="standardContextual"/>
        </w:rPr>
      </w:pPr>
      <w:r w:rsidRPr="006F67D4">
        <w:rPr>
          <w:rFonts w:ascii="Times New Roman" w:hAnsi="Times New Roman" w:cs="Times New Roman"/>
          <w:sz w:val="24"/>
          <w:szCs w:val="24"/>
        </w:rPr>
        <w:t xml:space="preserve">The use of GA₃ and NAA had a marked effect on plant height in cabbage (p ≤ 0.05), as depicted in </w:t>
      </w:r>
      <w:r w:rsidR="00BE15F8">
        <w:rPr>
          <w:rFonts w:ascii="Times New Roman" w:hAnsi="Times New Roman" w:cs="Times New Roman"/>
          <w:sz w:val="24"/>
          <w:szCs w:val="24"/>
        </w:rPr>
        <w:t>(</w:t>
      </w:r>
      <w:r w:rsidRPr="006F67D4">
        <w:rPr>
          <w:rFonts w:ascii="Times New Roman" w:hAnsi="Times New Roman" w:cs="Times New Roman"/>
          <w:sz w:val="24"/>
          <w:szCs w:val="24"/>
        </w:rPr>
        <w:t>Figure</w:t>
      </w:r>
      <w:r w:rsidR="00BE15F8">
        <w:rPr>
          <w:rFonts w:ascii="Times New Roman" w:hAnsi="Times New Roman" w:cs="Times New Roman"/>
          <w:sz w:val="24"/>
          <w:szCs w:val="24"/>
        </w:rPr>
        <w:t>.</w:t>
      </w:r>
      <w:r w:rsidRPr="006F67D4">
        <w:rPr>
          <w:rFonts w:ascii="Times New Roman" w:hAnsi="Times New Roman" w:cs="Times New Roman"/>
          <w:sz w:val="24"/>
          <w:szCs w:val="24"/>
        </w:rPr>
        <w:t>1</w:t>
      </w:r>
      <w:r w:rsidR="00BE15F8">
        <w:rPr>
          <w:rFonts w:ascii="Times New Roman" w:hAnsi="Times New Roman" w:cs="Times New Roman"/>
          <w:sz w:val="24"/>
          <w:szCs w:val="24"/>
        </w:rPr>
        <w:t>)</w:t>
      </w:r>
      <w:r w:rsidRPr="006F67D4">
        <w:rPr>
          <w:rFonts w:ascii="Times New Roman" w:hAnsi="Times New Roman" w:cs="Times New Roman"/>
          <w:sz w:val="24"/>
          <w:szCs w:val="24"/>
        </w:rPr>
        <w:t xml:space="preserve"> Maximum height was recorded in plants treated with GA₃ at 90 ppm (T</w:t>
      </w:r>
      <w:r w:rsidRPr="008A14CF">
        <w:rPr>
          <w:rFonts w:ascii="Times New Roman" w:hAnsi="Times New Roman" w:cs="Times New Roman"/>
          <w:sz w:val="24"/>
          <w:szCs w:val="24"/>
          <w:vertAlign w:val="subscript"/>
        </w:rPr>
        <w:t>2</w:t>
      </w:r>
      <w:r w:rsidRPr="006F67D4">
        <w:rPr>
          <w:rFonts w:ascii="Times New Roman" w:hAnsi="Times New Roman" w:cs="Times New Roman"/>
          <w:sz w:val="24"/>
          <w:szCs w:val="24"/>
        </w:rPr>
        <w:t>), measuring 28.80 cm at 60 DAT and 32.83 cm at harvest, followed closely by NAA 80 ppm (T</w:t>
      </w:r>
      <w:r w:rsidRPr="008A14CF">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with 32.26 cm, both significantly surpassing the control (21.43 cm and 26.39 cm). The improvement in axial growth is largely due to GA₃-driven promotion of internodal elongation through enhanced cell proliferation and enlargement, as reported by Neelam </w:t>
      </w:r>
      <w:r w:rsidRPr="008A14CF">
        <w:rPr>
          <w:rFonts w:ascii="Times New Roman" w:hAnsi="Times New Roman" w:cs="Times New Roman"/>
          <w:i/>
          <w:iCs/>
          <w:sz w:val="24"/>
          <w:szCs w:val="24"/>
        </w:rPr>
        <w:t>et al</w:t>
      </w:r>
      <w:r w:rsidRPr="006F67D4">
        <w:rPr>
          <w:rFonts w:ascii="Times New Roman" w:hAnsi="Times New Roman" w:cs="Times New Roman"/>
          <w:sz w:val="24"/>
          <w:szCs w:val="24"/>
        </w:rPr>
        <w:t xml:space="preserve">. (2023) and Prakash </w:t>
      </w:r>
      <w:r w:rsidRPr="00ED13E3">
        <w:rPr>
          <w:rFonts w:ascii="Times New Roman" w:hAnsi="Times New Roman" w:cs="Times New Roman"/>
          <w:i/>
          <w:iCs/>
          <w:sz w:val="24"/>
          <w:szCs w:val="24"/>
        </w:rPr>
        <w:t>et al</w:t>
      </w:r>
      <w:r w:rsidRPr="006F67D4">
        <w:rPr>
          <w:rFonts w:ascii="Times New Roman" w:hAnsi="Times New Roman" w:cs="Times New Roman"/>
          <w:sz w:val="24"/>
          <w:szCs w:val="24"/>
        </w:rPr>
        <w:t xml:space="preserve">. (2023). Comparable outcomes were also reported by Kumari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(2019) in broccoli and Gadhiya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(2023) in cauliflower. NAA's effectiveness is linked to its auxin-like influence on shoot dominance and the activation of elongation-associated genes, in line with findings by Meena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(2019) and Afrin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(2024).</w:t>
      </w:r>
    </w:p>
    <w:p w14:paraId="6B89F214" w14:textId="77777777" w:rsidR="002A1D29" w:rsidRPr="006F67D4" w:rsidRDefault="002A1D29" w:rsidP="00767797">
      <w:pPr>
        <w:spacing w:after="120" w:line="360" w:lineRule="auto"/>
        <w:jc w:val="both"/>
        <w:rPr>
          <w:rFonts w:ascii="Times New Roman" w:eastAsia="Calibri" w:hAnsi="Times New Roman" w:cs="Times New Roman"/>
          <w:sz w:val="24"/>
          <w:szCs w:val="24"/>
          <w14:ligatures w14:val="standardContextual"/>
        </w:rPr>
      </w:pPr>
    </w:p>
    <w:p w14:paraId="7F6D1049" w14:textId="09BBD17F"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3.2. Plant spread modulation</w:t>
      </w:r>
    </w:p>
    <w:p w14:paraId="0011107B" w14:textId="4F53A449" w:rsidR="00547D42" w:rsidRPr="006F67D4" w:rsidRDefault="004D1325" w:rsidP="00767797">
      <w:pPr>
        <w:jc w:val="both"/>
        <w:rPr>
          <w:rFonts w:ascii="Times New Roman" w:hAnsi="Times New Roman" w:cs="Times New Roman"/>
          <w:sz w:val="24"/>
          <w:szCs w:val="24"/>
        </w:rPr>
      </w:pPr>
      <w:r w:rsidRPr="006F67D4">
        <w:rPr>
          <w:rFonts w:ascii="Times New Roman" w:hAnsi="Times New Roman" w:cs="Times New Roman"/>
          <w:sz w:val="24"/>
          <w:szCs w:val="24"/>
        </w:rPr>
        <w:t>GA₃ at 90 ppm (T</w:t>
      </w:r>
      <w:r w:rsidRPr="009719BD">
        <w:rPr>
          <w:rFonts w:ascii="Times New Roman" w:hAnsi="Times New Roman" w:cs="Times New Roman"/>
          <w:sz w:val="24"/>
          <w:szCs w:val="24"/>
          <w:vertAlign w:val="subscript"/>
        </w:rPr>
        <w:t>2</w:t>
      </w:r>
      <w:r w:rsidRPr="006F67D4">
        <w:rPr>
          <w:rFonts w:ascii="Times New Roman" w:hAnsi="Times New Roman" w:cs="Times New Roman"/>
          <w:sz w:val="24"/>
          <w:szCs w:val="24"/>
        </w:rPr>
        <w:t>) also exhibited (Figure</w:t>
      </w:r>
      <w:r w:rsidR="006831B2">
        <w:rPr>
          <w:rFonts w:ascii="Times New Roman" w:hAnsi="Times New Roman" w:cs="Times New Roman"/>
          <w:sz w:val="24"/>
          <w:szCs w:val="24"/>
        </w:rPr>
        <w:t>.</w:t>
      </w:r>
      <w:r w:rsidR="009B426D" w:rsidRPr="006F67D4">
        <w:rPr>
          <w:rFonts w:ascii="Times New Roman" w:hAnsi="Times New Roman" w:cs="Times New Roman"/>
          <w:sz w:val="24"/>
          <w:szCs w:val="24"/>
        </w:rPr>
        <w:t>1) the</w:t>
      </w:r>
      <w:r w:rsidRPr="006F67D4">
        <w:rPr>
          <w:rFonts w:ascii="Times New Roman" w:hAnsi="Times New Roman" w:cs="Times New Roman"/>
          <w:sz w:val="24"/>
          <w:szCs w:val="24"/>
        </w:rPr>
        <w:t xml:space="preserve"> greatest plant spread (50.03 cm and 53.78 cm) at 60 DAT and final harvest, followed by NAA 80 ppm (T</w:t>
      </w:r>
      <w:r w:rsidRPr="0099095E">
        <w:rPr>
          <w:rFonts w:ascii="Times New Roman" w:hAnsi="Times New Roman" w:cs="Times New Roman"/>
          <w:sz w:val="24"/>
          <w:szCs w:val="24"/>
          <w:vertAlign w:val="subscript"/>
        </w:rPr>
        <w:t>6</w:t>
      </w:r>
      <w:r w:rsidRPr="006F67D4">
        <w:rPr>
          <w:rFonts w:ascii="Times New Roman" w:hAnsi="Times New Roman" w:cs="Times New Roman"/>
          <w:sz w:val="24"/>
          <w:szCs w:val="24"/>
        </w:rPr>
        <w:t>), whereas the untreated control (T</w:t>
      </w:r>
      <w:r w:rsidRPr="002229D6">
        <w:rPr>
          <w:rFonts w:ascii="Times New Roman" w:hAnsi="Times New Roman" w:cs="Times New Roman"/>
          <w:sz w:val="24"/>
          <w:szCs w:val="24"/>
          <w:vertAlign w:val="subscript"/>
        </w:rPr>
        <w:t>9</w:t>
      </w:r>
      <w:r w:rsidRPr="006F67D4">
        <w:rPr>
          <w:rFonts w:ascii="Times New Roman" w:hAnsi="Times New Roman" w:cs="Times New Roman"/>
          <w:sz w:val="24"/>
          <w:szCs w:val="24"/>
        </w:rPr>
        <w:t xml:space="preserve">) showed the least spread (36.98 cm and 40.60 cm). Gibberellins are recognized for encouraging both vertical and horizontal growth by stimulating mitotic activity and improving nutrient uptake, as noted by </w:t>
      </w:r>
      <w:proofErr w:type="spellStart"/>
      <w:r w:rsidRPr="006F67D4">
        <w:rPr>
          <w:rFonts w:ascii="Times New Roman" w:hAnsi="Times New Roman" w:cs="Times New Roman"/>
          <w:sz w:val="24"/>
          <w:szCs w:val="24"/>
        </w:rPr>
        <w:t>Moniruzzaman</w:t>
      </w:r>
      <w:proofErr w:type="spellEnd"/>
      <w:r w:rsidRPr="006F67D4">
        <w:rPr>
          <w:rFonts w:ascii="Times New Roman" w:hAnsi="Times New Roman" w:cs="Times New Roman"/>
          <w:sz w:val="24"/>
          <w:szCs w:val="24"/>
        </w:rPr>
        <w:t xml:space="preserve"> </w:t>
      </w:r>
      <w:r w:rsidRPr="0011282B">
        <w:rPr>
          <w:rFonts w:ascii="Times New Roman" w:hAnsi="Times New Roman" w:cs="Times New Roman"/>
          <w:i/>
          <w:iCs/>
          <w:sz w:val="24"/>
          <w:szCs w:val="24"/>
        </w:rPr>
        <w:t>et al</w:t>
      </w:r>
      <w:r w:rsidRPr="006F67D4">
        <w:rPr>
          <w:rFonts w:ascii="Times New Roman" w:hAnsi="Times New Roman" w:cs="Times New Roman"/>
          <w:sz w:val="24"/>
          <w:szCs w:val="24"/>
        </w:rPr>
        <w:t xml:space="preserve">. (2019) and Kumari </w:t>
      </w:r>
      <w:r w:rsidRPr="0011282B">
        <w:rPr>
          <w:rFonts w:ascii="Times New Roman" w:hAnsi="Times New Roman" w:cs="Times New Roman"/>
          <w:i/>
          <w:iCs/>
          <w:sz w:val="24"/>
          <w:szCs w:val="24"/>
        </w:rPr>
        <w:t>et al</w:t>
      </w:r>
      <w:r w:rsidRPr="006F67D4">
        <w:rPr>
          <w:rFonts w:ascii="Times New Roman" w:hAnsi="Times New Roman" w:cs="Times New Roman"/>
          <w:sz w:val="24"/>
          <w:szCs w:val="24"/>
        </w:rPr>
        <w:t>. (2019). Likewise, NAA increases foliar expansion through auxin-induced cell enlargement and directional development.</w:t>
      </w:r>
    </w:p>
    <w:p w14:paraId="027364F4" w14:textId="14E30B58"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3.3. Leaf morphology adjustments</w:t>
      </w:r>
    </w:p>
    <w:p w14:paraId="1C5BEE9D" w14:textId="54048C84" w:rsidR="00547D42" w:rsidRPr="006F67D4" w:rsidRDefault="00652D0B" w:rsidP="00767797">
      <w:pPr>
        <w:jc w:val="both"/>
        <w:rPr>
          <w:rFonts w:ascii="Times New Roman" w:hAnsi="Times New Roman" w:cs="Times New Roman"/>
          <w:sz w:val="24"/>
          <w:szCs w:val="24"/>
        </w:rPr>
      </w:pPr>
      <w:r w:rsidRPr="006F67D4">
        <w:rPr>
          <w:rFonts w:ascii="Times New Roman" w:hAnsi="Times New Roman" w:cs="Times New Roman"/>
          <w:sz w:val="24"/>
          <w:szCs w:val="24"/>
        </w:rPr>
        <w:t>Treatment T</w:t>
      </w:r>
      <w:r w:rsidRPr="00757F66">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(GA₃ 90 ppm) and T</w:t>
      </w:r>
      <w:r w:rsidRPr="000262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(NAA 80 ppm) recorded the highest </w:t>
      </w:r>
      <w:r w:rsidR="004D1325" w:rsidRPr="006F67D4">
        <w:rPr>
          <w:rFonts w:ascii="Times New Roman" w:hAnsi="Times New Roman" w:cs="Times New Roman"/>
          <w:sz w:val="24"/>
          <w:szCs w:val="24"/>
        </w:rPr>
        <w:t>(Figure</w:t>
      </w:r>
      <w:r w:rsidR="0002623D">
        <w:rPr>
          <w:rFonts w:ascii="Times New Roman" w:hAnsi="Times New Roman" w:cs="Times New Roman"/>
          <w:sz w:val="24"/>
          <w:szCs w:val="24"/>
        </w:rPr>
        <w:t>.</w:t>
      </w:r>
      <w:r w:rsidR="00FC0AC7" w:rsidRPr="006F67D4">
        <w:rPr>
          <w:rFonts w:ascii="Times New Roman" w:hAnsi="Times New Roman" w:cs="Times New Roman"/>
          <w:sz w:val="24"/>
          <w:szCs w:val="24"/>
        </w:rPr>
        <w:t>1) leaf</w:t>
      </w:r>
      <w:r w:rsidRPr="006F67D4">
        <w:rPr>
          <w:rFonts w:ascii="Times New Roman" w:hAnsi="Times New Roman" w:cs="Times New Roman"/>
          <w:sz w:val="24"/>
          <w:szCs w:val="24"/>
        </w:rPr>
        <w:t xml:space="preserve"> length (29.68 cm and 29.29 cm, respectively) and breadth </w:t>
      </w:r>
      <w:r w:rsidR="004D1325" w:rsidRPr="006F67D4">
        <w:rPr>
          <w:rFonts w:ascii="Times New Roman" w:hAnsi="Times New Roman" w:cs="Times New Roman"/>
          <w:sz w:val="24"/>
          <w:szCs w:val="24"/>
        </w:rPr>
        <w:t>(Figure</w:t>
      </w:r>
      <w:r w:rsidR="00B24911">
        <w:rPr>
          <w:rFonts w:ascii="Times New Roman" w:hAnsi="Times New Roman" w:cs="Times New Roman"/>
          <w:sz w:val="24"/>
          <w:szCs w:val="24"/>
        </w:rPr>
        <w:t>.</w:t>
      </w:r>
      <w:r w:rsidR="00FC0AC7" w:rsidRPr="006F67D4">
        <w:rPr>
          <w:rFonts w:ascii="Times New Roman" w:hAnsi="Times New Roman" w:cs="Times New Roman"/>
          <w:sz w:val="24"/>
          <w:szCs w:val="24"/>
        </w:rPr>
        <w:t>2) (</w:t>
      </w:r>
      <w:r w:rsidRPr="006F67D4">
        <w:rPr>
          <w:rFonts w:ascii="Times New Roman" w:hAnsi="Times New Roman" w:cs="Times New Roman"/>
          <w:sz w:val="24"/>
          <w:szCs w:val="24"/>
        </w:rPr>
        <w:t xml:space="preserve">29.16 cm and 28.41 cm), reflecting enhanced canopy structure. GA₃ stimulates endogenous gibberellin production, which subsequently triggers the expression of genes involved in cellular elongation and expansion (Neelam </w:t>
      </w:r>
      <w:r w:rsidRPr="00B24911">
        <w:rPr>
          <w:rFonts w:ascii="Times New Roman" w:hAnsi="Times New Roman" w:cs="Times New Roman"/>
          <w:i/>
          <w:iCs/>
          <w:sz w:val="24"/>
          <w:szCs w:val="24"/>
        </w:rPr>
        <w:t>et al</w:t>
      </w:r>
      <w:r w:rsidRPr="006F67D4">
        <w:rPr>
          <w:rFonts w:ascii="Times New Roman" w:hAnsi="Times New Roman" w:cs="Times New Roman"/>
          <w:sz w:val="24"/>
          <w:szCs w:val="24"/>
        </w:rPr>
        <w:t xml:space="preserve">., 2023). NAA facilitates auxin-mediated protein biosynthesis and efficient nutrient translocation, aligning with the observations of Malik </w:t>
      </w:r>
      <w:r w:rsidRPr="00093D25">
        <w:rPr>
          <w:rFonts w:ascii="Times New Roman" w:hAnsi="Times New Roman" w:cs="Times New Roman"/>
          <w:i/>
          <w:iCs/>
          <w:sz w:val="24"/>
          <w:szCs w:val="24"/>
        </w:rPr>
        <w:t>et al</w:t>
      </w:r>
      <w:r w:rsidRPr="006F67D4">
        <w:rPr>
          <w:rFonts w:ascii="Times New Roman" w:hAnsi="Times New Roman" w:cs="Times New Roman"/>
          <w:sz w:val="24"/>
          <w:szCs w:val="24"/>
        </w:rPr>
        <w:t xml:space="preserve">. (2022) and Reza </w:t>
      </w:r>
      <w:r w:rsidRPr="00093D25">
        <w:rPr>
          <w:rFonts w:ascii="Times New Roman" w:hAnsi="Times New Roman" w:cs="Times New Roman"/>
          <w:i/>
          <w:iCs/>
          <w:sz w:val="24"/>
          <w:szCs w:val="24"/>
        </w:rPr>
        <w:t>et al</w:t>
      </w:r>
      <w:r w:rsidRPr="006F67D4">
        <w:rPr>
          <w:rFonts w:ascii="Times New Roman" w:hAnsi="Times New Roman" w:cs="Times New Roman"/>
          <w:sz w:val="24"/>
          <w:szCs w:val="24"/>
        </w:rPr>
        <w:t>. (2015).</w:t>
      </w:r>
    </w:p>
    <w:p w14:paraId="073A1488" w14:textId="186CE0AE"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3.4. Leaf </w:t>
      </w:r>
      <w:r w:rsidR="000736DC" w:rsidRPr="007C0399">
        <w:rPr>
          <w:rFonts w:ascii="Times New Roman" w:hAnsi="Times New Roman" w:cs="Times New Roman"/>
          <w:b/>
          <w:bCs/>
          <w:sz w:val="24"/>
          <w:szCs w:val="24"/>
        </w:rPr>
        <w:t>p</w:t>
      </w:r>
      <w:r w:rsidRPr="007C0399">
        <w:rPr>
          <w:rFonts w:ascii="Times New Roman" w:hAnsi="Times New Roman" w:cs="Times New Roman"/>
          <w:b/>
          <w:bCs/>
          <w:sz w:val="24"/>
          <w:szCs w:val="24"/>
        </w:rPr>
        <w:t xml:space="preserve">opulation and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 xml:space="preserve">ssimilate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llocation</w:t>
      </w:r>
    </w:p>
    <w:p w14:paraId="64445A02" w14:textId="2FA4BA49"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GA₃ 90 ppm (T</w:t>
      </w:r>
      <w:r w:rsidRPr="005228D1">
        <w:rPr>
          <w:rFonts w:ascii="Times New Roman" w:hAnsi="Times New Roman" w:cs="Times New Roman"/>
          <w:sz w:val="24"/>
          <w:szCs w:val="24"/>
          <w:vertAlign w:val="subscript"/>
        </w:rPr>
        <w:t>2</w:t>
      </w:r>
      <w:r w:rsidRPr="006F67D4">
        <w:rPr>
          <w:rFonts w:ascii="Times New Roman" w:hAnsi="Times New Roman" w:cs="Times New Roman"/>
          <w:sz w:val="24"/>
          <w:szCs w:val="24"/>
        </w:rPr>
        <w:t>) significantly increased</w:t>
      </w:r>
      <w:r w:rsidR="004D1325" w:rsidRPr="006F67D4">
        <w:rPr>
          <w:rFonts w:ascii="Times New Roman" w:hAnsi="Times New Roman" w:cs="Times New Roman"/>
          <w:sz w:val="24"/>
          <w:szCs w:val="24"/>
        </w:rPr>
        <w:t xml:space="preserve"> (Figure</w:t>
      </w:r>
      <w:r w:rsidR="005228D1">
        <w:rPr>
          <w:rFonts w:ascii="Times New Roman" w:hAnsi="Times New Roman" w:cs="Times New Roman"/>
          <w:sz w:val="24"/>
          <w:szCs w:val="24"/>
        </w:rPr>
        <w:t xml:space="preserve">. </w:t>
      </w:r>
      <w:r w:rsidR="004D1325" w:rsidRPr="006F67D4">
        <w:rPr>
          <w:rFonts w:ascii="Times New Roman" w:hAnsi="Times New Roman" w:cs="Times New Roman"/>
          <w:sz w:val="24"/>
          <w:szCs w:val="24"/>
        </w:rPr>
        <w:t>2)</w:t>
      </w:r>
      <w:r w:rsidRPr="006F67D4">
        <w:rPr>
          <w:rFonts w:ascii="Times New Roman" w:hAnsi="Times New Roman" w:cs="Times New Roman"/>
          <w:sz w:val="24"/>
          <w:szCs w:val="24"/>
        </w:rPr>
        <w:t xml:space="preserve"> the number of wrapped leaves (52.08), a 32.57% gain over control (39.27), while reducing non-wrapped leaves to 12.26. NAA 80 ppm (T</w:t>
      </w:r>
      <w:r w:rsidRPr="005228D1">
        <w:rPr>
          <w:rFonts w:ascii="Times New Roman" w:hAnsi="Times New Roman" w:cs="Times New Roman"/>
          <w:sz w:val="24"/>
          <w:szCs w:val="24"/>
          <w:vertAlign w:val="subscript"/>
        </w:rPr>
        <w:t>6</w:t>
      </w:r>
      <w:r w:rsidRPr="006F67D4">
        <w:rPr>
          <w:rFonts w:ascii="Times New Roman" w:hAnsi="Times New Roman" w:cs="Times New Roman"/>
          <w:sz w:val="24"/>
          <w:szCs w:val="24"/>
        </w:rPr>
        <w:t>) showed 5</w:t>
      </w:r>
      <w:r w:rsidR="00DA1C00" w:rsidRPr="006F67D4">
        <w:rPr>
          <w:rFonts w:ascii="Times New Roman" w:hAnsi="Times New Roman" w:cs="Times New Roman"/>
          <w:sz w:val="24"/>
          <w:szCs w:val="24"/>
        </w:rPr>
        <w:t>1.53</w:t>
      </w:r>
      <w:r w:rsidRPr="006F67D4">
        <w:rPr>
          <w:rFonts w:ascii="Times New Roman" w:hAnsi="Times New Roman" w:cs="Times New Roman"/>
          <w:sz w:val="24"/>
          <w:szCs w:val="24"/>
        </w:rPr>
        <w:t xml:space="preserve"> wrapped leaves and 12.</w:t>
      </w:r>
      <w:r w:rsidR="00D859BD" w:rsidRPr="006F67D4">
        <w:rPr>
          <w:rFonts w:ascii="Times New Roman" w:hAnsi="Times New Roman" w:cs="Times New Roman"/>
          <w:sz w:val="24"/>
          <w:szCs w:val="24"/>
        </w:rPr>
        <w:t>9</w:t>
      </w:r>
      <w:r w:rsidRPr="006F67D4">
        <w:rPr>
          <w:rFonts w:ascii="Times New Roman" w:hAnsi="Times New Roman" w:cs="Times New Roman"/>
          <w:sz w:val="24"/>
          <w:szCs w:val="24"/>
        </w:rPr>
        <w:t>9 non-wrapped leaves. The enhancement in head-wrapping foliage is consistent with earlier findings of Roy and Nasiruddin (2011)</w:t>
      </w:r>
      <w:r w:rsidR="00973C9A" w:rsidRPr="006F67D4">
        <w:rPr>
          <w:rFonts w:ascii="Times New Roman" w:hAnsi="Times New Roman" w:cs="Times New Roman"/>
          <w:sz w:val="24"/>
          <w:szCs w:val="24"/>
        </w:rPr>
        <w:t xml:space="preserve">; </w:t>
      </w:r>
      <w:r w:rsidR="00973C9A" w:rsidRPr="006F67D4">
        <w:rPr>
          <w:rFonts w:ascii="Times New Roman" w:eastAsia="Calibri" w:hAnsi="Times New Roman" w:cs="Times New Roman"/>
          <w:sz w:val="24"/>
          <w:szCs w:val="24"/>
          <w14:ligatures w14:val="standardContextual"/>
        </w:rPr>
        <w:t xml:space="preserve">Mazed </w:t>
      </w:r>
      <w:r w:rsidR="00973C9A" w:rsidRPr="006F67D4">
        <w:rPr>
          <w:rFonts w:ascii="Times New Roman" w:eastAsia="Calibri" w:hAnsi="Times New Roman" w:cs="Times New Roman"/>
          <w:i/>
          <w:iCs/>
          <w:sz w:val="24"/>
          <w:szCs w:val="24"/>
          <w14:ligatures w14:val="standardContextual"/>
        </w:rPr>
        <w:t>et al.</w:t>
      </w:r>
      <w:r w:rsidR="00973C9A" w:rsidRPr="006F67D4">
        <w:rPr>
          <w:rFonts w:ascii="Times New Roman" w:eastAsia="Calibri" w:hAnsi="Times New Roman" w:cs="Times New Roman"/>
          <w:sz w:val="24"/>
          <w:szCs w:val="24"/>
          <w14:ligatures w14:val="standardContextual"/>
        </w:rPr>
        <w:t xml:space="preserve"> (2015) </w:t>
      </w:r>
      <w:r w:rsidRPr="006F67D4">
        <w:rPr>
          <w:rFonts w:ascii="Times New Roman" w:hAnsi="Times New Roman" w:cs="Times New Roman"/>
          <w:sz w:val="24"/>
          <w:szCs w:val="24"/>
        </w:rPr>
        <w:t xml:space="preserve">and </w:t>
      </w:r>
      <w:proofErr w:type="spellStart"/>
      <w:r w:rsidRPr="006F67D4">
        <w:rPr>
          <w:rFonts w:ascii="Times New Roman" w:hAnsi="Times New Roman" w:cs="Times New Roman"/>
          <w:sz w:val="24"/>
          <w:szCs w:val="24"/>
        </w:rPr>
        <w:t>Moniruzzaman</w:t>
      </w:r>
      <w:proofErr w:type="spellEnd"/>
      <w:r w:rsidRPr="006F67D4">
        <w:rPr>
          <w:rFonts w:ascii="Times New Roman" w:hAnsi="Times New Roman" w:cs="Times New Roman"/>
          <w:sz w:val="24"/>
          <w:szCs w:val="24"/>
        </w:rPr>
        <w:t xml:space="preserve"> </w:t>
      </w:r>
      <w:r w:rsidRPr="00216F99">
        <w:rPr>
          <w:rFonts w:ascii="Times New Roman" w:hAnsi="Times New Roman" w:cs="Times New Roman"/>
          <w:i/>
          <w:iCs/>
          <w:sz w:val="24"/>
          <w:szCs w:val="24"/>
        </w:rPr>
        <w:t>et al</w:t>
      </w:r>
      <w:r w:rsidRPr="006F67D4">
        <w:rPr>
          <w:rFonts w:ascii="Times New Roman" w:hAnsi="Times New Roman" w:cs="Times New Roman"/>
          <w:sz w:val="24"/>
          <w:szCs w:val="24"/>
        </w:rPr>
        <w:t>. (2019)</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suggests enhanced assimilate directionality.</w:t>
      </w:r>
    </w:p>
    <w:p w14:paraId="582CABE9" w14:textId="6974347C"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3.5. Chlorophyll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ccumulation</w:t>
      </w:r>
    </w:p>
    <w:p w14:paraId="3A1CCF62" w14:textId="065DAD58"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Chlorophyll content (SPAD value) peaked at 70.13 with GA₃ 90 ppm (T</w:t>
      </w:r>
      <w:r w:rsidRPr="00ED0391">
        <w:rPr>
          <w:rFonts w:ascii="Times New Roman" w:hAnsi="Times New Roman" w:cs="Times New Roman"/>
          <w:sz w:val="24"/>
          <w:szCs w:val="24"/>
          <w:vertAlign w:val="subscript"/>
        </w:rPr>
        <w:t>2</w:t>
      </w:r>
      <w:r w:rsidRPr="006F67D4">
        <w:rPr>
          <w:rFonts w:ascii="Times New Roman" w:hAnsi="Times New Roman" w:cs="Times New Roman"/>
          <w:sz w:val="24"/>
          <w:szCs w:val="24"/>
        </w:rPr>
        <w:t>), followed by 68.35 in NAA 80 ppm (T</w:t>
      </w:r>
      <w:r w:rsidRPr="00ED0391">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both markedly higher </w:t>
      </w:r>
      <w:r w:rsidR="004D1325" w:rsidRPr="006F67D4">
        <w:rPr>
          <w:rFonts w:ascii="Times New Roman" w:hAnsi="Times New Roman" w:cs="Times New Roman"/>
          <w:sz w:val="24"/>
          <w:szCs w:val="24"/>
        </w:rPr>
        <w:t>(Figure</w:t>
      </w:r>
      <w:r w:rsidR="00ED0391">
        <w:rPr>
          <w:rFonts w:ascii="Times New Roman" w:hAnsi="Times New Roman" w:cs="Times New Roman"/>
          <w:sz w:val="24"/>
          <w:szCs w:val="24"/>
        </w:rPr>
        <w:t xml:space="preserve">. </w:t>
      </w:r>
      <w:r w:rsidR="004D1325" w:rsidRPr="006F67D4">
        <w:rPr>
          <w:rFonts w:ascii="Times New Roman" w:hAnsi="Times New Roman" w:cs="Times New Roman"/>
          <w:sz w:val="24"/>
          <w:szCs w:val="24"/>
        </w:rPr>
        <w:t xml:space="preserve">2) </w:t>
      </w:r>
      <w:r w:rsidRPr="006F67D4">
        <w:rPr>
          <w:rFonts w:ascii="Times New Roman" w:hAnsi="Times New Roman" w:cs="Times New Roman"/>
          <w:sz w:val="24"/>
          <w:szCs w:val="24"/>
        </w:rPr>
        <w:t>than the control (55.99). This is due to GA₃’s role in chlorophyll biosynthesis and delay of senescence, while NAA supports chloroplast development and functional metabolism (</w:t>
      </w:r>
      <w:proofErr w:type="spellStart"/>
      <w:r w:rsidRPr="006F67D4">
        <w:rPr>
          <w:rFonts w:ascii="Times New Roman" w:hAnsi="Times New Roman" w:cs="Times New Roman"/>
          <w:sz w:val="24"/>
          <w:szCs w:val="24"/>
        </w:rPr>
        <w:t>Kottapu</w:t>
      </w:r>
      <w:proofErr w:type="spellEnd"/>
      <w:r w:rsidRPr="006F67D4">
        <w:rPr>
          <w:rFonts w:ascii="Times New Roman" w:hAnsi="Times New Roman" w:cs="Times New Roman"/>
          <w:sz w:val="24"/>
          <w:szCs w:val="24"/>
        </w:rPr>
        <w:t xml:space="preserve"> </w:t>
      </w:r>
      <w:r w:rsidRPr="00ED0391">
        <w:rPr>
          <w:rFonts w:ascii="Times New Roman" w:hAnsi="Times New Roman" w:cs="Times New Roman"/>
          <w:i/>
          <w:iCs/>
          <w:sz w:val="24"/>
          <w:szCs w:val="24"/>
        </w:rPr>
        <w:t>et al</w:t>
      </w:r>
      <w:r w:rsidRPr="006F67D4">
        <w:rPr>
          <w:rFonts w:ascii="Times New Roman" w:hAnsi="Times New Roman" w:cs="Times New Roman"/>
          <w:sz w:val="24"/>
          <w:szCs w:val="24"/>
        </w:rPr>
        <w:t xml:space="preserve">., 2023; Afrin </w:t>
      </w:r>
      <w:r w:rsidRPr="00ED0391">
        <w:rPr>
          <w:rFonts w:ascii="Times New Roman" w:hAnsi="Times New Roman" w:cs="Times New Roman"/>
          <w:i/>
          <w:iCs/>
          <w:sz w:val="24"/>
          <w:szCs w:val="24"/>
        </w:rPr>
        <w:t>et al</w:t>
      </w:r>
      <w:r w:rsidRPr="006F67D4">
        <w:rPr>
          <w:rFonts w:ascii="Times New Roman" w:hAnsi="Times New Roman" w:cs="Times New Roman"/>
          <w:sz w:val="24"/>
          <w:szCs w:val="24"/>
        </w:rPr>
        <w:t>., 2024).</w:t>
      </w:r>
    </w:p>
    <w:p w14:paraId="5F558186" w14:textId="40C77FE5"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3.6. Head </w:t>
      </w:r>
      <w:r w:rsidR="000736DC" w:rsidRPr="007C0399">
        <w:rPr>
          <w:rFonts w:ascii="Times New Roman" w:hAnsi="Times New Roman" w:cs="Times New Roman"/>
          <w:b/>
          <w:bCs/>
          <w:sz w:val="24"/>
          <w:szCs w:val="24"/>
        </w:rPr>
        <w:t>v</w:t>
      </w:r>
      <w:r w:rsidRPr="007C0399">
        <w:rPr>
          <w:rFonts w:ascii="Times New Roman" w:hAnsi="Times New Roman" w:cs="Times New Roman"/>
          <w:b/>
          <w:bCs/>
          <w:sz w:val="24"/>
          <w:szCs w:val="24"/>
        </w:rPr>
        <w:t xml:space="preserve">olume </w:t>
      </w:r>
      <w:r w:rsidR="000736DC" w:rsidRPr="007C0399">
        <w:rPr>
          <w:rFonts w:ascii="Times New Roman" w:hAnsi="Times New Roman" w:cs="Times New Roman"/>
          <w:b/>
          <w:bCs/>
          <w:sz w:val="24"/>
          <w:szCs w:val="24"/>
        </w:rPr>
        <w:t>e</w:t>
      </w:r>
      <w:r w:rsidRPr="007C0399">
        <w:rPr>
          <w:rFonts w:ascii="Times New Roman" w:hAnsi="Times New Roman" w:cs="Times New Roman"/>
          <w:b/>
          <w:bCs/>
          <w:sz w:val="24"/>
          <w:szCs w:val="24"/>
        </w:rPr>
        <w:t>xpansion</w:t>
      </w:r>
    </w:p>
    <w:p w14:paraId="6E56E165" w14:textId="38670505" w:rsidR="00603484"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lastRenderedPageBreak/>
        <w:t>GA₃ 90 ppm (T</w:t>
      </w:r>
      <w:r w:rsidRPr="00B307B0">
        <w:rPr>
          <w:rFonts w:ascii="Times New Roman" w:hAnsi="Times New Roman" w:cs="Times New Roman"/>
          <w:sz w:val="24"/>
          <w:szCs w:val="24"/>
          <w:vertAlign w:val="subscript"/>
        </w:rPr>
        <w:t>2</w:t>
      </w:r>
      <w:r w:rsidRPr="006F67D4">
        <w:rPr>
          <w:rFonts w:ascii="Times New Roman" w:hAnsi="Times New Roman" w:cs="Times New Roman"/>
          <w:sz w:val="24"/>
          <w:szCs w:val="24"/>
        </w:rPr>
        <w:t>) produced the largest</w:t>
      </w:r>
      <w:r w:rsidR="004D1325" w:rsidRPr="006F67D4">
        <w:rPr>
          <w:rFonts w:ascii="Times New Roman" w:hAnsi="Times New Roman" w:cs="Times New Roman"/>
          <w:sz w:val="24"/>
          <w:szCs w:val="24"/>
        </w:rPr>
        <w:t xml:space="preserve"> (Figure</w:t>
      </w:r>
      <w:r w:rsidR="00B307B0">
        <w:rPr>
          <w:rFonts w:ascii="Times New Roman" w:hAnsi="Times New Roman" w:cs="Times New Roman"/>
          <w:sz w:val="24"/>
          <w:szCs w:val="24"/>
        </w:rPr>
        <w:t xml:space="preserve">. </w:t>
      </w:r>
      <w:r w:rsidR="004D1325" w:rsidRPr="006F67D4">
        <w:rPr>
          <w:rFonts w:ascii="Times New Roman" w:hAnsi="Times New Roman" w:cs="Times New Roman"/>
          <w:sz w:val="24"/>
          <w:szCs w:val="24"/>
        </w:rPr>
        <w:t>3)</w:t>
      </w:r>
      <w:r w:rsidRPr="006F67D4">
        <w:rPr>
          <w:rFonts w:ascii="Times New Roman" w:hAnsi="Times New Roman" w:cs="Times New Roman"/>
          <w:sz w:val="24"/>
          <w:szCs w:val="24"/>
        </w:rPr>
        <w:t xml:space="preserve"> head volume (1886.67 cm³), followed by NAA 80 ppm (1866.67 cm³), significantly exceeding control (1560.00 cm³). This expansion is due to GA₃-induced cell division and head compaction, while NAA contributes through nutrient allocation and hormonal regulation (</w:t>
      </w:r>
      <w:proofErr w:type="spellStart"/>
      <w:r w:rsidRPr="006F67D4">
        <w:rPr>
          <w:rFonts w:ascii="Times New Roman" w:hAnsi="Times New Roman" w:cs="Times New Roman"/>
          <w:sz w:val="24"/>
          <w:szCs w:val="24"/>
        </w:rPr>
        <w:t>Painkra</w:t>
      </w:r>
      <w:proofErr w:type="spellEnd"/>
      <w:r w:rsidRPr="006F67D4">
        <w:rPr>
          <w:rFonts w:ascii="Times New Roman" w:hAnsi="Times New Roman" w:cs="Times New Roman"/>
          <w:sz w:val="24"/>
          <w:szCs w:val="24"/>
        </w:rPr>
        <w:t xml:space="preserve"> </w:t>
      </w:r>
      <w:r w:rsidRPr="00B307B0">
        <w:rPr>
          <w:rFonts w:ascii="Times New Roman" w:hAnsi="Times New Roman" w:cs="Times New Roman"/>
          <w:i/>
          <w:iCs/>
          <w:sz w:val="24"/>
          <w:szCs w:val="24"/>
        </w:rPr>
        <w:t>et al</w:t>
      </w:r>
      <w:r w:rsidRPr="006F67D4">
        <w:rPr>
          <w:rFonts w:ascii="Times New Roman" w:hAnsi="Times New Roman" w:cs="Times New Roman"/>
          <w:sz w:val="24"/>
          <w:szCs w:val="24"/>
        </w:rPr>
        <w:t>., 2023).</w:t>
      </w:r>
    </w:p>
    <w:p w14:paraId="1611D93A" w14:textId="1CB46980"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3.7. </w:t>
      </w:r>
      <w:r w:rsidR="000736DC" w:rsidRPr="007C0399">
        <w:rPr>
          <w:rFonts w:ascii="Times New Roman" w:hAnsi="Times New Roman" w:cs="Times New Roman"/>
          <w:b/>
          <w:bCs/>
          <w:sz w:val="24"/>
          <w:szCs w:val="24"/>
        </w:rPr>
        <w:t>Yield enhancement and biomass accumulation</w:t>
      </w:r>
    </w:p>
    <w:p w14:paraId="277904A5" w14:textId="4A7C2276"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Net head weight and total plant weight were highest </w:t>
      </w:r>
      <w:r w:rsidR="004D1325" w:rsidRPr="006F67D4">
        <w:rPr>
          <w:rFonts w:ascii="Times New Roman" w:hAnsi="Times New Roman" w:cs="Times New Roman"/>
          <w:sz w:val="24"/>
          <w:szCs w:val="24"/>
        </w:rPr>
        <w:t>(Figure</w:t>
      </w:r>
      <w:r w:rsidR="0016533D">
        <w:rPr>
          <w:rFonts w:ascii="Times New Roman" w:hAnsi="Times New Roman" w:cs="Times New Roman"/>
          <w:sz w:val="24"/>
          <w:szCs w:val="24"/>
        </w:rPr>
        <w:t xml:space="preserve">. </w:t>
      </w:r>
      <w:r w:rsidR="004D1325" w:rsidRPr="006F67D4">
        <w:rPr>
          <w:rFonts w:ascii="Times New Roman" w:hAnsi="Times New Roman" w:cs="Times New Roman"/>
          <w:sz w:val="24"/>
          <w:szCs w:val="24"/>
        </w:rPr>
        <w:t xml:space="preserve">3) </w:t>
      </w:r>
      <w:r w:rsidRPr="006F67D4">
        <w:rPr>
          <w:rFonts w:ascii="Times New Roman" w:hAnsi="Times New Roman" w:cs="Times New Roman"/>
          <w:sz w:val="24"/>
          <w:szCs w:val="24"/>
        </w:rPr>
        <w:t>under T</w:t>
      </w:r>
      <w:r w:rsidRPr="0016533D">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(1091.69 g and 1730.69 g, respectively)</w:t>
      </w:r>
      <w:r w:rsidR="00A35C78" w:rsidRPr="006F67D4">
        <w:rPr>
          <w:rFonts w:ascii="Times New Roman" w:hAnsi="Times New Roman" w:cs="Times New Roman"/>
          <w:sz w:val="24"/>
          <w:szCs w:val="24"/>
        </w:rPr>
        <w:t xml:space="preserve"> which</w:t>
      </w:r>
      <w:r w:rsidR="00CD3F04" w:rsidRPr="006F67D4">
        <w:rPr>
          <w:rFonts w:ascii="Times New Roman" w:hAnsi="Times New Roman" w:cs="Times New Roman"/>
          <w:sz w:val="24"/>
          <w:szCs w:val="24"/>
        </w:rPr>
        <w:t xml:space="preserve"> </w:t>
      </w:r>
      <w:r w:rsidR="00F97798" w:rsidRPr="006F67D4">
        <w:rPr>
          <w:rFonts w:ascii="Times New Roman" w:hAnsi="Times New Roman" w:cs="Times New Roman"/>
          <w:sz w:val="24"/>
          <w:szCs w:val="24"/>
        </w:rPr>
        <w:t xml:space="preserve">increase 68.48 % and </w:t>
      </w:r>
      <w:r w:rsidR="009805D2" w:rsidRPr="006F67D4">
        <w:rPr>
          <w:rFonts w:ascii="Times New Roman" w:hAnsi="Times New Roman" w:cs="Times New Roman"/>
          <w:sz w:val="24"/>
          <w:szCs w:val="24"/>
        </w:rPr>
        <w:t>34.70 % respectively</w:t>
      </w:r>
      <w:r w:rsidR="00DB1B29" w:rsidRPr="006F67D4">
        <w:rPr>
          <w:rFonts w:ascii="Times New Roman" w:hAnsi="Times New Roman" w:cs="Times New Roman"/>
          <w:sz w:val="24"/>
          <w:szCs w:val="24"/>
        </w:rPr>
        <w:t xml:space="preserve"> to control</w:t>
      </w:r>
      <w:r w:rsidRPr="006F67D4">
        <w:rPr>
          <w:rFonts w:ascii="Times New Roman" w:hAnsi="Times New Roman" w:cs="Times New Roman"/>
          <w:sz w:val="24"/>
          <w:szCs w:val="24"/>
        </w:rPr>
        <w:t>, with T</w:t>
      </w:r>
      <w:r w:rsidRPr="001653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close behind (1076.55 g and 1701.92 g). Yield per plot and per hectare also peaked under T</w:t>
      </w:r>
      <w:r w:rsidRPr="0016533D">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(17.47 kg plot⁻¹ and 266.45 q ha⁻¹)</w:t>
      </w:r>
      <w:r w:rsidR="009805D2" w:rsidRPr="006F67D4">
        <w:rPr>
          <w:rFonts w:ascii="Times New Roman" w:hAnsi="Times New Roman" w:cs="Times New Roman"/>
          <w:sz w:val="24"/>
          <w:szCs w:val="24"/>
        </w:rPr>
        <w:t xml:space="preserve"> </w:t>
      </w:r>
      <w:r w:rsidR="005E6984" w:rsidRPr="006F67D4">
        <w:rPr>
          <w:rFonts w:ascii="Times New Roman" w:hAnsi="Times New Roman" w:cs="Times New Roman"/>
          <w:sz w:val="24"/>
          <w:szCs w:val="24"/>
        </w:rPr>
        <w:t xml:space="preserve">which showed 59.52 % </w:t>
      </w:r>
      <w:r w:rsidR="00964D14" w:rsidRPr="006F67D4">
        <w:rPr>
          <w:rFonts w:ascii="Times New Roman" w:hAnsi="Times New Roman" w:cs="Times New Roman"/>
          <w:sz w:val="24"/>
          <w:szCs w:val="24"/>
        </w:rPr>
        <w:t>increment in contrast to control</w:t>
      </w:r>
      <w:r w:rsidRPr="006F67D4">
        <w:rPr>
          <w:rFonts w:ascii="Times New Roman" w:hAnsi="Times New Roman" w:cs="Times New Roman"/>
          <w:sz w:val="24"/>
          <w:szCs w:val="24"/>
        </w:rPr>
        <w:t>, followed by T</w:t>
      </w:r>
      <w:r w:rsidRPr="001653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(17.22 kg plot⁻¹ and 262.17 q ha⁻¹). These results are attributed to GA₃-enhanced biomass, head size</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photosynthetic efficiency, as supported by Ahmed </w:t>
      </w:r>
      <w:r w:rsidRPr="0016533D">
        <w:rPr>
          <w:rFonts w:ascii="Times New Roman" w:hAnsi="Times New Roman" w:cs="Times New Roman"/>
          <w:i/>
          <w:iCs/>
          <w:sz w:val="24"/>
          <w:szCs w:val="24"/>
        </w:rPr>
        <w:t>et al</w:t>
      </w:r>
      <w:r w:rsidRPr="006F67D4">
        <w:rPr>
          <w:rFonts w:ascii="Times New Roman" w:hAnsi="Times New Roman" w:cs="Times New Roman"/>
          <w:sz w:val="24"/>
          <w:szCs w:val="24"/>
        </w:rPr>
        <w:t>. (2019)</w:t>
      </w:r>
      <w:r w:rsidR="00973C9A" w:rsidRPr="006F67D4">
        <w:rPr>
          <w:rFonts w:ascii="Times New Roman" w:hAnsi="Times New Roman" w:cs="Times New Roman"/>
          <w:sz w:val="24"/>
          <w:szCs w:val="24"/>
        </w:rPr>
        <w:t xml:space="preserve">; </w:t>
      </w:r>
      <w:r w:rsidR="00973C9A" w:rsidRPr="006F67D4">
        <w:rPr>
          <w:rFonts w:ascii="Times New Roman" w:eastAsia="Calibri" w:hAnsi="Times New Roman" w:cs="Times New Roman"/>
          <w:sz w:val="24"/>
          <w:szCs w:val="24"/>
          <w14:ligatures w14:val="standardContextual"/>
        </w:rPr>
        <w:t xml:space="preserve">Kumar </w:t>
      </w:r>
      <w:r w:rsidR="00973C9A" w:rsidRPr="006F67D4">
        <w:rPr>
          <w:rFonts w:ascii="Times New Roman" w:eastAsia="Calibri" w:hAnsi="Times New Roman" w:cs="Times New Roman"/>
          <w:i/>
          <w:iCs/>
          <w:sz w:val="24"/>
          <w:szCs w:val="24"/>
          <w14:ligatures w14:val="standardContextual"/>
        </w:rPr>
        <w:t>et al.</w:t>
      </w:r>
      <w:r w:rsidR="00973C9A" w:rsidRPr="006F67D4">
        <w:rPr>
          <w:rFonts w:ascii="Times New Roman" w:eastAsia="Calibri" w:hAnsi="Times New Roman" w:cs="Times New Roman"/>
          <w:sz w:val="24"/>
          <w:szCs w:val="24"/>
          <w14:ligatures w14:val="standardContextual"/>
        </w:rPr>
        <w:t xml:space="preserve"> (2023)</w:t>
      </w:r>
      <w:r w:rsidRPr="006F67D4">
        <w:rPr>
          <w:rFonts w:ascii="Times New Roman" w:hAnsi="Times New Roman" w:cs="Times New Roman"/>
          <w:sz w:val="24"/>
          <w:szCs w:val="24"/>
        </w:rPr>
        <w:t xml:space="preserve"> and Prakash </w:t>
      </w:r>
      <w:r w:rsidRPr="0016533D">
        <w:rPr>
          <w:rFonts w:ascii="Times New Roman" w:hAnsi="Times New Roman" w:cs="Times New Roman"/>
          <w:i/>
          <w:iCs/>
          <w:sz w:val="24"/>
          <w:szCs w:val="24"/>
        </w:rPr>
        <w:t>et al</w:t>
      </w:r>
      <w:r w:rsidRPr="006F67D4">
        <w:rPr>
          <w:rFonts w:ascii="Times New Roman" w:hAnsi="Times New Roman" w:cs="Times New Roman"/>
          <w:sz w:val="24"/>
          <w:szCs w:val="24"/>
        </w:rPr>
        <w:t>. (2023).</w:t>
      </w:r>
    </w:p>
    <w:p w14:paraId="0A8F5827" w14:textId="3F6B6B05"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3.8. </w:t>
      </w:r>
      <w:r w:rsidR="005644D7">
        <w:rPr>
          <w:rFonts w:ascii="Times New Roman" w:hAnsi="Times New Roman" w:cs="Times New Roman"/>
          <w:b/>
          <w:bCs/>
          <w:sz w:val="24"/>
          <w:szCs w:val="24"/>
        </w:rPr>
        <w:t>A</w:t>
      </w:r>
      <w:r w:rsidR="000736DC" w:rsidRPr="007C0399">
        <w:rPr>
          <w:rFonts w:ascii="Times New Roman" w:hAnsi="Times New Roman" w:cs="Times New Roman"/>
          <w:b/>
          <w:bCs/>
          <w:sz w:val="24"/>
          <w:szCs w:val="24"/>
        </w:rPr>
        <w:t>scorbic acid content</w:t>
      </w:r>
    </w:p>
    <w:p w14:paraId="383574CF" w14:textId="517262CD" w:rsidR="00603484"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The highest</w:t>
      </w:r>
      <w:r w:rsidR="004D1325" w:rsidRPr="006F67D4">
        <w:rPr>
          <w:rFonts w:ascii="Times New Roman" w:hAnsi="Times New Roman" w:cs="Times New Roman"/>
          <w:sz w:val="24"/>
          <w:szCs w:val="24"/>
        </w:rPr>
        <w:t xml:space="preserve"> (Figure</w:t>
      </w:r>
      <w:r w:rsidR="0027599B">
        <w:rPr>
          <w:rFonts w:ascii="Times New Roman" w:hAnsi="Times New Roman" w:cs="Times New Roman"/>
          <w:sz w:val="24"/>
          <w:szCs w:val="24"/>
        </w:rPr>
        <w:t>.</w:t>
      </w:r>
      <w:r w:rsidR="004D1325" w:rsidRPr="006F67D4">
        <w:rPr>
          <w:rFonts w:ascii="Times New Roman" w:hAnsi="Times New Roman" w:cs="Times New Roman"/>
          <w:sz w:val="24"/>
          <w:szCs w:val="24"/>
        </w:rPr>
        <w:t xml:space="preserve"> 2)</w:t>
      </w:r>
      <w:r w:rsidRPr="006F67D4">
        <w:rPr>
          <w:rFonts w:ascii="Times New Roman" w:hAnsi="Times New Roman" w:cs="Times New Roman"/>
          <w:sz w:val="24"/>
          <w:szCs w:val="24"/>
        </w:rPr>
        <w:t xml:space="preserve"> ascorbic acid content (</w:t>
      </w:r>
      <w:r w:rsidR="00260398" w:rsidRPr="006F67D4">
        <w:rPr>
          <w:rFonts w:ascii="Times New Roman" w:hAnsi="Times New Roman" w:cs="Times New Roman"/>
          <w:sz w:val="24"/>
          <w:szCs w:val="24"/>
        </w:rPr>
        <w:t>34.22 mg/100 g</w:t>
      </w:r>
      <w:r w:rsidRPr="006F67D4">
        <w:rPr>
          <w:rFonts w:ascii="Times New Roman" w:hAnsi="Times New Roman" w:cs="Times New Roman"/>
          <w:sz w:val="24"/>
          <w:szCs w:val="24"/>
        </w:rPr>
        <w:t>) was found in T</w:t>
      </w:r>
      <w:r w:rsidRPr="0027599B">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(GA₃ 90 ppm), followed by T</w:t>
      </w:r>
      <w:r w:rsidRPr="00020DEB">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(NAA 80 ppm) at </w:t>
      </w:r>
      <w:r w:rsidR="00C45E61" w:rsidRPr="006F67D4">
        <w:rPr>
          <w:rFonts w:ascii="Times New Roman" w:hAnsi="Times New Roman" w:cs="Times New Roman"/>
          <w:sz w:val="24"/>
          <w:szCs w:val="24"/>
        </w:rPr>
        <w:t>3.37 mg/100 g</w:t>
      </w:r>
      <w:r w:rsidRPr="006F67D4">
        <w:rPr>
          <w:rFonts w:ascii="Times New Roman" w:hAnsi="Times New Roman" w:cs="Times New Roman"/>
          <w:sz w:val="24"/>
          <w:szCs w:val="24"/>
        </w:rPr>
        <w:t>, both superior to the control (</w:t>
      </w:r>
      <w:r w:rsidR="00637846" w:rsidRPr="006F67D4">
        <w:rPr>
          <w:rFonts w:ascii="Times New Roman" w:hAnsi="Times New Roman" w:cs="Times New Roman"/>
          <w:sz w:val="24"/>
          <w:szCs w:val="24"/>
        </w:rPr>
        <w:t>30.20 mg/100 g</w:t>
      </w:r>
      <w:r w:rsidRPr="006F67D4">
        <w:rPr>
          <w:rFonts w:ascii="Times New Roman" w:hAnsi="Times New Roman" w:cs="Times New Roman"/>
          <w:sz w:val="24"/>
          <w:szCs w:val="24"/>
        </w:rPr>
        <w:t xml:space="preserve">). This improvement stems from enhanced metabolic activity and better nutrient mobilization, echoing the observations of Vishwakarma </w:t>
      </w:r>
      <w:r w:rsidRPr="00020DEB">
        <w:rPr>
          <w:rFonts w:ascii="Times New Roman" w:hAnsi="Times New Roman" w:cs="Times New Roman"/>
          <w:i/>
          <w:iCs/>
          <w:sz w:val="24"/>
          <w:szCs w:val="24"/>
        </w:rPr>
        <w:t>et al</w:t>
      </w:r>
      <w:r w:rsidRPr="006F67D4">
        <w:rPr>
          <w:rFonts w:ascii="Times New Roman" w:hAnsi="Times New Roman" w:cs="Times New Roman"/>
          <w:sz w:val="24"/>
          <w:szCs w:val="24"/>
        </w:rPr>
        <w:t>. (2017)</w:t>
      </w:r>
      <w:r w:rsidR="00131DF3" w:rsidRPr="006F67D4">
        <w:rPr>
          <w:rFonts w:ascii="Times New Roman" w:hAnsi="Times New Roman" w:cs="Times New Roman"/>
          <w:sz w:val="24"/>
          <w:szCs w:val="24"/>
        </w:rPr>
        <w:t xml:space="preserve">; Kumari </w:t>
      </w:r>
      <w:r w:rsidR="00131DF3" w:rsidRPr="00020DEB">
        <w:rPr>
          <w:rFonts w:ascii="Times New Roman" w:hAnsi="Times New Roman" w:cs="Times New Roman"/>
          <w:i/>
          <w:iCs/>
          <w:sz w:val="24"/>
          <w:szCs w:val="24"/>
        </w:rPr>
        <w:t>et al</w:t>
      </w:r>
      <w:r w:rsidR="00131DF3" w:rsidRPr="006F67D4">
        <w:rPr>
          <w:rFonts w:ascii="Times New Roman" w:hAnsi="Times New Roman" w:cs="Times New Roman"/>
          <w:sz w:val="24"/>
          <w:szCs w:val="24"/>
        </w:rPr>
        <w:t xml:space="preserve">. (2019) and </w:t>
      </w:r>
      <w:proofErr w:type="spellStart"/>
      <w:r w:rsidR="00131DF3" w:rsidRPr="006F67D4">
        <w:rPr>
          <w:rFonts w:ascii="Times New Roman" w:eastAsia="Calibri" w:hAnsi="Times New Roman" w:cs="Times New Roman"/>
          <w:sz w:val="24"/>
          <w:szCs w:val="24"/>
          <w14:ligatures w14:val="standardContextual"/>
        </w:rPr>
        <w:t>Chanwala</w:t>
      </w:r>
      <w:proofErr w:type="spellEnd"/>
      <w:r w:rsidR="00131DF3" w:rsidRPr="006F67D4">
        <w:rPr>
          <w:rFonts w:ascii="Times New Roman" w:eastAsia="Calibri" w:hAnsi="Times New Roman" w:cs="Times New Roman"/>
          <w:sz w:val="24"/>
          <w:szCs w:val="24"/>
          <w14:ligatures w14:val="standardContextual"/>
        </w:rPr>
        <w:t xml:space="preserve"> </w:t>
      </w:r>
      <w:r w:rsidR="00131DF3" w:rsidRPr="006F67D4">
        <w:rPr>
          <w:rFonts w:ascii="Times New Roman" w:eastAsia="Calibri" w:hAnsi="Times New Roman" w:cs="Times New Roman"/>
          <w:i/>
          <w:iCs/>
          <w:sz w:val="24"/>
          <w:szCs w:val="24"/>
          <w14:ligatures w14:val="standardContextual"/>
        </w:rPr>
        <w:t>et al.</w:t>
      </w:r>
      <w:r w:rsidR="00131DF3" w:rsidRPr="006F67D4">
        <w:rPr>
          <w:rFonts w:ascii="Times New Roman" w:eastAsia="Calibri" w:hAnsi="Times New Roman" w:cs="Times New Roman"/>
          <w:sz w:val="24"/>
          <w:szCs w:val="24"/>
          <w14:ligatures w14:val="standardContextual"/>
        </w:rPr>
        <w:t xml:space="preserve"> (2019)</w:t>
      </w:r>
      <w:r w:rsidRPr="006F67D4">
        <w:rPr>
          <w:rFonts w:ascii="Times New Roman" w:hAnsi="Times New Roman" w:cs="Times New Roman"/>
          <w:sz w:val="24"/>
          <w:szCs w:val="24"/>
        </w:rPr>
        <w:t>.</w:t>
      </w:r>
    </w:p>
    <w:p w14:paraId="381072C7" w14:textId="4A1DBBD6" w:rsidR="0016668F"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1: </w:t>
      </w:r>
      <w:r w:rsidR="00D765A9">
        <w:rPr>
          <w:rFonts w:ascii="Times New Roman" w:hAnsi="Times New Roman" w:cs="Times New Roman"/>
          <w:sz w:val="24"/>
          <w:szCs w:val="24"/>
        </w:rPr>
        <w:t>The graph shows the comparison of the treatment and the Values of a plant</w:t>
      </w:r>
    </w:p>
    <w:p w14:paraId="052AD7A8" w14:textId="73440673" w:rsidR="0016668F" w:rsidRPr="006F67D4" w:rsidRDefault="00211799" w:rsidP="00767797">
      <w:pPr>
        <w:jc w:val="both"/>
        <w:rPr>
          <w:rFonts w:ascii="Times New Roman" w:hAnsi="Times New Roman" w:cs="Times New Roman"/>
          <w:sz w:val="24"/>
          <w:szCs w:val="24"/>
        </w:rPr>
      </w:pPr>
      <w:r w:rsidRPr="006F67D4">
        <w:rPr>
          <w:rFonts w:ascii="Times New Roman" w:hAnsi="Times New Roman" w:cs="Times New Roman"/>
          <w:noProof/>
        </w:rPr>
        <w:drawing>
          <wp:inline distT="0" distB="0" distL="0" distR="0" wp14:anchorId="13B862DD" wp14:editId="56177EA7">
            <wp:extent cx="5507355" cy="3452495"/>
            <wp:effectExtent l="0" t="0" r="17145" b="14605"/>
            <wp:docPr id="2128643785" name="Chart 1">
              <a:extLst xmlns:a="http://schemas.openxmlformats.org/drawingml/2006/main">
                <a:ext uri="{FF2B5EF4-FFF2-40B4-BE49-F238E27FC236}">
                  <a16:creationId xmlns:a16="http://schemas.microsoft.com/office/drawing/2014/main" id="{2DD2FC04-09DC-3B34-2297-8843C8952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85120F" w14:textId="71BBD123" w:rsidR="009E77C2"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2: </w:t>
      </w:r>
      <w:r w:rsidR="00D765A9">
        <w:rPr>
          <w:rFonts w:ascii="Times New Roman" w:hAnsi="Times New Roman" w:cs="Times New Roman"/>
          <w:sz w:val="24"/>
          <w:szCs w:val="24"/>
        </w:rPr>
        <w:t>The comparison of values and treatment of a plant’s leaves</w:t>
      </w:r>
    </w:p>
    <w:p w14:paraId="4F784BF8" w14:textId="794D5179" w:rsidR="009E77C2" w:rsidRPr="006F67D4" w:rsidRDefault="00AC5AA3" w:rsidP="00767797">
      <w:pPr>
        <w:jc w:val="both"/>
        <w:rPr>
          <w:rFonts w:ascii="Times New Roman" w:hAnsi="Times New Roman" w:cs="Times New Roman"/>
          <w:sz w:val="24"/>
          <w:szCs w:val="24"/>
        </w:rPr>
      </w:pPr>
      <w:r w:rsidRPr="006F67D4">
        <w:rPr>
          <w:rFonts w:ascii="Times New Roman" w:hAnsi="Times New Roman" w:cs="Times New Roman"/>
          <w:noProof/>
        </w:rPr>
        <w:lastRenderedPageBreak/>
        <w:drawing>
          <wp:inline distT="0" distB="0" distL="0" distR="0" wp14:anchorId="263B8A71" wp14:editId="3FA9E8D5">
            <wp:extent cx="5507355" cy="3732903"/>
            <wp:effectExtent l="0" t="0" r="17145" b="1270"/>
            <wp:docPr id="2024146328" name="Chart 1">
              <a:extLst xmlns:a="http://schemas.openxmlformats.org/drawingml/2006/main">
                <a:ext uri="{FF2B5EF4-FFF2-40B4-BE49-F238E27FC236}">
                  <a16:creationId xmlns:a16="http://schemas.microsoft.com/office/drawing/2014/main" id="{9A0C0EE7-9687-686F-EA9A-622F34DA9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2F5608" w14:textId="77777777" w:rsidR="009E77C2" w:rsidRPr="006F67D4" w:rsidRDefault="009E77C2" w:rsidP="00767797">
      <w:pPr>
        <w:jc w:val="both"/>
        <w:rPr>
          <w:rFonts w:ascii="Times New Roman" w:hAnsi="Times New Roman" w:cs="Times New Roman"/>
          <w:sz w:val="24"/>
          <w:szCs w:val="24"/>
        </w:rPr>
      </w:pPr>
    </w:p>
    <w:p w14:paraId="5620B858" w14:textId="4D532818" w:rsidR="007F4F61"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3: </w:t>
      </w:r>
      <w:r w:rsidR="00D765A9">
        <w:rPr>
          <w:rFonts w:ascii="Times New Roman" w:hAnsi="Times New Roman" w:cs="Times New Roman"/>
          <w:sz w:val="24"/>
          <w:szCs w:val="24"/>
        </w:rPr>
        <w:t>The comparison of Values and treatment of a plant’s head and weight</w:t>
      </w:r>
    </w:p>
    <w:p w14:paraId="5FE73AB9" w14:textId="10656C5D" w:rsidR="007F4F61" w:rsidRPr="006F67D4" w:rsidRDefault="00E5052F" w:rsidP="00767797">
      <w:pPr>
        <w:jc w:val="both"/>
        <w:rPr>
          <w:rFonts w:ascii="Times New Roman" w:hAnsi="Times New Roman" w:cs="Times New Roman"/>
          <w:sz w:val="24"/>
          <w:szCs w:val="24"/>
        </w:rPr>
      </w:pPr>
      <w:r w:rsidRPr="006F67D4">
        <w:rPr>
          <w:rFonts w:ascii="Times New Roman" w:hAnsi="Times New Roman" w:cs="Times New Roman"/>
          <w:noProof/>
        </w:rPr>
        <w:drawing>
          <wp:inline distT="0" distB="0" distL="0" distR="0" wp14:anchorId="5CB56341" wp14:editId="52B6379C">
            <wp:extent cx="5679440" cy="4077148"/>
            <wp:effectExtent l="0" t="0" r="16510" b="0"/>
            <wp:docPr id="1677841165" name="Chart 1">
              <a:extLst xmlns:a="http://schemas.openxmlformats.org/drawingml/2006/main">
                <a:ext uri="{FF2B5EF4-FFF2-40B4-BE49-F238E27FC236}">
                  <a16:creationId xmlns:a16="http://schemas.microsoft.com/office/drawing/2014/main" id="{94764758-9168-BC74-45F9-6DF40AE61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4CD4FD" w14:textId="77777777" w:rsidR="00CB4E29" w:rsidRPr="006F67D4" w:rsidRDefault="00CB4E29" w:rsidP="00767797">
      <w:pPr>
        <w:rPr>
          <w:rFonts w:ascii="Times New Roman" w:hAnsi="Times New Roman" w:cs="Times New Roman"/>
          <w:b/>
          <w:bCs/>
          <w:sz w:val="24"/>
          <w:szCs w:val="24"/>
        </w:rPr>
      </w:pPr>
    </w:p>
    <w:p w14:paraId="2EBB15AB" w14:textId="30EE9166" w:rsidR="00A26F1C" w:rsidRPr="006F67D4" w:rsidRDefault="00D234DB" w:rsidP="00767797">
      <w:pPr>
        <w:rPr>
          <w:rFonts w:ascii="Times New Roman" w:hAnsi="Times New Roman" w:cs="Times New Roman"/>
          <w:b/>
          <w:bCs/>
          <w:sz w:val="24"/>
          <w:szCs w:val="24"/>
        </w:rPr>
      </w:pPr>
      <w:r w:rsidRPr="006F67D4">
        <w:rPr>
          <w:rFonts w:ascii="Times New Roman" w:hAnsi="Times New Roman" w:cs="Times New Roman"/>
          <w:b/>
          <w:bCs/>
          <w:sz w:val="24"/>
          <w:szCs w:val="24"/>
        </w:rPr>
        <w:lastRenderedPageBreak/>
        <w:t xml:space="preserve">4. </w:t>
      </w:r>
      <w:r w:rsidR="00A26F1C" w:rsidRPr="006F67D4">
        <w:rPr>
          <w:rFonts w:ascii="Times New Roman" w:hAnsi="Times New Roman" w:cs="Times New Roman"/>
          <w:b/>
          <w:bCs/>
          <w:sz w:val="24"/>
          <w:szCs w:val="24"/>
        </w:rPr>
        <w:t>CONCLUSION</w:t>
      </w:r>
    </w:p>
    <w:p w14:paraId="7C6BCF22" w14:textId="3F782E51" w:rsidR="00D234DB" w:rsidRPr="006F67D4" w:rsidRDefault="00D234DB" w:rsidP="00767797">
      <w:pPr>
        <w:pStyle w:val="ListParagraph"/>
        <w:tabs>
          <w:tab w:val="left" w:pos="450"/>
        </w:tabs>
        <w:ind w:left="0"/>
        <w:jc w:val="both"/>
        <w:rPr>
          <w:rFonts w:ascii="Times New Roman" w:hAnsi="Times New Roman" w:cs="Times New Roman"/>
          <w:sz w:val="24"/>
          <w:szCs w:val="24"/>
        </w:rPr>
      </w:pPr>
      <w:r w:rsidRPr="006F67D4">
        <w:rPr>
          <w:rFonts w:ascii="Times New Roman" w:hAnsi="Times New Roman" w:cs="Times New Roman"/>
          <w:sz w:val="24"/>
          <w:szCs w:val="24"/>
        </w:rPr>
        <w:t>The investigation revealed that GA₃ and NAA had a marked impact on the vegetative, yield</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of cabbage by inducing various physiological and structural changes. Application of GA₃ at 90 ppm and NAA at 80 ppm significantly boosted plant growth, head mass, chlorophyll concentration</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vitamin C content. These findings affirm that proper application of growth regulators can enhance biomass production, crop performance</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nutritional value, aiding efficient cabbage farming and better economic output.</w:t>
      </w:r>
    </w:p>
    <w:p w14:paraId="23C51148" w14:textId="77777777" w:rsidR="00DE4278" w:rsidRPr="00DD2F94" w:rsidRDefault="00DE4278" w:rsidP="00DE4278">
      <w:pPr>
        <w:rPr>
          <w:rFonts w:ascii="Calibri" w:eastAsia="Calibri" w:hAnsi="Calibri" w:cs="Times New Roman"/>
          <w:b/>
          <w:kern w:val="2"/>
          <w:lang w:val="en-US"/>
        </w:rPr>
      </w:pPr>
      <w:bookmarkStart w:id="0" w:name="_Hlk197682619"/>
      <w:bookmarkStart w:id="1" w:name="_Hlk180402183"/>
      <w:bookmarkStart w:id="2" w:name="_Hlk183680988"/>
      <w:r w:rsidRPr="00DD2F94">
        <w:rPr>
          <w:rFonts w:ascii="Calibri" w:eastAsia="Calibri" w:hAnsi="Calibri" w:cs="Times New Roman"/>
          <w:b/>
          <w:kern w:val="2"/>
          <w:lang w:val="en-US"/>
        </w:rPr>
        <w:t>Disclaimer (Artificial intelligence)</w:t>
      </w:r>
    </w:p>
    <w:p w14:paraId="5A34C2D5" w14:textId="77777777" w:rsidR="00DE4278" w:rsidRPr="0043179B" w:rsidRDefault="00DE4278" w:rsidP="00DE4278">
      <w:pPr>
        <w:rPr>
          <w:rFonts w:ascii="Calibri" w:eastAsia="Calibri" w:hAnsi="Calibri" w:cs="Times New Roman"/>
          <w:kern w:val="2"/>
          <w:lang w:val="en-US"/>
        </w:rPr>
      </w:pPr>
      <w:r w:rsidRPr="0043179B">
        <w:rPr>
          <w:rFonts w:ascii="Calibri" w:eastAsia="Calibri" w:hAnsi="Calibri" w:cs="Times New Roman"/>
          <w:kern w:val="2"/>
          <w:lang w:val="en-US"/>
        </w:rPr>
        <w:t xml:space="preserve">Option 1: </w:t>
      </w:r>
      <w:bookmarkStart w:id="3" w:name="_GoBack"/>
      <w:bookmarkEnd w:id="3"/>
    </w:p>
    <w:p w14:paraId="352350C1" w14:textId="77777777" w:rsidR="00DE4278" w:rsidRPr="0043179B" w:rsidRDefault="00DE4278" w:rsidP="00DE4278">
      <w:pPr>
        <w:rPr>
          <w:rFonts w:ascii="Calibri" w:eastAsia="Calibri" w:hAnsi="Calibri" w:cs="Times New Roman"/>
          <w:kern w:val="2"/>
          <w:lang w:val="en-US"/>
        </w:rPr>
      </w:pPr>
      <w:r w:rsidRPr="0043179B">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568A1D44" w14:textId="77777777" w:rsidR="00D234DB" w:rsidRPr="006F67D4" w:rsidRDefault="00D234DB" w:rsidP="00767797">
      <w:pPr>
        <w:pStyle w:val="ListParagraph"/>
        <w:tabs>
          <w:tab w:val="left" w:pos="450"/>
        </w:tabs>
        <w:ind w:left="0"/>
        <w:jc w:val="both"/>
        <w:rPr>
          <w:rFonts w:ascii="Times New Roman" w:hAnsi="Times New Roman" w:cs="Times New Roman"/>
          <w:b/>
          <w:bCs/>
          <w:sz w:val="24"/>
          <w:szCs w:val="24"/>
        </w:rPr>
      </w:pPr>
    </w:p>
    <w:p w14:paraId="38E87D3B" w14:textId="235C917B" w:rsidR="00630B67" w:rsidRPr="006F67D4" w:rsidRDefault="00CD7C48" w:rsidP="00767797">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6F67D4">
        <w:rPr>
          <w:rFonts w:ascii="Times New Roman" w:eastAsia="Times New Roman" w:hAnsi="Times New Roman" w:cs="Times New Roman"/>
          <w:b/>
          <w:bCs/>
          <w:sz w:val="24"/>
          <w:szCs w:val="24"/>
          <w:lang w:eastAsia="en-IN" w:bidi="hi-IN"/>
        </w:rPr>
        <w:t>6. REFERENCES</w:t>
      </w:r>
    </w:p>
    <w:p w14:paraId="5CBD515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Afrin, S., Islam, N., </w:t>
      </w:r>
      <w:proofErr w:type="spellStart"/>
      <w:r w:rsidRPr="00AE1507">
        <w:rPr>
          <w:rFonts w:ascii="Times New Roman" w:eastAsia="Calibri" w:hAnsi="Times New Roman" w:cs="Times New Roman"/>
          <w:sz w:val="24"/>
          <w:szCs w:val="24"/>
          <w14:ligatures w14:val="standardContextual"/>
        </w:rPr>
        <w:t>Mustaki</w:t>
      </w:r>
      <w:proofErr w:type="spellEnd"/>
      <w:r w:rsidRPr="00AE1507">
        <w:rPr>
          <w:rFonts w:ascii="Times New Roman" w:eastAsia="Calibri" w:hAnsi="Times New Roman" w:cs="Times New Roman"/>
          <w:sz w:val="24"/>
          <w:szCs w:val="24"/>
          <w14:ligatures w14:val="standardContextual"/>
        </w:rPr>
        <w:t>, S., Araf, T. and Choudhury, S. (2024). Impact of micronutrients and plant growth regulators on brinjal (</w:t>
      </w:r>
      <w:r w:rsidRPr="00AE1507">
        <w:rPr>
          <w:rFonts w:ascii="Times New Roman" w:eastAsia="Calibri" w:hAnsi="Times New Roman" w:cs="Times New Roman"/>
          <w:i/>
          <w:iCs/>
          <w:sz w:val="24"/>
          <w:szCs w:val="24"/>
          <w14:ligatures w14:val="standardContextual"/>
        </w:rPr>
        <w:t>Solanum melongena</w:t>
      </w:r>
      <w:r w:rsidRPr="00AE1507">
        <w:rPr>
          <w:rFonts w:ascii="Times New Roman" w:eastAsia="Calibri" w:hAnsi="Times New Roman" w:cs="Times New Roman"/>
          <w:sz w:val="24"/>
          <w:szCs w:val="24"/>
          <w14:ligatures w14:val="standardContextual"/>
        </w:rPr>
        <w:t xml:space="preserve"> L.) growth, yield and quality. </w:t>
      </w:r>
      <w:r w:rsidRPr="00AE1507">
        <w:rPr>
          <w:rFonts w:ascii="Times New Roman" w:eastAsia="Calibri" w:hAnsi="Times New Roman" w:cs="Times New Roman"/>
          <w:i/>
          <w:iCs/>
          <w:sz w:val="24"/>
          <w:szCs w:val="24"/>
          <w14:ligatures w14:val="standardContextual"/>
        </w:rPr>
        <w:t xml:space="preserve">Asian Journal of Soil Science and Plant Nutrition, </w:t>
      </w:r>
      <w:r w:rsidRPr="00AE1507">
        <w:rPr>
          <w:rFonts w:ascii="Times New Roman" w:eastAsia="Calibri" w:hAnsi="Times New Roman" w:cs="Times New Roman"/>
          <w:b/>
          <w:bCs/>
          <w:sz w:val="24"/>
          <w:szCs w:val="24"/>
          <w14:ligatures w14:val="standardContextual"/>
        </w:rPr>
        <w:t>10</w:t>
      </w:r>
      <w:r w:rsidRPr="00AE1507">
        <w:rPr>
          <w:rFonts w:ascii="Times New Roman" w:eastAsia="Calibri" w:hAnsi="Times New Roman" w:cs="Times New Roman"/>
          <w:sz w:val="24"/>
          <w:szCs w:val="24"/>
          <w14:ligatures w14:val="standardContextual"/>
        </w:rPr>
        <w:t>(2), 72–79.</w:t>
      </w:r>
    </w:p>
    <w:p w14:paraId="65E71BDF"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Ahmed, N., Waheed, A., Hamid, F. S., Ahmed, I., Khan, M. A., Aslam, S. and Bashir, M. (2019). Response of cabbage cultivars to different concentrations of gibberellic acid. </w:t>
      </w:r>
      <w:r w:rsidRPr="00AE1507">
        <w:rPr>
          <w:rFonts w:ascii="Times New Roman" w:eastAsia="Calibri" w:hAnsi="Times New Roman" w:cs="Times New Roman"/>
          <w:i/>
          <w:iCs/>
          <w:sz w:val="24"/>
          <w:szCs w:val="24"/>
          <w14:ligatures w14:val="standardContextual"/>
        </w:rPr>
        <w:t xml:space="preserve">Pakistan Journal of Agricultural Research, </w:t>
      </w:r>
      <w:r w:rsidRPr="0060411C">
        <w:rPr>
          <w:rFonts w:ascii="Times New Roman" w:eastAsia="Calibri" w:hAnsi="Times New Roman" w:cs="Times New Roman"/>
          <w:b/>
          <w:bCs/>
          <w:sz w:val="24"/>
          <w:szCs w:val="24"/>
          <w14:ligatures w14:val="standardContextual"/>
        </w:rPr>
        <w:t>32</w:t>
      </w:r>
      <w:r w:rsidRPr="00AE1507">
        <w:rPr>
          <w:rFonts w:ascii="Times New Roman" w:eastAsia="Calibri" w:hAnsi="Times New Roman" w:cs="Times New Roman"/>
          <w:sz w:val="24"/>
          <w:szCs w:val="24"/>
          <w14:ligatures w14:val="standardContextual"/>
        </w:rPr>
        <w:t>(4), 562–565.</w:t>
      </w:r>
    </w:p>
    <w:p w14:paraId="6E2537F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Anonymous. (2025). Area and Production of Horticulture Crops for 2024–25 (2nd Advance Estimates). Ministry of Agriculture and Farmers Welfare.</w:t>
      </w:r>
    </w:p>
    <w:p w14:paraId="24E0E58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Barad, K., Patel, K., Jangid, R. and </w:t>
      </w:r>
      <w:proofErr w:type="spellStart"/>
      <w:r w:rsidRPr="00AE1507">
        <w:rPr>
          <w:rFonts w:ascii="Times New Roman" w:eastAsia="Calibri" w:hAnsi="Times New Roman" w:cs="Times New Roman"/>
          <w:sz w:val="24"/>
          <w:szCs w:val="24"/>
          <w14:ligatures w14:val="standardContextual"/>
        </w:rPr>
        <w:t>Jethava</w:t>
      </w:r>
      <w:proofErr w:type="spellEnd"/>
      <w:r w:rsidRPr="00AE1507">
        <w:rPr>
          <w:rFonts w:ascii="Times New Roman" w:eastAsia="Calibri" w:hAnsi="Times New Roman" w:cs="Times New Roman"/>
          <w:sz w:val="24"/>
          <w:szCs w:val="24"/>
          <w14:ligatures w14:val="standardContextual"/>
        </w:rPr>
        <w:t>, B. (2020). Effect of application of GA₃ and NAA on yield, quality and economics of broccoli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italica</w:t>
      </w:r>
      <w:r w:rsidRPr="00AE1507">
        <w:rPr>
          <w:rFonts w:ascii="Times New Roman" w:eastAsia="Calibri" w:hAnsi="Times New Roman" w:cs="Times New Roman"/>
          <w:sz w:val="24"/>
          <w:szCs w:val="24"/>
          <w14:ligatures w14:val="standardContextual"/>
        </w:rPr>
        <w:t>) var. Pusa KTS-1.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(5), 1376–1378.</w:t>
      </w:r>
    </w:p>
    <w:p w14:paraId="62D27456"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Bista, D., Sapkota, D., Paudel, H. and Adhikari, G. (2022). Effect of foliar application of growth regulators on growth and yield of onion (</w:t>
      </w:r>
      <w:r w:rsidRPr="00AE1507">
        <w:rPr>
          <w:rFonts w:ascii="Times New Roman" w:eastAsia="Calibri" w:hAnsi="Times New Roman" w:cs="Times New Roman"/>
          <w:i/>
          <w:iCs/>
          <w:sz w:val="24"/>
          <w:szCs w:val="24"/>
          <w14:ligatures w14:val="standardContextual"/>
        </w:rPr>
        <w:t>Allium cepa</w:t>
      </w:r>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Horticultural Science and Technology, </w:t>
      </w:r>
      <w:r w:rsidRPr="00AE1507">
        <w:rPr>
          <w:rFonts w:ascii="Times New Roman" w:eastAsia="Calibri" w:hAnsi="Times New Roman" w:cs="Times New Roman"/>
          <w:b/>
          <w:bCs/>
          <w:sz w:val="24"/>
          <w:szCs w:val="24"/>
          <w14:ligatures w14:val="standardContextual"/>
        </w:rPr>
        <w:t>9</w:t>
      </w:r>
      <w:r w:rsidRPr="00AE1507">
        <w:rPr>
          <w:rFonts w:ascii="Times New Roman" w:eastAsia="Calibri" w:hAnsi="Times New Roman" w:cs="Times New Roman"/>
          <w:sz w:val="24"/>
          <w:szCs w:val="24"/>
          <w14:ligatures w14:val="standardContextual"/>
        </w:rPr>
        <w:t>(2), 247–254.</w:t>
      </w:r>
    </w:p>
    <w:p w14:paraId="3EC5F09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Boriss, H. and </w:t>
      </w:r>
      <w:proofErr w:type="spellStart"/>
      <w:r w:rsidRPr="00AE1507">
        <w:rPr>
          <w:rFonts w:ascii="Times New Roman" w:eastAsia="Calibri" w:hAnsi="Times New Roman" w:cs="Times New Roman"/>
          <w:sz w:val="24"/>
          <w:szCs w:val="24"/>
          <w14:ligatures w14:val="standardContextual"/>
        </w:rPr>
        <w:t>Kreith</w:t>
      </w:r>
      <w:proofErr w:type="spellEnd"/>
      <w:r w:rsidRPr="00AE1507">
        <w:rPr>
          <w:rFonts w:ascii="Times New Roman" w:eastAsia="Calibri" w:hAnsi="Times New Roman" w:cs="Times New Roman"/>
          <w:sz w:val="24"/>
          <w:szCs w:val="24"/>
          <w14:ligatures w14:val="standardContextual"/>
        </w:rPr>
        <w:t>, M. (2006). Commodity profile: Cabbage. </w:t>
      </w:r>
      <w:r w:rsidRPr="00AE1507">
        <w:rPr>
          <w:rFonts w:ascii="Times New Roman" w:eastAsia="Calibri" w:hAnsi="Times New Roman" w:cs="Times New Roman"/>
          <w:i/>
          <w:iCs/>
          <w:sz w:val="24"/>
          <w:szCs w:val="24"/>
          <w14:ligatures w14:val="standardContextual"/>
        </w:rPr>
        <w:t>Agricultural Marketing Resource Centre, University of California</w:t>
      </w:r>
      <w:r w:rsidRPr="00AE1507">
        <w:rPr>
          <w:rFonts w:ascii="Times New Roman" w:eastAsia="Calibri" w:hAnsi="Times New Roman" w:cs="Times New Roman"/>
          <w:sz w:val="24"/>
          <w:szCs w:val="24"/>
          <w14:ligatures w14:val="standardContextual"/>
        </w:rPr>
        <w:t>, 1–7.</w:t>
      </w:r>
    </w:p>
    <w:p w14:paraId="4AABB98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Chanwala</w:t>
      </w:r>
      <w:proofErr w:type="spellEnd"/>
      <w:r w:rsidRPr="00AE1507">
        <w:rPr>
          <w:rFonts w:ascii="Times New Roman" w:eastAsia="Calibri" w:hAnsi="Times New Roman" w:cs="Times New Roman"/>
          <w:sz w:val="24"/>
          <w:szCs w:val="24"/>
          <w14:ligatures w14:val="standardContextual"/>
        </w:rPr>
        <w:t>, P., Soni, A. K., Sharma, D. and Choudhary, G. (2019). Effect of foliar spray of plant growth regulators on growth and quality of sprouting broccoli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italica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(8), 1846–1852.</w:t>
      </w:r>
    </w:p>
    <w:p w14:paraId="38F966B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Chaudhari, V. L., Patel, N. K., Patel, G. D., Chaudhari, V. J. and Sheth, S. G. (2017). Impact of micronutrients spray on growth and yield of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5</w:t>
      </w:r>
      <w:r w:rsidRPr="00AE1507">
        <w:rPr>
          <w:rFonts w:ascii="Times New Roman" w:eastAsia="Calibri" w:hAnsi="Times New Roman" w:cs="Times New Roman"/>
          <w:sz w:val="24"/>
          <w:szCs w:val="24"/>
          <w14:ligatures w14:val="standardContextual"/>
        </w:rPr>
        <w:t>(4), 2113–2115.</w:t>
      </w:r>
    </w:p>
    <w:p w14:paraId="52E6E2F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lastRenderedPageBreak/>
        <w:t>Gadhiya, D., Champaneri, D. D. and Patel, N. K. (2023). The implications of growth-regulating substances on growth and yield traits of cauliflower. </w:t>
      </w:r>
      <w:r w:rsidRPr="00AE1507">
        <w:rPr>
          <w:rFonts w:ascii="Times New Roman" w:eastAsia="Calibri" w:hAnsi="Times New Roman" w:cs="Times New Roman"/>
          <w:i/>
          <w:iCs/>
          <w:sz w:val="24"/>
          <w:szCs w:val="24"/>
          <w14:ligatures w14:val="standardContextual"/>
        </w:rPr>
        <w:t xml:space="preserve">International Journal of Environment and Climate Change, </w:t>
      </w:r>
      <w:r w:rsidRPr="00AE1507">
        <w:rPr>
          <w:rFonts w:ascii="Times New Roman" w:eastAsia="Calibri" w:hAnsi="Times New Roman" w:cs="Times New Roman"/>
          <w:b/>
          <w:bCs/>
          <w:sz w:val="24"/>
          <w:szCs w:val="24"/>
          <w14:ligatures w14:val="standardContextual"/>
        </w:rPr>
        <w:t>13</w:t>
      </w:r>
      <w:r w:rsidRPr="00AE1507">
        <w:rPr>
          <w:rFonts w:ascii="Times New Roman" w:eastAsia="Calibri" w:hAnsi="Times New Roman" w:cs="Times New Roman"/>
          <w:sz w:val="24"/>
          <w:szCs w:val="24"/>
          <w14:ligatures w14:val="standardContextual"/>
        </w:rPr>
        <w:t>(10), 1876–1881.</w:t>
      </w:r>
    </w:p>
    <w:p w14:paraId="7E9EA93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Iqbal, M. S., Bashir, F., Akbar, M. and Ahmad, K. S. (2022). Cadmium toxicity alleviation through exogenous application of gibberellic acid (GA₃). </w:t>
      </w:r>
      <w:proofErr w:type="spellStart"/>
      <w:r w:rsidRPr="00AE1507">
        <w:rPr>
          <w:rFonts w:ascii="Times New Roman" w:eastAsia="Calibri" w:hAnsi="Times New Roman" w:cs="Times New Roman"/>
          <w:i/>
          <w:iCs/>
          <w:sz w:val="24"/>
          <w:szCs w:val="24"/>
          <w14:ligatures w14:val="standardContextual"/>
        </w:rPr>
        <w:t>Sains</w:t>
      </w:r>
      <w:proofErr w:type="spellEnd"/>
      <w:r w:rsidRPr="00AE1507">
        <w:rPr>
          <w:rFonts w:ascii="Times New Roman" w:eastAsia="Calibri" w:hAnsi="Times New Roman" w:cs="Times New Roman"/>
          <w:i/>
          <w:iCs/>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Malaysiana</w:t>
      </w:r>
      <w:proofErr w:type="spellEnd"/>
      <w:r w:rsidRPr="00AE1507">
        <w:rPr>
          <w:rFonts w:ascii="Times New Roman" w:eastAsia="Calibri" w:hAnsi="Times New Roman" w:cs="Times New Roman"/>
          <w:i/>
          <w:iCs/>
          <w:sz w:val="24"/>
          <w:szCs w:val="24"/>
          <w14:ligatures w14:val="standardContextual"/>
        </w:rPr>
        <w:t xml:space="preserve">, </w:t>
      </w:r>
      <w:r w:rsidRPr="00AE1507">
        <w:rPr>
          <w:rFonts w:ascii="Times New Roman" w:eastAsia="Calibri" w:hAnsi="Times New Roman" w:cs="Times New Roman"/>
          <w:b/>
          <w:bCs/>
          <w:sz w:val="24"/>
          <w:szCs w:val="24"/>
          <w14:ligatures w14:val="standardContextual"/>
        </w:rPr>
        <w:t>51</w:t>
      </w:r>
      <w:r w:rsidRPr="00AE1507">
        <w:rPr>
          <w:rFonts w:ascii="Times New Roman" w:eastAsia="Calibri" w:hAnsi="Times New Roman" w:cs="Times New Roman"/>
          <w:sz w:val="24"/>
          <w:szCs w:val="24"/>
          <w14:ligatures w14:val="standardContextual"/>
        </w:rPr>
        <w:t>(11), 3607–3619.</w:t>
      </w:r>
    </w:p>
    <w:p w14:paraId="27CEDB15"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Kottapu</w:t>
      </w:r>
      <w:proofErr w:type="spellEnd"/>
      <w:r w:rsidRPr="00AE1507">
        <w:rPr>
          <w:rFonts w:ascii="Times New Roman" w:eastAsia="Calibri" w:hAnsi="Times New Roman" w:cs="Times New Roman"/>
          <w:sz w:val="24"/>
          <w:szCs w:val="24"/>
          <w14:ligatures w14:val="standardContextual"/>
        </w:rPr>
        <w:t>, S., Minz, A. and Verma, A. (2023). Effect of foliar application of plant growth regulators on quality and economics of broccoli production under walk-in-tunnel. </w:t>
      </w:r>
      <w:r w:rsidRPr="00AE1507">
        <w:rPr>
          <w:rFonts w:ascii="Times New Roman" w:eastAsia="Calibri" w:hAnsi="Times New Roman" w:cs="Times New Roman"/>
          <w:i/>
          <w:iCs/>
          <w:sz w:val="24"/>
          <w:szCs w:val="24"/>
          <w14:ligatures w14:val="standardContextual"/>
        </w:rPr>
        <w:t xml:space="preserve">Environment and Ecology, </w:t>
      </w:r>
      <w:r w:rsidRPr="00AE1507">
        <w:rPr>
          <w:rFonts w:ascii="Times New Roman" w:eastAsia="Calibri" w:hAnsi="Times New Roman" w:cs="Times New Roman"/>
          <w:b/>
          <w:bCs/>
          <w:sz w:val="24"/>
          <w:szCs w:val="24"/>
          <w14:ligatures w14:val="standardContextual"/>
        </w:rPr>
        <w:t>41</w:t>
      </w:r>
      <w:r w:rsidRPr="00AE1507">
        <w:rPr>
          <w:rFonts w:ascii="Times New Roman" w:eastAsia="Calibri" w:hAnsi="Times New Roman" w:cs="Times New Roman"/>
          <w:sz w:val="24"/>
          <w:szCs w:val="24"/>
          <w14:ligatures w14:val="standardContextual"/>
        </w:rPr>
        <w:t>(4), 2315–2319.</w:t>
      </w:r>
    </w:p>
    <w:p w14:paraId="45B7735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Kumar, A., Bisen, R. K., Verma, S. K., Agrawal, H. P., </w:t>
      </w:r>
      <w:proofErr w:type="spellStart"/>
      <w:r w:rsidRPr="00AE1507">
        <w:rPr>
          <w:rFonts w:ascii="Times New Roman" w:eastAsia="Calibri" w:hAnsi="Times New Roman" w:cs="Times New Roman"/>
          <w:sz w:val="24"/>
          <w:szCs w:val="24"/>
          <w14:ligatures w14:val="standardContextual"/>
        </w:rPr>
        <w:t>Chaure</w:t>
      </w:r>
      <w:proofErr w:type="spellEnd"/>
      <w:r w:rsidRPr="00AE1507">
        <w:rPr>
          <w:rFonts w:ascii="Times New Roman" w:eastAsia="Calibri" w:hAnsi="Times New Roman" w:cs="Times New Roman"/>
          <w:sz w:val="24"/>
          <w:szCs w:val="24"/>
          <w14:ligatures w14:val="standardContextual"/>
        </w:rPr>
        <w:t>, N. K., Tirkey, P. L., Mishra, S., Kumar, Y., Patel, M. and Patel, C. R. (2023). Effect of foliar application of plant growth regulators on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The Pharma Innovation Journal, </w:t>
      </w:r>
      <w:r w:rsidRPr="00AE1507">
        <w:rPr>
          <w:rFonts w:ascii="Times New Roman" w:eastAsia="Calibri" w:hAnsi="Times New Roman" w:cs="Times New Roman"/>
          <w:b/>
          <w:bCs/>
          <w:sz w:val="24"/>
          <w:szCs w:val="24"/>
          <w14:ligatures w14:val="standardContextual"/>
        </w:rPr>
        <w:t>12</w:t>
      </w:r>
      <w:r w:rsidRPr="00AE1507">
        <w:rPr>
          <w:rFonts w:ascii="Times New Roman" w:eastAsia="Calibri" w:hAnsi="Times New Roman" w:cs="Times New Roman"/>
          <w:sz w:val="24"/>
          <w:szCs w:val="24"/>
          <w14:ligatures w14:val="standardContextual"/>
        </w:rPr>
        <w:t>(11), 412–415.</w:t>
      </w:r>
    </w:p>
    <w:p w14:paraId="29D0D215"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Kumari, K., Singh, S. K., Mehmi, V., Kumar, U. and Kaur, K. (2019). Influence of plant growth regulators and biofertilizers on growth and yield of broccoli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L. var. </w:t>
      </w:r>
      <w:r w:rsidRPr="00AE1507">
        <w:rPr>
          <w:rFonts w:ascii="Times New Roman" w:eastAsia="Calibri" w:hAnsi="Times New Roman" w:cs="Times New Roman"/>
          <w:i/>
          <w:iCs/>
          <w:sz w:val="24"/>
          <w:szCs w:val="24"/>
          <w14:ligatures w14:val="standardContextual"/>
        </w:rPr>
        <w:t>italica</w:t>
      </w:r>
      <w:r w:rsidRPr="00AE1507">
        <w:rPr>
          <w:rFonts w:ascii="Times New Roman" w:eastAsia="Calibri" w:hAnsi="Times New Roman" w:cs="Times New Roman"/>
          <w:sz w:val="24"/>
          <w:szCs w:val="24"/>
          <w14:ligatures w14:val="standardContextual"/>
        </w:rPr>
        <w:t>) under central region of Punjab. </w:t>
      </w:r>
      <w:proofErr w:type="spellStart"/>
      <w:r w:rsidRPr="00AE1507">
        <w:rPr>
          <w:rFonts w:ascii="Times New Roman" w:eastAsia="Calibri" w:hAnsi="Times New Roman" w:cs="Times New Roman"/>
          <w:i/>
          <w:iCs/>
          <w:sz w:val="24"/>
          <w:szCs w:val="24"/>
          <w14:ligatures w14:val="standardContextual"/>
        </w:rPr>
        <w:t>Agriways</w:t>
      </w:r>
      <w:proofErr w:type="spellEnd"/>
      <w:r w:rsidRPr="00AE1507">
        <w:rPr>
          <w:rFonts w:ascii="Times New Roman" w:eastAsia="Calibri" w:hAnsi="Times New Roman" w:cs="Times New Roman"/>
          <w:i/>
          <w:iCs/>
          <w:sz w:val="24"/>
          <w:szCs w:val="24"/>
          <w14:ligatures w14:val="standardContextual"/>
        </w:rPr>
        <w:t xml:space="preserve">, </w:t>
      </w:r>
      <w:r w:rsidRPr="00AE1507">
        <w:rPr>
          <w:rFonts w:ascii="Times New Roman" w:eastAsia="Calibri" w:hAnsi="Times New Roman" w:cs="Times New Roman"/>
          <w:b/>
          <w:bCs/>
          <w:sz w:val="24"/>
          <w:szCs w:val="24"/>
          <w14:ligatures w14:val="standardContextual"/>
        </w:rPr>
        <w:t>7</w:t>
      </w:r>
      <w:r w:rsidRPr="00AE1507">
        <w:rPr>
          <w:rFonts w:ascii="Times New Roman" w:eastAsia="Calibri" w:hAnsi="Times New Roman" w:cs="Times New Roman"/>
          <w:sz w:val="24"/>
          <w:szCs w:val="24"/>
          <w14:ligatures w14:val="standardContextual"/>
        </w:rPr>
        <w:t>(1), 44–49.</w:t>
      </w:r>
    </w:p>
    <w:p w14:paraId="4B1844A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Kumlay</w:t>
      </w:r>
      <w:proofErr w:type="spellEnd"/>
      <w:r w:rsidRPr="00AE1507">
        <w:rPr>
          <w:rFonts w:ascii="Times New Roman" w:eastAsia="Calibri" w:hAnsi="Times New Roman" w:cs="Times New Roman"/>
          <w:sz w:val="24"/>
          <w:szCs w:val="24"/>
          <w14:ligatures w14:val="standardContextual"/>
        </w:rPr>
        <w:t>, A. M., Kaya, C. and Yildirim, B. (2021). Different plant growth regulators on improvement of potato (</w:t>
      </w:r>
      <w:r w:rsidRPr="00AE1507">
        <w:rPr>
          <w:rFonts w:ascii="Times New Roman" w:eastAsia="Calibri" w:hAnsi="Times New Roman" w:cs="Times New Roman"/>
          <w:i/>
          <w:iCs/>
          <w:sz w:val="24"/>
          <w:szCs w:val="24"/>
          <w14:ligatures w14:val="standardContextual"/>
        </w:rPr>
        <w:t>Solanum tuberosum</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Journal of the Institute of Science and Technology, </w:t>
      </w:r>
      <w:r w:rsidRPr="00AE1507">
        <w:rPr>
          <w:rFonts w:ascii="Times New Roman" w:eastAsia="Calibri" w:hAnsi="Times New Roman" w:cs="Times New Roman"/>
          <w:b/>
          <w:bCs/>
          <w:sz w:val="24"/>
          <w:szCs w:val="24"/>
          <w14:ligatures w14:val="standardContextual"/>
        </w:rPr>
        <w:t>11</w:t>
      </w:r>
      <w:r w:rsidRPr="00AE1507">
        <w:rPr>
          <w:rFonts w:ascii="Times New Roman" w:eastAsia="Calibri" w:hAnsi="Times New Roman" w:cs="Times New Roman"/>
          <w:sz w:val="24"/>
          <w:szCs w:val="24"/>
          <w14:ligatures w14:val="standardContextual"/>
        </w:rPr>
        <w:t>(2), 1603–1615.</w:t>
      </w:r>
    </w:p>
    <w:p w14:paraId="7D0F5A8A"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Malik, P. A., Kishor, S. and Yadav, K. S. (2022). Response of various plant growth regulators on growth, yield and yield attributing traits of tomato (</w:t>
      </w:r>
      <w:r w:rsidRPr="00AE1507">
        <w:rPr>
          <w:rFonts w:ascii="Times New Roman" w:eastAsia="Calibri" w:hAnsi="Times New Roman" w:cs="Times New Roman"/>
          <w:i/>
          <w:iCs/>
          <w:sz w:val="24"/>
          <w:szCs w:val="24"/>
          <w14:ligatures w14:val="standardContextual"/>
        </w:rPr>
        <w:t>Solanum</w:t>
      </w:r>
      <w:r w:rsidRPr="00AE1507">
        <w:rPr>
          <w:rFonts w:ascii="Times New Roman" w:eastAsia="Calibri" w:hAnsi="Times New Roman" w:cs="Times New Roman"/>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lycopersicum</w:t>
      </w:r>
      <w:proofErr w:type="spellEnd"/>
      <w:r w:rsidRPr="00AE1507">
        <w:rPr>
          <w:rFonts w:ascii="Times New Roman" w:eastAsia="Calibri" w:hAnsi="Times New Roman" w:cs="Times New Roman"/>
          <w:sz w:val="24"/>
          <w:szCs w:val="24"/>
          <w14:ligatures w14:val="standardContextual"/>
        </w:rPr>
        <w:t xml:space="preserve"> L.) cv. </w:t>
      </w:r>
      <w:proofErr w:type="spellStart"/>
      <w:r w:rsidRPr="00AE1507">
        <w:rPr>
          <w:rFonts w:ascii="Times New Roman" w:eastAsia="Calibri" w:hAnsi="Times New Roman" w:cs="Times New Roman"/>
          <w:sz w:val="24"/>
          <w:szCs w:val="24"/>
          <w14:ligatures w14:val="standardContextual"/>
        </w:rPr>
        <w:t>Heemsohna</w:t>
      </w:r>
      <w:proofErr w:type="spellEnd"/>
      <w:r w:rsidRPr="00AE1507">
        <w:rPr>
          <w:rFonts w:ascii="Times New Roman" w:eastAsia="Calibri" w:hAnsi="Times New Roman" w:cs="Times New Roman"/>
          <w:sz w:val="24"/>
          <w:szCs w:val="24"/>
          <w14:ligatures w14:val="standardContextual"/>
        </w:rPr>
        <w:t xml:space="preserve"> under protected structure. </w:t>
      </w:r>
      <w:r w:rsidRPr="00AE1507">
        <w:rPr>
          <w:rFonts w:ascii="Times New Roman" w:eastAsia="Calibri" w:hAnsi="Times New Roman" w:cs="Times New Roman"/>
          <w:i/>
          <w:iCs/>
          <w:sz w:val="24"/>
          <w:szCs w:val="24"/>
          <w14:ligatures w14:val="standardContextual"/>
        </w:rPr>
        <w:t xml:space="preserve">Research on Crops, </w:t>
      </w:r>
      <w:r w:rsidRPr="00AE1507">
        <w:rPr>
          <w:rFonts w:ascii="Times New Roman" w:eastAsia="Calibri" w:hAnsi="Times New Roman" w:cs="Times New Roman"/>
          <w:b/>
          <w:bCs/>
          <w:sz w:val="24"/>
          <w:szCs w:val="24"/>
          <w14:ligatures w14:val="standardContextual"/>
        </w:rPr>
        <w:t>23</w:t>
      </w:r>
      <w:r w:rsidRPr="00AE1507">
        <w:rPr>
          <w:rFonts w:ascii="Times New Roman" w:eastAsia="Calibri" w:hAnsi="Times New Roman" w:cs="Times New Roman"/>
          <w:sz w:val="24"/>
          <w:szCs w:val="24"/>
          <w14:ligatures w14:val="standardContextual"/>
        </w:rPr>
        <w:t>(2), 393–398.</w:t>
      </w:r>
    </w:p>
    <w:p w14:paraId="51115B1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Mazed, K. H. E. M., Akand, M. H., Irin, I. J., </w:t>
      </w:r>
      <w:proofErr w:type="spellStart"/>
      <w:r w:rsidRPr="00AE1507">
        <w:rPr>
          <w:rFonts w:ascii="Times New Roman" w:eastAsia="Calibri" w:hAnsi="Times New Roman" w:cs="Times New Roman"/>
          <w:sz w:val="24"/>
          <w:szCs w:val="24"/>
          <w14:ligatures w14:val="standardContextual"/>
        </w:rPr>
        <w:t>Moonmoon</w:t>
      </w:r>
      <w:proofErr w:type="spellEnd"/>
      <w:r w:rsidRPr="00AE1507">
        <w:rPr>
          <w:rFonts w:ascii="Times New Roman" w:eastAsia="Calibri" w:hAnsi="Times New Roman" w:cs="Times New Roman"/>
          <w:sz w:val="24"/>
          <w:szCs w:val="24"/>
          <w14:ligatures w14:val="standardContextual"/>
        </w:rPr>
        <w:t>, J. F. and Rahman, M. H. (2015). Effect of gibberellic acid on the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International Journal of Applied Research, </w:t>
      </w:r>
      <w:r w:rsidRPr="00AE1507">
        <w:rPr>
          <w:rFonts w:ascii="Times New Roman" w:eastAsia="Calibri" w:hAnsi="Times New Roman" w:cs="Times New Roman"/>
          <w:b/>
          <w:bCs/>
          <w:sz w:val="24"/>
          <w:szCs w:val="24"/>
          <w14:ligatures w14:val="standardContextual"/>
        </w:rPr>
        <w:t>1</w:t>
      </w:r>
      <w:r w:rsidRPr="00AE1507">
        <w:rPr>
          <w:rFonts w:ascii="Times New Roman" w:eastAsia="Calibri" w:hAnsi="Times New Roman" w:cs="Times New Roman"/>
          <w:sz w:val="24"/>
          <w:szCs w:val="24"/>
          <w14:ligatures w14:val="standardContextual"/>
        </w:rPr>
        <w:t>(4), 24–29.</w:t>
      </w:r>
    </w:p>
    <w:p w14:paraId="21E05E0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Meena, S. L., </w:t>
      </w:r>
      <w:proofErr w:type="spellStart"/>
      <w:r w:rsidRPr="00AE1507">
        <w:rPr>
          <w:rFonts w:ascii="Times New Roman" w:eastAsia="Calibri" w:hAnsi="Times New Roman" w:cs="Times New Roman"/>
          <w:sz w:val="24"/>
          <w:szCs w:val="24"/>
          <w14:ligatures w14:val="standardContextual"/>
        </w:rPr>
        <w:t>Aravindakshan</w:t>
      </w:r>
      <w:proofErr w:type="spellEnd"/>
      <w:r w:rsidRPr="00AE1507">
        <w:rPr>
          <w:rFonts w:ascii="Times New Roman" w:eastAsia="Calibri" w:hAnsi="Times New Roman" w:cs="Times New Roman"/>
          <w:sz w:val="24"/>
          <w:szCs w:val="24"/>
          <w14:ligatures w14:val="standardContextual"/>
        </w:rPr>
        <w:t>, K., Arya, C. K., Meena, K. K. and Meena, M. K. (2019). Effect of bioregulators and boron on growth attributes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cv. Golden Acre.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7</w:t>
      </w:r>
      <w:r w:rsidRPr="00AE1507">
        <w:rPr>
          <w:rFonts w:ascii="Times New Roman" w:eastAsia="Calibri" w:hAnsi="Times New Roman" w:cs="Times New Roman"/>
          <w:sz w:val="24"/>
          <w:szCs w:val="24"/>
          <w14:ligatures w14:val="standardContextual"/>
        </w:rPr>
        <w:t>(3), 1540–1543.</w:t>
      </w:r>
    </w:p>
    <w:p w14:paraId="378499E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Mishra, A., </w:t>
      </w:r>
      <w:proofErr w:type="spellStart"/>
      <w:r w:rsidRPr="00AE1507">
        <w:rPr>
          <w:rFonts w:ascii="Times New Roman" w:eastAsia="Calibri" w:hAnsi="Times New Roman" w:cs="Times New Roman"/>
          <w:sz w:val="24"/>
          <w:szCs w:val="24"/>
          <w14:ligatures w14:val="standardContextual"/>
        </w:rPr>
        <w:t>Prusty</w:t>
      </w:r>
      <w:proofErr w:type="spellEnd"/>
      <w:r w:rsidRPr="00AE1507">
        <w:rPr>
          <w:rFonts w:ascii="Times New Roman" w:eastAsia="Calibri" w:hAnsi="Times New Roman" w:cs="Times New Roman"/>
          <w:sz w:val="24"/>
          <w:szCs w:val="24"/>
          <w14:ligatures w14:val="standardContextual"/>
        </w:rPr>
        <w:t>, A. K. and Tamang, A. M. (2023). A review on health benefits and nutritive value of vegetables. </w:t>
      </w:r>
      <w:r w:rsidRPr="00AE1507">
        <w:rPr>
          <w:rFonts w:ascii="Times New Roman" w:eastAsia="Calibri" w:hAnsi="Times New Roman" w:cs="Times New Roman"/>
          <w:i/>
          <w:iCs/>
          <w:sz w:val="24"/>
          <w:szCs w:val="24"/>
          <w14:ligatures w14:val="standardContextual"/>
        </w:rPr>
        <w:t xml:space="preserve">Plant Archives, </w:t>
      </w:r>
      <w:r w:rsidRPr="00AE1507">
        <w:rPr>
          <w:rFonts w:ascii="Times New Roman" w:eastAsia="Calibri" w:hAnsi="Times New Roman" w:cs="Times New Roman"/>
          <w:b/>
          <w:bCs/>
          <w:sz w:val="24"/>
          <w:szCs w:val="24"/>
          <w14:ligatures w14:val="standardContextual"/>
        </w:rPr>
        <w:t>23</w:t>
      </w:r>
      <w:r w:rsidRPr="00AE1507">
        <w:rPr>
          <w:rFonts w:ascii="Times New Roman" w:eastAsia="Calibri" w:hAnsi="Times New Roman" w:cs="Times New Roman"/>
          <w:sz w:val="24"/>
          <w:szCs w:val="24"/>
          <w14:ligatures w14:val="standardContextual"/>
        </w:rPr>
        <w:t>(1), 403–411.</w:t>
      </w:r>
    </w:p>
    <w:p w14:paraId="7511C8F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Moniruzzaman</w:t>
      </w:r>
      <w:proofErr w:type="spellEnd"/>
      <w:r w:rsidRPr="00AE1507">
        <w:rPr>
          <w:rFonts w:ascii="Times New Roman" w:eastAsia="Calibri" w:hAnsi="Times New Roman" w:cs="Times New Roman"/>
          <w:sz w:val="24"/>
          <w:szCs w:val="24"/>
          <w14:ligatures w14:val="standardContextual"/>
        </w:rPr>
        <w:t>, M., Khatoon, R. and Rahman, M. M. (2019). Effect of GA₃ and NAA on growth and yield of cabbage. </w:t>
      </w:r>
      <w:r w:rsidRPr="00AE1507">
        <w:rPr>
          <w:rFonts w:ascii="Times New Roman" w:eastAsia="Calibri" w:hAnsi="Times New Roman" w:cs="Times New Roman"/>
          <w:i/>
          <w:iCs/>
          <w:sz w:val="24"/>
          <w:szCs w:val="24"/>
          <w14:ligatures w14:val="standardContextual"/>
        </w:rPr>
        <w:t xml:space="preserve">Bangladesh Journal of Agricultural Research, </w:t>
      </w:r>
      <w:r w:rsidRPr="00AE1507">
        <w:rPr>
          <w:rFonts w:ascii="Times New Roman" w:eastAsia="Calibri" w:hAnsi="Times New Roman" w:cs="Times New Roman"/>
          <w:b/>
          <w:bCs/>
          <w:sz w:val="24"/>
          <w:szCs w:val="24"/>
          <w14:ligatures w14:val="standardContextual"/>
        </w:rPr>
        <w:t>44</w:t>
      </w:r>
      <w:r w:rsidRPr="00AE1507">
        <w:rPr>
          <w:rFonts w:ascii="Times New Roman" w:eastAsia="Calibri" w:hAnsi="Times New Roman" w:cs="Times New Roman"/>
          <w:sz w:val="24"/>
          <w:szCs w:val="24"/>
          <w14:ligatures w14:val="standardContextual"/>
        </w:rPr>
        <w:t>(2), 367–376.</w:t>
      </w:r>
    </w:p>
    <w:p w14:paraId="4657FB4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Neelam, J. K., Silas, V. J., Singh, A. and Goyal, A. K. (2023). Effect of foliar spray of GA₃ and NAA on growth, yield and quality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The Pharma Innovation Journal, </w:t>
      </w:r>
      <w:r w:rsidRPr="00AE1507">
        <w:rPr>
          <w:rFonts w:ascii="Times New Roman" w:eastAsia="Calibri" w:hAnsi="Times New Roman" w:cs="Times New Roman"/>
          <w:b/>
          <w:bCs/>
          <w:sz w:val="24"/>
          <w:szCs w:val="24"/>
          <w14:ligatures w14:val="standardContextual"/>
        </w:rPr>
        <w:t>12</w:t>
      </w:r>
      <w:r w:rsidRPr="00AE1507">
        <w:rPr>
          <w:rFonts w:ascii="Times New Roman" w:eastAsia="Calibri" w:hAnsi="Times New Roman" w:cs="Times New Roman"/>
          <w:sz w:val="24"/>
          <w:szCs w:val="24"/>
          <w14:ligatures w14:val="standardContextual"/>
        </w:rPr>
        <w:t>(7), 291–294.</w:t>
      </w:r>
    </w:p>
    <w:p w14:paraId="384FD8B1"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Nikzad, M., Kumar, J. S. A., Anjanappa, M., </w:t>
      </w:r>
      <w:proofErr w:type="spellStart"/>
      <w:r w:rsidRPr="00AE1507">
        <w:rPr>
          <w:rFonts w:ascii="Times New Roman" w:eastAsia="Calibri" w:hAnsi="Times New Roman" w:cs="Times New Roman"/>
          <w:sz w:val="24"/>
          <w:szCs w:val="24"/>
          <w14:ligatures w14:val="standardContextual"/>
        </w:rPr>
        <w:t>Amarananjundeswara</w:t>
      </w:r>
      <w:proofErr w:type="spellEnd"/>
      <w:r w:rsidRPr="00AE1507">
        <w:rPr>
          <w:rFonts w:ascii="Times New Roman" w:eastAsia="Calibri" w:hAnsi="Times New Roman" w:cs="Times New Roman"/>
          <w:sz w:val="24"/>
          <w:szCs w:val="24"/>
          <w14:ligatures w14:val="standardContextual"/>
        </w:rPr>
        <w:t>, H., Dhananjaya, B. N. and Basavaraj, G. (2020). Effect of fertigation, levels on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L.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9</w:t>
      </w:r>
      <w:r w:rsidRPr="00AE1507">
        <w:rPr>
          <w:rFonts w:ascii="Times New Roman" w:eastAsia="Calibri" w:hAnsi="Times New Roman" w:cs="Times New Roman"/>
          <w:sz w:val="24"/>
          <w:szCs w:val="24"/>
          <w14:ligatures w14:val="standardContextual"/>
        </w:rPr>
        <w:t>, 1240–1247.</w:t>
      </w:r>
    </w:p>
    <w:p w14:paraId="6A38C87A"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lastRenderedPageBreak/>
        <w:t>Painkra</w:t>
      </w:r>
      <w:proofErr w:type="spellEnd"/>
      <w:r w:rsidRPr="00AE1507">
        <w:rPr>
          <w:rFonts w:ascii="Times New Roman" w:eastAsia="Calibri" w:hAnsi="Times New Roman" w:cs="Times New Roman"/>
          <w:sz w:val="24"/>
          <w:szCs w:val="24"/>
          <w14:ligatures w14:val="standardContextual"/>
        </w:rPr>
        <w:t xml:space="preserve">, B., Shrivastava, L. K., Mishra, R. K., </w:t>
      </w:r>
      <w:proofErr w:type="spellStart"/>
      <w:r w:rsidRPr="00AE1507">
        <w:rPr>
          <w:rFonts w:ascii="Times New Roman" w:eastAsia="Calibri" w:hAnsi="Times New Roman" w:cs="Times New Roman"/>
          <w:sz w:val="24"/>
          <w:szCs w:val="24"/>
          <w14:ligatures w14:val="standardContextual"/>
        </w:rPr>
        <w:t>Banwasi</w:t>
      </w:r>
      <w:proofErr w:type="spellEnd"/>
      <w:r w:rsidRPr="00AE1507">
        <w:rPr>
          <w:rFonts w:ascii="Times New Roman" w:eastAsia="Calibri" w:hAnsi="Times New Roman" w:cs="Times New Roman"/>
          <w:sz w:val="24"/>
          <w:szCs w:val="24"/>
          <w14:ligatures w14:val="standardContextual"/>
        </w:rPr>
        <w:t xml:space="preserve">, and </w:t>
      </w:r>
      <w:proofErr w:type="spellStart"/>
      <w:r w:rsidRPr="00AE1507">
        <w:rPr>
          <w:rFonts w:ascii="Times New Roman" w:eastAsia="Calibri" w:hAnsi="Times New Roman" w:cs="Times New Roman"/>
          <w:sz w:val="24"/>
          <w:szCs w:val="24"/>
          <w14:ligatures w14:val="standardContextual"/>
        </w:rPr>
        <w:t>Gourav</w:t>
      </w:r>
      <w:proofErr w:type="spellEnd"/>
      <w:r w:rsidRPr="00AE1507">
        <w:rPr>
          <w:rFonts w:ascii="Times New Roman" w:eastAsia="Calibri" w:hAnsi="Times New Roman" w:cs="Times New Roman"/>
          <w:sz w:val="24"/>
          <w:szCs w:val="24"/>
          <w14:ligatures w14:val="standardContextual"/>
        </w:rPr>
        <w:t xml:space="preserve">, J. (2023). Yield and yield attributes of cabbage as affected by foliar application of micronutrients and growth regulators in </w:t>
      </w:r>
      <w:proofErr w:type="spellStart"/>
      <w:r w:rsidRPr="00AE1507">
        <w:rPr>
          <w:rFonts w:ascii="Times New Roman" w:eastAsia="Calibri" w:hAnsi="Times New Roman" w:cs="Times New Roman"/>
          <w:sz w:val="24"/>
          <w:szCs w:val="24"/>
          <w14:ligatures w14:val="standardContextual"/>
        </w:rPr>
        <w:t>vertisol</w:t>
      </w:r>
      <w:proofErr w:type="spellEnd"/>
      <w:r w:rsidRPr="00AE1507">
        <w:rPr>
          <w:rFonts w:ascii="Times New Roman" w:eastAsia="Calibri" w:hAnsi="Times New Roman" w:cs="Times New Roman"/>
          <w:sz w:val="24"/>
          <w:szCs w:val="24"/>
          <w14:ligatures w14:val="standardContextual"/>
        </w:rPr>
        <w:t xml:space="preserve"> of central plain of Chhattisgarh. </w:t>
      </w:r>
      <w:r w:rsidRPr="00AE1507">
        <w:rPr>
          <w:rFonts w:ascii="Times New Roman" w:eastAsia="Calibri" w:hAnsi="Times New Roman" w:cs="Times New Roman"/>
          <w:i/>
          <w:iCs/>
          <w:sz w:val="24"/>
          <w:szCs w:val="24"/>
          <w14:ligatures w14:val="standardContextual"/>
        </w:rPr>
        <w:t xml:space="preserve">International Journal of Statistics and Applied Mathematics,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(4), 37–42.</w:t>
      </w:r>
    </w:p>
    <w:p w14:paraId="1F6FE9C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Prakash, S., Singh, A., Bala, S. and Verma, S. K. (2023). Effect of plant growth regulators on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Ecology, Environment and Conservation, </w:t>
      </w:r>
      <w:r w:rsidRPr="00AE1507">
        <w:rPr>
          <w:rFonts w:ascii="Times New Roman" w:eastAsia="Calibri" w:hAnsi="Times New Roman" w:cs="Times New Roman"/>
          <w:b/>
          <w:bCs/>
          <w:sz w:val="24"/>
          <w:szCs w:val="24"/>
          <w14:ligatures w14:val="standardContextual"/>
        </w:rPr>
        <w:t>29</w:t>
      </w:r>
      <w:r w:rsidRPr="00AE1507">
        <w:rPr>
          <w:rFonts w:ascii="Times New Roman" w:eastAsia="Calibri" w:hAnsi="Times New Roman" w:cs="Times New Roman"/>
          <w:sz w:val="24"/>
          <w:szCs w:val="24"/>
          <w14:ligatures w14:val="standardContextual"/>
        </w:rPr>
        <w:t>(2), 817–820.</w:t>
      </w:r>
    </w:p>
    <w:p w14:paraId="236861FE"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Prashant, M., Aditi, C. Y., Madan, Y. N., Patil, N. and Thriveni, V. (2024). Production of gibberellic acid by Aspergillus </w:t>
      </w:r>
      <w:proofErr w:type="spellStart"/>
      <w:r w:rsidRPr="00AE1507">
        <w:rPr>
          <w:rFonts w:ascii="Times New Roman" w:eastAsia="Calibri" w:hAnsi="Times New Roman" w:cs="Times New Roman"/>
          <w:sz w:val="24"/>
          <w:szCs w:val="24"/>
          <w14:ligatures w14:val="standardContextual"/>
        </w:rPr>
        <w:t>niger</w:t>
      </w:r>
      <w:proofErr w:type="spellEnd"/>
      <w:r w:rsidRPr="00AE1507">
        <w:rPr>
          <w:rFonts w:ascii="Times New Roman" w:eastAsia="Calibri" w:hAnsi="Times New Roman" w:cs="Times New Roman"/>
          <w:sz w:val="24"/>
          <w:szCs w:val="24"/>
          <w14:ligatures w14:val="standardContextual"/>
        </w:rPr>
        <w:t>: A review. </w:t>
      </w:r>
      <w:r w:rsidRPr="00AE1507">
        <w:rPr>
          <w:rFonts w:ascii="Times New Roman" w:eastAsia="Calibri" w:hAnsi="Times New Roman" w:cs="Times New Roman"/>
          <w:i/>
          <w:iCs/>
          <w:sz w:val="24"/>
          <w:szCs w:val="24"/>
          <w14:ligatures w14:val="standardContextual"/>
        </w:rPr>
        <w:t xml:space="preserve">International Journal for Multidisciplinary Research, </w:t>
      </w:r>
      <w:r w:rsidRPr="00AE1507">
        <w:rPr>
          <w:rFonts w:ascii="Times New Roman" w:eastAsia="Calibri" w:hAnsi="Times New Roman" w:cs="Times New Roman"/>
          <w:b/>
          <w:bCs/>
          <w:sz w:val="24"/>
          <w:szCs w:val="24"/>
          <w14:ligatures w14:val="standardContextual"/>
        </w:rPr>
        <w:t>6</w:t>
      </w:r>
      <w:r w:rsidRPr="00AE1507">
        <w:rPr>
          <w:rFonts w:ascii="Times New Roman" w:eastAsia="Calibri" w:hAnsi="Times New Roman" w:cs="Times New Roman"/>
          <w:sz w:val="24"/>
          <w:szCs w:val="24"/>
          <w14:ligatures w14:val="standardContextual"/>
        </w:rPr>
        <w:t>(3), 21248.</w:t>
      </w:r>
    </w:p>
    <w:p w14:paraId="768419E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Ray, A. and Ray, R. (2022). The leafy greens of India–their diversity, pattern of consumption and overriding implication on food and nutrition security. </w:t>
      </w:r>
      <w:r w:rsidRPr="00AE1507">
        <w:rPr>
          <w:rFonts w:ascii="Times New Roman" w:eastAsia="Calibri" w:hAnsi="Times New Roman" w:cs="Times New Roman"/>
          <w:i/>
          <w:iCs/>
          <w:sz w:val="24"/>
          <w:szCs w:val="24"/>
          <w14:ligatures w14:val="standardContextual"/>
        </w:rPr>
        <w:t xml:space="preserve">Agroecology and Sustainable Food Systems, </w:t>
      </w:r>
      <w:r w:rsidRPr="00AE1507">
        <w:rPr>
          <w:rFonts w:ascii="Times New Roman" w:eastAsia="Calibri" w:hAnsi="Times New Roman" w:cs="Times New Roman"/>
          <w:b/>
          <w:bCs/>
          <w:sz w:val="24"/>
          <w:szCs w:val="24"/>
          <w14:ligatures w14:val="standardContextual"/>
        </w:rPr>
        <w:t>46</w:t>
      </w:r>
      <w:r w:rsidRPr="00AE1507">
        <w:rPr>
          <w:rFonts w:ascii="Times New Roman" w:eastAsia="Calibri" w:hAnsi="Times New Roman" w:cs="Times New Roman"/>
          <w:sz w:val="24"/>
          <w:szCs w:val="24"/>
          <w14:ligatures w14:val="standardContextual"/>
        </w:rPr>
        <w:t>(3), 432–451.</w:t>
      </w:r>
    </w:p>
    <w:p w14:paraId="44E36BF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Reza, M., Islam, M., Hoque, A., Sikder, R. K., Mehraj, H. and Uddin, A. F. M. J. (2015). Influence of different GA₃ concentrations on growth and yield of broccoli. </w:t>
      </w:r>
      <w:r w:rsidRPr="00AE1507">
        <w:rPr>
          <w:rFonts w:ascii="Times New Roman" w:eastAsia="Calibri" w:hAnsi="Times New Roman" w:cs="Times New Roman"/>
          <w:i/>
          <w:iCs/>
          <w:sz w:val="24"/>
          <w:szCs w:val="24"/>
          <w14:ligatures w14:val="standardContextual"/>
        </w:rPr>
        <w:t xml:space="preserve">American-Eurasian Journal of Scientific Research, </w:t>
      </w:r>
      <w:r w:rsidRPr="00AE1507">
        <w:rPr>
          <w:rFonts w:ascii="Times New Roman" w:eastAsia="Calibri" w:hAnsi="Times New Roman" w:cs="Times New Roman"/>
          <w:b/>
          <w:bCs/>
          <w:sz w:val="24"/>
          <w:szCs w:val="24"/>
          <w14:ligatures w14:val="standardContextual"/>
        </w:rPr>
        <w:t>10</w:t>
      </w:r>
      <w:r w:rsidRPr="00AE1507">
        <w:rPr>
          <w:rFonts w:ascii="Times New Roman" w:eastAsia="Calibri" w:hAnsi="Times New Roman" w:cs="Times New Roman"/>
          <w:sz w:val="24"/>
          <w:szCs w:val="24"/>
          <w14:ligatures w14:val="standardContextual"/>
        </w:rPr>
        <w:t>(5), 332–335.</w:t>
      </w:r>
    </w:p>
    <w:p w14:paraId="63B1DF0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Roy, R. and Nasiruddin, K. M. (2011). Effect of different level of GA₃ on growth and yield of cabbage. </w:t>
      </w:r>
      <w:r w:rsidRPr="00AE1507">
        <w:rPr>
          <w:rFonts w:ascii="Times New Roman" w:eastAsia="Calibri" w:hAnsi="Times New Roman" w:cs="Times New Roman"/>
          <w:i/>
          <w:iCs/>
          <w:sz w:val="24"/>
          <w:szCs w:val="24"/>
          <w14:ligatures w14:val="standardContextual"/>
        </w:rPr>
        <w:t xml:space="preserve">Journal of Environmental Science and Natural Resources, </w:t>
      </w:r>
      <w:r w:rsidRPr="00AE1507">
        <w:rPr>
          <w:rFonts w:ascii="Times New Roman" w:eastAsia="Calibri" w:hAnsi="Times New Roman" w:cs="Times New Roman"/>
          <w:b/>
          <w:bCs/>
          <w:sz w:val="24"/>
          <w:szCs w:val="24"/>
          <w14:ligatures w14:val="standardContextual"/>
        </w:rPr>
        <w:t>4</w:t>
      </w:r>
      <w:r w:rsidRPr="00AE1507">
        <w:rPr>
          <w:rFonts w:ascii="Times New Roman" w:eastAsia="Calibri" w:hAnsi="Times New Roman" w:cs="Times New Roman"/>
          <w:sz w:val="24"/>
          <w:szCs w:val="24"/>
          <w14:ligatures w14:val="standardContextual"/>
        </w:rPr>
        <w:t>(2), 79–82.</w:t>
      </w:r>
    </w:p>
    <w:p w14:paraId="39C6433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Siddeeg</w:t>
      </w:r>
      <w:proofErr w:type="spellEnd"/>
      <w:r w:rsidRPr="00AE1507">
        <w:rPr>
          <w:rFonts w:ascii="Times New Roman" w:eastAsia="Calibri" w:hAnsi="Times New Roman" w:cs="Times New Roman"/>
          <w:sz w:val="24"/>
          <w:szCs w:val="24"/>
          <w14:ligatures w14:val="standardContextual"/>
        </w:rPr>
        <w:t>, A., Afzaal, M., Saeed, F., Ali, R., Shah, Y. A., Shehzadi, U., Ateeq, H., Waris, N., Hussain, M., Raza, M. A. and Al-</w:t>
      </w:r>
      <w:proofErr w:type="spellStart"/>
      <w:r w:rsidRPr="00AE1507">
        <w:rPr>
          <w:rFonts w:ascii="Times New Roman" w:eastAsia="Calibri" w:hAnsi="Times New Roman" w:cs="Times New Roman"/>
          <w:sz w:val="24"/>
          <w:szCs w:val="24"/>
          <w14:ligatures w14:val="standardContextual"/>
        </w:rPr>
        <w:t>Farga</w:t>
      </w:r>
      <w:proofErr w:type="spellEnd"/>
      <w:r w:rsidRPr="00AE1507">
        <w:rPr>
          <w:rFonts w:ascii="Times New Roman" w:eastAsia="Calibri" w:hAnsi="Times New Roman" w:cs="Times New Roman"/>
          <w:sz w:val="24"/>
          <w:szCs w:val="24"/>
          <w14:ligatures w14:val="standardContextual"/>
        </w:rPr>
        <w:t>, A. (2022). Recent updates and perspectives of fermented healthy super food sauerkraut: A review. </w:t>
      </w:r>
      <w:r w:rsidRPr="00AE1507">
        <w:rPr>
          <w:rFonts w:ascii="Times New Roman" w:eastAsia="Calibri" w:hAnsi="Times New Roman" w:cs="Times New Roman"/>
          <w:i/>
          <w:iCs/>
          <w:sz w:val="24"/>
          <w:szCs w:val="24"/>
          <w14:ligatures w14:val="standardContextual"/>
        </w:rPr>
        <w:t xml:space="preserve">International Journal of Food Properties, </w:t>
      </w:r>
      <w:r w:rsidRPr="00AE1507">
        <w:rPr>
          <w:rFonts w:ascii="Times New Roman" w:eastAsia="Calibri" w:hAnsi="Times New Roman" w:cs="Times New Roman"/>
          <w:b/>
          <w:bCs/>
          <w:sz w:val="24"/>
          <w:szCs w:val="24"/>
          <w14:ligatures w14:val="standardContextual"/>
        </w:rPr>
        <w:t>25</w:t>
      </w:r>
      <w:r w:rsidRPr="00AE1507">
        <w:rPr>
          <w:rFonts w:ascii="Times New Roman" w:eastAsia="Calibri" w:hAnsi="Times New Roman" w:cs="Times New Roman"/>
          <w:sz w:val="24"/>
          <w:szCs w:val="24"/>
          <w14:ligatures w14:val="standardContextual"/>
        </w:rPr>
        <w:t>(1), 2320–2331.</w:t>
      </w:r>
    </w:p>
    <w:p w14:paraId="060DAB37" w14:textId="5F000F13"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Singh, L., </w:t>
      </w:r>
      <w:proofErr w:type="spellStart"/>
      <w:r w:rsidRPr="00AE1507">
        <w:rPr>
          <w:rFonts w:ascii="Times New Roman" w:eastAsia="Calibri" w:hAnsi="Times New Roman" w:cs="Times New Roman"/>
          <w:sz w:val="24"/>
          <w:szCs w:val="24"/>
          <w14:ligatures w14:val="standardContextual"/>
        </w:rPr>
        <w:t>Barholia</w:t>
      </w:r>
      <w:proofErr w:type="spellEnd"/>
      <w:r w:rsidRPr="00AE1507">
        <w:rPr>
          <w:rFonts w:ascii="Times New Roman" w:eastAsia="Calibri" w:hAnsi="Times New Roman" w:cs="Times New Roman"/>
          <w:sz w:val="24"/>
          <w:szCs w:val="24"/>
          <w14:ligatures w14:val="standardContextual"/>
        </w:rPr>
        <w:t xml:space="preserve">, A. K., Bajpai, R., </w:t>
      </w:r>
      <w:proofErr w:type="spellStart"/>
      <w:r w:rsidRPr="00AE1507">
        <w:rPr>
          <w:rFonts w:ascii="Times New Roman" w:eastAsia="Calibri" w:hAnsi="Times New Roman" w:cs="Times New Roman"/>
          <w:sz w:val="24"/>
          <w:szCs w:val="24"/>
          <w14:ligatures w14:val="standardContextual"/>
        </w:rPr>
        <w:t>Bhadauria</w:t>
      </w:r>
      <w:proofErr w:type="spellEnd"/>
      <w:r w:rsidRPr="00AE1507">
        <w:rPr>
          <w:rFonts w:ascii="Times New Roman" w:eastAsia="Calibri" w:hAnsi="Times New Roman" w:cs="Times New Roman"/>
          <w:sz w:val="24"/>
          <w:szCs w:val="24"/>
          <w14:ligatures w14:val="standardContextual"/>
        </w:rPr>
        <w:t>, N. S. and Singh, V. B. (2019). Response of kharif onion (</w:t>
      </w:r>
      <w:r w:rsidRPr="00AE1507">
        <w:rPr>
          <w:rFonts w:ascii="Times New Roman" w:eastAsia="Calibri" w:hAnsi="Times New Roman" w:cs="Times New Roman"/>
          <w:i/>
          <w:iCs/>
          <w:sz w:val="24"/>
          <w:szCs w:val="24"/>
          <w14:ligatures w14:val="standardContextual"/>
        </w:rPr>
        <w:t>Allium cepa</w:t>
      </w:r>
      <w:r w:rsidRPr="00AE1507">
        <w:rPr>
          <w:rFonts w:ascii="Times New Roman" w:eastAsia="Calibri" w:hAnsi="Times New Roman" w:cs="Times New Roman"/>
          <w:sz w:val="24"/>
          <w:szCs w:val="24"/>
          <w14:ligatures w14:val="standardContextual"/>
        </w:rPr>
        <w:t xml:space="preserve"> L.) for growth and yield to different doses of sulphur, GA₃ and NAA.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(1), 2362–2372.</w:t>
      </w:r>
    </w:p>
    <w:p w14:paraId="556E17B9" w14:textId="0BC5F2CB"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Verma, S., Upadhyay, A., Kumari, M., Kumar, A., Kumar, A., Kumar, S., Sharma, S. and </w:t>
      </w:r>
      <w:proofErr w:type="spellStart"/>
      <w:r w:rsidRPr="00AE1507">
        <w:rPr>
          <w:rFonts w:ascii="Times New Roman" w:eastAsia="Calibri" w:hAnsi="Times New Roman" w:cs="Times New Roman"/>
          <w:sz w:val="24"/>
          <w:szCs w:val="24"/>
          <w14:ligatures w14:val="standardContextual"/>
        </w:rPr>
        <w:t>Tandle</w:t>
      </w:r>
      <w:proofErr w:type="spellEnd"/>
      <w:r w:rsidRPr="00AE1507">
        <w:rPr>
          <w:rFonts w:ascii="Times New Roman" w:eastAsia="Calibri" w:hAnsi="Times New Roman" w:cs="Times New Roman"/>
          <w:sz w:val="24"/>
          <w:szCs w:val="24"/>
          <w14:ligatures w14:val="standardContextual"/>
        </w:rPr>
        <w:t>, S. S. (2024). Role of plant growth regulators in improving vegetable crop productivity: A review. </w:t>
      </w:r>
      <w:r w:rsidRPr="00AE1507">
        <w:rPr>
          <w:rFonts w:ascii="Times New Roman" w:eastAsia="Calibri" w:hAnsi="Times New Roman" w:cs="Times New Roman"/>
          <w:i/>
          <w:iCs/>
          <w:sz w:val="24"/>
          <w:szCs w:val="24"/>
          <w14:ligatures w14:val="standardContextual"/>
        </w:rPr>
        <w:t xml:space="preserve">Journal of Scientific Research and Reports, </w:t>
      </w:r>
      <w:r w:rsidRPr="00AE1507">
        <w:rPr>
          <w:rFonts w:ascii="Times New Roman" w:eastAsia="Calibri" w:hAnsi="Times New Roman" w:cs="Times New Roman"/>
          <w:b/>
          <w:bCs/>
          <w:sz w:val="24"/>
          <w:szCs w:val="24"/>
          <w14:ligatures w14:val="standardContextual"/>
        </w:rPr>
        <w:t>30</w:t>
      </w:r>
      <w:r w:rsidRPr="00AE1507">
        <w:rPr>
          <w:rFonts w:ascii="Times New Roman" w:eastAsia="Calibri" w:hAnsi="Times New Roman" w:cs="Times New Roman"/>
          <w:sz w:val="24"/>
          <w:szCs w:val="24"/>
          <w14:ligatures w14:val="standardContextual"/>
        </w:rPr>
        <w:t>(12), 681–697.</w:t>
      </w:r>
    </w:p>
    <w:p w14:paraId="2384529C" w14:textId="26E3B999" w:rsidR="006F67D4" w:rsidRPr="00821430" w:rsidRDefault="006F67D4" w:rsidP="006F67D4">
      <w:pPr>
        <w:spacing w:after="120" w:line="276" w:lineRule="auto"/>
        <w:ind w:left="360"/>
        <w:jc w:val="both"/>
        <w:rPr>
          <w:rFonts w:ascii="Times New Roman" w:eastAsia="Calibri" w:hAnsi="Times New Roman" w:cs="Times New Roman"/>
          <w:sz w:val="24"/>
          <w:szCs w:val="24"/>
          <w14:ligatures w14:val="standardContextual"/>
        </w:rPr>
      </w:pPr>
    </w:p>
    <w:p w14:paraId="2A8934BF" w14:textId="77777777" w:rsidR="00A26F1C" w:rsidRPr="00821430" w:rsidRDefault="00A26F1C" w:rsidP="00767797">
      <w:pPr>
        <w:jc w:val="both"/>
        <w:rPr>
          <w:rFonts w:ascii="Times New Roman" w:hAnsi="Times New Roman" w:cs="Times New Roman"/>
          <w:sz w:val="24"/>
          <w:szCs w:val="24"/>
        </w:rPr>
      </w:pPr>
    </w:p>
    <w:sectPr w:rsidR="00A26F1C" w:rsidRPr="008214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363F" w14:textId="77777777" w:rsidR="00F65C95" w:rsidRDefault="00F65C95" w:rsidP="0048489D">
      <w:pPr>
        <w:spacing w:after="0" w:line="240" w:lineRule="auto"/>
      </w:pPr>
      <w:r>
        <w:separator/>
      </w:r>
    </w:p>
  </w:endnote>
  <w:endnote w:type="continuationSeparator" w:id="0">
    <w:p w14:paraId="2020FD62" w14:textId="77777777" w:rsidR="00F65C95" w:rsidRDefault="00F65C95" w:rsidP="0048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DAE1" w14:textId="77777777" w:rsidR="00332DC2" w:rsidRDefault="0033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70EF" w14:textId="77777777" w:rsidR="00332DC2" w:rsidRDefault="00332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7FE4" w14:textId="77777777" w:rsidR="00332DC2" w:rsidRDefault="0033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0D99C" w14:textId="77777777" w:rsidR="00F65C95" w:rsidRDefault="00F65C95" w:rsidP="0048489D">
      <w:pPr>
        <w:spacing w:after="0" w:line="240" w:lineRule="auto"/>
      </w:pPr>
      <w:r>
        <w:separator/>
      </w:r>
    </w:p>
  </w:footnote>
  <w:footnote w:type="continuationSeparator" w:id="0">
    <w:p w14:paraId="535D922D" w14:textId="77777777" w:rsidR="00F65C95" w:rsidRDefault="00F65C95" w:rsidP="0048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F6A1" w14:textId="37961A02" w:rsidR="00332DC2" w:rsidRDefault="00F65C95">
    <w:pPr>
      <w:pStyle w:val="Header"/>
    </w:pPr>
    <w:r>
      <w:rPr>
        <w:noProof/>
      </w:rPr>
      <w:pict w14:anchorId="676C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B101" w14:textId="22A72E74" w:rsidR="00332DC2" w:rsidRDefault="00F65C95">
    <w:pPr>
      <w:pStyle w:val="Header"/>
    </w:pPr>
    <w:r>
      <w:rPr>
        <w:noProof/>
      </w:rPr>
      <w:pict w14:anchorId="3FAE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884B" w14:textId="60733D58" w:rsidR="00332DC2" w:rsidRDefault="00F65C95">
    <w:pPr>
      <w:pStyle w:val="Header"/>
    </w:pPr>
    <w:r>
      <w:rPr>
        <w:noProof/>
      </w:rPr>
      <w:pict w14:anchorId="5105A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37FE"/>
    <w:multiLevelType w:val="hybridMultilevel"/>
    <w:tmpl w:val="7C8A343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56CA5"/>
    <w:multiLevelType w:val="hybridMultilevel"/>
    <w:tmpl w:val="64AC7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C63D3B"/>
    <w:multiLevelType w:val="hybridMultilevel"/>
    <w:tmpl w:val="290AAB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0F7DA0"/>
    <w:multiLevelType w:val="hybridMultilevel"/>
    <w:tmpl w:val="87FAE1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72F0F44"/>
    <w:multiLevelType w:val="multilevel"/>
    <w:tmpl w:val="55A03BCE"/>
    <w:lvl w:ilvl="0">
      <w:start w:val="1"/>
      <w:numFmt w:val="decimal"/>
      <w:lvlText w:val="%1."/>
      <w:lvlJc w:val="left"/>
      <w:pPr>
        <w:ind w:left="1440" w:hanging="360"/>
      </w:pPr>
      <w:rPr>
        <w:b/>
        <w:bCs/>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NjEwMwGyDMwMjJR0lIJTi4sz8/NACgxrAV50QJosAAAA"/>
  </w:docVars>
  <w:rsids>
    <w:rsidRoot w:val="00380A00"/>
    <w:rsid w:val="00020DEB"/>
    <w:rsid w:val="00023657"/>
    <w:rsid w:val="000254BA"/>
    <w:rsid w:val="0002623D"/>
    <w:rsid w:val="000323E6"/>
    <w:rsid w:val="00051B57"/>
    <w:rsid w:val="000606D9"/>
    <w:rsid w:val="0006159E"/>
    <w:rsid w:val="000736DC"/>
    <w:rsid w:val="00082F9C"/>
    <w:rsid w:val="00093048"/>
    <w:rsid w:val="00093D25"/>
    <w:rsid w:val="000A607C"/>
    <w:rsid w:val="000B0A67"/>
    <w:rsid w:val="000C2215"/>
    <w:rsid w:val="000D55BF"/>
    <w:rsid w:val="00101005"/>
    <w:rsid w:val="0011282B"/>
    <w:rsid w:val="00112CB4"/>
    <w:rsid w:val="001219B6"/>
    <w:rsid w:val="00123851"/>
    <w:rsid w:val="00131DF3"/>
    <w:rsid w:val="00144CC1"/>
    <w:rsid w:val="0016533D"/>
    <w:rsid w:val="0016668F"/>
    <w:rsid w:val="001709D6"/>
    <w:rsid w:val="00174C98"/>
    <w:rsid w:val="0018176E"/>
    <w:rsid w:val="00186EFE"/>
    <w:rsid w:val="001900B9"/>
    <w:rsid w:val="0019256E"/>
    <w:rsid w:val="001974CB"/>
    <w:rsid w:val="001B12A5"/>
    <w:rsid w:val="001B1512"/>
    <w:rsid w:val="001D2498"/>
    <w:rsid w:val="001E1F36"/>
    <w:rsid w:val="001E2833"/>
    <w:rsid w:val="001E3BFB"/>
    <w:rsid w:val="001F051A"/>
    <w:rsid w:val="001F511B"/>
    <w:rsid w:val="001F5FC1"/>
    <w:rsid w:val="00202157"/>
    <w:rsid w:val="002113B2"/>
    <w:rsid w:val="00211799"/>
    <w:rsid w:val="0021565F"/>
    <w:rsid w:val="00216F99"/>
    <w:rsid w:val="002229D6"/>
    <w:rsid w:val="00222CE7"/>
    <w:rsid w:val="0022570B"/>
    <w:rsid w:val="00225F80"/>
    <w:rsid w:val="0022617D"/>
    <w:rsid w:val="00226ABB"/>
    <w:rsid w:val="00230F7F"/>
    <w:rsid w:val="00235481"/>
    <w:rsid w:val="002400FD"/>
    <w:rsid w:val="00256DB1"/>
    <w:rsid w:val="00260398"/>
    <w:rsid w:val="00263D74"/>
    <w:rsid w:val="00273B00"/>
    <w:rsid w:val="0027599B"/>
    <w:rsid w:val="0028441C"/>
    <w:rsid w:val="0028603A"/>
    <w:rsid w:val="0029609B"/>
    <w:rsid w:val="002A1D29"/>
    <w:rsid w:val="002D477E"/>
    <w:rsid w:val="002E3F0D"/>
    <w:rsid w:val="002E6878"/>
    <w:rsid w:val="002F1451"/>
    <w:rsid w:val="002F1985"/>
    <w:rsid w:val="00300CEE"/>
    <w:rsid w:val="00313AB4"/>
    <w:rsid w:val="00313F3C"/>
    <w:rsid w:val="003264FC"/>
    <w:rsid w:val="003307E0"/>
    <w:rsid w:val="00332DC2"/>
    <w:rsid w:val="00347EF5"/>
    <w:rsid w:val="00350290"/>
    <w:rsid w:val="00351841"/>
    <w:rsid w:val="003609C7"/>
    <w:rsid w:val="00380A00"/>
    <w:rsid w:val="0038219A"/>
    <w:rsid w:val="003954D1"/>
    <w:rsid w:val="003A48E2"/>
    <w:rsid w:val="003B66E0"/>
    <w:rsid w:val="003D052F"/>
    <w:rsid w:val="003F62E3"/>
    <w:rsid w:val="00402856"/>
    <w:rsid w:val="004066FF"/>
    <w:rsid w:val="0042212E"/>
    <w:rsid w:val="00426A85"/>
    <w:rsid w:val="00426C00"/>
    <w:rsid w:val="0043179B"/>
    <w:rsid w:val="00442677"/>
    <w:rsid w:val="004465CF"/>
    <w:rsid w:val="004511F7"/>
    <w:rsid w:val="00457350"/>
    <w:rsid w:val="00470A13"/>
    <w:rsid w:val="00470F18"/>
    <w:rsid w:val="00471E9B"/>
    <w:rsid w:val="00474D08"/>
    <w:rsid w:val="0048489D"/>
    <w:rsid w:val="004A1768"/>
    <w:rsid w:val="004A33B5"/>
    <w:rsid w:val="004A59F6"/>
    <w:rsid w:val="004B5E6D"/>
    <w:rsid w:val="004C0B43"/>
    <w:rsid w:val="004C3B8A"/>
    <w:rsid w:val="004D1325"/>
    <w:rsid w:val="004D2DFD"/>
    <w:rsid w:val="004D7972"/>
    <w:rsid w:val="004E16B2"/>
    <w:rsid w:val="004E1E00"/>
    <w:rsid w:val="004F106B"/>
    <w:rsid w:val="004F4999"/>
    <w:rsid w:val="005043F4"/>
    <w:rsid w:val="00504BDD"/>
    <w:rsid w:val="00513175"/>
    <w:rsid w:val="00515FA0"/>
    <w:rsid w:val="005215E9"/>
    <w:rsid w:val="00522878"/>
    <w:rsid w:val="005228D1"/>
    <w:rsid w:val="00526808"/>
    <w:rsid w:val="0052778E"/>
    <w:rsid w:val="00540F6D"/>
    <w:rsid w:val="00545844"/>
    <w:rsid w:val="00547D42"/>
    <w:rsid w:val="005644D7"/>
    <w:rsid w:val="00566C47"/>
    <w:rsid w:val="005702C5"/>
    <w:rsid w:val="00583479"/>
    <w:rsid w:val="00584F75"/>
    <w:rsid w:val="005854E9"/>
    <w:rsid w:val="005917F1"/>
    <w:rsid w:val="005A2AA1"/>
    <w:rsid w:val="005A6D6B"/>
    <w:rsid w:val="005B4B61"/>
    <w:rsid w:val="005C0336"/>
    <w:rsid w:val="005C7112"/>
    <w:rsid w:val="005E015F"/>
    <w:rsid w:val="005E6984"/>
    <w:rsid w:val="005E6C89"/>
    <w:rsid w:val="005F5445"/>
    <w:rsid w:val="00602083"/>
    <w:rsid w:val="00603484"/>
    <w:rsid w:val="0060411C"/>
    <w:rsid w:val="00610BD3"/>
    <w:rsid w:val="00623489"/>
    <w:rsid w:val="00630B67"/>
    <w:rsid w:val="00637846"/>
    <w:rsid w:val="006520E9"/>
    <w:rsid w:val="00652D0B"/>
    <w:rsid w:val="006561F7"/>
    <w:rsid w:val="00667266"/>
    <w:rsid w:val="00671E45"/>
    <w:rsid w:val="00677DF3"/>
    <w:rsid w:val="00681A22"/>
    <w:rsid w:val="006831B2"/>
    <w:rsid w:val="006A5C16"/>
    <w:rsid w:val="006B3C55"/>
    <w:rsid w:val="006E33E1"/>
    <w:rsid w:val="006E5FD2"/>
    <w:rsid w:val="006E6219"/>
    <w:rsid w:val="006F124F"/>
    <w:rsid w:val="006F3988"/>
    <w:rsid w:val="006F67D4"/>
    <w:rsid w:val="00705467"/>
    <w:rsid w:val="007138CD"/>
    <w:rsid w:val="0073400E"/>
    <w:rsid w:val="00742F14"/>
    <w:rsid w:val="00753B5B"/>
    <w:rsid w:val="00757F66"/>
    <w:rsid w:val="00767797"/>
    <w:rsid w:val="0077424F"/>
    <w:rsid w:val="007936CB"/>
    <w:rsid w:val="0079572A"/>
    <w:rsid w:val="00796AED"/>
    <w:rsid w:val="007A55B4"/>
    <w:rsid w:val="007C0399"/>
    <w:rsid w:val="007C43EB"/>
    <w:rsid w:val="007D3902"/>
    <w:rsid w:val="007D58CE"/>
    <w:rsid w:val="007E1A87"/>
    <w:rsid w:val="007F4F61"/>
    <w:rsid w:val="0081306F"/>
    <w:rsid w:val="00821430"/>
    <w:rsid w:val="0082295D"/>
    <w:rsid w:val="00822BD8"/>
    <w:rsid w:val="00830135"/>
    <w:rsid w:val="0084334C"/>
    <w:rsid w:val="00852D20"/>
    <w:rsid w:val="008531BA"/>
    <w:rsid w:val="00867E1B"/>
    <w:rsid w:val="008708A7"/>
    <w:rsid w:val="00877564"/>
    <w:rsid w:val="00886869"/>
    <w:rsid w:val="008906E0"/>
    <w:rsid w:val="0089635C"/>
    <w:rsid w:val="008A14CF"/>
    <w:rsid w:val="008A33B8"/>
    <w:rsid w:val="008A58D5"/>
    <w:rsid w:val="008B2F7E"/>
    <w:rsid w:val="008B3F19"/>
    <w:rsid w:val="008B5D64"/>
    <w:rsid w:val="008C2516"/>
    <w:rsid w:val="008E3799"/>
    <w:rsid w:val="008E6983"/>
    <w:rsid w:val="009305A8"/>
    <w:rsid w:val="00942B61"/>
    <w:rsid w:val="00952CBC"/>
    <w:rsid w:val="009568A3"/>
    <w:rsid w:val="00956E00"/>
    <w:rsid w:val="009573BE"/>
    <w:rsid w:val="00964D14"/>
    <w:rsid w:val="009719BD"/>
    <w:rsid w:val="009722C9"/>
    <w:rsid w:val="00973C9A"/>
    <w:rsid w:val="009742BA"/>
    <w:rsid w:val="009805D2"/>
    <w:rsid w:val="00985359"/>
    <w:rsid w:val="0098783D"/>
    <w:rsid w:val="0099095E"/>
    <w:rsid w:val="00990F80"/>
    <w:rsid w:val="009A577E"/>
    <w:rsid w:val="009A7FA7"/>
    <w:rsid w:val="009B3B16"/>
    <w:rsid w:val="009B426D"/>
    <w:rsid w:val="009B4C6E"/>
    <w:rsid w:val="009B6521"/>
    <w:rsid w:val="009B6C97"/>
    <w:rsid w:val="009C495D"/>
    <w:rsid w:val="009C75D7"/>
    <w:rsid w:val="009E77C2"/>
    <w:rsid w:val="009F30F0"/>
    <w:rsid w:val="00A11836"/>
    <w:rsid w:val="00A14635"/>
    <w:rsid w:val="00A165D8"/>
    <w:rsid w:val="00A23A11"/>
    <w:rsid w:val="00A24423"/>
    <w:rsid w:val="00A26F1C"/>
    <w:rsid w:val="00A35C78"/>
    <w:rsid w:val="00A443D4"/>
    <w:rsid w:val="00A46BF2"/>
    <w:rsid w:val="00A556E6"/>
    <w:rsid w:val="00A74803"/>
    <w:rsid w:val="00A77D13"/>
    <w:rsid w:val="00A83397"/>
    <w:rsid w:val="00A850D4"/>
    <w:rsid w:val="00A9279D"/>
    <w:rsid w:val="00A932BA"/>
    <w:rsid w:val="00AC5AA3"/>
    <w:rsid w:val="00AE1507"/>
    <w:rsid w:val="00AE5E9E"/>
    <w:rsid w:val="00AF2DF2"/>
    <w:rsid w:val="00AF2F99"/>
    <w:rsid w:val="00AF4E27"/>
    <w:rsid w:val="00B007E2"/>
    <w:rsid w:val="00B2095B"/>
    <w:rsid w:val="00B23D15"/>
    <w:rsid w:val="00B24911"/>
    <w:rsid w:val="00B307B0"/>
    <w:rsid w:val="00B52769"/>
    <w:rsid w:val="00B63BA0"/>
    <w:rsid w:val="00B77B0E"/>
    <w:rsid w:val="00B80851"/>
    <w:rsid w:val="00B83482"/>
    <w:rsid w:val="00B83AC1"/>
    <w:rsid w:val="00B9629C"/>
    <w:rsid w:val="00BA1D85"/>
    <w:rsid w:val="00BA5315"/>
    <w:rsid w:val="00BA6A7B"/>
    <w:rsid w:val="00BB2B17"/>
    <w:rsid w:val="00BC37C1"/>
    <w:rsid w:val="00BC564C"/>
    <w:rsid w:val="00BC5AA2"/>
    <w:rsid w:val="00BC6473"/>
    <w:rsid w:val="00BC6DCD"/>
    <w:rsid w:val="00BE15F8"/>
    <w:rsid w:val="00BE1712"/>
    <w:rsid w:val="00BE2CB5"/>
    <w:rsid w:val="00BF42FC"/>
    <w:rsid w:val="00C138A8"/>
    <w:rsid w:val="00C313F4"/>
    <w:rsid w:val="00C37B00"/>
    <w:rsid w:val="00C45E61"/>
    <w:rsid w:val="00C46E09"/>
    <w:rsid w:val="00C60AD3"/>
    <w:rsid w:val="00C64323"/>
    <w:rsid w:val="00C741BB"/>
    <w:rsid w:val="00C8066C"/>
    <w:rsid w:val="00C97BA8"/>
    <w:rsid w:val="00CA027C"/>
    <w:rsid w:val="00CA15B8"/>
    <w:rsid w:val="00CB0455"/>
    <w:rsid w:val="00CB4E29"/>
    <w:rsid w:val="00CD392B"/>
    <w:rsid w:val="00CD3F04"/>
    <w:rsid w:val="00CD6871"/>
    <w:rsid w:val="00CD7C48"/>
    <w:rsid w:val="00CE0DA8"/>
    <w:rsid w:val="00D03E4C"/>
    <w:rsid w:val="00D12097"/>
    <w:rsid w:val="00D234DB"/>
    <w:rsid w:val="00D254F8"/>
    <w:rsid w:val="00D370B4"/>
    <w:rsid w:val="00D458E9"/>
    <w:rsid w:val="00D64A78"/>
    <w:rsid w:val="00D765A9"/>
    <w:rsid w:val="00D80AFE"/>
    <w:rsid w:val="00D84BC9"/>
    <w:rsid w:val="00D859BD"/>
    <w:rsid w:val="00D930D5"/>
    <w:rsid w:val="00DA1C00"/>
    <w:rsid w:val="00DB1B29"/>
    <w:rsid w:val="00DB3E13"/>
    <w:rsid w:val="00DD2F94"/>
    <w:rsid w:val="00DE4278"/>
    <w:rsid w:val="00DE47E8"/>
    <w:rsid w:val="00DF3F01"/>
    <w:rsid w:val="00E0059C"/>
    <w:rsid w:val="00E02F49"/>
    <w:rsid w:val="00E040EC"/>
    <w:rsid w:val="00E12130"/>
    <w:rsid w:val="00E30267"/>
    <w:rsid w:val="00E32705"/>
    <w:rsid w:val="00E33F76"/>
    <w:rsid w:val="00E345C8"/>
    <w:rsid w:val="00E5052F"/>
    <w:rsid w:val="00E646F4"/>
    <w:rsid w:val="00EA2DB3"/>
    <w:rsid w:val="00EA6CAD"/>
    <w:rsid w:val="00EB0195"/>
    <w:rsid w:val="00EB0599"/>
    <w:rsid w:val="00EC047E"/>
    <w:rsid w:val="00ED0391"/>
    <w:rsid w:val="00ED13E3"/>
    <w:rsid w:val="00ED5110"/>
    <w:rsid w:val="00ED564C"/>
    <w:rsid w:val="00ED6D12"/>
    <w:rsid w:val="00EE53E3"/>
    <w:rsid w:val="00EE7A9B"/>
    <w:rsid w:val="00EF676A"/>
    <w:rsid w:val="00F0385F"/>
    <w:rsid w:val="00F16373"/>
    <w:rsid w:val="00F177E6"/>
    <w:rsid w:val="00F36FA1"/>
    <w:rsid w:val="00F52BE4"/>
    <w:rsid w:val="00F55DC9"/>
    <w:rsid w:val="00F61AC6"/>
    <w:rsid w:val="00F65C95"/>
    <w:rsid w:val="00F96347"/>
    <w:rsid w:val="00F97798"/>
    <w:rsid w:val="00FA23FD"/>
    <w:rsid w:val="00FB5599"/>
    <w:rsid w:val="00FC084D"/>
    <w:rsid w:val="00FC0AC7"/>
    <w:rsid w:val="00FD27F2"/>
    <w:rsid w:val="00FE2F0F"/>
    <w:rsid w:val="00FE65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13A6AC"/>
  <w15:chartTrackingRefBased/>
  <w15:docId w15:val="{3CD25912-03A5-485E-A724-D0EB70C7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A00"/>
  </w:style>
  <w:style w:type="paragraph" w:styleId="Heading1">
    <w:name w:val="heading 1"/>
    <w:basedOn w:val="Normal"/>
    <w:next w:val="Normal"/>
    <w:link w:val="Heading1Char"/>
    <w:uiPriority w:val="9"/>
    <w:qFormat/>
    <w:rsid w:val="00380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A00"/>
    <w:rPr>
      <w:rFonts w:eastAsiaTheme="majorEastAsia" w:cstheme="majorBidi"/>
      <w:color w:val="272727" w:themeColor="text1" w:themeTint="D8"/>
    </w:rPr>
  </w:style>
  <w:style w:type="paragraph" w:styleId="Title">
    <w:name w:val="Title"/>
    <w:basedOn w:val="Normal"/>
    <w:next w:val="Normal"/>
    <w:link w:val="TitleChar"/>
    <w:uiPriority w:val="10"/>
    <w:qFormat/>
    <w:rsid w:val="0038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A00"/>
    <w:pPr>
      <w:spacing w:before="160"/>
      <w:jc w:val="center"/>
    </w:pPr>
    <w:rPr>
      <w:i/>
      <w:iCs/>
      <w:color w:val="404040" w:themeColor="text1" w:themeTint="BF"/>
    </w:rPr>
  </w:style>
  <w:style w:type="character" w:customStyle="1" w:styleId="QuoteChar">
    <w:name w:val="Quote Char"/>
    <w:basedOn w:val="DefaultParagraphFont"/>
    <w:link w:val="Quote"/>
    <w:uiPriority w:val="29"/>
    <w:rsid w:val="00380A00"/>
    <w:rPr>
      <w:i/>
      <w:iCs/>
      <w:color w:val="404040" w:themeColor="text1" w:themeTint="BF"/>
    </w:rPr>
  </w:style>
  <w:style w:type="paragraph" w:styleId="ListParagraph">
    <w:name w:val="List Paragraph"/>
    <w:basedOn w:val="Normal"/>
    <w:uiPriority w:val="34"/>
    <w:qFormat/>
    <w:rsid w:val="00380A00"/>
    <w:pPr>
      <w:ind w:left="720"/>
      <w:contextualSpacing/>
    </w:pPr>
  </w:style>
  <w:style w:type="character" w:styleId="IntenseEmphasis">
    <w:name w:val="Intense Emphasis"/>
    <w:basedOn w:val="DefaultParagraphFont"/>
    <w:uiPriority w:val="21"/>
    <w:qFormat/>
    <w:rsid w:val="00380A00"/>
    <w:rPr>
      <w:i/>
      <w:iCs/>
      <w:color w:val="2F5496" w:themeColor="accent1" w:themeShade="BF"/>
    </w:rPr>
  </w:style>
  <w:style w:type="paragraph" w:styleId="IntenseQuote">
    <w:name w:val="Intense Quote"/>
    <w:basedOn w:val="Normal"/>
    <w:next w:val="Normal"/>
    <w:link w:val="IntenseQuoteChar"/>
    <w:uiPriority w:val="30"/>
    <w:qFormat/>
    <w:rsid w:val="00380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A00"/>
    <w:rPr>
      <w:i/>
      <w:iCs/>
      <w:color w:val="2F5496" w:themeColor="accent1" w:themeShade="BF"/>
    </w:rPr>
  </w:style>
  <w:style w:type="character" w:styleId="IntenseReference">
    <w:name w:val="Intense Reference"/>
    <w:basedOn w:val="DefaultParagraphFont"/>
    <w:uiPriority w:val="32"/>
    <w:qFormat/>
    <w:rsid w:val="00380A00"/>
    <w:rPr>
      <w:b/>
      <w:bCs/>
      <w:smallCaps/>
      <w:color w:val="2F5496" w:themeColor="accent1" w:themeShade="BF"/>
      <w:spacing w:val="5"/>
    </w:rPr>
  </w:style>
  <w:style w:type="table" w:styleId="TableGrid">
    <w:name w:val="Table Grid"/>
    <w:basedOn w:val="TableNormal"/>
    <w:uiPriority w:val="39"/>
    <w:rsid w:val="00186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89D"/>
  </w:style>
  <w:style w:type="paragraph" w:styleId="Footer">
    <w:name w:val="footer"/>
    <w:basedOn w:val="Normal"/>
    <w:link w:val="FooterChar"/>
    <w:uiPriority w:val="99"/>
    <w:unhideWhenUsed/>
    <w:rsid w:val="00484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89D"/>
  </w:style>
  <w:style w:type="paragraph" w:styleId="NormalWeb">
    <w:name w:val="Normal (Web)"/>
    <w:basedOn w:val="Normal"/>
    <w:uiPriority w:val="99"/>
    <w:semiHidden/>
    <w:unhideWhenUsed/>
    <w:rsid w:val="00A26F1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2E6878"/>
    <w:rPr>
      <w:color w:val="0563C1" w:themeColor="hyperlink"/>
      <w:u w:val="single"/>
    </w:rPr>
  </w:style>
  <w:style w:type="character" w:styleId="UnresolvedMention">
    <w:name w:val="Unresolved Mention"/>
    <w:basedOn w:val="DefaultParagraphFont"/>
    <w:uiPriority w:val="99"/>
    <w:semiHidden/>
    <w:unhideWhenUsed/>
    <w:rsid w:val="002E6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Yogendra%20revised%20data%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Yogendra%20revised%20data%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navneet%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3506737807895"/>
          <c:y val="0.14738874571351279"/>
          <c:w val="0.87666493262192102"/>
          <c:h val="0.5019740923662056"/>
        </c:manualLayout>
      </c:layout>
      <c:lineChart>
        <c:grouping val="stacked"/>
        <c:varyColors val="0"/>
        <c:ser>
          <c:idx val="0"/>
          <c:order val="0"/>
          <c:tx>
            <c:strRef>
              <c:f>'Number of wrapped leaves'!$D$51</c:f>
              <c:strCache>
                <c:ptCount val="1"/>
                <c:pt idx="0">
                  <c:v>Plant Height (60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leaves'!$D$52:$D$60</c:f>
              <c:numCache>
                <c:formatCode>General</c:formatCode>
                <c:ptCount val="9"/>
                <c:pt idx="0">
                  <c:v>26.15</c:v>
                </c:pt>
                <c:pt idx="1">
                  <c:v>28.8</c:v>
                </c:pt>
                <c:pt idx="2">
                  <c:v>26.9</c:v>
                </c:pt>
                <c:pt idx="3">
                  <c:v>26.79</c:v>
                </c:pt>
                <c:pt idx="4">
                  <c:v>25.98</c:v>
                </c:pt>
                <c:pt idx="5">
                  <c:v>28.24</c:v>
                </c:pt>
                <c:pt idx="6">
                  <c:v>26.88</c:v>
                </c:pt>
                <c:pt idx="7">
                  <c:v>25.27</c:v>
                </c:pt>
                <c:pt idx="8">
                  <c:v>21.43</c:v>
                </c:pt>
              </c:numCache>
            </c:numRef>
          </c:val>
          <c:smooth val="0"/>
          <c:extLst>
            <c:ext xmlns:c16="http://schemas.microsoft.com/office/drawing/2014/chart" uri="{C3380CC4-5D6E-409C-BE32-E72D297353CC}">
              <c16:uniqueId val="{00000000-745D-4034-9EDC-50589F91333D}"/>
            </c:ext>
          </c:extLst>
        </c:ser>
        <c:ser>
          <c:idx val="1"/>
          <c:order val="1"/>
          <c:tx>
            <c:strRef>
              <c:f>'Number of wrapped leaves'!$E$51</c:f>
              <c:strCache>
                <c:ptCount val="1"/>
                <c:pt idx="0">
                  <c:v>Plant Height (At Harvest)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leaves'!$E$52:$E$60</c:f>
              <c:numCache>
                <c:formatCode>General</c:formatCode>
                <c:ptCount val="9"/>
                <c:pt idx="0">
                  <c:v>32.11</c:v>
                </c:pt>
                <c:pt idx="1">
                  <c:v>35.880000000000003</c:v>
                </c:pt>
                <c:pt idx="2">
                  <c:v>32.659999999999997</c:v>
                </c:pt>
                <c:pt idx="3">
                  <c:v>32.270000000000003</c:v>
                </c:pt>
                <c:pt idx="4">
                  <c:v>32.090000000000003</c:v>
                </c:pt>
                <c:pt idx="5">
                  <c:v>34.93</c:v>
                </c:pt>
                <c:pt idx="6">
                  <c:v>32.39</c:v>
                </c:pt>
                <c:pt idx="7">
                  <c:v>31.86</c:v>
                </c:pt>
                <c:pt idx="8">
                  <c:v>26.39</c:v>
                </c:pt>
              </c:numCache>
            </c:numRef>
          </c:val>
          <c:smooth val="0"/>
          <c:extLst>
            <c:ext xmlns:c16="http://schemas.microsoft.com/office/drawing/2014/chart" uri="{C3380CC4-5D6E-409C-BE32-E72D297353CC}">
              <c16:uniqueId val="{00000001-745D-4034-9EDC-50589F91333D}"/>
            </c:ext>
          </c:extLst>
        </c:ser>
        <c:ser>
          <c:idx val="2"/>
          <c:order val="2"/>
          <c:tx>
            <c:strRef>
              <c:f>'Number of wrapped leaves'!$F$51</c:f>
              <c:strCache>
                <c:ptCount val="1"/>
                <c:pt idx="0">
                  <c:v>Plant Spread (60 DAT)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leaves'!$F$52:$F$60</c:f>
              <c:numCache>
                <c:formatCode>General</c:formatCode>
                <c:ptCount val="9"/>
                <c:pt idx="0">
                  <c:v>47.47</c:v>
                </c:pt>
                <c:pt idx="1">
                  <c:v>50.03</c:v>
                </c:pt>
                <c:pt idx="2">
                  <c:v>48.37</c:v>
                </c:pt>
                <c:pt idx="3">
                  <c:v>47.56</c:v>
                </c:pt>
                <c:pt idx="4">
                  <c:v>47.27</c:v>
                </c:pt>
                <c:pt idx="5">
                  <c:v>49.92</c:v>
                </c:pt>
                <c:pt idx="6">
                  <c:v>48.32</c:v>
                </c:pt>
                <c:pt idx="7">
                  <c:v>46.94</c:v>
                </c:pt>
                <c:pt idx="8">
                  <c:v>36.979999999999997</c:v>
                </c:pt>
              </c:numCache>
            </c:numRef>
          </c:val>
          <c:smooth val="0"/>
          <c:extLst>
            <c:ext xmlns:c16="http://schemas.microsoft.com/office/drawing/2014/chart" uri="{C3380CC4-5D6E-409C-BE32-E72D297353CC}">
              <c16:uniqueId val="{00000002-745D-4034-9EDC-50589F91333D}"/>
            </c:ext>
          </c:extLst>
        </c:ser>
        <c:ser>
          <c:idx val="3"/>
          <c:order val="3"/>
          <c:tx>
            <c:strRef>
              <c:f>'Number of wrapped leaves'!$G$51</c:f>
              <c:strCache>
                <c:ptCount val="1"/>
                <c:pt idx="0">
                  <c:v>Plant Spread (At Harvest)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leaves'!$G$52:$G$60</c:f>
              <c:numCache>
                <c:formatCode>General</c:formatCode>
                <c:ptCount val="9"/>
                <c:pt idx="0">
                  <c:v>50.38</c:v>
                </c:pt>
                <c:pt idx="1">
                  <c:v>53.78</c:v>
                </c:pt>
                <c:pt idx="2">
                  <c:v>52.8</c:v>
                </c:pt>
                <c:pt idx="3">
                  <c:v>51.08</c:v>
                </c:pt>
                <c:pt idx="4">
                  <c:v>50.28</c:v>
                </c:pt>
                <c:pt idx="5">
                  <c:v>53.6</c:v>
                </c:pt>
                <c:pt idx="6">
                  <c:v>52.17</c:v>
                </c:pt>
                <c:pt idx="7">
                  <c:v>49.24</c:v>
                </c:pt>
                <c:pt idx="8">
                  <c:v>40.6</c:v>
                </c:pt>
              </c:numCache>
            </c:numRef>
          </c:val>
          <c:smooth val="0"/>
          <c:extLst>
            <c:ext xmlns:c16="http://schemas.microsoft.com/office/drawing/2014/chart" uri="{C3380CC4-5D6E-409C-BE32-E72D297353CC}">
              <c16:uniqueId val="{00000003-745D-4034-9EDC-50589F91333D}"/>
            </c:ext>
          </c:extLst>
        </c:ser>
        <c:ser>
          <c:idx val="4"/>
          <c:order val="4"/>
          <c:tx>
            <c:strRef>
              <c:f>'Number of wrapped leaves'!$H$51</c:f>
              <c:strCache>
                <c:ptCount val="1"/>
                <c:pt idx="0">
                  <c:v>Leaf length (At harvest)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leaves'!$H$52:$H$60</c:f>
              <c:numCache>
                <c:formatCode>General</c:formatCode>
                <c:ptCount val="9"/>
                <c:pt idx="0">
                  <c:v>26.68</c:v>
                </c:pt>
                <c:pt idx="1">
                  <c:v>29.68</c:v>
                </c:pt>
                <c:pt idx="2">
                  <c:v>29.12</c:v>
                </c:pt>
                <c:pt idx="3">
                  <c:v>27.74</c:v>
                </c:pt>
                <c:pt idx="4">
                  <c:v>26.41</c:v>
                </c:pt>
                <c:pt idx="5">
                  <c:v>29.29</c:v>
                </c:pt>
                <c:pt idx="6">
                  <c:v>28.16</c:v>
                </c:pt>
                <c:pt idx="7">
                  <c:v>26.02</c:v>
                </c:pt>
                <c:pt idx="8">
                  <c:v>22.99</c:v>
                </c:pt>
              </c:numCache>
            </c:numRef>
          </c:val>
          <c:smooth val="0"/>
          <c:extLst>
            <c:ext xmlns:c16="http://schemas.microsoft.com/office/drawing/2014/chart" uri="{C3380CC4-5D6E-409C-BE32-E72D297353CC}">
              <c16:uniqueId val="{00000004-745D-4034-9EDC-50589F91333D}"/>
            </c:ext>
          </c:extLst>
        </c:ser>
        <c:dLbls>
          <c:showLegendKey val="0"/>
          <c:showVal val="0"/>
          <c:showCatName val="0"/>
          <c:showSerName val="0"/>
          <c:showPercent val="0"/>
          <c:showBubbleSize val="0"/>
        </c:dLbls>
        <c:marker val="1"/>
        <c:smooth val="0"/>
        <c:axId val="721207919"/>
        <c:axId val="721196399"/>
      </c:lineChart>
      <c:catAx>
        <c:axId val="721207919"/>
        <c:scaling>
          <c:orientation val="minMax"/>
        </c:scaling>
        <c:delete val="0"/>
        <c:axPos val="b"/>
        <c:title>
          <c:tx>
            <c:rich>
              <a:bodyPr rot="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crossAx val="721196399"/>
        <c:crosses val="autoZero"/>
        <c:auto val="1"/>
        <c:lblAlgn val="ctr"/>
        <c:lblOffset val="100"/>
        <c:noMultiLvlLbl val="0"/>
      </c:catAx>
      <c:valAx>
        <c:axId val="72119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r>
                  <a:rPr lang="en-IN"/>
                  <a:t>Values</a:t>
                </a:r>
              </a:p>
            </c:rich>
          </c:tx>
          <c:overlay val="0"/>
          <c:spPr>
            <a:noFill/>
            <a:ln>
              <a:noFill/>
            </a:ln>
            <a:effectLst/>
          </c:spPr>
          <c:txPr>
            <a:bodyPr rot="-540000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crossAx val="721207919"/>
        <c:crosses val="autoZero"/>
        <c:crossBetween val="between"/>
      </c:valAx>
      <c:spPr>
        <a:noFill/>
        <a:ln>
          <a:noFill/>
        </a:ln>
        <a:effectLst/>
      </c:spPr>
    </c:plotArea>
    <c:legend>
      <c:legendPos val="b"/>
      <c:layout>
        <c:manualLayout>
          <c:xMode val="edge"/>
          <c:yMode val="edge"/>
          <c:x val="1.4976154615055656E-2"/>
          <c:y val="0.88262193021121715"/>
          <c:w val="0.98388373366162163"/>
          <c:h val="0.10348725161959282"/>
        </c:manualLayout>
      </c:layout>
      <c:overlay val="0"/>
      <c:spPr>
        <a:noFill/>
        <a:ln>
          <a:noFill/>
        </a:ln>
        <a:effectLst/>
      </c:spPr>
      <c:txPr>
        <a:bodyPr rot="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cap="rnd">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09084487925676E-2"/>
          <c:y val="0.13857649915934989"/>
          <c:w val="0.88699874985360483"/>
          <c:h val="0.48664800516598977"/>
        </c:manualLayout>
      </c:layout>
      <c:lineChart>
        <c:grouping val="standard"/>
        <c:varyColors val="0"/>
        <c:ser>
          <c:idx val="0"/>
          <c:order val="0"/>
          <c:tx>
            <c:strRef>
              <c:f>'Number of non wrapped leaves'!$L$17</c:f>
              <c:strCache>
                <c:ptCount val="1"/>
                <c:pt idx="0">
                  <c:v>Leaf width (At harvest)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leaves'!$L$18:$L$27</c:f>
              <c:numCache>
                <c:formatCode>General</c:formatCode>
                <c:ptCount val="10"/>
                <c:pt idx="1">
                  <c:v>26.99</c:v>
                </c:pt>
                <c:pt idx="2">
                  <c:v>29.16</c:v>
                </c:pt>
                <c:pt idx="3">
                  <c:v>27.19</c:v>
                </c:pt>
                <c:pt idx="4">
                  <c:v>27.05</c:v>
                </c:pt>
                <c:pt idx="5">
                  <c:v>26.75</c:v>
                </c:pt>
                <c:pt idx="6">
                  <c:v>28.41</c:v>
                </c:pt>
                <c:pt idx="7">
                  <c:v>27.12</c:v>
                </c:pt>
                <c:pt idx="8">
                  <c:v>26.57</c:v>
                </c:pt>
                <c:pt idx="9">
                  <c:v>22.92</c:v>
                </c:pt>
              </c:numCache>
            </c:numRef>
          </c:val>
          <c:smooth val="0"/>
          <c:extLst>
            <c:ext xmlns:c16="http://schemas.microsoft.com/office/drawing/2014/chart" uri="{C3380CC4-5D6E-409C-BE32-E72D297353CC}">
              <c16:uniqueId val="{00000000-E4C5-4ECD-BD2B-A1A991EFE4F1}"/>
            </c:ext>
          </c:extLst>
        </c:ser>
        <c:ser>
          <c:idx val="1"/>
          <c:order val="1"/>
          <c:tx>
            <c:strRef>
              <c:f>'Number of non wrapped leaves'!$M$17</c:f>
              <c:strCache>
                <c:ptCount val="1"/>
                <c:pt idx="0">
                  <c:v>Number of wrapped leaves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leaves'!$M$18:$M$27</c:f>
              <c:numCache>
                <c:formatCode>General</c:formatCode>
                <c:ptCount val="10"/>
                <c:pt idx="1">
                  <c:v>46.89</c:v>
                </c:pt>
                <c:pt idx="2">
                  <c:v>52.08</c:v>
                </c:pt>
                <c:pt idx="3">
                  <c:v>49.23</c:v>
                </c:pt>
                <c:pt idx="4">
                  <c:v>47.27</c:v>
                </c:pt>
                <c:pt idx="5">
                  <c:v>46.63</c:v>
                </c:pt>
                <c:pt idx="6">
                  <c:v>51.53</c:v>
                </c:pt>
                <c:pt idx="7">
                  <c:v>48.83</c:v>
                </c:pt>
                <c:pt idx="8">
                  <c:v>46.27</c:v>
                </c:pt>
                <c:pt idx="9">
                  <c:v>39.270000000000003</c:v>
                </c:pt>
              </c:numCache>
            </c:numRef>
          </c:val>
          <c:smooth val="0"/>
          <c:extLst>
            <c:ext xmlns:c16="http://schemas.microsoft.com/office/drawing/2014/chart" uri="{C3380CC4-5D6E-409C-BE32-E72D297353CC}">
              <c16:uniqueId val="{00000001-E4C5-4ECD-BD2B-A1A991EFE4F1}"/>
            </c:ext>
          </c:extLst>
        </c:ser>
        <c:ser>
          <c:idx val="2"/>
          <c:order val="2"/>
          <c:tx>
            <c:strRef>
              <c:f>'Number of non wrapped leaves'!$N$17</c:f>
              <c:strCache>
                <c:ptCount val="1"/>
                <c:pt idx="0">
                  <c:v>Number of non- wrapped leaves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leaves'!$N$18:$N$27</c:f>
              <c:numCache>
                <c:formatCode>General</c:formatCode>
                <c:ptCount val="10"/>
                <c:pt idx="1">
                  <c:v>15.78</c:v>
                </c:pt>
                <c:pt idx="2">
                  <c:v>12.26</c:v>
                </c:pt>
                <c:pt idx="3">
                  <c:v>14.41</c:v>
                </c:pt>
                <c:pt idx="4">
                  <c:v>15.43</c:v>
                </c:pt>
                <c:pt idx="5">
                  <c:v>16.55</c:v>
                </c:pt>
                <c:pt idx="6">
                  <c:v>12.99</c:v>
                </c:pt>
                <c:pt idx="7">
                  <c:v>14.78</c:v>
                </c:pt>
                <c:pt idx="8">
                  <c:v>15.82</c:v>
                </c:pt>
                <c:pt idx="9">
                  <c:v>19.43</c:v>
                </c:pt>
              </c:numCache>
            </c:numRef>
          </c:val>
          <c:smooth val="0"/>
          <c:extLst>
            <c:ext xmlns:c16="http://schemas.microsoft.com/office/drawing/2014/chart" uri="{C3380CC4-5D6E-409C-BE32-E72D297353CC}">
              <c16:uniqueId val="{00000002-E4C5-4ECD-BD2B-A1A991EFE4F1}"/>
            </c:ext>
          </c:extLst>
        </c:ser>
        <c:ser>
          <c:idx val="3"/>
          <c:order val="3"/>
          <c:tx>
            <c:strRef>
              <c:f>'Number of non wrapped leaves'!$O$17</c:f>
              <c:strCache>
                <c:ptCount val="1"/>
                <c:pt idx="0">
                  <c:v>Chlorophyll content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leaves'!$O$18:$O$27</c:f>
              <c:numCache>
                <c:formatCode>General</c:formatCode>
                <c:ptCount val="10"/>
                <c:pt idx="0">
                  <c:v>0</c:v>
                </c:pt>
                <c:pt idx="1">
                  <c:v>64.95</c:v>
                </c:pt>
                <c:pt idx="2">
                  <c:v>70.13</c:v>
                </c:pt>
                <c:pt idx="3">
                  <c:v>64.55</c:v>
                </c:pt>
                <c:pt idx="4">
                  <c:v>59.95</c:v>
                </c:pt>
                <c:pt idx="5">
                  <c:v>62.53</c:v>
                </c:pt>
                <c:pt idx="6">
                  <c:v>68.349999999999994</c:v>
                </c:pt>
                <c:pt idx="7">
                  <c:v>64.44</c:v>
                </c:pt>
                <c:pt idx="8">
                  <c:v>57.83</c:v>
                </c:pt>
                <c:pt idx="9">
                  <c:v>56</c:v>
                </c:pt>
              </c:numCache>
            </c:numRef>
          </c:val>
          <c:smooth val="0"/>
          <c:extLst>
            <c:ext xmlns:c16="http://schemas.microsoft.com/office/drawing/2014/chart" uri="{C3380CC4-5D6E-409C-BE32-E72D297353CC}">
              <c16:uniqueId val="{00000003-E4C5-4ECD-BD2B-A1A991EFE4F1}"/>
            </c:ext>
          </c:extLst>
        </c:ser>
        <c:ser>
          <c:idx val="4"/>
          <c:order val="4"/>
          <c:tx>
            <c:strRef>
              <c:f>'Number of non wrapped leaves'!$P$17</c:f>
              <c:strCache>
                <c:ptCount val="1"/>
                <c:pt idx="0">
                  <c:v>Ascorbic acid (mg/100 g FW)</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leaves'!$P$18:$P$27</c:f>
              <c:numCache>
                <c:formatCode>General</c:formatCode>
                <c:ptCount val="10"/>
                <c:pt idx="1">
                  <c:v>32.06</c:v>
                </c:pt>
                <c:pt idx="2">
                  <c:v>34.22</c:v>
                </c:pt>
                <c:pt idx="3">
                  <c:v>33.07</c:v>
                </c:pt>
                <c:pt idx="4">
                  <c:v>32.08</c:v>
                </c:pt>
                <c:pt idx="5">
                  <c:v>31.62</c:v>
                </c:pt>
                <c:pt idx="6">
                  <c:v>33.369999999999997</c:v>
                </c:pt>
                <c:pt idx="7">
                  <c:v>32.33</c:v>
                </c:pt>
                <c:pt idx="8">
                  <c:v>31.5</c:v>
                </c:pt>
                <c:pt idx="9">
                  <c:v>30.2</c:v>
                </c:pt>
              </c:numCache>
            </c:numRef>
          </c:val>
          <c:smooth val="0"/>
          <c:extLst>
            <c:ext xmlns:c16="http://schemas.microsoft.com/office/drawing/2014/chart" uri="{C3380CC4-5D6E-409C-BE32-E72D297353CC}">
              <c16:uniqueId val="{00000004-E4C5-4ECD-BD2B-A1A991EFE4F1}"/>
            </c:ext>
          </c:extLst>
        </c:ser>
        <c:ser>
          <c:idx val="5"/>
          <c:order val="5"/>
          <c:tx>
            <c:strRef>
              <c:f>'Number of non wrapped leaves'!$Q$17</c:f>
              <c:strCache>
                <c:ptCount val="1"/>
                <c:pt idx="0">
                  <c:v>Yield/plot (kg)</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leaves'!$Q$18:$Q$27</c:f>
              <c:numCache>
                <c:formatCode>General</c:formatCode>
                <c:ptCount val="10"/>
                <c:pt idx="1">
                  <c:v>24.16</c:v>
                </c:pt>
                <c:pt idx="2">
                  <c:v>27.29</c:v>
                </c:pt>
                <c:pt idx="3">
                  <c:v>25.97</c:v>
                </c:pt>
                <c:pt idx="4">
                  <c:v>24.69</c:v>
                </c:pt>
                <c:pt idx="5">
                  <c:v>23.01</c:v>
                </c:pt>
                <c:pt idx="6">
                  <c:v>26.86</c:v>
                </c:pt>
                <c:pt idx="7">
                  <c:v>25.19</c:v>
                </c:pt>
                <c:pt idx="8">
                  <c:v>21.49</c:v>
                </c:pt>
                <c:pt idx="9">
                  <c:v>17.11</c:v>
                </c:pt>
              </c:numCache>
            </c:numRef>
          </c:val>
          <c:smooth val="0"/>
          <c:extLst>
            <c:ext xmlns:c16="http://schemas.microsoft.com/office/drawing/2014/chart" uri="{C3380CC4-5D6E-409C-BE32-E72D297353CC}">
              <c16:uniqueId val="{00000005-E4C5-4ECD-BD2B-A1A991EFE4F1}"/>
            </c:ext>
          </c:extLst>
        </c:ser>
        <c:dLbls>
          <c:showLegendKey val="0"/>
          <c:showVal val="0"/>
          <c:showCatName val="0"/>
          <c:showSerName val="0"/>
          <c:showPercent val="0"/>
          <c:showBubbleSize val="0"/>
        </c:dLbls>
        <c:marker val="1"/>
        <c:smooth val="0"/>
        <c:axId val="838749951"/>
        <c:axId val="838751871"/>
      </c:lineChart>
      <c:catAx>
        <c:axId val="838749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751871"/>
        <c:crosses val="autoZero"/>
        <c:auto val="1"/>
        <c:lblAlgn val="ctr"/>
        <c:lblOffset val="100"/>
        <c:noMultiLvlLbl val="0"/>
      </c:catAx>
      <c:valAx>
        <c:axId val="838751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749951"/>
        <c:crosses val="autoZero"/>
        <c:crossBetween val="between"/>
      </c:valAx>
      <c:spPr>
        <a:noFill/>
        <a:ln>
          <a:noFill/>
        </a:ln>
        <a:effectLst/>
      </c:spPr>
    </c:plotArea>
    <c:legend>
      <c:legendPos val="b"/>
      <c:layout>
        <c:manualLayout>
          <c:xMode val="edge"/>
          <c:yMode val="edge"/>
          <c:x val="2.6864256979984017E-2"/>
          <c:y val="0.78961615847695799"/>
          <c:w val="0.93374732516788916"/>
          <c:h val="0.181418501659732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02364317608778"/>
          <c:y val="0.13770187488397995"/>
          <c:w val="0.83737886129618411"/>
          <c:h val="0.5535467412367846"/>
        </c:manualLayout>
      </c:layout>
      <c:lineChart>
        <c:grouping val="standard"/>
        <c:varyColors val="0"/>
        <c:ser>
          <c:idx val="0"/>
          <c:order val="0"/>
          <c:tx>
            <c:strRef>
              <c:f>Sheet18!$Y$8</c:f>
              <c:strCache>
                <c:ptCount val="1"/>
                <c:pt idx="0">
                  <c:v>Head volume (cm3)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Sheet18!$Y$9:$Y$17</c:f>
              <c:numCache>
                <c:formatCode>#,##0.00</c:formatCode>
                <c:ptCount val="9"/>
                <c:pt idx="0">
                  <c:v>1800</c:v>
                </c:pt>
                <c:pt idx="1">
                  <c:v>1886.67</c:v>
                </c:pt>
                <c:pt idx="2">
                  <c:v>1830</c:v>
                </c:pt>
                <c:pt idx="3">
                  <c:v>1806.67</c:v>
                </c:pt>
                <c:pt idx="4">
                  <c:v>1760</c:v>
                </c:pt>
                <c:pt idx="5">
                  <c:v>1866.67</c:v>
                </c:pt>
                <c:pt idx="6">
                  <c:v>1826.67</c:v>
                </c:pt>
                <c:pt idx="7">
                  <c:v>1756.67</c:v>
                </c:pt>
                <c:pt idx="8">
                  <c:v>1560</c:v>
                </c:pt>
              </c:numCache>
            </c:numRef>
          </c:val>
          <c:smooth val="0"/>
          <c:extLst>
            <c:ext xmlns:c16="http://schemas.microsoft.com/office/drawing/2014/chart" uri="{C3380CC4-5D6E-409C-BE32-E72D297353CC}">
              <c16:uniqueId val="{00000000-496D-4C62-973D-B60A14C1E6F1}"/>
            </c:ext>
          </c:extLst>
        </c:ser>
        <c:ser>
          <c:idx val="1"/>
          <c:order val="1"/>
          <c:tx>
            <c:strRef>
              <c:f>Sheet18!$Z$8</c:f>
              <c:strCache>
                <c:ptCount val="1"/>
                <c:pt idx="0">
                  <c:v>Net head weight (g)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Sheet18!$Z$9:$Z$17</c:f>
              <c:numCache>
                <c:formatCode>General</c:formatCode>
                <c:ptCount val="9"/>
                <c:pt idx="0">
                  <c:v>966.38</c:v>
                </c:pt>
                <c:pt idx="1">
                  <c:v>1091.69</c:v>
                </c:pt>
                <c:pt idx="2">
                  <c:v>1038.6300000000001</c:v>
                </c:pt>
                <c:pt idx="3">
                  <c:v>987.67</c:v>
                </c:pt>
                <c:pt idx="4">
                  <c:v>920.42</c:v>
                </c:pt>
                <c:pt idx="5">
                  <c:v>1074.29</c:v>
                </c:pt>
                <c:pt idx="6">
                  <c:v>1007.52</c:v>
                </c:pt>
                <c:pt idx="7">
                  <c:v>859.61</c:v>
                </c:pt>
                <c:pt idx="8">
                  <c:v>647.62</c:v>
                </c:pt>
              </c:numCache>
            </c:numRef>
          </c:val>
          <c:smooth val="0"/>
          <c:extLst>
            <c:ext xmlns:c16="http://schemas.microsoft.com/office/drawing/2014/chart" uri="{C3380CC4-5D6E-409C-BE32-E72D297353CC}">
              <c16:uniqueId val="{00000001-496D-4C62-973D-B60A14C1E6F1}"/>
            </c:ext>
          </c:extLst>
        </c:ser>
        <c:ser>
          <c:idx val="2"/>
          <c:order val="2"/>
          <c:tx>
            <c:strRef>
              <c:f>Sheet18!$AA$8</c:f>
              <c:strCache>
                <c:ptCount val="1"/>
                <c:pt idx="0">
                  <c:v>Total plant weight (g)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Sheet18!$AA$9:$AA$17</c:f>
              <c:numCache>
                <c:formatCode>#,##0.00</c:formatCode>
                <c:ptCount val="9"/>
                <c:pt idx="0">
                  <c:v>1560.67</c:v>
                </c:pt>
                <c:pt idx="1">
                  <c:v>1730.69</c:v>
                </c:pt>
                <c:pt idx="2">
                  <c:v>1684.29</c:v>
                </c:pt>
                <c:pt idx="3">
                  <c:v>1629.38</c:v>
                </c:pt>
                <c:pt idx="4">
                  <c:v>1551.61</c:v>
                </c:pt>
                <c:pt idx="5">
                  <c:v>1721.52</c:v>
                </c:pt>
                <c:pt idx="6">
                  <c:v>1650.63</c:v>
                </c:pt>
                <c:pt idx="7">
                  <c:v>1551.42</c:v>
                </c:pt>
                <c:pt idx="8">
                  <c:v>1284.93</c:v>
                </c:pt>
              </c:numCache>
            </c:numRef>
          </c:val>
          <c:smooth val="0"/>
          <c:extLst>
            <c:ext xmlns:c16="http://schemas.microsoft.com/office/drawing/2014/chart" uri="{C3380CC4-5D6E-409C-BE32-E72D297353CC}">
              <c16:uniqueId val="{00000002-496D-4C62-973D-B60A14C1E6F1}"/>
            </c:ext>
          </c:extLst>
        </c:ser>
        <c:ser>
          <c:idx val="3"/>
          <c:order val="3"/>
          <c:tx>
            <c:strRef>
              <c:f>Sheet18!$AB$8</c:f>
              <c:strCache>
                <c:ptCount val="1"/>
                <c:pt idx="0">
                  <c:v>Yield/hactare (t)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Sheet18!$AB$9:$AB$17</c:f>
              <c:numCache>
                <c:formatCode>General</c:formatCode>
                <c:ptCount val="9"/>
                <c:pt idx="0">
                  <c:v>357.92</c:v>
                </c:pt>
                <c:pt idx="1">
                  <c:v>404.33</c:v>
                </c:pt>
                <c:pt idx="2">
                  <c:v>384.67</c:v>
                </c:pt>
                <c:pt idx="3">
                  <c:v>365.8</c:v>
                </c:pt>
                <c:pt idx="4">
                  <c:v>340.9</c:v>
                </c:pt>
                <c:pt idx="5">
                  <c:v>397.88</c:v>
                </c:pt>
                <c:pt idx="6">
                  <c:v>373.16</c:v>
                </c:pt>
                <c:pt idx="7">
                  <c:v>318.37</c:v>
                </c:pt>
                <c:pt idx="8">
                  <c:v>253.43</c:v>
                </c:pt>
              </c:numCache>
            </c:numRef>
          </c:val>
          <c:smooth val="0"/>
          <c:extLst>
            <c:ext xmlns:c16="http://schemas.microsoft.com/office/drawing/2014/chart" uri="{C3380CC4-5D6E-409C-BE32-E72D297353CC}">
              <c16:uniqueId val="{00000003-496D-4C62-973D-B60A14C1E6F1}"/>
            </c:ext>
          </c:extLst>
        </c:ser>
        <c:dLbls>
          <c:showLegendKey val="0"/>
          <c:showVal val="0"/>
          <c:showCatName val="0"/>
          <c:showSerName val="0"/>
          <c:showPercent val="0"/>
          <c:showBubbleSize val="0"/>
        </c:dLbls>
        <c:marker val="1"/>
        <c:smooth val="0"/>
        <c:axId val="503030832"/>
        <c:axId val="503027952"/>
      </c:lineChart>
      <c:catAx>
        <c:axId val="50303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27952"/>
        <c:crosses val="autoZero"/>
        <c:auto val="1"/>
        <c:lblAlgn val="ctr"/>
        <c:lblOffset val="100"/>
        <c:noMultiLvlLbl val="0"/>
      </c:catAx>
      <c:valAx>
        <c:axId val="50302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30832"/>
        <c:crosses val="autoZero"/>
        <c:crossBetween val="between"/>
      </c:valAx>
      <c:spPr>
        <a:noFill/>
        <a:ln>
          <a:noFill/>
        </a:ln>
        <a:effectLst/>
      </c:spPr>
    </c:plotArea>
    <c:legend>
      <c:legendPos val="b"/>
      <c:layout>
        <c:manualLayout>
          <c:xMode val="edge"/>
          <c:yMode val="edge"/>
          <c:x val="6.6304024496937883E-2"/>
          <c:y val="0.85364363412866873"/>
          <c:w val="0.81975229952248818"/>
          <c:h val="0.123398646338138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Kumar Rajpoot</dc:creator>
  <cp:keywords/>
  <dc:description/>
  <cp:lastModifiedBy>SDI 1183</cp:lastModifiedBy>
  <cp:revision>141</cp:revision>
  <dcterms:created xsi:type="dcterms:W3CDTF">2025-08-06T10:32:00Z</dcterms:created>
  <dcterms:modified xsi:type="dcterms:W3CDTF">2025-08-14T08:03:00Z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16deb4af-dfe1-4871-a36f-56243f47053d</vt:lpwstr>
  </property>
</Properties>
</file>