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8E3B4" w14:textId="77777777" w:rsidR="00B16E85" w:rsidRPr="007D1D36" w:rsidRDefault="00B16E85" w:rsidP="005D213E">
      <w:pPr>
        <w:pStyle w:val="NoSpacing"/>
        <w:spacing w:line="360" w:lineRule="auto"/>
        <w:jc w:val="center"/>
        <w:rPr>
          <w:rFonts w:ascii="Times New Roman" w:hAnsi="Times New Roman"/>
          <w:b/>
          <w:color w:val="000000" w:themeColor="text1"/>
          <w:sz w:val="24"/>
          <w:szCs w:val="24"/>
        </w:rPr>
      </w:pPr>
    </w:p>
    <w:p w14:paraId="2079D849" w14:textId="4BEF070A" w:rsidR="009207A0" w:rsidRPr="007D1D36" w:rsidRDefault="009D056D" w:rsidP="005D213E">
      <w:pPr>
        <w:pStyle w:val="NoSpacing"/>
        <w:spacing w:line="360" w:lineRule="auto"/>
        <w:jc w:val="center"/>
        <w:rPr>
          <w:rFonts w:ascii="Times New Roman" w:hAnsi="Times New Roman"/>
          <w:b/>
          <w:color w:val="000000" w:themeColor="text1"/>
          <w:sz w:val="24"/>
          <w:szCs w:val="24"/>
        </w:rPr>
      </w:pPr>
      <w:r w:rsidRPr="007D1D36">
        <w:rPr>
          <w:rFonts w:ascii="Times New Roman" w:hAnsi="Times New Roman"/>
          <w:b/>
          <w:color w:val="000000" w:themeColor="text1"/>
          <w:sz w:val="24"/>
          <w:szCs w:val="24"/>
        </w:rPr>
        <w:t>Effects of Phosphorus, Sulphur and Phosphate Solubilizing Bacteria (PSB) on Black Gram’s (Vigna mungo L.) Growth, Yield</w:t>
      </w:r>
      <w:r w:rsidR="007D1D36">
        <w:rPr>
          <w:rFonts w:ascii="Times New Roman" w:hAnsi="Times New Roman"/>
          <w:b/>
          <w:color w:val="000000" w:themeColor="text1"/>
          <w:sz w:val="24"/>
          <w:szCs w:val="24"/>
        </w:rPr>
        <w:t xml:space="preserve"> </w:t>
      </w:r>
      <w:r w:rsidRPr="007D1D36">
        <w:rPr>
          <w:rFonts w:ascii="Times New Roman" w:hAnsi="Times New Roman"/>
          <w:b/>
          <w:color w:val="000000" w:themeColor="text1"/>
          <w:sz w:val="24"/>
          <w:szCs w:val="24"/>
        </w:rPr>
        <w:t>and Nutrient Uptake in Odisha's Mid-Central Table Land Zone</w:t>
      </w:r>
      <w:r w:rsidR="007D1D36">
        <w:rPr>
          <w:rFonts w:ascii="Times New Roman" w:hAnsi="Times New Roman"/>
          <w:b/>
          <w:color w:val="000000" w:themeColor="text1"/>
          <w:sz w:val="24"/>
          <w:szCs w:val="24"/>
        </w:rPr>
        <w:t>, India</w:t>
      </w:r>
    </w:p>
    <w:p w14:paraId="7D6B2AAE" w14:textId="77777777" w:rsidR="00A7504B" w:rsidRPr="007D1D36" w:rsidRDefault="00A7504B" w:rsidP="005D213E">
      <w:pPr>
        <w:spacing w:line="360" w:lineRule="auto"/>
        <w:jc w:val="center"/>
        <w:rPr>
          <w:rFonts w:ascii="Times New Roman" w:hAnsi="Times New Roman"/>
          <w:b/>
          <w:color w:val="000000" w:themeColor="text1"/>
          <w:sz w:val="24"/>
          <w:szCs w:val="24"/>
        </w:rPr>
      </w:pPr>
    </w:p>
    <w:p w14:paraId="09633BE5" w14:textId="77777777" w:rsidR="00313DEB" w:rsidRPr="007D1D36" w:rsidRDefault="00313DEB" w:rsidP="005D213E">
      <w:pPr>
        <w:spacing w:before="99" w:line="360" w:lineRule="auto"/>
        <w:ind w:left="2880" w:firstLine="720"/>
        <w:jc w:val="both"/>
        <w:rPr>
          <w:rFonts w:ascii="Times New Roman" w:hAnsi="Times New Roman"/>
          <w:b/>
          <w:color w:val="000000" w:themeColor="text1"/>
          <w:sz w:val="24"/>
          <w:szCs w:val="24"/>
        </w:rPr>
      </w:pPr>
    </w:p>
    <w:p w14:paraId="42527004" w14:textId="77777777" w:rsidR="009D056D" w:rsidRPr="007D1D36" w:rsidRDefault="009D056D" w:rsidP="009D056D">
      <w:pPr>
        <w:pStyle w:val="TableParagraph"/>
        <w:spacing w:before="71" w:line="360" w:lineRule="auto"/>
        <w:ind w:left="149"/>
        <w:jc w:val="center"/>
        <w:rPr>
          <w:rStyle w:val="Strong"/>
          <w:color w:val="000000" w:themeColor="text1"/>
        </w:rPr>
      </w:pPr>
      <w:r w:rsidRPr="007D1D36">
        <w:rPr>
          <w:rStyle w:val="Strong"/>
          <w:color w:val="000000" w:themeColor="text1"/>
        </w:rPr>
        <w:t>ABSTRACT</w:t>
      </w:r>
    </w:p>
    <w:p w14:paraId="715CC29C" w14:textId="47D1450A" w:rsidR="009D056D" w:rsidRPr="007D1D36" w:rsidRDefault="009D056D" w:rsidP="009D056D">
      <w:pPr>
        <w:pStyle w:val="TableParagraph"/>
        <w:spacing w:before="71" w:line="360" w:lineRule="auto"/>
        <w:ind w:left="149"/>
        <w:jc w:val="both"/>
        <w:rPr>
          <w:color w:val="000000" w:themeColor="text1"/>
          <w:sz w:val="24"/>
          <w:szCs w:val="24"/>
        </w:rPr>
      </w:pPr>
      <w:r w:rsidRPr="007D1D36">
        <w:rPr>
          <w:color w:val="000000" w:themeColor="text1"/>
        </w:rPr>
        <w:br/>
      </w:r>
      <w:r w:rsidRPr="007D1D36">
        <w:rPr>
          <w:color w:val="000000" w:themeColor="text1"/>
          <w:sz w:val="24"/>
          <w:szCs w:val="24"/>
        </w:rPr>
        <w:t xml:space="preserve">A field experiment was conducted during the </w:t>
      </w:r>
      <w:r w:rsidRPr="007D1D36">
        <w:rPr>
          <w:rStyle w:val="Emphasis"/>
          <w:color w:val="000000" w:themeColor="text1"/>
          <w:sz w:val="24"/>
          <w:szCs w:val="24"/>
        </w:rPr>
        <w:t>kharif</w:t>
      </w:r>
      <w:r w:rsidRPr="007D1D36">
        <w:rPr>
          <w:color w:val="000000" w:themeColor="text1"/>
          <w:sz w:val="24"/>
          <w:szCs w:val="24"/>
        </w:rPr>
        <w:t xml:space="preserve"> seasons of 2020 and 2021 at the Regional Research and Technology Transfer Station (OUAT), </w:t>
      </w:r>
      <w:proofErr w:type="spellStart"/>
      <w:r w:rsidRPr="007D1D36">
        <w:rPr>
          <w:color w:val="000000" w:themeColor="text1"/>
          <w:sz w:val="24"/>
          <w:szCs w:val="24"/>
        </w:rPr>
        <w:t>Mahisapat</w:t>
      </w:r>
      <w:proofErr w:type="spellEnd"/>
      <w:r w:rsidRPr="007D1D36">
        <w:rPr>
          <w:color w:val="000000" w:themeColor="text1"/>
          <w:sz w:val="24"/>
          <w:szCs w:val="24"/>
        </w:rPr>
        <w:t xml:space="preserve">, to evaluate the effects of phosphorus, </w:t>
      </w:r>
      <w:proofErr w:type="spellStart"/>
      <w:r w:rsidRPr="007D1D36">
        <w:rPr>
          <w:color w:val="000000" w:themeColor="text1"/>
          <w:sz w:val="24"/>
          <w:szCs w:val="24"/>
        </w:rPr>
        <w:t>sulphur</w:t>
      </w:r>
      <w:proofErr w:type="spellEnd"/>
      <w:r w:rsidRPr="007D1D36">
        <w:rPr>
          <w:color w:val="000000" w:themeColor="text1"/>
          <w:sz w:val="24"/>
          <w:szCs w:val="24"/>
        </w:rPr>
        <w:t>, and phosphate-solubilizing bacteria (PSB) on the growth, yield, and nutrient uptake of black gram (</w:t>
      </w:r>
      <w:r w:rsidRPr="007D1D36">
        <w:rPr>
          <w:rStyle w:val="Emphasis"/>
          <w:color w:val="000000" w:themeColor="text1"/>
          <w:sz w:val="24"/>
          <w:szCs w:val="24"/>
        </w:rPr>
        <w:t>Vigna mungo</w:t>
      </w:r>
      <w:r w:rsidRPr="007D1D36">
        <w:rPr>
          <w:color w:val="000000" w:themeColor="text1"/>
          <w:sz w:val="24"/>
          <w:szCs w:val="24"/>
        </w:rPr>
        <w:t xml:space="preserve"> L.). The experimental soil, classified as </w:t>
      </w:r>
      <w:proofErr w:type="spellStart"/>
      <w:r w:rsidRPr="007D1D36">
        <w:rPr>
          <w:color w:val="000000" w:themeColor="text1"/>
          <w:sz w:val="24"/>
          <w:szCs w:val="24"/>
        </w:rPr>
        <w:t>Alfisol</w:t>
      </w:r>
      <w:proofErr w:type="spellEnd"/>
      <w:r w:rsidRPr="007D1D36">
        <w:rPr>
          <w:color w:val="000000" w:themeColor="text1"/>
          <w:sz w:val="24"/>
          <w:szCs w:val="24"/>
        </w:rPr>
        <w:t xml:space="preserve">, was low in nitrogen (221 kg/ha), medium in phosphorus (11.6 kg/ha), high in potassium (185 kg/ha), and acidic (pH 5.6). The study followed a randomized block design with eight treatments comprising combinations of phosphorus (20 and 40 kg P₂O₅/ha), </w:t>
      </w:r>
      <w:proofErr w:type="spellStart"/>
      <w:r w:rsidRPr="007D1D36">
        <w:rPr>
          <w:color w:val="000000" w:themeColor="text1"/>
          <w:sz w:val="24"/>
          <w:szCs w:val="24"/>
        </w:rPr>
        <w:t>sulphur</w:t>
      </w:r>
      <w:proofErr w:type="spellEnd"/>
      <w:r w:rsidRPr="007D1D36">
        <w:rPr>
          <w:color w:val="000000" w:themeColor="text1"/>
          <w:sz w:val="24"/>
          <w:szCs w:val="24"/>
        </w:rPr>
        <w:t xml:space="preserve"> (20 kg S/ha), and PSB (4.0 kg/ha), replicated thrice. The variety PU-31 was used. Among all treatments, T₆ (40 kg P₂O₅/ha + 20 kg S/ha + 4.0 kg PSB/ha) significantly outperformed others, recording the highest plant height (38.03 cm), branches per plant (6.34), pods per plant (20.2), pod length (4.1 cm), seeds per pod (6.27), test weight (36.0 g), seed yield (8.50 q/ha), and haulm yield (18.56 q/ha). This treatment also achieved the highest nutrient uptake: N (48.2 kg/ha), P (7.8 kg/ha), and K (36.7 kg/ha). In contrast, the control (T₁) had the lowest performance. The findings indicate that integrated nutrient management involving phosphorus, </w:t>
      </w:r>
      <w:proofErr w:type="spellStart"/>
      <w:r w:rsidRPr="007D1D36">
        <w:rPr>
          <w:color w:val="000000" w:themeColor="text1"/>
          <w:sz w:val="24"/>
          <w:szCs w:val="24"/>
        </w:rPr>
        <w:t>sulphur</w:t>
      </w:r>
      <w:proofErr w:type="spellEnd"/>
      <w:r w:rsidRPr="007D1D36">
        <w:rPr>
          <w:color w:val="000000" w:themeColor="text1"/>
          <w:sz w:val="24"/>
          <w:szCs w:val="24"/>
        </w:rPr>
        <w:t>, and PSB significantly improves black gram productivity and nutrient use efficiency under acidic soil conditions, offering a sustainable strategy for the Mid-Central Table Land Zone of Odisha.</w:t>
      </w:r>
    </w:p>
    <w:p w14:paraId="6EC716C9" w14:textId="77777777" w:rsidR="009D056D" w:rsidRPr="007D1D36" w:rsidRDefault="009D056D" w:rsidP="009D056D">
      <w:pPr>
        <w:pStyle w:val="TableParagraph"/>
        <w:spacing w:before="71" w:line="360" w:lineRule="auto"/>
        <w:ind w:left="149"/>
        <w:jc w:val="both"/>
        <w:rPr>
          <w:color w:val="000000" w:themeColor="text1"/>
          <w:sz w:val="24"/>
          <w:szCs w:val="24"/>
        </w:rPr>
      </w:pPr>
    </w:p>
    <w:p w14:paraId="7AA7C128" w14:textId="5D4669FC" w:rsidR="009207A0" w:rsidRPr="007D1D36" w:rsidRDefault="009207A0" w:rsidP="009D056D">
      <w:pPr>
        <w:pStyle w:val="TableParagraph"/>
        <w:spacing w:before="71" w:line="360" w:lineRule="auto"/>
        <w:ind w:left="149"/>
        <w:jc w:val="both"/>
        <w:rPr>
          <w:color w:val="000000" w:themeColor="text1"/>
          <w:sz w:val="24"/>
          <w:szCs w:val="24"/>
        </w:rPr>
      </w:pPr>
      <w:r w:rsidRPr="007D1D36">
        <w:rPr>
          <w:b/>
          <w:i/>
          <w:iCs/>
          <w:color w:val="000000" w:themeColor="text1"/>
          <w:sz w:val="24"/>
          <w:szCs w:val="24"/>
        </w:rPr>
        <w:t>Keywords:</w:t>
      </w:r>
      <w:r w:rsidRPr="007D1D36">
        <w:rPr>
          <w:b/>
          <w:color w:val="000000" w:themeColor="text1"/>
          <w:sz w:val="24"/>
          <w:szCs w:val="24"/>
        </w:rPr>
        <w:t xml:space="preserve">  </w:t>
      </w:r>
      <w:r w:rsidRPr="007D1D36">
        <w:rPr>
          <w:color w:val="000000" w:themeColor="text1"/>
          <w:sz w:val="24"/>
          <w:szCs w:val="24"/>
        </w:rPr>
        <w:t xml:space="preserve">Black gram, </w:t>
      </w:r>
      <w:r w:rsidRPr="007D1D36">
        <w:rPr>
          <w:bCs/>
          <w:color w:val="000000" w:themeColor="text1"/>
          <w:sz w:val="24"/>
          <w:szCs w:val="24"/>
        </w:rPr>
        <w:t>Phosphorus</w:t>
      </w:r>
      <w:r w:rsidR="002C631E" w:rsidRPr="007D1D36">
        <w:rPr>
          <w:bCs/>
          <w:color w:val="000000" w:themeColor="text1"/>
          <w:sz w:val="24"/>
          <w:szCs w:val="24"/>
        </w:rPr>
        <w:t>, Sulphur</w:t>
      </w:r>
      <w:r w:rsidRPr="007D1D36">
        <w:rPr>
          <w:bCs/>
          <w:color w:val="000000" w:themeColor="text1"/>
          <w:sz w:val="24"/>
          <w:szCs w:val="24"/>
        </w:rPr>
        <w:t>, PSB</w:t>
      </w:r>
      <w:r w:rsidRPr="007D1D36">
        <w:rPr>
          <w:color w:val="000000" w:themeColor="text1"/>
          <w:sz w:val="24"/>
          <w:szCs w:val="24"/>
        </w:rPr>
        <w:t>, Growth and Yield.</w:t>
      </w:r>
    </w:p>
    <w:p w14:paraId="1CBB53C0" w14:textId="5988BEDF" w:rsidR="00313DEB" w:rsidRPr="007D1D36" w:rsidRDefault="00313DEB" w:rsidP="005D213E">
      <w:pPr>
        <w:pStyle w:val="TableParagraph"/>
        <w:spacing w:before="71" w:line="360" w:lineRule="auto"/>
        <w:ind w:left="149"/>
        <w:jc w:val="both"/>
        <w:rPr>
          <w:color w:val="000000" w:themeColor="text1"/>
          <w:sz w:val="24"/>
          <w:szCs w:val="24"/>
        </w:rPr>
      </w:pPr>
    </w:p>
    <w:p w14:paraId="6E0F4DD8" w14:textId="77777777" w:rsidR="00313DEB" w:rsidRPr="007D1D36" w:rsidRDefault="00313DEB" w:rsidP="005D213E">
      <w:pPr>
        <w:pStyle w:val="TableParagraph"/>
        <w:spacing w:before="71" w:line="360" w:lineRule="auto"/>
        <w:ind w:left="149"/>
        <w:jc w:val="both"/>
        <w:rPr>
          <w:color w:val="000000" w:themeColor="text1"/>
          <w:sz w:val="24"/>
          <w:szCs w:val="24"/>
        </w:rPr>
      </w:pPr>
    </w:p>
    <w:p w14:paraId="10AA1511" w14:textId="56307394" w:rsidR="00DF2DD0" w:rsidRPr="007D1D36" w:rsidRDefault="00DE7A8E" w:rsidP="005D213E">
      <w:pPr>
        <w:pStyle w:val="NormalWeb"/>
        <w:spacing w:line="360" w:lineRule="auto"/>
        <w:jc w:val="both"/>
        <w:rPr>
          <w:color w:val="000000" w:themeColor="text1"/>
        </w:rPr>
      </w:pPr>
      <w:r w:rsidRPr="007D1D36">
        <w:rPr>
          <w:rStyle w:val="Strong"/>
          <w:color w:val="000000" w:themeColor="text1"/>
        </w:rPr>
        <w:t>INTRODUCTION</w:t>
      </w:r>
    </w:p>
    <w:p w14:paraId="6596C2F8" w14:textId="77777777" w:rsidR="007C6E5D" w:rsidRPr="007D1D36" w:rsidRDefault="006E2702" w:rsidP="00F6286F">
      <w:pPr>
        <w:pStyle w:val="NormalWeb"/>
        <w:spacing w:line="360" w:lineRule="auto"/>
        <w:jc w:val="both"/>
        <w:rPr>
          <w:color w:val="000000" w:themeColor="text1"/>
        </w:rPr>
      </w:pPr>
      <w:r w:rsidRPr="007D1D36">
        <w:rPr>
          <w:color w:val="000000" w:themeColor="text1"/>
        </w:rPr>
        <w:lastRenderedPageBreak/>
        <w:t>Black gram (</w:t>
      </w:r>
      <w:r w:rsidRPr="007D1D36">
        <w:rPr>
          <w:rStyle w:val="Emphasis"/>
          <w:color w:val="000000" w:themeColor="text1"/>
        </w:rPr>
        <w:t>Vigna mungo</w:t>
      </w:r>
      <w:r w:rsidRPr="007D1D36">
        <w:rPr>
          <w:color w:val="000000" w:themeColor="text1"/>
        </w:rPr>
        <w:t xml:space="preserve"> L.), also known as urad bean, is one of the most important pulse crops cultivated in India, serving as a rich source of protein and contributing significantly to soil fertility through biological nitrogen fixation</w:t>
      </w:r>
      <w:r w:rsidR="007C6E5D" w:rsidRPr="007D1D36">
        <w:rPr>
          <w:color w:val="000000" w:themeColor="text1"/>
        </w:rPr>
        <w:t xml:space="preserve"> </w:t>
      </w:r>
      <w:r w:rsidR="007C6E5D" w:rsidRPr="007D1D36">
        <w:rPr>
          <w:color w:val="000000" w:themeColor="text1"/>
          <w:lang w:val="en-US"/>
        </w:rPr>
        <w:t>(Ali &amp; Kumar, 2006 and Choudhary &amp; Kumawat, 2011).</w:t>
      </w:r>
      <w:r w:rsidRPr="007D1D36">
        <w:rPr>
          <w:color w:val="000000" w:themeColor="text1"/>
        </w:rPr>
        <w:t xml:space="preserve"> </w:t>
      </w:r>
      <w:r w:rsidR="007C6E5D" w:rsidRPr="007D1D36">
        <w:rPr>
          <w:color w:val="000000" w:themeColor="text1"/>
        </w:rPr>
        <w:t xml:space="preserve">As of 2024, pulses are globally cultivated on approximately </w:t>
      </w:r>
      <w:r w:rsidR="007C6E5D" w:rsidRPr="007D1D36">
        <w:rPr>
          <w:rStyle w:val="Strong"/>
          <w:b w:val="0"/>
          <w:bCs w:val="0"/>
          <w:color w:val="000000" w:themeColor="text1"/>
        </w:rPr>
        <w:t>96 million hectares</w:t>
      </w:r>
      <w:r w:rsidR="007C6E5D" w:rsidRPr="007D1D36">
        <w:rPr>
          <w:color w:val="000000" w:themeColor="text1"/>
        </w:rPr>
        <w:t xml:space="preserve">, producing around </w:t>
      </w:r>
      <w:r w:rsidR="007C6E5D" w:rsidRPr="007D1D36">
        <w:rPr>
          <w:rStyle w:val="Strong"/>
          <w:b w:val="0"/>
          <w:bCs w:val="0"/>
          <w:color w:val="000000" w:themeColor="text1"/>
        </w:rPr>
        <w:t>96 million tonnes</w:t>
      </w:r>
      <w:r w:rsidR="007C6E5D" w:rsidRPr="007D1D36">
        <w:rPr>
          <w:color w:val="000000" w:themeColor="text1"/>
        </w:rPr>
        <w:t xml:space="preserve">, with an average productivity of </w:t>
      </w:r>
      <w:r w:rsidR="007C6E5D" w:rsidRPr="007D1D36">
        <w:rPr>
          <w:rStyle w:val="Strong"/>
          <w:b w:val="0"/>
          <w:bCs w:val="0"/>
          <w:color w:val="000000" w:themeColor="text1"/>
        </w:rPr>
        <w:t>1,000 kg/ha</w:t>
      </w:r>
      <w:r w:rsidR="007C6E5D" w:rsidRPr="007D1D36">
        <w:rPr>
          <w:color w:val="000000" w:themeColor="text1"/>
        </w:rPr>
        <w:t xml:space="preserve"> (</w:t>
      </w:r>
      <w:proofErr w:type="spellStart"/>
      <w:r w:rsidR="007C6E5D" w:rsidRPr="007D1D36">
        <w:rPr>
          <w:color w:val="000000" w:themeColor="text1"/>
        </w:rPr>
        <w:t>IndexBox</w:t>
      </w:r>
      <w:proofErr w:type="spellEnd"/>
      <w:r w:rsidR="007C6E5D" w:rsidRPr="007D1D36">
        <w:rPr>
          <w:color w:val="000000" w:themeColor="text1"/>
        </w:rPr>
        <w:t xml:space="preserve">, 2024). India remains the leading country in pulse cultivation, accounting for over </w:t>
      </w:r>
      <w:r w:rsidR="007C6E5D" w:rsidRPr="007D1D36">
        <w:rPr>
          <w:rStyle w:val="Strong"/>
          <w:b w:val="0"/>
          <w:bCs w:val="0"/>
          <w:color w:val="000000" w:themeColor="text1"/>
        </w:rPr>
        <w:t>28 million hectares</w:t>
      </w:r>
      <w:r w:rsidR="007C6E5D" w:rsidRPr="007D1D36">
        <w:rPr>
          <w:color w:val="000000" w:themeColor="text1"/>
        </w:rPr>
        <w:t xml:space="preserve">, which contributes about </w:t>
      </w:r>
      <w:r w:rsidR="007C6E5D" w:rsidRPr="007D1D36">
        <w:rPr>
          <w:rStyle w:val="Strong"/>
          <w:b w:val="0"/>
          <w:bCs w:val="0"/>
          <w:color w:val="000000" w:themeColor="text1"/>
        </w:rPr>
        <w:t>31%</w:t>
      </w:r>
      <w:r w:rsidR="007C6E5D" w:rsidRPr="007D1D36">
        <w:rPr>
          <w:color w:val="000000" w:themeColor="text1"/>
        </w:rPr>
        <w:t xml:space="preserve"> of the global area and </w:t>
      </w:r>
      <w:r w:rsidR="007C6E5D" w:rsidRPr="007D1D36">
        <w:rPr>
          <w:rStyle w:val="Strong"/>
          <w:b w:val="0"/>
          <w:bCs w:val="0"/>
          <w:color w:val="000000" w:themeColor="text1"/>
        </w:rPr>
        <w:t>28%</w:t>
      </w:r>
      <w:r w:rsidR="007C6E5D" w:rsidRPr="007D1D36">
        <w:rPr>
          <w:color w:val="000000" w:themeColor="text1"/>
        </w:rPr>
        <w:t xml:space="preserve"> of global production (Directorate of Pulses Development, 2021). Despite this large area, India’s national pulse productivity remains suboptimal, recorded at </w:t>
      </w:r>
      <w:r w:rsidR="007C6E5D" w:rsidRPr="007D1D36">
        <w:rPr>
          <w:rStyle w:val="Strong"/>
          <w:b w:val="0"/>
          <w:bCs w:val="0"/>
          <w:color w:val="000000" w:themeColor="text1"/>
        </w:rPr>
        <w:t>885 kg/ha in 2020–21</w:t>
      </w:r>
      <w:r w:rsidR="007C6E5D" w:rsidRPr="007D1D36">
        <w:rPr>
          <w:color w:val="000000" w:themeColor="text1"/>
        </w:rPr>
        <w:t xml:space="preserve">, primarily due to multiple constraints including </w:t>
      </w:r>
      <w:r w:rsidR="007C6E5D" w:rsidRPr="007D1D36">
        <w:rPr>
          <w:rStyle w:val="Strong"/>
          <w:b w:val="0"/>
          <w:bCs w:val="0"/>
          <w:color w:val="000000" w:themeColor="text1"/>
        </w:rPr>
        <w:t>biotic and abiotic stresses</w:t>
      </w:r>
      <w:r w:rsidR="007C6E5D" w:rsidRPr="007D1D36">
        <w:rPr>
          <w:color w:val="000000" w:themeColor="text1"/>
        </w:rPr>
        <w:t>, poor soil fertility, and imbalanced nutrient application (Pang et al., 2024; ICAR, 2021).</w:t>
      </w:r>
    </w:p>
    <w:p w14:paraId="7DDD92E7" w14:textId="24C0EB80" w:rsidR="006E2702" w:rsidRPr="007D1D36" w:rsidRDefault="006E2702" w:rsidP="00F6286F">
      <w:pPr>
        <w:pStyle w:val="NormalWeb"/>
        <w:spacing w:line="360" w:lineRule="auto"/>
        <w:jc w:val="both"/>
        <w:rPr>
          <w:color w:val="000000" w:themeColor="text1"/>
        </w:rPr>
      </w:pPr>
      <w:r w:rsidRPr="007D1D36">
        <w:rPr>
          <w:color w:val="000000" w:themeColor="text1"/>
        </w:rPr>
        <w:t>Among the key agronomic factors influencing black gram productivity, nutrient management—especially phosphorus (P) and sulphur (S) nutrition—plays a critical role. Phosphorus is essential for root proliferation, photosynthesis, energy transfer, and reproductive development</w:t>
      </w:r>
      <w:r w:rsidR="00572CF5" w:rsidRPr="007D1D36">
        <w:rPr>
          <w:color w:val="000000" w:themeColor="text1"/>
        </w:rPr>
        <w:t xml:space="preserve"> (Manna et al.,2024)</w:t>
      </w:r>
      <w:r w:rsidRPr="007D1D36">
        <w:rPr>
          <w:color w:val="000000" w:themeColor="text1"/>
        </w:rPr>
        <w:t>. It is well documented that phosphorus deficiency adversely affects the growth and yield of legumes, including black gram (</w:t>
      </w:r>
      <w:r w:rsidR="00F6286F" w:rsidRPr="007D1D36">
        <w:rPr>
          <w:color w:val="000000" w:themeColor="text1"/>
        </w:rPr>
        <w:t>Logesh et al., 2024</w:t>
      </w:r>
      <w:r w:rsidRPr="007D1D36">
        <w:rPr>
          <w:color w:val="000000" w:themeColor="text1"/>
        </w:rPr>
        <w:t xml:space="preserve">; </w:t>
      </w:r>
      <w:r w:rsidR="00F6286F" w:rsidRPr="007D1D36">
        <w:rPr>
          <w:color w:val="000000" w:themeColor="text1"/>
        </w:rPr>
        <w:t>Chen et al., 2023</w:t>
      </w:r>
      <w:r w:rsidRPr="007D1D36">
        <w:rPr>
          <w:color w:val="000000" w:themeColor="text1"/>
        </w:rPr>
        <w:t>). However, the phosphorus use efficiency in Indian soils is low, with only 15–20% of the applied phosphorus utilized by plants; the rest becomes fixed in the soil as insoluble forms, especially in acidic and alkaline soils (</w:t>
      </w:r>
      <w:r w:rsidR="00F6286F" w:rsidRPr="007D1D36">
        <w:rPr>
          <w:color w:val="000000" w:themeColor="text1"/>
        </w:rPr>
        <w:t>Pang et al., 2024</w:t>
      </w:r>
      <w:r w:rsidRPr="007D1D36">
        <w:rPr>
          <w:color w:val="000000" w:themeColor="text1"/>
        </w:rPr>
        <w:t>). This necessitates the exploration of synergistic approaches, such as the use of biofertilizers, to enhance phosphorus availability and uptake.</w:t>
      </w:r>
    </w:p>
    <w:p w14:paraId="3859AEA4" w14:textId="55DB171F" w:rsidR="006E2702" w:rsidRPr="007D1D36" w:rsidRDefault="006E2702" w:rsidP="00F6286F">
      <w:pPr>
        <w:pStyle w:val="NormalWeb"/>
        <w:spacing w:line="360" w:lineRule="auto"/>
        <w:jc w:val="both"/>
        <w:rPr>
          <w:color w:val="000000" w:themeColor="text1"/>
        </w:rPr>
      </w:pPr>
      <w:r w:rsidRPr="007D1D36">
        <w:rPr>
          <w:color w:val="000000" w:themeColor="text1"/>
        </w:rPr>
        <w:t>Sulphur, considered the fourth major plant nutrient after nitrogen, phosphorus, and potassium, is gaining attention for its vital role in chlorophyll synthesis, enzyme activation, and amino acid (cysteine and methionine) formation. It also enhances biological nitrogen fixation in legumes by supporting nodule development (</w:t>
      </w:r>
      <w:r w:rsidR="00F6286F" w:rsidRPr="007D1D36">
        <w:rPr>
          <w:color w:val="000000" w:themeColor="text1"/>
        </w:rPr>
        <w:t>Ramandeep et al., 2024</w:t>
      </w:r>
      <w:r w:rsidRPr="007D1D36">
        <w:rPr>
          <w:color w:val="000000" w:themeColor="text1"/>
        </w:rPr>
        <w:t>). In recent years, sulphur deficiencies have become widespread in Indian soils, particularly in sandy and low organic matter soils, largely due to the extensive use of sulphur-free fertilizers such as urea and DAP. Consequently, sulphur supplementation has shown promising results in improving both the quantitative and qualitative traits of pulses (</w:t>
      </w:r>
      <w:r w:rsidR="00F6286F" w:rsidRPr="007D1D36">
        <w:rPr>
          <w:color w:val="000000" w:themeColor="text1"/>
        </w:rPr>
        <w:t>Ramandeep et al., 2024</w:t>
      </w:r>
      <w:r w:rsidRPr="007D1D36">
        <w:rPr>
          <w:color w:val="000000" w:themeColor="text1"/>
        </w:rPr>
        <w:t>).</w:t>
      </w:r>
    </w:p>
    <w:p w14:paraId="638D93D5" w14:textId="46B27DA4" w:rsidR="006E2702" w:rsidRPr="007D1D36" w:rsidRDefault="006E2702" w:rsidP="00F6286F">
      <w:pPr>
        <w:pStyle w:val="NormalWeb"/>
        <w:spacing w:line="360" w:lineRule="auto"/>
        <w:jc w:val="both"/>
        <w:rPr>
          <w:color w:val="000000" w:themeColor="text1"/>
        </w:rPr>
      </w:pPr>
      <w:r w:rsidRPr="007D1D36">
        <w:rPr>
          <w:color w:val="000000" w:themeColor="text1"/>
        </w:rPr>
        <w:t xml:space="preserve">Moreover, the role of phosphate-solubilizing bacteria (PSB) in enhancing phosphorus bioavailability is well recognized. Microbial inoculants like </w:t>
      </w:r>
      <w:r w:rsidRPr="007D1D36">
        <w:rPr>
          <w:rStyle w:val="Emphasis"/>
          <w:color w:val="000000" w:themeColor="text1"/>
        </w:rPr>
        <w:t>Pseudomonas</w:t>
      </w:r>
      <w:r w:rsidRPr="007D1D36">
        <w:rPr>
          <w:color w:val="000000" w:themeColor="text1"/>
        </w:rPr>
        <w:t xml:space="preserve"> spp. and </w:t>
      </w:r>
      <w:r w:rsidRPr="007D1D36">
        <w:rPr>
          <w:rStyle w:val="Emphasis"/>
          <w:color w:val="000000" w:themeColor="text1"/>
        </w:rPr>
        <w:t>Bacillus</w:t>
      </w:r>
      <w:r w:rsidRPr="007D1D36">
        <w:rPr>
          <w:color w:val="000000" w:themeColor="text1"/>
        </w:rPr>
        <w:t xml:space="preserve"> spp. </w:t>
      </w:r>
      <w:r w:rsidRPr="007D1D36">
        <w:rPr>
          <w:color w:val="000000" w:themeColor="text1"/>
        </w:rPr>
        <w:lastRenderedPageBreak/>
        <w:t>secrete organic acids and enzymes that convert insoluble phosphorus into plant-available forms, thereby enhancing nutrient use efficiency and plant productivity (</w:t>
      </w:r>
      <w:r w:rsidR="00F6286F" w:rsidRPr="007D1D36">
        <w:rPr>
          <w:color w:val="000000" w:themeColor="text1"/>
        </w:rPr>
        <w:t>Logesh et al., 2024</w:t>
      </w:r>
      <w:r w:rsidRPr="007D1D36">
        <w:rPr>
          <w:color w:val="000000" w:themeColor="text1"/>
        </w:rPr>
        <w:t xml:space="preserve">; </w:t>
      </w:r>
      <w:r w:rsidR="00F6286F" w:rsidRPr="007D1D36">
        <w:rPr>
          <w:color w:val="000000" w:themeColor="text1"/>
        </w:rPr>
        <w:t>Pang et al., 2024</w:t>
      </w:r>
      <w:r w:rsidRPr="007D1D36">
        <w:rPr>
          <w:color w:val="000000" w:themeColor="text1"/>
        </w:rPr>
        <w:t>). The use of such biofertilizers also contributes to sustainable agriculture by reducing dependence on chemical inputs (</w:t>
      </w:r>
      <w:r w:rsidR="00F6286F" w:rsidRPr="007D1D36">
        <w:rPr>
          <w:color w:val="000000" w:themeColor="text1"/>
        </w:rPr>
        <w:t>Chen et al., 2023</w:t>
      </w:r>
      <w:r w:rsidRPr="007D1D36">
        <w:rPr>
          <w:color w:val="000000" w:themeColor="text1"/>
        </w:rPr>
        <w:t>).</w:t>
      </w:r>
    </w:p>
    <w:p w14:paraId="496D2C71" w14:textId="77777777" w:rsidR="006E2702" w:rsidRPr="007D1D36" w:rsidRDefault="006E2702" w:rsidP="00F6286F">
      <w:pPr>
        <w:pStyle w:val="NormalWeb"/>
        <w:spacing w:line="360" w:lineRule="auto"/>
        <w:jc w:val="both"/>
        <w:rPr>
          <w:color w:val="000000" w:themeColor="text1"/>
        </w:rPr>
      </w:pPr>
      <w:r w:rsidRPr="007D1D36">
        <w:rPr>
          <w:color w:val="000000" w:themeColor="text1"/>
        </w:rPr>
        <w:t xml:space="preserve">Given the persistent yield gap in pulse crops and the increasing demand for sustainable nutrient management, it becomes imperative to integrate inorganic nutrient sources with biological inputs. Therefore, the present investigation was undertaken to evaluate the effects of the combined application of phosphorus, sulphur, and phosphate-solubilizing biofertilizers on growth, yield, and nutrient uptake of black gram under the </w:t>
      </w:r>
      <w:proofErr w:type="spellStart"/>
      <w:r w:rsidRPr="007D1D36">
        <w:rPr>
          <w:color w:val="000000" w:themeColor="text1"/>
        </w:rPr>
        <w:t>agro</w:t>
      </w:r>
      <w:proofErr w:type="spellEnd"/>
      <w:r w:rsidRPr="007D1D36">
        <w:rPr>
          <w:color w:val="000000" w:themeColor="text1"/>
        </w:rPr>
        <w:t>-climatic conditions of the Mid-Central Table Land Zone of Odisha. This study aims to provide insights into optimized nutrient strategies that can enhance productivity and resource use efficiency in pulse-based farming systems.</w:t>
      </w:r>
    </w:p>
    <w:p w14:paraId="023A35AD" w14:textId="6BA47644" w:rsidR="003E7CE1" w:rsidRPr="007D1D36" w:rsidRDefault="00DE7A8E" w:rsidP="005D213E">
      <w:pPr>
        <w:pStyle w:val="Heading1"/>
        <w:spacing w:line="360" w:lineRule="auto"/>
        <w:ind w:left="0"/>
        <w:jc w:val="both"/>
        <w:rPr>
          <w:color w:val="000000" w:themeColor="text1"/>
        </w:rPr>
      </w:pPr>
      <w:r w:rsidRPr="007D1D36">
        <w:rPr>
          <w:color w:val="000000" w:themeColor="text1"/>
        </w:rPr>
        <w:t>MATERIALS AND METHODS</w:t>
      </w:r>
    </w:p>
    <w:p w14:paraId="751A8298" w14:textId="77777777" w:rsidR="00092821" w:rsidRPr="007D1D36" w:rsidRDefault="00092821" w:rsidP="00092821">
      <w:pPr>
        <w:pStyle w:val="NormalWeb"/>
        <w:spacing w:line="360" w:lineRule="auto"/>
        <w:rPr>
          <w:color w:val="000000" w:themeColor="text1"/>
        </w:rPr>
      </w:pPr>
      <w:r w:rsidRPr="007D1D36">
        <w:rPr>
          <w:color w:val="000000" w:themeColor="text1"/>
        </w:rPr>
        <w:t xml:space="preserve">A field experiment was conducted during the </w:t>
      </w:r>
      <w:r w:rsidRPr="007D1D36">
        <w:rPr>
          <w:rStyle w:val="Emphasis"/>
          <w:color w:val="000000" w:themeColor="text1"/>
        </w:rPr>
        <w:t>kharif</w:t>
      </w:r>
      <w:r w:rsidRPr="007D1D36">
        <w:rPr>
          <w:color w:val="000000" w:themeColor="text1"/>
        </w:rPr>
        <w:t xml:space="preserve"> seasons of 2020 and 2021 at the Regional Research &amp; Technology Transfer Station (OUAT), </w:t>
      </w:r>
      <w:proofErr w:type="spellStart"/>
      <w:r w:rsidRPr="007D1D36">
        <w:rPr>
          <w:color w:val="000000" w:themeColor="text1"/>
        </w:rPr>
        <w:t>Mahisapat</w:t>
      </w:r>
      <w:proofErr w:type="spellEnd"/>
      <w:r w:rsidRPr="007D1D36">
        <w:rPr>
          <w:color w:val="000000" w:themeColor="text1"/>
        </w:rPr>
        <w:t>, located between 20°03′ and 21°16′ N latitude and 84°00′ and 86°06′ E longitude. The objective was to assess the effect of phosphorus, sulphur, and phosphate-solubilizing bacteria (PSB) on growth, yield, and nutrient uptake in black gram (</w:t>
      </w:r>
      <w:r w:rsidRPr="007D1D36">
        <w:rPr>
          <w:rStyle w:val="Emphasis"/>
          <w:color w:val="000000" w:themeColor="text1"/>
        </w:rPr>
        <w:t>Vigna mungo</w:t>
      </w:r>
      <w:r w:rsidRPr="007D1D36">
        <w:rPr>
          <w:color w:val="000000" w:themeColor="text1"/>
        </w:rPr>
        <w:t xml:space="preserve"> L.). The soil of the experimental site was classified as acidic </w:t>
      </w:r>
      <w:proofErr w:type="spellStart"/>
      <w:r w:rsidRPr="007D1D36">
        <w:rPr>
          <w:color w:val="000000" w:themeColor="text1"/>
        </w:rPr>
        <w:t>Alfisol</w:t>
      </w:r>
      <w:proofErr w:type="spellEnd"/>
      <w:r w:rsidRPr="007D1D36">
        <w:rPr>
          <w:color w:val="000000" w:themeColor="text1"/>
        </w:rPr>
        <w:t>, with a sandy loam texture. The soil tested low in available nitrogen (221 kg/ha), medium in phosphorus (11.6 kg/ha), and high in potassium (185 kg/ha), with an acidic pH of 5.6. The region receives an average annual rainfall of approximately 1400 mm.</w:t>
      </w:r>
    </w:p>
    <w:p w14:paraId="1511016D" w14:textId="7A7AE23F" w:rsidR="00092821" w:rsidRPr="007D1D36" w:rsidRDefault="00092821" w:rsidP="00092821">
      <w:pPr>
        <w:pStyle w:val="NormalWeb"/>
        <w:spacing w:line="360" w:lineRule="auto"/>
        <w:rPr>
          <w:color w:val="000000" w:themeColor="text1"/>
        </w:rPr>
      </w:pPr>
      <w:r w:rsidRPr="007D1D36">
        <w:rPr>
          <w:color w:val="000000" w:themeColor="text1"/>
        </w:rPr>
        <w:t xml:space="preserve">The experiment was laid out in a </w:t>
      </w:r>
      <w:r w:rsidRPr="007D1D36">
        <w:rPr>
          <w:rStyle w:val="Strong"/>
          <w:b w:val="0"/>
          <w:bCs w:val="0"/>
          <w:color w:val="000000" w:themeColor="text1"/>
        </w:rPr>
        <w:t>Randomized Block Design (RBD)</w:t>
      </w:r>
      <w:r w:rsidRPr="007D1D36">
        <w:rPr>
          <w:color w:val="000000" w:themeColor="text1"/>
        </w:rPr>
        <w:t xml:space="preserve"> with </w:t>
      </w:r>
      <w:r w:rsidRPr="007D1D36">
        <w:rPr>
          <w:rStyle w:val="Strong"/>
          <w:b w:val="0"/>
          <w:bCs w:val="0"/>
          <w:color w:val="000000" w:themeColor="text1"/>
        </w:rPr>
        <w:t>three replications</w:t>
      </w:r>
      <w:r w:rsidRPr="007D1D36">
        <w:rPr>
          <w:color w:val="000000" w:themeColor="text1"/>
        </w:rPr>
        <w:t xml:space="preserve"> and </w:t>
      </w:r>
      <w:r w:rsidRPr="007D1D36">
        <w:rPr>
          <w:rStyle w:val="Strong"/>
          <w:b w:val="0"/>
          <w:bCs w:val="0"/>
          <w:color w:val="000000" w:themeColor="text1"/>
        </w:rPr>
        <w:t>eight treatment combinations</w:t>
      </w:r>
      <w:r w:rsidRPr="007D1D36">
        <w:rPr>
          <w:color w:val="000000" w:themeColor="text1"/>
        </w:rPr>
        <w:t xml:space="preserve">, as shown in </w:t>
      </w:r>
      <w:r w:rsidR="00790263" w:rsidRPr="007D1D36">
        <w:rPr>
          <w:color w:val="000000" w:themeColor="text1"/>
        </w:rPr>
        <w:t>chart</w:t>
      </w:r>
      <w:r w:rsidRPr="007D1D36">
        <w:rPr>
          <w:color w:val="000000" w:themeColor="text1"/>
        </w:rPr>
        <w:t xml:space="preserve"> 1.</w:t>
      </w:r>
    </w:p>
    <w:p w14:paraId="1C009939" w14:textId="6159FC81" w:rsidR="007C6E5D" w:rsidRPr="007D1D36" w:rsidRDefault="007D1D36" w:rsidP="007C6E5D">
      <w:pPr>
        <w:spacing w:before="100" w:beforeAutospacing="1" w:after="100" w:afterAutospacing="1" w:line="240" w:lineRule="auto"/>
        <w:outlineLvl w:val="2"/>
        <w:rPr>
          <w:rFonts w:ascii="Times New Roman" w:hAnsi="Times New Roman"/>
          <w:b/>
          <w:bCs/>
          <w:color w:val="000000" w:themeColor="text1"/>
          <w:sz w:val="24"/>
          <w:szCs w:val="24"/>
          <w:lang w:val="en-IN" w:eastAsia="en-IN"/>
        </w:rPr>
      </w:pPr>
      <w:r>
        <w:rPr>
          <w:rFonts w:ascii="Times New Roman" w:hAnsi="Times New Roman"/>
          <w:b/>
          <w:bCs/>
          <w:color w:val="000000" w:themeColor="text1"/>
          <w:sz w:val="24"/>
          <w:szCs w:val="24"/>
          <w:lang w:val="en-IN" w:eastAsia="en-IN"/>
        </w:rPr>
        <w:t>C</w:t>
      </w:r>
      <w:r w:rsidR="004E29E9" w:rsidRPr="007D1D36">
        <w:rPr>
          <w:rFonts w:ascii="Times New Roman" w:hAnsi="Times New Roman"/>
          <w:b/>
          <w:bCs/>
          <w:color w:val="000000" w:themeColor="text1"/>
          <w:sz w:val="24"/>
          <w:szCs w:val="24"/>
          <w:lang w:val="en-IN" w:eastAsia="en-IN"/>
        </w:rPr>
        <w:t>hart</w:t>
      </w:r>
      <w:r w:rsidR="007C6E5D" w:rsidRPr="007D1D36">
        <w:rPr>
          <w:rFonts w:ascii="Times New Roman" w:hAnsi="Times New Roman"/>
          <w:b/>
          <w:bCs/>
          <w:color w:val="000000" w:themeColor="text1"/>
          <w:sz w:val="24"/>
          <w:szCs w:val="24"/>
          <w:lang w:val="en-IN" w:eastAsia="en-IN"/>
        </w:rPr>
        <w:t xml:space="preserve"> 1: Treatment Combinations Used in the Experiment</w:t>
      </w:r>
    </w:p>
    <w:tbl>
      <w:tblPr>
        <w:tblStyle w:val="TableGrid"/>
        <w:tblW w:w="0" w:type="auto"/>
        <w:tblLook w:val="04A0" w:firstRow="1" w:lastRow="0" w:firstColumn="1" w:lastColumn="0" w:noHBand="0" w:noVBand="1"/>
      </w:tblPr>
      <w:tblGrid>
        <w:gridCol w:w="2830"/>
        <w:gridCol w:w="6520"/>
      </w:tblGrid>
      <w:tr w:rsidR="007D1D36" w:rsidRPr="007D1D36" w14:paraId="586E1B96" w14:textId="77777777" w:rsidTr="003A45B2">
        <w:tc>
          <w:tcPr>
            <w:tcW w:w="2830" w:type="dxa"/>
          </w:tcPr>
          <w:p w14:paraId="712D0055" w14:textId="361A5C3C"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b/>
                <w:bCs/>
                <w:color w:val="000000" w:themeColor="text1"/>
                <w:sz w:val="24"/>
                <w:szCs w:val="24"/>
              </w:rPr>
              <w:t>Treatment Code</w:t>
            </w:r>
          </w:p>
        </w:tc>
        <w:tc>
          <w:tcPr>
            <w:tcW w:w="6520" w:type="dxa"/>
          </w:tcPr>
          <w:p w14:paraId="6672AD45" w14:textId="2C514A4E"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b/>
                <w:bCs/>
                <w:color w:val="000000" w:themeColor="text1"/>
                <w:sz w:val="24"/>
                <w:szCs w:val="24"/>
              </w:rPr>
              <w:t>Treatment Description</w:t>
            </w:r>
          </w:p>
        </w:tc>
      </w:tr>
      <w:tr w:rsidR="007D1D36" w:rsidRPr="007D1D36" w14:paraId="1CA29CFD" w14:textId="77777777" w:rsidTr="003A45B2">
        <w:tc>
          <w:tcPr>
            <w:tcW w:w="2830" w:type="dxa"/>
          </w:tcPr>
          <w:p w14:paraId="13253C6F" w14:textId="459C6A60"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rPr>
              <w:t>T₁</w:t>
            </w:r>
          </w:p>
        </w:tc>
        <w:tc>
          <w:tcPr>
            <w:tcW w:w="6520" w:type="dxa"/>
          </w:tcPr>
          <w:p w14:paraId="168C3A3B" w14:textId="1CA9CF20"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rPr>
              <w:t xml:space="preserve">Control (No phosphorus, </w:t>
            </w:r>
            <w:proofErr w:type="spellStart"/>
            <w:r w:rsidRPr="007D1D36">
              <w:rPr>
                <w:rFonts w:ascii="Times New Roman" w:hAnsi="Times New Roman"/>
                <w:color w:val="000000" w:themeColor="text1"/>
                <w:sz w:val="24"/>
                <w:szCs w:val="24"/>
              </w:rPr>
              <w:t>sulphur</w:t>
            </w:r>
            <w:proofErr w:type="spellEnd"/>
            <w:r w:rsidRPr="007D1D36">
              <w:rPr>
                <w:rFonts w:ascii="Times New Roman" w:hAnsi="Times New Roman"/>
                <w:color w:val="000000" w:themeColor="text1"/>
                <w:sz w:val="24"/>
                <w:szCs w:val="24"/>
              </w:rPr>
              <w:t>, or PSB)</w:t>
            </w:r>
          </w:p>
        </w:tc>
      </w:tr>
      <w:tr w:rsidR="007D1D36" w:rsidRPr="007D1D36" w14:paraId="3347A45B" w14:textId="77777777" w:rsidTr="003A45B2">
        <w:tc>
          <w:tcPr>
            <w:tcW w:w="2830" w:type="dxa"/>
          </w:tcPr>
          <w:p w14:paraId="256D4830" w14:textId="397BC7D5"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rPr>
              <w:t>T₂</w:t>
            </w:r>
          </w:p>
        </w:tc>
        <w:tc>
          <w:tcPr>
            <w:tcW w:w="6520" w:type="dxa"/>
          </w:tcPr>
          <w:p w14:paraId="6C772EB4" w14:textId="5CADFB9C"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rPr>
              <w:t>40 kg P₂O₅ /ha</w:t>
            </w:r>
          </w:p>
        </w:tc>
      </w:tr>
      <w:tr w:rsidR="007D1D36" w:rsidRPr="007D1D36" w14:paraId="3199D50C" w14:textId="77777777" w:rsidTr="003A45B2">
        <w:tc>
          <w:tcPr>
            <w:tcW w:w="2830" w:type="dxa"/>
          </w:tcPr>
          <w:p w14:paraId="5E78FF5D" w14:textId="199A8995"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rPr>
              <w:t>T₃</w:t>
            </w:r>
          </w:p>
        </w:tc>
        <w:tc>
          <w:tcPr>
            <w:tcW w:w="6520" w:type="dxa"/>
          </w:tcPr>
          <w:p w14:paraId="62E9777D" w14:textId="589CE0E9"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it-IT" w:eastAsia="en-IN"/>
              </w:rPr>
            </w:pPr>
            <w:r w:rsidRPr="007D1D36">
              <w:rPr>
                <w:rFonts w:ascii="Times New Roman" w:hAnsi="Times New Roman"/>
                <w:color w:val="000000" w:themeColor="text1"/>
                <w:sz w:val="24"/>
                <w:szCs w:val="24"/>
                <w:lang w:val="it-IT"/>
              </w:rPr>
              <w:t>40 kg P₂O₅ /ha + PSB (4.0 kg/ha)</w:t>
            </w:r>
          </w:p>
        </w:tc>
      </w:tr>
      <w:tr w:rsidR="007D1D36" w:rsidRPr="007D1D36" w14:paraId="70B459E6" w14:textId="77777777" w:rsidTr="003A45B2">
        <w:tc>
          <w:tcPr>
            <w:tcW w:w="2830" w:type="dxa"/>
          </w:tcPr>
          <w:p w14:paraId="758EF0A4" w14:textId="156D24F0"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rPr>
              <w:lastRenderedPageBreak/>
              <w:t>T₄</w:t>
            </w:r>
          </w:p>
        </w:tc>
        <w:tc>
          <w:tcPr>
            <w:tcW w:w="6520" w:type="dxa"/>
          </w:tcPr>
          <w:p w14:paraId="07B2C821" w14:textId="172EB9F2"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it-IT" w:eastAsia="en-IN"/>
              </w:rPr>
            </w:pPr>
            <w:r w:rsidRPr="007D1D36">
              <w:rPr>
                <w:rFonts w:ascii="Times New Roman" w:hAnsi="Times New Roman"/>
                <w:color w:val="000000" w:themeColor="text1"/>
                <w:sz w:val="24"/>
                <w:szCs w:val="24"/>
                <w:lang w:val="it-IT"/>
              </w:rPr>
              <w:t>20 kg P₂O₅ /ha + PSB (4.0 kg/ha)</w:t>
            </w:r>
          </w:p>
        </w:tc>
      </w:tr>
      <w:tr w:rsidR="007D1D36" w:rsidRPr="007D1D36" w14:paraId="76C8B895" w14:textId="77777777" w:rsidTr="003A45B2">
        <w:tc>
          <w:tcPr>
            <w:tcW w:w="2830" w:type="dxa"/>
          </w:tcPr>
          <w:p w14:paraId="51E9CA6F" w14:textId="76A03993"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rPr>
              <w:t>T₅</w:t>
            </w:r>
          </w:p>
        </w:tc>
        <w:tc>
          <w:tcPr>
            <w:tcW w:w="6520" w:type="dxa"/>
          </w:tcPr>
          <w:p w14:paraId="1107E429" w14:textId="7BCDB33C"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rPr>
              <w:t>40 kg P₂O₅ /ha + 20 kg S/ha</w:t>
            </w:r>
          </w:p>
        </w:tc>
      </w:tr>
      <w:tr w:rsidR="007D1D36" w:rsidRPr="007D1D36" w14:paraId="4082EAEE" w14:textId="77777777" w:rsidTr="003A45B2">
        <w:tc>
          <w:tcPr>
            <w:tcW w:w="2830" w:type="dxa"/>
          </w:tcPr>
          <w:p w14:paraId="0A5FE6F0" w14:textId="1D62084C"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rPr>
              <w:t>T₆</w:t>
            </w:r>
          </w:p>
        </w:tc>
        <w:tc>
          <w:tcPr>
            <w:tcW w:w="6520" w:type="dxa"/>
          </w:tcPr>
          <w:p w14:paraId="1C2B3452" w14:textId="54E51D0E"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it-IT" w:eastAsia="en-IN"/>
              </w:rPr>
            </w:pPr>
            <w:r w:rsidRPr="007D1D36">
              <w:rPr>
                <w:rFonts w:ascii="Times New Roman" w:hAnsi="Times New Roman"/>
                <w:color w:val="000000" w:themeColor="text1"/>
                <w:sz w:val="24"/>
                <w:szCs w:val="24"/>
                <w:lang w:val="it-IT"/>
              </w:rPr>
              <w:t>40 kg P₂O₅ /ha + 20 kg S/ha + PSB (4.0 kg/ha)</w:t>
            </w:r>
          </w:p>
        </w:tc>
      </w:tr>
      <w:tr w:rsidR="007D1D36" w:rsidRPr="007D1D36" w14:paraId="6C40FBAB" w14:textId="77777777" w:rsidTr="003A45B2">
        <w:tc>
          <w:tcPr>
            <w:tcW w:w="2830" w:type="dxa"/>
          </w:tcPr>
          <w:p w14:paraId="5D392C3C" w14:textId="74988CEE"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rPr>
              <w:t>T₇</w:t>
            </w:r>
          </w:p>
        </w:tc>
        <w:tc>
          <w:tcPr>
            <w:tcW w:w="6520" w:type="dxa"/>
          </w:tcPr>
          <w:p w14:paraId="7562D98D" w14:textId="1B63876A"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it-IT" w:eastAsia="en-IN"/>
              </w:rPr>
            </w:pPr>
            <w:r w:rsidRPr="007D1D36">
              <w:rPr>
                <w:rFonts w:ascii="Times New Roman" w:hAnsi="Times New Roman"/>
                <w:color w:val="000000" w:themeColor="text1"/>
                <w:sz w:val="24"/>
                <w:szCs w:val="24"/>
                <w:lang w:val="it-IT"/>
              </w:rPr>
              <w:t>20 kg P₂O₅ /ha + 20 kg S/ha + PSB (4.0 kg/ha)</w:t>
            </w:r>
          </w:p>
        </w:tc>
      </w:tr>
      <w:tr w:rsidR="007D66E6" w:rsidRPr="007D1D36" w14:paraId="4B7196F0" w14:textId="77777777" w:rsidTr="003A45B2">
        <w:trPr>
          <w:trHeight w:val="58"/>
        </w:trPr>
        <w:tc>
          <w:tcPr>
            <w:tcW w:w="2830" w:type="dxa"/>
          </w:tcPr>
          <w:p w14:paraId="40F56BAF" w14:textId="544EB836"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rPr>
              <w:t>T₈</w:t>
            </w:r>
          </w:p>
        </w:tc>
        <w:tc>
          <w:tcPr>
            <w:tcW w:w="6520" w:type="dxa"/>
          </w:tcPr>
          <w:p w14:paraId="2230F69D" w14:textId="6AFDCD20" w:rsidR="007C6E5D" w:rsidRPr="007D1D36" w:rsidRDefault="007C6E5D" w:rsidP="007C6E5D">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rPr>
              <w:t>PSB only (4.0 kg/ha</w:t>
            </w:r>
          </w:p>
        </w:tc>
      </w:tr>
    </w:tbl>
    <w:p w14:paraId="24A841CE" w14:textId="77777777" w:rsidR="003A45B2" w:rsidRPr="007D1D36" w:rsidRDefault="003A45B2" w:rsidP="007C6E5D">
      <w:pPr>
        <w:pStyle w:val="BodyText"/>
        <w:spacing w:line="360" w:lineRule="auto"/>
        <w:ind w:right="26"/>
        <w:jc w:val="both"/>
        <w:rPr>
          <w:color w:val="000000" w:themeColor="text1"/>
        </w:rPr>
      </w:pPr>
    </w:p>
    <w:p w14:paraId="30F3E6CE" w14:textId="77777777" w:rsidR="00092821" w:rsidRPr="007D1D36" w:rsidRDefault="00092821" w:rsidP="00092821">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b/>
          <w:bCs/>
          <w:color w:val="000000" w:themeColor="text1"/>
          <w:sz w:val="24"/>
          <w:szCs w:val="24"/>
          <w:lang w:val="en-IN" w:eastAsia="en-IN"/>
        </w:rPr>
        <w:t>Experimental Details</w:t>
      </w:r>
    </w:p>
    <w:p w14:paraId="17EA390A" w14:textId="77777777" w:rsidR="00092821" w:rsidRPr="007D1D36" w:rsidRDefault="00092821" w:rsidP="00092821">
      <w:pPr>
        <w:spacing w:before="100" w:beforeAutospacing="1" w:after="100" w:afterAutospacing="1" w:line="360" w:lineRule="auto"/>
        <w:ind w:left="360"/>
        <w:rPr>
          <w:rFonts w:ascii="Times New Roman" w:hAnsi="Times New Roman"/>
          <w:color w:val="000000" w:themeColor="text1"/>
          <w:sz w:val="24"/>
          <w:szCs w:val="24"/>
          <w:lang w:val="en-IN" w:eastAsia="en-IN"/>
        </w:rPr>
      </w:pPr>
      <w:r w:rsidRPr="007D1D36">
        <w:rPr>
          <w:rFonts w:ascii="Times New Roman" w:hAnsi="Times New Roman"/>
          <w:b/>
          <w:bCs/>
          <w:color w:val="000000" w:themeColor="text1"/>
          <w:sz w:val="24"/>
          <w:szCs w:val="24"/>
          <w:lang w:val="en-IN" w:eastAsia="en-IN"/>
        </w:rPr>
        <w:t>Plot size</w:t>
      </w:r>
      <w:r w:rsidRPr="007D1D36">
        <w:rPr>
          <w:rFonts w:ascii="Times New Roman" w:hAnsi="Times New Roman"/>
          <w:color w:val="000000" w:themeColor="text1"/>
          <w:sz w:val="24"/>
          <w:szCs w:val="24"/>
          <w:lang w:val="en-IN" w:eastAsia="en-IN"/>
        </w:rPr>
        <w:t>: 4.0 m × 3.0 m (12.0 m² per plot)</w:t>
      </w:r>
    </w:p>
    <w:p w14:paraId="0F9B040F" w14:textId="77777777" w:rsidR="00092821" w:rsidRPr="007D1D36" w:rsidRDefault="00092821" w:rsidP="00092821">
      <w:pPr>
        <w:spacing w:before="100" w:beforeAutospacing="1" w:after="100" w:afterAutospacing="1" w:line="360" w:lineRule="auto"/>
        <w:ind w:left="360"/>
        <w:rPr>
          <w:rFonts w:ascii="Times New Roman" w:hAnsi="Times New Roman"/>
          <w:color w:val="000000" w:themeColor="text1"/>
          <w:sz w:val="24"/>
          <w:szCs w:val="24"/>
          <w:lang w:val="en-IN" w:eastAsia="en-IN"/>
        </w:rPr>
      </w:pPr>
      <w:r w:rsidRPr="007D1D36">
        <w:rPr>
          <w:rFonts w:ascii="Times New Roman" w:hAnsi="Times New Roman"/>
          <w:b/>
          <w:bCs/>
          <w:color w:val="000000" w:themeColor="text1"/>
          <w:sz w:val="24"/>
          <w:szCs w:val="24"/>
          <w:lang w:val="en-IN" w:eastAsia="en-IN"/>
        </w:rPr>
        <w:t>Spacing</w:t>
      </w:r>
      <w:r w:rsidRPr="007D1D36">
        <w:rPr>
          <w:rFonts w:ascii="Times New Roman" w:hAnsi="Times New Roman"/>
          <w:color w:val="000000" w:themeColor="text1"/>
          <w:sz w:val="24"/>
          <w:szCs w:val="24"/>
          <w:lang w:val="en-IN" w:eastAsia="en-IN"/>
        </w:rPr>
        <w:t>: 30 cm (row-to-row) × 10 cm (plant-to-plant)</w:t>
      </w:r>
    </w:p>
    <w:p w14:paraId="48F77B9B" w14:textId="77777777" w:rsidR="00092821" w:rsidRPr="007D1D36" w:rsidRDefault="00092821" w:rsidP="00092821">
      <w:pPr>
        <w:spacing w:before="100" w:beforeAutospacing="1" w:after="100" w:afterAutospacing="1" w:line="360" w:lineRule="auto"/>
        <w:ind w:left="360"/>
        <w:rPr>
          <w:rFonts w:ascii="Times New Roman" w:hAnsi="Times New Roman"/>
          <w:color w:val="000000" w:themeColor="text1"/>
          <w:sz w:val="24"/>
          <w:szCs w:val="24"/>
          <w:lang w:val="en-IN" w:eastAsia="en-IN"/>
        </w:rPr>
      </w:pPr>
      <w:r w:rsidRPr="007D1D36">
        <w:rPr>
          <w:rFonts w:ascii="Times New Roman" w:hAnsi="Times New Roman"/>
          <w:b/>
          <w:bCs/>
          <w:color w:val="000000" w:themeColor="text1"/>
          <w:sz w:val="24"/>
          <w:szCs w:val="24"/>
          <w:lang w:val="en-IN" w:eastAsia="en-IN"/>
        </w:rPr>
        <w:t>Seed rate</w:t>
      </w:r>
      <w:r w:rsidRPr="007D1D36">
        <w:rPr>
          <w:rFonts w:ascii="Times New Roman" w:hAnsi="Times New Roman"/>
          <w:color w:val="000000" w:themeColor="text1"/>
          <w:sz w:val="24"/>
          <w:szCs w:val="24"/>
          <w:lang w:val="en-IN" w:eastAsia="en-IN"/>
        </w:rPr>
        <w:t>: 25.0 kg/ha</w:t>
      </w:r>
    </w:p>
    <w:p w14:paraId="594DC013" w14:textId="77777777" w:rsidR="00092821" w:rsidRPr="007D1D36" w:rsidRDefault="00092821" w:rsidP="00092821">
      <w:pPr>
        <w:spacing w:before="100" w:beforeAutospacing="1" w:after="100" w:afterAutospacing="1" w:line="360" w:lineRule="auto"/>
        <w:ind w:left="360"/>
        <w:rPr>
          <w:rFonts w:ascii="Times New Roman" w:hAnsi="Times New Roman"/>
          <w:color w:val="000000" w:themeColor="text1"/>
          <w:sz w:val="24"/>
          <w:szCs w:val="24"/>
          <w:lang w:val="en-IN" w:eastAsia="en-IN"/>
        </w:rPr>
      </w:pPr>
      <w:r w:rsidRPr="007D1D36">
        <w:rPr>
          <w:rFonts w:ascii="Times New Roman" w:hAnsi="Times New Roman"/>
          <w:b/>
          <w:bCs/>
          <w:color w:val="000000" w:themeColor="text1"/>
          <w:sz w:val="24"/>
          <w:szCs w:val="24"/>
          <w:lang w:val="en-IN" w:eastAsia="en-IN"/>
        </w:rPr>
        <w:t>Border rows</w:t>
      </w:r>
      <w:r w:rsidRPr="007D1D36">
        <w:rPr>
          <w:rFonts w:ascii="Times New Roman" w:hAnsi="Times New Roman"/>
          <w:color w:val="000000" w:themeColor="text1"/>
          <w:sz w:val="24"/>
          <w:szCs w:val="24"/>
          <w:lang w:val="en-IN" w:eastAsia="en-IN"/>
        </w:rPr>
        <w:t>: One row on all sides of each replication was maintained as a border to minimize edge effects</w:t>
      </w:r>
    </w:p>
    <w:p w14:paraId="16CE7FC8" w14:textId="77777777" w:rsidR="00092821" w:rsidRPr="007D1D36" w:rsidRDefault="00092821" w:rsidP="00092821">
      <w:pPr>
        <w:spacing w:before="100" w:beforeAutospacing="1" w:after="100" w:afterAutospacing="1" w:line="360" w:lineRule="auto"/>
        <w:ind w:left="360"/>
        <w:rPr>
          <w:rFonts w:ascii="Times New Roman" w:hAnsi="Times New Roman"/>
          <w:color w:val="000000" w:themeColor="text1"/>
          <w:sz w:val="24"/>
          <w:szCs w:val="24"/>
          <w:lang w:val="en-IN" w:eastAsia="en-IN"/>
        </w:rPr>
      </w:pPr>
      <w:r w:rsidRPr="007D1D36">
        <w:rPr>
          <w:rFonts w:ascii="Times New Roman" w:hAnsi="Times New Roman"/>
          <w:b/>
          <w:bCs/>
          <w:color w:val="000000" w:themeColor="text1"/>
          <w:sz w:val="24"/>
          <w:szCs w:val="24"/>
          <w:lang w:val="en-IN" w:eastAsia="en-IN"/>
        </w:rPr>
        <w:t>Field layout</w:t>
      </w:r>
      <w:r w:rsidRPr="007D1D36">
        <w:rPr>
          <w:rFonts w:ascii="Times New Roman" w:hAnsi="Times New Roman"/>
          <w:color w:val="000000" w:themeColor="text1"/>
          <w:sz w:val="24"/>
          <w:szCs w:val="24"/>
          <w:lang w:val="en-IN" w:eastAsia="en-IN"/>
        </w:rPr>
        <w:t>: Plots were laid out with buffer spaces of 0.5 m between plots and 1.0 m between replications</w:t>
      </w:r>
    </w:p>
    <w:p w14:paraId="6E40E307" w14:textId="77777777" w:rsidR="00092821" w:rsidRPr="007D1D36" w:rsidRDefault="00092821" w:rsidP="00092821">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b/>
          <w:bCs/>
          <w:color w:val="000000" w:themeColor="text1"/>
          <w:sz w:val="24"/>
          <w:szCs w:val="24"/>
          <w:lang w:val="en-IN" w:eastAsia="en-IN"/>
        </w:rPr>
        <w:t>Nutrient Application and PSB Inoculation</w:t>
      </w:r>
    </w:p>
    <w:p w14:paraId="4A526C98" w14:textId="77777777" w:rsidR="00092821" w:rsidRPr="007D1D36" w:rsidRDefault="00092821" w:rsidP="00092821">
      <w:pPr>
        <w:spacing w:before="100" w:beforeAutospacing="1" w:after="100" w:afterAutospacing="1" w:line="360" w:lineRule="auto"/>
        <w:ind w:left="360"/>
        <w:rPr>
          <w:rFonts w:ascii="Times New Roman" w:hAnsi="Times New Roman"/>
          <w:color w:val="000000" w:themeColor="text1"/>
          <w:sz w:val="24"/>
          <w:szCs w:val="24"/>
          <w:lang w:val="en-IN" w:eastAsia="en-IN"/>
        </w:rPr>
      </w:pPr>
      <w:r w:rsidRPr="007D1D36">
        <w:rPr>
          <w:rFonts w:ascii="Times New Roman" w:hAnsi="Times New Roman"/>
          <w:b/>
          <w:bCs/>
          <w:color w:val="000000" w:themeColor="text1"/>
          <w:sz w:val="24"/>
          <w:szCs w:val="24"/>
          <w:lang w:val="en-IN" w:eastAsia="en-IN"/>
        </w:rPr>
        <w:t>Basal Fertilization</w:t>
      </w:r>
      <w:r w:rsidRPr="007D1D36">
        <w:rPr>
          <w:rFonts w:ascii="Times New Roman" w:hAnsi="Times New Roman"/>
          <w:color w:val="000000" w:themeColor="text1"/>
          <w:sz w:val="24"/>
          <w:szCs w:val="24"/>
          <w:lang w:val="en-IN" w:eastAsia="en-IN"/>
        </w:rPr>
        <w:t>: All plots received a uniform basal dose of nitrogen and potassium at 20:20 kg/ha through urea and muriate of potash (MOP), respectively.</w:t>
      </w:r>
    </w:p>
    <w:p w14:paraId="571CD02B" w14:textId="77777777" w:rsidR="00092821" w:rsidRPr="007D1D36" w:rsidRDefault="00092821" w:rsidP="00092821">
      <w:pPr>
        <w:spacing w:before="100" w:beforeAutospacing="1" w:after="100" w:afterAutospacing="1" w:line="360" w:lineRule="auto"/>
        <w:ind w:left="360"/>
        <w:rPr>
          <w:rFonts w:ascii="Times New Roman" w:hAnsi="Times New Roman"/>
          <w:color w:val="000000" w:themeColor="text1"/>
          <w:sz w:val="24"/>
          <w:szCs w:val="24"/>
          <w:lang w:val="en-IN" w:eastAsia="en-IN"/>
        </w:rPr>
      </w:pPr>
      <w:r w:rsidRPr="007D1D36">
        <w:rPr>
          <w:rFonts w:ascii="Times New Roman" w:hAnsi="Times New Roman"/>
          <w:b/>
          <w:bCs/>
          <w:color w:val="000000" w:themeColor="text1"/>
          <w:sz w:val="24"/>
          <w:szCs w:val="24"/>
          <w:lang w:val="en-IN" w:eastAsia="en-IN"/>
        </w:rPr>
        <w:t>Phosphorus and Sulphur</w:t>
      </w:r>
      <w:r w:rsidRPr="007D1D36">
        <w:rPr>
          <w:rFonts w:ascii="Times New Roman" w:hAnsi="Times New Roman"/>
          <w:color w:val="000000" w:themeColor="text1"/>
          <w:sz w:val="24"/>
          <w:szCs w:val="24"/>
          <w:lang w:val="en-IN" w:eastAsia="en-IN"/>
        </w:rPr>
        <w:t>: Applied as per treatments through Single Super Phosphate (SSP) and elemental sulphur.</w:t>
      </w:r>
    </w:p>
    <w:p w14:paraId="46886204" w14:textId="3A2F4C9A" w:rsidR="00092821" w:rsidRPr="007D1D36" w:rsidRDefault="00092821" w:rsidP="00092821">
      <w:pPr>
        <w:spacing w:before="100" w:beforeAutospacing="1" w:after="100" w:afterAutospacing="1" w:line="360" w:lineRule="auto"/>
        <w:ind w:left="360"/>
        <w:rPr>
          <w:color w:val="000000" w:themeColor="text1"/>
          <w:sz w:val="24"/>
          <w:szCs w:val="24"/>
          <w:lang w:val="en-IN" w:eastAsia="en-IN"/>
        </w:rPr>
      </w:pPr>
      <w:r w:rsidRPr="007D1D36">
        <w:rPr>
          <w:b/>
          <w:bCs/>
          <w:color w:val="000000" w:themeColor="text1"/>
          <w:sz w:val="24"/>
          <w:szCs w:val="24"/>
          <w:lang w:val="en-IN" w:eastAsia="en-IN"/>
        </w:rPr>
        <w:t>PSB Inoculation</w:t>
      </w:r>
      <w:r w:rsidRPr="007D1D36">
        <w:rPr>
          <w:color w:val="000000" w:themeColor="text1"/>
          <w:sz w:val="24"/>
          <w:szCs w:val="24"/>
          <w:lang w:val="en-IN" w:eastAsia="en-IN"/>
        </w:rPr>
        <w:t xml:space="preserve">: </w:t>
      </w:r>
      <w:r w:rsidRPr="007D1D36">
        <w:rPr>
          <w:rFonts w:ascii="Times New Roman" w:hAnsi="Times New Roman"/>
          <w:color w:val="000000" w:themeColor="text1"/>
          <w:sz w:val="24"/>
          <w:szCs w:val="24"/>
          <w:lang w:val="en-IN" w:eastAsia="en-IN"/>
        </w:rPr>
        <w:t>A solid-based PSB formulation (carrier: charcoal; source: OUAT Biofertilizer Laboratory) was used. Seeds were uniformly coated with 4.0 kg/ha of PSB powder using a 10% jaggery solution as an adhesive. After coating, seeds were shade-dried for 30 minutes before sowing. In treatments requiring soil application, PSB was mixed with 10 kg of fine sand and broadcast uniformly at sowing.</w:t>
      </w:r>
    </w:p>
    <w:p w14:paraId="1FE8ABFC" w14:textId="77777777" w:rsidR="00092821" w:rsidRPr="007D1D36" w:rsidRDefault="00092821" w:rsidP="00092821">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b/>
          <w:bCs/>
          <w:color w:val="000000" w:themeColor="text1"/>
          <w:sz w:val="24"/>
          <w:szCs w:val="24"/>
          <w:lang w:val="en-IN" w:eastAsia="en-IN"/>
        </w:rPr>
        <w:lastRenderedPageBreak/>
        <w:t>Data Collection and Analysis</w:t>
      </w:r>
    </w:p>
    <w:p w14:paraId="3C1AB44B" w14:textId="77777777" w:rsidR="00092821" w:rsidRPr="007D1D36" w:rsidRDefault="00092821" w:rsidP="00092821">
      <w:pPr>
        <w:spacing w:before="100" w:beforeAutospacing="1" w:after="100" w:afterAutospacing="1" w:line="360" w:lineRule="auto"/>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 xml:space="preserve">Five plants were randomly selected and </w:t>
      </w:r>
      <w:proofErr w:type="spellStart"/>
      <w:r w:rsidRPr="007D1D36">
        <w:rPr>
          <w:rFonts w:ascii="Times New Roman" w:hAnsi="Times New Roman"/>
          <w:color w:val="000000" w:themeColor="text1"/>
          <w:sz w:val="24"/>
          <w:szCs w:val="24"/>
          <w:lang w:val="en-IN" w:eastAsia="en-IN"/>
        </w:rPr>
        <w:t>labeled</w:t>
      </w:r>
      <w:proofErr w:type="spellEnd"/>
      <w:r w:rsidRPr="007D1D36">
        <w:rPr>
          <w:rFonts w:ascii="Times New Roman" w:hAnsi="Times New Roman"/>
          <w:color w:val="000000" w:themeColor="text1"/>
          <w:sz w:val="24"/>
          <w:szCs w:val="24"/>
          <w:lang w:val="en-IN" w:eastAsia="en-IN"/>
        </w:rPr>
        <w:t xml:space="preserve"> in each plot for recording the following parameters at harvest:</w:t>
      </w:r>
    </w:p>
    <w:p w14:paraId="6783819A" w14:textId="77777777" w:rsidR="00092821" w:rsidRPr="007D1D36" w:rsidRDefault="00092821" w:rsidP="00092821">
      <w:pPr>
        <w:numPr>
          <w:ilvl w:val="0"/>
          <w:numId w:val="8"/>
        </w:numPr>
        <w:spacing w:before="100" w:beforeAutospacing="1" w:after="100" w:afterAutospacing="1" w:line="360" w:lineRule="auto"/>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Growth parameters: Plant height (cm), number of branches per plant</w:t>
      </w:r>
    </w:p>
    <w:p w14:paraId="3B0FE16A" w14:textId="77777777" w:rsidR="00092821" w:rsidRPr="007D1D36" w:rsidRDefault="00092821" w:rsidP="00092821">
      <w:pPr>
        <w:numPr>
          <w:ilvl w:val="0"/>
          <w:numId w:val="8"/>
        </w:numPr>
        <w:spacing w:before="100" w:beforeAutospacing="1" w:after="100" w:afterAutospacing="1" w:line="360" w:lineRule="auto"/>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Yield attributes: Number of pods per plant, pod length (cm), number of seeds per pod, test weight (g)</w:t>
      </w:r>
    </w:p>
    <w:p w14:paraId="6B476BA2" w14:textId="77777777" w:rsidR="00092821" w:rsidRPr="007D1D36" w:rsidRDefault="00092821" w:rsidP="00092821">
      <w:pPr>
        <w:numPr>
          <w:ilvl w:val="0"/>
          <w:numId w:val="8"/>
        </w:numPr>
        <w:spacing w:before="100" w:beforeAutospacing="1" w:after="100" w:afterAutospacing="1" w:line="360" w:lineRule="auto"/>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Yield: Seed yield (q/ha), haulm yield (q/ha)</w:t>
      </w:r>
    </w:p>
    <w:p w14:paraId="2DF914AC" w14:textId="77777777" w:rsidR="00092821" w:rsidRPr="007D1D36" w:rsidRDefault="00092821" w:rsidP="00092821">
      <w:pPr>
        <w:numPr>
          <w:ilvl w:val="0"/>
          <w:numId w:val="8"/>
        </w:numPr>
        <w:spacing w:before="100" w:beforeAutospacing="1" w:after="100" w:afterAutospacing="1" w:line="360" w:lineRule="auto"/>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Nutrient uptake: N, P, and K uptake in kg/ha</w:t>
      </w:r>
    </w:p>
    <w:p w14:paraId="479AD6D6" w14:textId="77777777" w:rsidR="00092821" w:rsidRPr="007D1D36" w:rsidRDefault="00092821" w:rsidP="00092821">
      <w:pPr>
        <w:numPr>
          <w:ilvl w:val="0"/>
          <w:numId w:val="8"/>
        </w:numPr>
        <w:spacing w:before="100" w:beforeAutospacing="1" w:after="100" w:afterAutospacing="1" w:line="360" w:lineRule="auto"/>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Post-harvest soil analysis was carried out for available N, P, and K</w:t>
      </w:r>
    </w:p>
    <w:p w14:paraId="06279CD4" w14:textId="77777777" w:rsidR="00092821" w:rsidRPr="007D1D36" w:rsidRDefault="00092821" w:rsidP="00092821">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b/>
          <w:bCs/>
          <w:color w:val="000000" w:themeColor="text1"/>
          <w:sz w:val="24"/>
          <w:szCs w:val="24"/>
          <w:lang w:val="en-IN" w:eastAsia="en-IN"/>
        </w:rPr>
        <w:t>Statistical Analysis</w:t>
      </w:r>
    </w:p>
    <w:p w14:paraId="015524BA" w14:textId="39A1903F" w:rsidR="00092821" w:rsidRPr="007D1D36" w:rsidRDefault="00092821" w:rsidP="00092821">
      <w:pPr>
        <w:spacing w:before="100" w:beforeAutospacing="1" w:after="100" w:afterAutospacing="1" w:line="360" w:lineRule="auto"/>
        <w:outlineLvl w:val="2"/>
        <w:rPr>
          <w:rFonts w:ascii="Times New Roman" w:hAnsi="Times New Roman"/>
          <w:b/>
          <w:bCs/>
          <w:color w:val="000000" w:themeColor="text1"/>
          <w:sz w:val="24"/>
          <w:szCs w:val="24"/>
          <w:lang w:val="en-IN" w:eastAsia="en-IN"/>
        </w:rPr>
      </w:pPr>
      <w:r w:rsidRPr="007D1D36">
        <w:rPr>
          <w:rFonts w:ascii="Times New Roman" w:hAnsi="Times New Roman"/>
          <w:color w:val="000000" w:themeColor="text1"/>
          <w:sz w:val="24"/>
          <w:szCs w:val="24"/>
          <w:lang w:val="en-IN" w:eastAsia="en-IN"/>
        </w:rPr>
        <w:t xml:space="preserve">All recorded data were </w:t>
      </w:r>
      <w:proofErr w:type="spellStart"/>
      <w:r w:rsidRPr="007D1D36">
        <w:rPr>
          <w:rFonts w:ascii="Times New Roman" w:hAnsi="Times New Roman"/>
          <w:color w:val="000000" w:themeColor="text1"/>
          <w:sz w:val="24"/>
          <w:szCs w:val="24"/>
          <w:lang w:val="en-IN" w:eastAsia="en-IN"/>
        </w:rPr>
        <w:t>analyzed</w:t>
      </w:r>
      <w:proofErr w:type="spellEnd"/>
      <w:r w:rsidRPr="007D1D36">
        <w:rPr>
          <w:rFonts w:ascii="Times New Roman" w:hAnsi="Times New Roman"/>
          <w:color w:val="000000" w:themeColor="text1"/>
          <w:sz w:val="24"/>
          <w:szCs w:val="24"/>
          <w:lang w:val="en-IN" w:eastAsia="en-IN"/>
        </w:rPr>
        <w:t xml:space="preserve"> using Analysis of Variance (ANOVA) following the procedure outlined by Gomez and Gomez (1984). Treatment means were compared using the Least Significant Difference (LSD) test at the 5% level of significance (p &lt; 0.05) to determine significant differences among treatments.</w:t>
      </w:r>
    </w:p>
    <w:p w14:paraId="769C4B7F" w14:textId="77777777" w:rsidR="00956158" w:rsidRPr="007D1D36" w:rsidRDefault="00956158" w:rsidP="005D213E">
      <w:pPr>
        <w:pStyle w:val="Heading1"/>
        <w:spacing w:line="360" w:lineRule="auto"/>
        <w:jc w:val="both"/>
        <w:rPr>
          <w:color w:val="000000" w:themeColor="text1"/>
          <w:lang w:val="en-IN"/>
        </w:rPr>
      </w:pPr>
    </w:p>
    <w:p w14:paraId="05A7A413" w14:textId="77777777" w:rsidR="00B16E85" w:rsidRPr="007D1D36" w:rsidRDefault="00B16E85" w:rsidP="00B16E85">
      <w:pPr>
        <w:spacing w:before="100" w:beforeAutospacing="1" w:after="100" w:afterAutospacing="1" w:line="240" w:lineRule="auto"/>
        <w:outlineLvl w:val="2"/>
        <w:rPr>
          <w:rFonts w:ascii="Times New Roman" w:hAnsi="Times New Roman"/>
          <w:b/>
          <w:bCs/>
          <w:color w:val="000000" w:themeColor="text1"/>
          <w:sz w:val="27"/>
          <w:szCs w:val="27"/>
          <w:lang w:val="en-IN" w:eastAsia="en-IN"/>
        </w:rPr>
      </w:pPr>
      <w:r w:rsidRPr="007D1D36">
        <w:rPr>
          <w:rFonts w:ascii="Times New Roman" w:hAnsi="Times New Roman"/>
          <w:b/>
          <w:bCs/>
          <w:color w:val="000000" w:themeColor="text1"/>
          <w:sz w:val="27"/>
          <w:szCs w:val="27"/>
          <w:lang w:val="en-IN" w:eastAsia="en-IN"/>
        </w:rPr>
        <w:t>RESULTS AND DISCUSSION</w:t>
      </w:r>
    </w:p>
    <w:p w14:paraId="51E07C85" w14:textId="15C6191F"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The pooled data from the Kharif seasons of 2020 and 2021 (Tables 1–3) demonstrate the significant influence of integrated nutrient management on the growth, yield, and nutrient uptake of black gram (Vigna mungo L.). Notably, treatment T₆—comprising 40.0 kg P₂O₅/ha, 20.0 kg S/ha, and phosphate-solubilizing bacteria (PSB) at 4.0 kg/ha—consistently outperformed other treatments, highlighting the benefits of combining chemical fertilizers with biofertilizers under acidic soil conditions.</w:t>
      </w:r>
    </w:p>
    <w:p w14:paraId="2C15CA57" w14:textId="77777777" w:rsidR="00B16E85" w:rsidRPr="007D1D36" w:rsidRDefault="00B16E85" w:rsidP="00B16E85">
      <w:pPr>
        <w:spacing w:before="100" w:beforeAutospacing="1" w:after="100" w:afterAutospacing="1" w:line="360" w:lineRule="auto"/>
        <w:jc w:val="both"/>
        <w:outlineLvl w:val="2"/>
        <w:rPr>
          <w:rFonts w:ascii="Times New Roman" w:hAnsi="Times New Roman"/>
          <w:b/>
          <w:bCs/>
          <w:color w:val="000000" w:themeColor="text1"/>
          <w:sz w:val="24"/>
          <w:szCs w:val="24"/>
          <w:lang w:val="en-IN" w:eastAsia="en-IN"/>
        </w:rPr>
      </w:pPr>
      <w:r w:rsidRPr="007D1D36">
        <w:rPr>
          <w:rFonts w:ascii="Times New Roman" w:hAnsi="Times New Roman"/>
          <w:b/>
          <w:bCs/>
          <w:color w:val="000000" w:themeColor="text1"/>
          <w:sz w:val="24"/>
          <w:szCs w:val="24"/>
          <w:lang w:val="en-IN" w:eastAsia="en-IN"/>
        </w:rPr>
        <w:t>Growth Attributes</w:t>
      </w:r>
    </w:p>
    <w:p w14:paraId="5B004525" w14:textId="77777777"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 xml:space="preserve">T₆ recorded the highest plant height (38.03 cm), number of branches per plant (6.34), leaf area index (0.98), nodules per plant (23.5), and dry matter accumulation (9.2 g/plant) (Table 1). The </w:t>
      </w:r>
      <w:r w:rsidRPr="007D1D36">
        <w:rPr>
          <w:rFonts w:ascii="Times New Roman" w:hAnsi="Times New Roman"/>
          <w:color w:val="000000" w:themeColor="text1"/>
          <w:sz w:val="24"/>
          <w:szCs w:val="24"/>
          <w:lang w:val="en-IN" w:eastAsia="en-IN"/>
        </w:rPr>
        <w:lastRenderedPageBreak/>
        <w:t>improvement in vegetative growth can be attributed to the synergistic role of phosphorus and sulphur in promoting root elongation, cell division, and protein synthesis. Phosphorus is known to stimulate early growth and energy transfer (ATP production), while sulphur supports chlorophyll formation and enzyme activation, leading to enhanced physiological functions (Ramandeep et al., 2024).</w:t>
      </w:r>
    </w:p>
    <w:p w14:paraId="3469789B" w14:textId="77777777"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 xml:space="preserve">The significantly greater number of root nodules under T₆ indicates a conducive </w:t>
      </w:r>
      <w:proofErr w:type="spellStart"/>
      <w:r w:rsidRPr="007D1D36">
        <w:rPr>
          <w:rFonts w:ascii="Times New Roman" w:hAnsi="Times New Roman"/>
          <w:color w:val="000000" w:themeColor="text1"/>
          <w:sz w:val="24"/>
          <w:szCs w:val="24"/>
          <w:lang w:val="en-IN" w:eastAsia="en-IN"/>
        </w:rPr>
        <w:t>rhizospheric</w:t>
      </w:r>
      <w:proofErr w:type="spellEnd"/>
      <w:r w:rsidRPr="007D1D36">
        <w:rPr>
          <w:rFonts w:ascii="Times New Roman" w:hAnsi="Times New Roman"/>
          <w:color w:val="000000" w:themeColor="text1"/>
          <w:sz w:val="24"/>
          <w:szCs w:val="24"/>
          <w:lang w:val="en-IN" w:eastAsia="en-IN"/>
        </w:rPr>
        <w:t xml:space="preserve"> environment created by PSB inoculation, which facilitates </w:t>
      </w:r>
      <w:proofErr w:type="spellStart"/>
      <w:r w:rsidRPr="007D1D36">
        <w:rPr>
          <w:rFonts w:ascii="Times New Roman" w:hAnsi="Times New Roman"/>
          <w:color w:val="000000" w:themeColor="text1"/>
          <w:sz w:val="24"/>
          <w:szCs w:val="24"/>
          <w:lang w:val="en-IN" w:eastAsia="en-IN"/>
        </w:rPr>
        <w:t>rhizobial</w:t>
      </w:r>
      <w:proofErr w:type="spellEnd"/>
      <w:r w:rsidRPr="007D1D36">
        <w:rPr>
          <w:rFonts w:ascii="Times New Roman" w:hAnsi="Times New Roman"/>
          <w:color w:val="000000" w:themeColor="text1"/>
          <w:sz w:val="24"/>
          <w:szCs w:val="24"/>
          <w:lang w:val="en-IN" w:eastAsia="en-IN"/>
        </w:rPr>
        <w:t xml:space="preserve"> colonization and biological nitrogen fixation. PSB solubilize otherwise unavailable phosphate by secreting organic acids, chelating agents, and enzymes that mobilize nutrients into plant-available forms (Logesh et al., 2024). This aligns with findings by Muneer et al. (2023), who reported increased nodulation and biomass in black gram under phosphorus-deficient soils with PSB inoculation.</w:t>
      </w:r>
    </w:p>
    <w:p w14:paraId="4D4495D2" w14:textId="77777777"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 xml:space="preserve">Treatment T₅ (40 kg P₂O₅ + 20 kg S/ha) also exhibited </w:t>
      </w:r>
      <w:proofErr w:type="spellStart"/>
      <w:r w:rsidRPr="007D1D36">
        <w:rPr>
          <w:rFonts w:ascii="Times New Roman" w:hAnsi="Times New Roman"/>
          <w:color w:val="000000" w:themeColor="text1"/>
          <w:sz w:val="24"/>
          <w:szCs w:val="24"/>
          <w:lang w:val="en-IN" w:eastAsia="en-IN"/>
        </w:rPr>
        <w:t>favorable</w:t>
      </w:r>
      <w:proofErr w:type="spellEnd"/>
      <w:r w:rsidRPr="007D1D36">
        <w:rPr>
          <w:rFonts w:ascii="Times New Roman" w:hAnsi="Times New Roman"/>
          <w:color w:val="000000" w:themeColor="text1"/>
          <w:sz w:val="24"/>
          <w:szCs w:val="24"/>
          <w:lang w:val="en-IN" w:eastAsia="en-IN"/>
        </w:rPr>
        <w:t xml:space="preserve"> growth but lacked the microbial synergy offered by PSB. Meanwhile, control plots (T₁) showed the poorest performance across all parameters, underscoring the necessity of nutrient supplementation in acidic </w:t>
      </w:r>
      <w:proofErr w:type="spellStart"/>
      <w:r w:rsidRPr="007D1D36">
        <w:rPr>
          <w:rFonts w:ascii="Times New Roman" w:hAnsi="Times New Roman"/>
          <w:color w:val="000000" w:themeColor="text1"/>
          <w:sz w:val="24"/>
          <w:szCs w:val="24"/>
          <w:lang w:val="en-IN" w:eastAsia="en-IN"/>
        </w:rPr>
        <w:t>Alfisols</w:t>
      </w:r>
      <w:proofErr w:type="spellEnd"/>
      <w:r w:rsidRPr="007D1D36">
        <w:rPr>
          <w:rFonts w:ascii="Times New Roman" w:hAnsi="Times New Roman"/>
          <w:color w:val="000000" w:themeColor="text1"/>
          <w:sz w:val="24"/>
          <w:szCs w:val="24"/>
          <w:lang w:val="en-IN" w:eastAsia="en-IN"/>
        </w:rPr>
        <w:t>.</w:t>
      </w:r>
    </w:p>
    <w:p w14:paraId="5B346604" w14:textId="3A05329E" w:rsidR="00B16E85" w:rsidRPr="007D1D36" w:rsidRDefault="00B16E85" w:rsidP="00B16E85">
      <w:pPr>
        <w:spacing w:after="0" w:line="360" w:lineRule="auto"/>
        <w:jc w:val="both"/>
        <w:rPr>
          <w:rFonts w:ascii="Times New Roman" w:hAnsi="Times New Roman"/>
          <w:color w:val="000000" w:themeColor="text1"/>
          <w:sz w:val="24"/>
          <w:szCs w:val="24"/>
          <w:lang w:val="en-IN" w:eastAsia="en-IN"/>
        </w:rPr>
      </w:pPr>
    </w:p>
    <w:p w14:paraId="043A814C" w14:textId="77777777" w:rsidR="00B16E85" w:rsidRPr="007D1D36" w:rsidRDefault="00B16E85" w:rsidP="00B16E85">
      <w:pPr>
        <w:spacing w:before="100" w:beforeAutospacing="1" w:after="100" w:afterAutospacing="1" w:line="360" w:lineRule="auto"/>
        <w:jc w:val="both"/>
        <w:outlineLvl w:val="2"/>
        <w:rPr>
          <w:rFonts w:ascii="Times New Roman" w:hAnsi="Times New Roman"/>
          <w:b/>
          <w:bCs/>
          <w:color w:val="000000" w:themeColor="text1"/>
          <w:sz w:val="24"/>
          <w:szCs w:val="24"/>
          <w:lang w:val="en-IN" w:eastAsia="en-IN"/>
        </w:rPr>
      </w:pPr>
      <w:r w:rsidRPr="007D1D36">
        <w:rPr>
          <w:rFonts w:ascii="Times New Roman" w:hAnsi="Times New Roman"/>
          <w:b/>
          <w:bCs/>
          <w:color w:val="000000" w:themeColor="text1"/>
          <w:sz w:val="24"/>
          <w:szCs w:val="24"/>
          <w:lang w:val="en-IN" w:eastAsia="en-IN"/>
        </w:rPr>
        <w:t>Yield and Yield Attributes</w:t>
      </w:r>
    </w:p>
    <w:p w14:paraId="537EEBEB" w14:textId="77777777"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The highest yield-contributing traits were also observed under T₆: number of pods per plant (20.2), pod length (4.06 cm), number of seeds per pod (6.27), and 100-seed weight (36.0 g) (Table 2). These improvements translated into the highest seed yield (8.50 q/ha) and haulm yield (18.56 q/ha), with the greatest benefit-cost (B:C) ratio of 1.98.</w:t>
      </w:r>
    </w:p>
    <w:p w14:paraId="472D6FC3" w14:textId="77777777"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The increased seed yield under T₆ can be attributed to efficient translocation of photosynthates, optimal reproductive development, and improved sink strength. Phosphorus and sulphur play key roles during flowering and pod development by supporting ATP synthesis and amino acid formation, respectively. Moreover, higher nodulation under this treatment would have facilitated greater nitrogen fixation, thus promoting better seed filling and protein synthesis (Pang et al., 2024; Kumar et al., 2022).</w:t>
      </w:r>
    </w:p>
    <w:p w14:paraId="35255A11" w14:textId="77777777"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lastRenderedPageBreak/>
        <w:t>Treatments T₇ and T₅ also demonstrated commendable yield performance, indicating that even a reduced dose of phosphorus (20 kg P₂O₅/ha) combined with PSB and sulphur can substantially improve productivity, making T₇ a more cost-effective option for resource-poor farmers.</w:t>
      </w:r>
    </w:p>
    <w:p w14:paraId="2A72BB71" w14:textId="77777777" w:rsidR="00B16E85" w:rsidRPr="007D1D36" w:rsidRDefault="00B16E85" w:rsidP="00B16E85">
      <w:pPr>
        <w:spacing w:before="100" w:beforeAutospacing="1" w:after="100" w:afterAutospacing="1" w:line="360" w:lineRule="auto"/>
        <w:jc w:val="both"/>
        <w:outlineLvl w:val="2"/>
        <w:rPr>
          <w:rFonts w:ascii="Times New Roman" w:hAnsi="Times New Roman"/>
          <w:b/>
          <w:bCs/>
          <w:color w:val="000000" w:themeColor="text1"/>
          <w:sz w:val="24"/>
          <w:szCs w:val="24"/>
          <w:lang w:val="en-IN" w:eastAsia="en-IN"/>
        </w:rPr>
      </w:pPr>
      <w:r w:rsidRPr="007D1D36">
        <w:rPr>
          <w:rFonts w:ascii="Times New Roman" w:hAnsi="Times New Roman"/>
          <w:b/>
          <w:bCs/>
          <w:color w:val="000000" w:themeColor="text1"/>
          <w:sz w:val="24"/>
          <w:szCs w:val="24"/>
          <w:lang w:val="en-IN" w:eastAsia="en-IN"/>
        </w:rPr>
        <w:t>Nutrient Uptake</w:t>
      </w:r>
    </w:p>
    <w:p w14:paraId="0E8D98B9" w14:textId="77777777"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Nutrient uptake data (Table 3) further validates the observed growth and yield trends. The highest uptake of nitrogen (48.2 kg/ha), phosphorus (7.8 kg/ha), and potassium (36.7 kg/ha) was recorded under T₆. This confirms that integrated nutrient management enhances root activity and absorption capacity.</w:t>
      </w:r>
    </w:p>
    <w:p w14:paraId="6928AD4C" w14:textId="77777777"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Notably, phosphorus uptake increased by 144% and nitrogen uptake by 83% over the control. These improvements can be linked to enhanced root proliferation, microbial activity, and nutrient solubilization facilitated by PSB. Sulphur supplementation likely improved the activity of nitrate reductase and other enzymes associated with nitrogen assimilation (Chen et al., 2023). Similar outcomes were observed by Awasthi et al. (2021), who reported increased phosphorus availability and uptake with microbial consortia.</w:t>
      </w:r>
    </w:p>
    <w:p w14:paraId="588D305F" w14:textId="77777777"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 xml:space="preserve">The control treatment (T₁) exhibited the lowest nutrient uptake values, demonstrating the severe limitations of relying on native soil fertility alone under </w:t>
      </w:r>
      <w:proofErr w:type="spellStart"/>
      <w:r w:rsidRPr="007D1D36">
        <w:rPr>
          <w:rFonts w:ascii="Times New Roman" w:hAnsi="Times New Roman"/>
          <w:color w:val="000000" w:themeColor="text1"/>
          <w:sz w:val="24"/>
          <w:szCs w:val="24"/>
          <w:lang w:val="en-IN" w:eastAsia="en-IN"/>
        </w:rPr>
        <w:t>Alfisol</w:t>
      </w:r>
      <w:proofErr w:type="spellEnd"/>
      <w:r w:rsidRPr="007D1D36">
        <w:rPr>
          <w:rFonts w:ascii="Times New Roman" w:hAnsi="Times New Roman"/>
          <w:color w:val="000000" w:themeColor="text1"/>
          <w:sz w:val="24"/>
          <w:szCs w:val="24"/>
          <w:lang w:val="en-IN" w:eastAsia="en-IN"/>
        </w:rPr>
        <w:t xml:space="preserve"> conditions with high P fixation and low N availability.</w:t>
      </w:r>
    </w:p>
    <w:p w14:paraId="3B859EB4" w14:textId="5922DD60" w:rsidR="00B16E85" w:rsidRPr="007D1D36" w:rsidRDefault="00B16E85" w:rsidP="00B16E85">
      <w:pPr>
        <w:spacing w:after="0" w:line="360" w:lineRule="auto"/>
        <w:jc w:val="both"/>
        <w:rPr>
          <w:rFonts w:ascii="Times New Roman" w:hAnsi="Times New Roman"/>
          <w:color w:val="000000" w:themeColor="text1"/>
          <w:sz w:val="24"/>
          <w:szCs w:val="24"/>
          <w:lang w:val="en-IN" w:eastAsia="en-IN"/>
        </w:rPr>
      </w:pPr>
    </w:p>
    <w:p w14:paraId="10263257" w14:textId="77777777" w:rsidR="00B16E85" w:rsidRPr="007D1D36" w:rsidRDefault="00B16E85" w:rsidP="00B16E85">
      <w:pPr>
        <w:spacing w:before="100" w:beforeAutospacing="1" w:after="100" w:afterAutospacing="1" w:line="360" w:lineRule="auto"/>
        <w:jc w:val="both"/>
        <w:outlineLvl w:val="2"/>
        <w:rPr>
          <w:rFonts w:ascii="Times New Roman" w:hAnsi="Times New Roman"/>
          <w:b/>
          <w:bCs/>
          <w:color w:val="000000" w:themeColor="text1"/>
          <w:sz w:val="24"/>
          <w:szCs w:val="24"/>
          <w:lang w:val="en-IN" w:eastAsia="en-IN"/>
        </w:rPr>
      </w:pPr>
      <w:r w:rsidRPr="007D1D36">
        <w:rPr>
          <w:rFonts w:ascii="Times New Roman" w:hAnsi="Times New Roman"/>
          <w:b/>
          <w:bCs/>
          <w:color w:val="000000" w:themeColor="text1"/>
          <w:sz w:val="24"/>
          <w:szCs w:val="24"/>
          <w:lang w:val="en-IN" w:eastAsia="en-IN"/>
        </w:rPr>
        <w:t>Comparative and Economic Insights</w:t>
      </w:r>
    </w:p>
    <w:p w14:paraId="2465EA01" w14:textId="77777777"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While T₆ proved most effective agronomically and economically, T₇ (20 kg P₂O₅ + 20 kg S + PSB) also showed promising results, suggesting that phosphorus doses can potentially be optimized without compromising performance if supported by biofertilizers. This has significant implications for sustainable nutrient management and cost reduction.</w:t>
      </w:r>
    </w:p>
    <w:p w14:paraId="74CEFD41" w14:textId="77777777"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The increased B:C ratios observed in T₆ and T₇ (1.98 and 1.80, respectively) affirm the profitability of integrated approaches, particularly in rainfed regions where fertilizer use must be both efficient and economical.</w:t>
      </w:r>
    </w:p>
    <w:p w14:paraId="5E867FA6" w14:textId="0CD9273F" w:rsidR="00956158" w:rsidRPr="007D1D36" w:rsidRDefault="00DE7A8E" w:rsidP="005D213E">
      <w:pPr>
        <w:pStyle w:val="Heading1"/>
        <w:spacing w:before="87" w:line="360" w:lineRule="auto"/>
        <w:ind w:left="0"/>
        <w:jc w:val="both"/>
        <w:rPr>
          <w:color w:val="000000" w:themeColor="text1"/>
        </w:rPr>
      </w:pPr>
      <w:r w:rsidRPr="007D1D36">
        <w:rPr>
          <w:color w:val="000000" w:themeColor="text1"/>
        </w:rPr>
        <w:lastRenderedPageBreak/>
        <w:t>CONCLUSION</w:t>
      </w:r>
    </w:p>
    <w:p w14:paraId="7B8F7EBE" w14:textId="77777777"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 xml:space="preserve">The present investigation highlights the crucial role of integrated nutrient management strategies in enhancing the growth, yield, and nutrient uptake of black gram (Vigna mungo L.) under the </w:t>
      </w:r>
      <w:proofErr w:type="spellStart"/>
      <w:r w:rsidRPr="007D1D36">
        <w:rPr>
          <w:rFonts w:ascii="Times New Roman" w:hAnsi="Times New Roman"/>
          <w:color w:val="000000" w:themeColor="text1"/>
          <w:sz w:val="24"/>
          <w:szCs w:val="24"/>
          <w:lang w:val="en-IN" w:eastAsia="en-IN"/>
        </w:rPr>
        <w:t>agro</w:t>
      </w:r>
      <w:proofErr w:type="spellEnd"/>
      <w:r w:rsidRPr="007D1D36">
        <w:rPr>
          <w:rFonts w:ascii="Times New Roman" w:hAnsi="Times New Roman"/>
          <w:color w:val="000000" w:themeColor="text1"/>
          <w:sz w:val="24"/>
          <w:szCs w:val="24"/>
          <w:lang w:val="en-IN" w:eastAsia="en-IN"/>
        </w:rPr>
        <w:t>-climatic conditions of the Mid-Central Table Land Zone of Odisha. The combined application of phosphorus, sulphur, and phosphate-solubilizing bacteria (PSB) significantly improved plant height, number of pods per plant, seed weight, and ultimately, the grain and stover yield compared to individual nutrient treatments or the control.</w:t>
      </w:r>
    </w:p>
    <w:p w14:paraId="18089798" w14:textId="0EBCE97D" w:rsidR="00B16E85" w:rsidRPr="007D1D36" w:rsidRDefault="00B16E85" w:rsidP="00B16E85">
      <w:pPr>
        <w:spacing w:before="100" w:beforeAutospacing="1" w:after="100" w:afterAutospacing="1" w:line="360" w:lineRule="auto"/>
        <w:jc w:val="both"/>
        <w:rPr>
          <w:rFonts w:ascii="Times New Roman" w:hAnsi="Times New Roman"/>
          <w:color w:val="000000" w:themeColor="text1"/>
          <w:sz w:val="24"/>
          <w:szCs w:val="24"/>
          <w:lang w:val="en-IN" w:eastAsia="en-IN"/>
        </w:rPr>
      </w:pPr>
      <w:r w:rsidRPr="007D1D36">
        <w:rPr>
          <w:rFonts w:ascii="Times New Roman" w:hAnsi="Times New Roman"/>
          <w:color w:val="000000" w:themeColor="text1"/>
          <w:sz w:val="24"/>
          <w:szCs w:val="24"/>
          <w:lang w:val="en-IN" w:eastAsia="en-IN"/>
        </w:rPr>
        <w:t>Among the treatments, the integrated application of 60 kg P₂O₅ ha⁻¹ + 20 kg S ha⁻¹ + PSB (liquid formulation) not only registered the highest yield performance but also enhanced phosphorus and sulphur uptake, demonstrating the synergistic effect of combined nutrient sources. PSB inoculation played a key role in increasing phosphorus bioavailability by solubilizing the fixed soil phosphorus, while sulphur supplementation contributed to enhanced protein synthesis and enzymatic activity. The early application of PSB through seed treatment, followed by basal soil application of P and S at sowing, proved to be agronomically effective and operationally feasible. Given the inherently low nutrient availability and widespread sulphur and phosphorus deficiencies in the zone, integrated nutrient management emerges as a sustainable solution for enhancing pulse productivity. Moreover, this approach contributes to improving soil health and supports environmentally sound practices by reducing dependency on chemical fertilizers.</w:t>
      </w:r>
    </w:p>
    <w:p w14:paraId="4FAFA776" w14:textId="005620A1" w:rsidR="005D0DD3" w:rsidRPr="007D1D36" w:rsidRDefault="00B16E85" w:rsidP="00B16E85">
      <w:pPr>
        <w:spacing w:before="100" w:beforeAutospacing="1" w:after="100" w:afterAutospacing="1" w:line="360" w:lineRule="auto"/>
        <w:jc w:val="both"/>
        <w:rPr>
          <w:rFonts w:ascii="Times New Roman" w:hAnsi="Times New Roman"/>
          <w:b/>
          <w:color w:val="000000" w:themeColor="text1"/>
          <w:sz w:val="28"/>
          <w:szCs w:val="28"/>
          <w:lang w:val="en-IN"/>
        </w:rPr>
      </w:pPr>
      <w:r w:rsidRPr="007D1D36">
        <w:rPr>
          <w:rFonts w:ascii="Times New Roman" w:hAnsi="Times New Roman"/>
          <w:color w:val="000000" w:themeColor="text1"/>
          <w:sz w:val="24"/>
          <w:szCs w:val="24"/>
          <w:lang w:val="en-IN" w:eastAsia="en-IN"/>
        </w:rPr>
        <w:t xml:space="preserve">Therefore, it is recommended that farmers in the Mid-Central Table Land Zone adopt an integrated approach combining phosphorus, sulphur, and PSB to improve the productivity and sustainability of black gram cultivation. </w:t>
      </w:r>
    </w:p>
    <w:p w14:paraId="20B82C71" w14:textId="77777777" w:rsidR="005D0DD3" w:rsidRPr="007D1D36" w:rsidRDefault="005D0DD3" w:rsidP="005D213E">
      <w:pPr>
        <w:pStyle w:val="NoSpacing"/>
        <w:spacing w:line="360" w:lineRule="auto"/>
        <w:jc w:val="both"/>
        <w:rPr>
          <w:rFonts w:ascii="Times New Roman" w:hAnsi="Times New Roman"/>
          <w:b/>
          <w:color w:val="000000" w:themeColor="text1"/>
          <w:sz w:val="24"/>
          <w:szCs w:val="24"/>
        </w:rPr>
      </w:pPr>
    </w:p>
    <w:p w14:paraId="548DA4F8" w14:textId="77777777" w:rsidR="005D0DD3" w:rsidRPr="007D1D36" w:rsidRDefault="005D0DD3" w:rsidP="005D213E">
      <w:pPr>
        <w:pStyle w:val="NoSpacing"/>
        <w:spacing w:line="360" w:lineRule="auto"/>
        <w:jc w:val="both"/>
        <w:rPr>
          <w:rFonts w:ascii="Times New Roman" w:hAnsi="Times New Roman"/>
          <w:b/>
          <w:color w:val="000000" w:themeColor="text1"/>
          <w:sz w:val="24"/>
          <w:szCs w:val="24"/>
        </w:rPr>
      </w:pPr>
    </w:p>
    <w:p w14:paraId="58FEA797" w14:textId="77777777" w:rsidR="005D0DD3" w:rsidRPr="007D1D36" w:rsidRDefault="005D0DD3" w:rsidP="005D213E">
      <w:pPr>
        <w:pStyle w:val="NoSpacing"/>
        <w:spacing w:line="360" w:lineRule="auto"/>
        <w:jc w:val="both"/>
        <w:rPr>
          <w:rFonts w:ascii="Times New Roman" w:hAnsi="Times New Roman"/>
          <w:b/>
          <w:color w:val="000000" w:themeColor="text1"/>
          <w:sz w:val="24"/>
          <w:szCs w:val="24"/>
        </w:rPr>
      </w:pPr>
    </w:p>
    <w:p w14:paraId="3C704278" w14:textId="77777777" w:rsidR="00177951" w:rsidRPr="007D1D36" w:rsidRDefault="00177951" w:rsidP="005D213E">
      <w:pPr>
        <w:pStyle w:val="NoSpacing"/>
        <w:spacing w:line="360" w:lineRule="auto"/>
        <w:jc w:val="both"/>
        <w:rPr>
          <w:rFonts w:ascii="Times New Roman" w:hAnsi="Times New Roman"/>
          <w:b/>
          <w:color w:val="000000" w:themeColor="text1"/>
          <w:sz w:val="24"/>
          <w:szCs w:val="24"/>
        </w:rPr>
      </w:pPr>
      <w:r w:rsidRPr="007D1D36">
        <w:rPr>
          <w:rFonts w:ascii="Times New Roman" w:hAnsi="Times New Roman"/>
          <w:b/>
          <w:color w:val="000000" w:themeColor="text1"/>
          <w:sz w:val="24"/>
          <w:szCs w:val="24"/>
        </w:rPr>
        <w:t xml:space="preserve">Table </w:t>
      </w:r>
      <w:r w:rsidR="002552B9" w:rsidRPr="007D1D36">
        <w:rPr>
          <w:rFonts w:ascii="Times New Roman" w:hAnsi="Times New Roman"/>
          <w:b/>
          <w:color w:val="000000" w:themeColor="text1"/>
          <w:sz w:val="24"/>
          <w:szCs w:val="24"/>
        </w:rPr>
        <w:t>1:</w:t>
      </w:r>
      <w:r w:rsidRPr="007D1D36">
        <w:rPr>
          <w:rFonts w:ascii="Times New Roman" w:hAnsi="Times New Roman"/>
          <w:b/>
          <w:color w:val="000000" w:themeColor="text1"/>
          <w:sz w:val="24"/>
          <w:szCs w:val="24"/>
        </w:rPr>
        <w:t xml:space="preserve"> Effect of different levels of P, S and PSB on </w:t>
      </w:r>
      <w:r w:rsidR="00C43326" w:rsidRPr="007D1D36">
        <w:rPr>
          <w:rFonts w:ascii="Times New Roman" w:hAnsi="Times New Roman"/>
          <w:b/>
          <w:color w:val="000000" w:themeColor="text1"/>
          <w:sz w:val="24"/>
          <w:szCs w:val="24"/>
        </w:rPr>
        <w:t>g</w:t>
      </w:r>
      <w:r w:rsidRPr="007D1D36">
        <w:rPr>
          <w:rFonts w:ascii="Times New Roman" w:hAnsi="Times New Roman"/>
          <w:b/>
          <w:color w:val="000000" w:themeColor="text1"/>
          <w:sz w:val="24"/>
          <w:szCs w:val="24"/>
        </w:rPr>
        <w:t xml:space="preserve">rowth </w:t>
      </w:r>
      <w:r w:rsidR="00C43326" w:rsidRPr="007D1D36">
        <w:rPr>
          <w:rFonts w:ascii="Times New Roman" w:hAnsi="Times New Roman"/>
          <w:b/>
          <w:color w:val="000000" w:themeColor="text1"/>
          <w:sz w:val="24"/>
          <w:szCs w:val="24"/>
        </w:rPr>
        <w:t xml:space="preserve">attributes </w:t>
      </w:r>
      <w:r w:rsidRPr="007D1D36">
        <w:rPr>
          <w:rFonts w:ascii="Times New Roman" w:hAnsi="Times New Roman"/>
          <w:b/>
          <w:color w:val="000000" w:themeColor="text1"/>
          <w:sz w:val="24"/>
          <w:szCs w:val="24"/>
        </w:rPr>
        <w:t xml:space="preserve">of </w:t>
      </w:r>
      <w:r w:rsidR="002552B9" w:rsidRPr="007D1D36">
        <w:rPr>
          <w:rFonts w:ascii="Times New Roman" w:hAnsi="Times New Roman"/>
          <w:b/>
          <w:color w:val="000000" w:themeColor="text1"/>
          <w:sz w:val="24"/>
          <w:szCs w:val="24"/>
        </w:rPr>
        <w:t>black gram</w:t>
      </w:r>
      <w:r w:rsidRPr="007D1D36">
        <w:rPr>
          <w:rFonts w:ascii="Times New Roman" w:hAnsi="Times New Roman"/>
          <w:b/>
          <w:color w:val="000000" w:themeColor="text1"/>
          <w:sz w:val="24"/>
          <w:szCs w:val="24"/>
        </w:rPr>
        <w:t xml:space="preserve"> (</w:t>
      </w:r>
      <w:r w:rsidR="00716E9E" w:rsidRPr="007D1D36">
        <w:rPr>
          <w:rFonts w:ascii="Times New Roman" w:hAnsi="Times New Roman"/>
          <w:b/>
          <w:color w:val="000000" w:themeColor="text1"/>
          <w:sz w:val="24"/>
          <w:szCs w:val="24"/>
        </w:rPr>
        <w:t xml:space="preserve">Pooled of </w:t>
      </w:r>
      <w:r w:rsidRPr="007D1D36">
        <w:rPr>
          <w:rFonts w:ascii="Times New Roman" w:hAnsi="Times New Roman"/>
          <w:b/>
          <w:i/>
          <w:iCs/>
          <w:color w:val="000000" w:themeColor="text1"/>
          <w:sz w:val="24"/>
          <w:szCs w:val="24"/>
        </w:rPr>
        <w:t>Kharif</w:t>
      </w:r>
      <w:r w:rsidRPr="007D1D36">
        <w:rPr>
          <w:rFonts w:ascii="Times New Roman" w:hAnsi="Times New Roman"/>
          <w:b/>
          <w:color w:val="000000" w:themeColor="text1"/>
          <w:sz w:val="24"/>
          <w:szCs w:val="24"/>
        </w:rPr>
        <w:t>, 2020 &amp;</w:t>
      </w:r>
      <w:r w:rsidR="002552B9" w:rsidRPr="007D1D36">
        <w:rPr>
          <w:rFonts w:ascii="Times New Roman" w:hAnsi="Times New Roman"/>
          <w:b/>
          <w:color w:val="000000" w:themeColor="text1"/>
          <w:sz w:val="24"/>
          <w:szCs w:val="24"/>
        </w:rPr>
        <w:t xml:space="preserve"> </w:t>
      </w:r>
      <w:r w:rsidRPr="007D1D36">
        <w:rPr>
          <w:rFonts w:ascii="Times New Roman" w:hAnsi="Times New Roman"/>
          <w:b/>
          <w:color w:val="000000" w:themeColor="text1"/>
          <w:sz w:val="24"/>
          <w:szCs w:val="24"/>
        </w:rPr>
        <w:t>2021)</w:t>
      </w:r>
    </w:p>
    <w:p w14:paraId="39B2BDAD" w14:textId="77777777" w:rsidR="00D6194C" w:rsidRPr="007D1D36" w:rsidRDefault="00D6194C" w:rsidP="005D213E">
      <w:pPr>
        <w:pStyle w:val="NoSpacing"/>
        <w:spacing w:line="360" w:lineRule="auto"/>
        <w:jc w:val="both"/>
        <w:rPr>
          <w:rFonts w:ascii="Times New Roman" w:hAnsi="Times New Roman"/>
          <w:b/>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9"/>
        <w:gridCol w:w="1672"/>
        <w:gridCol w:w="1547"/>
        <w:gridCol w:w="1396"/>
        <w:gridCol w:w="1679"/>
        <w:gridCol w:w="1537"/>
      </w:tblGrid>
      <w:tr w:rsidR="007D1D36" w:rsidRPr="007D1D36" w14:paraId="4F867C1C" w14:textId="77777777" w:rsidTr="000C14AE">
        <w:tc>
          <w:tcPr>
            <w:tcW w:w="1526" w:type="dxa"/>
            <w:vAlign w:val="center"/>
          </w:tcPr>
          <w:p w14:paraId="192365A6" w14:textId="77777777" w:rsidR="00C43326" w:rsidRPr="007D1D36" w:rsidRDefault="00C43326" w:rsidP="005D213E">
            <w:pPr>
              <w:pStyle w:val="Default"/>
              <w:spacing w:line="360" w:lineRule="auto"/>
              <w:jc w:val="both"/>
              <w:rPr>
                <w:color w:val="000000" w:themeColor="text1"/>
              </w:rPr>
            </w:pPr>
            <w:r w:rsidRPr="007D1D36">
              <w:rPr>
                <w:bCs/>
                <w:color w:val="000000" w:themeColor="text1"/>
              </w:rPr>
              <w:lastRenderedPageBreak/>
              <w:t>Treatments</w:t>
            </w:r>
          </w:p>
        </w:tc>
        <w:tc>
          <w:tcPr>
            <w:tcW w:w="1701" w:type="dxa"/>
            <w:vAlign w:val="center"/>
          </w:tcPr>
          <w:p w14:paraId="7DFF55F0"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Plant height</w:t>
            </w:r>
          </w:p>
          <w:p w14:paraId="4790C0B6"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(cm)</w:t>
            </w:r>
          </w:p>
        </w:tc>
        <w:tc>
          <w:tcPr>
            <w:tcW w:w="1559" w:type="dxa"/>
            <w:vAlign w:val="center"/>
          </w:tcPr>
          <w:p w14:paraId="173DEEF2" w14:textId="77777777" w:rsidR="00C43326" w:rsidRPr="007D1D36" w:rsidRDefault="00716E9E" w:rsidP="005D213E">
            <w:pPr>
              <w:pStyle w:val="Default"/>
              <w:spacing w:line="360" w:lineRule="auto"/>
              <w:jc w:val="center"/>
              <w:rPr>
                <w:color w:val="000000" w:themeColor="text1"/>
              </w:rPr>
            </w:pPr>
            <w:r w:rsidRPr="007D1D36">
              <w:rPr>
                <w:bCs/>
                <w:color w:val="000000" w:themeColor="text1"/>
              </w:rPr>
              <w:t>B</w:t>
            </w:r>
            <w:r w:rsidR="00C43326" w:rsidRPr="007D1D36">
              <w:rPr>
                <w:bCs/>
                <w:color w:val="000000" w:themeColor="text1"/>
              </w:rPr>
              <w:t>ranches/</w:t>
            </w:r>
          </w:p>
          <w:p w14:paraId="3E0471D0" w14:textId="77777777" w:rsidR="00C43326" w:rsidRPr="007D1D36" w:rsidRDefault="00716E9E" w:rsidP="005D213E">
            <w:pPr>
              <w:pStyle w:val="Default"/>
              <w:spacing w:line="360" w:lineRule="auto"/>
              <w:jc w:val="center"/>
              <w:rPr>
                <w:color w:val="000000" w:themeColor="text1"/>
              </w:rPr>
            </w:pPr>
            <w:r w:rsidRPr="007D1D36">
              <w:rPr>
                <w:bCs/>
                <w:color w:val="000000" w:themeColor="text1"/>
              </w:rPr>
              <w:t>P</w:t>
            </w:r>
            <w:r w:rsidR="00C43326" w:rsidRPr="007D1D36">
              <w:rPr>
                <w:bCs/>
                <w:color w:val="000000" w:themeColor="text1"/>
              </w:rPr>
              <w:t>lant</w:t>
            </w:r>
            <w:r w:rsidRPr="007D1D36">
              <w:rPr>
                <w:bCs/>
                <w:color w:val="000000" w:themeColor="text1"/>
              </w:rPr>
              <w:t xml:space="preserve"> (nos.)</w:t>
            </w:r>
          </w:p>
        </w:tc>
        <w:tc>
          <w:tcPr>
            <w:tcW w:w="1418" w:type="dxa"/>
            <w:vAlign w:val="center"/>
          </w:tcPr>
          <w:p w14:paraId="4B8EFF5F" w14:textId="77777777" w:rsidR="00C43326" w:rsidRPr="007D1D36" w:rsidRDefault="00C43326"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Leaf area index</w:t>
            </w:r>
          </w:p>
        </w:tc>
        <w:tc>
          <w:tcPr>
            <w:tcW w:w="1701" w:type="dxa"/>
            <w:vAlign w:val="center"/>
          </w:tcPr>
          <w:p w14:paraId="47E7ABF0" w14:textId="77777777" w:rsidR="00C43326" w:rsidRPr="007D1D36" w:rsidRDefault="00716E9E"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N</w:t>
            </w:r>
            <w:r w:rsidR="00C43326" w:rsidRPr="007D1D36">
              <w:rPr>
                <w:rFonts w:ascii="Times New Roman" w:eastAsia="Calibri" w:hAnsi="Times New Roman"/>
                <w:color w:val="000000" w:themeColor="text1"/>
                <w:sz w:val="24"/>
                <w:szCs w:val="24"/>
              </w:rPr>
              <w:t>odules per plant</w:t>
            </w:r>
            <w:r w:rsidRPr="007D1D36">
              <w:rPr>
                <w:rFonts w:ascii="Times New Roman" w:eastAsia="Calibri" w:hAnsi="Times New Roman"/>
                <w:color w:val="000000" w:themeColor="text1"/>
                <w:sz w:val="24"/>
                <w:szCs w:val="24"/>
              </w:rPr>
              <w:t xml:space="preserve"> (nos.)</w:t>
            </w:r>
          </w:p>
        </w:tc>
        <w:tc>
          <w:tcPr>
            <w:tcW w:w="1559" w:type="dxa"/>
            <w:vAlign w:val="center"/>
          </w:tcPr>
          <w:p w14:paraId="1DBBFA85" w14:textId="77777777" w:rsidR="00C43326" w:rsidRPr="007D1D36" w:rsidRDefault="00C43326"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Dry weight (g)</w:t>
            </w:r>
          </w:p>
        </w:tc>
      </w:tr>
      <w:tr w:rsidR="007D1D36" w:rsidRPr="007D1D36" w14:paraId="52022C64" w14:textId="77777777" w:rsidTr="000C14AE">
        <w:tc>
          <w:tcPr>
            <w:tcW w:w="1526" w:type="dxa"/>
          </w:tcPr>
          <w:p w14:paraId="7554160F" w14:textId="77777777" w:rsidR="00C43326" w:rsidRPr="007D1D36" w:rsidRDefault="00C43326" w:rsidP="005D213E">
            <w:pPr>
              <w:pStyle w:val="Default"/>
              <w:spacing w:line="360" w:lineRule="auto"/>
              <w:jc w:val="both"/>
              <w:rPr>
                <w:color w:val="000000" w:themeColor="text1"/>
              </w:rPr>
            </w:pPr>
            <w:r w:rsidRPr="007D1D36">
              <w:rPr>
                <w:bCs/>
                <w:color w:val="000000" w:themeColor="text1"/>
              </w:rPr>
              <w:t>T1</w:t>
            </w:r>
          </w:p>
        </w:tc>
        <w:tc>
          <w:tcPr>
            <w:tcW w:w="1701" w:type="dxa"/>
          </w:tcPr>
          <w:p w14:paraId="35DF4020"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25.73</w:t>
            </w:r>
          </w:p>
        </w:tc>
        <w:tc>
          <w:tcPr>
            <w:tcW w:w="1559" w:type="dxa"/>
          </w:tcPr>
          <w:p w14:paraId="50ABDD12"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4.29</w:t>
            </w:r>
          </w:p>
        </w:tc>
        <w:tc>
          <w:tcPr>
            <w:tcW w:w="1418" w:type="dxa"/>
          </w:tcPr>
          <w:p w14:paraId="6C4CE662"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0.70</w:t>
            </w:r>
          </w:p>
        </w:tc>
        <w:tc>
          <w:tcPr>
            <w:tcW w:w="1701" w:type="dxa"/>
          </w:tcPr>
          <w:p w14:paraId="5D2F3E8D"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19.4</w:t>
            </w:r>
          </w:p>
        </w:tc>
        <w:tc>
          <w:tcPr>
            <w:tcW w:w="1559" w:type="dxa"/>
          </w:tcPr>
          <w:p w14:paraId="787F9849" w14:textId="77777777" w:rsidR="00C43326" w:rsidRPr="007D1D36" w:rsidRDefault="00773B59"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7.4</w:t>
            </w:r>
          </w:p>
        </w:tc>
      </w:tr>
      <w:tr w:rsidR="007D1D36" w:rsidRPr="007D1D36" w14:paraId="0BC185EA" w14:textId="77777777" w:rsidTr="000C14AE">
        <w:tc>
          <w:tcPr>
            <w:tcW w:w="1526" w:type="dxa"/>
          </w:tcPr>
          <w:p w14:paraId="386DEC8B" w14:textId="77777777" w:rsidR="00C43326" w:rsidRPr="007D1D36" w:rsidRDefault="00C43326" w:rsidP="005D213E">
            <w:pPr>
              <w:pStyle w:val="Default"/>
              <w:spacing w:line="360" w:lineRule="auto"/>
              <w:jc w:val="both"/>
              <w:rPr>
                <w:color w:val="000000" w:themeColor="text1"/>
              </w:rPr>
            </w:pPr>
            <w:r w:rsidRPr="007D1D36">
              <w:rPr>
                <w:bCs/>
                <w:color w:val="000000" w:themeColor="text1"/>
              </w:rPr>
              <w:t>T2</w:t>
            </w:r>
          </w:p>
        </w:tc>
        <w:tc>
          <w:tcPr>
            <w:tcW w:w="1701" w:type="dxa"/>
          </w:tcPr>
          <w:p w14:paraId="6C185FC5"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25.75</w:t>
            </w:r>
          </w:p>
        </w:tc>
        <w:tc>
          <w:tcPr>
            <w:tcW w:w="1559" w:type="dxa"/>
          </w:tcPr>
          <w:p w14:paraId="7E1EE925"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4.29</w:t>
            </w:r>
          </w:p>
        </w:tc>
        <w:tc>
          <w:tcPr>
            <w:tcW w:w="1418" w:type="dxa"/>
          </w:tcPr>
          <w:p w14:paraId="02E335E5"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0.72</w:t>
            </w:r>
          </w:p>
        </w:tc>
        <w:tc>
          <w:tcPr>
            <w:tcW w:w="1701" w:type="dxa"/>
          </w:tcPr>
          <w:p w14:paraId="619732A2"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21.2</w:t>
            </w:r>
          </w:p>
        </w:tc>
        <w:tc>
          <w:tcPr>
            <w:tcW w:w="1559" w:type="dxa"/>
          </w:tcPr>
          <w:p w14:paraId="007E63A6" w14:textId="77777777" w:rsidR="00C43326" w:rsidRPr="007D1D36" w:rsidRDefault="00773B59"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7.2</w:t>
            </w:r>
          </w:p>
        </w:tc>
      </w:tr>
      <w:tr w:rsidR="007D1D36" w:rsidRPr="007D1D36" w14:paraId="12A0A60E" w14:textId="77777777" w:rsidTr="000C14AE">
        <w:tc>
          <w:tcPr>
            <w:tcW w:w="1526" w:type="dxa"/>
          </w:tcPr>
          <w:p w14:paraId="1A3B14BD" w14:textId="77777777" w:rsidR="00C43326" w:rsidRPr="007D1D36" w:rsidRDefault="00C43326" w:rsidP="005D213E">
            <w:pPr>
              <w:pStyle w:val="Default"/>
              <w:spacing w:line="360" w:lineRule="auto"/>
              <w:jc w:val="both"/>
              <w:rPr>
                <w:color w:val="000000" w:themeColor="text1"/>
              </w:rPr>
            </w:pPr>
            <w:r w:rsidRPr="007D1D36">
              <w:rPr>
                <w:bCs/>
                <w:color w:val="000000" w:themeColor="text1"/>
              </w:rPr>
              <w:t>T3</w:t>
            </w:r>
          </w:p>
        </w:tc>
        <w:tc>
          <w:tcPr>
            <w:tcW w:w="1701" w:type="dxa"/>
          </w:tcPr>
          <w:p w14:paraId="67975483"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36.82</w:t>
            </w:r>
          </w:p>
        </w:tc>
        <w:tc>
          <w:tcPr>
            <w:tcW w:w="1559" w:type="dxa"/>
          </w:tcPr>
          <w:p w14:paraId="3392107A"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6.14</w:t>
            </w:r>
          </w:p>
        </w:tc>
        <w:tc>
          <w:tcPr>
            <w:tcW w:w="1418" w:type="dxa"/>
          </w:tcPr>
          <w:p w14:paraId="058EE341"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0.85</w:t>
            </w:r>
          </w:p>
        </w:tc>
        <w:tc>
          <w:tcPr>
            <w:tcW w:w="1701" w:type="dxa"/>
          </w:tcPr>
          <w:p w14:paraId="55B0DA4D"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21.8</w:t>
            </w:r>
          </w:p>
        </w:tc>
        <w:tc>
          <w:tcPr>
            <w:tcW w:w="1559" w:type="dxa"/>
          </w:tcPr>
          <w:p w14:paraId="7CB3A3D2" w14:textId="77777777" w:rsidR="00C43326" w:rsidRPr="007D1D36" w:rsidRDefault="00773B59"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7.5</w:t>
            </w:r>
          </w:p>
        </w:tc>
      </w:tr>
      <w:tr w:rsidR="007D1D36" w:rsidRPr="007D1D36" w14:paraId="6DA41895" w14:textId="77777777" w:rsidTr="000C14AE">
        <w:tc>
          <w:tcPr>
            <w:tcW w:w="1526" w:type="dxa"/>
          </w:tcPr>
          <w:p w14:paraId="380F16D1" w14:textId="77777777" w:rsidR="00C43326" w:rsidRPr="007D1D36" w:rsidRDefault="00C43326" w:rsidP="005D213E">
            <w:pPr>
              <w:pStyle w:val="Default"/>
              <w:spacing w:line="360" w:lineRule="auto"/>
              <w:jc w:val="both"/>
              <w:rPr>
                <w:color w:val="000000" w:themeColor="text1"/>
              </w:rPr>
            </w:pPr>
            <w:r w:rsidRPr="007D1D36">
              <w:rPr>
                <w:bCs/>
                <w:color w:val="000000" w:themeColor="text1"/>
              </w:rPr>
              <w:t>T4</w:t>
            </w:r>
          </w:p>
        </w:tc>
        <w:tc>
          <w:tcPr>
            <w:tcW w:w="1701" w:type="dxa"/>
          </w:tcPr>
          <w:p w14:paraId="35EB1E74"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28.02</w:t>
            </w:r>
          </w:p>
        </w:tc>
        <w:tc>
          <w:tcPr>
            <w:tcW w:w="1559" w:type="dxa"/>
          </w:tcPr>
          <w:p w14:paraId="17FC0968"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4.67</w:t>
            </w:r>
          </w:p>
        </w:tc>
        <w:tc>
          <w:tcPr>
            <w:tcW w:w="1418" w:type="dxa"/>
          </w:tcPr>
          <w:p w14:paraId="3B019646"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0.76</w:t>
            </w:r>
          </w:p>
        </w:tc>
        <w:tc>
          <w:tcPr>
            <w:tcW w:w="1701" w:type="dxa"/>
          </w:tcPr>
          <w:p w14:paraId="46EEDDCF"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22.7</w:t>
            </w:r>
          </w:p>
        </w:tc>
        <w:tc>
          <w:tcPr>
            <w:tcW w:w="1559" w:type="dxa"/>
          </w:tcPr>
          <w:p w14:paraId="54C03AFF" w14:textId="77777777" w:rsidR="00C43326" w:rsidRPr="007D1D36" w:rsidRDefault="00773B59"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7.8</w:t>
            </w:r>
          </w:p>
        </w:tc>
      </w:tr>
      <w:tr w:rsidR="007D1D36" w:rsidRPr="007D1D36" w14:paraId="22C20362" w14:textId="77777777" w:rsidTr="000C14AE">
        <w:tc>
          <w:tcPr>
            <w:tcW w:w="1526" w:type="dxa"/>
          </w:tcPr>
          <w:p w14:paraId="4B500510" w14:textId="77777777" w:rsidR="00C43326" w:rsidRPr="007D1D36" w:rsidRDefault="00C43326" w:rsidP="005D213E">
            <w:pPr>
              <w:pStyle w:val="Default"/>
              <w:spacing w:line="360" w:lineRule="auto"/>
              <w:jc w:val="both"/>
              <w:rPr>
                <w:color w:val="000000" w:themeColor="text1"/>
              </w:rPr>
            </w:pPr>
            <w:r w:rsidRPr="007D1D36">
              <w:rPr>
                <w:bCs/>
                <w:color w:val="000000" w:themeColor="text1"/>
              </w:rPr>
              <w:t>T5</w:t>
            </w:r>
          </w:p>
        </w:tc>
        <w:tc>
          <w:tcPr>
            <w:tcW w:w="1701" w:type="dxa"/>
          </w:tcPr>
          <w:p w14:paraId="57DF173E"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37.37</w:t>
            </w:r>
          </w:p>
        </w:tc>
        <w:tc>
          <w:tcPr>
            <w:tcW w:w="1559" w:type="dxa"/>
          </w:tcPr>
          <w:p w14:paraId="248B9CF6"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6.23</w:t>
            </w:r>
          </w:p>
        </w:tc>
        <w:tc>
          <w:tcPr>
            <w:tcW w:w="1418" w:type="dxa"/>
          </w:tcPr>
          <w:p w14:paraId="1B115160"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0.81</w:t>
            </w:r>
          </w:p>
        </w:tc>
        <w:tc>
          <w:tcPr>
            <w:tcW w:w="1701" w:type="dxa"/>
          </w:tcPr>
          <w:p w14:paraId="026B98B6"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22.1</w:t>
            </w:r>
          </w:p>
        </w:tc>
        <w:tc>
          <w:tcPr>
            <w:tcW w:w="1559" w:type="dxa"/>
          </w:tcPr>
          <w:p w14:paraId="74CE2082" w14:textId="77777777" w:rsidR="00C43326" w:rsidRPr="007D1D36" w:rsidRDefault="00773B59"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8.1</w:t>
            </w:r>
          </w:p>
        </w:tc>
      </w:tr>
      <w:tr w:rsidR="007D1D36" w:rsidRPr="007D1D36" w14:paraId="422F8E78" w14:textId="77777777" w:rsidTr="000C14AE">
        <w:tc>
          <w:tcPr>
            <w:tcW w:w="1526" w:type="dxa"/>
          </w:tcPr>
          <w:p w14:paraId="08087D3A" w14:textId="77777777" w:rsidR="00C43326" w:rsidRPr="007D1D36" w:rsidRDefault="00C43326" w:rsidP="005D213E">
            <w:pPr>
              <w:pStyle w:val="Default"/>
              <w:spacing w:line="360" w:lineRule="auto"/>
              <w:jc w:val="both"/>
              <w:rPr>
                <w:color w:val="000000" w:themeColor="text1"/>
              </w:rPr>
            </w:pPr>
            <w:r w:rsidRPr="007D1D36">
              <w:rPr>
                <w:bCs/>
                <w:color w:val="000000" w:themeColor="text1"/>
              </w:rPr>
              <w:t>T6</w:t>
            </w:r>
          </w:p>
        </w:tc>
        <w:tc>
          <w:tcPr>
            <w:tcW w:w="1701" w:type="dxa"/>
          </w:tcPr>
          <w:p w14:paraId="48B8DD81"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38.03</w:t>
            </w:r>
          </w:p>
        </w:tc>
        <w:tc>
          <w:tcPr>
            <w:tcW w:w="1559" w:type="dxa"/>
          </w:tcPr>
          <w:p w14:paraId="771689FB"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6.34</w:t>
            </w:r>
          </w:p>
        </w:tc>
        <w:tc>
          <w:tcPr>
            <w:tcW w:w="1418" w:type="dxa"/>
          </w:tcPr>
          <w:p w14:paraId="36B86682"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0.98</w:t>
            </w:r>
          </w:p>
        </w:tc>
        <w:tc>
          <w:tcPr>
            <w:tcW w:w="1701" w:type="dxa"/>
          </w:tcPr>
          <w:p w14:paraId="5B415AAC"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23.5</w:t>
            </w:r>
          </w:p>
        </w:tc>
        <w:tc>
          <w:tcPr>
            <w:tcW w:w="1559" w:type="dxa"/>
          </w:tcPr>
          <w:p w14:paraId="75406354" w14:textId="77777777" w:rsidR="00C43326" w:rsidRPr="007D1D36" w:rsidRDefault="00773B59"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9.2</w:t>
            </w:r>
          </w:p>
        </w:tc>
      </w:tr>
      <w:tr w:rsidR="007D1D36" w:rsidRPr="007D1D36" w14:paraId="324416E3" w14:textId="77777777" w:rsidTr="000C14AE">
        <w:tc>
          <w:tcPr>
            <w:tcW w:w="1526" w:type="dxa"/>
          </w:tcPr>
          <w:p w14:paraId="35795C4C" w14:textId="77777777" w:rsidR="00C43326" w:rsidRPr="007D1D36" w:rsidRDefault="00C43326" w:rsidP="005D213E">
            <w:pPr>
              <w:pStyle w:val="Default"/>
              <w:spacing w:line="360" w:lineRule="auto"/>
              <w:jc w:val="both"/>
              <w:rPr>
                <w:color w:val="000000" w:themeColor="text1"/>
              </w:rPr>
            </w:pPr>
            <w:r w:rsidRPr="007D1D36">
              <w:rPr>
                <w:bCs/>
                <w:color w:val="000000" w:themeColor="text1"/>
              </w:rPr>
              <w:t>T7</w:t>
            </w:r>
          </w:p>
        </w:tc>
        <w:tc>
          <w:tcPr>
            <w:tcW w:w="1701" w:type="dxa"/>
          </w:tcPr>
          <w:p w14:paraId="0BD6AD20"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37.57</w:t>
            </w:r>
          </w:p>
        </w:tc>
        <w:tc>
          <w:tcPr>
            <w:tcW w:w="1559" w:type="dxa"/>
          </w:tcPr>
          <w:p w14:paraId="45BC4C1D"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6.26</w:t>
            </w:r>
          </w:p>
        </w:tc>
        <w:tc>
          <w:tcPr>
            <w:tcW w:w="1418" w:type="dxa"/>
          </w:tcPr>
          <w:p w14:paraId="63C0C3CF"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0.92</w:t>
            </w:r>
          </w:p>
        </w:tc>
        <w:tc>
          <w:tcPr>
            <w:tcW w:w="1701" w:type="dxa"/>
          </w:tcPr>
          <w:p w14:paraId="7524BCC7"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23.2</w:t>
            </w:r>
          </w:p>
        </w:tc>
        <w:tc>
          <w:tcPr>
            <w:tcW w:w="1559" w:type="dxa"/>
          </w:tcPr>
          <w:p w14:paraId="1D6B23AB" w14:textId="77777777" w:rsidR="00C43326" w:rsidRPr="007D1D36" w:rsidRDefault="00773B59"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8.4</w:t>
            </w:r>
          </w:p>
        </w:tc>
      </w:tr>
      <w:tr w:rsidR="007D1D36" w:rsidRPr="007D1D36" w14:paraId="62F5E1B6" w14:textId="77777777" w:rsidTr="000C14AE">
        <w:tc>
          <w:tcPr>
            <w:tcW w:w="1526" w:type="dxa"/>
          </w:tcPr>
          <w:p w14:paraId="792ECC0B" w14:textId="77777777" w:rsidR="00C43326" w:rsidRPr="007D1D36" w:rsidRDefault="00C43326" w:rsidP="005D213E">
            <w:pPr>
              <w:pStyle w:val="Default"/>
              <w:spacing w:line="360" w:lineRule="auto"/>
              <w:jc w:val="both"/>
              <w:rPr>
                <w:color w:val="000000" w:themeColor="text1"/>
              </w:rPr>
            </w:pPr>
            <w:r w:rsidRPr="007D1D36">
              <w:rPr>
                <w:bCs/>
                <w:color w:val="000000" w:themeColor="text1"/>
              </w:rPr>
              <w:t>T8</w:t>
            </w:r>
          </w:p>
        </w:tc>
        <w:tc>
          <w:tcPr>
            <w:tcW w:w="1701" w:type="dxa"/>
          </w:tcPr>
          <w:p w14:paraId="1356AA13"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28.08</w:t>
            </w:r>
          </w:p>
        </w:tc>
        <w:tc>
          <w:tcPr>
            <w:tcW w:w="1559" w:type="dxa"/>
          </w:tcPr>
          <w:p w14:paraId="7EC759EA"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4.68</w:t>
            </w:r>
          </w:p>
        </w:tc>
        <w:tc>
          <w:tcPr>
            <w:tcW w:w="1418" w:type="dxa"/>
          </w:tcPr>
          <w:p w14:paraId="40D15CFF"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0.74</w:t>
            </w:r>
          </w:p>
        </w:tc>
        <w:tc>
          <w:tcPr>
            <w:tcW w:w="1701" w:type="dxa"/>
          </w:tcPr>
          <w:p w14:paraId="3AE96732"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20.6</w:t>
            </w:r>
          </w:p>
        </w:tc>
        <w:tc>
          <w:tcPr>
            <w:tcW w:w="1559" w:type="dxa"/>
          </w:tcPr>
          <w:p w14:paraId="2728CAB9" w14:textId="77777777" w:rsidR="00C43326" w:rsidRPr="007D1D36" w:rsidRDefault="00773B59"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7.3</w:t>
            </w:r>
          </w:p>
        </w:tc>
      </w:tr>
      <w:tr w:rsidR="007D1D36" w:rsidRPr="007D1D36" w14:paraId="2AEFB53B" w14:textId="77777777" w:rsidTr="000C14AE">
        <w:tc>
          <w:tcPr>
            <w:tcW w:w="1526" w:type="dxa"/>
          </w:tcPr>
          <w:p w14:paraId="0DE10067" w14:textId="77777777" w:rsidR="00C43326" w:rsidRPr="007D1D36" w:rsidRDefault="00C43326" w:rsidP="005D213E">
            <w:pPr>
              <w:pStyle w:val="Default"/>
              <w:spacing w:line="360" w:lineRule="auto"/>
              <w:jc w:val="both"/>
              <w:rPr>
                <w:color w:val="000000" w:themeColor="text1"/>
              </w:rPr>
            </w:pPr>
            <w:proofErr w:type="spellStart"/>
            <w:r w:rsidRPr="007D1D36">
              <w:rPr>
                <w:bCs/>
                <w:color w:val="000000" w:themeColor="text1"/>
              </w:rPr>
              <w:t>SEm</w:t>
            </w:r>
            <w:proofErr w:type="spellEnd"/>
            <w:r w:rsidRPr="007D1D36">
              <w:rPr>
                <w:bCs/>
                <w:color w:val="000000" w:themeColor="text1"/>
              </w:rPr>
              <w:t xml:space="preserve"> </w:t>
            </w:r>
            <w:proofErr w:type="gramStart"/>
            <w:r w:rsidRPr="007D1D36">
              <w:rPr>
                <w:bCs/>
                <w:color w:val="000000" w:themeColor="text1"/>
              </w:rPr>
              <w:t>( +</w:t>
            </w:r>
            <w:proofErr w:type="gramEnd"/>
            <w:r w:rsidRPr="007D1D36">
              <w:rPr>
                <w:color w:val="000000" w:themeColor="text1"/>
              </w:rPr>
              <w:t>)</w:t>
            </w:r>
          </w:p>
        </w:tc>
        <w:tc>
          <w:tcPr>
            <w:tcW w:w="1701" w:type="dxa"/>
          </w:tcPr>
          <w:p w14:paraId="0BD91782"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2.58</w:t>
            </w:r>
          </w:p>
        </w:tc>
        <w:tc>
          <w:tcPr>
            <w:tcW w:w="1559" w:type="dxa"/>
          </w:tcPr>
          <w:p w14:paraId="22679086"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0.80</w:t>
            </w:r>
          </w:p>
        </w:tc>
        <w:tc>
          <w:tcPr>
            <w:tcW w:w="1418" w:type="dxa"/>
          </w:tcPr>
          <w:p w14:paraId="7A20244A"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0.02</w:t>
            </w:r>
          </w:p>
        </w:tc>
        <w:tc>
          <w:tcPr>
            <w:tcW w:w="1701" w:type="dxa"/>
          </w:tcPr>
          <w:p w14:paraId="3E1D3341" w14:textId="77777777" w:rsidR="00C43326" w:rsidRPr="007D1D36" w:rsidRDefault="00174DA0"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0.48</w:t>
            </w:r>
          </w:p>
        </w:tc>
        <w:tc>
          <w:tcPr>
            <w:tcW w:w="1559" w:type="dxa"/>
          </w:tcPr>
          <w:p w14:paraId="01440E92" w14:textId="77777777" w:rsidR="00C43326" w:rsidRPr="007D1D36" w:rsidRDefault="00773B59"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0.56</w:t>
            </w:r>
          </w:p>
        </w:tc>
      </w:tr>
      <w:tr w:rsidR="00C43326" w:rsidRPr="007D1D36" w14:paraId="7D409A94" w14:textId="77777777" w:rsidTr="000C14AE">
        <w:tc>
          <w:tcPr>
            <w:tcW w:w="1526" w:type="dxa"/>
          </w:tcPr>
          <w:p w14:paraId="49086922" w14:textId="77777777" w:rsidR="00C43326" w:rsidRPr="007D1D36" w:rsidRDefault="00C43326" w:rsidP="005D213E">
            <w:pPr>
              <w:pStyle w:val="Default"/>
              <w:spacing w:line="360" w:lineRule="auto"/>
              <w:jc w:val="both"/>
              <w:rPr>
                <w:color w:val="000000" w:themeColor="text1"/>
              </w:rPr>
            </w:pPr>
            <w:r w:rsidRPr="007D1D36">
              <w:rPr>
                <w:bCs/>
                <w:color w:val="000000" w:themeColor="text1"/>
              </w:rPr>
              <w:t>CD (5%)</w:t>
            </w:r>
          </w:p>
        </w:tc>
        <w:tc>
          <w:tcPr>
            <w:tcW w:w="1701" w:type="dxa"/>
          </w:tcPr>
          <w:p w14:paraId="62B61461"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5.05</w:t>
            </w:r>
          </w:p>
        </w:tc>
        <w:tc>
          <w:tcPr>
            <w:tcW w:w="1559" w:type="dxa"/>
          </w:tcPr>
          <w:p w14:paraId="7E38B948" w14:textId="77777777" w:rsidR="00C43326" w:rsidRPr="007D1D36" w:rsidRDefault="00C43326" w:rsidP="005D213E">
            <w:pPr>
              <w:pStyle w:val="Default"/>
              <w:spacing w:line="360" w:lineRule="auto"/>
              <w:jc w:val="center"/>
              <w:rPr>
                <w:color w:val="000000" w:themeColor="text1"/>
              </w:rPr>
            </w:pPr>
            <w:r w:rsidRPr="007D1D36">
              <w:rPr>
                <w:bCs/>
                <w:color w:val="000000" w:themeColor="text1"/>
              </w:rPr>
              <w:t>1.56</w:t>
            </w:r>
          </w:p>
        </w:tc>
        <w:tc>
          <w:tcPr>
            <w:tcW w:w="1418" w:type="dxa"/>
          </w:tcPr>
          <w:p w14:paraId="6128FC82" w14:textId="77777777" w:rsidR="00C43326" w:rsidRPr="007D1D36" w:rsidRDefault="008615A4"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0.05</w:t>
            </w:r>
          </w:p>
        </w:tc>
        <w:tc>
          <w:tcPr>
            <w:tcW w:w="1701" w:type="dxa"/>
          </w:tcPr>
          <w:p w14:paraId="7C6C0314" w14:textId="77777777" w:rsidR="00C43326" w:rsidRPr="007D1D36" w:rsidRDefault="00174DA0"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1.24</w:t>
            </w:r>
          </w:p>
        </w:tc>
        <w:tc>
          <w:tcPr>
            <w:tcW w:w="1559" w:type="dxa"/>
          </w:tcPr>
          <w:p w14:paraId="56BF2022" w14:textId="77777777" w:rsidR="00C43326" w:rsidRPr="007D1D36" w:rsidRDefault="00773B59" w:rsidP="005D213E">
            <w:pPr>
              <w:pStyle w:val="NoSpacing"/>
              <w:spacing w:line="360" w:lineRule="auto"/>
              <w:jc w:val="center"/>
              <w:rPr>
                <w:rFonts w:ascii="Times New Roman" w:eastAsia="Calibri" w:hAnsi="Times New Roman"/>
                <w:color w:val="000000" w:themeColor="text1"/>
                <w:sz w:val="24"/>
                <w:szCs w:val="24"/>
              </w:rPr>
            </w:pPr>
            <w:r w:rsidRPr="007D1D36">
              <w:rPr>
                <w:rFonts w:ascii="Times New Roman" w:eastAsia="Calibri" w:hAnsi="Times New Roman"/>
                <w:color w:val="000000" w:themeColor="text1"/>
                <w:sz w:val="24"/>
                <w:szCs w:val="24"/>
              </w:rPr>
              <w:t>1.57</w:t>
            </w:r>
          </w:p>
        </w:tc>
      </w:tr>
    </w:tbl>
    <w:p w14:paraId="327724FD" w14:textId="77777777" w:rsidR="00D6194C" w:rsidRPr="007D1D36" w:rsidRDefault="00D6194C" w:rsidP="005D213E">
      <w:pPr>
        <w:pStyle w:val="NoSpacing"/>
        <w:spacing w:line="360" w:lineRule="auto"/>
        <w:jc w:val="both"/>
        <w:rPr>
          <w:rFonts w:ascii="Times New Roman" w:hAnsi="Times New Roman"/>
          <w:b/>
          <w:color w:val="000000" w:themeColor="text1"/>
          <w:sz w:val="24"/>
          <w:szCs w:val="24"/>
        </w:rPr>
      </w:pPr>
    </w:p>
    <w:p w14:paraId="1FD2D641" w14:textId="77777777" w:rsidR="00816E9C" w:rsidRPr="007D1D36" w:rsidRDefault="00816E9C" w:rsidP="005D213E">
      <w:pPr>
        <w:pStyle w:val="NoSpacing"/>
        <w:spacing w:line="360" w:lineRule="auto"/>
        <w:jc w:val="both"/>
        <w:rPr>
          <w:rFonts w:ascii="Times New Roman" w:hAnsi="Times New Roman"/>
          <w:b/>
          <w:color w:val="000000" w:themeColor="text1"/>
          <w:sz w:val="24"/>
          <w:szCs w:val="24"/>
        </w:rPr>
      </w:pPr>
    </w:p>
    <w:p w14:paraId="76723501" w14:textId="77777777" w:rsidR="00033A1F" w:rsidRPr="007D1D36" w:rsidRDefault="00033A1F" w:rsidP="005D213E">
      <w:pPr>
        <w:pStyle w:val="NoSpacing"/>
        <w:spacing w:line="360" w:lineRule="auto"/>
        <w:jc w:val="both"/>
        <w:rPr>
          <w:rFonts w:ascii="Times New Roman" w:hAnsi="Times New Roman"/>
          <w:b/>
          <w:color w:val="000000" w:themeColor="text1"/>
          <w:sz w:val="24"/>
          <w:szCs w:val="24"/>
        </w:rPr>
      </w:pPr>
      <w:r w:rsidRPr="007D1D36">
        <w:rPr>
          <w:rFonts w:ascii="Times New Roman" w:hAnsi="Times New Roman"/>
          <w:b/>
          <w:color w:val="000000" w:themeColor="text1"/>
          <w:sz w:val="24"/>
          <w:szCs w:val="24"/>
        </w:rPr>
        <w:t xml:space="preserve">Table 2: Effect of different levels of P, S and PSB on yield and yield attributes of black gram (Pooled of </w:t>
      </w:r>
      <w:r w:rsidRPr="007D1D36">
        <w:rPr>
          <w:rFonts w:ascii="Times New Roman" w:hAnsi="Times New Roman"/>
          <w:b/>
          <w:i/>
          <w:iCs/>
          <w:color w:val="000000" w:themeColor="text1"/>
          <w:sz w:val="24"/>
          <w:szCs w:val="24"/>
        </w:rPr>
        <w:t>Kharif</w:t>
      </w:r>
      <w:r w:rsidRPr="007D1D36">
        <w:rPr>
          <w:rFonts w:ascii="Times New Roman" w:hAnsi="Times New Roman"/>
          <w:b/>
          <w:color w:val="000000" w:themeColor="text1"/>
          <w:sz w:val="24"/>
          <w:szCs w:val="24"/>
        </w:rPr>
        <w:t>, 2020 &amp; 2021)</w:t>
      </w:r>
    </w:p>
    <w:p w14:paraId="16686CD0" w14:textId="77777777" w:rsidR="00033A1F" w:rsidRPr="007D1D36" w:rsidRDefault="00033A1F" w:rsidP="005D213E">
      <w:pPr>
        <w:spacing w:line="360" w:lineRule="auto"/>
        <w:jc w:val="both"/>
        <w:rPr>
          <w:rFonts w:ascii="Times New Roman" w:hAnsi="Times New Roman"/>
          <w:b/>
          <w:bCs/>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1128"/>
        <w:gridCol w:w="1119"/>
        <w:gridCol w:w="1120"/>
        <w:gridCol w:w="986"/>
        <w:gridCol w:w="1117"/>
        <w:gridCol w:w="1256"/>
        <w:gridCol w:w="1110"/>
      </w:tblGrid>
      <w:tr w:rsidR="007D1D36" w:rsidRPr="007D1D36" w14:paraId="23F8CFF6" w14:textId="77777777" w:rsidTr="00E84F72">
        <w:tc>
          <w:tcPr>
            <w:tcW w:w="1526" w:type="dxa"/>
            <w:vAlign w:val="center"/>
          </w:tcPr>
          <w:p w14:paraId="3F232E5F" w14:textId="77777777" w:rsidR="00033A1F" w:rsidRPr="007D1D36" w:rsidRDefault="00033A1F" w:rsidP="005D213E">
            <w:pPr>
              <w:pStyle w:val="Default"/>
              <w:spacing w:line="360" w:lineRule="auto"/>
              <w:jc w:val="both"/>
              <w:rPr>
                <w:color w:val="000000" w:themeColor="text1"/>
              </w:rPr>
            </w:pPr>
            <w:r w:rsidRPr="007D1D36">
              <w:rPr>
                <w:bCs/>
                <w:color w:val="000000" w:themeColor="text1"/>
              </w:rPr>
              <w:t>Treatments</w:t>
            </w:r>
          </w:p>
        </w:tc>
        <w:tc>
          <w:tcPr>
            <w:tcW w:w="1134" w:type="dxa"/>
            <w:vAlign w:val="center"/>
          </w:tcPr>
          <w:p w14:paraId="43B6BEF0"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Number</w:t>
            </w:r>
          </w:p>
          <w:p w14:paraId="54C7E184"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of Pods/</w:t>
            </w:r>
          </w:p>
          <w:p w14:paraId="1323671D"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plant</w:t>
            </w:r>
          </w:p>
        </w:tc>
        <w:tc>
          <w:tcPr>
            <w:tcW w:w="1134" w:type="dxa"/>
            <w:vAlign w:val="center"/>
          </w:tcPr>
          <w:p w14:paraId="50377510"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Pod length</w:t>
            </w:r>
          </w:p>
          <w:p w14:paraId="7A92C31F"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(cm)</w:t>
            </w:r>
          </w:p>
        </w:tc>
        <w:tc>
          <w:tcPr>
            <w:tcW w:w="1134" w:type="dxa"/>
            <w:vAlign w:val="center"/>
          </w:tcPr>
          <w:p w14:paraId="6B547412"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No. of Seeds/ pod</w:t>
            </w:r>
          </w:p>
        </w:tc>
        <w:tc>
          <w:tcPr>
            <w:tcW w:w="992" w:type="dxa"/>
            <w:vAlign w:val="center"/>
          </w:tcPr>
          <w:p w14:paraId="21F5C177"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Test weight</w:t>
            </w:r>
          </w:p>
          <w:p w14:paraId="6C0BAD7F"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(g)</w:t>
            </w:r>
          </w:p>
        </w:tc>
        <w:tc>
          <w:tcPr>
            <w:tcW w:w="1134" w:type="dxa"/>
            <w:vAlign w:val="center"/>
          </w:tcPr>
          <w:p w14:paraId="170BD4FB"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Seed</w:t>
            </w:r>
          </w:p>
          <w:p w14:paraId="3BF64DC4"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Yield</w:t>
            </w:r>
          </w:p>
          <w:p w14:paraId="731234F6"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(q/ha)</w:t>
            </w:r>
          </w:p>
        </w:tc>
        <w:tc>
          <w:tcPr>
            <w:tcW w:w="1276" w:type="dxa"/>
            <w:vAlign w:val="center"/>
          </w:tcPr>
          <w:p w14:paraId="1C86BCA0"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Haulm Yield</w:t>
            </w:r>
          </w:p>
          <w:p w14:paraId="77FF1851"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(q/ha)</w:t>
            </w:r>
          </w:p>
        </w:tc>
        <w:tc>
          <w:tcPr>
            <w:tcW w:w="1134" w:type="dxa"/>
            <w:vAlign w:val="center"/>
          </w:tcPr>
          <w:p w14:paraId="1054E599"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B:C</w:t>
            </w:r>
          </w:p>
        </w:tc>
      </w:tr>
      <w:tr w:rsidR="007D1D36" w:rsidRPr="007D1D36" w14:paraId="783070AF" w14:textId="77777777" w:rsidTr="00E84F72">
        <w:tc>
          <w:tcPr>
            <w:tcW w:w="1526" w:type="dxa"/>
          </w:tcPr>
          <w:p w14:paraId="1B4EDEBF" w14:textId="77777777" w:rsidR="00033A1F" w:rsidRPr="007D1D36" w:rsidRDefault="00033A1F" w:rsidP="005D213E">
            <w:pPr>
              <w:pStyle w:val="Default"/>
              <w:spacing w:line="360" w:lineRule="auto"/>
              <w:jc w:val="both"/>
              <w:rPr>
                <w:color w:val="000000" w:themeColor="text1"/>
              </w:rPr>
            </w:pPr>
            <w:r w:rsidRPr="007D1D36">
              <w:rPr>
                <w:bCs/>
                <w:color w:val="000000" w:themeColor="text1"/>
              </w:rPr>
              <w:t>T</w:t>
            </w:r>
            <w:r w:rsidRPr="007D1D36">
              <w:rPr>
                <w:bCs/>
                <w:color w:val="000000" w:themeColor="text1"/>
                <w:vertAlign w:val="subscript"/>
              </w:rPr>
              <w:t>1</w:t>
            </w:r>
          </w:p>
        </w:tc>
        <w:tc>
          <w:tcPr>
            <w:tcW w:w="1134" w:type="dxa"/>
          </w:tcPr>
          <w:p w14:paraId="3BC3F8B7"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8.57</w:t>
            </w:r>
          </w:p>
        </w:tc>
        <w:tc>
          <w:tcPr>
            <w:tcW w:w="1134" w:type="dxa"/>
          </w:tcPr>
          <w:p w14:paraId="68294837"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3.19</w:t>
            </w:r>
          </w:p>
        </w:tc>
        <w:tc>
          <w:tcPr>
            <w:tcW w:w="1134" w:type="dxa"/>
          </w:tcPr>
          <w:p w14:paraId="12C4479D"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5.33</w:t>
            </w:r>
          </w:p>
        </w:tc>
        <w:tc>
          <w:tcPr>
            <w:tcW w:w="992" w:type="dxa"/>
          </w:tcPr>
          <w:p w14:paraId="0EFC1F84"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34.2</w:t>
            </w:r>
          </w:p>
        </w:tc>
        <w:tc>
          <w:tcPr>
            <w:tcW w:w="1134" w:type="dxa"/>
          </w:tcPr>
          <w:p w14:paraId="7951B762"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6.34</w:t>
            </w:r>
          </w:p>
        </w:tc>
        <w:tc>
          <w:tcPr>
            <w:tcW w:w="1276" w:type="dxa"/>
          </w:tcPr>
          <w:p w14:paraId="4EF51FCA"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13.65</w:t>
            </w:r>
          </w:p>
        </w:tc>
        <w:tc>
          <w:tcPr>
            <w:tcW w:w="1134" w:type="dxa"/>
          </w:tcPr>
          <w:p w14:paraId="2CD16585"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1.08</w:t>
            </w:r>
          </w:p>
        </w:tc>
      </w:tr>
      <w:tr w:rsidR="007D1D36" w:rsidRPr="007D1D36" w14:paraId="5AF6AB78" w14:textId="77777777" w:rsidTr="00E84F72">
        <w:tc>
          <w:tcPr>
            <w:tcW w:w="1526" w:type="dxa"/>
          </w:tcPr>
          <w:p w14:paraId="755FF3D0" w14:textId="77777777" w:rsidR="00033A1F" w:rsidRPr="007D1D36" w:rsidRDefault="00033A1F" w:rsidP="005D213E">
            <w:pPr>
              <w:pStyle w:val="Default"/>
              <w:spacing w:line="360" w:lineRule="auto"/>
              <w:jc w:val="both"/>
              <w:rPr>
                <w:color w:val="000000" w:themeColor="text1"/>
              </w:rPr>
            </w:pPr>
            <w:r w:rsidRPr="007D1D36">
              <w:rPr>
                <w:bCs/>
                <w:color w:val="000000" w:themeColor="text1"/>
              </w:rPr>
              <w:t>T</w:t>
            </w:r>
            <w:r w:rsidRPr="007D1D36">
              <w:rPr>
                <w:bCs/>
                <w:color w:val="000000" w:themeColor="text1"/>
                <w:vertAlign w:val="subscript"/>
              </w:rPr>
              <w:t>2</w:t>
            </w:r>
          </w:p>
        </w:tc>
        <w:tc>
          <w:tcPr>
            <w:tcW w:w="1134" w:type="dxa"/>
          </w:tcPr>
          <w:p w14:paraId="7D1977B5"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11.52</w:t>
            </w:r>
          </w:p>
        </w:tc>
        <w:tc>
          <w:tcPr>
            <w:tcW w:w="1134" w:type="dxa"/>
          </w:tcPr>
          <w:p w14:paraId="5512526A"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3.66</w:t>
            </w:r>
          </w:p>
        </w:tc>
        <w:tc>
          <w:tcPr>
            <w:tcW w:w="1134" w:type="dxa"/>
          </w:tcPr>
          <w:p w14:paraId="3AF0897F"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5.70</w:t>
            </w:r>
          </w:p>
        </w:tc>
        <w:tc>
          <w:tcPr>
            <w:tcW w:w="992" w:type="dxa"/>
          </w:tcPr>
          <w:p w14:paraId="38D79093"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34.7</w:t>
            </w:r>
          </w:p>
        </w:tc>
        <w:tc>
          <w:tcPr>
            <w:tcW w:w="1134" w:type="dxa"/>
          </w:tcPr>
          <w:p w14:paraId="40D21D29"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6.90</w:t>
            </w:r>
          </w:p>
        </w:tc>
        <w:tc>
          <w:tcPr>
            <w:tcW w:w="1276" w:type="dxa"/>
          </w:tcPr>
          <w:p w14:paraId="57B58BDA"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14.85</w:t>
            </w:r>
          </w:p>
        </w:tc>
        <w:tc>
          <w:tcPr>
            <w:tcW w:w="1134" w:type="dxa"/>
          </w:tcPr>
          <w:p w14:paraId="6AC321DA"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1.32</w:t>
            </w:r>
          </w:p>
        </w:tc>
      </w:tr>
      <w:tr w:rsidR="007D1D36" w:rsidRPr="007D1D36" w14:paraId="28DDAC12" w14:textId="77777777" w:rsidTr="00E84F72">
        <w:tc>
          <w:tcPr>
            <w:tcW w:w="1526" w:type="dxa"/>
          </w:tcPr>
          <w:p w14:paraId="441CFD6D" w14:textId="77777777" w:rsidR="00033A1F" w:rsidRPr="007D1D36" w:rsidRDefault="00033A1F" w:rsidP="005D213E">
            <w:pPr>
              <w:pStyle w:val="Default"/>
              <w:spacing w:line="360" w:lineRule="auto"/>
              <w:jc w:val="both"/>
              <w:rPr>
                <w:color w:val="000000" w:themeColor="text1"/>
              </w:rPr>
            </w:pPr>
            <w:r w:rsidRPr="007D1D36">
              <w:rPr>
                <w:bCs/>
                <w:color w:val="000000" w:themeColor="text1"/>
              </w:rPr>
              <w:t>T</w:t>
            </w:r>
            <w:r w:rsidRPr="007D1D36">
              <w:rPr>
                <w:bCs/>
                <w:color w:val="000000" w:themeColor="text1"/>
                <w:vertAlign w:val="subscript"/>
              </w:rPr>
              <w:t>3</w:t>
            </w:r>
          </w:p>
        </w:tc>
        <w:tc>
          <w:tcPr>
            <w:tcW w:w="1134" w:type="dxa"/>
          </w:tcPr>
          <w:p w14:paraId="2733087B"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15.47</w:t>
            </w:r>
          </w:p>
        </w:tc>
        <w:tc>
          <w:tcPr>
            <w:tcW w:w="1134" w:type="dxa"/>
          </w:tcPr>
          <w:p w14:paraId="6BD90DE7"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3.73</w:t>
            </w:r>
          </w:p>
        </w:tc>
        <w:tc>
          <w:tcPr>
            <w:tcW w:w="1134" w:type="dxa"/>
          </w:tcPr>
          <w:p w14:paraId="00F7521B"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6.00</w:t>
            </w:r>
          </w:p>
        </w:tc>
        <w:tc>
          <w:tcPr>
            <w:tcW w:w="992" w:type="dxa"/>
          </w:tcPr>
          <w:p w14:paraId="2B157A9A"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34.4</w:t>
            </w:r>
          </w:p>
        </w:tc>
        <w:tc>
          <w:tcPr>
            <w:tcW w:w="1134" w:type="dxa"/>
          </w:tcPr>
          <w:p w14:paraId="720D208A"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7.72</w:t>
            </w:r>
          </w:p>
        </w:tc>
        <w:tc>
          <w:tcPr>
            <w:tcW w:w="1276" w:type="dxa"/>
          </w:tcPr>
          <w:p w14:paraId="7CA6351E"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16.70</w:t>
            </w:r>
          </w:p>
        </w:tc>
        <w:tc>
          <w:tcPr>
            <w:tcW w:w="1134" w:type="dxa"/>
          </w:tcPr>
          <w:p w14:paraId="0F50C68C"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1.45</w:t>
            </w:r>
          </w:p>
        </w:tc>
      </w:tr>
      <w:tr w:rsidR="007D1D36" w:rsidRPr="007D1D36" w14:paraId="2DEFC044" w14:textId="77777777" w:rsidTr="00E84F72">
        <w:tc>
          <w:tcPr>
            <w:tcW w:w="1526" w:type="dxa"/>
          </w:tcPr>
          <w:p w14:paraId="5B1F05C1" w14:textId="77777777" w:rsidR="00033A1F" w:rsidRPr="007D1D36" w:rsidRDefault="00033A1F" w:rsidP="005D213E">
            <w:pPr>
              <w:pStyle w:val="Default"/>
              <w:spacing w:line="360" w:lineRule="auto"/>
              <w:jc w:val="both"/>
              <w:rPr>
                <w:color w:val="000000" w:themeColor="text1"/>
              </w:rPr>
            </w:pPr>
            <w:r w:rsidRPr="007D1D36">
              <w:rPr>
                <w:bCs/>
                <w:color w:val="000000" w:themeColor="text1"/>
              </w:rPr>
              <w:t>T</w:t>
            </w:r>
            <w:r w:rsidRPr="007D1D36">
              <w:rPr>
                <w:bCs/>
                <w:color w:val="000000" w:themeColor="text1"/>
                <w:vertAlign w:val="subscript"/>
              </w:rPr>
              <w:t>4</w:t>
            </w:r>
          </w:p>
        </w:tc>
        <w:tc>
          <w:tcPr>
            <w:tcW w:w="1134" w:type="dxa"/>
          </w:tcPr>
          <w:p w14:paraId="502CA770"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13.40</w:t>
            </w:r>
          </w:p>
        </w:tc>
        <w:tc>
          <w:tcPr>
            <w:tcW w:w="1134" w:type="dxa"/>
          </w:tcPr>
          <w:p w14:paraId="5C2043DC"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3.69</w:t>
            </w:r>
          </w:p>
        </w:tc>
        <w:tc>
          <w:tcPr>
            <w:tcW w:w="1134" w:type="dxa"/>
          </w:tcPr>
          <w:p w14:paraId="5CD83665"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5.87</w:t>
            </w:r>
          </w:p>
        </w:tc>
        <w:tc>
          <w:tcPr>
            <w:tcW w:w="992" w:type="dxa"/>
          </w:tcPr>
          <w:p w14:paraId="6DABBAF9"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33.5</w:t>
            </w:r>
          </w:p>
        </w:tc>
        <w:tc>
          <w:tcPr>
            <w:tcW w:w="1134" w:type="dxa"/>
          </w:tcPr>
          <w:p w14:paraId="7030CD14"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7.44</w:t>
            </w:r>
          </w:p>
        </w:tc>
        <w:tc>
          <w:tcPr>
            <w:tcW w:w="1276" w:type="dxa"/>
          </w:tcPr>
          <w:p w14:paraId="1B386464"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15.87</w:t>
            </w:r>
          </w:p>
        </w:tc>
        <w:tc>
          <w:tcPr>
            <w:tcW w:w="1134" w:type="dxa"/>
          </w:tcPr>
          <w:p w14:paraId="5D700800"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1.35</w:t>
            </w:r>
          </w:p>
        </w:tc>
      </w:tr>
      <w:tr w:rsidR="007D1D36" w:rsidRPr="007D1D36" w14:paraId="1ABCDCAD" w14:textId="77777777" w:rsidTr="00E84F72">
        <w:tc>
          <w:tcPr>
            <w:tcW w:w="1526" w:type="dxa"/>
          </w:tcPr>
          <w:p w14:paraId="61AFC97E" w14:textId="77777777" w:rsidR="00033A1F" w:rsidRPr="007D1D36" w:rsidRDefault="00033A1F" w:rsidP="005D213E">
            <w:pPr>
              <w:pStyle w:val="Default"/>
              <w:spacing w:line="360" w:lineRule="auto"/>
              <w:jc w:val="both"/>
              <w:rPr>
                <w:color w:val="000000" w:themeColor="text1"/>
              </w:rPr>
            </w:pPr>
            <w:r w:rsidRPr="007D1D36">
              <w:rPr>
                <w:bCs/>
                <w:color w:val="000000" w:themeColor="text1"/>
              </w:rPr>
              <w:t>T</w:t>
            </w:r>
            <w:r w:rsidRPr="007D1D36">
              <w:rPr>
                <w:bCs/>
                <w:color w:val="000000" w:themeColor="text1"/>
                <w:vertAlign w:val="subscript"/>
              </w:rPr>
              <w:t>5</w:t>
            </w:r>
          </w:p>
        </w:tc>
        <w:tc>
          <w:tcPr>
            <w:tcW w:w="1134" w:type="dxa"/>
          </w:tcPr>
          <w:p w14:paraId="2FD1C9FB"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18.45</w:t>
            </w:r>
          </w:p>
        </w:tc>
        <w:tc>
          <w:tcPr>
            <w:tcW w:w="1134" w:type="dxa"/>
          </w:tcPr>
          <w:p w14:paraId="1E3E688B"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3.78</w:t>
            </w:r>
          </w:p>
        </w:tc>
        <w:tc>
          <w:tcPr>
            <w:tcW w:w="1134" w:type="dxa"/>
          </w:tcPr>
          <w:p w14:paraId="5B3D657A"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6.13</w:t>
            </w:r>
          </w:p>
        </w:tc>
        <w:tc>
          <w:tcPr>
            <w:tcW w:w="992" w:type="dxa"/>
          </w:tcPr>
          <w:p w14:paraId="5D6AD003"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35.1</w:t>
            </w:r>
          </w:p>
        </w:tc>
        <w:tc>
          <w:tcPr>
            <w:tcW w:w="1134" w:type="dxa"/>
          </w:tcPr>
          <w:p w14:paraId="65BAE2FF"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8.04</w:t>
            </w:r>
          </w:p>
        </w:tc>
        <w:tc>
          <w:tcPr>
            <w:tcW w:w="1276" w:type="dxa"/>
          </w:tcPr>
          <w:p w14:paraId="4DA33DA8"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17.31</w:t>
            </w:r>
          </w:p>
        </w:tc>
        <w:tc>
          <w:tcPr>
            <w:tcW w:w="1134" w:type="dxa"/>
          </w:tcPr>
          <w:p w14:paraId="0A813AE3"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1.76</w:t>
            </w:r>
          </w:p>
        </w:tc>
      </w:tr>
      <w:tr w:rsidR="007D1D36" w:rsidRPr="007D1D36" w14:paraId="23F4B635" w14:textId="77777777" w:rsidTr="00E84F72">
        <w:tc>
          <w:tcPr>
            <w:tcW w:w="1526" w:type="dxa"/>
          </w:tcPr>
          <w:p w14:paraId="5A6A93E4" w14:textId="77777777" w:rsidR="00033A1F" w:rsidRPr="007D1D36" w:rsidRDefault="00033A1F" w:rsidP="005D213E">
            <w:pPr>
              <w:pStyle w:val="Default"/>
              <w:spacing w:line="360" w:lineRule="auto"/>
              <w:jc w:val="both"/>
              <w:rPr>
                <w:color w:val="000000" w:themeColor="text1"/>
              </w:rPr>
            </w:pPr>
            <w:r w:rsidRPr="007D1D36">
              <w:rPr>
                <w:bCs/>
                <w:color w:val="000000" w:themeColor="text1"/>
              </w:rPr>
              <w:t>T</w:t>
            </w:r>
            <w:r w:rsidRPr="007D1D36">
              <w:rPr>
                <w:bCs/>
                <w:color w:val="000000" w:themeColor="text1"/>
                <w:vertAlign w:val="subscript"/>
              </w:rPr>
              <w:t>6</w:t>
            </w:r>
          </w:p>
        </w:tc>
        <w:tc>
          <w:tcPr>
            <w:tcW w:w="1134" w:type="dxa"/>
          </w:tcPr>
          <w:p w14:paraId="45B870C3"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20.20</w:t>
            </w:r>
          </w:p>
        </w:tc>
        <w:tc>
          <w:tcPr>
            <w:tcW w:w="1134" w:type="dxa"/>
          </w:tcPr>
          <w:p w14:paraId="4FCAC800"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4.06</w:t>
            </w:r>
          </w:p>
        </w:tc>
        <w:tc>
          <w:tcPr>
            <w:tcW w:w="1134" w:type="dxa"/>
          </w:tcPr>
          <w:p w14:paraId="316775B4"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6.27</w:t>
            </w:r>
          </w:p>
        </w:tc>
        <w:tc>
          <w:tcPr>
            <w:tcW w:w="992" w:type="dxa"/>
          </w:tcPr>
          <w:p w14:paraId="691B3BBA"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36.0</w:t>
            </w:r>
          </w:p>
        </w:tc>
        <w:tc>
          <w:tcPr>
            <w:tcW w:w="1134" w:type="dxa"/>
          </w:tcPr>
          <w:p w14:paraId="54CF3765"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8.50</w:t>
            </w:r>
          </w:p>
        </w:tc>
        <w:tc>
          <w:tcPr>
            <w:tcW w:w="1276" w:type="dxa"/>
          </w:tcPr>
          <w:p w14:paraId="2C8CFBF4"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18.56</w:t>
            </w:r>
          </w:p>
        </w:tc>
        <w:tc>
          <w:tcPr>
            <w:tcW w:w="1134" w:type="dxa"/>
          </w:tcPr>
          <w:p w14:paraId="37AA8673"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1.98</w:t>
            </w:r>
          </w:p>
        </w:tc>
      </w:tr>
      <w:tr w:rsidR="007D1D36" w:rsidRPr="007D1D36" w14:paraId="408B3009" w14:textId="77777777" w:rsidTr="00E84F72">
        <w:tc>
          <w:tcPr>
            <w:tcW w:w="1526" w:type="dxa"/>
          </w:tcPr>
          <w:p w14:paraId="7DFECD37" w14:textId="77777777" w:rsidR="00033A1F" w:rsidRPr="007D1D36" w:rsidRDefault="00033A1F" w:rsidP="005D213E">
            <w:pPr>
              <w:pStyle w:val="Default"/>
              <w:spacing w:line="360" w:lineRule="auto"/>
              <w:jc w:val="both"/>
              <w:rPr>
                <w:color w:val="000000" w:themeColor="text1"/>
              </w:rPr>
            </w:pPr>
            <w:r w:rsidRPr="007D1D36">
              <w:rPr>
                <w:bCs/>
                <w:color w:val="000000" w:themeColor="text1"/>
              </w:rPr>
              <w:t>T</w:t>
            </w:r>
            <w:r w:rsidRPr="007D1D36">
              <w:rPr>
                <w:bCs/>
                <w:color w:val="000000" w:themeColor="text1"/>
                <w:vertAlign w:val="subscript"/>
              </w:rPr>
              <w:t>7</w:t>
            </w:r>
          </w:p>
        </w:tc>
        <w:tc>
          <w:tcPr>
            <w:tcW w:w="1134" w:type="dxa"/>
          </w:tcPr>
          <w:p w14:paraId="3313BF80"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19.92</w:t>
            </w:r>
          </w:p>
        </w:tc>
        <w:tc>
          <w:tcPr>
            <w:tcW w:w="1134" w:type="dxa"/>
          </w:tcPr>
          <w:p w14:paraId="17A6698B"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3.81</w:t>
            </w:r>
          </w:p>
        </w:tc>
        <w:tc>
          <w:tcPr>
            <w:tcW w:w="1134" w:type="dxa"/>
          </w:tcPr>
          <w:p w14:paraId="662BBD61"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6.20</w:t>
            </w:r>
          </w:p>
        </w:tc>
        <w:tc>
          <w:tcPr>
            <w:tcW w:w="992" w:type="dxa"/>
          </w:tcPr>
          <w:p w14:paraId="370D21CF"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35.4</w:t>
            </w:r>
          </w:p>
        </w:tc>
        <w:tc>
          <w:tcPr>
            <w:tcW w:w="1134" w:type="dxa"/>
          </w:tcPr>
          <w:p w14:paraId="0DD6C770"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8.28</w:t>
            </w:r>
          </w:p>
        </w:tc>
        <w:tc>
          <w:tcPr>
            <w:tcW w:w="1276" w:type="dxa"/>
          </w:tcPr>
          <w:p w14:paraId="03ADC0E0"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17.69</w:t>
            </w:r>
          </w:p>
        </w:tc>
        <w:tc>
          <w:tcPr>
            <w:tcW w:w="1134" w:type="dxa"/>
          </w:tcPr>
          <w:p w14:paraId="3BCCF2CB"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1.80</w:t>
            </w:r>
          </w:p>
        </w:tc>
      </w:tr>
      <w:tr w:rsidR="007D1D36" w:rsidRPr="007D1D36" w14:paraId="3DB4D5A9" w14:textId="77777777" w:rsidTr="00E84F72">
        <w:tc>
          <w:tcPr>
            <w:tcW w:w="1526" w:type="dxa"/>
          </w:tcPr>
          <w:p w14:paraId="36BE9E64" w14:textId="77777777" w:rsidR="00033A1F" w:rsidRPr="007D1D36" w:rsidRDefault="00033A1F" w:rsidP="005D213E">
            <w:pPr>
              <w:pStyle w:val="Default"/>
              <w:spacing w:line="360" w:lineRule="auto"/>
              <w:jc w:val="both"/>
              <w:rPr>
                <w:color w:val="000000" w:themeColor="text1"/>
              </w:rPr>
            </w:pPr>
            <w:r w:rsidRPr="007D1D36">
              <w:rPr>
                <w:bCs/>
                <w:color w:val="000000" w:themeColor="text1"/>
              </w:rPr>
              <w:t>T</w:t>
            </w:r>
            <w:r w:rsidRPr="007D1D36">
              <w:rPr>
                <w:bCs/>
                <w:color w:val="000000" w:themeColor="text1"/>
                <w:vertAlign w:val="subscript"/>
              </w:rPr>
              <w:t>8</w:t>
            </w:r>
          </w:p>
        </w:tc>
        <w:tc>
          <w:tcPr>
            <w:tcW w:w="1134" w:type="dxa"/>
          </w:tcPr>
          <w:p w14:paraId="49CF22FE"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14.90</w:t>
            </w:r>
          </w:p>
        </w:tc>
        <w:tc>
          <w:tcPr>
            <w:tcW w:w="1134" w:type="dxa"/>
          </w:tcPr>
          <w:p w14:paraId="2A7E3AC0"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3.72</w:t>
            </w:r>
          </w:p>
        </w:tc>
        <w:tc>
          <w:tcPr>
            <w:tcW w:w="1134" w:type="dxa"/>
          </w:tcPr>
          <w:p w14:paraId="47A08E5F"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5.93</w:t>
            </w:r>
          </w:p>
        </w:tc>
        <w:tc>
          <w:tcPr>
            <w:tcW w:w="992" w:type="dxa"/>
          </w:tcPr>
          <w:p w14:paraId="7582BC4F"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33.8</w:t>
            </w:r>
          </w:p>
        </w:tc>
        <w:tc>
          <w:tcPr>
            <w:tcW w:w="1134" w:type="dxa"/>
          </w:tcPr>
          <w:p w14:paraId="337F0ED2"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7.47</w:t>
            </w:r>
          </w:p>
        </w:tc>
        <w:tc>
          <w:tcPr>
            <w:tcW w:w="1276" w:type="dxa"/>
          </w:tcPr>
          <w:p w14:paraId="2C686C53"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16.10</w:t>
            </w:r>
          </w:p>
        </w:tc>
        <w:tc>
          <w:tcPr>
            <w:tcW w:w="1134" w:type="dxa"/>
          </w:tcPr>
          <w:p w14:paraId="3D10846B"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1.44</w:t>
            </w:r>
          </w:p>
        </w:tc>
      </w:tr>
      <w:tr w:rsidR="007D1D36" w:rsidRPr="007D1D36" w14:paraId="50A606D2" w14:textId="77777777" w:rsidTr="00E84F72">
        <w:tc>
          <w:tcPr>
            <w:tcW w:w="1526" w:type="dxa"/>
          </w:tcPr>
          <w:p w14:paraId="5D759799" w14:textId="77777777" w:rsidR="00033A1F" w:rsidRPr="007D1D36" w:rsidRDefault="00033A1F" w:rsidP="005D213E">
            <w:pPr>
              <w:pStyle w:val="Default"/>
              <w:spacing w:line="360" w:lineRule="auto"/>
              <w:jc w:val="both"/>
              <w:rPr>
                <w:color w:val="000000" w:themeColor="text1"/>
              </w:rPr>
            </w:pPr>
            <w:proofErr w:type="spellStart"/>
            <w:r w:rsidRPr="007D1D36">
              <w:rPr>
                <w:bCs/>
                <w:color w:val="000000" w:themeColor="text1"/>
              </w:rPr>
              <w:t>SEm</w:t>
            </w:r>
            <w:proofErr w:type="spellEnd"/>
            <w:r w:rsidRPr="007D1D36">
              <w:rPr>
                <w:bCs/>
                <w:color w:val="000000" w:themeColor="text1"/>
              </w:rPr>
              <w:t xml:space="preserve"> (</w:t>
            </w:r>
            <w:r w:rsidRPr="007D1D36">
              <w:rPr>
                <w:bCs/>
                <w:color w:val="000000" w:themeColor="text1"/>
                <w:u w:val="single"/>
              </w:rPr>
              <w:t>+</w:t>
            </w:r>
            <w:r w:rsidRPr="007D1D36">
              <w:rPr>
                <w:color w:val="000000" w:themeColor="text1"/>
              </w:rPr>
              <w:t>)</w:t>
            </w:r>
          </w:p>
        </w:tc>
        <w:tc>
          <w:tcPr>
            <w:tcW w:w="1134" w:type="dxa"/>
          </w:tcPr>
          <w:p w14:paraId="0345B54F"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1.94</w:t>
            </w:r>
          </w:p>
        </w:tc>
        <w:tc>
          <w:tcPr>
            <w:tcW w:w="1134" w:type="dxa"/>
          </w:tcPr>
          <w:p w14:paraId="24493A51"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0.20</w:t>
            </w:r>
          </w:p>
        </w:tc>
        <w:tc>
          <w:tcPr>
            <w:tcW w:w="1134" w:type="dxa"/>
          </w:tcPr>
          <w:p w14:paraId="284F0C1F"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0.45</w:t>
            </w:r>
          </w:p>
        </w:tc>
        <w:tc>
          <w:tcPr>
            <w:tcW w:w="992" w:type="dxa"/>
          </w:tcPr>
          <w:p w14:paraId="7B90D1CE"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0.27</w:t>
            </w:r>
          </w:p>
        </w:tc>
        <w:tc>
          <w:tcPr>
            <w:tcW w:w="1134" w:type="dxa"/>
          </w:tcPr>
          <w:p w14:paraId="7DCDD626"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0.28</w:t>
            </w:r>
          </w:p>
        </w:tc>
        <w:tc>
          <w:tcPr>
            <w:tcW w:w="1276" w:type="dxa"/>
          </w:tcPr>
          <w:p w14:paraId="5C9D7BFE"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0.59</w:t>
            </w:r>
          </w:p>
        </w:tc>
        <w:tc>
          <w:tcPr>
            <w:tcW w:w="1134" w:type="dxa"/>
          </w:tcPr>
          <w:p w14:paraId="20AAB9C9"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w:t>
            </w:r>
          </w:p>
        </w:tc>
      </w:tr>
      <w:tr w:rsidR="007D1D36" w:rsidRPr="007D1D36" w14:paraId="62047850" w14:textId="77777777" w:rsidTr="00E84F72">
        <w:tc>
          <w:tcPr>
            <w:tcW w:w="1526" w:type="dxa"/>
          </w:tcPr>
          <w:p w14:paraId="0C6085FA" w14:textId="77777777" w:rsidR="00033A1F" w:rsidRPr="007D1D36" w:rsidRDefault="00033A1F" w:rsidP="005D213E">
            <w:pPr>
              <w:pStyle w:val="Default"/>
              <w:spacing w:line="360" w:lineRule="auto"/>
              <w:jc w:val="both"/>
              <w:rPr>
                <w:color w:val="000000" w:themeColor="text1"/>
              </w:rPr>
            </w:pPr>
            <w:r w:rsidRPr="007D1D36">
              <w:rPr>
                <w:bCs/>
                <w:color w:val="000000" w:themeColor="text1"/>
              </w:rPr>
              <w:t>CD (5%)</w:t>
            </w:r>
          </w:p>
        </w:tc>
        <w:tc>
          <w:tcPr>
            <w:tcW w:w="1134" w:type="dxa"/>
          </w:tcPr>
          <w:p w14:paraId="6E007992"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3.80</w:t>
            </w:r>
          </w:p>
        </w:tc>
        <w:tc>
          <w:tcPr>
            <w:tcW w:w="1134" w:type="dxa"/>
          </w:tcPr>
          <w:p w14:paraId="2344C742"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0.39</w:t>
            </w:r>
          </w:p>
        </w:tc>
        <w:tc>
          <w:tcPr>
            <w:tcW w:w="1134" w:type="dxa"/>
          </w:tcPr>
          <w:p w14:paraId="209CF423"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0.89</w:t>
            </w:r>
          </w:p>
        </w:tc>
        <w:tc>
          <w:tcPr>
            <w:tcW w:w="992" w:type="dxa"/>
          </w:tcPr>
          <w:p w14:paraId="404EAF4B"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0.78</w:t>
            </w:r>
          </w:p>
        </w:tc>
        <w:tc>
          <w:tcPr>
            <w:tcW w:w="1134" w:type="dxa"/>
          </w:tcPr>
          <w:p w14:paraId="25A79C26"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0.55</w:t>
            </w:r>
          </w:p>
        </w:tc>
        <w:tc>
          <w:tcPr>
            <w:tcW w:w="1276" w:type="dxa"/>
          </w:tcPr>
          <w:p w14:paraId="2A1E37B8" w14:textId="77777777" w:rsidR="00033A1F" w:rsidRPr="007D1D36" w:rsidRDefault="00033A1F" w:rsidP="005D213E">
            <w:pPr>
              <w:pStyle w:val="Default"/>
              <w:spacing w:line="360" w:lineRule="auto"/>
              <w:jc w:val="center"/>
              <w:rPr>
                <w:color w:val="000000" w:themeColor="text1"/>
              </w:rPr>
            </w:pPr>
            <w:r w:rsidRPr="007D1D36">
              <w:rPr>
                <w:bCs/>
                <w:color w:val="000000" w:themeColor="text1"/>
              </w:rPr>
              <w:t>1.16</w:t>
            </w:r>
          </w:p>
        </w:tc>
        <w:tc>
          <w:tcPr>
            <w:tcW w:w="1134" w:type="dxa"/>
          </w:tcPr>
          <w:p w14:paraId="644C667B" w14:textId="77777777" w:rsidR="00033A1F" w:rsidRPr="007D1D36" w:rsidRDefault="00033A1F" w:rsidP="005D213E">
            <w:pPr>
              <w:pStyle w:val="Default"/>
              <w:spacing w:line="360" w:lineRule="auto"/>
              <w:jc w:val="center"/>
              <w:rPr>
                <w:bCs/>
                <w:color w:val="000000" w:themeColor="text1"/>
              </w:rPr>
            </w:pPr>
            <w:r w:rsidRPr="007D1D36">
              <w:rPr>
                <w:bCs/>
                <w:color w:val="000000" w:themeColor="text1"/>
              </w:rPr>
              <w:t>-</w:t>
            </w:r>
          </w:p>
        </w:tc>
      </w:tr>
    </w:tbl>
    <w:p w14:paraId="60888A06" w14:textId="5438D779" w:rsidR="005D213E" w:rsidRPr="007D1D36" w:rsidRDefault="005D213E" w:rsidP="005D213E">
      <w:pPr>
        <w:spacing w:after="0" w:line="360" w:lineRule="auto"/>
        <w:ind w:right="-279"/>
        <w:jc w:val="both"/>
        <w:rPr>
          <w:rFonts w:ascii="Times New Roman" w:hAnsi="Times New Roman"/>
          <w:b/>
          <w:color w:val="000000" w:themeColor="text1"/>
          <w:sz w:val="24"/>
          <w:szCs w:val="24"/>
        </w:rPr>
      </w:pPr>
      <w:bookmarkStart w:id="0" w:name="_GoBack"/>
      <w:r w:rsidRPr="007D1D36">
        <w:rPr>
          <w:rFonts w:ascii="Times New Roman" w:hAnsi="Times New Roman"/>
          <w:b/>
          <w:color w:val="000000" w:themeColor="text1"/>
          <w:sz w:val="24"/>
          <w:szCs w:val="24"/>
        </w:rPr>
        <w:lastRenderedPageBreak/>
        <w:t>Table</w:t>
      </w:r>
      <w:bookmarkEnd w:id="0"/>
      <w:r w:rsidRPr="007D1D36">
        <w:rPr>
          <w:rFonts w:ascii="Times New Roman" w:hAnsi="Times New Roman"/>
          <w:b/>
          <w:color w:val="000000" w:themeColor="text1"/>
          <w:sz w:val="24"/>
          <w:szCs w:val="24"/>
        </w:rPr>
        <w:t xml:space="preserve"> 3: Effect of different levels of P, S and PSB on Nutrient Uptake of </w:t>
      </w:r>
      <w:proofErr w:type="gramStart"/>
      <w:r w:rsidRPr="007D1D36">
        <w:rPr>
          <w:rFonts w:ascii="Times New Roman" w:hAnsi="Times New Roman"/>
          <w:b/>
          <w:color w:val="000000" w:themeColor="text1"/>
          <w:sz w:val="24"/>
          <w:szCs w:val="24"/>
        </w:rPr>
        <w:t>Black  gram</w:t>
      </w:r>
      <w:proofErr w:type="gramEnd"/>
      <w:r w:rsidRPr="007D1D36">
        <w:rPr>
          <w:rFonts w:ascii="Times New Roman" w:hAnsi="Times New Roman"/>
          <w:b/>
          <w:color w:val="000000" w:themeColor="text1"/>
          <w:sz w:val="24"/>
          <w:szCs w:val="24"/>
        </w:rPr>
        <w:t xml:space="preserve"> (</w:t>
      </w:r>
      <w:r w:rsidRPr="007D1D36">
        <w:rPr>
          <w:rFonts w:ascii="Times New Roman" w:hAnsi="Times New Roman"/>
          <w:b/>
          <w:i/>
          <w:iCs/>
          <w:color w:val="000000" w:themeColor="text1"/>
          <w:sz w:val="24"/>
          <w:szCs w:val="24"/>
        </w:rPr>
        <w:t>Kharif</w:t>
      </w:r>
      <w:r w:rsidRPr="007D1D36">
        <w:rPr>
          <w:rFonts w:ascii="Times New Roman" w:hAnsi="Times New Roman"/>
          <w:b/>
          <w:color w:val="000000" w:themeColor="text1"/>
          <w:sz w:val="24"/>
          <w:szCs w:val="24"/>
        </w:rPr>
        <w:t>, 2020 &amp;2021)</w:t>
      </w:r>
    </w:p>
    <w:p w14:paraId="7123F6C5" w14:textId="77777777" w:rsidR="005D213E" w:rsidRPr="007D1D36" w:rsidRDefault="005D213E" w:rsidP="005D213E">
      <w:pPr>
        <w:spacing w:line="360" w:lineRule="auto"/>
        <w:jc w:val="both"/>
        <w:rPr>
          <w:rFonts w:ascii="Times New Roman" w:hAnsi="Times New Roman"/>
          <w:b/>
          <w:color w:val="000000" w:themeColor="text1"/>
          <w:sz w:val="24"/>
          <w:szCs w:val="24"/>
        </w:rPr>
      </w:pPr>
    </w:p>
    <w:tbl>
      <w:tblPr>
        <w:tblpPr w:leftFromText="180" w:rightFromText="180" w:vertAnchor="text" w:horzAnchor="margin" w:tblpX="-414" w:tblpY="189"/>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4806"/>
        <w:gridCol w:w="1260"/>
        <w:gridCol w:w="1368"/>
        <w:gridCol w:w="1260"/>
      </w:tblGrid>
      <w:tr w:rsidR="007D1D36" w:rsidRPr="007D1D36" w14:paraId="7956C62A" w14:textId="77777777">
        <w:tc>
          <w:tcPr>
            <w:tcW w:w="1188" w:type="dxa"/>
          </w:tcPr>
          <w:p w14:paraId="0BBEE7AB"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Tr.</w:t>
            </w:r>
          </w:p>
          <w:p w14:paraId="35CA4797"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No.</w:t>
            </w:r>
          </w:p>
        </w:tc>
        <w:tc>
          <w:tcPr>
            <w:tcW w:w="4806" w:type="dxa"/>
          </w:tcPr>
          <w:p w14:paraId="2C2935BC"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Treatments</w:t>
            </w:r>
          </w:p>
        </w:tc>
        <w:tc>
          <w:tcPr>
            <w:tcW w:w="1260" w:type="dxa"/>
          </w:tcPr>
          <w:p w14:paraId="43FF4AE2"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 xml:space="preserve"> N</w:t>
            </w:r>
          </w:p>
          <w:p w14:paraId="33E894EC"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(kg/ha)</w:t>
            </w:r>
          </w:p>
        </w:tc>
        <w:tc>
          <w:tcPr>
            <w:tcW w:w="1368" w:type="dxa"/>
          </w:tcPr>
          <w:p w14:paraId="7CA5ECE2"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 xml:space="preserve">P </w:t>
            </w:r>
          </w:p>
          <w:p w14:paraId="047DA16D"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 xml:space="preserve"> (kg/ha)</w:t>
            </w:r>
          </w:p>
        </w:tc>
        <w:tc>
          <w:tcPr>
            <w:tcW w:w="1260" w:type="dxa"/>
          </w:tcPr>
          <w:p w14:paraId="62A687DF"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 xml:space="preserve">  K</w:t>
            </w:r>
          </w:p>
          <w:p w14:paraId="29B75579"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proofErr w:type="gramStart"/>
            <w:r w:rsidRPr="007D1D36">
              <w:rPr>
                <w:rFonts w:ascii="Times New Roman" w:eastAsia="Calibri" w:hAnsi="Times New Roman"/>
                <w:color w:val="000000" w:themeColor="text1"/>
                <w:sz w:val="24"/>
                <w:szCs w:val="24"/>
                <w:lang w:val="en-IN"/>
              </w:rPr>
              <w:t>( kg</w:t>
            </w:r>
            <w:proofErr w:type="gramEnd"/>
            <w:r w:rsidRPr="007D1D36">
              <w:rPr>
                <w:rFonts w:ascii="Times New Roman" w:eastAsia="Calibri" w:hAnsi="Times New Roman"/>
                <w:color w:val="000000" w:themeColor="text1"/>
                <w:sz w:val="24"/>
                <w:szCs w:val="24"/>
                <w:lang w:val="en-IN"/>
              </w:rPr>
              <w:t>/ha)</w:t>
            </w:r>
          </w:p>
        </w:tc>
      </w:tr>
      <w:tr w:rsidR="007D1D36" w:rsidRPr="007D1D36" w14:paraId="2C35A986" w14:textId="77777777">
        <w:tc>
          <w:tcPr>
            <w:tcW w:w="1188" w:type="dxa"/>
          </w:tcPr>
          <w:p w14:paraId="10FD36D7"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T</w:t>
            </w:r>
            <w:r w:rsidRPr="007D1D36">
              <w:rPr>
                <w:rFonts w:ascii="Times New Roman" w:eastAsia="Calibri" w:hAnsi="Times New Roman"/>
                <w:color w:val="000000" w:themeColor="text1"/>
                <w:sz w:val="24"/>
                <w:szCs w:val="24"/>
                <w:vertAlign w:val="subscript"/>
                <w:lang w:val="en-IN"/>
              </w:rPr>
              <w:t>1</w:t>
            </w:r>
          </w:p>
        </w:tc>
        <w:tc>
          <w:tcPr>
            <w:tcW w:w="4806" w:type="dxa"/>
          </w:tcPr>
          <w:p w14:paraId="5D2D9A10"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bCs/>
                <w:color w:val="000000" w:themeColor="text1"/>
                <w:sz w:val="24"/>
                <w:szCs w:val="24"/>
                <w:lang w:val="en-IN"/>
              </w:rPr>
              <w:t>Control</w:t>
            </w:r>
          </w:p>
        </w:tc>
        <w:tc>
          <w:tcPr>
            <w:tcW w:w="1260" w:type="dxa"/>
          </w:tcPr>
          <w:p w14:paraId="397C4E5A"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26.3</w:t>
            </w:r>
          </w:p>
        </w:tc>
        <w:tc>
          <w:tcPr>
            <w:tcW w:w="1368" w:type="dxa"/>
          </w:tcPr>
          <w:p w14:paraId="70D693CE"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3.2</w:t>
            </w:r>
          </w:p>
        </w:tc>
        <w:tc>
          <w:tcPr>
            <w:tcW w:w="1260" w:type="dxa"/>
          </w:tcPr>
          <w:p w14:paraId="72F1401E"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21.8</w:t>
            </w:r>
          </w:p>
        </w:tc>
      </w:tr>
      <w:tr w:rsidR="007D1D36" w:rsidRPr="007D1D36" w14:paraId="79E7E834" w14:textId="77777777">
        <w:tc>
          <w:tcPr>
            <w:tcW w:w="1188" w:type="dxa"/>
          </w:tcPr>
          <w:p w14:paraId="21B53F71"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T</w:t>
            </w:r>
            <w:r w:rsidRPr="007D1D36">
              <w:rPr>
                <w:rFonts w:ascii="Times New Roman" w:eastAsia="Calibri" w:hAnsi="Times New Roman"/>
                <w:color w:val="000000" w:themeColor="text1"/>
                <w:sz w:val="24"/>
                <w:szCs w:val="24"/>
                <w:vertAlign w:val="subscript"/>
                <w:lang w:val="en-IN"/>
              </w:rPr>
              <w:t>2</w:t>
            </w:r>
          </w:p>
        </w:tc>
        <w:tc>
          <w:tcPr>
            <w:tcW w:w="4806" w:type="dxa"/>
          </w:tcPr>
          <w:p w14:paraId="414F89A6"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bCs/>
                <w:color w:val="000000" w:themeColor="text1"/>
                <w:sz w:val="24"/>
                <w:szCs w:val="24"/>
                <w:lang w:val="en-IN"/>
              </w:rPr>
              <w:t>40.0 kg P</w:t>
            </w:r>
            <w:r w:rsidRPr="007D1D36">
              <w:rPr>
                <w:rFonts w:ascii="Times New Roman" w:eastAsia="Calibri" w:hAnsi="Times New Roman"/>
                <w:bCs/>
                <w:color w:val="000000" w:themeColor="text1"/>
                <w:sz w:val="24"/>
                <w:szCs w:val="24"/>
                <w:vertAlign w:val="subscript"/>
                <w:lang w:val="en-IN"/>
              </w:rPr>
              <w:t>2</w:t>
            </w:r>
            <w:r w:rsidRPr="007D1D36">
              <w:rPr>
                <w:rFonts w:ascii="Times New Roman" w:eastAsia="Calibri" w:hAnsi="Times New Roman"/>
                <w:bCs/>
                <w:color w:val="000000" w:themeColor="text1"/>
                <w:sz w:val="24"/>
                <w:szCs w:val="24"/>
                <w:lang w:val="en-IN"/>
              </w:rPr>
              <w:t>O</w:t>
            </w:r>
            <w:r w:rsidRPr="007D1D36">
              <w:rPr>
                <w:rFonts w:ascii="Times New Roman" w:eastAsia="Calibri" w:hAnsi="Times New Roman"/>
                <w:bCs/>
                <w:color w:val="000000" w:themeColor="text1"/>
                <w:sz w:val="24"/>
                <w:szCs w:val="24"/>
                <w:vertAlign w:val="subscript"/>
                <w:lang w:val="en-IN"/>
              </w:rPr>
              <w:t>5</w:t>
            </w:r>
            <w:r w:rsidRPr="007D1D36">
              <w:rPr>
                <w:rFonts w:ascii="Times New Roman" w:eastAsia="Calibri" w:hAnsi="Times New Roman"/>
                <w:bCs/>
                <w:color w:val="000000" w:themeColor="text1"/>
                <w:sz w:val="24"/>
                <w:szCs w:val="24"/>
                <w:lang w:val="en-IN"/>
              </w:rPr>
              <w:t>/ha</w:t>
            </w:r>
          </w:p>
        </w:tc>
        <w:tc>
          <w:tcPr>
            <w:tcW w:w="1260" w:type="dxa"/>
          </w:tcPr>
          <w:p w14:paraId="2360769B"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33.7</w:t>
            </w:r>
          </w:p>
        </w:tc>
        <w:tc>
          <w:tcPr>
            <w:tcW w:w="1368" w:type="dxa"/>
          </w:tcPr>
          <w:p w14:paraId="46B2CEDB"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4.3</w:t>
            </w:r>
          </w:p>
        </w:tc>
        <w:tc>
          <w:tcPr>
            <w:tcW w:w="1260" w:type="dxa"/>
          </w:tcPr>
          <w:p w14:paraId="54B68A63"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26.4</w:t>
            </w:r>
          </w:p>
        </w:tc>
      </w:tr>
      <w:tr w:rsidR="007D1D36" w:rsidRPr="007D1D36" w14:paraId="5DD12AEA" w14:textId="77777777">
        <w:tc>
          <w:tcPr>
            <w:tcW w:w="1188" w:type="dxa"/>
          </w:tcPr>
          <w:p w14:paraId="50C416D7"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T</w:t>
            </w:r>
            <w:r w:rsidRPr="007D1D36">
              <w:rPr>
                <w:rFonts w:ascii="Times New Roman" w:eastAsia="Calibri" w:hAnsi="Times New Roman"/>
                <w:color w:val="000000" w:themeColor="text1"/>
                <w:sz w:val="24"/>
                <w:szCs w:val="24"/>
                <w:vertAlign w:val="subscript"/>
                <w:lang w:val="en-IN"/>
              </w:rPr>
              <w:t>3</w:t>
            </w:r>
          </w:p>
        </w:tc>
        <w:tc>
          <w:tcPr>
            <w:tcW w:w="4806" w:type="dxa"/>
          </w:tcPr>
          <w:p w14:paraId="0DAD0B01"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bCs/>
                <w:color w:val="000000" w:themeColor="text1"/>
                <w:sz w:val="24"/>
                <w:szCs w:val="24"/>
                <w:lang w:val="en-IN"/>
              </w:rPr>
              <w:t>T</w:t>
            </w:r>
            <w:r w:rsidRPr="007D1D36">
              <w:rPr>
                <w:rFonts w:ascii="Times New Roman" w:eastAsia="Calibri" w:hAnsi="Times New Roman"/>
                <w:bCs/>
                <w:color w:val="000000" w:themeColor="text1"/>
                <w:sz w:val="24"/>
                <w:szCs w:val="24"/>
                <w:vertAlign w:val="subscript"/>
                <w:lang w:val="en-IN"/>
              </w:rPr>
              <w:t>2</w:t>
            </w:r>
            <w:r w:rsidRPr="007D1D36">
              <w:rPr>
                <w:rFonts w:ascii="Times New Roman" w:eastAsia="Calibri" w:hAnsi="Times New Roman"/>
                <w:bCs/>
                <w:color w:val="000000" w:themeColor="text1"/>
                <w:sz w:val="24"/>
                <w:szCs w:val="24"/>
                <w:lang w:val="en-IN"/>
              </w:rPr>
              <w:t xml:space="preserve"> + Soil application of </w:t>
            </w:r>
            <w:proofErr w:type="gramStart"/>
            <w:r w:rsidRPr="007D1D36">
              <w:rPr>
                <w:rFonts w:ascii="Times New Roman" w:eastAsia="Calibri" w:hAnsi="Times New Roman"/>
                <w:bCs/>
                <w:color w:val="000000" w:themeColor="text1"/>
                <w:sz w:val="24"/>
                <w:szCs w:val="24"/>
                <w:lang w:val="en-IN"/>
              </w:rPr>
              <w:t>PSB  4.0</w:t>
            </w:r>
            <w:proofErr w:type="gramEnd"/>
            <w:r w:rsidRPr="007D1D36">
              <w:rPr>
                <w:rFonts w:ascii="Times New Roman" w:eastAsia="Calibri" w:hAnsi="Times New Roman"/>
                <w:bCs/>
                <w:color w:val="000000" w:themeColor="text1"/>
                <w:sz w:val="24"/>
                <w:szCs w:val="24"/>
                <w:lang w:val="en-IN"/>
              </w:rPr>
              <w:t xml:space="preserve"> kg /ha</w:t>
            </w:r>
          </w:p>
        </w:tc>
        <w:tc>
          <w:tcPr>
            <w:tcW w:w="1260" w:type="dxa"/>
          </w:tcPr>
          <w:p w14:paraId="428BD11F"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40.5</w:t>
            </w:r>
          </w:p>
        </w:tc>
        <w:tc>
          <w:tcPr>
            <w:tcW w:w="1368" w:type="dxa"/>
          </w:tcPr>
          <w:p w14:paraId="08E26F1A"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6.0</w:t>
            </w:r>
          </w:p>
        </w:tc>
        <w:tc>
          <w:tcPr>
            <w:tcW w:w="1260" w:type="dxa"/>
          </w:tcPr>
          <w:p w14:paraId="71CCEDF1"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29.7</w:t>
            </w:r>
          </w:p>
        </w:tc>
      </w:tr>
      <w:tr w:rsidR="007D1D36" w:rsidRPr="007D1D36" w14:paraId="619ADB98" w14:textId="77777777">
        <w:tc>
          <w:tcPr>
            <w:tcW w:w="1188" w:type="dxa"/>
          </w:tcPr>
          <w:p w14:paraId="3C68304B"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T</w:t>
            </w:r>
            <w:r w:rsidRPr="007D1D36">
              <w:rPr>
                <w:rFonts w:ascii="Times New Roman" w:eastAsia="Calibri" w:hAnsi="Times New Roman"/>
                <w:color w:val="000000" w:themeColor="text1"/>
                <w:sz w:val="24"/>
                <w:szCs w:val="24"/>
                <w:vertAlign w:val="subscript"/>
                <w:lang w:val="en-IN"/>
              </w:rPr>
              <w:t>4</w:t>
            </w:r>
          </w:p>
        </w:tc>
        <w:tc>
          <w:tcPr>
            <w:tcW w:w="4806" w:type="dxa"/>
          </w:tcPr>
          <w:p w14:paraId="04118C8F"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bCs/>
                <w:color w:val="000000" w:themeColor="text1"/>
                <w:sz w:val="24"/>
                <w:szCs w:val="24"/>
                <w:lang w:val="en-IN"/>
              </w:rPr>
              <w:t>20.0 kg P</w:t>
            </w:r>
            <w:r w:rsidRPr="007D1D36">
              <w:rPr>
                <w:rFonts w:ascii="Times New Roman" w:eastAsia="Calibri" w:hAnsi="Times New Roman"/>
                <w:bCs/>
                <w:color w:val="000000" w:themeColor="text1"/>
                <w:sz w:val="24"/>
                <w:szCs w:val="24"/>
                <w:vertAlign w:val="subscript"/>
                <w:lang w:val="en-IN"/>
              </w:rPr>
              <w:t>2</w:t>
            </w:r>
            <w:r w:rsidRPr="007D1D36">
              <w:rPr>
                <w:rFonts w:ascii="Times New Roman" w:eastAsia="Calibri" w:hAnsi="Times New Roman"/>
                <w:bCs/>
                <w:color w:val="000000" w:themeColor="text1"/>
                <w:sz w:val="24"/>
                <w:szCs w:val="24"/>
                <w:lang w:val="en-IN"/>
              </w:rPr>
              <w:t>O</w:t>
            </w:r>
            <w:r w:rsidRPr="007D1D36">
              <w:rPr>
                <w:rFonts w:ascii="Times New Roman" w:eastAsia="Calibri" w:hAnsi="Times New Roman"/>
                <w:bCs/>
                <w:color w:val="000000" w:themeColor="text1"/>
                <w:sz w:val="24"/>
                <w:szCs w:val="24"/>
                <w:vertAlign w:val="subscript"/>
                <w:lang w:val="en-IN"/>
              </w:rPr>
              <w:t>5</w:t>
            </w:r>
            <w:r w:rsidRPr="007D1D36">
              <w:rPr>
                <w:rFonts w:ascii="Times New Roman" w:eastAsia="Calibri" w:hAnsi="Times New Roman"/>
                <w:bCs/>
                <w:color w:val="000000" w:themeColor="text1"/>
                <w:sz w:val="24"/>
                <w:szCs w:val="24"/>
                <w:lang w:val="en-IN"/>
              </w:rPr>
              <w:t xml:space="preserve">/ha + Soil application of </w:t>
            </w:r>
            <w:proofErr w:type="gramStart"/>
            <w:r w:rsidRPr="007D1D36">
              <w:rPr>
                <w:rFonts w:ascii="Times New Roman" w:eastAsia="Calibri" w:hAnsi="Times New Roman"/>
                <w:bCs/>
                <w:color w:val="000000" w:themeColor="text1"/>
                <w:sz w:val="24"/>
                <w:szCs w:val="24"/>
                <w:lang w:val="en-IN"/>
              </w:rPr>
              <w:t>PSB  4.0</w:t>
            </w:r>
            <w:proofErr w:type="gramEnd"/>
            <w:r w:rsidRPr="007D1D36">
              <w:rPr>
                <w:rFonts w:ascii="Times New Roman" w:eastAsia="Calibri" w:hAnsi="Times New Roman"/>
                <w:bCs/>
                <w:color w:val="000000" w:themeColor="text1"/>
                <w:sz w:val="24"/>
                <w:szCs w:val="24"/>
                <w:lang w:val="en-IN"/>
              </w:rPr>
              <w:t xml:space="preserve"> kg /ha</w:t>
            </w:r>
          </w:p>
        </w:tc>
        <w:tc>
          <w:tcPr>
            <w:tcW w:w="1260" w:type="dxa"/>
          </w:tcPr>
          <w:p w14:paraId="3049FF39"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36.8</w:t>
            </w:r>
          </w:p>
        </w:tc>
        <w:tc>
          <w:tcPr>
            <w:tcW w:w="1368" w:type="dxa"/>
          </w:tcPr>
          <w:p w14:paraId="21D10D2B"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5.0</w:t>
            </w:r>
          </w:p>
        </w:tc>
        <w:tc>
          <w:tcPr>
            <w:tcW w:w="1260" w:type="dxa"/>
          </w:tcPr>
          <w:p w14:paraId="6BF2EDD4"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28.1</w:t>
            </w:r>
          </w:p>
        </w:tc>
      </w:tr>
      <w:tr w:rsidR="007D1D36" w:rsidRPr="007D1D36" w14:paraId="47C1F64F" w14:textId="77777777">
        <w:tc>
          <w:tcPr>
            <w:tcW w:w="1188" w:type="dxa"/>
          </w:tcPr>
          <w:p w14:paraId="0CE7408C"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T</w:t>
            </w:r>
            <w:r w:rsidRPr="007D1D36">
              <w:rPr>
                <w:rFonts w:ascii="Times New Roman" w:eastAsia="Calibri" w:hAnsi="Times New Roman"/>
                <w:color w:val="000000" w:themeColor="text1"/>
                <w:sz w:val="24"/>
                <w:szCs w:val="24"/>
                <w:vertAlign w:val="subscript"/>
                <w:lang w:val="en-IN"/>
              </w:rPr>
              <w:t>5</w:t>
            </w:r>
          </w:p>
        </w:tc>
        <w:tc>
          <w:tcPr>
            <w:tcW w:w="4806" w:type="dxa"/>
          </w:tcPr>
          <w:p w14:paraId="1EA3E4AC"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bCs/>
                <w:color w:val="000000" w:themeColor="text1"/>
                <w:sz w:val="24"/>
                <w:szCs w:val="24"/>
                <w:lang w:val="en-IN"/>
              </w:rPr>
              <w:t>T</w:t>
            </w:r>
            <w:r w:rsidRPr="007D1D36">
              <w:rPr>
                <w:rFonts w:ascii="Times New Roman" w:eastAsia="Calibri" w:hAnsi="Times New Roman"/>
                <w:bCs/>
                <w:color w:val="000000" w:themeColor="text1"/>
                <w:sz w:val="24"/>
                <w:szCs w:val="24"/>
                <w:vertAlign w:val="subscript"/>
                <w:lang w:val="en-IN"/>
              </w:rPr>
              <w:t>2</w:t>
            </w:r>
            <w:r w:rsidRPr="007D1D36">
              <w:rPr>
                <w:rFonts w:ascii="Times New Roman" w:eastAsia="Calibri" w:hAnsi="Times New Roman"/>
                <w:bCs/>
                <w:color w:val="000000" w:themeColor="text1"/>
                <w:sz w:val="24"/>
                <w:szCs w:val="24"/>
                <w:lang w:val="en-IN"/>
              </w:rPr>
              <w:t xml:space="preserve"> + 20 kg S/ha</w:t>
            </w:r>
          </w:p>
        </w:tc>
        <w:tc>
          <w:tcPr>
            <w:tcW w:w="1260" w:type="dxa"/>
          </w:tcPr>
          <w:p w14:paraId="10885B9A"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42.8</w:t>
            </w:r>
          </w:p>
        </w:tc>
        <w:tc>
          <w:tcPr>
            <w:tcW w:w="1368" w:type="dxa"/>
          </w:tcPr>
          <w:p w14:paraId="5A2ED080"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6.5</w:t>
            </w:r>
          </w:p>
        </w:tc>
        <w:tc>
          <w:tcPr>
            <w:tcW w:w="1260" w:type="dxa"/>
          </w:tcPr>
          <w:p w14:paraId="5101A91F"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31.7</w:t>
            </w:r>
          </w:p>
        </w:tc>
      </w:tr>
      <w:tr w:rsidR="007D1D36" w:rsidRPr="007D1D36" w14:paraId="454BD452" w14:textId="77777777">
        <w:tc>
          <w:tcPr>
            <w:tcW w:w="1188" w:type="dxa"/>
          </w:tcPr>
          <w:p w14:paraId="77130BB0"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T</w:t>
            </w:r>
            <w:r w:rsidRPr="007D1D36">
              <w:rPr>
                <w:rFonts w:ascii="Times New Roman" w:eastAsia="Calibri" w:hAnsi="Times New Roman"/>
                <w:color w:val="000000" w:themeColor="text1"/>
                <w:sz w:val="24"/>
                <w:szCs w:val="24"/>
                <w:vertAlign w:val="subscript"/>
                <w:lang w:val="en-IN"/>
              </w:rPr>
              <w:t>6</w:t>
            </w:r>
          </w:p>
        </w:tc>
        <w:tc>
          <w:tcPr>
            <w:tcW w:w="4806" w:type="dxa"/>
          </w:tcPr>
          <w:p w14:paraId="30B45AB8"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bCs/>
                <w:color w:val="000000" w:themeColor="text1"/>
                <w:sz w:val="24"/>
                <w:szCs w:val="24"/>
                <w:lang w:val="en-IN"/>
              </w:rPr>
              <w:t>T</w:t>
            </w:r>
            <w:r w:rsidRPr="007D1D36">
              <w:rPr>
                <w:rFonts w:ascii="Times New Roman" w:eastAsia="Calibri" w:hAnsi="Times New Roman"/>
                <w:bCs/>
                <w:color w:val="000000" w:themeColor="text1"/>
                <w:sz w:val="24"/>
                <w:szCs w:val="24"/>
                <w:vertAlign w:val="subscript"/>
                <w:lang w:val="en-IN"/>
              </w:rPr>
              <w:t>3</w:t>
            </w:r>
            <w:r w:rsidRPr="007D1D36">
              <w:rPr>
                <w:rFonts w:ascii="Times New Roman" w:eastAsia="Calibri" w:hAnsi="Times New Roman"/>
                <w:bCs/>
                <w:color w:val="000000" w:themeColor="text1"/>
                <w:sz w:val="24"/>
                <w:szCs w:val="24"/>
                <w:lang w:val="en-IN"/>
              </w:rPr>
              <w:t xml:space="preserve"> + 20 kg S/ha</w:t>
            </w:r>
          </w:p>
        </w:tc>
        <w:tc>
          <w:tcPr>
            <w:tcW w:w="1260" w:type="dxa"/>
          </w:tcPr>
          <w:p w14:paraId="12092162"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48.2</w:t>
            </w:r>
          </w:p>
        </w:tc>
        <w:tc>
          <w:tcPr>
            <w:tcW w:w="1368" w:type="dxa"/>
          </w:tcPr>
          <w:p w14:paraId="03526C98"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7.8</w:t>
            </w:r>
          </w:p>
        </w:tc>
        <w:tc>
          <w:tcPr>
            <w:tcW w:w="1260" w:type="dxa"/>
          </w:tcPr>
          <w:p w14:paraId="0C1CBB58"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36.7</w:t>
            </w:r>
          </w:p>
        </w:tc>
      </w:tr>
      <w:tr w:rsidR="007D1D36" w:rsidRPr="007D1D36" w14:paraId="44911C64" w14:textId="77777777">
        <w:tc>
          <w:tcPr>
            <w:tcW w:w="1188" w:type="dxa"/>
          </w:tcPr>
          <w:p w14:paraId="091D24DA"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T</w:t>
            </w:r>
            <w:r w:rsidRPr="007D1D36">
              <w:rPr>
                <w:rFonts w:ascii="Times New Roman" w:eastAsia="Calibri" w:hAnsi="Times New Roman"/>
                <w:color w:val="000000" w:themeColor="text1"/>
                <w:sz w:val="24"/>
                <w:szCs w:val="24"/>
                <w:vertAlign w:val="subscript"/>
                <w:lang w:val="en-IN"/>
              </w:rPr>
              <w:t>7</w:t>
            </w:r>
          </w:p>
        </w:tc>
        <w:tc>
          <w:tcPr>
            <w:tcW w:w="4806" w:type="dxa"/>
          </w:tcPr>
          <w:p w14:paraId="3E1B65EF"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bCs/>
                <w:color w:val="000000" w:themeColor="text1"/>
                <w:sz w:val="24"/>
                <w:szCs w:val="24"/>
                <w:lang w:val="en-IN"/>
              </w:rPr>
              <w:t>T</w:t>
            </w:r>
            <w:r w:rsidRPr="007D1D36">
              <w:rPr>
                <w:rFonts w:ascii="Times New Roman" w:eastAsia="Calibri" w:hAnsi="Times New Roman"/>
                <w:bCs/>
                <w:color w:val="000000" w:themeColor="text1"/>
                <w:sz w:val="24"/>
                <w:szCs w:val="24"/>
                <w:vertAlign w:val="subscript"/>
                <w:lang w:val="en-IN"/>
              </w:rPr>
              <w:t>4</w:t>
            </w:r>
            <w:r w:rsidRPr="007D1D36">
              <w:rPr>
                <w:rFonts w:ascii="Times New Roman" w:eastAsia="Calibri" w:hAnsi="Times New Roman"/>
                <w:bCs/>
                <w:color w:val="000000" w:themeColor="text1"/>
                <w:sz w:val="24"/>
                <w:szCs w:val="24"/>
                <w:lang w:val="en-IN"/>
              </w:rPr>
              <w:t xml:space="preserve"> + 20 kg S/ha</w:t>
            </w:r>
          </w:p>
        </w:tc>
        <w:tc>
          <w:tcPr>
            <w:tcW w:w="1260" w:type="dxa"/>
          </w:tcPr>
          <w:p w14:paraId="3C225824"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45.6</w:t>
            </w:r>
          </w:p>
        </w:tc>
        <w:tc>
          <w:tcPr>
            <w:tcW w:w="1368" w:type="dxa"/>
          </w:tcPr>
          <w:p w14:paraId="0C9C4083"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7.1</w:t>
            </w:r>
          </w:p>
        </w:tc>
        <w:tc>
          <w:tcPr>
            <w:tcW w:w="1260" w:type="dxa"/>
          </w:tcPr>
          <w:p w14:paraId="6163967D"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34.8</w:t>
            </w:r>
          </w:p>
        </w:tc>
      </w:tr>
      <w:tr w:rsidR="007D1D36" w:rsidRPr="007D1D36" w14:paraId="42552FFE" w14:textId="77777777">
        <w:tc>
          <w:tcPr>
            <w:tcW w:w="1188" w:type="dxa"/>
          </w:tcPr>
          <w:p w14:paraId="0DFB0026"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T</w:t>
            </w:r>
            <w:r w:rsidRPr="007D1D36">
              <w:rPr>
                <w:rFonts w:ascii="Times New Roman" w:eastAsia="Calibri" w:hAnsi="Times New Roman"/>
                <w:color w:val="000000" w:themeColor="text1"/>
                <w:sz w:val="24"/>
                <w:szCs w:val="24"/>
                <w:vertAlign w:val="subscript"/>
                <w:lang w:val="en-IN"/>
              </w:rPr>
              <w:t>8</w:t>
            </w:r>
          </w:p>
        </w:tc>
        <w:tc>
          <w:tcPr>
            <w:tcW w:w="4806" w:type="dxa"/>
          </w:tcPr>
          <w:p w14:paraId="714160C8"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bCs/>
                <w:color w:val="000000" w:themeColor="text1"/>
                <w:sz w:val="24"/>
                <w:szCs w:val="24"/>
                <w:lang w:val="en-IN"/>
              </w:rPr>
              <w:t>Soil application of PSB @ 4.0 kg /ha</w:t>
            </w:r>
          </w:p>
        </w:tc>
        <w:tc>
          <w:tcPr>
            <w:tcW w:w="1260" w:type="dxa"/>
          </w:tcPr>
          <w:p w14:paraId="742AD496"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37.1</w:t>
            </w:r>
          </w:p>
        </w:tc>
        <w:tc>
          <w:tcPr>
            <w:tcW w:w="1368" w:type="dxa"/>
          </w:tcPr>
          <w:p w14:paraId="2A2A691E"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5.3</w:t>
            </w:r>
          </w:p>
        </w:tc>
        <w:tc>
          <w:tcPr>
            <w:tcW w:w="1260" w:type="dxa"/>
          </w:tcPr>
          <w:p w14:paraId="380F69A8"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28.6</w:t>
            </w:r>
          </w:p>
        </w:tc>
      </w:tr>
      <w:tr w:rsidR="007D1D36" w:rsidRPr="007D1D36" w14:paraId="36E19240" w14:textId="77777777">
        <w:trPr>
          <w:trHeight w:val="305"/>
        </w:trPr>
        <w:tc>
          <w:tcPr>
            <w:tcW w:w="1188" w:type="dxa"/>
          </w:tcPr>
          <w:p w14:paraId="591EF492"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proofErr w:type="spellStart"/>
            <w:r w:rsidRPr="007D1D36">
              <w:rPr>
                <w:rFonts w:ascii="Times New Roman" w:eastAsia="Calibri" w:hAnsi="Times New Roman"/>
                <w:color w:val="000000" w:themeColor="text1"/>
                <w:sz w:val="24"/>
                <w:szCs w:val="24"/>
                <w:lang w:val="en-IN"/>
              </w:rPr>
              <w:t>SEm</w:t>
            </w:r>
            <w:proofErr w:type="spellEnd"/>
          </w:p>
          <w:p w14:paraId="139961F4"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w:t>
            </w:r>
            <w:r w:rsidRPr="007D1D36">
              <w:rPr>
                <w:rFonts w:ascii="Times New Roman" w:eastAsia="Calibri" w:hAnsi="Times New Roman"/>
                <w:color w:val="000000" w:themeColor="text1"/>
                <w:sz w:val="24"/>
                <w:szCs w:val="24"/>
                <w:u w:val="single"/>
                <w:lang w:val="en-IN"/>
              </w:rPr>
              <w:t>+</w:t>
            </w:r>
            <w:r w:rsidRPr="007D1D36">
              <w:rPr>
                <w:rFonts w:ascii="Times New Roman" w:eastAsia="Calibri" w:hAnsi="Times New Roman"/>
                <w:color w:val="000000" w:themeColor="text1"/>
                <w:sz w:val="24"/>
                <w:szCs w:val="24"/>
                <w:lang w:val="en-IN"/>
              </w:rPr>
              <w:t xml:space="preserve"> )</w:t>
            </w:r>
          </w:p>
        </w:tc>
        <w:tc>
          <w:tcPr>
            <w:tcW w:w="4806" w:type="dxa"/>
          </w:tcPr>
          <w:p w14:paraId="7E4F8A1B"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p>
        </w:tc>
        <w:tc>
          <w:tcPr>
            <w:tcW w:w="1260" w:type="dxa"/>
          </w:tcPr>
          <w:p w14:paraId="4C721E0D"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0.28</w:t>
            </w:r>
          </w:p>
        </w:tc>
        <w:tc>
          <w:tcPr>
            <w:tcW w:w="1368" w:type="dxa"/>
          </w:tcPr>
          <w:p w14:paraId="50F7B675"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0.08</w:t>
            </w:r>
          </w:p>
        </w:tc>
        <w:tc>
          <w:tcPr>
            <w:tcW w:w="1260" w:type="dxa"/>
          </w:tcPr>
          <w:p w14:paraId="4A1F8942"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0.19</w:t>
            </w:r>
          </w:p>
        </w:tc>
      </w:tr>
      <w:tr w:rsidR="007D1D36" w:rsidRPr="007D1D36" w14:paraId="39EB8DB6" w14:textId="77777777">
        <w:trPr>
          <w:trHeight w:val="260"/>
        </w:trPr>
        <w:tc>
          <w:tcPr>
            <w:tcW w:w="1188" w:type="dxa"/>
          </w:tcPr>
          <w:p w14:paraId="06B482F6"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CD</w:t>
            </w:r>
          </w:p>
          <w:p w14:paraId="5610C572"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(P=0.05)</w:t>
            </w:r>
          </w:p>
        </w:tc>
        <w:tc>
          <w:tcPr>
            <w:tcW w:w="4806" w:type="dxa"/>
          </w:tcPr>
          <w:p w14:paraId="5C739B73" w14:textId="77777777" w:rsidR="005D213E" w:rsidRPr="007D1D36" w:rsidRDefault="005D213E">
            <w:pPr>
              <w:spacing w:after="0" w:line="360" w:lineRule="auto"/>
              <w:jc w:val="both"/>
              <w:rPr>
                <w:rFonts w:ascii="Times New Roman" w:eastAsia="Calibri" w:hAnsi="Times New Roman"/>
                <w:color w:val="000000" w:themeColor="text1"/>
                <w:sz w:val="24"/>
                <w:szCs w:val="24"/>
                <w:lang w:val="en-IN"/>
              </w:rPr>
            </w:pPr>
          </w:p>
        </w:tc>
        <w:tc>
          <w:tcPr>
            <w:tcW w:w="1260" w:type="dxa"/>
          </w:tcPr>
          <w:p w14:paraId="5A1F8057"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0.85</w:t>
            </w:r>
          </w:p>
        </w:tc>
        <w:tc>
          <w:tcPr>
            <w:tcW w:w="1368" w:type="dxa"/>
          </w:tcPr>
          <w:p w14:paraId="058B6339"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0.25</w:t>
            </w:r>
          </w:p>
        </w:tc>
        <w:tc>
          <w:tcPr>
            <w:tcW w:w="1260" w:type="dxa"/>
          </w:tcPr>
          <w:p w14:paraId="4F6A3E79" w14:textId="77777777" w:rsidR="005D213E" w:rsidRPr="007D1D36" w:rsidRDefault="005D213E">
            <w:pPr>
              <w:autoSpaceDE w:val="0"/>
              <w:autoSpaceDN w:val="0"/>
              <w:adjustRightInd w:val="0"/>
              <w:spacing w:after="0" w:line="360" w:lineRule="auto"/>
              <w:jc w:val="both"/>
              <w:rPr>
                <w:rFonts w:ascii="Times New Roman" w:eastAsia="Calibri" w:hAnsi="Times New Roman"/>
                <w:color w:val="000000" w:themeColor="text1"/>
                <w:sz w:val="24"/>
                <w:szCs w:val="24"/>
                <w:lang w:val="en-IN"/>
              </w:rPr>
            </w:pPr>
            <w:r w:rsidRPr="007D1D36">
              <w:rPr>
                <w:rFonts w:ascii="Times New Roman" w:eastAsia="Calibri" w:hAnsi="Times New Roman"/>
                <w:color w:val="000000" w:themeColor="text1"/>
                <w:sz w:val="24"/>
                <w:szCs w:val="24"/>
                <w:lang w:val="en-IN"/>
              </w:rPr>
              <w:t>0.54</w:t>
            </w:r>
          </w:p>
        </w:tc>
      </w:tr>
    </w:tbl>
    <w:p w14:paraId="1CA84C39" w14:textId="77777777" w:rsidR="009F0679" w:rsidRPr="007D1D36" w:rsidRDefault="009F0679" w:rsidP="005D213E">
      <w:pPr>
        <w:pStyle w:val="NoSpacing"/>
        <w:spacing w:line="360" w:lineRule="auto"/>
        <w:jc w:val="both"/>
        <w:rPr>
          <w:rFonts w:ascii="Times New Roman" w:hAnsi="Times New Roman"/>
          <w:b/>
          <w:color w:val="000000" w:themeColor="text1"/>
          <w:sz w:val="24"/>
          <w:szCs w:val="24"/>
        </w:rPr>
      </w:pPr>
    </w:p>
    <w:p w14:paraId="2C09270D" w14:textId="77777777" w:rsidR="00CA076D" w:rsidRPr="007D1D36" w:rsidRDefault="00CA076D" w:rsidP="00CA076D">
      <w:pPr>
        <w:rPr>
          <w:rFonts w:ascii="Times New Roman" w:eastAsia="Calibri" w:hAnsi="Times New Roman"/>
          <w:b/>
          <w:color w:val="000000" w:themeColor="text1"/>
          <w:kern w:val="2"/>
          <w:sz w:val="24"/>
          <w:szCs w:val="24"/>
          <w:highlight w:val="yellow"/>
        </w:rPr>
      </w:pPr>
      <w:bookmarkStart w:id="1" w:name="_Hlk197682619"/>
      <w:bookmarkStart w:id="2" w:name="_Hlk180402183"/>
      <w:bookmarkStart w:id="3" w:name="_Hlk183680988"/>
      <w:r w:rsidRPr="007D1D36">
        <w:rPr>
          <w:rFonts w:ascii="Times New Roman" w:eastAsia="Calibri" w:hAnsi="Times New Roman"/>
          <w:b/>
          <w:color w:val="000000" w:themeColor="text1"/>
          <w:kern w:val="2"/>
          <w:sz w:val="24"/>
          <w:szCs w:val="24"/>
          <w:highlight w:val="yellow"/>
        </w:rPr>
        <w:t>Disclaimer (Artificial intelligence)</w:t>
      </w:r>
    </w:p>
    <w:p w14:paraId="0EA5ADEC" w14:textId="77777777" w:rsidR="00CA076D" w:rsidRPr="007D1D36" w:rsidRDefault="00CA076D" w:rsidP="00CA076D">
      <w:pPr>
        <w:rPr>
          <w:rFonts w:ascii="Times New Roman" w:eastAsia="Calibri" w:hAnsi="Times New Roman"/>
          <w:color w:val="000000" w:themeColor="text1"/>
          <w:kern w:val="2"/>
          <w:sz w:val="24"/>
          <w:szCs w:val="24"/>
          <w:highlight w:val="yellow"/>
        </w:rPr>
      </w:pPr>
      <w:r w:rsidRPr="007D1D36">
        <w:rPr>
          <w:rFonts w:ascii="Times New Roman" w:eastAsia="Calibri" w:hAnsi="Times New Roman"/>
          <w:color w:val="000000" w:themeColor="text1"/>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7F80D6A8" w14:textId="77777777" w:rsidR="005C748A" w:rsidRPr="007D1D36" w:rsidRDefault="00033A1F" w:rsidP="005D213E">
      <w:pPr>
        <w:pStyle w:val="NoSpacing"/>
        <w:spacing w:line="360" w:lineRule="auto"/>
        <w:jc w:val="both"/>
        <w:rPr>
          <w:rFonts w:ascii="Times New Roman" w:hAnsi="Times New Roman"/>
          <w:b/>
          <w:color w:val="000000" w:themeColor="text1"/>
          <w:sz w:val="24"/>
          <w:szCs w:val="24"/>
        </w:rPr>
      </w:pPr>
      <w:r w:rsidRPr="007D1D36">
        <w:rPr>
          <w:rFonts w:ascii="Times New Roman" w:hAnsi="Times New Roman"/>
          <w:b/>
          <w:color w:val="000000" w:themeColor="text1"/>
          <w:sz w:val="24"/>
          <w:szCs w:val="24"/>
        </w:rPr>
        <w:t xml:space="preserve"> </w:t>
      </w:r>
    </w:p>
    <w:p w14:paraId="49ADFEEA" w14:textId="03093339" w:rsidR="00F6286F" w:rsidRPr="007D1D36" w:rsidRDefault="00DE7A8E" w:rsidP="00F6286F">
      <w:pPr>
        <w:spacing w:line="360" w:lineRule="auto"/>
        <w:ind w:right="137"/>
        <w:jc w:val="both"/>
        <w:rPr>
          <w:rFonts w:ascii="Times New Roman" w:hAnsi="Times New Roman"/>
          <w:b/>
          <w:color w:val="000000" w:themeColor="text1"/>
          <w:sz w:val="24"/>
          <w:szCs w:val="24"/>
        </w:rPr>
      </w:pPr>
      <w:r w:rsidRPr="007D1D36">
        <w:rPr>
          <w:rFonts w:ascii="Times New Roman" w:hAnsi="Times New Roman"/>
          <w:b/>
          <w:color w:val="000000" w:themeColor="text1"/>
          <w:sz w:val="24"/>
          <w:szCs w:val="24"/>
        </w:rPr>
        <w:t>REFERENCES</w:t>
      </w:r>
    </w:p>
    <w:p w14:paraId="2B58460F" w14:textId="7C547A1E" w:rsidR="003A45B2" w:rsidRPr="007D1D36" w:rsidRDefault="003A45B2" w:rsidP="009D056D">
      <w:pPr>
        <w:pStyle w:val="NormalWeb"/>
        <w:jc w:val="both"/>
        <w:rPr>
          <w:color w:val="000000" w:themeColor="text1"/>
        </w:rPr>
      </w:pPr>
      <w:r w:rsidRPr="007D1D36">
        <w:rPr>
          <w:color w:val="000000" w:themeColor="text1"/>
        </w:rPr>
        <w:t xml:space="preserve">Ali, M., &amp; Kumar, S. (2006). </w:t>
      </w:r>
      <w:r w:rsidRPr="007D1D36">
        <w:rPr>
          <w:rStyle w:val="Emphasis"/>
          <w:color w:val="000000" w:themeColor="text1"/>
        </w:rPr>
        <w:t>Pulses in India: Retrospect and prospects</w:t>
      </w:r>
      <w:r w:rsidRPr="007D1D36">
        <w:rPr>
          <w:color w:val="000000" w:themeColor="text1"/>
        </w:rPr>
        <w:t>. Indian Council of Agricultural Research.</w:t>
      </w:r>
    </w:p>
    <w:p w14:paraId="74846797" w14:textId="1820B7FC" w:rsidR="003A45B2" w:rsidRPr="007D1D36" w:rsidRDefault="003A45B2" w:rsidP="009D056D">
      <w:pPr>
        <w:pStyle w:val="NormalWeb"/>
        <w:jc w:val="both"/>
        <w:rPr>
          <w:color w:val="000000" w:themeColor="text1"/>
        </w:rPr>
      </w:pPr>
      <w:r w:rsidRPr="007D1D36">
        <w:rPr>
          <w:color w:val="000000" w:themeColor="text1"/>
          <w:lang w:val="it-IT"/>
        </w:rPr>
        <w:t xml:space="preserve">Awasthi, R., Tiwari, R., Srivastava, A., Pandey, R., Sanan-Mishra, N., &amp; Chauhan, R. (2021). </w:t>
      </w:r>
      <w:r w:rsidRPr="007D1D36">
        <w:rPr>
          <w:color w:val="000000" w:themeColor="text1"/>
        </w:rPr>
        <w:t xml:space="preserve">Phosphate solubilizing microbes: Diversity and role in phosphate solubilization under sustainable </w:t>
      </w:r>
      <w:r w:rsidRPr="007D1D36">
        <w:rPr>
          <w:color w:val="000000" w:themeColor="text1"/>
        </w:rPr>
        <w:lastRenderedPageBreak/>
        <w:t xml:space="preserve">agriculture. </w:t>
      </w:r>
      <w:r w:rsidRPr="007D1D36">
        <w:rPr>
          <w:rStyle w:val="Emphasis"/>
          <w:color w:val="000000" w:themeColor="text1"/>
        </w:rPr>
        <w:t>Current Microbiology</w:t>
      </w:r>
      <w:r w:rsidRPr="007D1D36">
        <w:rPr>
          <w:color w:val="000000" w:themeColor="text1"/>
        </w:rPr>
        <w:t>, 78(10), 3591–3603. https://doi.org/10.1007/s00284-021-02538-y</w:t>
      </w:r>
    </w:p>
    <w:p w14:paraId="16870A43" w14:textId="7712370F" w:rsidR="003A45B2" w:rsidRPr="007D1D36" w:rsidRDefault="003A45B2" w:rsidP="009D056D">
      <w:pPr>
        <w:pStyle w:val="NormalWeb"/>
        <w:jc w:val="both"/>
        <w:rPr>
          <w:color w:val="000000" w:themeColor="text1"/>
        </w:rPr>
      </w:pPr>
      <w:r w:rsidRPr="007D1D36">
        <w:rPr>
          <w:color w:val="000000" w:themeColor="text1"/>
          <w:lang w:val="it-IT"/>
        </w:rPr>
        <w:t xml:space="preserve">Chen, J., Zeng, H., Tian, C., Ma, H., &amp; Ma, Z. (2023). </w:t>
      </w:r>
      <w:r w:rsidRPr="007D1D36">
        <w:rPr>
          <w:color w:val="000000" w:themeColor="text1"/>
        </w:rPr>
        <w:t xml:space="preserve">Biofertilizers and their role in sustainable agriculture: A review. </w:t>
      </w:r>
      <w:r w:rsidRPr="007D1D36">
        <w:rPr>
          <w:rStyle w:val="Emphasis"/>
          <w:color w:val="000000" w:themeColor="text1"/>
        </w:rPr>
        <w:t>Agronomy</w:t>
      </w:r>
      <w:r w:rsidRPr="007D1D36">
        <w:rPr>
          <w:color w:val="000000" w:themeColor="text1"/>
        </w:rPr>
        <w:t>, 13(1), 174. https://doi.org/10.3390/agronomy13010174</w:t>
      </w:r>
    </w:p>
    <w:p w14:paraId="55A1704C" w14:textId="4BC20307" w:rsidR="003A45B2" w:rsidRPr="007D1D36" w:rsidRDefault="003A45B2" w:rsidP="009D056D">
      <w:pPr>
        <w:pStyle w:val="NormalWeb"/>
        <w:jc w:val="both"/>
        <w:rPr>
          <w:color w:val="000000" w:themeColor="text1"/>
        </w:rPr>
      </w:pPr>
      <w:r w:rsidRPr="007D1D36">
        <w:rPr>
          <w:color w:val="000000" w:themeColor="text1"/>
        </w:rPr>
        <w:t>Choudhary, A. K., &amp; Kumawat, N. (2011). Black gram (</w:t>
      </w:r>
      <w:r w:rsidRPr="007D1D36">
        <w:rPr>
          <w:rStyle w:val="Emphasis"/>
          <w:color w:val="000000" w:themeColor="text1"/>
        </w:rPr>
        <w:t>Vigna mungo</w:t>
      </w:r>
      <w:r w:rsidRPr="007D1D36">
        <w:rPr>
          <w:color w:val="000000" w:themeColor="text1"/>
        </w:rPr>
        <w:t xml:space="preserve"> L.) improvement in India: Retrospect and prospects. </w:t>
      </w:r>
      <w:r w:rsidRPr="007D1D36">
        <w:rPr>
          <w:rStyle w:val="Emphasis"/>
          <w:color w:val="000000" w:themeColor="text1"/>
        </w:rPr>
        <w:t>Indian Journal of Genetics and Plant Breeding</w:t>
      </w:r>
      <w:r w:rsidRPr="007D1D36">
        <w:rPr>
          <w:color w:val="000000" w:themeColor="text1"/>
        </w:rPr>
        <w:t>, 71(4), 389–400.</w:t>
      </w:r>
    </w:p>
    <w:p w14:paraId="4337609C" w14:textId="77777777" w:rsidR="003A45B2" w:rsidRPr="007D1D36" w:rsidRDefault="003A45B2" w:rsidP="009D056D">
      <w:pPr>
        <w:pStyle w:val="NormalWeb"/>
        <w:jc w:val="both"/>
        <w:rPr>
          <w:color w:val="000000" w:themeColor="text1"/>
        </w:rPr>
      </w:pPr>
      <w:r w:rsidRPr="007D1D36">
        <w:rPr>
          <w:color w:val="000000" w:themeColor="text1"/>
        </w:rPr>
        <w:t xml:space="preserve">Directorate of Pulses Development. (2021). </w:t>
      </w:r>
      <w:r w:rsidRPr="007D1D36">
        <w:rPr>
          <w:rStyle w:val="Emphasis"/>
          <w:color w:val="000000" w:themeColor="text1"/>
        </w:rPr>
        <w:t>Pulses in India: Retrospect and prospects</w:t>
      </w:r>
      <w:r w:rsidRPr="007D1D36">
        <w:rPr>
          <w:color w:val="000000" w:themeColor="text1"/>
        </w:rPr>
        <w:t>. Ministry of Agriculture and Farmers Welfare, Government of India.</w:t>
      </w:r>
    </w:p>
    <w:p w14:paraId="0BB814EC" w14:textId="388E3942" w:rsidR="003A45B2" w:rsidRPr="007D1D36" w:rsidRDefault="003A45B2" w:rsidP="009D056D">
      <w:pPr>
        <w:pStyle w:val="NormalWeb"/>
        <w:jc w:val="both"/>
        <w:rPr>
          <w:color w:val="000000" w:themeColor="text1"/>
        </w:rPr>
      </w:pPr>
      <w:r w:rsidRPr="007D1D36">
        <w:rPr>
          <w:color w:val="000000" w:themeColor="text1"/>
          <w:lang w:val="it-IT"/>
        </w:rPr>
        <w:t xml:space="preserve"> Gomez, K. A., &amp; Gomez, A. A. (1984). </w:t>
      </w:r>
      <w:r w:rsidRPr="007D1D36">
        <w:rPr>
          <w:rStyle w:val="Emphasis"/>
          <w:color w:val="000000" w:themeColor="text1"/>
        </w:rPr>
        <w:t>Statistical procedures for agricultural research</w:t>
      </w:r>
      <w:r w:rsidRPr="007D1D36">
        <w:rPr>
          <w:color w:val="000000" w:themeColor="text1"/>
        </w:rPr>
        <w:t xml:space="preserve"> (2nd ed.). Wiley-</w:t>
      </w:r>
      <w:proofErr w:type="spellStart"/>
      <w:r w:rsidRPr="007D1D36">
        <w:rPr>
          <w:color w:val="000000" w:themeColor="text1"/>
        </w:rPr>
        <w:t>Interscience</w:t>
      </w:r>
      <w:proofErr w:type="spellEnd"/>
      <w:r w:rsidRPr="007D1D36">
        <w:rPr>
          <w:color w:val="000000" w:themeColor="text1"/>
        </w:rPr>
        <w:t>.</w:t>
      </w:r>
    </w:p>
    <w:p w14:paraId="30074F4B" w14:textId="44C8A069" w:rsidR="003A45B2" w:rsidRPr="007D1D36" w:rsidRDefault="003A45B2" w:rsidP="009D056D">
      <w:pPr>
        <w:pStyle w:val="NormalWeb"/>
        <w:jc w:val="both"/>
        <w:rPr>
          <w:color w:val="000000" w:themeColor="text1"/>
        </w:rPr>
      </w:pPr>
      <w:r w:rsidRPr="007D1D36">
        <w:rPr>
          <w:color w:val="000000" w:themeColor="text1"/>
        </w:rPr>
        <w:t xml:space="preserve">ICAR. (2021). </w:t>
      </w:r>
      <w:r w:rsidRPr="007D1D36">
        <w:rPr>
          <w:rStyle w:val="Emphasis"/>
          <w:color w:val="000000" w:themeColor="text1"/>
        </w:rPr>
        <w:t>Vision 2050: Indian Institute of Pulses Research</w:t>
      </w:r>
      <w:r w:rsidRPr="007D1D36">
        <w:rPr>
          <w:color w:val="000000" w:themeColor="text1"/>
        </w:rPr>
        <w:t>. Indian Council of Agricultural Research.</w:t>
      </w:r>
    </w:p>
    <w:p w14:paraId="2379B482" w14:textId="7F8B47FF" w:rsidR="003A45B2" w:rsidRPr="007D1D36" w:rsidRDefault="003A45B2" w:rsidP="009D056D">
      <w:pPr>
        <w:pStyle w:val="NormalWeb"/>
        <w:jc w:val="both"/>
        <w:rPr>
          <w:color w:val="000000" w:themeColor="text1"/>
        </w:rPr>
      </w:pPr>
      <w:proofErr w:type="spellStart"/>
      <w:r w:rsidRPr="007D1D36">
        <w:rPr>
          <w:color w:val="000000" w:themeColor="text1"/>
        </w:rPr>
        <w:t>IndexBox</w:t>
      </w:r>
      <w:proofErr w:type="spellEnd"/>
      <w:r w:rsidRPr="007D1D36">
        <w:rPr>
          <w:color w:val="000000" w:themeColor="text1"/>
        </w:rPr>
        <w:t xml:space="preserve">. (2024). </w:t>
      </w:r>
      <w:r w:rsidRPr="007D1D36">
        <w:rPr>
          <w:rStyle w:val="Emphasis"/>
          <w:color w:val="000000" w:themeColor="text1"/>
        </w:rPr>
        <w:t>Pulses - World Market Overview 2024</w:t>
      </w:r>
      <w:r w:rsidRPr="007D1D36">
        <w:rPr>
          <w:color w:val="000000" w:themeColor="text1"/>
        </w:rPr>
        <w:t>. Re</w:t>
      </w:r>
      <w:r w:rsidR="009D056D" w:rsidRPr="007D1D36">
        <w:rPr>
          <w:color w:val="000000" w:themeColor="text1"/>
        </w:rPr>
        <w:t>ceived</w:t>
      </w:r>
      <w:r w:rsidRPr="007D1D36">
        <w:rPr>
          <w:color w:val="000000" w:themeColor="text1"/>
        </w:rPr>
        <w:t xml:space="preserve"> from https://www.indexbox.io</w:t>
      </w:r>
    </w:p>
    <w:p w14:paraId="0F0EA4EA" w14:textId="77756533" w:rsidR="003A45B2" w:rsidRPr="007D1D36" w:rsidRDefault="003A45B2" w:rsidP="009D056D">
      <w:pPr>
        <w:pStyle w:val="NormalWeb"/>
        <w:jc w:val="both"/>
        <w:rPr>
          <w:color w:val="000000" w:themeColor="text1"/>
        </w:rPr>
      </w:pPr>
      <w:r w:rsidRPr="007D1D36">
        <w:rPr>
          <w:color w:val="000000" w:themeColor="text1"/>
        </w:rPr>
        <w:t xml:space="preserve">Kumar, V., Yadav, S., Singh, M., &amp; Sharma, S. K. (2022). Effect of sulphur and zinc nutrition on growth, yield and quality of pulses: A review. </w:t>
      </w:r>
      <w:r w:rsidRPr="007D1D36">
        <w:rPr>
          <w:rStyle w:val="Emphasis"/>
          <w:color w:val="000000" w:themeColor="text1"/>
        </w:rPr>
        <w:t>Legume Research</w:t>
      </w:r>
      <w:r w:rsidRPr="007D1D36">
        <w:rPr>
          <w:color w:val="000000" w:themeColor="text1"/>
        </w:rPr>
        <w:t>, 45(8), 1045–1050. https://doi.org/10.18805/LR-4240</w:t>
      </w:r>
    </w:p>
    <w:p w14:paraId="381D5FE7" w14:textId="1BD83B32" w:rsidR="003A45B2" w:rsidRPr="007D1D36" w:rsidRDefault="003A45B2" w:rsidP="009D056D">
      <w:pPr>
        <w:pStyle w:val="NormalWeb"/>
        <w:jc w:val="both"/>
        <w:rPr>
          <w:color w:val="000000" w:themeColor="text1"/>
        </w:rPr>
      </w:pPr>
      <w:r w:rsidRPr="007D1D36">
        <w:rPr>
          <w:color w:val="000000" w:themeColor="text1"/>
        </w:rPr>
        <w:t xml:space="preserve">Logesh, T., Selvakumar, G., Rajendran, G., &amp; Ramkumar, G. (2024). Phosphate solubilizing bacteria: A sustainable strategy for phosphorus nutrition in pulse crops. </w:t>
      </w:r>
      <w:r w:rsidRPr="007D1D36">
        <w:rPr>
          <w:rStyle w:val="Emphasis"/>
          <w:color w:val="000000" w:themeColor="text1"/>
        </w:rPr>
        <w:t>Biological Agriculture &amp; Horticulture</w:t>
      </w:r>
      <w:r w:rsidRPr="007D1D36">
        <w:rPr>
          <w:color w:val="000000" w:themeColor="text1"/>
        </w:rPr>
        <w:t xml:space="preserve">, 40(1), 72–87. </w:t>
      </w:r>
      <w:hyperlink r:id="rId8" w:history="1">
        <w:r w:rsidRPr="007D1D36">
          <w:rPr>
            <w:rStyle w:val="Hyperlink"/>
            <w:color w:val="000000" w:themeColor="text1"/>
          </w:rPr>
          <w:t>https://doi.org/10.1080/01448765.2023.2230842</w:t>
        </w:r>
      </w:hyperlink>
    </w:p>
    <w:p w14:paraId="022C54F4" w14:textId="066DA6CD" w:rsidR="00572CF5" w:rsidRPr="007D1D36" w:rsidRDefault="00572CF5" w:rsidP="00572CF5">
      <w:pPr>
        <w:pStyle w:val="NormalWeb"/>
        <w:jc w:val="both"/>
        <w:rPr>
          <w:color w:val="000000" w:themeColor="text1"/>
          <w:lang w:val="en-GB"/>
        </w:rPr>
      </w:pPr>
      <w:r w:rsidRPr="007D1D36">
        <w:rPr>
          <w:color w:val="000000" w:themeColor="text1"/>
          <w:lang w:val="it-IT"/>
        </w:rPr>
        <w:t xml:space="preserve">Manna, P., Kumar, R., Rana, N., Bag, A. G., Manna, A., &amp; Nandi, T. (2024). </w:t>
      </w:r>
      <w:r w:rsidRPr="007D1D36">
        <w:rPr>
          <w:color w:val="000000" w:themeColor="text1"/>
          <w:lang w:val="en-GB"/>
        </w:rPr>
        <w:t>Effect of Phosphorus and Bioinoculants on Nutrient Uptake and Available Soil Nutrients by Black Gram (Vigna mungo L.). International Journal of Plant &amp; Soil Science, 36(7), 290–296. https://doi.org/10.9734/ijpss/2024/v36i74732</w:t>
      </w:r>
    </w:p>
    <w:p w14:paraId="6631DD32" w14:textId="79C3CEEE" w:rsidR="003A45B2" w:rsidRPr="007D1D36" w:rsidRDefault="003A45B2" w:rsidP="009D056D">
      <w:pPr>
        <w:pStyle w:val="NormalWeb"/>
        <w:jc w:val="both"/>
        <w:rPr>
          <w:color w:val="000000" w:themeColor="text1"/>
        </w:rPr>
      </w:pPr>
      <w:r w:rsidRPr="007D1D36">
        <w:rPr>
          <w:color w:val="000000" w:themeColor="text1"/>
        </w:rPr>
        <w:t xml:space="preserve">Muneer, S., Shah, M. A., &amp; Bhat, M. A. (2023). Biofertilizers and their role in sustainable agriculture and environmental safety. </w:t>
      </w:r>
      <w:r w:rsidRPr="007D1D36">
        <w:rPr>
          <w:rStyle w:val="Emphasis"/>
          <w:color w:val="000000" w:themeColor="text1"/>
        </w:rPr>
        <w:t>Journal of Environmental Biology</w:t>
      </w:r>
      <w:r w:rsidRPr="007D1D36">
        <w:rPr>
          <w:color w:val="000000" w:themeColor="text1"/>
        </w:rPr>
        <w:t xml:space="preserve">, 44(4), 765–773. </w:t>
      </w:r>
      <w:hyperlink r:id="rId9" w:history="1">
        <w:r w:rsidRPr="007D1D36">
          <w:rPr>
            <w:rStyle w:val="Hyperlink"/>
            <w:color w:val="000000" w:themeColor="text1"/>
          </w:rPr>
          <w:t>https://doi.org/10.22438/jeb/44/4/MRN-3044</w:t>
        </w:r>
      </w:hyperlink>
    </w:p>
    <w:p w14:paraId="7FDEDA62" w14:textId="3E3A85F5" w:rsidR="003A45B2" w:rsidRPr="007D1D36" w:rsidRDefault="003A45B2" w:rsidP="009D056D">
      <w:pPr>
        <w:pStyle w:val="NormalWeb"/>
        <w:jc w:val="both"/>
        <w:rPr>
          <w:color w:val="000000" w:themeColor="text1"/>
        </w:rPr>
      </w:pPr>
      <w:r w:rsidRPr="007D1D36">
        <w:rPr>
          <w:color w:val="000000" w:themeColor="text1"/>
        </w:rPr>
        <w:t xml:space="preserve">Pang, J., Wang, J., Lambers, H., &amp; </w:t>
      </w:r>
      <w:proofErr w:type="spellStart"/>
      <w:r w:rsidRPr="007D1D36">
        <w:rPr>
          <w:color w:val="000000" w:themeColor="text1"/>
        </w:rPr>
        <w:t>Veneklaas</w:t>
      </w:r>
      <w:proofErr w:type="spellEnd"/>
      <w:r w:rsidRPr="007D1D36">
        <w:rPr>
          <w:color w:val="000000" w:themeColor="text1"/>
        </w:rPr>
        <w:t xml:space="preserve">, E. J. (2024). Phosphorus use efficiency in crops: Current status and future prospects. </w:t>
      </w:r>
      <w:r w:rsidRPr="007D1D36">
        <w:rPr>
          <w:rStyle w:val="Emphasis"/>
          <w:color w:val="000000" w:themeColor="text1"/>
        </w:rPr>
        <w:t>Plant and Soil</w:t>
      </w:r>
      <w:r w:rsidRPr="007D1D36">
        <w:rPr>
          <w:color w:val="000000" w:themeColor="text1"/>
        </w:rPr>
        <w:t>, 494(1–2), 23–45. https://doi.org/10.1007/s11104-023-06158-7</w:t>
      </w:r>
    </w:p>
    <w:p w14:paraId="236CEE52" w14:textId="63E9C3FE" w:rsidR="003A45B2" w:rsidRPr="007D1D36" w:rsidRDefault="003A45B2" w:rsidP="009D056D">
      <w:pPr>
        <w:pStyle w:val="NormalWeb"/>
        <w:jc w:val="both"/>
        <w:rPr>
          <w:color w:val="000000" w:themeColor="text1"/>
        </w:rPr>
      </w:pPr>
      <w:r w:rsidRPr="007D1D36">
        <w:rPr>
          <w:color w:val="000000" w:themeColor="text1"/>
        </w:rPr>
        <w:t xml:space="preserve">Ramandeep, K., Gill, K. S., &amp; Kaur, J. (2024). Role of sulphur in pulses: Physiology, biochemistry and productivity. </w:t>
      </w:r>
      <w:r w:rsidRPr="007D1D36">
        <w:rPr>
          <w:rStyle w:val="Emphasis"/>
          <w:color w:val="000000" w:themeColor="text1"/>
        </w:rPr>
        <w:t>Legume Research</w:t>
      </w:r>
      <w:r w:rsidRPr="007D1D36">
        <w:rPr>
          <w:color w:val="000000" w:themeColor="text1"/>
        </w:rPr>
        <w:t xml:space="preserve">, 47(1), 1–10. </w:t>
      </w:r>
    </w:p>
    <w:p w14:paraId="7158E694" w14:textId="77777777" w:rsidR="00FF4FEF" w:rsidRPr="007D1D36" w:rsidRDefault="00FF4FEF" w:rsidP="003A45B2">
      <w:pPr>
        <w:pStyle w:val="NormalWeb"/>
        <w:spacing w:line="360" w:lineRule="auto"/>
        <w:jc w:val="both"/>
        <w:rPr>
          <w:color w:val="000000" w:themeColor="text1"/>
        </w:rPr>
      </w:pPr>
    </w:p>
    <w:sectPr w:rsidR="00FF4FEF" w:rsidRPr="007D1D36" w:rsidSect="0095615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FFC34" w14:textId="77777777" w:rsidR="00B80BB3" w:rsidRDefault="00B80BB3" w:rsidP="001906F7">
      <w:pPr>
        <w:spacing w:after="0" w:line="240" w:lineRule="auto"/>
      </w:pPr>
      <w:r>
        <w:separator/>
      </w:r>
    </w:p>
  </w:endnote>
  <w:endnote w:type="continuationSeparator" w:id="0">
    <w:p w14:paraId="6D5016CF" w14:textId="77777777" w:rsidR="00B80BB3" w:rsidRDefault="00B80BB3" w:rsidP="0019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9D03" w14:textId="77777777" w:rsidR="00313DEB" w:rsidRDefault="00313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DA90" w14:textId="77777777" w:rsidR="001906F7" w:rsidRDefault="002616B0">
    <w:pPr>
      <w:pStyle w:val="Footer"/>
      <w:jc w:val="center"/>
    </w:pPr>
    <w:r>
      <w:fldChar w:fldCharType="begin"/>
    </w:r>
    <w:r w:rsidR="004A4ADE">
      <w:instrText xml:space="preserve"> PAGE   \* MERGEFORMAT </w:instrText>
    </w:r>
    <w:r>
      <w:fldChar w:fldCharType="separate"/>
    </w:r>
    <w:r w:rsidR="005D0DD3">
      <w:rPr>
        <w:noProof/>
      </w:rPr>
      <w:t>6</w:t>
    </w:r>
    <w:r>
      <w:rPr>
        <w:noProof/>
      </w:rPr>
      <w:fldChar w:fldCharType="end"/>
    </w:r>
  </w:p>
  <w:p w14:paraId="2B2E9F07" w14:textId="77777777" w:rsidR="001906F7" w:rsidRDefault="00190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B6488" w14:textId="77777777" w:rsidR="00313DEB" w:rsidRDefault="00313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86CA6" w14:textId="77777777" w:rsidR="00B80BB3" w:rsidRDefault="00B80BB3" w:rsidP="001906F7">
      <w:pPr>
        <w:spacing w:after="0" w:line="240" w:lineRule="auto"/>
      </w:pPr>
      <w:r>
        <w:separator/>
      </w:r>
    </w:p>
  </w:footnote>
  <w:footnote w:type="continuationSeparator" w:id="0">
    <w:p w14:paraId="671B151F" w14:textId="77777777" w:rsidR="00B80BB3" w:rsidRDefault="00B80BB3" w:rsidP="00190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F4963" w14:textId="1480A516" w:rsidR="00313DEB" w:rsidRDefault="00B80BB3">
    <w:pPr>
      <w:pStyle w:val="Header"/>
    </w:pPr>
    <w:r>
      <w:rPr>
        <w:noProof/>
      </w:rPr>
      <w:pict w14:anchorId="325F7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410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ADF0C" w14:textId="33C053FC" w:rsidR="00313DEB" w:rsidRDefault="00B80BB3">
    <w:pPr>
      <w:pStyle w:val="Header"/>
    </w:pPr>
    <w:r>
      <w:rPr>
        <w:noProof/>
      </w:rPr>
      <w:pict w14:anchorId="070A5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410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FEC2" w14:textId="5635DC26" w:rsidR="00313DEB" w:rsidRDefault="00B80BB3">
    <w:pPr>
      <w:pStyle w:val="Header"/>
    </w:pPr>
    <w:r>
      <w:rPr>
        <w:noProof/>
      </w:rPr>
      <w:pict w14:anchorId="4B1DE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410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06BD"/>
    <w:multiLevelType w:val="hybridMultilevel"/>
    <w:tmpl w:val="26F25D48"/>
    <w:lvl w:ilvl="0" w:tplc="F4EA5BFE">
      <w:start w:val="1"/>
      <w:numFmt w:val="decimal"/>
      <w:lvlText w:val="%1."/>
      <w:lvlJc w:val="left"/>
      <w:pPr>
        <w:ind w:left="820" w:hanging="360"/>
      </w:pPr>
      <w:rPr>
        <w:rFonts w:ascii="Times New Roman" w:eastAsia="Times New Roman" w:hAnsi="Times New Roman" w:cs="Times New Roman" w:hint="default"/>
        <w:w w:val="100"/>
        <w:sz w:val="20"/>
        <w:szCs w:val="20"/>
        <w:lang w:val="en-US" w:eastAsia="en-US" w:bidi="ar-SA"/>
      </w:rPr>
    </w:lvl>
    <w:lvl w:ilvl="1" w:tplc="958EEC66">
      <w:numFmt w:val="bullet"/>
      <w:lvlText w:val="•"/>
      <w:lvlJc w:val="left"/>
      <w:pPr>
        <w:ind w:left="1840" w:hanging="360"/>
      </w:pPr>
      <w:rPr>
        <w:rFonts w:hint="default"/>
        <w:lang w:val="en-US" w:eastAsia="en-US" w:bidi="ar-SA"/>
      </w:rPr>
    </w:lvl>
    <w:lvl w:ilvl="2" w:tplc="8CB6B292">
      <w:numFmt w:val="bullet"/>
      <w:lvlText w:val="•"/>
      <w:lvlJc w:val="left"/>
      <w:pPr>
        <w:ind w:left="2860" w:hanging="360"/>
      </w:pPr>
      <w:rPr>
        <w:rFonts w:hint="default"/>
        <w:lang w:val="en-US" w:eastAsia="en-US" w:bidi="ar-SA"/>
      </w:rPr>
    </w:lvl>
    <w:lvl w:ilvl="3" w:tplc="07604270">
      <w:numFmt w:val="bullet"/>
      <w:lvlText w:val="•"/>
      <w:lvlJc w:val="left"/>
      <w:pPr>
        <w:ind w:left="3880" w:hanging="360"/>
      </w:pPr>
      <w:rPr>
        <w:rFonts w:hint="default"/>
        <w:lang w:val="en-US" w:eastAsia="en-US" w:bidi="ar-SA"/>
      </w:rPr>
    </w:lvl>
    <w:lvl w:ilvl="4" w:tplc="1400A7BE">
      <w:numFmt w:val="bullet"/>
      <w:lvlText w:val="•"/>
      <w:lvlJc w:val="left"/>
      <w:pPr>
        <w:ind w:left="4900" w:hanging="360"/>
      </w:pPr>
      <w:rPr>
        <w:rFonts w:hint="default"/>
        <w:lang w:val="en-US" w:eastAsia="en-US" w:bidi="ar-SA"/>
      </w:rPr>
    </w:lvl>
    <w:lvl w:ilvl="5" w:tplc="98FC794E">
      <w:numFmt w:val="bullet"/>
      <w:lvlText w:val="•"/>
      <w:lvlJc w:val="left"/>
      <w:pPr>
        <w:ind w:left="5920" w:hanging="360"/>
      </w:pPr>
      <w:rPr>
        <w:rFonts w:hint="default"/>
        <w:lang w:val="en-US" w:eastAsia="en-US" w:bidi="ar-SA"/>
      </w:rPr>
    </w:lvl>
    <w:lvl w:ilvl="6" w:tplc="3CAE2FE0">
      <w:numFmt w:val="bullet"/>
      <w:lvlText w:val="•"/>
      <w:lvlJc w:val="left"/>
      <w:pPr>
        <w:ind w:left="6940" w:hanging="360"/>
      </w:pPr>
      <w:rPr>
        <w:rFonts w:hint="default"/>
        <w:lang w:val="en-US" w:eastAsia="en-US" w:bidi="ar-SA"/>
      </w:rPr>
    </w:lvl>
    <w:lvl w:ilvl="7" w:tplc="218ED15A">
      <w:numFmt w:val="bullet"/>
      <w:lvlText w:val="•"/>
      <w:lvlJc w:val="left"/>
      <w:pPr>
        <w:ind w:left="7960" w:hanging="360"/>
      </w:pPr>
      <w:rPr>
        <w:rFonts w:hint="default"/>
        <w:lang w:val="en-US" w:eastAsia="en-US" w:bidi="ar-SA"/>
      </w:rPr>
    </w:lvl>
    <w:lvl w:ilvl="8" w:tplc="20E67372">
      <w:numFmt w:val="bullet"/>
      <w:lvlText w:val="•"/>
      <w:lvlJc w:val="left"/>
      <w:pPr>
        <w:ind w:left="8980" w:hanging="360"/>
      </w:pPr>
      <w:rPr>
        <w:rFonts w:hint="default"/>
        <w:lang w:val="en-US" w:eastAsia="en-US" w:bidi="ar-SA"/>
      </w:rPr>
    </w:lvl>
  </w:abstractNum>
  <w:abstractNum w:abstractNumId="1" w15:restartNumberingAfterBreak="0">
    <w:nsid w:val="14077DD7"/>
    <w:multiLevelType w:val="hybridMultilevel"/>
    <w:tmpl w:val="D6E0F158"/>
    <w:lvl w:ilvl="0" w:tplc="63C4E366">
      <w:start w:val="1"/>
      <w:numFmt w:val="decimal"/>
      <w:lvlText w:val="%1."/>
      <w:lvlJc w:val="left"/>
      <w:pPr>
        <w:ind w:left="485" w:hanging="362"/>
      </w:pPr>
      <w:rPr>
        <w:rFonts w:ascii="Times New Roman" w:eastAsia="Times New Roman" w:hAnsi="Times New Roman" w:cs="Times New Roman" w:hint="default"/>
        <w:w w:val="99"/>
        <w:sz w:val="20"/>
        <w:szCs w:val="20"/>
        <w:lang w:val="en-US" w:eastAsia="en-US" w:bidi="ar-SA"/>
      </w:rPr>
    </w:lvl>
    <w:lvl w:ilvl="1" w:tplc="500661A2">
      <w:numFmt w:val="bullet"/>
      <w:lvlText w:val="•"/>
      <w:lvlJc w:val="left"/>
      <w:pPr>
        <w:ind w:left="948" w:hanging="362"/>
      </w:pPr>
      <w:rPr>
        <w:rFonts w:hint="default"/>
        <w:lang w:val="en-US" w:eastAsia="en-US" w:bidi="ar-SA"/>
      </w:rPr>
    </w:lvl>
    <w:lvl w:ilvl="2" w:tplc="D9B8F080">
      <w:numFmt w:val="bullet"/>
      <w:lvlText w:val="•"/>
      <w:lvlJc w:val="left"/>
      <w:pPr>
        <w:ind w:left="1417" w:hanging="362"/>
      </w:pPr>
      <w:rPr>
        <w:rFonts w:hint="default"/>
        <w:lang w:val="en-US" w:eastAsia="en-US" w:bidi="ar-SA"/>
      </w:rPr>
    </w:lvl>
    <w:lvl w:ilvl="3" w:tplc="066EF02A">
      <w:numFmt w:val="bullet"/>
      <w:lvlText w:val="•"/>
      <w:lvlJc w:val="left"/>
      <w:pPr>
        <w:ind w:left="1886" w:hanging="362"/>
      </w:pPr>
      <w:rPr>
        <w:rFonts w:hint="default"/>
        <w:lang w:val="en-US" w:eastAsia="en-US" w:bidi="ar-SA"/>
      </w:rPr>
    </w:lvl>
    <w:lvl w:ilvl="4" w:tplc="378A312C">
      <w:numFmt w:val="bullet"/>
      <w:lvlText w:val="•"/>
      <w:lvlJc w:val="left"/>
      <w:pPr>
        <w:ind w:left="2354" w:hanging="362"/>
      </w:pPr>
      <w:rPr>
        <w:rFonts w:hint="default"/>
        <w:lang w:val="en-US" w:eastAsia="en-US" w:bidi="ar-SA"/>
      </w:rPr>
    </w:lvl>
    <w:lvl w:ilvl="5" w:tplc="AF6E8B5A">
      <w:numFmt w:val="bullet"/>
      <w:lvlText w:val="•"/>
      <w:lvlJc w:val="left"/>
      <w:pPr>
        <w:ind w:left="2823" w:hanging="362"/>
      </w:pPr>
      <w:rPr>
        <w:rFonts w:hint="default"/>
        <w:lang w:val="en-US" w:eastAsia="en-US" w:bidi="ar-SA"/>
      </w:rPr>
    </w:lvl>
    <w:lvl w:ilvl="6" w:tplc="8B28DF92">
      <w:numFmt w:val="bullet"/>
      <w:lvlText w:val="•"/>
      <w:lvlJc w:val="left"/>
      <w:pPr>
        <w:ind w:left="3292" w:hanging="362"/>
      </w:pPr>
      <w:rPr>
        <w:rFonts w:hint="default"/>
        <w:lang w:val="en-US" w:eastAsia="en-US" w:bidi="ar-SA"/>
      </w:rPr>
    </w:lvl>
    <w:lvl w:ilvl="7" w:tplc="6BD688D6">
      <w:numFmt w:val="bullet"/>
      <w:lvlText w:val="•"/>
      <w:lvlJc w:val="left"/>
      <w:pPr>
        <w:ind w:left="3761" w:hanging="362"/>
      </w:pPr>
      <w:rPr>
        <w:rFonts w:hint="default"/>
        <w:lang w:val="en-US" w:eastAsia="en-US" w:bidi="ar-SA"/>
      </w:rPr>
    </w:lvl>
    <w:lvl w:ilvl="8" w:tplc="ED4AB82A">
      <w:numFmt w:val="bullet"/>
      <w:lvlText w:val="•"/>
      <w:lvlJc w:val="left"/>
      <w:pPr>
        <w:ind w:left="4229" w:hanging="362"/>
      </w:pPr>
      <w:rPr>
        <w:rFonts w:hint="default"/>
        <w:lang w:val="en-US" w:eastAsia="en-US" w:bidi="ar-SA"/>
      </w:rPr>
    </w:lvl>
  </w:abstractNum>
  <w:abstractNum w:abstractNumId="2" w15:restartNumberingAfterBreak="0">
    <w:nsid w:val="3F03159C"/>
    <w:multiLevelType w:val="hybridMultilevel"/>
    <w:tmpl w:val="26F25D48"/>
    <w:lvl w:ilvl="0" w:tplc="F4EA5BFE">
      <w:start w:val="1"/>
      <w:numFmt w:val="decimal"/>
      <w:lvlText w:val="%1."/>
      <w:lvlJc w:val="left"/>
      <w:pPr>
        <w:ind w:left="820" w:hanging="360"/>
      </w:pPr>
      <w:rPr>
        <w:rFonts w:ascii="Times New Roman" w:eastAsia="Times New Roman" w:hAnsi="Times New Roman" w:cs="Times New Roman" w:hint="default"/>
        <w:w w:val="100"/>
        <w:sz w:val="20"/>
        <w:szCs w:val="20"/>
        <w:lang w:val="en-US" w:eastAsia="en-US" w:bidi="ar-SA"/>
      </w:rPr>
    </w:lvl>
    <w:lvl w:ilvl="1" w:tplc="958EEC66">
      <w:numFmt w:val="bullet"/>
      <w:lvlText w:val="•"/>
      <w:lvlJc w:val="left"/>
      <w:pPr>
        <w:ind w:left="1840" w:hanging="360"/>
      </w:pPr>
      <w:rPr>
        <w:rFonts w:hint="default"/>
        <w:lang w:val="en-US" w:eastAsia="en-US" w:bidi="ar-SA"/>
      </w:rPr>
    </w:lvl>
    <w:lvl w:ilvl="2" w:tplc="8CB6B292">
      <w:numFmt w:val="bullet"/>
      <w:lvlText w:val="•"/>
      <w:lvlJc w:val="left"/>
      <w:pPr>
        <w:ind w:left="2860" w:hanging="360"/>
      </w:pPr>
      <w:rPr>
        <w:rFonts w:hint="default"/>
        <w:lang w:val="en-US" w:eastAsia="en-US" w:bidi="ar-SA"/>
      </w:rPr>
    </w:lvl>
    <w:lvl w:ilvl="3" w:tplc="07604270">
      <w:numFmt w:val="bullet"/>
      <w:lvlText w:val="•"/>
      <w:lvlJc w:val="left"/>
      <w:pPr>
        <w:ind w:left="3880" w:hanging="360"/>
      </w:pPr>
      <w:rPr>
        <w:rFonts w:hint="default"/>
        <w:lang w:val="en-US" w:eastAsia="en-US" w:bidi="ar-SA"/>
      </w:rPr>
    </w:lvl>
    <w:lvl w:ilvl="4" w:tplc="1400A7BE">
      <w:numFmt w:val="bullet"/>
      <w:lvlText w:val="•"/>
      <w:lvlJc w:val="left"/>
      <w:pPr>
        <w:ind w:left="4900" w:hanging="360"/>
      </w:pPr>
      <w:rPr>
        <w:rFonts w:hint="default"/>
        <w:lang w:val="en-US" w:eastAsia="en-US" w:bidi="ar-SA"/>
      </w:rPr>
    </w:lvl>
    <w:lvl w:ilvl="5" w:tplc="98FC794E">
      <w:numFmt w:val="bullet"/>
      <w:lvlText w:val="•"/>
      <w:lvlJc w:val="left"/>
      <w:pPr>
        <w:ind w:left="5920" w:hanging="360"/>
      </w:pPr>
      <w:rPr>
        <w:rFonts w:hint="default"/>
        <w:lang w:val="en-US" w:eastAsia="en-US" w:bidi="ar-SA"/>
      </w:rPr>
    </w:lvl>
    <w:lvl w:ilvl="6" w:tplc="3CAE2FE0">
      <w:numFmt w:val="bullet"/>
      <w:lvlText w:val="•"/>
      <w:lvlJc w:val="left"/>
      <w:pPr>
        <w:ind w:left="6940" w:hanging="360"/>
      </w:pPr>
      <w:rPr>
        <w:rFonts w:hint="default"/>
        <w:lang w:val="en-US" w:eastAsia="en-US" w:bidi="ar-SA"/>
      </w:rPr>
    </w:lvl>
    <w:lvl w:ilvl="7" w:tplc="218ED15A">
      <w:numFmt w:val="bullet"/>
      <w:lvlText w:val="•"/>
      <w:lvlJc w:val="left"/>
      <w:pPr>
        <w:ind w:left="7960" w:hanging="360"/>
      </w:pPr>
      <w:rPr>
        <w:rFonts w:hint="default"/>
        <w:lang w:val="en-US" w:eastAsia="en-US" w:bidi="ar-SA"/>
      </w:rPr>
    </w:lvl>
    <w:lvl w:ilvl="8" w:tplc="20E67372">
      <w:numFmt w:val="bullet"/>
      <w:lvlText w:val="•"/>
      <w:lvlJc w:val="left"/>
      <w:pPr>
        <w:ind w:left="8980" w:hanging="360"/>
      </w:pPr>
      <w:rPr>
        <w:rFonts w:hint="default"/>
        <w:lang w:val="en-US" w:eastAsia="en-US" w:bidi="ar-SA"/>
      </w:rPr>
    </w:lvl>
  </w:abstractNum>
  <w:abstractNum w:abstractNumId="3" w15:restartNumberingAfterBreak="0">
    <w:nsid w:val="475707E8"/>
    <w:multiLevelType w:val="hybridMultilevel"/>
    <w:tmpl w:val="1E38CB9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4A4217D8"/>
    <w:multiLevelType w:val="multilevel"/>
    <w:tmpl w:val="BC24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B5083"/>
    <w:multiLevelType w:val="multilevel"/>
    <w:tmpl w:val="D2CEA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12EA1"/>
    <w:multiLevelType w:val="multilevel"/>
    <w:tmpl w:val="3B3C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B10149"/>
    <w:multiLevelType w:val="multilevel"/>
    <w:tmpl w:val="E90C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3403B"/>
    <w:multiLevelType w:val="hybridMultilevel"/>
    <w:tmpl w:val="D2AED4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A0"/>
    <w:rsid w:val="00002D80"/>
    <w:rsid w:val="00011303"/>
    <w:rsid w:val="00033A1F"/>
    <w:rsid w:val="000373F2"/>
    <w:rsid w:val="00092821"/>
    <w:rsid w:val="00095F36"/>
    <w:rsid w:val="000961F2"/>
    <w:rsid w:val="000A2B55"/>
    <w:rsid w:val="000C14AE"/>
    <w:rsid w:val="000E2F99"/>
    <w:rsid w:val="000F43F4"/>
    <w:rsid w:val="00102E74"/>
    <w:rsid w:val="00120B0F"/>
    <w:rsid w:val="00131F13"/>
    <w:rsid w:val="00134028"/>
    <w:rsid w:val="00140643"/>
    <w:rsid w:val="001440A7"/>
    <w:rsid w:val="00160891"/>
    <w:rsid w:val="00166EFD"/>
    <w:rsid w:val="00174DA0"/>
    <w:rsid w:val="00177951"/>
    <w:rsid w:val="001906F7"/>
    <w:rsid w:val="001C6568"/>
    <w:rsid w:val="001E4C00"/>
    <w:rsid w:val="001F09C3"/>
    <w:rsid w:val="001F3CF7"/>
    <w:rsid w:val="0020323C"/>
    <w:rsid w:val="00213F3B"/>
    <w:rsid w:val="0022267C"/>
    <w:rsid w:val="00231C19"/>
    <w:rsid w:val="002552B9"/>
    <w:rsid w:val="00256D31"/>
    <w:rsid w:val="002616B0"/>
    <w:rsid w:val="0026639E"/>
    <w:rsid w:val="002907EC"/>
    <w:rsid w:val="00294421"/>
    <w:rsid w:val="00296CA3"/>
    <w:rsid w:val="002A510F"/>
    <w:rsid w:val="002B0D94"/>
    <w:rsid w:val="002C631E"/>
    <w:rsid w:val="002D5E14"/>
    <w:rsid w:val="0030100A"/>
    <w:rsid w:val="00313DEB"/>
    <w:rsid w:val="003257A6"/>
    <w:rsid w:val="00365656"/>
    <w:rsid w:val="00395E62"/>
    <w:rsid w:val="003A45B2"/>
    <w:rsid w:val="003A74B0"/>
    <w:rsid w:val="003B3BAE"/>
    <w:rsid w:val="003B4940"/>
    <w:rsid w:val="003C4597"/>
    <w:rsid w:val="003D09EF"/>
    <w:rsid w:val="003D7CB6"/>
    <w:rsid w:val="003E27C7"/>
    <w:rsid w:val="003E7CE1"/>
    <w:rsid w:val="004028F1"/>
    <w:rsid w:val="0042137A"/>
    <w:rsid w:val="0043418F"/>
    <w:rsid w:val="004904F4"/>
    <w:rsid w:val="004A4ADE"/>
    <w:rsid w:val="004C4851"/>
    <w:rsid w:val="004D1321"/>
    <w:rsid w:val="004E29E9"/>
    <w:rsid w:val="004F289B"/>
    <w:rsid w:val="004F6A40"/>
    <w:rsid w:val="00540738"/>
    <w:rsid w:val="005472A7"/>
    <w:rsid w:val="005514ED"/>
    <w:rsid w:val="00552C0F"/>
    <w:rsid w:val="005600D9"/>
    <w:rsid w:val="00561686"/>
    <w:rsid w:val="00566C0B"/>
    <w:rsid w:val="00572CF5"/>
    <w:rsid w:val="00575AF1"/>
    <w:rsid w:val="0059253C"/>
    <w:rsid w:val="005C748A"/>
    <w:rsid w:val="005D0DD3"/>
    <w:rsid w:val="005D213E"/>
    <w:rsid w:val="005F5B77"/>
    <w:rsid w:val="006030E6"/>
    <w:rsid w:val="00631223"/>
    <w:rsid w:val="006862BB"/>
    <w:rsid w:val="006964C0"/>
    <w:rsid w:val="006E2702"/>
    <w:rsid w:val="006F0235"/>
    <w:rsid w:val="0070214D"/>
    <w:rsid w:val="00716E9E"/>
    <w:rsid w:val="007330AB"/>
    <w:rsid w:val="00745350"/>
    <w:rsid w:val="00746286"/>
    <w:rsid w:val="00761FE8"/>
    <w:rsid w:val="0077104D"/>
    <w:rsid w:val="00773B59"/>
    <w:rsid w:val="00774FFD"/>
    <w:rsid w:val="00790263"/>
    <w:rsid w:val="007B0AE4"/>
    <w:rsid w:val="007C6E5D"/>
    <w:rsid w:val="007D1D36"/>
    <w:rsid w:val="007D66E6"/>
    <w:rsid w:val="007E0E97"/>
    <w:rsid w:val="00803F8B"/>
    <w:rsid w:val="00814424"/>
    <w:rsid w:val="00816E9C"/>
    <w:rsid w:val="00822F77"/>
    <w:rsid w:val="008478A5"/>
    <w:rsid w:val="008534F1"/>
    <w:rsid w:val="008615A4"/>
    <w:rsid w:val="0086606F"/>
    <w:rsid w:val="008C65E2"/>
    <w:rsid w:val="008E0766"/>
    <w:rsid w:val="008F405A"/>
    <w:rsid w:val="0090402E"/>
    <w:rsid w:val="00905143"/>
    <w:rsid w:val="009207A0"/>
    <w:rsid w:val="00933256"/>
    <w:rsid w:val="00956158"/>
    <w:rsid w:val="0095653F"/>
    <w:rsid w:val="00997437"/>
    <w:rsid w:val="009C782F"/>
    <w:rsid w:val="009D056D"/>
    <w:rsid w:val="009E6602"/>
    <w:rsid w:val="009F0679"/>
    <w:rsid w:val="009F45D5"/>
    <w:rsid w:val="009F66CA"/>
    <w:rsid w:val="00A22086"/>
    <w:rsid w:val="00A375BC"/>
    <w:rsid w:val="00A4077C"/>
    <w:rsid w:val="00A40AE5"/>
    <w:rsid w:val="00A41B12"/>
    <w:rsid w:val="00A6284E"/>
    <w:rsid w:val="00A724F0"/>
    <w:rsid w:val="00A7296D"/>
    <w:rsid w:val="00A7504B"/>
    <w:rsid w:val="00AA0E0C"/>
    <w:rsid w:val="00AB733C"/>
    <w:rsid w:val="00AC0B44"/>
    <w:rsid w:val="00AC62C2"/>
    <w:rsid w:val="00AD3EA0"/>
    <w:rsid w:val="00AE1C65"/>
    <w:rsid w:val="00AE6B4C"/>
    <w:rsid w:val="00AF1A51"/>
    <w:rsid w:val="00B16E85"/>
    <w:rsid w:val="00B5766E"/>
    <w:rsid w:val="00B80BB3"/>
    <w:rsid w:val="00BD4EBD"/>
    <w:rsid w:val="00BE381B"/>
    <w:rsid w:val="00C43326"/>
    <w:rsid w:val="00C51C2F"/>
    <w:rsid w:val="00C70275"/>
    <w:rsid w:val="00C708B3"/>
    <w:rsid w:val="00CA076D"/>
    <w:rsid w:val="00CC1CA2"/>
    <w:rsid w:val="00CC3810"/>
    <w:rsid w:val="00CC3EC2"/>
    <w:rsid w:val="00CD777C"/>
    <w:rsid w:val="00CE5B1C"/>
    <w:rsid w:val="00D135B1"/>
    <w:rsid w:val="00D174D1"/>
    <w:rsid w:val="00D36297"/>
    <w:rsid w:val="00D536EC"/>
    <w:rsid w:val="00D53CCF"/>
    <w:rsid w:val="00D6194C"/>
    <w:rsid w:val="00D71040"/>
    <w:rsid w:val="00DA428A"/>
    <w:rsid w:val="00DD6B8A"/>
    <w:rsid w:val="00DE7A8E"/>
    <w:rsid w:val="00DE7F38"/>
    <w:rsid w:val="00DF2DD0"/>
    <w:rsid w:val="00E232E6"/>
    <w:rsid w:val="00E31E5A"/>
    <w:rsid w:val="00E3364C"/>
    <w:rsid w:val="00E343E1"/>
    <w:rsid w:val="00E36FA6"/>
    <w:rsid w:val="00E45C5A"/>
    <w:rsid w:val="00E51EDF"/>
    <w:rsid w:val="00E54712"/>
    <w:rsid w:val="00E62E3D"/>
    <w:rsid w:val="00E70DF1"/>
    <w:rsid w:val="00E84F72"/>
    <w:rsid w:val="00EB06A2"/>
    <w:rsid w:val="00EF7FE3"/>
    <w:rsid w:val="00F05037"/>
    <w:rsid w:val="00F2491D"/>
    <w:rsid w:val="00F43477"/>
    <w:rsid w:val="00F57C9F"/>
    <w:rsid w:val="00F6286F"/>
    <w:rsid w:val="00F63470"/>
    <w:rsid w:val="00F71274"/>
    <w:rsid w:val="00F74B7D"/>
    <w:rsid w:val="00FA1275"/>
    <w:rsid w:val="00FC0916"/>
    <w:rsid w:val="00FC6657"/>
    <w:rsid w:val="00FD507E"/>
    <w:rsid w:val="00FF4FE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C82115"/>
  <w15:chartTrackingRefBased/>
  <w15:docId w15:val="{2D83FF3C-2C7E-42DA-AAC3-03E99CCE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8A5"/>
    <w:pPr>
      <w:spacing w:after="200" w:line="276" w:lineRule="auto"/>
    </w:pPr>
    <w:rPr>
      <w:sz w:val="22"/>
      <w:szCs w:val="22"/>
      <w:lang w:val="en-US" w:eastAsia="en-US"/>
    </w:rPr>
  </w:style>
  <w:style w:type="paragraph" w:styleId="Heading1">
    <w:name w:val="heading 1"/>
    <w:basedOn w:val="Normal"/>
    <w:link w:val="Heading1Char"/>
    <w:uiPriority w:val="9"/>
    <w:qFormat/>
    <w:rsid w:val="003E7CE1"/>
    <w:pPr>
      <w:widowControl w:val="0"/>
      <w:autoSpaceDE w:val="0"/>
      <w:autoSpaceDN w:val="0"/>
      <w:spacing w:after="0" w:line="240" w:lineRule="auto"/>
      <w:ind w:left="300"/>
      <w:outlineLvl w:val="0"/>
    </w:pPr>
    <w:rPr>
      <w:rFonts w:ascii="Times New Roman" w:hAnsi="Times New Roman"/>
      <w:b/>
      <w:bCs/>
      <w:sz w:val="24"/>
      <w:szCs w:val="24"/>
      <w:lang w:val="x-none" w:eastAsia="x-none"/>
    </w:rPr>
  </w:style>
  <w:style w:type="paragraph" w:styleId="Heading2">
    <w:name w:val="heading 2"/>
    <w:basedOn w:val="Normal"/>
    <w:next w:val="Normal"/>
    <w:link w:val="Heading2Char"/>
    <w:uiPriority w:val="9"/>
    <w:semiHidden/>
    <w:unhideWhenUsed/>
    <w:qFormat/>
    <w:rsid w:val="005D213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70214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207A0"/>
    <w:pPr>
      <w:widowControl w:val="0"/>
      <w:autoSpaceDE w:val="0"/>
      <w:autoSpaceDN w:val="0"/>
      <w:spacing w:after="0" w:line="268" w:lineRule="exact"/>
      <w:ind w:left="107"/>
    </w:pPr>
    <w:rPr>
      <w:rFonts w:ascii="Times New Roman" w:hAnsi="Times New Roman"/>
    </w:rPr>
  </w:style>
  <w:style w:type="paragraph" w:styleId="Title">
    <w:name w:val="Title"/>
    <w:basedOn w:val="Normal"/>
    <w:link w:val="TitleChar"/>
    <w:uiPriority w:val="10"/>
    <w:qFormat/>
    <w:rsid w:val="009207A0"/>
    <w:pPr>
      <w:widowControl w:val="0"/>
      <w:autoSpaceDE w:val="0"/>
      <w:autoSpaceDN w:val="0"/>
      <w:spacing w:before="79" w:after="0" w:line="240" w:lineRule="auto"/>
      <w:ind w:left="300"/>
    </w:pPr>
    <w:rPr>
      <w:rFonts w:ascii="Times New Roman" w:hAnsi="Times New Roman"/>
      <w:b/>
      <w:bCs/>
      <w:sz w:val="26"/>
      <w:szCs w:val="26"/>
      <w:lang w:val="x-none" w:eastAsia="x-none"/>
    </w:rPr>
  </w:style>
  <w:style w:type="character" w:customStyle="1" w:styleId="TitleChar">
    <w:name w:val="Title Char"/>
    <w:link w:val="Title"/>
    <w:uiPriority w:val="10"/>
    <w:rsid w:val="009207A0"/>
    <w:rPr>
      <w:rFonts w:ascii="Times New Roman" w:eastAsia="Times New Roman" w:hAnsi="Times New Roman" w:cs="Times New Roman"/>
      <w:b/>
      <w:bCs/>
      <w:sz w:val="26"/>
      <w:szCs w:val="26"/>
    </w:rPr>
  </w:style>
  <w:style w:type="paragraph" w:styleId="ListParagraph">
    <w:name w:val="List Paragraph"/>
    <w:basedOn w:val="Normal"/>
    <w:uiPriority w:val="1"/>
    <w:qFormat/>
    <w:rsid w:val="0043418F"/>
    <w:pPr>
      <w:widowControl w:val="0"/>
      <w:autoSpaceDE w:val="0"/>
      <w:autoSpaceDN w:val="0"/>
      <w:spacing w:after="0" w:line="240" w:lineRule="auto"/>
      <w:ind w:left="604" w:hanging="504"/>
    </w:pPr>
    <w:rPr>
      <w:rFonts w:ascii="Times New Roman" w:hAnsi="Times New Roman"/>
    </w:rPr>
  </w:style>
  <w:style w:type="character" w:customStyle="1" w:styleId="Heading1Char">
    <w:name w:val="Heading 1 Char"/>
    <w:link w:val="Heading1"/>
    <w:uiPriority w:val="9"/>
    <w:rsid w:val="003E7CE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E7CE1"/>
    <w:pPr>
      <w:widowControl w:val="0"/>
      <w:autoSpaceDE w:val="0"/>
      <w:autoSpaceDN w:val="0"/>
      <w:spacing w:after="0" w:line="240" w:lineRule="auto"/>
    </w:pPr>
    <w:rPr>
      <w:rFonts w:ascii="Times New Roman" w:hAnsi="Times New Roman"/>
      <w:sz w:val="24"/>
      <w:szCs w:val="24"/>
      <w:lang w:val="x-none" w:eastAsia="x-none"/>
    </w:rPr>
  </w:style>
  <w:style w:type="character" w:customStyle="1" w:styleId="BodyTextChar">
    <w:name w:val="Body Text Char"/>
    <w:link w:val="BodyText"/>
    <w:uiPriority w:val="1"/>
    <w:rsid w:val="003E7CE1"/>
    <w:rPr>
      <w:rFonts w:ascii="Times New Roman" w:eastAsia="Times New Roman" w:hAnsi="Times New Roman" w:cs="Times New Roman"/>
      <w:sz w:val="24"/>
      <w:szCs w:val="24"/>
    </w:rPr>
  </w:style>
  <w:style w:type="paragraph" w:customStyle="1" w:styleId="Default">
    <w:name w:val="Default"/>
    <w:rsid w:val="00997437"/>
    <w:pPr>
      <w:autoSpaceDE w:val="0"/>
      <w:autoSpaceDN w:val="0"/>
      <w:adjustRightInd w:val="0"/>
    </w:pPr>
    <w:rPr>
      <w:rFonts w:ascii="Times New Roman" w:eastAsia="Calibri" w:hAnsi="Times New Roman"/>
      <w:color w:val="000000"/>
      <w:sz w:val="24"/>
      <w:szCs w:val="24"/>
      <w:lang w:val="en-US" w:eastAsia="en-US"/>
    </w:rPr>
  </w:style>
  <w:style w:type="paragraph" w:styleId="Header">
    <w:name w:val="header"/>
    <w:basedOn w:val="Normal"/>
    <w:link w:val="HeaderChar"/>
    <w:uiPriority w:val="99"/>
    <w:unhideWhenUsed/>
    <w:rsid w:val="00190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6F7"/>
  </w:style>
  <w:style w:type="paragraph" w:styleId="Footer">
    <w:name w:val="footer"/>
    <w:basedOn w:val="Normal"/>
    <w:link w:val="FooterChar"/>
    <w:uiPriority w:val="99"/>
    <w:unhideWhenUsed/>
    <w:rsid w:val="00190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6F7"/>
  </w:style>
  <w:style w:type="paragraph" w:styleId="NoSpacing">
    <w:name w:val="No Spacing"/>
    <w:uiPriority w:val="1"/>
    <w:qFormat/>
    <w:rsid w:val="00177951"/>
    <w:rPr>
      <w:sz w:val="22"/>
      <w:szCs w:val="22"/>
      <w:lang w:val="en-US" w:eastAsia="en-US"/>
    </w:rPr>
  </w:style>
  <w:style w:type="table" w:styleId="TableGrid">
    <w:name w:val="Table Grid"/>
    <w:basedOn w:val="TableNormal"/>
    <w:uiPriority w:val="39"/>
    <w:rsid w:val="005C748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F2DD0"/>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uiPriority w:val="22"/>
    <w:qFormat/>
    <w:rsid w:val="00DF2DD0"/>
    <w:rPr>
      <w:b/>
      <w:bCs/>
    </w:rPr>
  </w:style>
  <w:style w:type="character" w:styleId="Emphasis">
    <w:name w:val="Emphasis"/>
    <w:uiPriority w:val="20"/>
    <w:qFormat/>
    <w:rsid w:val="00DF2DD0"/>
    <w:rPr>
      <w:i/>
      <w:iCs/>
    </w:rPr>
  </w:style>
  <w:style w:type="character" w:customStyle="1" w:styleId="Heading3Char">
    <w:name w:val="Heading 3 Char"/>
    <w:link w:val="Heading3"/>
    <w:uiPriority w:val="9"/>
    <w:semiHidden/>
    <w:rsid w:val="0070214D"/>
    <w:rPr>
      <w:rFonts w:ascii="Calibri Light" w:eastAsia="Times New Roman" w:hAnsi="Calibri Light" w:cs="Times New Roman"/>
      <w:b/>
      <w:bCs/>
      <w:sz w:val="26"/>
      <w:szCs w:val="26"/>
      <w:lang w:val="en-US" w:eastAsia="en-US"/>
    </w:rPr>
  </w:style>
  <w:style w:type="table" w:customStyle="1" w:styleId="TableGrid1">
    <w:name w:val="Table Grid1"/>
    <w:basedOn w:val="TableNormal"/>
    <w:next w:val="TableGrid"/>
    <w:uiPriority w:val="39"/>
    <w:rsid w:val="005D213E"/>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semiHidden/>
    <w:rsid w:val="005D213E"/>
    <w:rPr>
      <w:rFonts w:ascii="Calibri Light" w:eastAsia="Times New Roman" w:hAnsi="Calibri Light" w:cs="Times New Roman"/>
      <w:b/>
      <w:bCs/>
      <w:i/>
      <w:iCs/>
      <w:sz w:val="28"/>
      <w:szCs w:val="28"/>
      <w:lang w:val="en-US" w:eastAsia="en-US"/>
    </w:rPr>
  </w:style>
  <w:style w:type="character" w:styleId="Hyperlink">
    <w:name w:val="Hyperlink"/>
    <w:basedOn w:val="DefaultParagraphFont"/>
    <w:uiPriority w:val="99"/>
    <w:unhideWhenUsed/>
    <w:rsid w:val="00AA0E0C"/>
    <w:rPr>
      <w:color w:val="0000FF"/>
      <w:u w:val="single"/>
    </w:rPr>
  </w:style>
  <w:style w:type="character" w:styleId="UnresolvedMention">
    <w:name w:val="Unresolved Mention"/>
    <w:basedOn w:val="DefaultParagraphFont"/>
    <w:uiPriority w:val="99"/>
    <w:semiHidden/>
    <w:unhideWhenUsed/>
    <w:rsid w:val="00325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1837">
      <w:bodyDiv w:val="1"/>
      <w:marLeft w:val="0"/>
      <w:marRight w:val="0"/>
      <w:marTop w:val="0"/>
      <w:marBottom w:val="0"/>
      <w:divBdr>
        <w:top w:val="none" w:sz="0" w:space="0" w:color="auto"/>
        <w:left w:val="none" w:sz="0" w:space="0" w:color="auto"/>
        <w:bottom w:val="none" w:sz="0" w:space="0" w:color="auto"/>
        <w:right w:val="none" w:sz="0" w:space="0" w:color="auto"/>
      </w:divBdr>
    </w:div>
    <w:div w:id="114907866">
      <w:bodyDiv w:val="1"/>
      <w:marLeft w:val="0"/>
      <w:marRight w:val="0"/>
      <w:marTop w:val="0"/>
      <w:marBottom w:val="0"/>
      <w:divBdr>
        <w:top w:val="none" w:sz="0" w:space="0" w:color="auto"/>
        <w:left w:val="none" w:sz="0" w:space="0" w:color="auto"/>
        <w:bottom w:val="none" w:sz="0" w:space="0" w:color="auto"/>
        <w:right w:val="none" w:sz="0" w:space="0" w:color="auto"/>
      </w:divBdr>
    </w:div>
    <w:div w:id="183371567">
      <w:bodyDiv w:val="1"/>
      <w:marLeft w:val="0"/>
      <w:marRight w:val="0"/>
      <w:marTop w:val="0"/>
      <w:marBottom w:val="0"/>
      <w:divBdr>
        <w:top w:val="none" w:sz="0" w:space="0" w:color="auto"/>
        <w:left w:val="none" w:sz="0" w:space="0" w:color="auto"/>
        <w:bottom w:val="none" w:sz="0" w:space="0" w:color="auto"/>
        <w:right w:val="none" w:sz="0" w:space="0" w:color="auto"/>
      </w:divBdr>
    </w:div>
    <w:div w:id="280843081">
      <w:bodyDiv w:val="1"/>
      <w:marLeft w:val="0"/>
      <w:marRight w:val="0"/>
      <w:marTop w:val="0"/>
      <w:marBottom w:val="0"/>
      <w:divBdr>
        <w:top w:val="none" w:sz="0" w:space="0" w:color="auto"/>
        <w:left w:val="none" w:sz="0" w:space="0" w:color="auto"/>
        <w:bottom w:val="none" w:sz="0" w:space="0" w:color="auto"/>
        <w:right w:val="none" w:sz="0" w:space="0" w:color="auto"/>
      </w:divBdr>
      <w:divsChild>
        <w:div w:id="12539317">
          <w:marLeft w:val="0"/>
          <w:marRight w:val="0"/>
          <w:marTop w:val="0"/>
          <w:marBottom w:val="0"/>
          <w:divBdr>
            <w:top w:val="none" w:sz="0" w:space="0" w:color="auto"/>
            <w:left w:val="none" w:sz="0" w:space="0" w:color="auto"/>
            <w:bottom w:val="none" w:sz="0" w:space="0" w:color="auto"/>
            <w:right w:val="none" w:sz="0" w:space="0" w:color="auto"/>
          </w:divBdr>
        </w:div>
      </w:divsChild>
    </w:div>
    <w:div w:id="468788928">
      <w:bodyDiv w:val="1"/>
      <w:marLeft w:val="0"/>
      <w:marRight w:val="0"/>
      <w:marTop w:val="0"/>
      <w:marBottom w:val="0"/>
      <w:divBdr>
        <w:top w:val="none" w:sz="0" w:space="0" w:color="auto"/>
        <w:left w:val="none" w:sz="0" w:space="0" w:color="auto"/>
        <w:bottom w:val="none" w:sz="0" w:space="0" w:color="auto"/>
        <w:right w:val="none" w:sz="0" w:space="0" w:color="auto"/>
      </w:divBdr>
    </w:div>
    <w:div w:id="632759505">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1063791052">
      <w:bodyDiv w:val="1"/>
      <w:marLeft w:val="0"/>
      <w:marRight w:val="0"/>
      <w:marTop w:val="0"/>
      <w:marBottom w:val="0"/>
      <w:divBdr>
        <w:top w:val="none" w:sz="0" w:space="0" w:color="auto"/>
        <w:left w:val="none" w:sz="0" w:space="0" w:color="auto"/>
        <w:bottom w:val="none" w:sz="0" w:space="0" w:color="auto"/>
        <w:right w:val="none" w:sz="0" w:space="0" w:color="auto"/>
      </w:divBdr>
    </w:div>
    <w:div w:id="1069689929">
      <w:bodyDiv w:val="1"/>
      <w:marLeft w:val="0"/>
      <w:marRight w:val="0"/>
      <w:marTop w:val="0"/>
      <w:marBottom w:val="0"/>
      <w:divBdr>
        <w:top w:val="none" w:sz="0" w:space="0" w:color="auto"/>
        <w:left w:val="none" w:sz="0" w:space="0" w:color="auto"/>
        <w:bottom w:val="none" w:sz="0" w:space="0" w:color="auto"/>
        <w:right w:val="none" w:sz="0" w:space="0" w:color="auto"/>
      </w:divBdr>
    </w:div>
    <w:div w:id="1132557218">
      <w:bodyDiv w:val="1"/>
      <w:marLeft w:val="0"/>
      <w:marRight w:val="0"/>
      <w:marTop w:val="0"/>
      <w:marBottom w:val="0"/>
      <w:divBdr>
        <w:top w:val="none" w:sz="0" w:space="0" w:color="auto"/>
        <w:left w:val="none" w:sz="0" w:space="0" w:color="auto"/>
        <w:bottom w:val="none" w:sz="0" w:space="0" w:color="auto"/>
        <w:right w:val="none" w:sz="0" w:space="0" w:color="auto"/>
      </w:divBdr>
      <w:divsChild>
        <w:div w:id="1101071282">
          <w:marLeft w:val="0"/>
          <w:marRight w:val="0"/>
          <w:marTop w:val="0"/>
          <w:marBottom w:val="0"/>
          <w:divBdr>
            <w:top w:val="none" w:sz="0" w:space="0" w:color="auto"/>
            <w:left w:val="none" w:sz="0" w:space="0" w:color="auto"/>
            <w:bottom w:val="none" w:sz="0" w:space="0" w:color="auto"/>
            <w:right w:val="none" w:sz="0" w:space="0" w:color="auto"/>
          </w:divBdr>
        </w:div>
      </w:divsChild>
    </w:div>
    <w:div w:id="1176074824">
      <w:bodyDiv w:val="1"/>
      <w:marLeft w:val="0"/>
      <w:marRight w:val="0"/>
      <w:marTop w:val="0"/>
      <w:marBottom w:val="0"/>
      <w:divBdr>
        <w:top w:val="none" w:sz="0" w:space="0" w:color="auto"/>
        <w:left w:val="none" w:sz="0" w:space="0" w:color="auto"/>
        <w:bottom w:val="none" w:sz="0" w:space="0" w:color="auto"/>
        <w:right w:val="none" w:sz="0" w:space="0" w:color="auto"/>
      </w:divBdr>
      <w:divsChild>
        <w:div w:id="1759328839">
          <w:marLeft w:val="0"/>
          <w:marRight w:val="0"/>
          <w:marTop w:val="0"/>
          <w:marBottom w:val="0"/>
          <w:divBdr>
            <w:top w:val="none" w:sz="0" w:space="0" w:color="auto"/>
            <w:left w:val="none" w:sz="0" w:space="0" w:color="auto"/>
            <w:bottom w:val="none" w:sz="0" w:space="0" w:color="auto"/>
            <w:right w:val="none" w:sz="0" w:space="0" w:color="auto"/>
          </w:divBdr>
        </w:div>
      </w:divsChild>
    </w:div>
    <w:div w:id="1333951184">
      <w:bodyDiv w:val="1"/>
      <w:marLeft w:val="0"/>
      <w:marRight w:val="0"/>
      <w:marTop w:val="0"/>
      <w:marBottom w:val="0"/>
      <w:divBdr>
        <w:top w:val="none" w:sz="0" w:space="0" w:color="auto"/>
        <w:left w:val="none" w:sz="0" w:space="0" w:color="auto"/>
        <w:bottom w:val="none" w:sz="0" w:space="0" w:color="auto"/>
        <w:right w:val="none" w:sz="0" w:space="0" w:color="auto"/>
      </w:divBdr>
    </w:div>
    <w:div w:id="1526020785">
      <w:bodyDiv w:val="1"/>
      <w:marLeft w:val="0"/>
      <w:marRight w:val="0"/>
      <w:marTop w:val="0"/>
      <w:marBottom w:val="0"/>
      <w:divBdr>
        <w:top w:val="none" w:sz="0" w:space="0" w:color="auto"/>
        <w:left w:val="none" w:sz="0" w:space="0" w:color="auto"/>
        <w:bottom w:val="none" w:sz="0" w:space="0" w:color="auto"/>
        <w:right w:val="none" w:sz="0" w:space="0" w:color="auto"/>
      </w:divBdr>
    </w:div>
    <w:div w:id="1693871009">
      <w:bodyDiv w:val="1"/>
      <w:marLeft w:val="0"/>
      <w:marRight w:val="0"/>
      <w:marTop w:val="0"/>
      <w:marBottom w:val="0"/>
      <w:divBdr>
        <w:top w:val="none" w:sz="0" w:space="0" w:color="auto"/>
        <w:left w:val="none" w:sz="0" w:space="0" w:color="auto"/>
        <w:bottom w:val="none" w:sz="0" w:space="0" w:color="auto"/>
        <w:right w:val="none" w:sz="0" w:space="0" w:color="auto"/>
      </w:divBdr>
    </w:div>
    <w:div w:id="1710646212">
      <w:bodyDiv w:val="1"/>
      <w:marLeft w:val="0"/>
      <w:marRight w:val="0"/>
      <w:marTop w:val="0"/>
      <w:marBottom w:val="0"/>
      <w:divBdr>
        <w:top w:val="none" w:sz="0" w:space="0" w:color="auto"/>
        <w:left w:val="none" w:sz="0" w:space="0" w:color="auto"/>
        <w:bottom w:val="none" w:sz="0" w:space="0" w:color="auto"/>
        <w:right w:val="none" w:sz="0" w:space="0" w:color="auto"/>
      </w:divBdr>
    </w:div>
    <w:div w:id="1713845818">
      <w:bodyDiv w:val="1"/>
      <w:marLeft w:val="0"/>
      <w:marRight w:val="0"/>
      <w:marTop w:val="0"/>
      <w:marBottom w:val="0"/>
      <w:divBdr>
        <w:top w:val="none" w:sz="0" w:space="0" w:color="auto"/>
        <w:left w:val="none" w:sz="0" w:space="0" w:color="auto"/>
        <w:bottom w:val="none" w:sz="0" w:space="0" w:color="auto"/>
        <w:right w:val="none" w:sz="0" w:space="0" w:color="auto"/>
      </w:divBdr>
    </w:div>
    <w:div w:id="181660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48765.2023.223084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2438/jeb/44/4/MRN-304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C337E-0EF5-4D40-99D5-3A6534B4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2966</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SDI 1183</cp:lastModifiedBy>
  <cp:revision>40</cp:revision>
  <dcterms:created xsi:type="dcterms:W3CDTF">2025-08-05T11:02:00Z</dcterms:created>
  <dcterms:modified xsi:type="dcterms:W3CDTF">2025-08-13T12:02:00Z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9cf79d3f-9579-491d-95c1-f200b74b0c8d</vt:lpwstr>
  </property>
</Properties>
</file>