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CF89" w14:textId="4A5B35F0" w:rsidR="002D13BE" w:rsidRPr="002D13BE" w:rsidRDefault="002D13BE" w:rsidP="002D13BE">
      <w:pPr>
        <w:spacing w:line="240" w:lineRule="auto"/>
        <w:ind w:firstLine="720"/>
        <w:contextualSpacing/>
        <w:rPr>
          <w:b/>
          <w:bCs/>
          <w:i/>
          <w:sz w:val="36"/>
          <w:szCs w:val="36"/>
          <w:u w:val="single"/>
          <w:lang w:val="en-ZW"/>
        </w:rPr>
      </w:pPr>
      <w:r w:rsidRPr="002D13BE">
        <w:rPr>
          <w:b/>
          <w:bCs/>
          <w:i/>
          <w:sz w:val="36"/>
          <w:szCs w:val="36"/>
          <w:u w:val="single"/>
          <w:lang w:val="en-ZW"/>
        </w:rPr>
        <w:t>Original Research Article</w:t>
      </w:r>
    </w:p>
    <w:p w14:paraId="4CDEE139" w14:textId="4461B120" w:rsidR="00E51A1C" w:rsidRPr="00E51A1C" w:rsidRDefault="00E51A1C" w:rsidP="00E51A1C">
      <w:pPr>
        <w:autoSpaceDE w:val="0"/>
        <w:autoSpaceDN w:val="0"/>
        <w:adjustRightInd w:val="0"/>
        <w:spacing w:after="0" w:line="240" w:lineRule="auto"/>
        <w:jc w:val="right"/>
        <w:rPr>
          <w:b/>
          <w:bCs/>
          <w:i/>
          <w:sz w:val="36"/>
          <w:szCs w:val="36"/>
          <w:lang w:val="en-ZW"/>
        </w:rPr>
      </w:pPr>
      <w:r w:rsidRPr="00E51A1C">
        <w:rPr>
          <w:b/>
          <w:bCs/>
          <w:i/>
          <w:sz w:val="36"/>
          <w:szCs w:val="36"/>
          <w:highlight w:val="yellow"/>
          <w:lang w:val="en-ZW"/>
        </w:rPr>
        <w:t xml:space="preserve">Augmented Hybrid Sunscreen Incorporating </w:t>
      </w:r>
      <w:r w:rsidR="00505D1C" w:rsidRPr="00E51A1C">
        <w:rPr>
          <w:b/>
          <w:bCs/>
          <w:i/>
          <w:sz w:val="36"/>
          <w:szCs w:val="36"/>
          <w:highlight w:val="yellow"/>
          <w:lang w:val="en-ZW"/>
        </w:rPr>
        <w:t>Myrothamnus</w:t>
      </w:r>
      <w:r w:rsidRPr="00E51A1C">
        <w:rPr>
          <w:b/>
          <w:bCs/>
          <w:i/>
          <w:sz w:val="36"/>
          <w:szCs w:val="36"/>
          <w:highlight w:val="yellow"/>
          <w:lang w:val="en-ZW"/>
        </w:rPr>
        <w:t xml:space="preserve"> Flabellifolius and Citrullus lanatus- A Pre-Clinical Investigation</w:t>
      </w:r>
    </w:p>
    <w:p w14:paraId="3B8054D9" w14:textId="1D733900" w:rsidR="0029571F" w:rsidRDefault="0029571F">
      <w:pPr>
        <w:autoSpaceDE w:val="0"/>
        <w:autoSpaceDN w:val="0"/>
        <w:adjustRightInd w:val="0"/>
        <w:spacing w:after="0" w:line="240" w:lineRule="auto"/>
        <w:jc w:val="right"/>
        <w:rPr>
          <w:b/>
          <w:bCs/>
          <w:i/>
          <w:sz w:val="36"/>
          <w:szCs w:val="36"/>
          <w:lang w:val="en-ZW"/>
        </w:rPr>
      </w:pPr>
    </w:p>
    <w:p w14:paraId="51A21F2F" w14:textId="77777777" w:rsidR="00E85F0E" w:rsidRDefault="00E85F0E">
      <w:pPr>
        <w:autoSpaceDE w:val="0"/>
        <w:autoSpaceDN w:val="0"/>
        <w:adjustRightInd w:val="0"/>
        <w:spacing w:after="0" w:line="240" w:lineRule="auto"/>
        <w:jc w:val="right"/>
        <w:rPr>
          <w:b/>
          <w:bCs/>
          <w:i/>
          <w:sz w:val="36"/>
          <w:szCs w:val="36"/>
          <w:lang w:val="en-ZW"/>
        </w:rPr>
      </w:pPr>
    </w:p>
    <w:p w14:paraId="4543E299" w14:textId="77777777" w:rsidR="0029571F" w:rsidRDefault="0029571F">
      <w:pPr>
        <w:autoSpaceDE w:val="0"/>
        <w:autoSpaceDN w:val="0"/>
        <w:adjustRightInd w:val="0"/>
        <w:spacing w:after="0" w:line="240" w:lineRule="auto"/>
        <w:jc w:val="right"/>
        <w:rPr>
          <w:rFonts w:ascii="Times New Roman" w:hAnsi="Times New Roman" w:cs="Times New Roman"/>
        </w:rPr>
      </w:pPr>
    </w:p>
    <w:p w14:paraId="6FE72AE3" w14:textId="77777777" w:rsidR="0029571F" w:rsidRDefault="0029571F">
      <w:pPr>
        <w:spacing w:line="240" w:lineRule="auto"/>
        <w:contextualSpacing/>
        <w:rPr>
          <w:bCs/>
        </w:rPr>
      </w:pPr>
    </w:p>
    <w:p w14:paraId="12652C98" w14:textId="77777777" w:rsidR="0029571F" w:rsidRDefault="005211DE">
      <w:pPr>
        <w:spacing w:line="240" w:lineRule="auto"/>
        <w:contextualSpacing/>
        <w:rPr>
          <w:bCs/>
        </w:rPr>
      </w:pPr>
      <w:r>
        <w:rPr>
          <w:i/>
          <w:noProof/>
          <w:vertAlign w:val="superscript"/>
          <w:lang w:val="en-ZW" w:eastAsia="en-ZW"/>
        </w:rPr>
        <mc:AlternateContent>
          <mc:Choice Requires="wps">
            <w:drawing>
              <wp:anchor distT="0" distB="0" distL="114300" distR="114300" simplePos="0" relativeHeight="251659264" behindDoc="0" locked="0" layoutInCell="1" allowOverlap="1" wp14:anchorId="107C8F57" wp14:editId="1593BC39">
                <wp:simplePos x="0" y="0"/>
                <wp:positionH relativeFrom="margin">
                  <wp:align>left</wp:align>
                </wp:positionH>
                <wp:positionV relativeFrom="paragraph">
                  <wp:posOffset>12065</wp:posOffset>
                </wp:positionV>
                <wp:extent cx="5867400" cy="7620"/>
                <wp:effectExtent l="38100" t="19050" r="76200" b="8763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flip:y;margin-top:0.95pt;height:0.6pt;width:462pt;mso-position-horizontal:left;mso-position-horizontal-relative:margin;z-index:251659264;mso-width-relative:page;mso-height-relative:page;" filled="f" stroked="t" coordsize="21600,21600" o:gfxdata="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qBUx0wAAAAQBAAAPAAAA&#10;AAAAAAEAIAAAACIAAABkcnMvZG93bnJldi54bWxQSwECFAAUAAAACACHTuJA+bP6uBoCAABXBAAA&#10;DgAAAAAAAAABACAAAAAiAQAAZHJzL2Uyb0RvYy54bWxQSwUGAAAAAAYABgBZAQAArgUAAAAA&#10;">
                <v:fill on="f" focussize="0,0"/>
                <v:stroke weight="1.5pt" color="#000000 [3200]" joinstyle="round"/>
                <v:imagedata o:title=""/>
                <o:lock v:ext="edit" aspectratio="f"/>
                <v:shadow on="t" color="#000000" opacity="22937f" offset="0pt,1.81102362204724pt" origin="0f,32768f" matrix="65536f,0f,0f,65536f"/>
              </v:line>
            </w:pict>
          </mc:Fallback>
        </mc:AlternateContent>
      </w:r>
    </w:p>
    <w:p w14:paraId="4E6C8CDF" w14:textId="77777777" w:rsidR="0029571F" w:rsidRDefault="005211DE">
      <w:pPr>
        <w:autoSpaceDE w:val="0"/>
        <w:autoSpaceDN w:val="0"/>
        <w:adjustRightInd w:val="0"/>
        <w:spacing w:after="0" w:line="240" w:lineRule="auto"/>
        <w:jc w:val="both"/>
        <w:rPr>
          <w:rFonts w:eastAsia="Times New Roman"/>
          <w:b/>
          <w:caps/>
          <w:sz w:val="22"/>
          <w:szCs w:val="20"/>
        </w:rPr>
      </w:pPr>
      <w:r>
        <w:rPr>
          <w:rFonts w:eastAsia="Times New Roman"/>
          <w:b/>
          <w:caps/>
          <w:sz w:val="22"/>
          <w:szCs w:val="20"/>
        </w:rPr>
        <w:t>Abstract</w:t>
      </w:r>
    </w:p>
    <w:p w14:paraId="3565360E" w14:textId="77777777" w:rsidR="0029571F" w:rsidRDefault="0029571F">
      <w:pPr>
        <w:autoSpaceDE w:val="0"/>
        <w:autoSpaceDN w:val="0"/>
        <w:adjustRightInd w:val="0"/>
        <w:spacing w:after="0" w:line="240" w:lineRule="auto"/>
        <w:jc w:val="both"/>
        <w:rPr>
          <w:rFonts w:eastAsia="Times New Roman"/>
          <w:b/>
          <w:caps/>
          <w:sz w:val="22"/>
          <w:szCs w:val="20"/>
        </w:rPr>
      </w:pPr>
    </w:p>
    <w:p w14:paraId="06D79846" w14:textId="439EB81B" w:rsidR="0029571F" w:rsidRDefault="005211DE">
      <w:pPr>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jc w:val="both"/>
        <w:rPr>
          <w:sz w:val="20"/>
          <w:szCs w:val="20"/>
          <w:lang w:val="en-ZW"/>
        </w:rPr>
      </w:pPr>
      <w:r w:rsidRPr="003C35DD">
        <w:rPr>
          <w:sz w:val="20"/>
          <w:szCs w:val="20"/>
          <w:highlight w:val="yellow"/>
          <w:lang w:val="en-ZW"/>
        </w:rPr>
        <w:t xml:space="preserve">The sun emits radiation with different ionising energies in a wide spectrum of wavelengths, frequencies and energies inflicting various forms of actinic damage to dermal structures. Damage can either be direct DNA damage through alteration of gene expression and compromised inflammatory responses or </w:t>
      </w:r>
      <w:r w:rsidR="00862FAA" w:rsidRPr="003C35DD">
        <w:rPr>
          <w:sz w:val="20"/>
          <w:szCs w:val="20"/>
          <w:highlight w:val="yellow"/>
          <w:lang w:val="en-ZW"/>
        </w:rPr>
        <w:t xml:space="preserve">indirectly </w:t>
      </w:r>
      <w:r w:rsidRPr="003C35DD">
        <w:rPr>
          <w:sz w:val="20"/>
          <w:szCs w:val="20"/>
          <w:highlight w:val="yellow"/>
          <w:lang w:val="en-ZW"/>
        </w:rPr>
        <w:t>through the generation of free radicals, causing tissue damage through protein oxidation</w:t>
      </w:r>
      <w:r w:rsidR="00862FAA" w:rsidRPr="003C35DD">
        <w:rPr>
          <w:sz w:val="20"/>
          <w:szCs w:val="20"/>
          <w:highlight w:val="yellow"/>
          <w:lang w:val="en-ZW"/>
        </w:rPr>
        <w:t>,</w:t>
      </w:r>
      <w:r w:rsidRPr="003C35DD">
        <w:rPr>
          <w:sz w:val="20"/>
          <w:szCs w:val="20"/>
          <w:highlight w:val="yellow"/>
          <w:lang w:val="en-ZW"/>
        </w:rPr>
        <w:t xml:space="preserve"> deactivation</w:t>
      </w:r>
      <w:r w:rsidR="00862FAA" w:rsidRPr="003C35DD">
        <w:rPr>
          <w:sz w:val="20"/>
          <w:szCs w:val="20"/>
          <w:highlight w:val="yellow"/>
          <w:lang w:val="en-ZW"/>
        </w:rPr>
        <w:t xml:space="preserve"> and</w:t>
      </w:r>
      <w:r w:rsidRPr="003C35DD">
        <w:rPr>
          <w:sz w:val="20"/>
          <w:szCs w:val="20"/>
          <w:highlight w:val="yellow"/>
          <w:lang w:val="en-ZW"/>
        </w:rPr>
        <w:t xml:space="preserve"> lipid peroxidation. Sunscreens and physical barriers are the </w:t>
      </w:r>
      <w:r w:rsidR="00862FAA" w:rsidRPr="003C35DD">
        <w:rPr>
          <w:sz w:val="20"/>
          <w:szCs w:val="20"/>
          <w:highlight w:val="yellow"/>
          <w:lang w:val="en-ZW"/>
        </w:rPr>
        <w:t>main</w:t>
      </w:r>
      <w:r w:rsidRPr="003C35DD">
        <w:rPr>
          <w:sz w:val="20"/>
          <w:szCs w:val="20"/>
          <w:highlight w:val="yellow"/>
          <w:lang w:val="en-ZW"/>
        </w:rPr>
        <w:t xml:space="preserve"> forms of protection from actinic damage.</w:t>
      </w:r>
      <w:r w:rsidR="0065404A" w:rsidRPr="003C35DD">
        <w:rPr>
          <w:sz w:val="20"/>
          <w:szCs w:val="20"/>
          <w:highlight w:val="yellow"/>
          <w:lang w:val="en-ZW"/>
        </w:rPr>
        <w:t xml:space="preserve"> However, r</w:t>
      </w:r>
      <w:r w:rsidRPr="003C35DD">
        <w:rPr>
          <w:sz w:val="20"/>
          <w:szCs w:val="20"/>
          <w:highlight w:val="yellow"/>
          <w:lang w:val="en-ZW"/>
        </w:rPr>
        <w:t>ecent studies confirm that chemical sunscreens have serious bio safety issues while</w:t>
      </w:r>
      <w:r w:rsidR="0065404A" w:rsidRPr="003C35DD">
        <w:rPr>
          <w:sz w:val="20"/>
          <w:szCs w:val="20"/>
          <w:highlight w:val="yellow"/>
          <w:lang w:val="en-ZW"/>
        </w:rPr>
        <w:t xml:space="preserve">, </w:t>
      </w:r>
      <w:r w:rsidRPr="003C35DD">
        <w:rPr>
          <w:sz w:val="20"/>
          <w:szCs w:val="20"/>
          <w:highlight w:val="yellow"/>
          <w:lang w:val="en-ZW"/>
        </w:rPr>
        <w:t xml:space="preserve">physical sunscreens </w:t>
      </w:r>
      <w:r w:rsidR="00862FAA" w:rsidRPr="003C35DD">
        <w:rPr>
          <w:sz w:val="20"/>
          <w:szCs w:val="20"/>
          <w:highlight w:val="yellow"/>
          <w:lang w:val="en-ZW"/>
        </w:rPr>
        <w:t xml:space="preserve">which are deemed safer </w:t>
      </w:r>
      <w:r w:rsidRPr="003C35DD">
        <w:rPr>
          <w:sz w:val="20"/>
          <w:szCs w:val="20"/>
          <w:highlight w:val="yellow"/>
          <w:lang w:val="en-ZW"/>
        </w:rPr>
        <w:t xml:space="preserve">have limited use due to </w:t>
      </w:r>
      <w:r w:rsidR="0065404A" w:rsidRPr="003C35DD">
        <w:rPr>
          <w:sz w:val="20"/>
          <w:szCs w:val="20"/>
          <w:highlight w:val="yellow"/>
          <w:lang w:val="en-ZW"/>
        </w:rPr>
        <w:t>unesthetic</w:t>
      </w:r>
      <w:r w:rsidRPr="003C35DD">
        <w:rPr>
          <w:sz w:val="20"/>
          <w:szCs w:val="20"/>
          <w:highlight w:val="yellow"/>
          <w:lang w:val="en-ZW"/>
        </w:rPr>
        <w:t xml:space="preserve"> white cast</w:t>
      </w:r>
      <w:r w:rsidR="00862FAA" w:rsidRPr="003C35DD">
        <w:rPr>
          <w:sz w:val="20"/>
          <w:szCs w:val="20"/>
          <w:highlight w:val="yellow"/>
          <w:lang w:val="en-ZW"/>
        </w:rPr>
        <w:t>s</w:t>
      </w:r>
      <w:r w:rsidRPr="003C35DD">
        <w:rPr>
          <w:sz w:val="20"/>
          <w:szCs w:val="20"/>
          <w:highlight w:val="yellow"/>
          <w:lang w:val="en-ZW"/>
        </w:rPr>
        <w:t xml:space="preserve">. To mitigate </w:t>
      </w:r>
      <w:r w:rsidR="0065404A" w:rsidRPr="003C35DD">
        <w:rPr>
          <w:sz w:val="20"/>
          <w:szCs w:val="20"/>
          <w:highlight w:val="yellow"/>
          <w:lang w:val="en-ZW"/>
        </w:rPr>
        <w:t>these</w:t>
      </w:r>
      <w:r w:rsidRPr="003C35DD">
        <w:rPr>
          <w:sz w:val="20"/>
          <w:szCs w:val="20"/>
          <w:highlight w:val="yellow"/>
          <w:lang w:val="en-ZW"/>
        </w:rPr>
        <w:t xml:space="preserve"> issues, </w:t>
      </w:r>
      <w:r w:rsidR="0065404A" w:rsidRPr="003C35DD">
        <w:rPr>
          <w:sz w:val="20"/>
          <w:szCs w:val="20"/>
          <w:highlight w:val="yellow"/>
          <w:lang w:val="en-ZW"/>
        </w:rPr>
        <w:t>we aimed</w:t>
      </w:r>
      <w:r w:rsidRPr="003C35DD">
        <w:rPr>
          <w:sz w:val="20"/>
          <w:szCs w:val="20"/>
          <w:highlight w:val="yellow"/>
          <w:lang w:val="en-ZW"/>
        </w:rPr>
        <w:t xml:space="preserve"> to develop </w:t>
      </w:r>
      <w:r w:rsidR="003C35DD" w:rsidRPr="003C35DD">
        <w:rPr>
          <w:sz w:val="20"/>
          <w:szCs w:val="20"/>
          <w:highlight w:val="yellow"/>
          <w:lang w:val="en-ZW"/>
        </w:rPr>
        <w:t>safer,</w:t>
      </w:r>
      <w:r w:rsidRPr="003C35DD">
        <w:rPr>
          <w:sz w:val="20"/>
          <w:szCs w:val="20"/>
          <w:highlight w:val="yellow"/>
          <w:lang w:val="en-ZW"/>
        </w:rPr>
        <w:t xml:space="preserve"> </w:t>
      </w:r>
      <w:r w:rsidR="003C35DD" w:rsidRPr="003C35DD">
        <w:rPr>
          <w:sz w:val="20"/>
          <w:szCs w:val="20"/>
          <w:highlight w:val="yellow"/>
          <w:lang w:val="en-ZW"/>
        </w:rPr>
        <w:t>amplified</w:t>
      </w:r>
      <w:r w:rsidRPr="003C35DD">
        <w:rPr>
          <w:sz w:val="20"/>
          <w:szCs w:val="20"/>
          <w:highlight w:val="yellow"/>
          <w:lang w:val="en-ZW"/>
        </w:rPr>
        <w:t xml:space="preserve"> </w:t>
      </w:r>
      <w:r w:rsidR="003C35DD" w:rsidRPr="003C35DD">
        <w:rPr>
          <w:sz w:val="20"/>
          <w:szCs w:val="20"/>
          <w:highlight w:val="yellow"/>
          <w:lang w:val="en-ZW"/>
        </w:rPr>
        <w:t>photoprotection</w:t>
      </w:r>
      <w:r w:rsidRPr="003C35DD">
        <w:rPr>
          <w:sz w:val="20"/>
          <w:szCs w:val="20"/>
          <w:highlight w:val="yellow"/>
          <w:lang w:val="en-ZW"/>
        </w:rPr>
        <w:t xml:space="preserve"> through augmenting </w:t>
      </w:r>
      <w:r w:rsidR="008120C1">
        <w:rPr>
          <w:sz w:val="20"/>
          <w:szCs w:val="20"/>
          <w:highlight w:val="yellow"/>
          <w:lang w:val="en-ZW"/>
        </w:rPr>
        <w:t xml:space="preserve">nanometric physical </w:t>
      </w:r>
      <w:r w:rsidRPr="003C35DD">
        <w:rPr>
          <w:sz w:val="20"/>
          <w:szCs w:val="20"/>
          <w:highlight w:val="yellow"/>
          <w:lang w:val="en-ZW"/>
        </w:rPr>
        <w:t xml:space="preserve">sunscreens with </w:t>
      </w:r>
      <w:r w:rsidR="0065404A" w:rsidRPr="003C35DD">
        <w:rPr>
          <w:sz w:val="20"/>
          <w:szCs w:val="20"/>
          <w:highlight w:val="yellow"/>
          <w:lang w:val="en-ZW"/>
        </w:rPr>
        <w:t xml:space="preserve">oil extracts from </w:t>
      </w:r>
      <w:r w:rsidR="003C35DD" w:rsidRPr="003C35DD">
        <w:rPr>
          <w:sz w:val="20"/>
          <w:szCs w:val="20"/>
          <w:highlight w:val="yellow"/>
          <w:lang w:val="en-ZW"/>
        </w:rPr>
        <w:t>natural</w:t>
      </w:r>
      <w:r w:rsidRPr="003C35DD">
        <w:rPr>
          <w:sz w:val="20"/>
          <w:szCs w:val="20"/>
          <w:highlight w:val="yellow"/>
          <w:lang w:val="en-ZW"/>
        </w:rPr>
        <w:t xml:space="preserve"> photoprotective tropical plant</w:t>
      </w:r>
      <w:r w:rsidR="0065404A" w:rsidRPr="003C35DD">
        <w:rPr>
          <w:sz w:val="20"/>
          <w:szCs w:val="20"/>
          <w:highlight w:val="yellow"/>
          <w:lang w:val="en-ZW"/>
        </w:rPr>
        <w:t>s;</w:t>
      </w:r>
      <w:r w:rsidRPr="003C35DD">
        <w:rPr>
          <w:sz w:val="20"/>
          <w:szCs w:val="20"/>
          <w:highlight w:val="yellow"/>
          <w:lang w:val="en-ZW"/>
        </w:rPr>
        <w:t xml:space="preserve"> </w:t>
      </w:r>
      <w:r w:rsidRPr="003C35DD">
        <w:rPr>
          <w:i/>
          <w:iCs/>
          <w:sz w:val="20"/>
          <w:szCs w:val="20"/>
          <w:highlight w:val="yellow"/>
          <w:lang w:val="en-ZW"/>
        </w:rPr>
        <w:t>Myrothamnus flabellifolius</w:t>
      </w:r>
      <w:r w:rsidRPr="003C35DD">
        <w:rPr>
          <w:sz w:val="20"/>
          <w:szCs w:val="20"/>
          <w:highlight w:val="yellow"/>
          <w:lang w:val="en-ZW"/>
        </w:rPr>
        <w:t xml:space="preserve"> and </w:t>
      </w:r>
      <w:r w:rsidRPr="003C35DD">
        <w:rPr>
          <w:i/>
          <w:iCs/>
          <w:sz w:val="20"/>
          <w:szCs w:val="20"/>
          <w:highlight w:val="yellow"/>
          <w:lang w:val="en-ZW"/>
        </w:rPr>
        <w:t>Citrullus lanatus</w:t>
      </w:r>
      <w:r w:rsidRPr="003C35DD">
        <w:rPr>
          <w:sz w:val="20"/>
          <w:szCs w:val="20"/>
          <w:highlight w:val="yellow"/>
          <w:lang w:val="en-ZW"/>
        </w:rPr>
        <w:t xml:space="preserve">. First, we evaluated </w:t>
      </w:r>
      <w:r w:rsidRPr="003C35DD">
        <w:rPr>
          <w:i/>
          <w:iCs/>
          <w:sz w:val="20"/>
          <w:szCs w:val="20"/>
          <w:highlight w:val="yellow"/>
          <w:lang w:val="en-ZW"/>
        </w:rPr>
        <w:t>in-vivo,</w:t>
      </w:r>
      <w:r w:rsidRPr="003C35DD">
        <w:rPr>
          <w:sz w:val="20"/>
          <w:szCs w:val="20"/>
          <w:highlight w:val="yellow"/>
          <w:lang w:val="en-ZW"/>
        </w:rPr>
        <w:t xml:space="preserve"> the oils comedogenic potential as well as their genotoxic and mutagenicity potential through the Ames reverse mutation test. We further evaluated the  skin sensitivity and irritation potential of the </w:t>
      </w:r>
      <w:r w:rsidR="0065404A" w:rsidRPr="003C35DD">
        <w:rPr>
          <w:sz w:val="20"/>
          <w:szCs w:val="20"/>
          <w:highlight w:val="yellow"/>
          <w:lang w:val="en-ZW"/>
        </w:rPr>
        <w:t xml:space="preserve">augmented </w:t>
      </w:r>
      <w:r w:rsidRPr="003C35DD">
        <w:rPr>
          <w:sz w:val="20"/>
          <w:szCs w:val="20"/>
          <w:highlight w:val="yellow"/>
          <w:lang w:val="en-ZW"/>
        </w:rPr>
        <w:t xml:space="preserve">sunscreen using Draize tests and human patch testing. We </w:t>
      </w:r>
      <w:r w:rsidR="0065404A" w:rsidRPr="003C35DD">
        <w:rPr>
          <w:sz w:val="20"/>
          <w:szCs w:val="20"/>
          <w:highlight w:val="yellow"/>
          <w:lang w:val="en-ZW"/>
        </w:rPr>
        <w:t xml:space="preserve">also </w:t>
      </w:r>
      <w:r w:rsidRPr="003C35DD">
        <w:rPr>
          <w:sz w:val="20"/>
          <w:szCs w:val="20"/>
          <w:highlight w:val="yellow"/>
          <w:lang w:val="en-ZW"/>
        </w:rPr>
        <w:t xml:space="preserve">investigated </w:t>
      </w:r>
      <w:r w:rsidRPr="003C35DD">
        <w:rPr>
          <w:i/>
          <w:iCs/>
          <w:sz w:val="20"/>
          <w:szCs w:val="20"/>
          <w:highlight w:val="yellow"/>
          <w:lang w:val="en-ZW"/>
        </w:rPr>
        <w:t>in vitro</w:t>
      </w:r>
      <w:r w:rsidRPr="003C35DD">
        <w:rPr>
          <w:sz w:val="20"/>
          <w:szCs w:val="20"/>
          <w:highlight w:val="yellow"/>
          <w:lang w:val="en-ZW"/>
        </w:rPr>
        <w:t xml:space="preserve"> the emulsion SPF, UVAPF</w:t>
      </w:r>
      <w:r w:rsidR="0065404A" w:rsidRPr="003C35DD">
        <w:rPr>
          <w:sz w:val="20"/>
          <w:szCs w:val="20"/>
          <w:highlight w:val="yellow"/>
          <w:lang w:val="en-ZW"/>
        </w:rPr>
        <w:t xml:space="preserve">, </w:t>
      </w:r>
      <w:r w:rsidRPr="003C35DD">
        <w:rPr>
          <w:sz w:val="20"/>
          <w:szCs w:val="20"/>
          <w:highlight w:val="yellow"/>
          <w:lang w:val="en-ZW"/>
        </w:rPr>
        <w:t xml:space="preserve">photoprotective </w:t>
      </w:r>
      <w:r w:rsidR="0065404A" w:rsidRPr="003C35DD">
        <w:rPr>
          <w:sz w:val="20"/>
          <w:szCs w:val="20"/>
          <w:highlight w:val="yellow"/>
          <w:lang w:val="en-ZW"/>
        </w:rPr>
        <w:t xml:space="preserve">efficiency and </w:t>
      </w:r>
      <w:r w:rsidRPr="003C35DD">
        <w:rPr>
          <w:sz w:val="20"/>
          <w:szCs w:val="20"/>
          <w:highlight w:val="yellow"/>
          <w:lang w:val="en-ZW"/>
        </w:rPr>
        <w:t xml:space="preserve">critical wavelength </w:t>
      </w:r>
      <w:r w:rsidRPr="003C35DD">
        <w:rPr>
          <w:bCs/>
          <w:sz w:val="20"/>
          <w:szCs w:val="20"/>
          <w:highlight w:val="yellow"/>
          <w:lang w:val="en-ZW"/>
        </w:rPr>
        <w:t>(</w:t>
      </w:r>
      <w:r w:rsidRPr="003C35DD">
        <w:rPr>
          <w:rFonts w:eastAsia="Times New Roman"/>
          <w:color w:val="000000"/>
          <w:sz w:val="20"/>
          <w:szCs w:val="20"/>
          <w:highlight w:val="yellow"/>
        </w:rPr>
        <w:t>ƛ</w:t>
      </w:r>
      <w:r w:rsidRPr="003C35DD">
        <w:rPr>
          <w:rFonts w:eastAsia="Times New Roman"/>
          <w:color w:val="000000"/>
          <w:sz w:val="20"/>
          <w:szCs w:val="20"/>
          <w:highlight w:val="yellow"/>
          <w:vertAlign w:val="subscript"/>
        </w:rPr>
        <w:t>C</w:t>
      </w:r>
      <w:r w:rsidRPr="003C35DD">
        <w:rPr>
          <w:bCs/>
          <w:sz w:val="20"/>
          <w:szCs w:val="20"/>
          <w:highlight w:val="yellow"/>
          <w:lang w:val="en-ZW"/>
        </w:rPr>
        <w:t>)</w:t>
      </w:r>
      <w:r w:rsidRPr="003C35DD">
        <w:rPr>
          <w:sz w:val="20"/>
          <w:szCs w:val="20"/>
          <w:highlight w:val="yellow"/>
          <w:lang w:val="en-ZW"/>
        </w:rPr>
        <w:t xml:space="preserve">. Our findings show that </w:t>
      </w:r>
      <w:r w:rsidR="0056670C" w:rsidRPr="003C35DD">
        <w:rPr>
          <w:sz w:val="20"/>
          <w:szCs w:val="20"/>
          <w:highlight w:val="yellow"/>
          <w:lang w:val="en-ZW"/>
        </w:rPr>
        <w:t>photoprotective</w:t>
      </w:r>
      <w:r w:rsidRPr="003C35DD">
        <w:rPr>
          <w:sz w:val="20"/>
          <w:szCs w:val="20"/>
          <w:highlight w:val="yellow"/>
          <w:lang w:val="en-ZW"/>
        </w:rPr>
        <w:t xml:space="preserve"> </w:t>
      </w:r>
      <w:r w:rsidRPr="003C35DD">
        <w:rPr>
          <w:sz w:val="20"/>
          <w:szCs w:val="20"/>
          <w:highlight w:val="yellow"/>
        </w:rPr>
        <w:t xml:space="preserve">oils </w:t>
      </w:r>
      <w:r w:rsidR="00B468C1" w:rsidRPr="003C35DD">
        <w:rPr>
          <w:sz w:val="20"/>
          <w:szCs w:val="20"/>
          <w:highlight w:val="yellow"/>
        </w:rPr>
        <w:t xml:space="preserve">investigated </w:t>
      </w:r>
      <w:r w:rsidRPr="003C35DD">
        <w:rPr>
          <w:sz w:val="20"/>
          <w:szCs w:val="20"/>
          <w:highlight w:val="yellow"/>
        </w:rPr>
        <w:t xml:space="preserve">are non-comedogenic. </w:t>
      </w:r>
      <w:r w:rsidR="0065404A" w:rsidRPr="003C35DD">
        <w:rPr>
          <w:sz w:val="20"/>
          <w:szCs w:val="20"/>
          <w:highlight w:val="yellow"/>
        </w:rPr>
        <w:t>N</w:t>
      </w:r>
      <w:r w:rsidRPr="003C35DD">
        <w:rPr>
          <w:sz w:val="20"/>
          <w:szCs w:val="20"/>
          <w:highlight w:val="yellow"/>
        </w:rPr>
        <w:t xml:space="preserve">either concentration of the </w:t>
      </w:r>
      <w:r w:rsidR="003C35DD">
        <w:rPr>
          <w:sz w:val="20"/>
          <w:szCs w:val="20"/>
          <w:highlight w:val="yellow"/>
        </w:rPr>
        <w:t>tested</w:t>
      </w:r>
      <w:r w:rsidRPr="003C35DD">
        <w:rPr>
          <w:sz w:val="20"/>
          <w:szCs w:val="20"/>
          <w:highlight w:val="yellow"/>
        </w:rPr>
        <w:t xml:space="preserve"> oils is </w:t>
      </w:r>
      <w:r w:rsidR="0065404A" w:rsidRPr="003C35DD">
        <w:rPr>
          <w:sz w:val="20"/>
          <w:szCs w:val="20"/>
          <w:highlight w:val="yellow"/>
        </w:rPr>
        <w:t xml:space="preserve">genotoxic or </w:t>
      </w:r>
      <w:r w:rsidRPr="003C35DD">
        <w:rPr>
          <w:sz w:val="20"/>
          <w:szCs w:val="20"/>
          <w:highlight w:val="yellow"/>
        </w:rPr>
        <w:t>mutagenic with or without metabolic activation.</w:t>
      </w:r>
      <w:r w:rsidRPr="003C35DD">
        <w:rPr>
          <w:bCs/>
          <w:sz w:val="20"/>
          <w:szCs w:val="20"/>
          <w:highlight w:val="yellow"/>
          <w:lang w:val="en-ZW"/>
        </w:rPr>
        <w:t xml:space="preserve"> </w:t>
      </w:r>
      <w:r w:rsidR="0065404A" w:rsidRPr="003C35DD">
        <w:rPr>
          <w:bCs/>
          <w:sz w:val="20"/>
          <w:szCs w:val="20"/>
          <w:highlight w:val="yellow"/>
          <w:lang w:val="en-ZW"/>
        </w:rPr>
        <w:t>S</w:t>
      </w:r>
      <w:r w:rsidRPr="003C35DD">
        <w:rPr>
          <w:bCs/>
          <w:sz w:val="20"/>
          <w:szCs w:val="20"/>
          <w:highlight w:val="yellow"/>
          <w:lang w:val="en-ZW"/>
        </w:rPr>
        <w:t xml:space="preserve">kin sensitivity </w:t>
      </w:r>
      <w:r w:rsidR="00102A76" w:rsidRPr="003C35DD">
        <w:rPr>
          <w:bCs/>
          <w:sz w:val="20"/>
          <w:szCs w:val="20"/>
          <w:highlight w:val="yellow"/>
          <w:lang w:val="en-ZW"/>
        </w:rPr>
        <w:t xml:space="preserve"> and irritation </w:t>
      </w:r>
      <w:r w:rsidRPr="003C35DD">
        <w:rPr>
          <w:bCs/>
          <w:sz w:val="20"/>
          <w:szCs w:val="20"/>
          <w:highlight w:val="yellow"/>
          <w:lang w:val="en-ZW"/>
        </w:rPr>
        <w:t xml:space="preserve">tests confirmed that the resulting augmented sunscreen does not sensitise or irritate skin in basic topical cosmetic use.  The </w:t>
      </w:r>
      <w:r w:rsidR="00102A76" w:rsidRPr="003C35DD">
        <w:rPr>
          <w:bCs/>
          <w:sz w:val="20"/>
          <w:szCs w:val="20"/>
          <w:highlight w:val="yellow"/>
          <w:lang w:val="en-ZW"/>
        </w:rPr>
        <w:t>augmented s</w:t>
      </w:r>
      <w:r w:rsidRPr="003C35DD">
        <w:rPr>
          <w:bCs/>
          <w:sz w:val="20"/>
          <w:szCs w:val="20"/>
          <w:highlight w:val="yellow"/>
          <w:lang w:val="en-ZW"/>
        </w:rPr>
        <w:t>unscreen had a high SPF of 30, UVAPF of 14, UVAPF</w:t>
      </w:r>
      <w:r w:rsidRPr="003C35DD">
        <w:rPr>
          <w:bCs/>
          <w:sz w:val="20"/>
          <w:szCs w:val="20"/>
          <w:highlight w:val="yellow"/>
          <w:vertAlign w:val="subscript"/>
          <w:lang w:val="en-ZW"/>
        </w:rPr>
        <w:t>eff</w:t>
      </w:r>
      <w:r w:rsidRPr="003C35DD">
        <w:rPr>
          <w:bCs/>
          <w:sz w:val="20"/>
          <w:szCs w:val="20"/>
          <w:highlight w:val="yellow"/>
          <w:lang w:val="en-ZW"/>
        </w:rPr>
        <w:t xml:space="preserve"> and SPF</w:t>
      </w:r>
      <w:r w:rsidRPr="003C35DD">
        <w:rPr>
          <w:bCs/>
          <w:sz w:val="20"/>
          <w:szCs w:val="20"/>
          <w:highlight w:val="yellow"/>
          <w:vertAlign w:val="subscript"/>
          <w:lang w:val="en-ZW"/>
        </w:rPr>
        <w:t>eff</w:t>
      </w:r>
      <w:r w:rsidRPr="003C35DD">
        <w:rPr>
          <w:bCs/>
          <w:sz w:val="20"/>
          <w:szCs w:val="20"/>
          <w:highlight w:val="yellow"/>
          <w:lang w:val="en-ZW"/>
        </w:rPr>
        <w:t xml:space="preserve"> both above 97% and </w:t>
      </w:r>
      <w:r w:rsidRPr="003C35DD">
        <w:rPr>
          <w:rFonts w:eastAsia="Times New Roman"/>
          <w:color w:val="000000"/>
          <w:sz w:val="20"/>
          <w:szCs w:val="20"/>
          <w:highlight w:val="yellow"/>
        </w:rPr>
        <w:t>ƛ</w:t>
      </w:r>
      <w:r w:rsidRPr="003C35DD">
        <w:rPr>
          <w:rFonts w:eastAsia="Times New Roman"/>
          <w:color w:val="000000"/>
          <w:sz w:val="20"/>
          <w:szCs w:val="20"/>
          <w:highlight w:val="yellow"/>
          <w:vertAlign w:val="subscript"/>
        </w:rPr>
        <w:t>C</w:t>
      </w:r>
      <w:r w:rsidRPr="003C35DD">
        <w:rPr>
          <w:bCs/>
          <w:sz w:val="20"/>
          <w:szCs w:val="20"/>
          <w:highlight w:val="yellow"/>
          <w:lang w:val="en-ZW"/>
        </w:rPr>
        <w:t xml:space="preserve"> of 383. Based on the foregoing we concluded that the development of a</w:t>
      </w:r>
      <w:r w:rsidR="003C35DD" w:rsidRPr="003C35DD">
        <w:rPr>
          <w:bCs/>
          <w:sz w:val="20"/>
          <w:szCs w:val="20"/>
          <w:highlight w:val="yellow"/>
          <w:lang w:val="en-ZW"/>
        </w:rPr>
        <w:t>n amplified,</w:t>
      </w:r>
      <w:r w:rsidRPr="003C35DD">
        <w:rPr>
          <w:bCs/>
          <w:sz w:val="20"/>
          <w:szCs w:val="20"/>
          <w:highlight w:val="yellow"/>
          <w:lang w:val="en-ZW"/>
        </w:rPr>
        <w:t xml:space="preserve"> broad-spectrum</w:t>
      </w:r>
      <w:r w:rsidR="003C35DD" w:rsidRPr="003C35DD">
        <w:rPr>
          <w:bCs/>
          <w:sz w:val="20"/>
          <w:szCs w:val="20"/>
          <w:highlight w:val="yellow"/>
          <w:lang w:val="en-ZW"/>
        </w:rPr>
        <w:t xml:space="preserve"> and</w:t>
      </w:r>
      <w:r w:rsidRPr="003C35DD">
        <w:rPr>
          <w:bCs/>
          <w:sz w:val="20"/>
          <w:szCs w:val="20"/>
          <w:highlight w:val="yellow"/>
          <w:lang w:val="en-ZW"/>
        </w:rPr>
        <w:t xml:space="preserve"> biologically safe  augmented sunscreen incorporating </w:t>
      </w:r>
      <w:r w:rsidRPr="003C35DD">
        <w:rPr>
          <w:bCs/>
          <w:i/>
          <w:iCs/>
          <w:sz w:val="20"/>
          <w:szCs w:val="20"/>
          <w:highlight w:val="yellow"/>
          <w:lang w:val="en-ZW"/>
        </w:rPr>
        <w:t xml:space="preserve">C Lanatus  </w:t>
      </w:r>
      <w:r w:rsidRPr="003C35DD">
        <w:rPr>
          <w:bCs/>
          <w:sz w:val="20"/>
          <w:szCs w:val="20"/>
          <w:highlight w:val="yellow"/>
          <w:lang w:val="en-ZW"/>
        </w:rPr>
        <w:t>and</w:t>
      </w:r>
      <w:r w:rsidRPr="003C35DD">
        <w:rPr>
          <w:bCs/>
          <w:i/>
          <w:iCs/>
          <w:sz w:val="20"/>
          <w:szCs w:val="20"/>
          <w:highlight w:val="yellow"/>
          <w:lang w:val="en-ZW"/>
        </w:rPr>
        <w:t xml:space="preserve"> M flabellifolius</w:t>
      </w:r>
      <w:r w:rsidRPr="003C35DD">
        <w:rPr>
          <w:bCs/>
          <w:sz w:val="20"/>
          <w:szCs w:val="20"/>
          <w:highlight w:val="yellow"/>
          <w:lang w:val="en-ZW"/>
        </w:rPr>
        <w:t xml:space="preserve"> oils is feasible and </w:t>
      </w:r>
      <w:r w:rsidR="008120C1" w:rsidRPr="003C35DD">
        <w:rPr>
          <w:bCs/>
          <w:sz w:val="20"/>
          <w:szCs w:val="20"/>
          <w:highlight w:val="yellow"/>
          <w:lang w:val="en-ZW"/>
        </w:rPr>
        <w:t>heralds’</w:t>
      </w:r>
      <w:r w:rsidR="00DC4F38">
        <w:rPr>
          <w:bCs/>
          <w:sz w:val="20"/>
          <w:szCs w:val="20"/>
          <w:highlight w:val="yellow"/>
          <w:lang w:val="en-ZW"/>
        </w:rPr>
        <w:t xml:space="preserve"> </w:t>
      </w:r>
      <w:r w:rsidRPr="003C35DD">
        <w:rPr>
          <w:bCs/>
          <w:sz w:val="20"/>
          <w:szCs w:val="20"/>
          <w:highlight w:val="yellow"/>
          <w:lang w:val="en-ZW"/>
        </w:rPr>
        <w:t>new perspectives in formulation of efficacious nonconventional photoprotective products</w:t>
      </w:r>
      <w:r>
        <w:rPr>
          <w:bCs/>
          <w:sz w:val="20"/>
          <w:szCs w:val="20"/>
          <w:lang w:val="en-ZW"/>
        </w:rPr>
        <w:t>.</w:t>
      </w:r>
    </w:p>
    <w:p w14:paraId="17F95919" w14:textId="77777777" w:rsidR="0029571F" w:rsidRDefault="0029571F">
      <w:pPr>
        <w:spacing w:line="240" w:lineRule="auto"/>
        <w:contextualSpacing/>
        <w:jc w:val="both"/>
      </w:pPr>
    </w:p>
    <w:p w14:paraId="53DBD93D" w14:textId="77777777" w:rsidR="0029571F" w:rsidRDefault="0029571F">
      <w:pPr>
        <w:spacing w:line="240" w:lineRule="auto"/>
        <w:contextualSpacing/>
        <w:jc w:val="both"/>
        <w:rPr>
          <w:b/>
          <w:sz w:val="20"/>
          <w:szCs w:val="20"/>
        </w:rPr>
      </w:pPr>
    </w:p>
    <w:p w14:paraId="3429EC1A" w14:textId="77777777" w:rsidR="0029571F" w:rsidRDefault="005211DE">
      <w:pPr>
        <w:spacing w:line="240" w:lineRule="auto"/>
        <w:contextualSpacing/>
        <w:jc w:val="both"/>
        <w:rPr>
          <w:sz w:val="20"/>
          <w:szCs w:val="20"/>
        </w:rPr>
      </w:pPr>
      <w:r>
        <w:rPr>
          <w:b/>
          <w:sz w:val="20"/>
          <w:szCs w:val="20"/>
        </w:rPr>
        <w:t>Key words</w:t>
      </w:r>
      <w:r>
        <w:rPr>
          <w:sz w:val="20"/>
          <w:szCs w:val="20"/>
        </w:rPr>
        <w:t>:</w:t>
      </w:r>
      <w:r>
        <w:rPr>
          <w:sz w:val="20"/>
          <w:szCs w:val="20"/>
          <w:lang w:val="en-ZW"/>
        </w:rPr>
        <w:t xml:space="preserve"> Photoprotection, comedogenesis, mutagenicity, Augmented sunscreen</w:t>
      </w:r>
      <w:r>
        <w:rPr>
          <w:i/>
          <w:sz w:val="20"/>
          <w:szCs w:val="20"/>
          <w:lang w:val="en-ZW"/>
        </w:rPr>
        <w:t>, C Lanatus, M flabellifolius,</w:t>
      </w:r>
    </w:p>
    <w:p w14:paraId="47536D59" w14:textId="77777777" w:rsidR="0029571F" w:rsidRDefault="0029571F">
      <w:pPr>
        <w:spacing w:line="240" w:lineRule="auto"/>
        <w:contextualSpacing/>
        <w:jc w:val="both"/>
      </w:pPr>
    </w:p>
    <w:p w14:paraId="6696C93E" w14:textId="77777777" w:rsidR="0029571F" w:rsidRDefault="0029571F">
      <w:pPr>
        <w:spacing w:line="240" w:lineRule="auto"/>
        <w:contextualSpacing/>
        <w:jc w:val="both"/>
      </w:pPr>
    </w:p>
    <w:p w14:paraId="41B34E87" w14:textId="77777777" w:rsidR="0029571F" w:rsidRDefault="0029571F">
      <w:pPr>
        <w:spacing w:line="240" w:lineRule="auto"/>
        <w:contextualSpacing/>
        <w:jc w:val="both"/>
      </w:pPr>
    </w:p>
    <w:p w14:paraId="16D86650" w14:textId="77777777" w:rsidR="0029571F" w:rsidRDefault="0029571F">
      <w:pPr>
        <w:spacing w:line="240" w:lineRule="auto"/>
        <w:contextualSpacing/>
        <w:jc w:val="both"/>
      </w:pPr>
    </w:p>
    <w:p w14:paraId="06D9D9AB" w14:textId="77777777" w:rsidR="0029571F" w:rsidRDefault="0029571F">
      <w:pPr>
        <w:spacing w:line="240" w:lineRule="auto"/>
        <w:contextualSpacing/>
        <w:jc w:val="both"/>
      </w:pPr>
    </w:p>
    <w:p w14:paraId="6E8016FC" w14:textId="77777777" w:rsidR="0029571F" w:rsidRDefault="0029571F">
      <w:pPr>
        <w:spacing w:line="240" w:lineRule="auto"/>
        <w:contextualSpacing/>
        <w:jc w:val="both"/>
      </w:pPr>
    </w:p>
    <w:p w14:paraId="3975CECF" w14:textId="77777777" w:rsidR="0029571F" w:rsidRDefault="005211DE">
      <w:pPr>
        <w:pStyle w:val="Heading1"/>
      </w:pPr>
      <w:r>
        <w:t xml:space="preserve">INTRODUCTION </w:t>
      </w:r>
    </w:p>
    <w:p w14:paraId="778BB8C8" w14:textId="77777777" w:rsidR="0029571F" w:rsidRDefault="005211DE">
      <w:pPr>
        <w:pStyle w:val="Heading2"/>
        <w:rPr>
          <w:rFonts w:cs="Arial"/>
          <w:sz w:val="20"/>
          <w:szCs w:val="20"/>
        </w:rPr>
      </w:pPr>
      <w:r>
        <w:rPr>
          <w:rFonts w:cs="Arial"/>
          <w:sz w:val="20"/>
          <w:szCs w:val="20"/>
        </w:rPr>
        <w:t>Ultraviolet Radiation (UVR), photo damage protection.</w:t>
      </w:r>
    </w:p>
    <w:p w14:paraId="0FAA8C06" w14:textId="099A0081" w:rsidR="00102A76" w:rsidRDefault="005211DE">
      <w:pPr>
        <w:autoSpaceDE w:val="0"/>
        <w:autoSpaceDN w:val="0"/>
        <w:adjustRightInd w:val="0"/>
        <w:spacing w:after="0" w:line="240" w:lineRule="auto"/>
        <w:jc w:val="both"/>
        <w:rPr>
          <w:sz w:val="20"/>
          <w:szCs w:val="20"/>
          <w:lang w:val="en-ZW"/>
        </w:rPr>
      </w:pPr>
      <w:bookmarkStart w:id="0" w:name="_Hlk189567089"/>
      <w:r>
        <w:rPr>
          <w:sz w:val="20"/>
          <w:szCs w:val="20"/>
          <w:lang w:val="en-ZW"/>
        </w:rPr>
        <w:t xml:space="preserve">The sun emits radiation with different ionising energies in a wide spectrum of wavelengths, frequencies and energies. </w:t>
      </w:r>
      <w:bookmarkEnd w:id="0"/>
      <w:r>
        <w:rPr>
          <w:sz w:val="20"/>
          <w:szCs w:val="20"/>
          <w:lang w:val="en-ZW"/>
        </w:rPr>
        <w:t xml:space="preserve">This electromagnetic spectrum has wavelengths from as low as Xray’s (0.01–10 nm) with corresponding frequencies up to </w:t>
      </w:r>
      <w:r w:rsidR="00102A76" w:rsidRPr="00102A76">
        <w:rPr>
          <w:sz w:val="20"/>
          <w:szCs w:val="20"/>
          <w:lang w:val="en-ZW"/>
        </w:rPr>
        <w:t xml:space="preserve">30 exahertz </w:t>
      </w:r>
      <w:r>
        <w:rPr>
          <w:sz w:val="20"/>
          <w:szCs w:val="20"/>
          <w:lang w:val="en-ZW"/>
        </w:rPr>
        <w:t xml:space="preserve">and high corresponding energies which can reach 100 keV, </w:t>
      </w:r>
      <w:r>
        <w:rPr>
          <w:sz w:val="20"/>
          <w:szCs w:val="20"/>
          <w:lang w:val="en-ZW"/>
        </w:rPr>
        <w:lastRenderedPageBreak/>
        <w:t>to low</w:t>
      </w:r>
      <w:r w:rsidR="006B39A5">
        <w:rPr>
          <w:sz w:val="20"/>
          <w:szCs w:val="20"/>
          <w:lang w:val="en-ZW"/>
        </w:rPr>
        <w:t>-</w:t>
      </w:r>
      <w:r>
        <w:rPr>
          <w:sz w:val="20"/>
          <w:szCs w:val="20"/>
          <w:lang w:val="en-ZW"/>
        </w:rPr>
        <w:t xml:space="preserve">energy high </w:t>
      </w:r>
      <w:r w:rsidR="006B39A5">
        <w:rPr>
          <w:sz w:val="20"/>
          <w:szCs w:val="20"/>
          <w:lang w:val="en-ZW"/>
        </w:rPr>
        <w:t>high-</w:t>
      </w:r>
      <w:r>
        <w:rPr>
          <w:sz w:val="20"/>
          <w:szCs w:val="20"/>
          <w:lang w:val="en-ZW"/>
        </w:rPr>
        <w:t xml:space="preserve">wavelength radio frequencies (1 mm to 100 km) with frequencies as low as 3 </w:t>
      </w:r>
      <w:proofErr w:type="gramStart"/>
      <w:r>
        <w:rPr>
          <w:sz w:val="20"/>
          <w:szCs w:val="20"/>
          <w:lang w:val="en-ZW"/>
        </w:rPr>
        <w:t>Hz[</w:t>
      </w:r>
      <w:proofErr w:type="gramEnd"/>
      <w:r>
        <w:rPr>
          <w:sz w:val="20"/>
          <w:szCs w:val="20"/>
          <w:lang w:val="en-ZW"/>
        </w:rPr>
        <w:t>1]. With regards to electromagnetic radiation, energy is inversely proportional to wavelength and the shorter wavelength’s have devastating health consequences due to their high energies</w:t>
      </w:r>
      <w:r w:rsidR="00102A76">
        <w:rPr>
          <w:sz w:val="20"/>
          <w:szCs w:val="20"/>
          <w:lang w:val="en-ZW"/>
        </w:rPr>
        <w:t xml:space="preserve"> [1]</w:t>
      </w:r>
      <w:r>
        <w:rPr>
          <w:sz w:val="20"/>
          <w:szCs w:val="20"/>
          <w:lang w:val="en-ZW"/>
        </w:rPr>
        <w:t xml:space="preserve">. Convenient for </w:t>
      </w:r>
      <w:r w:rsidR="00102A76">
        <w:rPr>
          <w:sz w:val="20"/>
          <w:szCs w:val="20"/>
          <w:lang w:val="en-ZW"/>
        </w:rPr>
        <w:t xml:space="preserve">the </w:t>
      </w:r>
      <w:r>
        <w:rPr>
          <w:sz w:val="20"/>
          <w:szCs w:val="20"/>
          <w:lang w:val="en-ZW"/>
        </w:rPr>
        <w:t>protection of all life forms on earth, our atmosphere has various layers</w:t>
      </w:r>
      <w:r w:rsidR="006B39A5">
        <w:rPr>
          <w:sz w:val="20"/>
          <w:szCs w:val="20"/>
          <w:lang w:val="en-ZW"/>
        </w:rPr>
        <w:t>,</w:t>
      </w:r>
      <w:r>
        <w:rPr>
          <w:sz w:val="20"/>
          <w:szCs w:val="20"/>
          <w:lang w:val="en-ZW"/>
        </w:rPr>
        <w:t xml:space="preserve"> including troposphere, stratosphere, mesosphere, thermosphere and </w:t>
      </w:r>
      <w:r w:rsidR="00102A76">
        <w:rPr>
          <w:sz w:val="20"/>
          <w:szCs w:val="20"/>
          <w:lang w:val="en-ZW"/>
        </w:rPr>
        <w:t xml:space="preserve">the </w:t>
      </w:r>
      <w:r>
        <w:rPr>
          <w:sz w:val="20"/>
          <w:szCs w:val="20"/>
          <w:lang w:val="en-ZW"/>
        </w:rPr>
        <w:t>exosphere</w:t>
      </w:r>
      <w:r w:rsidR="006B39A5">
        <w:rPr>
          <w:sz w:val="20"/>
          <w:szCs w:val="20"/>
          <w:lang w:val="en-ZW"/>
        </w:rPr>
        <w:t>,</w:t>
      </w:r>
      <w:r>
        <w:rPr>
          <w:sz w:val="20"/>
          <w:szCs w:val="20"/>
          <w:lang w:val="en-ZW"/>
        </w:rPr>
        <w:t xml:space="preserve"> which through different mechanisms and components can regulate the amount and type of radiation incident on earth. The ozone layer which sits in the stratosphere between 15 km and 30 km above the earth and is concentrated between 20 and 25km shields humans and other life forms from potential actinic damage caused by the sun’s harmful radiation [2].  This filtration system is so efficient that much of the lower wavelength radiation below the </w:t>
      </w:r>
      <w:r w:rsidR="0040597D">
        <w:rPr>
          <w:sz w:val="20"/>
          <w:szCs w:val="20"/>
          <w:lang w:val="en-ZW"/>
        </w:rPr>
        <w:t>u</w:t>
      </w:r>
      <w:r>
        <w:rPr>
          <w:sz w:val="20"/>
          <w:szCs w:val="20"/>
          <w:lang w:val="en-ZW"/>
        </w:rPr>
        <w:t xml:space="preserve">ltraviolet </w:t>
      </w:r>
      <w:r w:rsidR="0040597D">
        <w:rPr>
          <w:sz w:val="20"/>
          <w:szCs w:val="20"/>
          <w:lang w:val="en-ZW"/>
        </w:rPr>
        <w:t>r</w:t>
      </w:r>
      <w:r>
        <w:rPr>
          <w:sz w:val="20"/>
          <w:szCs w:val="20"/>
          <w:lang w:val="en-ZW"/>
        </w:rPr>
        <w:t xml:space="preserve">adiation (UVR) range part of the spectrum, with high energies, does not reach the earth. </w:t>
      </w:r>
    </w:p>
    <w:p w14:paraId="463CCBD7" w14:textId="216C6CA2" w:rsidR="0029571F" w:rsidRDefault="005211DE">
      <w:pPr>
        <w:autoSpaceDE w:val="0"/>
        <w:autoSpaceDN w:val="0"/>
        <w:adjustRightInd w:val="0"/>
        <w:spacing w:after="0" w:line="240" w:lineRule="auto"/>
        <w:jc w:val="both"/>
        <w:rPr>
          <w:sz w:val="20"/>
          <w:szCs w:val="20"/>
          <w:lang w:val="en-ZW"/>
        </w:rPr>
      </w:pPr>
      <w:r>
        <w:rPr>
          <w:sz w:val="20"/>
          <w:szCs w:val="20"/>
          <w:lang w:val="en-ZW"/>
        </w:rPr>
        <w:t>Actinic damage summari</w:t>
      </w:r>
      <w:r w:rsidR="006B39A5">
        <w:rPr>
          <w:sz w:val="20"/>
          <w:szCs w:val="20"/>
          <w:lang w:val="en-ZW"/>
        </w:rPr>
        <w:t>s</w:t>
      </w:r>
      <w:r>
        <w:rPr>
          <w:sz w:val="20"/>
          <w:szCs w:val="20"/>
          <w:lang w:val="en-ZW"/>
        </w:rPr>
        <w:t xml:space="preserve">es all the photo damage caused by this radiation from </w:t>
      </w:r>
      <w:r w:rsidR="00102A76">
        <w:rPr>
          <w:sz w:val="20"/>
          <w:szCs w:val="20"/>
          <w:lang w:val="en-ZW"/>
        </w:rPr>
        <w:t>conditions</w:t>
      </w:r>
      <w:r>
        <w:rPr>
          <w:sz w:val="20"/>
          <w:szCs w:val="20"/>
          <w:lang w:val="en-ZW"/>
        </w:rPr>
        <w:t xml:space="preserve"> as benign as freckles to malignant melanoma. Among the many bands of the solar electromagnetic spectrum,</w:t>
      </w:r>
      <w:r w:rsidR="0040597D">
        <w:rPr>
          <w:sz w:val="20"/>
          <w:szCs w:val="20"/>
          <w:lang w:val="en-ZW"/>
        </w:rPr>
        <w:t xml:space="preserve"> </w:t>
      </w:r>
      <w:r>
        <w:rPr>
          <w:sz w:val="20"/>
          <w:szCs w:val="20"/>
          <w:lang w:val="en-ZW"/>
        </w:rPr>
        <w:t>UVR</w:t>
      </w:r>
      <w:r w:rsidR="00096EAF">
        <w:rPr>
          <w:sz w:val="20"/>
          <w:szCs w:val="20"/>
          <w:lang w:val="en-ZW"/>
        </w:rPr>
        <w:t xml:space="preserve">, </w:t>
      </w:r>
      <w:r>
        <w:rPr>
          <w:sz w:val="20"/>
          <w:szCs w:val="20"/>
          <w:lang w:val="en-ZW"/>
        </w:rPr>
        <w:t>is of much interest to solar photoprotection due to the fact that much of the actinic damage observed in humans carry photo damage endpoint signatures associated with this radiation range</w:t>
      </w:r>
      <w:r w:rsidR="0040597D">
        <w:rPr>
          <w:sz w:val="20"/>
          <w:szCs w:val="20"/>
          <w:lang w:val="en-ZW"/>
        </w:rPr>
        <w:t xml:space="preserve"> </w:t>
      </w:r>
      <w:r>
        <w:rPr>
          <w:sz w:val="20"/>
          <w:szCs w:val="20"/>
          <w:lang w:val="en-ZW"/>
        </w:rPr>
        <w:t>[2,3]. To protect underlying body structures, the human skin employs two mechanisms: melanisation and keratinization with capacities to filter, neutrali</w:t>
      </w:r>
      <w:r w:rsidR="006B39A5">
        <w:rPr>
          <w:sz w:val="20"/>
          <w:szCs w:val="20"/>
          <w:lang w:val="en-ZW"/>
        </w:rPr>
        <w:t>s</w:t>
      </w:r>
      <w:r>
        <w:rPr>
          <w:sz w:val="20"/>
          <w:szCs w:val="20"/>
          <w:lang w:val="en-ZW"/>
        </w:rPr>
        <w:t xml:space="preserve">e or block the harmful rays. Skin actinic damage occurs through two mechanisms, which correspond to different ranges of wavelengths in the UVR spectrum. </w:t>
      </w:r>
      <w:bookmarkStart w:id="1" w:name="_Hlk189567227"/>
      <w:r>
        <w:rPr>
          <w:sz w:val="20"/>
          <w:szCs w:val="20"/>
          <w:lang w:val="en-ZW"/>
        </w:rPr>
        <w:t>Damage can either be direct DNA damage through alteration of gene expression and compromised inflammatory responses or can be through the generation of reactive oxygen species (ROS)</w:t>
      </w:r>
      <w:r w:rsidR="006B39A5">
        <w:rPr>
          <w:sz w:val="20"/>
          <w:szCs w:val="20"/>
          <w:lang w:val="en-ZW"/>
        </w:rPr>
        <w:t>,</w:t>
      </w:r>
      <w:r>
        <w:rPr>
          <w:sz w:val="20"/>
          <w:szCs w:val="20"/>
          <w:lang w:val="en-ZW"/>
        </w:rPr>
        <w:t xml:space="preserve"> which cause tissue damage through protein oxidation and deactivation, lipid peroxidation as well as indirect DNA damage</w:t>
      </w:r>
      <w:bookmarkEnd w:id="1"/>
      <w:r>
        <w:rPr>
          <w:sz w:val="20"/>
          <w:szCs w:val="20"/>
          <w:lang w:val="en-ZW"/>
        </w:rPr>
        <w:t xml:space="preserve"> [3]. </w:t>
      </w:r>
      <w:r w:rsidR="00E66AB4">
        <w:rPr>
          <w:sz w:val="20"/>
          <w:szCs w:val="20"/>
          <w:lang w:val="en-ZW"/>
        </w:rPr>
        <w:t xml:space="preserve">As shown in figure </w:t>
      </w:r>
      <w:proofErr w:type="gramStart"/>
      <w:r w:rsidR="00E66AB4">
        <w:rPr>
          <w:sz w:val="20"/>
          <w:szCs w:val="20"/>
          <w:lang w:val="en-ZW"/>
        </w:rPr>
        <w:t>1,</w:t>
      </w:r>
      <w:r>
        <w:rPr>
          <w:sz w:val="20"/>
          <w:szCs w:val="20"/>
          <w:lang w:val="en-ZW"/>
        </w:rPr>
        <w:t>UVR</w:t>
      </w:r>
      <w:proofErr w:type="gramEnd"/>
      <w:r>
        <w:rPr>
          <w:sz w:val="20"/>
          <w:szCs w:val="20"/>
          <w:lang w:val="en-ZW"/>
        </w:rPr>
        <w:t xml:space="preserve">, is composed of three different energy bands: UVA (315-400 nm), UVB (280-315 nm) and UVC (100-280 nm). Radiation in the highest energy UVC band is blocked entirely by the ozone layer and does not reach the </w:t>
      </w:r>
      <w:r w:rsidR="006B39A5">
        <w:rPr>
          <w:sz w:val="20"/>
          <w:szCs w:val="20"/>
          <w:lang w:val="en-ZW"/>
        </w:rPr>
        <w:t>E</w:t>
      </w:r>
      <w:r>
        <w:rPr>
          <w:sz w:val="20"/>
          <w:szCs w:val="20"/>
          <w:lang w:val="en-ZW"/>
        </w:rPr>
        <w:t xml:space="preserve">arth. UVB is partially blocked by the ozone layer, however, the little radiation reaching the earth, which is approximately 5% of all UVR, has sufficient energy to damage DNA directly. UVB incidents is highest in the tropical and subtropical summer within a 4-hour window around the solar noon, it </w:t>
      </w:r>
      <w:r w:rsidR="006B39A5">
        <w:rPr>
          <w:sz w:val="20"/>
          <w:szCs w:val="20"/>
          <w:lang w:val="en-ZW"/>
        </w:rPr>
        <w:t>depends</w:t>
      </w:r>
      <w:r>
        <w:rPr>
          <w:sz w:val="20"/>
          <w:szCs w:val="20"/>
          <w:lang w:val="en-ZW"/>
        </w:rPr>
        <w:t xml:space="preserve"> on the solar zenith angle and weather patterns [4]. UVA</w:t>
      </w:r>
      <w:r w:rsidR="006B39A5">
        <w:rPr>
          <w:sz w:val="20"/>
          <w:szCs w:val="20"/>
          <w:lang w:val="en-ZW"/>
        </w:rPr>
        <w:t>,</w:t>
      </w:r>
      <w:r>
        <w:rPr>
          <w:sz w:val="20"/>
          <w:szCs w:val="20"/>
          <w:lang w:val="en-ZW"/>
        </w:rPr>
        <w:t xml:space="preserve"> which comprises up to 95%</w:t>
      </w:r>
      <w:r w:rsidR="00102A76">
        <w:rPr>
          <w:sz w:val="20"/>
          <w:szCs w:val="20"/>
          <w:lang w:val="en-ZW"/>
        </w:rPr>
        <w:t xml:space="preserve"> </w:t>
      </w:r>
      <w:r>
        <w:rPr>
          <w:sz w:val="20"/>
          <w:szCs w:val="20"/>
          <w:lang w:val="en-ZW"/>
        </w:rPr>
        <w:t>of all UVR reaching the earth</w:t>
      </w:r>
      <w:r w:rsidR="006B39A5">
        <w:rPr>
          <w:sz w:val="20"/>
          <w:szCs w:val="20"/>
          <w:lang w:val="en-ZW"/>
        </w:rPr>
        <w:t>,</w:t>
      </w:r>
      <w:r>
        <w:rPr>
          <w:sz w:val="20"/>
          <w:szCs w:val="20"/>
          <w:lang w:val="en-ZW"/>
        </w:rPr>
        <w:t xml:space="preserve"> on the other hand</w:t>
      </w:r>
      <w:r w:rsidR="006B39A5">
        <w:rPr>
          <w:sz w:val="20"/>
          <w:szCs w:val="20"/>
          <w:lang w:val="en-ZW"/>
        </w:rPr>
        <w:t>,</w:t>
      </w:r>
      <w:r>
        <w:rPr>
          <w:sz w:val="20"/>
          <w:szCs w:val="20"/>
          <w:lang w:val="en-ZW"/>
        </w:rPr>
        <w:t xml:space="preserve"> is not dependent on season or weather conditions. It is present all year round and its prevalence is only related to altitude, notably observed for its absence at the </w:t>
      </w:r>
      <w:r w:rsidR="006B39A5">
        <w:rPr>
          <w:sz w:val="20"/>
          <w:szCs w:val="20"/>
          <w:lang w:val="en-ZW"/>
        </w:rPr>
        <w:t>Dead S</w:t>
      </w:r>
      <w:r>
        <w:rPr>
          <w:sz w:val="20"/>
          <w:szCs w:val="20"/>
          <w:lang w:val="en-ZW"/>
        </w:rPr>
        <w:t>ea</w:t>
      </w:r>
      <w:r w:rsidR="006B39A5">
        <w:rPr>
          <w:sz w:val="20"/>
          <w:szCs w:val="20"/>
          <w:lang w:val="en-ZW"/>
        </w:rPr>
        <w:t>,</w:t>
      </w:r>
      <w:r>
        <w:rPr>
          <w:sz w:val="20"/>
          <w:szCs w:val="20"/>
          <w:lang w:val="en-ZW"/>
        </w:rPr>
        <w:t xml:space="preserve"> which is 400m below sea level. UVA pierces directly through the </w:t>
      </w:r>
      <w:r w:rsidR="0040597D">
        <w:rPr>
          <w:sz w:val="20"/>
          <w:szCs w:val="20"/>
          <w:lang w:val="en-ZW"/>
        </w:rPr>
        <w:t>e</w:t>
      </w:r>
      <w:r>
        <w:rPr>
          <w:sz w:val="20"/>
          <w:szCs w:val="20"/>
          <w:lang w:val="en-ZW"/>
        </w:rPr>
        <w:t>arth’s ozone layer and crosses the skin outer epidermis layer</w:t>
      </w:r>
      <w:r w:rsidR="006B39A5">
        <w:rPr>
          <w:sz w:val="20"/>
          <w:szCs w:val="20"/>
          <w:lang w:val="en-ZW"/>
        </w:rPr>
        <w:t>,</w:t>
      </w:r>
      <w:r>
        <w:rPr>
          <w:sz w:val="20"/>
          <w:szCs w:val="20"/>
          <w:lang w:val="en-ZW"/>
        </w:rPr>
        <w:t xml:space="preserve"> damaging underlying skin tissue structures</w:t>
      </w:r>
      <w:r w:rsidR="006B39A5">
        <w:rPr>
          <w:sz w:val="20"/>
          <w:szCs w:val="20"/>
          <w:lang w:val="en-ZW"/>
        </w:rPr>
        <w:t>,</w:t>
      </w:r>
      <w:r>
        <w:rPr>
          <w:sz w:val="20"/>
          <w:szCs w:val="20"/>
          <w:lang w:val="en-ZW"/>
        </w:rPr>
        <w:t xml:space="preserve"> including DNA</w:t>
      </w:r>
      <w:r w:rsidR="006B39A5">
        <w:rPr>
          <w:sz w:val="20"/>
          <w:szCs w:val="20"/>
          <w:lang w:val="en-ZW"/>
        </w:rPr>
        <w:t>,</w:t>
      </w:r>
      <w:r>
        <w:rPr>
          <w:sz w:val="20"/>
          <w:szCs w:val="20"/>
          <w:lang w:val="en-ZW"/>
        </w:rPr>
        <w:t xml:space="preserve"> primarily through the production of</w:t>
      </w:r>
      <w:r w:rsidR="0040597D">
        <w:rPr>
          <w:sz w:val="20"/>
          <w:szCs w:val="20"/>
          <w:lang w:val="en-ZW"/>
        </w:rPr>
        <w:t xml:space="preserve"> reactive oxygen species (</w:t>
      </w:r>
      <w:r>
        <w:rPr>
          <w:sz w:val="20"/>
          <w:szCs w:val="20"/>
          <w:lang w:val="en-ZW"/>
        </w:rPr>
        <w:t>ROS</w:t>
      </w:r>
      <w:r w:rsidR="0040597D">
        <w:rPr>
          <w:sz w:val="20"/>
          <w:szCs w:val="20"/>
          <w:lang w:val="en-ZW"/>
        </w:rPr>
        <w:t>)</w:t>
      </w:r>
      <w:r>
        <w:rPr>
          <w:sz w:val="20"/>
          <w:szCs w:val="20"/>
          <w:lang w:val="en-ZW"/>
        </w:rPr>
        <w:t xml:space="preserve"> [5]. Human beings are a cosmopolitan species with numerous phenotypes resident in equally numerous geographical habitats. Therefore, actinic damage by all forms of UVR varies among individuals and the majority of the human species relies on </w:t>
      </w:r>
      <w:r w:rsidR="00703DB0">
        <w:rPr>
          <w:sz w:val="20"/>
          <w:szCs w:val="20"/>
          <w:lang w:val="en-ZW"/>
        </w:rPr>
        <w:t xml:space="preserve">augmenting </w:t>
      </w:r>
      <w:r>
        <w:rPr>
          <w:sz w:val="20"/>
          <w:szCs w:val="20"/>
          <w:lang w:val="en-ZW"/>
        </w:rPr>
        <w:t>the natural photoprotection through the use of sunscreens.</w:t>
      </w:r>
    </w:p>
    <w:p w14:paraId="2A8656FA" w14:textId="77777777" w:rsidR="00703DB0" w:rsidRDefault="00703DB0">
      <w:pPr>
        <w:autoSpaceDE w:val="0"/>
        <w:autoSpaceDN w:val="0"/>
        <w:adjustRightInd w:val="0"/>
        <w:spacing w:after="0" w:line="240" w:lineRule="auto"/>
        <w:jc w:val="both"/>
        <w:rPr>
          <w:sz w:val="20"/>
          <w:szCs w:val="20"/>
          <w:lang w:val="en-ZW"/>
        </w:rPr>
      </w:pPr>
    </w:p>
    <w:p w14:paraId="6A137AA4" w14:textId="102154AE" w:rsidR="00703DB0" w:rsidRDefault="00703DB0">
      <w:pPr>
        <w:autoSpaceDE w:val="0"/>
        <w:autoSpaceDN w:val="0"/>
        <w:adjustRightInd w:val="0"/>
        <w:spacing w:after="0" w:line="240" w:lineRule="auto"/>
        <w:jc w:val="both"/>
        <w:rPr>
          <w:sz w:val="20"/>
          <w:szCs w:val="20"/>
          <w:lang w:val="en-ZW"/>
        </w:rPr>
      </w:pPr>
      <w:r>
        <w:rPr>
          <w:sz w:val="20"/>
          <w:szCs w:val="20"/>
          <w:lang w:val="en-ZW"/>
        </w:rPr>
        <w:t xml:space="preserve">                     </w:t>
      </w:r>
      <w:r>
        <w:rPr>
          <w:noProof/>
        </w:rPr>
        <w:drawing>
          <wp:inline distT="0" distB="0" distL="0" distR="0" wp14:anchorId="540E7281" wp14:editId="10B6F025">
            <wp:extent cx="4491990" cy="2480235"/>
            <wp:effectExtent l="19050" t="19050" r="22860" b="15875"/>
            <wp:docPr id="1495685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507" cy="2491011"/>
                    </a:xfrm>
                    <a:prstGeom prst="rect">
                      <a:avLst/>
                    </a:prstGeom>
                    <a:noFill/>
                    <a:ln>
                      <a:solidFill>
                        <a:schemeClr val="accent1"/>
                      </a:solidFill>
                    </a:ln>
                  </pic:spPr>
                </pic:pic>
              </a:graphicData>
            </a:graphic>
          </wp:inline>
        </w:drawing>
      </w:r>
    </w:p>
    <w:p w14:paraId="2A53F3F9" w14:textId="0228F521" w:rsidR="00703DB0" w:rsidRDefault="00703DB0" w:rsidP="00703DB0">
      <w:pPr>
        <w:pStyle w:val="Caption"/>
        <w:rPr>
          <w:sz w:val="20"/>
          <w:szCs w:val="20"/>
          <w:lang w:val="en-ZW"/>
        </w:rPr>
      </w:pPr>
      <w:r>
        <w:t xml:space="preserve">Figure </w:t>
      </w:r>
      <w:r>
        <w:fldChar w:fldCharType="begin"/>
      </w:r>
      <w:r>
        <w:instrText xml:space="preserve"> SEQ Figure \* ARABIC </w:instrText>
      </w:r>
      <w:r>
        <w:fldChar w:fldCharType="separate"/>
      </w:r>
      <w:r>
        <w:rPr>
          <w:noProof/>
        </w:rPr>
        <w:t>1</w:t>
      </w:r>
      <w:r>
        <w:fldChar w:fldCharType="end"/>
      </w:r>
      <w:r>
        <w:t xml:space="preserve">: The electromagnetic spectrum </w:t>
      </w:r>
      <w:r w:rsidR="00096EAF">
        <w:t>(</w:t>
      </w:r>
      <w:r w:rsidR="00096EAF" w:rsidRPr="00096EAF">
        <w:t>https://www.gettyimages.com/photos</w:t>
      </w:r>
      <w:r w:rsidR="00096EAF">
        <w:t>)</w:t>
      </w:r>
    </w:p>
    <w:p w14:paraId="2564C243" w14:textId="77777777" w:rsidR="0029571F" w:rsidRDefault="0029571F">
      <w:pPr>
        <w:autoSpaceDE w:val="0"/>
        <w:autoSpaceDN w:val="0"/>
        <w:adjustRightInd w:val="0"/>
        <w:spacing w:after="0" w:line="240" w:lineRule="auto"/>
        <w:jc w:val="both"/>
        <w:rPr>
          <w:sz w:val="20"/>
          <w:szCs w:val="20"/>
          <w:lang w:val="en-ZW"/>
        </w:rPr>
      </w:pPr>
    </w:p>
    <w:p w14:paraId="257D3EF0" w14:textId="5436FD23" w:rsidR="0029571F" w:rsidRDefault="005211DE">
      <w:pPr>
        <w:pStyle w:val="Heading2"/>
        <w:rPr>
          <w:lang w:val="en-ZW" w:eastAsia="en-ZW"/>
        </w:rPr>
      </w:pPr>
      <w:r>
        <w:rPr>
          <w:lang w:val="en-ZW" w:eastAsia="en-ZW"/>
        </w:rPr>
        <w:lastRenderedPageBreak/>
        <w:t>Commercial sunscreen materials</w:t>
      </w:r>
    </w:p>
    <w:p w14:paraId="50E43250" w14:textId="37DB305B" w:rsidR="0029571F" w:rsidRDefault="005211DE">
      <w:pPr>
        <w:jc w:val="both"/>
        <w:rPr>
          <w:sz w:val="20"/>
          <w:szCs w:val="20"/>
          <w:lang w:val="en-ZW"/>
        </w:rPr>
      </w:pPr>
      <w:r>
        <w:rPr>
          <w:sz w:val="20"/>
          <w:szCs w:val="20"/>
          <w:lang w:val="en-ZW"/>
        </w:rPr>
        <w:t>Human beings have employed various materials as sun filters to protect themselves from actinic damage for thousands of years. The ancient sunscreens were mostly derived from plant oils and gels as well as clays and minerals [6].  The modern commercial sunscreens were heralded by the marketing of the chemical sunscreens, benzyl salicylate and benzyl cinnamate in the 1920s [7]. The basic materials compounded and the mechanisms of photoprotection may have changed over time, but the age-old need for sun protecting materials has not. Materials used as sunscreens are basically grouped as inorganic (physical) sunscreens, organic (chemical) sunscreens as well as plant derivatives. In the USA</w:t>
      </w:r>
      <w:r w:rsidR="0040597D">
        <w:rPr>
          <w:sz w:val="20"/>
          <w:szCs w:val="20"/>
          <w:lang w:val="en-ZW"/>
        </w:rPr>
        <w:t>,</w:t>
      </w:r>
      <w:r>
        <w:rPr>
          <w:sz w:val="20"/>
          <w:szCs w:val="20"/>
          <w:lang w:val="en-ZW"/>
        </w:rPr>
        <w:t xml:space="preserve"> through monograph MO20, the FDA recognizes 16 materials as commercial sunscreens (14 chemical and 2 physical) [8]. In the European </w:t>
      </w:r>
      <w:r w:rsidR="006B39A5">
        <w:rPr>
          <w:sz w:val="20"/>
          <w:szCs w:val="20"/>
          <w:lang w:val="en-ZW"/>
        </w:rPr>
        <w:t>U</w:t>
      </w:r>
      <w:r>
        <w:rPr>
          <w:sz w:val="20"/>
          <w:szCs w:val="20"/>
          <w:lang w:val="en-ZW"/>
        </w:rPr>
        <w:t>nion COLIPA recognizes 20 materials as approved for sunscreen use. The Asian market recognizes more materials with China and Japan endorsing 25 and 27 materials as safe and effective sunscreens respectively [9]. The physical, inorganic sunscreens recognized by all regulatory authorities are the minerals namely TiO</w:t>
      </w:r>
      <w:r>
        <w:rPr>
          <w:sz w:val="20"/>
          <w:szCs w:val="20"/>
          <w:vertAlign w:val="subscript"/>
          <w:lang w:val="en-ZW"/>
        </w:rPr>
        <w:t>2</w:t>
      </w:r>
      <w:r>
        <w:rPr>
          <w:sz w:val="20"/>
          <w:szCs w:val="20"/>
          <w:lang w:val="en-ZW"/>
        </w:rPr>
        <w:t xml:space="preserve"> and ZnO. These materials</w:t>
      </w:r>
      <w:r w:rsidR="006B39A5">
        <w:rPr>
          <w:sz w:val="20"/>
          <w:szCs w:val="20"/>
          <w:lang w:val="en-ZW"/>
        </w:rPr>
        <w:t>,</w:t>
      </w:r>
      <w:r>
        <w:rPr>
          <w:sz w:val="20"/>
          <w:szCs w:val="20"/>
          <w:lang w:val="en-ZW"/>
        </w:rPr>
        <w:t xml:space="preserve"> which are generally deemed as safer than chemical sunscreens </w:t>
      </w:r>
      <w:r w:rsidR="007B083A">
        <w:rPr>
          <w:sz w:val="20"/>
          <w:szCs w:val="20"/>
          <w:lang w:val="en-ZW"/>
        </w:rPr>
        <w:t xml:space="preserve">and </w:t>
      </w:r>
      <w:r>
        <w:rPr>
          <w:sz w:val="20"/>
          <w:szCs w:val="20"/>
          <w:lang w:val="en-ZW"/>
        </w:rPr>
        <w:t>work by absorbing, scattering and reflecting UVR have numerous aesthetic drawbacks. Their opaqueness leaves cosmetically unappealing white casts on users. Their high usage levels of up to 25% to be effective also pose a challenge in formulating aesthetically pleasing and safe sunscreens [8]. Almost 70 organic materials have been scientifically validated as possessing commercially acceptable sun filtration capacities. However, due to safety and technical considerations</w:t>
      </w:r>
      <w:r w:rsidR="006B39A5">
        <w:rPr>
          <w:sz w:val="20"/>
          <w:szCs w:val="20"/>
          <w:lang w:val="en-ZW"/>
        </w:rPr>
        <w:t>,</w:t>
      </w:r>
      <w:r>
        <w:rPr>
          <w:sz w:val="20"/>
          <w:szCs w:val="20"/>
          <w:lang w:val="en-ZW"/>
        </w:rPr>
        <w:t xml:space="preserve"> regulations have restricted worldwide commercial use to </w:t>
      </w:r>
      <w:r w:rsidR="006B39A5">
        <w:rPr>
          <w:sz w:val="20"/>
          <w:szCs w:val="20"/>
          <w:lang w:val="en-ZW"/>
        </w:rPr>
        <w:t>fewer</w:t>
      </w:r>
      <w:r>
        <w:rPr>
          <w:sz w:val="20"/>
          <w:szCs w:val="20"/>
          <w:lang w:val="en-ZW"/>
        </w:rPr>
        <w:t xml:space="preserve"> than 30</w:t>
      </w:r>
      <w:r w:rsidR="007B083A">
        <w:rPr>
          <w:sz w:val="20"/>
          <w:szCs w:val="20"/>
          <w:lang w:val="en-ZW"/>
        </w:rPr>
        <w:t xml:space="preserve"> materials</w:t>
      </w:r>
      <w:r>
        <w:rPr>
          <w:sz w:val="20"/>
          <w:szCs w:val="20"/>
          <w:lang w:val="en-ZW"/>
        </w:rPr>
        <w:t>. Various studies have found most organic sunscreens to exhibit skin irritation, carcinogenic, photosensitisation and phototoxicity potential [9]. Recent studies have also found traces of these sunscreens, especially Avobenzone, the most widely used sunscreen agent</w:t>
      </w:r>
      <w:r w:rsidR="006B39A5">
        <w:rPr>
          <w:sz w:val="20"/>
          <w:szCs w:val="20"/>
          <w:lang w:val="en-ZW"/>
        </w:rPr>
        <w:t>,</w:t>
      </w:r>
      <w:r>
        <w:rPr>
          <w:sz w:val="20"/>
          <w:szCs w:val="20"/>
          <w:lang w:val="en-ZW"/>
        </w:rPr>
        <w:t xml:space="preserve"> in the blood plasma of users. Their bioaccumulation has also been reported in coral reefs ecosystems</w:t>
      </w:r>
      <w:r w:rsidR="006B39A5">
        <w:rPr>
          <w:sz w:val="20"/>
          <w:szCs w:val="20"/>
          <w:lang w:val="en-ZW"/>
        </w:rPr>
        <w:t>,</w:t>
      </w:r>
      <w:r>
        <w:rPr>
          <w:sz w:val="20"/>
          <w:szCs w:val="20"/>
          <w:lang w:val="en-ZW"/>
        </w:rPr>
        <w:t xml:space="preserve"> which led to the FDA passing non</w:t>
      </w:r>
      <w:r w:rsidR="006B39A5">
        <w:rPr>
          <w:sz w:val="20"/>
          <w:szCs w:val="20"/>
          <w:lang w:val="en-ZW"/>
        </w:rPr>
        <w:t>-GRAS</w:t>
      </w:r>
      <w:r>
        <w:rPr>
          <w:sz w:val="20"/>
          <w:szCs w:val="20"/>
          <w:lang w:val="en-ZW"/>
        </w:rPr>
        <w:t xml:space="preserve"> (generally recognisable as safe and effective) status on all commercial sunscreens in 2020 [10]. Due to these perceived weaknesses the need to supplant both classes of sunscreens with newer</w:t>
      </w:r>
      <w:r w:rsidR="006B39A5">
        <w:rPr>
          <w:sz w:val="20"/>
          <w:szCs w:val="20"/>
          <w:lang w:val="en-ZW"/>
        </w:rPr>
        <w:t>,</w:t>
      </w:r>
      <w:r>
        <w:rPr>
          <w:sz w:val="20"/>
          <w:szCs w:val="20"/>
          <w:lang w:val="en-ZW"/>
        </w:rPr>
        <w:t xml:space="preserve"> safer and more effective materials o</w:t>
      </w:r>
      <w:r w:rsidR="007B083A">
        <w:rPr>
          <w:sz w:val="20"/>
          <w:szCs w:val="20"/>
          <w:lang w:val="en-ZW"/>
        </w:rPr>
        <w:t>r</w:t>
      </w:r>
      <w:r>
        <w:rPr>
          <w:sz w:val="20"/>
          <w:szCs w:val="20"/>
          <w:lang w:val="en-ZW"/>
        </w:rPr>
        <w:t xml:space="preserve"> at least to lower their usage through augmentation with other materials is imperative.</w:t>
      </w:r>
    </w:p>
    <w:p w14:paraId="5D6AF895" w14:textId="77777777" w:rsidR="0029571F" w:rsidRDefault="005211DE">
      <w:pPr>
        <w:pStyle w:val="Heading2"/>
        <w:rPr>
          <w:lang w:val="en-ZW" w:eastAsia="en-ZW"/>
        </w:rPr>
      </w:pPr>
      <w:r>
        <w:rPr>
          <w:lang w:val="en-ZW" w:eastAsia="en-ZW"/>
        </w:rPr>
        <w:t xml:space="preserve">Augmented Sunscreens for photoprotection </w:t>
      </w:r>
    </w:p>
    <w:p w14:paraId="6BCF5DF1" w14:textId="78EEFAB2" w:rsidR="0029571F" w:rsidRDefault="005211DE">
      <w:pPr>
        <w:jc w:val="both"/>
        <w:rPr>
          <w:sz w:val="20"/>
          <w:szCs w:val="20"/>
          <w:lang w:val="en-ZW"/>
        </w:rPr>
      </w:pPr>
      <w:r>
        <w:rPr>
          <w:sz w:val="20"/>
          <w:szCs w:val="20"/>
          <w:lang w:val="en-ZW"/>
        </w:rPr>
        <w:t>Plant secondary metabolites with aromatic rings especially consisting of polyphenolic groups</w:t>
      </w:r>
      <w:r w:rsidR="006B39A5">
        <w:rPr>
          <w:sz w:val="20"/>
          <w:szCs w:val="20"/>
          <w:lang w:val="en-ZW"/>
        </w:rPr>
        <w:t>,</w:t>
      </w:r>
      <w:r>
        <w:rPr>
          <w:sz w:val="20"/>
          <w:szCs w:val="20"/>
          <w:lang w:val="en-ZW"/>
        </w:rPr>
        <w:t xml:space="preserve"> have demonstrated </w:t>
      </w:r>
      <w:proofErr w:type="gramStart"/>
      <w:r>
        <w:rPr>
          <w:sz w:val="20"/>
          <w:szCs w:val="20"/>
          <w:lang w:val="en-ZW"/>
        </w:rPr>
        <w:t>broad  UVR</w:t>
      </w:r>
      <w:proofErr w:type="gramEnd"/>
      <w:r>
        <w:rPr>
          <w:sz w:val="20"/>
          <w:szCs w:val="20"/>
          <w:lang w:val="en-ZW"/>
        </w:rPr>
        <w:t xml:space="preserve"> absorption </w:t>
      </w:r>
      <w:r w:rsidR="007B083A">
        <w:rPr>
          <w:sz w:val="20"/>
          <w:szCs w:val="20"/>
          <w:lang w:val="en-ZW"/>
        </w:rPr>
        <w:t>capacity</w:t>
      </w:r>
      <w:r>
        <w:rPr>
          <w:sz w:val="20"/>
          <w:szCs w:val="20"/>
          <w:lang w:val="en-ZW"/>
        </w:rPr>
        <w:t xml:space="preserve"> covering the wavelength of actinic damage concern on the electromagnetic spectrum. Botanical metabolites of polyphenolic origin</w:t>
      </w:r>
      <w:r w:rsidR="00D745FF">
        <w:rPr>
          <w:sz w:val="20"/>
          <w:szCs w:val="20"/>
          <w:lang w:val="en-ZW"/>
        </w:rPr>
        <w:t>,</w:t>
      </w:r>
      <w:r>
        <w:rPr>
          <w:sz w:val="20"/>
          <w:szCs w:val="20"/>
          <w:lang w:val="en-ZW"/>
        </w:rPr>
        <w:t xml:space="preserve"> flavonoids and tannins with UV</w:t>
      </w:r>
      <w:r w:rsidR="00D745FF">
        <w:rPr>
          <w:sz w:val="20"/>
          <w:szCs w:val="20"/>
          <w:lang w:val="en-ZW"/>
        </w:rPr>
        <w:t>R</w:t>
      </w:r>
      <w:r>
        <w:rPr>
          <w:sz w:val="20"/>
          <w:szCs w:val="20"/>
          <w:lang w:val="en-ZW"/>
        </w:rPr>
        <w:t xml:space="preserve"> filtration capacity also usually exhibit strong antioxidant properties [11].  These naturally occurring compounds which are not recognized under the regulatory definition of sunscreen materials are apparently more advantageous as UV</w:t>
      </w:r>
      <w:r w:rsidR="00D745FF">
        <w:rPr>
          <w:sz w:val="20"/>
          <w:szCs w:val="20"/>
          <w:lang w:val="en-ZW"/>
        </w:rPr>
        <w:t>R</w:t>
      </w:r>
      <w:r>
        <w:rPr>
          <w:sz w:val="20"/>
          <w:szCs w:val="20"/>
          <w:lang w:val="en-ZW"/>
        </w:rPr>
        <w:t xml:space="preserve"> filters because of their effectiv</w:t>
      </w:r>
      <w:r w:rsidR="006B39A5">
        <w:rPr>
          <w:sz w:val="20"/>
          <w:szCs w:val="20"/>
          <w:lang w:val="en-ZW"/>
        </w:rPr>
        <w:t>eness</w:t>
      </w:r>
      <w:r>
        <w:rPr>
          <w:sz w:val="20"/>
          <w:szCs w:val="20"/>
          <w:lang w:val="en-ZW"/>
        </w:rPr>
        <w:t xml:space="preserve"> and safety and </w:t>
      </w:r>
      <w:r w:rsidR="00D745FF">
        <w:rPr>
          <w:sz w:val="20"/>
          <w:szCs w:val="20"/>
          <w:lang w:val="en-ZW"/>
        </w:rPr>
        <w:t xml:space="preserve">are widely regarded </w:t>
      </w:r>
      <w:proofErr w:type="gramStart"/>
      <w:r w:rsidR="00D745FF">
        <w:rPr>
          <w:sz w:val="20"/>
          <w:szCs w:val="20"/>
          <w:lang w:val="en-ZW"/>
        </w:rPr>
        <w:t xml:space="preserve">as </w:t>
      </w:r>
      <w:r>
        <w:rPr>
          <w:sz w:val="20"/>
          <w:szCs w:val="20"/>
          <w:lang w:val="en-ZW"/>
        </w:rPr>
        <w:t xml:space="preserve"> the</w:t>
      </w:r>
      <w:proofErr w:type="gramEnd"/>
      <w:r>
        <w:rPr>
          <w:sz w:val="20"/>
          <w:szCs w:val="20"/>
          <w:lang w:val="en-ZW"/>
        </w:rPr>
        <w:t xml:space="preserve"> future of sunscreens. After the validation of these properties and capabilities</w:t>
      </w:r>
      <w:r w:rsidR="00D745FF">
        <w:rPr>
          <w:sz w:val="20"/>
          <w:szCs w:val="20"/>
          <w:lang w:val="en-ZW"/>
        </w:rPr>
        <w:t>,</w:t>
      </w:r>
      <w:r>
        <w:rPr>
          <w:sz w:val="20"/>
          <w:szCs w:val="20"/>
          <w:lang w:val="en-ZW"/>
        </w:rPr>
        <w:t xml:space="preserve"> the emerging utilisation of plant</w:t>
      </w:r>
      <w:r w:rsidR="006B39A5">
        <w:rPr>
          <w:sz w:val="20"/>
          <w:szCs w:val="20"/>
          <w:lang w:val="en-ZW"/>
        </w:rPr>
        <w:t>-</w:t>
      </w:r>
      <w:r>
        <w:rPr>
          <w:sz w:val="20"/>
          <w:szCs w:val="20"/>
          <w:lang w:val="en-ZW"/>
        </w:rPr>
        <w:t>derived polyphenolic metabolites in augmenting the sun filtering capacity of skin care products due to their proven photoprotective attributes is predictable and realistic [12]. It is scientifically noted that no sunscreen material can offer total UVR protection under all exposure scenarios, therefore</w:t>
      </w:r>
      <w:r w:rsidR="00D745FF">
        <w:rPr>
          <w:sz w:val="20"/>
          <w:szCs w:val="20"/>
          <w:lang w:val="en-ZW"/>
        </w:rPr>
        <w:t>,</w:t>
      </w:r>
      <w:r>
        <w:rPr>
          <w:sz w:val="20"/>
          <w:szCs w:val="20"/>
          <w:lang w:val="en-ZW"/>
        </w:rPr>
        <w:t xml:space="preserve"> the potential to augment sunscreen activity of commercial products with ‘‘non-sunscreen’’ agents to boost protection against exposure to UVR makes good sense. It is assumed that augmenting sunscreens with polyphenols can help increase their UVR filtration capacity and offer greater photoprotection to patients, however</w:t>
      </w:r>
      <w:r w:rsidR="006B39A5">
        <w:rPr>
          <w:sz w:val="20"/>
          <w:szCs w:val="20"/>
          <w:lang w:val="en-ZW"/>
        </w:rPr>
        <w:t>,</w:t>
      </w:r>
      <w:r>
        <w:rPr>
          <w:sz w:val="20"/>
          <w:szCs w:val="20"/>
          <w:lang w:val="en-ZW"/>
        </w:rPr>
        <w:t xml:space="preserve"> there is very little structured preclinical, efficacy and safety research relating to specific plants. This study therefore</w:t>
      </w:r>
      <w:r w:rsidR="006B39A5">
        <w:rPr>
          <w:sz w:val="20"/>
          <w:szCs w:val="20"/>
          <w:lang w:val="en-ZW"/>
        </w:rPr>
        <w:t>,</w:t>
      </w:r>
      <w:r>
        <w:rPr>
          <w:sz w:val="20"/>
          <w:szCs w:val="20"/>
          <w:lang w:val="en-ZW"/>
        </w:rPr>
        <w:t xml:space="preserve"> sought to provide</w:t>
      </w:r>
      <w:r w:rsidR="00D745FF">
        <w:rPr>
          <w:sz w:val="20"/>
          <w:szCs w:val="20"/>
          <w:lang w:val="en-ZW"/>
        </w:rPr>
        <w:t xml:space="preserve"> the evidence by</w:t>
      </w:r>
      <w:r>
        <w:rPr>
          <w:sz w:val="20"/>
          <w:szCs w:val="20"/>
          <w:lang w:val="en-ZW"/>
        </w:rPr>
        <w:t xml:space="preserve"> investigating the benefits of using specific plants in augmenting the safety and efficacy of </w:t>
      </w:r>
      <w:r w:rsidR="00D745FF">
        <w:rPr>
          <w:sz w:val="20"/>
          <w:szCs w:val="20"/>
          <w:lang w:val="en-ZW"/>
        </w:rPr>
        <w:t>a</w:t>
      </w:r>
      <w:r>
        <w:rPr>
          <w:sz w:val="20"/>
          <w:szCs w:val="20"/>
          <w:lang w:val="en-ZW"/>
        </w:rPr>
        <w:t xml:space="preserve"> typical </w:t>
      </w:r>
      <w:r w:rsidR="00D745FF">
        <w:rPr>
          <w:sz w:val="20"/>
          <w:szCs w:val="20"/>
          <w:lang w:val="en-ZW"/>
        </w:rPr>
        <w:t xml:space="preserve">physical </w:t>
      </w:r>
      <w:r>
        <w:rPr>
          <w:sz w:val="20"/>
          <w:szCs w:val="20"/>
          <w:lang w:val="en-ZW"/>
        </w:rPr>
        <w:t>sunscreen formulation.</w:t>
      </w:r>
    </w:p>
    <w:p w14:paraId="0D53E362" w14:textId="337C108B" w:rsidR="0029571F" w:rsidRDefault="005211DE">
      <w:pPr>
        <w:pStyle w:val="Heading2"/>
        <w:rPr>
          <w:rFonts w:cs="Arial"/>
          <w:sz w:val="20"/>
          <w:szCs w:val="20"/>
          <w:lang w:val="en-ZW"/>
        </w:rPr>
      </w:pPr>
      <w:r>
        <w:rPr>
          <w:rFonts w:cs="Arial"/>
          <w:i/>
          <w:iCs/>
          <w:sz w:val="20"/>
          <w:szCs w:val="20"/>
          <w:lang w:val="en-ZW"/>
        </w:rPr>
        <w:t xml:space="preserve">Myrothamnus </w:t>
      </w:r>
      <w:r w:rsidR="0075468F">
        <w:rPr>
          <w:rFonts w:cs="Arial"/>
          <w:i/>
          <w:iCs/>
          <w:sz w:val="20"/>
          <w:szCs w:val="20"/>
          <w:lang w:val="en-ZW"/>
        </w:rPr>
        <w:t>flabellifolius</w:t>
      </w:r>
      <w:r>
        <w:rPr>
          <w:rFonts w:cs="Arial"/>
          <w:sz w:val="20"/>
          <w:szCs w:val="20"/>
          <w:lang w:val="en-ZW"/>
        </w:rPr>
        <w:t xml:space="preserve"> and resurrection plants</w:t>
      </w:r>
    </w:p>
    <w:p w14:paraId="6646F1C1" w14:textId="42FFC56E" w:rsidR="0029571F" w:rsidRDefault="005211DE">
      <w:pPr>
        <w:autoSpaceDE w:val="0"/>
        <w:autoSpaceDN w:val="0"/>
        <w:adjustRightInd w:val="0"/>
        <w:spacing w:after="0" w:line="240" w:lineRule="auto"/>
        <w:jc w:val="both"/>
        <w:rPr>
          <w:sz w:val="20"/>
          <w:szCs w:val="20"/>
          <w:lang w:val="en-ZW"/>
        </w:rPr>
      </w:pPr>
      <w:r>
        <w:rPr>
          <w:i/>
          <w:iCs/>
          <w:sz w:val="20"/>
          <w:szCs w:val="20"/>
          <w:lang w:val="en-ZW"/>
        </w:rPr>
        <w:t xml:space="preserve">Myrothamnus </w:t>
      </w:r>
      <w:proofErr w:type="gramStart"/>
      <w:r w:rsidR="00D745FF">
        <w:rPr>
          <w:i/>
          <w:iCs/>
          <w:sz w:val="20"/>
          <w:szCs w:val="20"/>
          <w:lang w:val="en-ZW"/>
        </w:rPr>
        <w:t>flabellifolius</w:t>
      </w:r>
      <w:r>
        <w:rPr>
          <w:sz w:val="20"/>
          <w:szCs w:val="20"/>
          <w:lang w:val="en-ZW"/>
        </w:rPr>
        <w:t xml:space="preserve"> </w:t>
      </w:r>
      <w:r w:rsidR="00D745FF">
        <w:rPr>
          <w:sz w:val="20"/>
          <w:szCs w:val="20"/>
          <w:lang w:val="en-ZW"/>
        </w:rPr>
        <w:t xml:space="preserve"> (</w:t>
      </w:r>
      <w:proofErr w:type="gramEnd"/>
      <w:r w:rsidR="00D745FF" w:rsidRPr="00D745FF">
        <w:rPr>
          <w:i/>
          <w:iCs/>
          <w:sz w:val="20"/>
          <w:szCs w:val="20"/>
          <w:lang w:val="en-ZW"/>
        </w:rPr>
        <w:t>M</w:t>
      </w:r>
      <w:r w:rsidR="00D745FF">
        <w:rPr>
          <w:i/>
          <w:iCs/>
          <w:sz w:val="20"/>
          <w:szCs w:val="20"/>
          <w:lang w:val="en-ZW"/>
        </w:rPr>
        <w:t>.</w:t>
      </w:r>
      <w:r w:rsidR="00D745FF" w:rsidRPr="00D745FF">
        <w:rPr>
          <w:i/>
          <w:iCs/>
          <w:sz w:val="20"/>
          <w:szCs w:val="20"/>
          <w:lang w:val="en-ZW"/>
        </w:rPr>
        <w:t xml:space="preserve"> flabellifolius</w:t>
      </w:r>
      <w:r w:rsidR="00D745FF">
        <w:rPr>
          <w:sz w:val="20"/>
          <w:szCs w:val="20"/>
          <w:lang w:val="en-ZW"/>
        </w:rPr>
        <w:t xml:space="preserve">) </w:t>
      </w:r>
      <w:r>
        <w:rPr>
          <w:sz w:val="20"/>
          <w:szCs w:val="20"/>
          <w:lang w:val="en-ZW"/>
        </w:rPr>
        <w:t xml:space="preserve">belongs to a unique family of higher species of plants with vegetative desiccation tolerance found in most harsh plant habitats of the world but more prevalent in Southern Africa. These plants are referred to as resurrection plants due to their ability to withstand drastic </w:t>
      </w:r>
      <w:r>
        <w:rPr>
          <w:sz w:val="20"/>
          <w:szCs w:val="20"/>
          <w:lang w:val="en-ZW"/>
        </w:rPr>
        <w:lastRenderedPageBreak/>
        <w:t>decreases in normal plant water content to a virtually dry condition for extended periods only to recover fast to fully green</w:t>
      </w:r>
      <w:r w:rsidR="006B39A5">
        <w:rPr>
          <w:sz w:val="20"/>
          <w:szCs w:val="20"/>
          <w:lang w:val="en-ZW"/>
        </w:rPr>
        <w:t>,</w:t>
      </w:r>
      <w:r>
        <w:rPr>
          <w:sz w:val="20"/>
          <w:szCs w:val="20"/>
          <w:lang w:val="en-ZW"/>
        </w:rPr>
        <w:t xml:space="preserve"> viable condition from this vegetative state when water is available again [13]. These remarkable plants</w:t>
      </w:r>
      <w:r w:rsidR="006B39A5">
        <w:rPr>
          <w:sz w:val="20"/>
          <w:szCs w:val="20"/>
          <w:lang w:val="en-ZW"/>
        </w:rPr>
        <w:t>,</w:t>
      </w:r>
      <w:r>
        <w:rPr>
          <w:sz w:val="20"/>
          <w:szCs w:val="20"/>
          <w:lang w:val="en-ZW"/>
        </w:rPr>
        <w:t xml:space="preserve"> which can be found on every continent especially in arid to desert habitats</w:t>
      </w:r>
      <w:r w:rsidR="006B39A5">
        <w:rPr>
          <w:sz w:val="20"/>
          <w:szCs w:val="20"/>
          <w:lang w:val="en-ZW"/>
        </w:rPr>
        <w:t>,</w:t>
      </w:r>
      <w:r>
        <w:rPr>
          <w:sz w:val="20"/>
          <w:szCs w:val="20"/>
          <w:lang w:val="en-ZW"/>
        </w:rPr>
        <w:t xml:space="preserve"> belong to various botanical families. Interestingly</w:t>
      </w:r>
      <w:r w:rsidR="006B39A5">
        <w:rPr>
          <w:sz w:val="20"/>
          <w:szCs w:val="20"/>
          <w:lang w:val="en-ZW"/>
        </w:rPr>
        <w:t>,</w:t>
      </w:r>
      <w:r>
        <w:rPr>
          <w:sz w:val="20"/>
          <w:szCs w:val="20"/>
          <w:lang w:val="en-ZW"/>
        </w:rPr>
        <w:t xml:space="preserve"> their mechanisms and strategies to survive through virtually dry plant states seem predetermined and constitutive due to the prevalence of unique polyphenolic compounds among their secondary metabolites. The plants have an ability to induce and dictate dynamic changes in the constitution </w:t>
      </w:r>
      <w:r w:rsidR="00D745FF">
        <w:rPr>
          <w:sz w:val="20"/>
          <w:szCs w:val="20"/>
          <w:lang w:val="en-ZW"/>
        </w:rPr>
        <w:t xml:space="preserve">of their </w:t>
      </w:r>
      <w:r>
        <w:rPr>
          <w:sz w:val="20"/>
          <w:szCs w:val="20"/>
          <w:lang w:val="en-ZW"/>
        </w:rPr>
        <w:t xml:space="preserve">primary and secondary metabolites in response to environmental stress and threats.  Resurrection plants are able to accumulate and maintain relevant and valuable bioactive metabolites in extremely elevated concentrations when in the desiccated state [13, 14]. </w:t>
      </w:r>
      <w:r w:rsidRPr="00D745FF">
        <w:rPr>
          <w:i/>
          <w:iCs/>
          <w:sz w:val="20"/>
          <w:szCs w:val="20"/>
          <w:lang w:val="en-ZW"/>
        </w:rPr>
        <w:t>Myrothamnus flabellifolia</w:t>
      </w:r>
      <w:r w:rsidR="007A3DD4">
        <w:rPr>
          <w:i/>
          <w:iCs/>
          <w:sz w:val="20"/>
          <w:szCs w:val="20"/>
          <w:lang w:val="en-ZW"/>
        </w:rPr>
        <w:t xml:space="preserve"> </w:t>
      </w:r>
      <w:r w:rsidR="007A3DD4" w:rsidRPr="007A3DD4">
        <w:rPr>
          <w:sz w:val="20"/>
          <w:szCs w:val="20"/>
          <w:lang w:val="en-ZW"/>
        </w:rPr>
        <w:t>(figure 2)</w:t>
      </w:r>
      <w:r w:rsidRPr="007A3DD4">
        <w:rPr>
          <w:sz w:val="20"/>
          <w:szCs w:val="20"/>
          <w:lang w:val="en-ZW"/>
        </w:rPr>
        <w:t xml:space="preserve"> is</w:t>
      </w:r>
      <w:r>
        <w:rPr>
          <w:sz w:val="20"/>
          <w:szCs w:val="20"/>
          <w:lang w:val="en-ZW"/>
        </w:rPr>
        <w:t xml:space="preserve"> a woody small shrub which can grow up to 2m in height</w:t>
      </w:r>
      <w:r w:rsidR="00D745FF">
        <w:rPr>
          <w:sz w:val="20"/>
          <w:szCs w:val="20"/>
          <w:lang w:val="en-ZW"/>
        </w:rPr>
        <w:t>,</w:t>
      </w:r>
      <w:r>
        <w:rPr>
          <w:sz w:val="20"/>
          <w:szCs w:val="20"/>
          <w:lang w:val="en-ZW"/>
        </w:rPr>
        <w:t xml:space="preserve"> prevalent in shallow soils on rocky outcrops of Southern Africa. For a small shrub with small nutrient reserves to be able to thrive in these unimaginable conditions and to survive desiccation especially the long dry winters and the extreme UVR onslaughts, like other resurrection plants, </w:t>
      </w:r>
      <w:r w:rsidRPr="00D745FF">
        <w:rPr>
          <w:i/>
          <w:iCs/>
          <w:sz w:val="20"/>
          <w:szCs w:val="20"/>
          <w:lang w:val="en-ZW"/>
        </w:rPr>
        <w:t>M. flabellifolia</w:t>
      </w:r>
      <w:r>
        <w:rPr>
          <w:sz w:val="20"/>
          <w:szCs w:val="20"/>
          <w:lang w:val="en-ZW"/>
        </w:rPr>
        <w:t xml:space="preserve"> has unique secondary metabolites and has developed highly adaptive specialized survival techniques [14]. Many studies confirm that to avoid apoptosis or necrosis of plant cells during the desiccated state and consequent revitalization after </w:t>
      </w:r>
      <w:r w:rsidR="006B39A5">
        <w:rPr>
          <w:sz w:val="20"/>
          <w:szCs w:val="20"/>
          <w:lang w:val="en-ZW"/>
        </w:rPr>
        <w:t xml:space="preserve">the </w:t>
      </w:r>
      <w:r>
        <w:rPr>
          <w:sz w:val="20"/>
          <w:szCs w:val="20"/>
          <w:lang w:val="en-ZW"/>
        </w:rPr>
        <w:t>availability of water, the plant utilises advanced forms of physical and metabolic adap</w:t>
      </w:r>
      <w:r w:rsidR="006B39A5">
        <w:rPr>
          <w:sz w:val="20"/>
          <w:szCs w:val="20"/>
          <w:lang w:val="en-ZW"/>
        </w:rPr>
        <w:t>ta</w:t>
      </w:r>
      <w:r>
        <w:rPr>
          <w:sz w:val="20"/>
          <w:szCs w:val="20"/>
          <w:lang w:val="en-ZW"/>
        </w:rPr>
        <w:t>tion and histological and morphological ingenuity. The mechanisms includ</w:t>
      </w:r>
      <w:r w:rsidR="007A3DD4">
        <w:rPr>
          <w:sz w:val="20"/>
          <w:szCs w:val="20"/>
          <w:lang w:val="en-ZW"/>
        </w:rPr>
        <w:t>e</w:t>
      </w:r>
      <w:r>
        <w:rPr>
          <w:sz w:val="20"/>
          <w:szCs w:val="20"/>
          <w:lang w:val="en-ZW"/>
        </w:rPr>
        <w:t xml:space="preserve"> folding of leaves and restructuring branches to a perpendicular arrangement to preserve chlorophyll and a surprisingly high accumulation of unique polyphenolic compounds including 3,4,5-tri-O-galloylquinic acid (theogalin)</w:t>
      </w:r>
      <w:r w:rsidR="007A3DD4">
        <w:rPr>
          <w:sz w:val="20"/>
          <w:szCs w:val="20"/>
          <w:lang w:val="en-ZW"/>
        </w:rPr>
        <w:t xml:space="preserve"> [13,14]</w:t>
      </w:r>
      <w:r>
        <w:rPr>
          <w:sz w:val="20"/>
          <w:szCs w:val="20"/>
          <w:lang w:val="en-ZW"/>
        </w:rPr>
        <w:t xml:space="preserve">. In Zimbabwean traditional medicine, there are numerous uses of the plant </w:t>
      </w:r>
      <w:r w:rsidR="00E66AB4">
        <w:rPr>
          <w:sz w:val="20"/>
          <w:szCs w:val="20"/>
          <w:lang w:val="en-ZW"/>
        </w:rPr>
        <w:t xml:space="preserve">extracts </w:t>
      </w:r>
      <w:r>
        <w:rPr>
          <w:sz w:val="20"/>
          <w:szCs w:val="20"/>
          <w:lang w:val="en-ZW"/>
        </w:rPr>
        <w:t>against life</w:t>
      </w:r>
      <w:r w:rsidR="006B39A5">
        <w:rPr>
          <w:sz w:val="20"/>
          <w:szCs w:val="20"/>
          <w:lang w:val="en-ZW"/>
        </w:rPr>
        <w:t>-</w:t>
      </w:r>
      <w:r>
        <w:rPr>
          <w:sz w:val="20"/>
          <w:szCs w:val="20"/>
          <w:lang w:val="en-ZW"/>
        </w:rPr>
        <w:t xml:space="preserve">threatening conditions as well as in skin photoprotection, wound management and </w:t>
      </w:r>
      <w:r w:rsidR="007A3DD4">
        <w:rPr>
          <w:sz w:val="20"/>
          <w:szCs w:val="20"/>
          <w:lang w:val="en-ZW"/>
        </w:rPr>
        <w:t xml:space="preserve">treatment of </w:t>
      </w:r>
      <w:r>
        <w:rPr>
          <w:sz w:val="20"/>
          <w:szCs w:val="20"/>
          <w:lang w:val="en-ZW"/>
        </w:rPr>
        <w:t>various bacterial ailments [15].</w:t>
      </w:r>
    </w:p>
    <w:p w14:paraId="4AB55A12" w14:textId="77777777" w:rsidR="0029571F" w:rsidRDefault="005211DE">
      <w:pPr>
        <w:autoSpaceDE w:val="0"/>
        <w:autoSpaceDN w:val="0"/>
        <w:adjustRightInd w:val="0"/>
        <w:spacing w:after="0" w:line="240" w:lineRule="auto"/>
        <w:jc w:val="both"/>
        <w:rPr>
          <w:sz w:val="20"/>
          <w:szCs w:val="20"/>
          <w:lang w:val="en-ZW"/>
        </w:rPr>
      </w:pPr>
      <w:r>
        <w:rPr>
          <w:sz w:val="20"/>
          <w:szCs w:val="20"/>
          <w:lang w:val="en-ZW"/>
        </w:rPr>
        <w:t xml:space="preserve">       </w:t>
      </w:r>
      <w:r>
        <w:rPr>
          <w:noProof/>
          <w:sz w:val="20"/>
          <w:szCs w:val="20"/>
          <w:lang w:val="en-ZW"/>
        </w:rPr>
        <w:drawing>
          <wp:inline distT="0" distB="0" distL="0" distR="0" wp14:anchorId="5FA89259" wp14:editId="60E04550">
            <wp:extent cx="5923126" cy="2567305"/>
            <wp:effectExtent l="19050" t="19050" r="20955" b="23495"/>
            <wp:docPr id="23404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3062" name="Picture 1"/>
                    <pic:cNvPicPr>
                      <a:picLocks noChangeAspect="1"/>
                    </pic:cNvPicPr>
                  </pic:nvPicPr>
                  <pic:blipFill>
                    <a:blip r:embed="rId10"/>
                    <a:stretch>
                      <a:fillRect/>
                    </a:stretch>
                  </pic:blipFill>
                  <pic:spPr>
                    <a:xfrm>
                      <a:off x="0" y="0"/>
                      <a:ext cx="5965558" cy="2585697"/>
                    </a:xfrm>
                    <a:prstGeom prst="rect">
                      <a:avLst/>
                    </a:prstGeom>
                    <a:ln>
                      <a:solidFill>
                        <a:schemeClr val="accent1"/>
                      </a:solidFill>
                    </a:ln>
                  </pic:spPr>
                </pic:pic>
              </a:graphicData>
            </a:graphic>
          </wp:inline>
        </w:drawing>
      </w:r>
    </w:p>
    <w:p w14:paraId="2A4D4007" w14:textId="77777777" w:rsidR="0029571F" w:rsidRDefault="0029571F">
      <w:pPr>
        <w:autoSpaceDE w:val="0"/>
        <w:autoSpaceDN w:val="0"/>
        <w:adjustRightInd w:val="0"/>
        <w:spacing w:after="0" w:line="240" w:lineRule="auto"/>
        <w:jc w:val="both"/>
        <w:rPr>
          <w:sz w:val="20"/>
          <w:szCs w:val="20"/>
          <w:lang w:val="en-ZW"/>
        </w:rPr>
      </w:pPr>
    </w:p>
    <w:p w14:paraId="709E1E10" w14:textId="6000FB62"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2</w:t>
      </w:r>
      <w:r>
        <w:fldChar w:fldCharType="end"/>
      </w:r>
      <w:r>
        <w:t xml:space="preserve">: </w:t>
      </w:r>
      <w:r>
        <w:rPr>
          <w:i/>
          <w:iCs/>
        </w:rPr>
        <w:t>M flabellifolius</w:t>
      </w:r>
      <w:r>
        <w:t xml:space="preserve"> thriving in very harsh low nutrient </w:t>
      </w:r>
      <w:r w:rsidR="00E92333">
        <w:t xml:space="preserve"> semi-arid </w:t>
      </w:r>
      <w:r>
        <w:t>environment</w:t>
      </w:r>
      <w:r w:rsidR="00E92333">
        <w:t xml:space="preserve"> in Zimbabwe  </w:t>
      </w:r>
      <w:r>
        <w:t>(a) in the desiccated state (b) in the revitalized state</w:t>
      </w:r>
    </w:p>
    <w:p w14:paraId="7CF43DA0" w14:textId="77777777" w:rsidR="0029571F" w:rsidRPr="007A3DD4" w:rsidRDefault="005211DE">
      <w:pPr>
        <w:pStyle w:val="Heading2"/>
        <w:rPr>
          <w:rFonts w:cs="Arial"/>
          <w:i/>
          <w:iCs/>
          <w:sz w:val="20"/>
          <w:szCs w:val="20"/>
          <w:lang w:val="en-ZW"/>
        </w:rPr>
      </w:pPr>
      <w:r w:rsidRPr="007A3DD4">
        <w:rPr>
          <w:rFonts w:cs="Arial"/>
          <w:i/>
          <w:iCs/>
          <w:sz w:val="20"/>
          <w:szCs w:val="20"/>
          <w:lang w:val="en-ZW"/>
        </w:rPr>
        <w:t xml:space="preserve">Citrillus lanatus </w:t>
      </w:r>
    </w:p>
    <w:p w14:paraId="40ED2008" w14:textId="27CA0F37" w:rsidR="0029571F" w:rsidRDefault="005211DE">
      <w:pPr>
        <w:jc w:val="both"/>
        <w:rPr>
          <w:sz w:val="20"/>
          <w:szCs w:val="20"/>
          <w:lang w:val="en-ZW"/>
        </w:rPr>
      </w:pPr>
      <w:r w:rsidRPr="007A3DD4">
        <w:rPr>
          <w:i/>
          <w:iCs/>
          <w:sz w:val="20"/>
          <w:szCs w:val="20"/>
          <w:lang w:val="en-ZW"/>
        </w:rPr>
        <w:t>Citrillus Lanatus</w:t>
      </w:r>
      <w:r>
        <w:rPr>
          <w:sz w:val="20"/>
          <w:szCs w:val="20"/>
          <w:lang w:val="en-ZW"/>
        </w:rPr>
        <w:t xml:space="preserve"> (</w:t>
      </w:r>
      <w:r w:rsidRPr="007A3DD4">
        <w:rPr>
          <w:i/>
          <w:iCs/>
          <w:sz w:val="20"/>
          <w:szCs w:val="20"/>
          <w:lang w:val="en-ZW"/>
        </w:rPr>
        <w:t>C. lanatus</w:t>
      </w:r>
      <w:r>
        <w:rPr>
          <w:sz w:val="20"/>
          <w:szCs w:val="20"/>
          <w:lang w:val="en-ZW"/>
        </w:rPr>
        <w:t>) also known as the Kalahari melon is a tropical vine</w:t>
      </w:r>
      <w:r w:rsidR="007A3DD4">
        <w:rPr>
          <w:sz w:val="20"/>
          <w:szCs w:val="20"/>
          <w:lang w:val="en-ZW"/>
        </w:rPr>
        <w:t>,</w:t>
      </w:r>
      <w:r>
        <w:rPr>
          <w:sz w:val="20"/>
          <w:szCs w:val="20"/>
          <w:lang w:val="en-ZW"/>
        </w:rPr>
        <w:t xml:space="preserve"> native to Southern African climes and thrives especially well in arid to desert conditions. The </w:t>
      </w:r>
      <w:r w:rsidRPr="007A3DD4">
        <w:rPr>
          <w:i/>
          <w:iCs/>
          <w:sz w:val="20"/>
          <w:szCs w:val="20"/>
          <w:lang w:val="en-ZW"/>
        </w:rPr>
        <w:t>Citrullus</w:t>
      </w:r>
      <w:r>
        <w:rPr>
          <w:sz w:val="20"/>
          <w:szCs w:val="20"/>
          <w:lang w:val="en-ZW"/>
        </w:rPr>
        <w:t xml:space="preserve"> genus belongs to the </w:t>
      </w:r>
      <w:r w:rsidRPr="007A3DD4">
        <w:rPr>
          <w:i/>
          <w:iCs/>
          <w:sz w:val="20"/>
          <w:szCs w:val="20"/>
          <w:lang w:val="en-ZW"/>
        </w:rPr>
        <w:t>Cucurbitaceae</w:t>
      </w:r>
      <w:r>
        <w:rPr>
          <w:sz w:val="20"/>
          <w:szCs w:val="20"/>
          <w:lang w:val="en-ZW"/>
        </w:rPr>
        <w:t xml:space="preserve"> family which is commonly referred to as the </w:t>
      </w:r>
      <w:r w:rsidRPr="00E66AB4">
        <w:rPr>
          <w:i/>
          <w:iCs/>
          <w:sz w:val="20"/>
          <w:szCs w:val="20"/>
          <w:lang w:val="en-ZW"/>
        </w:rPr>
        <w:t xml:space="preserve">Cucurbits </w:t>
      </w:r>
      <w:r>
        <w:rPr>
          <w:sz w:val="20"/>
          <w:szCs w:val="20"/>
          <w:lang w:val="en-ZW"/>
        </w:rPr>
        <w:t xml:space="preserve">or the gourd family. </w:t>
      </w:r>
      <w:r w:rsidRPr="007A3DD4">
        <w:rPr>
          <w:i/>
          <w:iCs/>
          <w:sz w:val="20"/>
          <w:szCs w:val="20"/>
          <w:lang w:val="en-ZW"/>
        </w:rPr>
        <w:t>C. lanatus</w:t>
      </w:r>
      <w:r>
        <w:rPr>
          <w:sz w:val="20"/>
          <w:szCs w:val="20"/>
          <w:lang w:val="en-ZW"/>
        </w:rPr>
        <w:t xml:space="preserve"> and its products, which have recently found attention in the modern cosmetic industry have been the cornerstone of traditional dermaceutical applications for various indigenous groups including the Khoisan, Shona and Ndebele groups </w:t>
      </w:r>
      <w:r w:rsidR="007A3DD4">
        <w:rPr>
          <w:sz w:val="20"/>
          <w:szCs w:val="20"/>
          <w:lang w:val="en-ZW"/>
        </w:rPr>
        <w:t xml:space="preserve">of Zimbabwe </w:t>
      </w:r>
      <w:r>
        <w:rPr>
          <w:sz w:val="20"/>
          <w:szCs w:val="20"/>
          <w:lang w:val="en-ZW"/>
        </w:rPr>
        <w:t xml:space="preserve">for aeons [16]. Archaeological remains of the Kalahari melon in Southern Africa, confirm the existence of the plants in the region around 5000 years ago. In his writings, the famed 19th century explorer David Livingstone extolled the virtues of the fleshy ‘melon’ fruit from the vine describing at as the most remarkable plant species from the Southern African </w:t>
      </w:r>
      <w:r w:rsidR="007A3DD4">
        <w:rPr>
          <w:sz w:val="20"/>
          <w:szCs w:val="20"/>
          <w:lang w:val="en-ZW"/>
        </w:rPr>
        <w:t>d</w:t>
      </w:r>
      <w:r>
        <w:rPr>
          <w:sz w:val="20"/>
          <w:szCs w:val="20"/>
          <w:lang w:val="en-ZW"/>
        </w:rPr>
        <w:t>esert</w:t>
      </w:r>
      <w:r w:rsidR="007A3DD4">
        <w:rPr>
          <w:sz w:val="20"/>
          <w:szCs w:val="20"/>
          <w:lang w:val="en-ZW"/>
        </w:rPr>
        <w:t>s</w:t>
      </w:r>
      <w:r>
        <w:rPr>
          <w:sz w:val="20"/>
          <w:szCs w:val="20"/>
          <w:lang w:val="en-ZW"/>
        </w:rPr>
        <w:t xml:space="preserve"> central to the adaptation of the Kalahari bushmen to their hot dry habitat [16]. There is evidence that this desert vine was </w:t>
      </w:r>
      <w:r>
        <w:rPr>
          <w:sz w:val="20"/>
          <w:szCs w:val="20"/>
          <w:lang w:val="en-ZW"/>
        </w:rPr>
        <w:lastRenderedPageBreak/>
        <w:t xml:space="preserve">grown for various medicinal uses in ancient Egypt around 2000 BCE, as well as India and China from 800 to 1000CE [17]. The </w:t>
      </w:r>
      <w:r w:rsidR="007A3DD4">
        <w:rPr>
          <w:sz w:val="20"/>
          <w:szCs w:val="20"/>
          <w:lang w:val="en-ZW"/>
        </w:rPr>
        <w:t>M</w:t>
      </w:r>
      <w:r>
        <w:rPr>
          <w:sz w:val="20"/>
          <w:szCs w:val="20"/>
          <w:lang w:val="en-ZW"/>
        </w:rPr>
        <w:t xml:space="preserve">oors are believed to have introduced the Kalahari melon to Europe around the same time. The small wild watermelon has oil bearing seeds embedded in the sweet spongy flesh, and it is this oil that has been scientifically validated as a dermaceutical panacea. Highly priced in the cosmetic industry, this oil has some of the highest alpha linoleic acid levels (greater than 60%) in its fatty acid profiles compared to other naturally obtained fixed oils [16]. Various studies have confirmed that the Kalahari melon seed oil </w:t>
      </w:r>
      <w:r w:rsidR="007A3DD4">
        <w:rPr>
          <w:sz w:val="20"/>
          <w:szCs w:val="20"/>
          <w:lang w:val="en-ZW"/>
        </w:rPr>
        <w:t>has many benefits to skin structures and function</w:t>
      </w:r>
      <w:r>
        <w:rPr>
          <w:sz w:val="20"/>
          <w:szCs w:val="20"/>
          <w:lang w:val="en-ZW"/>
        </w:rPr>
        <w:t xml:space="preserve">. The seed oil has demonstrated reduced TEWL and increased hydration and moisturisation and improved water retention in cosmetic applications [18]. These and many other attributes are the reasons behind the recent hype and interest in its use in global cosmetics.  In our present formulations however, it is its </w:t>
      </w:r>
      <w:r w:rsidR="007A3DD4">
        <w:rPr>
          <w:sz w:val="20"/>
          <w:szCs w:val="20"/>
          <w:lang w:val="en-ZW"/>
        </w:rPr>
        <w:t xml:space="preserve">photoprotection </w:t>
      </w:r>
      <w:r>
        <w:rPr>
          <w:sz w:val="20"/>
          <w:szCs w:val="20"/>
          <w:lang w:val="en-ZW"/>
        </w:rPr>
        <w:t>use by the indigenous peoples of Zimbabwe that has prompted us to use it to augment a sunscreen formulation. The seed oil has been used by present and ancient Zimbabweans as well as he Kalahari bushmen to provide skin UVR protection as well as to treat other skin conditions for time immemorial [18,19]. The seeds are traditionally chewed and moistened to produce a dermatological paste that has various uses including UVR protection by the local hunter gatherers and the peasant farmers. The oil has always tr</w:t>
      </w:r>
      <w:r w:rsidR="007A3DD4">
        <w:rPr>
          <w:sz w:val="20"/>
          <w:szCs w:val="20"/>
          <w:lang w:val="en-ZW"/>
        </w:rPr>
        <w:t>adi</w:t>
      </w:r>
      <w:r>
        <w:rPr>
          <w:sz w:val="20"/>
          <w:szCs w:val="20"/>
          <w:lang w:val="en-ZW"/>
        </w:rPr>
        <w:t>tionally been used as an after-sun care to treat sunburn, inflammation and other forms of actinic damage as well as for skin rejuvenation and moisturisation [19].</w:t>
      </w:r>
    </w:p>
    <w:p w14:paraId="63F2A4F3" w14:textId="0B9EA951" w:rsidR="0029571F" w:rsidRDefault="005211DE">
      <w:pPr>
        <w:jc w:val="both"/>
        <w:rPr>
          <w:sz w:val="20"/>
          <w:szCs w:val="20"/>
          <w:lang w:val="en-ZW"/>
        </w:rPr>
      </w:pPr>
      <w:r>
        <w:rPr>
          <w:sz w:val="20"/>
          <w:szCs w:val="20"/>
          <w:lang w:val="en-ZW"/>
        </w:rPr>
        <w:t xml:space="preserve">                                           </w:t>
      </w:r>
      <w:r>
        <w:rPr>
          <w:noProof/>
          <w:sz w:val="20"/>
          <w:szCs w:val="20"/>
          <w:lang w:val="en-ZW"/>
        </w:rPr>
        <w:drawing>
          <wp:inline distT="0" distB="0" distL="0" distR="0" wp14:anchorId="5739D4DB" wp14:editId="71FCD5B0">
            <wp:extent cx="4045794" cy="2750820"/>
            <wp:effectExtent l="0" t="0" r="0" b="0"/>
            <wp:docPr id="151316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60577" name="Picture 1"/>
                    <pic:cNvPicPr>
                      <a:picLocks noChangeAspect="1"/>
                    </pic:cNvPicPr>
                  </pic:nvPicPr>
                  <pic:blipFill>
                    <a:blip r:embed="rId11"/>
                    <a:stretch>
                      <a:fillRect/>
                    </a:stretch>
                  </pic:blipFill>
                  <pic:spPr>
                    <a:xfrm>
                      <a:off x="0" y="0"/>
                      <a:ext cx="4066500" cy="2764898"/>
                    </a:xfrm>
                    <a:prstGeom prst="rect">
                      <a:avLst/>
                    </a:prstGeom>
                  </pic:spPr>
                </pic:pic>
              </a:graphicData>
            </a:graphic>
          </wp:inline>
        </w:drawing>
      </w:r>
      <w:r>
        <w:rPr>
          <w:sz w:val="20"/>
          <w:szCs w:val="20"/>
          <w:lang w:val="en-ZW"/>
        </w:rPr>
        <w:t>.l</w:t>
      </w:r>
    </w:p>
    <w:p w14:paraId="6EAEFA82" w14:textId="220B14FF" w:rsidR="0029571F" w:rsidRDefault="005211DE">
      <w:pPr>
        <w:pStyle w:val="Caption"/>
        <w:rPr>
          <w:sz w:val="20"/>
          <w:szCs w:val="20"/>
          <w:lang w:val="en-ZW"/>
        </w:rPr>
      </w:pPr>
      <w:r>
        <w:t xml:space="preserve">Figure </w:t>
      </w:r>
      <w:r>
        <w:fldChar w:fldCharType="begin"/>
      </w:r>
      <w:r>
        <w:instrText xml:space="preserve"> SEQ Figure \* ARABIC </w:instrText>
      </w:r>
      <w:r>
        <w:fldChar w:fldCharType="separate"/>
      </w:r>
      <w:r w:rsidR="00703DB0">
        <w:rPr>
          <w:noProof/>
        </w:rPr>
        <w:t>3</w:t>
      </w:r>
      <w:r>
        <w:fldChar w:fldCharType="end"/>
      </w:r>
      <w:r>
        <w:t xml:space="preserve">: </w:t>
      </w:r>
      <w:r>
        <w:rPr>
          <w:i/>
          <w:iCs/>
        </w:rPr>
        <w:t>C lanatus</w:t>
      </w:r>
      <w:r>
        <w:t xml:space="preserve"> vine with a fleshy melon fruit thriving in hostile </w:t>
      </w:r>
      <w:r w:rsidR="00E92333">
        <w:t xml:space="preserve">semi-arid </w:t>
      </w:r>
      <w:r>
        <w:t>conditions</w:t>
      </w:r>
      <w:r w:rsidR="00E92333">
        <w:t xml:space="preserve"> in Western Zimbabwe</w:t>
      </w:r>
    </w:p>
    <w:p w14:paraId="49CD2D36" w14:textId="4E8EE1C0" w:rsidR="0029571F" w:rsidRDefault="005211DE">
      <w:pPr>
        <w:jc w:val="both"/>
        <w:rPr>
          <w:sz w:val="20"/>
          <w:szCs w:val="20"/>
          <w:lang w:val="en-ZW"/>
        </w:rPr>
      </w:pPr>
      <w:r>
        <w:rPr>
          <w:sz w:val="20"/>
          <w:szCs w:val="20"/>
          <w:lang w:val="en-ZW"/>
        </w:rPr>
        <w:t xml:space="preserve">In the present study an augmented sunscreen was developed incorporating the </w:t>
      </w:r>
      <w:r w:rsidR="00E92333">
        <w:rPr>
          <w:sz w:val="20"/>
          <w:szCs w:val="20"/>
          <w:lang w:val="en-ZW"/>
        </w:rPr>
        <w:t xml:space="preserve">photoprotective </w:t>
      </w:r>
      <w:r>
        <w:rPr>
          <w:sz w:val="20"/>
          <w:szCs w:val="20"/>
          <w:lang w:val="en-ZW"/>
        </w:rPr>
        <w:t>active extra</w:t>
      </w:r>
      <w:r w:rsidR="00E92333">
        <w:rPr>
          <w:sz w:val="20"/>
          <w:szCs w:val="20"/>
          <w:lang w:val="en-ZW"/>
        </w:rPr>
        <w:t>c</w:t>
      </w:r>
      <w:r>
        <w:rPr>
          <w:sz w:val="20"/>
          <w:szCs w:val="20"/>
          <w:lang w:val="en-ZW"/>
        </w:rPr>
        <w:t xml:space="preserve">ts of </w:t>
      </w:r>
      <w:r w:rsidRPr="007A3DD4">
        <w:rPr>
          <w:i/>
          <w:iCs/>
          <w:sz w:val="20"/>
          <w:szCs w:val="20"/>
          <w:lang w:val="en-ZW"/>
        </w:rPr>
        <w:t xml:space="preserve">C. lanatus </w:t>
      </w:r>
      <w:r>
        <w:rPr>
          <w:sz w:val="20"/>
          <w:szCs w:val="20"/>
          <w:lang w:val="en-ZW"/>
        </w:rPr>
        <w:t xml:space="preserve">and </w:t>
      </w:r>
      <w:r w:rsidRPr="007A3DD4">
        <w:rPr>
          <w:i/>
          <w:iCs/>
          <w:sz w:val="20"/>
          <w:szCs w:val="20"/>
          <w:lang w:val="en-ZW"/>
        </w:rPr>
        <w:t>M flabellifoli</w:t>
      </w:r>
      <w:r w:rsidR="007A3DD4">
        <w:rPr>
          <w:i/>
          <w:iCs/>
          <w:sz w:val="20"/>
          <w:szCs w:val="20"/>
          <w:lang w:val="en-ZW"/>
        </w:rPr>
        <w:t xml:space="preserve">us </w:t>
      </w:r>
      <w:r>
        <w:rPr>
          <w:sz w:val="20"/>
          <w:szCs w:val="20"/>
          <w:lang w:val="en-ZW"/>
        </w:rPr>
        <w:t xml:space="preserve">to boost </w:t>
      </w:r>
      <w:r w:rsidR="007A3DD4">
        <w:rPr>
          <w:sz w:val="20"/>
          <w:szCs w:val="20"/>
          <w:lang w:val="en-ZW"/>
        </w:rPr>
        <w:t>UVR</w:t>
      </w:r>
      <w:r>
        <w:rPr>
          <w:sz w:val="20"/>
          <w:szCs w:val="20"/>
          <w:lang w:val="en-ZW"/>
        </w:rPr>
        <w:t xml:space="preserve"> protection factors o</w:t>
      </w:r>
      <w:r w:rsidR="007A3DD4">
        <w:rPr>
          <w:sz w:val="20"/>
          <w:szCs w:val="20"/>
          <w:lang w:val="en-ZW"/>
        </w:rPr>
        <w:t>f</w:t>
      </w:r>
      <w:r>
        <w:rPr>
          <w:sz w:val="20"/>
          <w:szCs w:val="20"/>
          <w:lang w:val="en-ZW"/>
        </w:rPr>
        <w:t xml:space="preserve"> typical sunscreen formulations, as well as the UVR sunscreen efficiency. </w:t>
      </w:r>
    </w:p>
    <w:p w14:paraId="5F4C3E51" w14:textId="77777777" w:rsidR="0029571F" w:rsidRDefault="005211DE">
      <w:pPr>
        <w:pStyle w:val="Heading1"/>
      </w:pPr>
      <w:r>
        <w:t xml:space="preserve">  MATERIALS AND METHODS</w:t>
      </w:r>
    </w:p>
    <w:p w14:paraId="0AFF9121" w14:textId="77777777" w:rsidR="0029571F" w:rsidRDefault="0029571F">
      <w:pPr>
        <w:spacing w:line="240" w:lineRule="auto"/>
        <w:contextualSpacing/>
        <w:jc w:val="both"/>
        <w:rPr>
          <w:bCs/>
          <w:sz w:val="20"/>
          <w:szCs w:val="20"/>
          <w:lang w:val="en-ZW"/>
        </w:rPr>
      </w:pPr>
    </w:p>
    <w:p w14:paraId="096F6174" w14:textId="7778877B" w:rsidR="0029571F" w:rsidRDefault="005211DE">
      <w:pPr>
        <w:spacing w:line="240" w:lineRule="auto"/>
        <w:contextualSpacing/>
        <w:jc w:val="both"/>
        <w:rPr>
          <w:rFonts w:eastAsia="Times New Roman"/>
          <w:bCs/>
          <w:kern w:val="36"/>
          <w:sz w:val="20"/>
          <w:szCs w:val="20"/>
          <w:lang w:eastAsia="en-ZW"/>
        </w:rPr>
      </w:pPr>
      <w:r>
        <w:rPr>
          <w:bCs/>
          <w:sz w:val="20"/>
          <w:szCs w:val="20"/>
          <w:lang w:val="en-ZW"/>
        </w:rPr>
        <w:t>For the evaluations with human subjects, study protocols and the  informed consent forms were approved by the institutional review board of the Joint University of Zimbabwe and Parirenyatwa hospital  research ethics committee and the studies were conducted under the A</w:t>
      </w:r>
      <w:r w:rsidR="00FE5B3B">
        <w:rPr>
          <w:bCs/>
          <w:sz w:val="20"/>
          <w:szCs w:val="20"/>
          <w:lang w:val="en-ZW"/>
        </w:rPr>
        <w:t>T</w:t>
      </w:r>
      <w:r>
        <w:rPr>
          <w:bCs/>
          <w:sz w:val="20"/>
          <w:szCs w:val="20"/>
          <w:lang w:val="en-ZW"/>
        </w:rPr>
        <w:t xml:space="preserve">RIC </w:t>
      </w:r>
      <w:r w:rsidR="00FE5B3B">
        <w:rPr>
          <w:bCs/>
          <w:sz w:val="20"/>
          <w:szCs w:val="20"/>
          <w:lang w:val="en-ZW"/>
        </w:rPr>
        <w:t xml:space="preserve">Biosciences </w:t>
      </w:r>
      <w:r>
        <w:rPr>
          <w:bCs/>
          <w:sz w:val="20"/>
          <w:szCs w:val="20"/>
          <w:lang w:val="en-ZW"/>
        </w:rPr>
        <w:t>laboratories according to the  guidelines from the Declaration of Helsinki (2013) and the International Conference on Harmonization of Technical requirements for Registration of Pharmaceutics for Human Use Guidance for good clinical practice.</w:t>
      </w:r>
    </w:p>
    <w:p w14:paraId="10FA570A" w14:textId="77777777" w:rsidR="0029571F" w:rsidRDefault="0029571F">
      <w:pPr>
        <w:spacing w:line="240" w:lineRule="auto"/>
        <w:contextualSpacing/>
        <w:jc w:val="both"/>
        <w:rPr>
          <w:b/>
          <w:sz w:val="20"/>
          <w:szCs w:val="20"/>
        </w:rPr>
      </w:pPr>
    </w:p>
    <w:p w14:paraId="6EE9E170" w14:textId="5C788796" w:rsidR="0029571F" w:rsidRDefault="005211DE">
      <w:pPr>
        <w:pStyle w:val="Heading2"/>
        <w:rPr>
          <w:rFonts w:cs="Arial"/>
          <w:sz w:val="20"/>
          <w:szCs w:val="20"/>
        </w:rPr>
      </w:pPr>
      <w:r>
        <w:rPr>
          <w:rFonts w:cs="Arial"/>
          <w:sz w:val="20"/>
          <w:szCs w:val="20"/>
        </w:rPr>
        <w:t xml:space="preserve">Plant </w:t>
      </w:r>
      <w:r w:rsidR="003429E7">
        <w:rPr>
          <w:rFonts w:cs="Arial"/>
          <w:sz w:val="20"/>
          <w:szCs w:val="20"/>
        </w:rPr>
        <w:t>oils</w:t>
      </w:r>
    </w:p>
    <w:p w14:paraId="1D7A787B" w14:textId="272C3125" w:rsidR="0029571F" w:rsidRDefault="005211DE">
      <w:pPr>
        <w:autoSpaceDE w:val="0"/>
        <w:autoSpaceDN w:val="0"/>
        <w:adjustRightInd w:val="0"/>
        <w:spacing w:after="0" w:line="240" w:lineRule="auto"/>
        <w:jc w:val="both"/>
        <w:rPr>
          <w:rFonts w:eastAsia="Times New Roman"/>
          <w:bCs/>
          <w:kern w:val="36"/>
          <w:sz w:val="20"/>
          <w:szCs w:val="20"/>
          <w:lang w:eastAsia="en-ZW"/>
        </w:rPr>
      </w:pPr>
      <w:r>
        <w:rPr>
          <w:rFonts w:eastAsia="Times New Roman"/>
          <w:bCs/>
          <w:kern w:val="36"/>
          <w:sz w:val="20"/>
          <w:szCs w:val="20"/>
          <w:lang w:eastAsia="en-ZW"/>
        </w:rPr>
        <w:t xml:space="preserve">The organic </w:t>
      </w:r>
      <w:r>
        <w:rPr>
          <w:rFonts w:eastAsia="Times New Roman"/>
          <w:bCs/>
          <w:i/>
          <w:iCs/>
          <w:kern w:val="36"/>
          <w:sz w:val="20"/>
          <w:szCs w:val="20"/>
          <w:lang w:eastAsia="en-ZW"/>
        </w:rPr>
        <w:t>M Flabellifoli</w:t>
      </w:r>
      <w:r w:rsidR="00FE5B3B">
        <w:rPr>
          <w:rFonts w:eastAsia="Times New Roman"/>
          <w:bCs/>
          <w:i/>
          <w:iCs/>
          <w:kern w:val="36"/>
          <w:sz w:val="20"/>
          <w:szCs w:val="20"/>
          <w:lang w:eastAsia="en-ZW"/>
        </w:rPr>
        <w:t>us</w:t>
      </w:r>
      <w:r>
        <w:rPr>
          <w:rFonts w:eastAsia="Times New Roman"/>
          <w:bCs/>
          <w:i/>
          <w:iCs/>
          <w:kern w:val="36"/>
          <w:sz w:val="20"/>
          <w:szCs w:val="20"/>
          <w:lang w:eastAsia="en-ZW"/>
        </w:rPr>
        <w:t xml:space="preserve"> </w:t>
      </w:r>
      <w:r>
        <w:rPr>
          <w:rFonts w:eastAsia="Times New Roman"/>
          <w:bCs/>
          <w:kern w:val="36"/>
          <w:sz w:val="20"/>
          <w:szCs w:val="20"/>
          <w:lang w:eastAsia="en-ZW"/>
        </w:rPr>
        <w:t>essential oil and</w:t>
      </w:r>
      <w:r>
        <w:rPr>
          <w:rFonts w:eastAsia="Times New Roman"/>
          <w:bCs/>
          <w:i/>
          <w:iCs/>
          <w:kern w:val="36"/>
          <w:sz w:val="20"/>
          <w:szCs w:val="20"/>
          <w:lang w:eastAsia="en-ZW"/>
        </w:rPr>
        <w:t xml:space="preserve"> C Lanatus </w:t>
      </w:r>
      <w:r>
        <w:rPr>
          <w:rFonts w:eastAsia="Times New Roman"/>
          <w:bCs/>
          <w:kern w:val="36"/>
          <w:sz w:val="20"/>
          <w:szCs w:val="20"/>
          <w:lang w:eastAsia="en-ZW"/>
        </w:rPr>
        <w:t>fixed oils</w:t>
      </w:r>
      <w:r>
        <w:rPr>
          <w:rFonts w:eastAsia="Times New Roman"/>
          <w:bCs/>
          <w:i/>
          <w:iCs/>
          <w:kern w:val="36"/>
          <w:sz w:val="20"/>
          <w:szCs w:val="20"/>
          <w:lang w:eastAsia="en-ZW"/>
        </w:rPr>
        <w:t xml:space="preserve"> </w:t>
      </w:r>
      <w:r>
        <w:rPr>
          <w:rFonts w:eastAsia="Times New Roman"/>
          <w:bCs/>
          <w:kern w:val="36"/>
          <w:sz w:val="20"/>
          <w:szCs w:val="20"/>
          <w:lang w:eastAsia="en-ZW"/>
        </w:rPr>
        <w:t xml:space="preserve">were both obtained from KAZA natural oils. The </w:t>
      </w:r>
      <w:r>
        <w:rPr>
          <w:rFonts w:eastAsia="Times New Roman"/>
          <w:bCs/>
          <w:i/>
          <w:iCs/>
          <w:kern w:val="36"/>
          <w:sz w:val="20"/>
          <w:szCs w:val="20"/>
          <w:lang w:eastAsia="en-ZW"/>
        </w:rPr>
        <w:t xml:space="preserve">M Flabellifolius </w:t>
      </w:r>
      <w:r w:rsidR="00E92333">
        <w:rPr>
          <w:rFonts w:eastAsia="Times New Roman"/>
          <w:bCs/>
          <w:i/>
          <w:iCs/>
          <w:kern w:val="36"/>
          <w:sz w:val="20"/>
          <w:szCs w:val="20"/>
          <w:lang w:eastAsia="en-ZW"/>
        </w:rPr>
        <w:t xml:space="preserve"> </w:t>
      </w:r>
      <w:r w:rsidR="00E92333" w:rsidRPr="00322FBF">
        <w:rPr>
          <w:rFonts w:eastAsia="Times New Roman"/>
          <w:bCs/>
          <w:kern w:val="36"/>
          <w:sz w:val="20"/>
          <w:szCs w:val="20"/>
          <w:lang w:eastAsia="en-ZW"/>
        </w:rPr>
        <w:t xml:space="preserve">essential </w:t>
      </w:r>
      <w:r w:rsidRPr="00322FBF">
        <w:rPr>
          <w:rFonts w:eastAsia="Times New Roman"/>
          <w:bCs/>
          <w:kern w:val="36"/>
          <w:sz w:val="20"/>
          <w:szCs w:val="20"/>
          <w:lang w:eastAsia="en-ZW"/>
        </w:rPr>
        <w:t>oil</w:t>
      </w:r>
      <w:r>
        <w:rPr>
          <w:rFonts w:eastAsia="Times New Roman"/>
          <w:bCs/>
          <w:i/>
          <w:iCs/>
          <w:kern w:val="36"/>
          <w:sz w:val="20"/>
          <w:szCs w:val="20"/>
          <w:lang w:eastAsia="en-ZW"/>
        </w:rPr>
        <w:t xml:space="preserve"> </w:t>
      </w:r>
      <w:r>
        <w:rPr>
          <w:rFonts w:eastAsia="Times New Roman"/>
          <w:bCs/>
          <w:kern w:val="36"/>
          <w:sz w:val="20"/>
          <w:szCs w:val="20"/>
          <w:lang w:eastAsia="en-ZW"/>
        </w:rPr>
        <w:t>was extracted</w:t>
      </w:r>
      <w:r>
        <w:rPr>
          <w:rFonts w:eastAsia="Times New Roman"/>
          <w:bCs/>
          <w:i/>
          <w:iCs/>
          <w:kern w:val="36"/>
          <w:sz w:val="20"/>
          <w:szCs w:val="20"/>
          <w:lang w:eastAsia="en-ZW"/>
        </w:rPr>
        <w:t xml:space="preserve"> </w:t>
      </w:r>
      <w:r>
        <w:rPr>
          <w:rFonts w:eastAsia="Times New Roman"/>
          <w:bCs/>
          <w:kern w:val="36"/>
          <w:sz w:val="20"/>
          <w:szCs w:val="20"/>
          <w:lang w:eastAsia="en-ZW"/>
        </w:rPr>
        <w:t>through steam distillation using Clevenger type apparatus</w:t>
      </w:r>
      <w:r w:rsidR="00E92333">
        <w:rPr>
          <w:rFonts w:eastAsia="Times New Roman"/>
          <w:bCs/>
          <w:kern w:val="36"/>
          <w:sz w:val="20"/>
          <w:szCs w:val="20"/>
          <w:lang w:eastAsia="en-ZW"/>
        </w:rPr>
        <w:t xml:space="preserve"> and </w:t>
      </w:r>
      <w:r>
        <w:rPr>
          <w:rFonts w:eastAsia="Times New Roman"/>
          <w:bCs/>
          <w:kern w:val="36"/>
          <w:sz w:val="20"/>
          <w:szCs w:val="20"/>
          <w:lang w:eastAsia="en-ZW"/>
        </w:rPr>
        <w:t xml:space="preserve">the </w:t>
      </w:r>
      <w:r>
        <w:rPr>
          <w:rFonts w:eastAsia="Times New Roman"/>
          <w:bCs/>
          <w:i/>
          <w:iCs/>
          <w:kern w:val="36"/>
          <w:sz w:val="20"/>
          <w:szCs w:val="20"/>
          <w:lang w:eastAsia="en-ZW"/>
        </w:rPr>
        <w:t>C lanatus</w:t>
      </w:r>
      <w:r w:rsidR="00E92333">
        <w:rPr>
          <w:rFonts w:eastAsia="Times New Roman"/>
          <w:bCs/>
          <w:i/>
          <w:iCs/>
          <w:kern w:val="36"/>
          <w:sz w:val="20"/>
          <w:szCs w:val="20"/>
          <w:lang w:eastAsia="en-ZW"/>
        </w:rPr>
        <w:t xml:space="preserve"> </w:t>
      </w:r>
      <w:r w:rsidR="00E92333" w:rsidRPr="00E92333">
        <w:rPr>
          <w:rFonts w:eastAsia="Times New Roman"/>
          <w:bCs/>
          <w:kern w:val="36"/>
          <w:sz w:val="20"/>
          <w:szCs w:val="20"/>
          <w:lang w:eastAsia="en-ZW"/>
        </w:rPr>
        <w:t xml:space="preserve">fixed </w:t>
      </w:r>
      <w:r>
        <w:rPr>
          <w:rFonts w:eastAsia="Times New Roman"/>
          <w:bCs/>
          <w:kern w:val="36"/>
          <w:sz w:val="20"/>
          <w:szCs w:val="20"/>
          <w:lang w:eastAsia="en-ZW"/>
        </w:rPr>
        <w:t>oil was extracted through cold expression. Both oils were used in their crude form, unpreserved and unstabilized. The plant sources of the oils were taxonomically authenticated by the Zimbabwe national Herbarium prior to the oil extraction</w:t>
      </w:r>
      <w:r w:rsidR="00E92333">
        <w:rPr>
          <w:rFonts w:eastAsia="Times New Roman"/>
          <w:bCs/>
          <w:kern w:val="36"/>
          <w:sz w:val="20"/>
          <w:szCs w:val="20"/>
          <w:lang w:eastAsia="en-ZW"/>
        </w:rPr>
        <w:t>s</w:t>
      </w:r>
      <w:r>
        <w:rPr>
          <w:rFonts w:eastAsia="Times New Roman"/>
          <w:bCs/>
          <w:kern w:val="36"/>
          <w:sz w:val="20"/>
          <w:szCs w:val="20"/>
          <w:lang w:eastAsia="en-ZW"/>
        </w:rPr>
        <w:t>.</w:t>
      </w:r>
    </w:p>
    <w:p w14:paraId="7E6CC4A5" w14:textId="77777777" w:rsidR="0029571F" w:rsidRDefault="0029571F">
      <w:pPr>
        <w:autoSpaceDE w:val="0"/>
        <w:autoSpaceDN w:val="0"/>
        <w:adjustRightInd w:val="0"/>
        <w:spacing w:after="0" w:line="240" w:lineRule="auto"/>
        <w:rPr>
          <w:rFonts w:eastAsia="SimSun"/>
          <w:color w:val="000000"/>
          <w:sz w:val="20"/>
          <w:szCs w:val="20"/>
          <w:lang w:val="en-ZW" w:eastAsia="en-ZW"/>
        </w:rPr>
      </w:pPr>
    </w:p>
    <w:p w14:paraId="2DC0F676" w14:textId="77777777" w:rsidR="0029571F" w:rsidRDefault="005211DE">
      <w:pPr>
        <w:pStyle w:val="Heading2"/>
        <w:rPr>
          <w:rFonts w:cs="Arial"/>
          <w:sz w:val="20"/>
          <w:szCs w:val="20"/>
        </w:rPr>
      </w:pPr>
      <w:r>
        <w:rPr>
          <w:rFonts w:cs="Arial"/>
          <w:sz w:val="20"/>
          <w:szCs w:val="20"/>
        </w:rPr>
        <w:t xml:space="preserve">Comedogenesis evaluation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 </w:t>
      </w:r>
    </w:p>
    <w:p w14:paraId="5EBBE4E8" w14:textId="77777777" w:rsidR="0029571F" w:rsidRDefault="005211DE">
      <w:pPr>
        <w:pStyle w:val="Heading3"/>
      </w:pPr>
      <w:r>
        <w:t xml:space="preserve">Testing procedure for human comedogenesis potential evaluation </w:t>
      </w:r>
    </w:p>
    <w:p w14:paraId="69498287" w14:textId="77777777" w:rsidR="0029571F" w:rsidRDefault="005211DE">
      <w:pPr>
        <w:contextualSpacing/>
        <w:jc w:val="both"/>
        <w:rPr>
          <w:rFonts w:eastAsia="Calibri"/>
          <w:color w:val="000000"/>
          <w:sz w:val="20"/>
          <w:szCs w:val="20"/>
          <w:lang w:val="en-ZW"/>
        </w:rPr>
      </w:pPr>
      <w:r>
        <w:rPr>
          <w:rFonts w:eastAsia="Calibri"/>
          <w:color w:val="000000"/>
          <w:sz w:val="20"/>
          <w:szCs w:val="20"/>
        </w:rPr>
        <w:t xml:space="preserve">In this present evaluation, </w:t>
      </w:r>
      <w:r>
        <w:rPr>
          <w:rFonts w:eastAsia="Calibri"/>
          <w:color w:val="000000"/>
          <w:sz w:val="20"/>
          <w:szCs w:val="20"/>
          <w:lang w:val="en-ZW"/>
        </w:rPr>
        <w:t>10</w:t>
      </w:r>
      <w:r>
        <w:rPr>
          <w:rFonts w:eastAsia="Calibri"/>
          <w:color w:val="000000"/>
          <w:sz w:val="20"/>
          <w:szCs w:val="20"/>
        </w:rPr>
        <w:t xml:space="preserve"> human subjects of both sexes, aged between 16 and 42 years old, with seborrheic skin biotype and comedones were selected for this test. The participants were briefed on the study procedures and signed written informed consent was obtained from all subjects prior to conducting procedures. The participants were put into 2 groups of </w:t>
      </w:r>
      <w:r>
        <w:rPr>
          <w:rFonts w:eastAsia="Calibri"/>
          <w:color w:val="000000"/>
          <w:sz w:val="20"/>
          <w:szCs w:val="20"/>
          <w:lang w:val="en-ZW"/>
        </w:rPr>
        <w:t>5</w:t>
      </w:r>
      <w:r>
        <w:rPr>
          <w:rFonts w:eastAsia="Calibri"/>
          <w:color w:val="000000"/>
          <w:sz w:val="20"/>
          <w:szCs w:val="20"/>
        </w:rPr>
        <w:t xml:space="preserve"> people each for each oil evaluation.</w:t>
      </w:r>
      <w:r>
        <w:rPr>
          <w:rFonts w:eastAsia="Calibri"/>
          <w:color w:val="000000"/>
          <w:sz w:val="20"/>
          <w:szCs w:val="20"/>
          <w:lang w:val="en-ZW"/>
        </w:rPr>
        <w:t xml:space="preserve"> In the first round of tests, e</w:t>
      </w:r>
      <w:r>
        <w:rPr>
          <w:rFonts w:eastAsia="Calibri"/>
          <w:color w:val="000000"/>
          <w:sz w:val="20"/>
          <w:szCs w:val="20"/>
        </w:rPr>
        <w:t xml:space="preserve">ach group of </w:t>
      </w:r>
      <w:r>
        <w:rPr>
          <w:rFonts w:eastAsia="Calibri"/>
          <w:color w:val="000000"/>
          <w:sz w:val="20"/>
          <w:szCs w:val="20"/>
          <w:lang w:val="en-ZW"/>
        </w:rPr>
        <w:t>5</w:t>
      </w:r>
      <w:r>
        <w:rPr>
          <w:rFonts w:eastAsia="Calibri"/>
          <w:color w:val="000000"/>
          <w:sz w:val="20"/>
          <w:szCs w:val="20"/>
        </w:rPr>
        <w:t xml:space="preserve"> received a specific plant oil product (either </w:t>
      </w:r>
      <w:r>
        <w:rPr>
          <w:i/>
          <w:iCs/>
          <w:sz w:val="20"/>
          <w:szCs w:val="20"/>
        </w:rPr>
        <w:t>M flabellifolius</w:t>
      </w:r>
      <w:r>
        <w:rPr>
          <w:sz w:val="20"/>
          <w:szCs w:val="20"/>
        </w:rPr>
        <w:t xml:space="preserve"> or </w:t>
      </w:r>
      <w:r>
        <w:rPr>
          <w:i/>
          <w:iCs/>
          <w:sz w:val="20"/>
          <w:szCs w:val="20"/>
        </w:rPr>
        <w:t>C Lanatus</w:t>
      </w:r>
      <w:r>
        <w:rPr>
          <w:sz w:val="20"/>
          <w:szCs w:val="20"/>
        </w:rPr>
        <w:t xml:space="preserve"> oils)</w:t>
      </w:r>
      <w:r>
        <w:rPr>
          <w:sz w:val="20"/>
          <w:szCs w:val="20"/>
          <w:lang w:val="en-ZW"/>
        </w:rPr>
        <w:t xml:space="preserve"> </w:t>
      </w:r>
      <w:r>
        <w:rPr>
          <w:sz w:val="20"/>
          <w:szCs w:val="20"/>
        </w:rPr>
        <w:t xml:space="preserve"> </w:t>
      </w:r>
      <w:r>
        <w:rPr>
          <w:rFonts w:eastAsia="Calibri"/>
          <w:color w:val="000000"/>
          <w:sz w:val="20"/>
          <w:szCs w:val="20"/>
        </w:rPr>
        <w:t>to apply twice daily, to the intermammary cleft zone and faces for 4 weeks.</w:t>
      </w:r>
      <w:r>
        <w:rPr>
          <w:rFonts w:eastAsia="Calibri"/>
          <w:color w:val="000000"/>
          <w:sz w:val="20"/>
          <w:szCs w:val="20"/>
          <w:lang w:val="en-ZW"/>
        </w:rPr>
        <w:t xml:space="preserve"> At the conclusion of round 1 at the end the 4-week test  period the participants only returned for round 2 of the trials with  a different oil than the one used in the first round after a 2-week break.</w:t>
      </w:r>
    </w:p>
    <w:p w14:paraId="4421649C" w14:textId="77777777" w:rsidR="0029571F" w:rsidRDefault="005211DE">
      <w:pPr>
        <w:pStyle w:val="Heading3"/>
      </w:pPr>
      <w:r>
        <w:t>Comedogenesis evaluation test procedure</w:t>
      </w:r>
    </w:p>
    <w:p w14:paraId="501DA045" w14:textId="5AD0C6BF"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For the induction of microcomedones on the participants, two zones were selected: the intermammary cleft zone, and the facial zone were patched every day during the 4-week study period. A dermatological skin assessment was carried out, and the image of the selected zone was captured and registered in a file before launching the study and at the end of the four-week test period in the corresponding zone. The corresponding instrumental measurements for skin profiling were also carried out. The participants were observed for an increase of the existing follicular ostium size and increase of comedones numbers in the zone. Sebum in the skin was also assessed and </w:t>
      </w:r>
      <w:r w:rsidR="00FE5B3B">
        <w:rPr>
          <w:rFonts w:eastAsia="Calibri"/>
          <w:bCs/>
          <w:color w:val="000000"/>
          <w:sz w:val="20"/>
          <w:szCs w:val="20"/>
          <w:lang w:val="en-ZW"/>
        </w:rPr>
        <w:t xml:space="preserve">the </w:t>
      </w:r>
      <w:r>
        <w:rPr>
          <w:rFonts w:eastAsia="Calibri"/>
          <w:bCs/>
          <w:color w:val="000000"/>
          <w:sz w:val="20"/>
          <w:szCs w:val="20"/>
          <w:lang w:val="en-ZW"/>
        </w:rPr>
        <w:t xml:space="preserve">size of comedones and follicular ostiums monitored over the study period. Emerging micro-comedones were estimated by the cyanoacrylate follicular biopsy technique at 0 and after the 4 weeks period. The quantitative image analysis methodology developed by Pagnoni and Kligman (1982) was used as a guide [20]. According to the method, briefly, a drop of cyanoacrylate was applied to the chosen site and spread out under a plastic slide. The polymer was left to harden for two minutes, and the slide was gently lifted off, carrying with it a thin sheet of the outer horny layer with attached </w:t>
      </w:r>
      <w:r w:rsidR="00FE5B3B">
        <w:rPr>
          <w:rFonts w:eastAsia="Calibri"/>
          <w:bCs/>
          <w:color w:val="000000"/>
          <w:sz w:val="20"/>
          <w:szCs w:val="20"/>
          <w:lang w:val="en-ZW"/>
        </w:rPr>
        <w:t>vellus</w:t>
      </w:r>
      <w:r>
        <w:rPr>
          <w:rFonts w:eastAsia="Calibri"/>
          <w:bCs/>
          <w:color w:val="000000"/>
          <w:sz w:val="20"/>
          <w:szCs w:val="20"/>
          <w:lang w:val="en-ZW"/>
        </w:rPr>
        <w:t xml:space="preserve"> hairs. Those hairs that were encased by horny casts observed under the microscope were considered to be microcomedones. The density of microcomedones was expressed as the number observed per square centimetre</w:t>
      </w:r>
      <w:r w:rsidR="00322FBF">
        <w:rPr>
          <w:rFonts w:eastAsia="Calibri"/>
          <w:bCs/>
          <w:color w:val="000000"/>
          <w:sz w:val="20"/>
          <w:szCs w:val="20"/>
          <w:lang w:val="en-ZW"/>
        </w:rPr>
        <w:t xml:space="preserve"> (table 1)</w:t>
      </w:r>
      <w:r>
        <w:rPr>
          <w:rFonts w:eastAsia="Calibri"/>
          <w:bCs/>
          <w:color w:val="000000"/>
          <w:sz w:val="20"/>
          <w:szCs w:val="20"/>
          <w:lang w:val="en-ZW"/>
        </w:rPr>
        <w:t>.</w:t>
      </w:r>
    </w:p>
    <w:p w14:paraId="1B9A4A9D" w14:textId="77777777" w:rsidR="0029571F" w:rsidRDefault="0029571F">
      <w:pPr>
        <w:contextualSpacing/>
        <w:jc w:val="both"/>
        <w:rPr>
          <w:rFonts w:eastAsia="Calibri"/>
          <w:bCs/>
          <w:color w:val="000000"/>
          <w:sz w:val="20"/>
          <w:szCs w:val="20"/>
          <w:lang w:val="en-ZW"/>
        </w:rPr>
      </w:pPr>
    </w:p>
    <w:p w14:paraId="092D30D2" w14:textId="77777777" w:rsidR="0029571F" w:rsidRDefault="005211DE">
      <w:pPr>
        <w:pStyle w:val="Caption"/>
        <w:keepNext/>
        <w:jc w:val="both"/>
      </w:pPr>
      <w:r>
        <w:t xml:space="preserve">Table </w:t>
      </w:r>
      <w:r>
        <w:fldChar w:fldCharType="begin"/>
      </w:r>
      <w:r>
        <w:instrText xml:space="preserve"> SEQ Table \* ARABIC </w:instrText>
      </w:r>
      <w:r>
        <w:fldChar w:fldCharType="separate"/>
      </w:r>
      <w:r>
        <w:t>1</w:t>
      </w:r>
      <w:r>
        <w:fldChar w:fldCharType="end"/>
      </w:r>
      <w:r>
        <w:t>:</w:t>
      </w:r>
      <w:r>
        <w:rPr>
          <w:rFonts w:eastAsia="Calibri"/>
          <w:color w:val="000000"/>
          <w:sz w:val="20"/>
          <w:szCs w:val="20"/>
          <w:lang w:val="en-ZW"/>
        </w:rPr>
        <w:t xml:space="preserve"> </w:t>
      </w:r>
      <w:r>
        <w:t>Scale of Comedogenesis potential</w:t>
      </w:r>
    </w:p>
    <w:tbl>
      <w:tblPr>
        <w:tblStyle w:val="PlainTable23"/>
        <w:tblW w:w="0" w:type="auto"/>
        <w:tblLook w:val="04A0" w:firstRow="1" w:lastRow="0" w:firstColumn="1" w:lastColumn="0" w:noHBand="0" w:noVBand="1"/>
      </w:tblPr>
      <w:tblGrid>
        <w:gridCol w:w="1745"/>
        <w:gridCol w:w="3212"/>
        <w:gridCol w:w="4059"/>
      </w:tblGrid>
      <w:tr w:rsidR="0029571F" w14:paraId="62C547A5"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tcBorders>
            <w:shd w:val="clear" w:color="auto" w:fill="EEECE1" w:themeFill="background2"/>
          </w:tcPr>
          <w:p w14:paraId="25B69C37"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Score</w:t>
            </w:r>
          </w:p>
        </w:tc>
        <w:tc>
          <w:tcPr>
            <w:tcW w:w="3212" w:type="dxa"/>
            <w:tcBorders>
              <w:top w:val="single" w:sz="4" w:space="0" w:color="7F7F7F" w:themeColor="text1" w:themeTint="80"/>
            </w:tcBorders>
            <w:shd w:val="clear" w:color="auto" w:fill="EEECE1" w:themeFill="background2"/>
          </w:tcPr>
          <w:p w14:paraId="6993BF19"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Description</w:t>
            </w:r>
          </w:p>
        </w:tc>
        <w:tc>
          <w:tcPr>
            <w:tcW w:w="4059" w:type="dxa"/>
            <w:tcBorders>
              <w:top w:val="single" w:sz="4" w:space="0" w:color="7F7F7F" w:themeColor="text1" w:themeTint="80"/>
            </w:tcBorders>
            <w:shd w:val="clear" w:color="auto" w:fill="EEECE1" w:themeFill="background2"/>
          </w:tcPr>
          <w:p w14:paraId="6417091B" w14:textId="77777777" w:rsidR="0029571F" w:rsidRPr="0093361B" w:rsidRDefault="005211DE">
            <w:pPr>
              <w:contextualSpacing/>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val="en-ZW"/>
              </w:rPr>
            </w:pPr>
            <w:r w:rsidRPr="0093361B">
              <w:rPr>
                <w:rFonts w:eastAsia="Calibri"/>
                <w:color w:val="000000"/>
                <w:sz w:val="18"/>
                <w:szCs w:val="18"/>
                <w:lang w:val="en-ZW"/>
              </w:rPr>
              <w:t>Oil Attributes</w:t>
            </w:r>
          </w:p>
        </w:tc>
      </w:tr>
      <w:tr w:rsidR="0029571F" w14:paraId="545A7E06"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455A61E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0</w:t>
            </w:r>
          </w:p>
        </w:tc>
        <w:tc>
          <w:tcPr>
            <w:tcW w:w="3212" w:type="dxa"/>
            <w:tcBorders>
              <w:top w:val="single" w:sz="4" w:space="0" w:color="7F7F7F" w:themeColor="text1" w:themeTint="80"/>
              <w:bottom w:val="single" w:sz="4" w:space="0" w:color="7F7F7F" w:themeColor="text1" w:themeTint="80"/>
            </w:tcBorders>
          </w:tcPr>
          <w:p w14:paraId="376BAAE6"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Non-comedogenic</w:t>
            </w:r>
          </w:p>
        </w:tc>
        <w:tc>
          <w:tcPr>
            <w:tcW w:w="4059" w:type="dxa"/>
            <w:tcBorders>
              <w:top w:val="single" w:sz="4" w:space="0" w:color="7F7F7F" w:themeColor="text1" w:themeTint="80"/>
              <w:bottom w:val="single" w:sz="4" w:space="0" w:color="7F7F7F" w:themeColor="text1" w:themeTint="80"/>
            </w:tcBorders>
          </w:tcPr>
          <w:p w14:paraId="3887FF5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Won’t clog pores at all</w:t>
            </w:r>
          </w:p>
        </w:tc>
      </w:tr>
      <w:tr w:rsidR="0029571F" w14:paraId="2A2C0A96"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2EA17D7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1</w:t>
            </w:r>
          </w:p>
        </w:tc>
        <w:tc>
          <w:tcPr>
            <w:tcW w:w="3212" w:type="dxa"/>
          </w:tcPr>
          <w:p w14:paraId="04578E3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Minimally comedogenic,</w:t>
            </w:r>
          </w:p>
        </w:tc>
        <w:tc>
          <w:tcPr>
            <w:tcW w:w="4059" w:type="dxa"/>
          </w:tcPr>
          <w:p w14:paraId="2DF85044"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low likelihood they will clog pores</w:t>
            </w:r>
          </w:p>
        </w:tc>
      </w:tr>
      <w:tr w:rsidR="0029571F" w14:paraId="6810B59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769ED3B6"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2</w:t>
            </w:r>
          </w:p>
        </w:tc>
        <w:tc>
          <w:tcPr>
            <w:tcW w:w="3212" w:type="dxa"/>
            <w:tcBorders>
              <w:top w:val="single" w:sz="4" w:space="0" w:color="7F7F7F" w:themeColor="text1" w:themeTint="80"/>
              <w:bottom w:val="single" w:sz="4" w:space="0" w:color="7F7F7F" w:themeColor="text1" w:themeTint="80"/>
            </w:tcBorders>
          </w:tcPr>
          <w:p w14:paraId="462CE84D"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Moderately low comedogenic,</w:t>
            </w:r>
          </w:p>
        </w:tc>
        <w:tc>
          <w:tcPr>
            <w:tcW w:w="4059" w:type="dxa"/>
            <w:tcBorders>
              <w:top w:val="single" w:sz="4" w:space="0" w:color="7F7F7F" w:themeColor="text1" w:themeTint="80"/>
              <w:bottom w:val="single" w:sz="4" w:space="0" w:color="7F7F7F" w:themeColor="text1" w:themeTint="80"/>
            </w:tcBorders>
          </w:tcPr>
          <w:p w14:paraId="43D89D20"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low likelihood</w:t>
            </w:r>
          </w:p>
        </w:tc>
      </w:tr>
      <w:tr w:rsidR="0029571F" w14:paraId="74348AE7"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6412F09D"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3</w:t>
            </w:r>
          </w:p>
        </w:tc>
        <w:tc>
          <w:tcPr>
            <w:tcW w:w="3212" w:type="dxa"/>
          </w:tcPr>
          <w:p w14:paraId="45A5AEEC"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Moderately comedogenic,</w:t>
            </w:r>
          </w:p>
        </w:tc>
        <w:tc>
          <w:tcPr>
            <w:tcW w:w="4059" w:type="dxa"/>
          </w:tcPr>
          <w:p w14:paraId="00345F3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Moderate likelihood</w:t>
            </w:r>
          </w:p>
        </w:tc>
      </w:tr>
      <w:tr w:rsidR="0029571F" w14:paraId="31AB00F5" w14:textId="77777777" w:rsidTr="00322FBF">
        <w:tc>
          <w:tcPr>
            <w:cnfStyle w:val="001000000000" w:firstRow="0" w:lastRow="0" w:firstColumn="1" w:lastColumn="0" w:oddVBand="0" w:evenVBand="0" w:oddHBand="0" w:evenHBand="0" w:firstRowFirstColumn="0" w:firstRowLastColumn="0" w:lastRowFirstColumn="0" w:lastRowLastColumn="0"/>
            <w:tcW w:w="1745" w:type="dxa"/>
            <w:tcBorders>
              <w:top w:val="single" w:sz="4" w:space="0" w:color="7F7F7F" w:themeColor="text1" w:themeTint="80"/>
              <w:bottom w:val="single" w:sz="4" w:space="0" w:color="7F7F7F" w:themeColor="text1" w:themeTint="80"/>
            </w:tcBorders>
            <w:shd w:val="clear" w:color="auto" w:fill="EEECE1" w:themeFill="background2"/>
          </w:tcPr>
          <w:p w14:paraId="1EC1B14A"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4</w:t>
            </w:r>
          </w:p>
        </w:tc>
        <w:tc>
          <w:tcPr>
            <w:tcW w:w="3212" w:type="dxa"/>
            <w:tcBorders>
              <w:top w:val="single" w:sz="4" w:space="0" w:color="7F7F7F" w:themeColor="text1" w:themeTint="80"/>
              <w:bottom w:val="single" w:sz="4" w:space="0" w:color="7F7F7F" w:themeColor="text1" w:themeTint="80"/>
            </w:tcBorders>
          </w:tcPr>
          <w:p w14:paraId="07BB1F0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bCs/>
                <w:color w:val="000000"/>
                <w:sz w:val="18"/>
                <w:szCs w:val="18"/>
                <w:lang w:val="en-ZW"/>
              </w:rPr>
            </w:pPr>
            <w:r w:rsidRPr="0093361B">
              <w:rPr>
                <w:rFonts w:eastAsia="Calibri"/>
                <w:color w:val="000000"/>
                <w:sz w:val="18"/>
                <w:szCs w:val="18"/>
                <w:lang w:val="en-ZW"/>
              </w:rPr>
              <w:t>Strongly comedogenic,</w:t>
            </w:r>
          </w:p>
        </w:tc>
        <w:tc>
          <w:tcPr>
            <w:tcW w:w="4059" w:type="dxa"/>
            <w:tcBorders>
              <w:top w:val="single" w:sz="4" w:space="0" w:color="7F7F7F" w:themeColor="text1" w:themeTint="80"/>
              <w:bottom w:val="single" w:sz="4" w:space="0" w:color="7F7F7F" w:themeColor="text1" w:themeTint="80"/>
            </w:tcBorders>
          </w:tcPr>
          <w:p w14:paraId="30A128E7"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Fairly high likelihood</w:t>
            </w:r>
          </w:p>
        </w:tc>
      </w:tr>
      <w:tr w:rsidR="0029571F" w14:paraId="6D239FFB" w14:textId="77777777" w:rsidTr="00322FBF">
        <w:tc>
          <w:tcPr>
            <w:cnfStyle w:val="001000000000" w:firstRow="0" w:lastRow="0" w:firstColumn="1" w:lastColumn="0" w:oddVBand="0" w:evenVBand="0" w:oddHBand="0" w:evenHBand="0" w:firstRowFirstColumn="0" w:firstRowLastColumn="0" w:lastRowFirstColumn="0" w:lastRowLastColumn="0"/>
            <w:tcW w:w="1745" w:type="dxa"/>
            <w:shd w:val="clear" w:color="auto" w:fill="EEECE1" w:themeFill="background2"/>
          </w:tcPr>
          <w:p w14:paraId="08508515" w14:textId="77777777" w:rsidR="0029571F" w:rsidRPr="0093361B" w:rsidRDefault="005211DE">
            <w:pPr>
              <w:contextualSpacing/>
              <w:jc w:val="center"/>
              <w:rPr>
                <w:rFonts w:eastAsia="Calibri"/>
                <w:b w:val="0"/>
                <w:bCs w:val="0"/>
                <w:color w:val="000000"/>
                <w:sz w:val="18"/>
                <w:szCs w:val="18"/>
                <w:lang w:val="en-ZW"/>
              </w:rPr>
            </w:pPr>
            <w:r w:rsidRPr="0093361B">
              <w:rPr>
                <w:rFonts w:eastAsia="Calibri"/>
                <w:color w:val="000000"/>
                <w:sz w:val="18"/>
                <w:szCs w:val="18"/>
                <w:lang w:val="en-ZW"/>
              </w:rPr>
              <w:t>5</w:t>
            </w:r>
          </w:p>
        </w:tc>
        <w:tc>
          <w:tcPr>
            <w:tcW w:w="3212" w:type="dxa"/>
          </w:tcPr>
          <w:p w14:paraId="140E3473"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Very Strongly comedogenic,</w:t>
            </w:r>
          </w:p>
        </w:tc>
        <w:tc>
          <w:tcPr>
            <w:tcW w:w="4059" w:type="dxa"/>
          </w:tcPr>
          <w:p w14:paraId="7FFECDA1" w14:textId="77777777" w:rsidR="0029571F" w:rsidRPr="0093361B" w:rsidRDefault="005211DE">
            <w:pPr>
              <w:contextualSpacing/>
              <w:jc w:val="center"/>
              <w:cnfStyle w:val="000000000000" w:firstRow="0" w:lastRow="0" w:firstColumn="0" w:lastColumn="0" w:oddVBand="0" w:evenVBand="0" w:oddHBand="0" w:evenHBand="0" w:firstRowFirstColumn="0" w:firstRowLastColumn="0" w:lastRowFirstColumn="0" w:lastRowLastColumn="0"/>
              <w:rPr>
                <w:rFonts w:eastAsia="Calibri"/>
                <w:color w:val="000000"/>
                <w:sz w:val="18"/>
                <w:szCs w:val="18"/>
                <w:lang w:val="en-ZW"/>
              </w:rPr>
            </w:pPr>
            <w:r w:rsidRPr="0093361B">
              <w:rPr>
                <w:rFonts w:eastAsia="Calibri"/>
                <w:color w:val="000000"/>
                <w:sz w:val="18"/>
                <w:szCs w:val="18"/>
                <w:lang w:val="en-ZW"/>
              </w:rPr>
              <w:t>high likelihood of clogging pores</w:t>
            </w:r>
          </w:p>
        </w:tc>
      </w:tr>
    </w:tbl>
    <w:p w14:paraId="0ABD6230" w14:textId="77777777" w:rsidR="0029571F" w:rsidRDefault="0029571F">
      <w:pPr>
        <w:contextualSpacing/>
        <w:jc w:val="both"/>
        <w:rPr>
          <w:rFonts w:eastAsia="Calibri"/>
          <w:color w:val="000000"/>
          <w:sz w:val="20"/>
          <w:szCs w:val="20"/>
        </w:rPr>
      </w:pPr>
    </w:p>
    <w:p w14:paraId="1E6C849C" w14:textId="77777777" w:rsidR="0029571F" w:rsidRDefault="0029571F">
      <w:pPr>
        <w:autoSpaceDE w:val="0"/>
        <w:autoSpaceDN w:val="0"/>
        <w:adjustRightInd w:val="0"/>
        <w:contextualSpacing/>
        <w:jc w:val="both"/>
        <w:rPr>
          <w:rFonts w:eastAsia="Calibri"/>
          <w:color w:val="000000"/>
          <w:sz w:val="20"/>
          <w:szCs w:val="20"/>
        </w:rPr>
      </w:pPr>
    </w:p>
    <w:p w14:paraId="44281EDA" w14:textId="77777777" w:rsidR="0029571F" w:rsidRDefault="005211DE">
      <w:pPr>
        <w:pStyle w:val="Heading2"/>
        <w:rPr>
          <w:rFonts w:cs="Arial"/>
          <w:sz w:val="20"/>
          <w:szCs w:val="20"/>
        </w:rPr>
      </w:pPr>
      <w:r>
        <w:rPr>
          <w:rFonts w:cs="Arial"/>
          <w:sz w:val="20"/>
          <w:szCs w:val="20"/>
        </w:rPr>
        <w:lastRenderedPageBreak/>
        <w:t xml:space="preserve">Mutagenicity/Genotoxicity potential assessment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w:t>
      </w:r>
    </w:p>
    <w:p w14:paraId="5234644A" w14:textId="32F47E68" w:rsidR="0029571F" w:rsidRDefault="005211DE">
      <w:pPr>
        <w:contextualSpacing/>
        <w:jc w:val="both"/>
        <w:rPr>
          <w:rFonts w:eastAsia="Calibri"/>
          <w:bCs/>
          <w:color w:val="000000"/>
          <w:sz w:val="20"/>
          <w:szCs w:val="20"/>
          <w:lang w:val="en-ZW"/>
        </w:rPr>
      </w:pPr>
      <w:r>
        <w:rPr>
          <w:rFonts w:eastAsia="Calibri"/>
          <w:bCs/>
          <w:color w:val="000000"/>
          <w:sz w:val="20"/>
          <w:szCs w:val="20"/>
          <w:lang w:val="en-ZW"/>
        </w:rPr>
        <w:t xml:space="preserve">Mutagenicity potential of the 2 oils was evaluated using a modified Ames assay. The protocol proposed by Maron and Ames (1983) </w:t>
      </w:r>
      <w:r w:rsidR="00322FBF">
        <w:rPr>
          <w:rFonts w:eastAsia="Calibri"/>
          <w:bCs/>
          <w:color w:val="000000"/>
          <w:sz w:val="20"/>
          <w:szCs w:val="20"/>
          <w:lang w:val="en-ZW"/>
        </w:rPr>
        <w:t xml:space="preserve">[21] </w:t>
      </w:r>
      <w:r>
        <w:rPr>
          <w:rFonts w:eastAsia="Calibri"/>
          <w:bCs/>
          <w:color w:val="000000"/>
          <w:sz w:val="20"/>
          <w:szCs w:val="20"/>
          <w:lang w:val="en-ZW"/>
        </w:rPr>
        <w:t xml:space="preserve">supported by OECD 471 </w:t>
      </w:r>
      <w:r w:rsidR="00322FBF">
        <w:rPr>
          <w:rFonts w:eastAsia="Calibri"/>
          <w:bCs/>
          <w:color w:val="000000"/>
          <w:sz w:val="20"/>
          <w:szCs w:val="20"/>
          <w:lang w:val="en-ZW"/>
        </w:rPr>
        <w:t xml:space="preserve">technical </w:t>
      </w:r>
      <w:r>
        <w:rPr>
          <w:rFonts w:eastAsia="Calibri"/>
          <w:bCs/>
          <w:color w:val="000000"/>
          <w:sz w:val="20"/>
          <w:szCs w:val="20"/>
          <w:lang w:val="en-ZW"/>
        </w:rPr>
        <w:t xml:space="preserve">Guidelines </w:t>
      </w:r>
      <w:r w:rsidR="00322FBF">
        <w:rPr>
          <w:rFonts w:eastAsia="Calibri"/>
          <w:bCs/>
          <w:color w:val="000000"/>
          <w:sz w:val="20"/>
          <w:szCs w:val="20"/>
          <w:lang w:val="en-ZW"/>
        </w:rPr>
        <w:t>[22]</w:t>
      </w:r>
      <w:r>
        <w:rPr>
          <w:rFonts w:eastAsia="Calibri"/>
          <w:bCs/>
          <w:color w:val="000000"/>
          <w:sz w:val="20"/>
          <w:szCs w:val="20"/>
          <w:lang w:val="en-ZW"/>
        </w:rPr>
        <w:t xml:space="preserve"> and opinions </w:t>
      </w:r>
      <w:bookmarkStart w:id="2" w:name="_Hlk205972888"/>
      <w:r>
        <w:rPr>
          <w:rFonts w:eastAsia="Calibri"/>
          <w:bCs/>
          <w:color w:val="000000"/>
          <w:sz w:val="20"/>
          <w:szCs w:val="20"/>
          <w:lang w:val="en-ZW"/>
        </w:rPr>
        <w:t xml:space="preserve">from Annex </w:t>
      </w:r>
      <w:r w:rsidR="00CA5A4A">
        <w:rPr>
          <w:rFonts w:eastAsia="Calibri"/>
          <w:bCs/>
          <w:color w:val="000000"/>
          <w:sz w:val="20"/>
          <w:szCs w:val="20"/>
          <w:lang w:val="en-ZW"/>
        </w:rPr>
        <w:t>1</w:t>
      </w:r>
      <w:bookmarkEnd w:id="2"/>
      <w:r>
        <w:rPr>
          <w:rFonts w:eastAsia="Calibri"/>
          <w:bCs/>
          <w:color w:val="000000"/>
          <w:sz w:val="20"/>
          <w:szCs w:val="20"/>
          <w:lang w:val="en-ZW"/>
        </w:rPr>
        <w:t xml:space="preserve"> to Directive 67/548/EEC  </w:t>
      </w:r>
      <w:r w:rsidR="00322FBF">
        <w:rPr>
          <w:rFonts w:eastAsia="Calibri"/>
          <w:bCs/>
          <w:color w:val="000000"/>
          <w:sz w:val="20"/>
          <w:szCs w:val="20"/>
          <w:lang w:val="en-ZW"/>
        </w:rPr>
        <w:t xml:space="preserve">[23] </w:t>
      </w:r>
      <w:r>
        <w:rPr>
          <w:rFonts w:eastAsia="Calibri"/>
          <w:bCs/>
          <w:color w:val="000000"/>
          <w:sz w:val="20"/>
          <w:szCs w:val="20"/>
          <w:lang w:val="en-ZW"/>
        </w:rPr>
        <w:t xml:space="preserve">with some adaptations was carried out to investigate the potential of the 2 oils to induce genetic mutation in the </w:t>
      </w:r>
      <w:r>
        <w:rPr>
          <w:rFonts w:eastAsia="Calibri"/>
          <w:bCs/>
          <w:i/>
          <w:iCs/>
          <w:color w:val="000000"/>
          <w:sz w:val="20"/>
          <w:szCs w:val="20"/>
          <w:lang w:val="en-ZW"/>
        </w:rPr>
        <w:t>Salmonella Typhimurium (S. Typhimurium)</w:t>
      </w:r>
      <w:r>
        <w:rPr>
          <w:rFonts w:eastAsia="Calibri"/>
          <w:bCs/>
          <w:color w:val="000000"/>
          <w:sz w:val="20"/>
          <w:szCs w:val="20"/>
          <w:lang w:val="en-ZW"/>
        </w:rPr>
        <w:t xml:space="preserve"> TA97, TA98, TA100, TA102, and TA1535 strains. The preincubation technique was used, both in the absence and presence of the metabolic activation system (4% S9 mix, Aroclor-preinduced).  In both analyses, the negative control was 10% DMSO while known mutagens were used as the positive control substances. The positive controls without the S9 mix were as follows: 4-nitroquinoline 1-oxide (4-NQO) (5 μg per plate) for TA97 and TA98; sodium azide (SA) (10mg per plate) for TA100; mitomycin C (MMC) (1 μg per plate) for TA102; and methyl methane sulfonate (MMS) (200 μg per plate) for TA104. The positive controls with the S9 mix were 2-amineanthracene (2-AA) (10.0 μg per plate) for TA97, TA98, and TA1535 and benzo(α)pyrene (B[α]P) (50.0 μg per plate) for TA100 and TA102. A dose-finding test was carried out with and without the metabolic activation system (S9 mix) for each tester strain. For each oil, a total of eight concentrations diluted in DMSO were tested from 0 to 100 μL/mil. For the assays without metabolic activation, 0.5mL of 0.1 mol/L sodium-phosphate buffer (pH 7.4) was added, and for the assays in the presence of metabolic activation, 0.5mL of the S9 mix was mixed with 0.1mL culture medium (2 × 109 cells/mL) plus 0.1mL of each compound solution (0.02 to 100 μL/plate). The mixtures were incubated in a shaker at 37°C for 30 minutes in the </w:t>
      </w:r>
      <w:r w:rsidR="00FE5B3B">
        <w:rPr>
          <w:rFonts w:eastAsia="Calibri"/>
          <w:bCs/>
          <w:color w:val="000000"/>
          <w:sz w:val="20"/>
          <w:szCs w:val="20"/>
          <w:lang w:val="en-ZW"/>
        </w:rPr>
        <w:t>dark and</w:t>
      </w:r>
      <w:r>
        <w:rPr>
          <w:rFonts w:eastAsia="Calibri"/>
          <w:bCs/>
          <w:color w:val="000000"/>
          <w:sz w:val="20"/>
          <w:szCs w:val="20"/>
          <w:lang w:val="en-ZW"/>
        </w:rPr>
        <w:t xml:space="preserve"> then added to and mixed with 2mL top agar containing 0.05 mol/L L-histidine and D-biotin for the S. </w:t>
      </w:r>
      <w:r>
        <w:rPr>
          <w:rFonts w:eastAsia="Calibri"/>
          <w:bCs/>
          <w:i/>
          <w:iCs/>
          <w:color w:val="000000"/>
          <w:sz w:val="20"/>
          <w:szCs w:val="20"/>
          <w:lang w:val="en-ZW"/>
        </w:rPr>
        <w:t>Typhimurium</w:t>
      </w:r>
      <w:r>
        <w:rPr>
          <w:rFonts w:eastAsia="Calibri"/>
          <w:bCs/>
          <w:color w:val="000000"/>
          <w:sz w:val="20"/>
          <w:szCs w:val="20"/>
          <w:lang w:val="en-ZW"/>
        </w:rPr>
        <w:t xml:space="preserve"> strains. Each of these was then spread on a minimum glucose agar plate. After the top agar had solidified, the plates were incubated at 37°C for another 72 hours. Each tester strain was assayed in triplicate, and the number of revertant colonies was counted for each tester strain and treatment group. The results were judged to be positive when the average number of revertant colonies in each treated group increased with increase in the compound concentration, reaching at least twice the number in the negative control group. In order to determine the cytotoxic effects, after 30 minutes preincubation, the assay mixtures were diluted (1: 105) in 0.9% NaCl (w/v) and a suitable aliquot of the final dilution (100 μL) of this suspension was then plated on nutrient agar. The plates were then further incubated at 37°C for 10 hours and the colonies were counted. All the experiments were done in triplicate.</w:t>
      </w:r>
    </w:p>
    <w:p w14:paraId="3EF85595" w14:textId="77777777" w:rsidR="0029571F" w:rsidRDefault="0029571F">
      <w:pPr>
        <w:autoSpaceDE w:val="0"/>
        <w:autoSpaceDN w:val="0"/>
        <w:adjustRightInd w:val="0"/>
        <w:spacing w:after="0" w:line="240" w:lineRule="auto"/>
        <w:jc w:val="both"/>
        <w:rPr>
          <w:rFonts w:eastAsia="Times New Roman"/>
          <w:bCs/>
          <w:kern w:val="36"/>
          <w:sz w:val="20"/>
          <w:szCs w:val="20"/>
          <w:lang w:eastAsia="en-ZW"/>
        </w:rPr>
      </w:pPr>
    </w:p>
    <w:p w14:paraId="57F801C8" w14:textId="77777777" w:rsidR="0029571F" w:rsidRDefault="005211DE">
      <w:pPr>
        <w:pStyle w:val="Heading2"/>
        <w:rPr>
          <w:rFonts w:cs="Arial"/>
          <w:sz w:val="20"/>
          <w:szCs w:val="20"/>
        </w:rPr>
      </w:pPr>
      <w:r>
        <w:rPr>
          <w:rFonts w:cs="Arial"/>
          <w:sz w:val="20"/>
          <w:szCs w:val="20"/>
        </w:rPr>
        <w:t xml:space="preserve">Augmented sunscreen prototype formulation </w:t>
      </w:r>
    </w:p>
    <w:p w14:paraId="60692886" w14:textId="70CAB58D" w:rsidR="0029571F" w:rsidRDefault="005211DE">
      <w:pPr>
        <w:spacing w:line="240" w:lineRule="auto"/>
        <w:contextualSpacing/>
        <w:jc w:val="both"/>
        <w:rPr>
          <w:sz w:val="20"/>
          <w:szCs w:val="20"/>
        </w:rPr>
      </w:pPr>
      <w:r>
        <w:rPr>
          <w:rFonts w:eastAsia="Times New Roman"/>
          <w:bCs/>
          <w:kern w:val="36"/>
          <w:sz w:val="20"/>
          <w:szCs w:val="20"/>
          <w:lang w:eastAsia="en-ZW"/>
        </w:rPr>
        <w:t>The materials used in preparing the cream were cosmetic Ingredient Review (CIR) approved ingredients as follows: Stearic acid, Ceto stearyl alcohol, GMS and cetyl alcohol w</w:t>
      </w:r>
      <w:r w:rsidR="00322FBF">
        <w:rPr>
          <w:rFonts w:eastAsia="Times New Roman"/>
          <w:bCs/>
          <w:kern w:val="36"/>
          <w:sz w:val="20"/>
          <w:szCs w:val="20"/>
          <w:lang w:eastAsia="en-ZW"/>
        </w:rPr>
        <w:t>ere</w:t>
      </w:r>
      <w:r>
        <w:rPr>
          <w:rFonts w:eastAsia="Times New Roman"/>
          <w:bCs/>
          <w:kern w:val="36"/>
          <w:sz w:val="20"/>
          <w:szCs w:val="20"/>
          <w:lang w:eastAsia="en-ZW"/>
        </w:rPr>
        <w:t xml:space="preserve"> obtained from Savanna Chemicals (South Africa)</w:t>
      </w:r>
      <w:r w:rsidR="00322FBF">
        <w:rPr>
          <w:rFonts w:eastAsia="Times New Roman"/>
          <w:bCs/>
          <w:kern w:val="36"/>
          <w:sz w:val="20"/>
          <w:szCs w:val="20"/>
          <w:lang w:eastAsia="en-ZW"/>
        </w:rPr>
        <w:t>.</w:t>
      </w:r>
      <w:r>
        <w:rPr>
          <w:rFonts w:eastAsia="Times New Roman"/>
          <w:bCs/>
          <w:kern w:val="36"/>
          <w:sz w:val="20"/>
          <w:szCs w:val="20"/>
          <w:lang w:eastAsia="en-ZW"/>
        </w:rPr>
        <w:t xml:space="preserve"> </w:t>
      </w:r>
      <w:r w:rsidR="00322FBF">
        <w:rPr>
          <w:rFonts w:eastAsia="Times New Roman"/>
          <w:bCs/>
          <w:kern w:val="36"/>
          <w:sz w:val="20"/>
          <w:szCs w:val="20"/>
          <w:lang w:eastAsia="en-ZW"/>
        </w:rPr>
        <w:t>Engen South Africa supplied liquid paraffin and petrolatum.</w:t>
      </w:r>
      <w:r>
        <w:rPr>
          <w:rFonts w:eastAsia="Times New Roman"/>
          <w:bCs/>
          <w:kern w:val="36"/>
          <w:sz w:val="20"/>
          <w:szCs w:val="20"/>
          <w:lang w:eastAsia="en-ZW"/>
        </w:rPr>
        <w:t xml:space="preserve"> Triethanolamine was obtained from Merck Chemicals South Africa</w:t>
      </w:r>
      <w:r w:rsidR="00FE5B3B">
        <w:rPr>
          <w:rFonts w:eastAsia="Times New Roman"/>
          <w:bCs/>
          <w:kern w:val="36"/>
          <w:sz w:val="20"/>
          <w:szCs w:val="20"/>
          <w:lang w:eastAsia="en-ZW"/>
        </w:rPr>
        <w:t>.</w:t>
      </w:r>
      <w:r>
        <w:rPr>
          <w:rFonts w:eastAsia="Times New Roman"/>
          <w:bCs/>
          <w:kern w:val="36"/>
          <w:sz w:val="20"/>
          <w:szCs w:val="20"/>
          <w:lang w:eastAsia="en-ZW"/>
        </w:rPr>
        <w:t xml:space="preserve"> EDTA, Carbopol 940®, Glycerin, MPG, methyl paraben</w:t>
      </w:r>
      <w:r w:rsidR="00FE5B3B">
        <w:rPr>
          <w:rFonts w:eastAsia="Times New Roman"/>
          <w:bCs/>
          <w:kern w:val="36"/>
          <w:sz w:val="20"/>
          <w:szCs w:val="20"/>
          <w:lang w:eastAsia="en-ZW"/>
        </w:rPr>
        <w:t xml:space="preserve"> and </w:t>
      </w:r>
      <w:r>
        <w:rPr>
          <w:rFonts w:eastAsia="Times New Roman"/>
          <w:bCs/>
          <w:kern w:val="36"/>
          <w:sz w:val="20"/>
          <w:szCs w:val="20"/>
          <w:lang w:eastAsia="en-ZW"/>
        </w:rPr>
        <w:t>propyl paraben</w:t>
      </w:r>
      <w:r w:rsidR="00FE5B3B">
        <w:rPr>
          <w:rFonts w:eastAsia="Times New Roman"/>
          <w:bCs/>
          <w:kern w:val="36"/>
          <w:sz w:val="20"/>
          <w:szCs w:val="20"/>
          <w:lang w:eastAsia="en-ZW"/>
        </w:rPr>
        <w:t xml:space="preserve"> were obtained from the University of Zimbabwe pharmaceutics lab.</w:t>
      </w:r>
      <w:r>
        <w:rPr>
          <w:rFonts w:eastAsia="Times New Roman"/>
          <w:bCs/>
          <w:kern w:val="36"/>
          <w:sz w:val="20"/>
          <w:szCs w:val="20"/>
          <w:lang w:eastAsia="en-ZW"/>
        </w:rPr>
        <w:t xml:space="preserve"> </w:t>
      </w:r>
      <w:r>
        <w:rPr>
          <w:rFonts w:eastAsia="Times New Roman"/>
          <w:bCs/>
          <w:i/>
          <w:iCs/>
          <w:kern w:val="36"/>
          <w:sz w:val="20"/>
          <w:szCs w:val="20"/>
          <w:lang w:eastAsia="en-ZW"/>
        </w:rPr>
        <w:t>C lanatus</w:t>
      </w:r>
      <w:r w:rsidR="00FE5B3B">
        <w:rPr>
          <w:rFonts w:eastAsia="Times New Roman"/>
          <w:bCs/>
          <w:i/>
          <w:iCs/>
          <w:kern w:val="36"/>
          <w:sz w:val="20"/>
          <w:szCs w:val="20"/>
          <w:lang w:eastAsia="en-ZW"/>
        </w:rPr>
        <w:t xml:space="preserve"> and </w:t>
      </w:r>
      <w:r>
        <w:rPr>
          <w:rFonts w:eastAsia="Times New Roman"/>
          <w:bCs/>
          <w:i/>
          <w:iCs/>
          <w:kern w:val="36"/>
          <w:sz w:val="20"/>
          <w:szCs w:val="20"/>
          <w:lang w:eastAsia="en-ZW"/>
        </w:rPr>
        <w:t xml:space="preserve"> M flabellifolius</w:t>
      </w:r>
      <w:r>
        <w:rPr>
          <w:rFonts w:eastAsia="Times New Roman"/>
          <w:bCs/>
          <w:kern w:val="36"/>
          <w:sz w:val="20"/>
          <w:szCs w:val="20"/>
          <w:lang w:eastAsia="en-ZW"/>
        </w:rPr>
        <w:t xml:space="preserve"> </w:t>
      </w:r>
      <w:r w:rsidR="00FE5B3B">
        <w:rPr>
          <w:rFonts w:eastAsia="Times New Roman"/>
          <w:bCs/>
          <w:kern w:val="36"/>
          <w:sz w:val="20"/>
          <w:szCs w:val="20"/>
          <w:lang w:eastAsia="en-ZW"/>
        </w:rPr>
        <w:t xml:space="preserve"> oils </w:t>
      </w:r>
      <w:r>
        <w:rPr>
          <w:rFonts w:eastAsia="Times New Roman"/>
          <w:bCs/>
          <w:kern w:val="36"/>
          <w:sz w:val="20"/>
          <w:szCs w:val="20"/>
          <w:lang w:eastAsia="en-ZW"/>
        </w:rPr>
        <w:t>were supplied by KAZA natural oils, Zimbabwe</w:t>
      </w:r>
      <w:r w:rsidR="00FE5B3B">
        <w:rPr>
          <w:rFonts w:eastAsia="Times New Roman"/>
          <w:bCs/>
          <w:kern w:val="36"/>
          <w:sz w:val="20"/>
          <w:szCs w:val="20"/>
          <w:lang w:eastAsia="en-ZW"/>
        </w:rPr>
        <w:t>.</w:t>
      </w:r>
      <w:r>
        <w:rPr>
          <w:rFonts w:eastAsia="Times New Roman"/>
          <w:bCs/>
          <w:kern w:val="36"/>
          <w:sz w:val="20"/>
          <w:szCs w:val="20"/>
          <w:lang w:eastAsia="en-ZW"/>
        </w:rPr>
        <w:t xml:space="preserve"> Para Amino Benzoic Acid (PABA) was obtained from ATRIC Biosciences  laboratories</w:t>
      </w:r>
      <w:r>
        <w:rPr>
          <w:sz w:val="20"/>
          <w:szCs w:val="20"/>
        </w:rPr>
        <w:t>.</w:t>
      </w:r>
    </w:p>
    <w:p w14:paraId="3D4498D6" w14:textId="77777777" w:rsidR="0029571F" w:rsidRDefault="0029571F">
      <w:pPr>
        <w:spacing w:line="240" w:lineRule="auto"/>
        <w:contextualSpacing/>
        <w:jc w:val="both"/>
        <w:rPr>
          <w:sz w:val="20"/>
          <w:szCs w:val="20"/>
        </w:rPr>
      </w:pPr>
    </w:p>
    <w:p w14:paraId="0BA822C3" w14:textId="77777777" w:rsidR="0029571F" w:rsidRDefault="005211DE">
      <w:pPr>
        <w:pStyle w:val="Heading3"/>
      </w:pPr>
      <w:r>
        <w:t xml:space="preserve">Method for preparing the emulsion sunscreen </w:t>
      </w:r>
    </w:p>
    <w:p w14:paraId="4C4A3E39" w14:textId="73ED3019" w:rsidR="0029571F" w:rsidRDefault="005211DE">
      <w:pPr>
        <w:rPr>
          <w:rFonts w:eastAsia="Times New Roman"/>
          <w:bCs/>
          <w:kern w:val="36"/>
          <w:sz w:val="20"/>
          <w:szCs w:val="20"/>
          <w:lang w:eastAsia="en-ZW"/>
        </w:rPr>
      </w:pPr>
      <w:r>
        <w:rPr>
          <w:rFonts w:eastAsia="Times New Roman"/>
          <w:bCs/>
          <w:kern w:val="36"/>
          <w:sz w:val="20"/>
          <w:szCs w:val="20"/>
          <w:lang w:eastAsia="en-ZW"/>
        </w:rPr>
        <w:t>In preparing the emulsion</w:t>
      </w:r>
      <w:r w:rsidR="0093361B">
        <w:rPr>
          <w:rFonts w:eastAsia="Times New Roman"/>
          <w:bCs/>
          <w:kern w:val="36"/>
          <w:sz w:val="20"/>
          <w:szCs w:val="20"/>
          <w:lang w:eastAsia="en-ZW"/>
        </w:rPr>
        <w:t>,</w:t>
      </w:r>
      <w:r>
        <w:rPr>
          <w:rFonts w:eastAsia="Times New Roman"/>
          <w:bCs/>
          <w:kern w:val="36"/>
          <w:sz w:val="20"/>
          <w:szCs w:val="20"/>
          <w:lang w:eastAsia="en-ZW"/>
        </w:rPr>
        <w:t xml:space="preserve"> published </w:t>
      </w:r>
      <w:r w:rsidR="00FE5B3B">
        <w:rPr>
          <w:rFonts w:eastAsia="Times New Roman"/>
          <w:bCs/>
          <w:kern w:val="36"/>
          <w:sz w:val="20"/>
          <w:szCs w:val="20"/>
          <w:lang w:eastAsia="en-ZW"/>
        </w:rPr>
        <w:t>methods</w:t>
      </w:r>
      <w:r w:rsidR="0093361B">
        <w:rPr>
          <w:rFonts w:eastAsia="Times New Roman"/>
          <w:bCs/>
          <w:kern w:val="36"/>
          <w:sz w:val="20"/>
          <w:szCs w:val="20"/>
          <w:lang w:eastAsia="en-ZW"/>
        </w:rPr>
        <w:t xml:space="preserve"> </w:t>
      </w:r>
      <w:r>
        <w:rPr>
          <w:rFonts w:eastAsia="Times New Roman"/>
          <w:bCs/>
          <w:kern w:val="36"/>
          <w:sz w:val="20"/>
          <w:szCs w:val="20"/>
          <w:lang w:eastAsia="en-ZW"/>
        </w:rPr>
        <w:t>by Chifamba</w:t>
      </w:r>
      <w:r w:rsidRPr="003E75AE">
        <w:rPr>
          <w:rFonts w:eastAsia="Times New Roman"/>
          <w:bCs/>
          <w:kern w:val="36"/>
          <w:sz w:val="20"/>
          <w:szCs w:val="20"/>
          <w:lang w:eastAsia="en-ZW"/>
        </w:rPr>
        <w:t xml:space="preserve"> </w:t>
      </w:r>
      <w:r w:rsidR="00686636">
        <w:rPr>
          <w:rFonts w:eastAsia="Times New Roman"/>
          <w:bCs/>
          <w:kern w:val="36"/>
          <w:sz w:val="20"/>
          <w:szCs w:val="20"/>
          <w:lang w:eastAsia="en-ZW"/>
        </w:rPr>
        <w:t>and Chifamba</w:t>
      </w:r>
      <w:r w:rsidR="003E75AE">
        <w:rPr>
          <w:rFonts w:eastAsia="Times New Roman"/>
          <w:bCs/>
          <w:kern w:val="36"/>
          <w:sz w:val="20"/>
          <w:szCs w:val="20"/>
          <w:lang w:eastAsia="en-ZW"/>
        </w:rPr>
        <w:t xml:space="preserve"> (</w:t>
      </w:r>
      <w:r>
        <w:rPr>
          <w:rFonts w:eastAsia="Times New Roman"/>
          <w:bCs/>
          <w:kern w:val="36"/>
          <w:sz w:val="20"/>
          <w:szCs w:val="20"/>
          <w:lang w:eastAsia="en-ZW"/>
        </w:rPr>
        <w:t>2024</w:t>
      </w:r>
      <w:r w:rsidR="003E75AE">
        <w:rPr>
          <w:rFonts w:eastAsia="Times New Roman"/>
          <w:bCs/>
          <w:kern w:val="36"/>
          <w:sz w:val="20"/>
          <w:szCs w:val="20"/>
          <w:lang w:eastAsia="en-ZW"/>
        </w:rPr>
        <w:t>)</w:t>
      </w:r>
      <w:r>
        <w:rPr>
          <w:rFonts w:eastAsia="Times New Roman"/>
          <w:bCs/>
          <w:kern w:val="36"/>
          <w:sz w:val="20"/>
          <w:szCs w:val="20"/>
          <w:lang w:eastAsia="en-ZW"/>
        </w:rPr>
        <w:t>, were used as a guide [24].</w:t>
      </w:r>
    </w:p>
    <w:p w14:paraId="5741F110" w14:textId="051B6BFE" w:rsidR="0029571F" w:rsidRDefault="005211DE">
      <w:pPr>
        <w:spacing w:line="240" w:lineRule="auto"/>
        <w:contextualSpacing/>
        <w:jc w:val="both"/>
        <w:rPr>
          <w:sz w:val="20"/>
          <w:szCs w:val="20"/>
        </w:rPr>
      </w:pPr>
      <w:r>
        <w:rPr>
          <w:b/>
          <w:sz w:val="20"/>
          <w:szCs w:val="20"/>
        </w:rPr>
        <w:t>Step 1:</w:t>
      </w:r>
      <w:r>
        <w:rPr>
          <w:sz w:val="20"/>
          <w:szCs w:val="20"/>
        </w:rPr>
        <w:t xml:space="preserve"> A water phase was homogenized in a stainless steel thermal jacketed heating vessel, it contained 75% of the required amount of deionized water, EDTA, glycerin, Carbopol 940</w:t>
      </w:r>
      <w:r>
        <w:rPr>
          <w:sz w:val="20"/>
          <w:szCs w:val="20"/>
          <w:vertAlign w:val="superscript"/>
        </w:rPr>
        <w:t>®</w:t>
      </w:r>
      <w:r w:rsidR="00686636">
        <w:rPr>
          <w:sz w:val="20"/>
          <w:szCs w:val="20"/>
        </w:rPr>
        <w:t xml:space="preserve">, </w:t>
      </w:r>
      <w:r>
        <w:rPr>
          <w:sz w:val="20"/>
          <w:szCs w:val="20"/>
        </w:rPr>
        <w:t>MPG and methyl paraben. The materials were homogenized by a Silverson mixer and heated to 85</w:t>
      </w:r>
      <w:r>
        <w:rPr>
          <w:sz w:val="20"/>
          <w:szCs w:val="20"/>
          <w:vertAlign w:val="superscript"/>
        </w:rPr>
        <w:t>o</w:t>
      </w:r>
      <w:r>
        <w:rPr>
          <w:sz w:val="20"/>
          <w:szCs w:val="20"/>
        </w:rPr>
        <w:t>C for 5 minutes. The Z</w:t>
      </w:r>
      <w:r w:rsidR="00686636">
        <w:rPr>
          <w:sz w:val="20"/>
          <w:szCs w:val="20"/>
        </w:rPr>
        <w:t>nO</w:t>
      </w:r>
      <w:r w:rsidR="0093361B">
        <w:rPr>
          <w:sz w:val="20"/>
          <w:szCs w:val="20"/>
        </w:rPr>
        <w:t xml:space="preserve"> and </w:t>
      </w:r>
      <w:r w:rsidR="00686636">
        <w:rPr>
          <w:sz w:val="20"/>
          <w:szCs w:val="20"/>
        </w:rPr>
        <w:t>TiO</w:t>
      </w:r>
      <w:r w:rsidR="00686636" w:rsidRPr="00686636">
        <w:rPr>
          <w:sz w:val="20"/>
          <w:szCs w:val="20"/>
          <w:vertAlign w:val="subscript"/>
        </w:rPr>
        <w:t>2</w:t>
      </w:r>
      <w:r w:rsidR="0093361B">
        <w:rPr>
          <w:sz w:val="20"/>
          <w:szCs w:val="20"/>
        </w:rPr>
        <w:t xml:space="preserve"> </w:t>
      </w:r>
      <w:r>
        <w:rPr>
          <w:sz w:val="20"/>
          <w:szCs w:val="20"/>
        </w:rPr>
        <w:t xml:space="preserve"> nanoparticles were dispersed into this water phase.  </w:t>
      </w:r>
    </w:p>
    <w:p w14:paraId="17C9E348" w14:textId="50FF455E" w:rsidR="0029571F" w:rsidRDefault="005211DE">
      <w:pPr>
        <w:spacing w:line="240" w:lineRule="auto"/>
        <w:contextualSpacing/>
        <w:jc w:val="both"/>
        <w:rPr>
          <w:sz w:val="20"/>
          <w:szCs w:val="20"/>
        </w:rPr>
      </w:pPr>
      <w:r>
        <w:rPr>
          <w:b/>
          <w:sz w:val="20"/>
          <w:szCs w:val="20"/>
        </w:rPr>
        <w:t>Step 2</w:t>
      </w:r>
      <w:r>
        <w:rPr>
          <w:sz w:val="20"/>
          <w:szCs w:val="20"/>
        </w:rPr>
        <w:t>: In a separate vessel, the oil phase was prepared simultaneously by adding all the required amounts of the following materials and heating them to 90</w:t>
      </w:r>
      <w:r>
        <w:rPr>
          <w:sz w:val="20"/>
          <w:szCs w:val="20"/>
          <w:vertAlign w:val="superscript"/>
        </w:rPr>
        <w:t>o</w:t>
      </w:r>
      <w:r>
        <w:rPr>
          <w:sz w:val="20"/>
          <w:szCs w:val="20"/>
        </w:rPr>
        <w:t xml:space="preserve">C for 5 minutes. The materials included propyl paraben </w:t>
      </w:r>
      <w:r w:rsidR="009E00E4">
        <w:rPr>
          <w:sz w:val="20"/>
          <w:szCs w:val="20"/>
        </w:rPr>
        <w:t>Petrolatum</w:t>
      </w:r>
      <w:r>
        <w:rPr>
          <w:sz w:val="20"/>
          <w:szCs w:val="20"/>
        </w:rPr>
        <w:t>, GMS, cetyl alcohol, castor oil and stearic acid.</w:t>
      </w:r>
    </w:p>
    <w:p w14:paraId="37210D49" w14:textId="77777777" w:rsidR="0029571F" w:rsidRDefault="005211DE">
      <w:pPr>
        <w:spacing w:line="240" w:lineRule="auto"/>
        <w:contextualSpacing/>
        <w:jc w:val="both"/>
        <w:rPr>
          <w:sz w:val="20"/>
          <w:szCs w:val="20"/>
        </w:rPr>
      </w:pPr>
      <w:r>
        <w:rPr>
          <w:b/>
          <w:sz w:val="20"/>
          <w:szCs w:val="20"/>
        </w:rPr>
        <w:lastRenderedPageBreak/>
        <w:t>Step 3:</w:t>
      </w:r>
      <w:r>
        <w:rPr>
          <w:sz w:val="20"/>
          <w:szCs w:val="20"/>
        </w:rPr>
        <w:t xml:space="preserve"> The clear hot oil phase from step 2, was added into the water phase v</w:t>
      </w:r>
      <w:bookmarkStart w:id="3" w:name="_GoBack"/>
      <w:bookmarkEnd w:id="3"/>
      <w:r>
        <w:rPr>
          <w:sz w:val="20"/>
          <w:szCs w:val="20"/>
        </w:rPr>
        <w:t xml:space="preserve">essel from step 1 while consistently agitating with an emulsifying mixer at 3000rpm. Triethanolamine was then added to the newly formed emulsion. </w:t>
      </w:r>
    </w:p>
    <w:p w14:paraId="0A0771FB" w14:textId="080AA2E7" w:rsidR="0029571F" w:rsidRDefault="005211DE">
      <w:pPr>
        <w:spacing w:line="240" w:lineRule="auto"/>
        <w:contextualSpacing/>
        <w:jc w:val="both"/>
        <w:rPr>
          <w:sz w:val="20"/>
          <w:szCs w:val="20"/>
        </w:rPr>
      </w:pPr>
      <w:r>
        <w:rPr>
          <w:b/>
          <w:sz w:val="20"/>
          <w:szCs w:val="20"/>
        </w:rPr>
        <w:t>Step 4:</w:t>
      </w:r>
      <w:r>
        <w:rPr>
          <w:sz w:val="20"/>
          <w:szCs w:val="20"/>
        </w:rPr>
        <w:t xml:space="preserve"> The buffered emulsion was then cooled down naturally by removing sources of heat to 50</w:t>
      </w:r>
      <w:r>
        <w:rPr>
          <w:sz w:val="20"/>
          <w:szCs w:val="20"/>
          <w:vertAlign w:val="superscript"/>
        </w:rPr>
        <w:t>o</w:t>
      </w:r>
      <w:r>
        <w:rPr>
          <w:sz w:val="20"/>
          <w:szCs w:val="20"/>
        </w:rPr>
        <w:t xml:space="preserve">C. The PABA </w:t>
      </w:r>
      <w:r w:rsidR="0093361B">
        <w:rPr>
          <w:sz w:val="20"/>
          <w:szCs w:val="20"/>
        </w:rPr>
        <w:t xml:space="preserve">which was first dissolved in mono propylene glycol </w:t>
      </w:r>
      <w:r>
        <w:rPr>
          <w:sz w:val="20"/>
          <w:szCs w:val="20"/>
        </w:rPr>
        <w:t>was then incorporated at this point. The remaining 25% of the deionized water was also added in to make up the required volume.</w:t>
      </w:r>
    </w:p>
    <w:p w14:paraId="5AAC5019" w14:textId="77777777" w:rsidR="0029571F" w:rsidRDefault="005211DE">
      <w:pPr>
        <w:pStyle w:val="Heading3"/>
      </w:pPr>
      <w:r>
        <w:t xml:space="preserve">Method for preparing the augmented sunscreen </w:t>
      </w:r>
    </w:p>
    <w:p w14:paraId="1F89A57A" w14:textId="5D702EA1" w:rsidR="0029571F" w:rsidRDefault="005211DE">
      <w:pPr>
        <w:jc w:val="both"/>
        <w:rPr>
          <w:sz w:val="20"/>
          <w:szCs w:val="20"/>
          <w:lang w:val="en-ZW"/>
        </w:rPr>
      </w:pPr>
      <w:r w:rsidRPr="008325A8">
        <w:rPr>
          <w:sz w:val="20"/>
          <w:szCs w:val="20"/>
          <w:highlight w:val="yellow"/>
          <w:lang w:val="en-ZW"/>
        </w:rPr>
        <w:t xml:space="preserve">The same procedure in preparing the </w:t>
      </w:r>
      <w:r w:rsidR="008120C1" w:rsidRPr="008325A8">
        <w:rPr>
          <w:sz w:val="20"/>
          <w:szCs w:val="20"/>
          <w:highlight w:val="yellow"/>
          <w:lang w:val="en-ZW"/>
        </w:rPr>
        <w:t xml:space="preserve">nanometric </w:t>
      </w:r>
      <w:r w:rsidRPr="008325A8">
        <w:rPr>
          <w:sz w:val="20"/>
          <w:szCs w:val="20"/>
          <w:highlight w:val="yellow"/>
          <w:lang w:val="en-ZW"/>
        </w:rPr>
        <w:t xml:space="preserve">emulsion sunscreen above was followed </w:t>
      </w:r>
      <w:r w:rsidR="008120C1" w:rsidRPr="008325A8">
        <w:rPr>
          <w:sz w:val="20"/>
          <w:szCs w:val="20"/>
          <w:highlight w:val="yellow"/>
          <w:lang w:val="en-ZW"/>
        </w:rPr>
        <w:t xml:space="preserve">in preparing the augmented sunscreen however, </w:t>
      </w:r>
      <w:r w:rsidRPr="008325A8">
        <w:rPr>
          <w:sz w:val="20"/>
          <w:szCs w:val="20"/>
          <w:highlight w:val="yellow"/>
          <w:lang w:val="en-ZW"/>
        </w:rPr>
        <w:t xml:space="preserve"> in step 2 above, </w:t>
      </w:r>
      <w:r w:rsidR="008120C1" w:rsidRPr="008325A8">
        <w:rPr>
          <w:sz w:val="20"/>
          <w:szCs w:val="20"/>
          <w:highlight w:val="yellow"/>
          <w:lang w:val="en-ZW"/>
        </w:rPr>
        <w:t xml:space="preserve">the incorporation levels of </w:t>
      </w:r>
      <w:r w:rsidR="0093361B" w:rsidRPr="008325A8">
        <w:rPr>
          <w:sz w:val="20"/>
          <w:szCs w:val="20"/>
          <w:highlight w:val="yellow"/>
          <w:lang w:val="en-ZW"/>
        </w:rPr>
        <w:t>the emollients</w:t>
      </w:r>
      <w:r w:rsidR="008120C1" w:rsidRPr="008325A8">
        <w:rPr>
          <w:sz w:val="20"/>
          <w:szCs w:val="20"/>
          <w:highlight w:val="yellow"/>
          <w:lang w:val="en-ZW"/>
        </w:rPr>
        <w:t xml:space="preserve"> (petrolatum and castor oil)</w:t>
      </w:r>
      <w:r w:rsidRPr="008325A8">
        <w:rPr>
          <w:sz w:val="20"/>
          <w:szCs w:val="20"/>
          <w:highlight w:val="yellow"/>
          <w:lang w:val="en-ZW"/>
        </w:rPr>
        <w:t xml:space="preserve"> were </w:t>
      </w:r>
      <w:r w:rsidR="008120C1" w:rsidRPr="008325A8">
        <w:rPr>
          <w:sz w:val="20"/>
          <w:szCs w:val="20"/>
          <w:highlight w:val="yellow"/>
          <w:lang w:val="en-ZW"/>
        </w:rPr>
        <w:t xml:space="preserve">lowered, and the difference was substituted </w:t>
      </w:r>
      <w:r w:rsidRPr="008325A8">
        <w:rPr>
          <w:sz w:val="20"/>
          <w:szCs w:val="20"/>
          <w:highlight w:val="yellow"/>
          <w:lang w:val="en-ZW"/>
        </w:rPr>
        <w:t xml:space="preserve"> by </w:t>
      </w:r>
      <w:r w:rsidRPr="008325A8">
        <w:rPr>
          <w:i/>
          <w:iCs/>
          <w:sz w:val="20"/>
          <w:szCs w:val="20"/>
          <w:highlight w:val="yellow"/>
          <w:lang w:val="en-ZW"/>
        </w:rPr>
        <w:t>C</w:t>
      </w:r>
      <w:r w:rsidR="0093361B" w:rsidRPr="008325A8">
        <w:rPr>
          <w:i/>
          <w:iCs/>
          <w:sz w:val="20"/>
          <w:szCs w:val="20"/>
          <w:highlight w:val="yellow"/>
          <w:lang w:val="en-ZW"/>
        </w:rPr>
        <w:t>.</w:t>
      </w:r>
      <w:r w:rsidRPr="008325A8">
        <w:rPr>
          <w:i/>
          <w:iCs/>
          <w:sz w:val="20"/>
          <w:szCs w:val="20"/>
          <w:highlight w:val="yellow"/>
          <w:lang w:val="en-ZW"/>
        </w:rPr>
        <w:t xml:space="preserve"> lanatus </w:t>
      </w:r>
      <w:r w:rsidRPr="008325A8">
        <w:rPr>
          <w:sz w:val="20"/>
          <w:szCs w:val="20"/>
          <w:highlight w:val="yellow"/>
          <w:lang w:val="en-ZW"/>
        </w:rPr>
        <w:t xml:space="preserve">and </w:t>
      </w:r>
      <w:r w:rsidR="001F1E16" w:rsidRPr="008325A8">
        <w:rPr>
          <w:sz w:val="20"/>
          <w:szCs w:val="20"/>
          <w:highlight w:val="yellow"/>
          <w:lang w:val="en-ZW"/>
        </w:rPr>
        <w:t xml:space="preserve"> </w:t>
      </w:r>
      <w:r w:rsidRPr="008325A8">
        <w:rPr>
          <w:i/>
          <w:iCs/>
          <w:sz w:val="20"/>
          <w:szCs w:val="20"/>
          <w:highlight w:val="yellow"/>
          <w:lang w:val="en-ZW"/>
        </w:rPr>
        <w:t>M</w:t>
      </w:r>
      <w:r w:rsidR="0093361B" w:rsidRPr="008325A8">
        <w:rPr>
          <w:i/>
          <w:iCs/>
          <w:sz w:val="20"/>
          <w:szCs w:val="20"/>
          <w:highlight w:val="yellow"/>
          <w:lang w:val="en-ZW"/>
        </w:rPr>
        <w:t>.</w:t>
      </w:r>
      <w:r w:rsidRPr="008325A8">
        <w:rPr>
          <w:i/>
          <w:iCs/>
          <w:sz w:val="20"/>
          <w:szCs w:val="20"/>
          <w:highlight w:val="yellow"/>
          <w:lang w:val="en-ZW"/>
        </w:rPr>
        <w:t xml:space="preserve"> flabellifolius</w:t>
      </w:r>
      <w:r w:rsidR="008120C1" w:rsidRPr="008325A8">
        <w:rPr>
          <w:sz w:val="20"/>
          <w:szCs w:val="20"/>
          <w:highlight w:val="yellow"/>
          <w:lang w:val="en-ZW"/>
        </w:rPr>
        <w:t>. These augmenting photoprotective oils</w:t>
      </w:r>
      <w:r w:rsidR="001F1E16" w:rsidRPr="008325A8">
        <w:rPr>
          <w:sz w:val="20"/>
          <w:szCs w:val="20"/>
          <w:highlight w:val="yellow"/>
          <w:lang w:val="en-ZW"/>
        </w:rPr>
        <w:t xml:space="preserve">  w</w:t>
      </w:r>
      <w:r w:rsidR="008120C1" w:rsidRPr="008325A8">
        <w:rPr>
          <w:sz w:val="20"/>
          <w:szCs w:val="20"/>
          <w:highlight w:val="yellow"/>
          <w:lang w:val="en-ZW"/>
        </w:rPr>
        <w:t>ere however</w:t>
      </w:r>
      <w:r w:rsidR="001F1E16" w:rsidRPr="008325A8">
        <w:rPr>
          <w:sz w:val="20"/>
          <w:szCs w:val="20"/>
          <w:highlight w:val="yellow"/>
          <w:lang w:val="en-ZW"/>
        </w:rPr>
        <w:t xml:space="preserve"> added in step 4 </w:t>
      </w:r>
      <w:r w:rsidRPr="008325A8">
        <w:rPr>
          <w:sz w:val="20"/>
          <w:szCs w:val="20"/>
          <w:highlight w:val="yellow"/>
          <w:lang w:val="en-ZW"/>
        </w:rPr>
        <w:t>respectively</w:t>
      </w:r>
      <w:r>
        <w:rPr>
          <w:sz w:val="20"/>
          <w:szCs w:val="20"/>
          <w:lang w:val="en-ZW"/>
        </w:rPr>
        <w:t>.</w:t>
      </w:r>
    </w:p>
    <w:p w14:paraId="4D8B2032" w14:textId="77777777" w:rsidR="003E0910" w:rsidRDefault="003E0910" w:rsidP="003E0910">
      <w:pPr>
        <w:pStyle w:val="Heading2"/>
        <w:rPr>
          <w:rFonts w:cs="Arial"/>
          <w:sz w:val="20"/>
          <w:szCs w:val="20"/>
        </w:rPr>
      </w:pPr>
      <w:r w:rsidRPr="003E0910">
        <w:rPr>
          <w:rFonts w:cs="Arial"/>
          <w:sz w:val="20"/>
          <w:szCs w:val="20"/>
        </w:rPr>
        <w:t>Skin sensitivity tests</w:t>
      </w:r>
    </w:p>
    <w:p w14:paraId="57A025F8" w14:textId="58B4C556" w:rsidR="00252A81" w:rsidRPr="003E0910" w:rsidRDefault="00252A81" w:rsidP="00252A81">
      <w:pPr>
        <w:pStyle w:val="Heading3"/>
        <w:rPr>
          <w:b/>
          <w:lang w:val="en-US"/>
        </w:rPr>
      </w:pPr>
      <w:r>
        <w:t xml:space="preserve">Animal skin sensitivity tests </w:t>
      </w:r>
    </w:p>
    <w:p w14:paraId="6D5F0CBF" w14:textId="4E83D7F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The </w:t>
      </w:r>
      <w:r w:rsidR="00252A81">
        <w:rPr>
          <w:bCs/>
          <w:sz w:val="20"/>
          <w:szCs w:val="20"/>
          <w:lang w:val="en-ZW"/>
        </w:rPr>
        <w:t xml:space="preserve">animal </w:t>
      </w:r>
      <w:r w:rsidRPr="003E0910">
        <w:rPr>
          <w:bCs/>
          <w:sz w:val="20"/>
          <w:szCs w:val="20"/>
          <w:lang w:val="en-ZW"/>
        </w:rPr>
        <w:t>skin sensitivity tests conducted on</w:t>
      </w:r>
      <w:r w:rsidR="0056670C">
        <w:rPr>
          <w:bCs/>
          <w:sz w:val="20"/>
          <w:szCs w:val="20"/>
          <w:lang w:val="en-ZW"/>
        </w:rPr>
        <w:t xml:space="preserve"> the</w:t>
      </w:r>
      <w:r w:rsidR="00252A81">
        <w:rPr>
          <w:bCs/>
          <w:sz w:val="20"/>
          <w:szCs w:val="20"/>
          <w:lang w:val="en-ZW"/>
        </w:rPr>
        <w:t xml:space="preserve"> sunscreen formulation</w:t>
      </w:r>
      <w:r w:rsidR="0056670C">
        <w:rPr>
          <w:bCs/>
          <w:sz w:val="20"/>
          <w:szCs w:val="20"/>
          <w:lang w:val="en-ZW"/>
        </w:rPr>
        <w:t xml:space="preserve"> </w:t>
      </w:r>
      <w:r w:rsidRPr="003E0910">
        <w:rPr>
          <w:bCs/>
          <w:sz w:val="20"/>
          <w:szCs w:val="20"/>
          <w:lang w:val="en-ZW"/>
        </w:rPr>
        <w:t>were guided by OECD technical guideline 40</w:t>
      </w:r>
      <w:r w:rsidR="00686636">
        <w:rPr>
          <w:bCs/>
          <w:sz w:val="20"/>
          <w:szCs w:val="20"/>
          <w:lang w:val="en-ZW"/>
        </w:rPr>
        <w:t>4</w:t>
      </w:r>
      <w:r w:rsidRPr="003E0910">
        <w:rPr>
          <w:bCs/>
          <w:sz w:val="20"/>
          <w:szCs w:val="20"/>
          <w:lang w:val="en-ZW"/>
        </w:rPr>
        <w:t xml:space="preserve"> with minor amendments using 3 adult male New England breed white laboratory rabbits, weighing between 1.3-1.8 kgs. The rabbits were checked for their suitability for the study over a 7-day acclimatization period. The rabbits were kept in a rodent facility in a limited access facility. They fed on a typical commercial rabbit diet and had unlimited access to drinking water. Prior to the test, the backs of the rabbits were shaved by </w:t>
      </w:r>
      <w:r w:rsidR="00B468C1" w:rsidRPr="003E0910">
        <w:rPr>
          <w:bCs/>
          <w:sz w:val="20"/>
          <w:szCs w:val="20"/>
          <w:lang w:val="en-ZW"/>
        </w:rPr>
        <w:t>depilatories,</w:t>
      </w:r>
      <w:r w:rsidRPr="003E0910">
        <w:rPr>
          <w:bCs/>
          <w:sz w:val="20"/>
          <w:szCs w:val="20"/>
          <w:lang w:val="en-ZW"/>
        </w:rPr>
        <w:t xml:space="preserve"> and the shaved area was divided into </w:t>
      </w:r>
      <w:r w:rsidR="008F25AA">
        <w:rPr>
          <w:bCs/>
          <w:sz w:val="20"/>
          <w:szCs w:val="20"/>
          <w:lang w:val="en-ZW"/>
        </w:rPr>
        <w:t xml:space="preserve">three </w:t>
      </w:r>
      <w:r w:rsidRPr="003E0910">
        <w:rPr>
          <w:bCs/>
          <w:sz w:val="20"/>
          <w:szCs w:val="20"/>
          <w:lang w:val="en-ZW"/>
        </w:rPr>
        <w:t>marked parts measuring 25cm</w:t>
      </w:r>
      <w:r w:rsidRPr="003E0910">
        <w:rPr>
          <w:bCs/>
          <w:sz w:val="20"/>
          <w:szCs w:val="20"/>
          <w:vertAlign w:val="superscript"/>
          <w:lang w:val="en-ZW"/>
        </w:rPr>
        <w:t>2</w:t>
      </w:r>
      <w:r w:rsidRPr="003E0910">
        <w:rPr>
          <w:bCs/>
          <w:sz w:val="20"/>
          <w:szCs w:val="20"/>
          <w:lang w:val="en-ZW"/>
        </w:rPr>
        <w:t xml:space="preserve"> each. The first marked area was used for the application of the</w:t>
      </w:r>
      <w:r w:rsidRPr="003E0910">
        <w:rPr>
          <w:bCs/>
          <w:iCs/>
          <w:sz w:val="20"/>
          <w:szCs w:val="20"/>
          <w:lang w:val="en-ZW"/>
        </w:rPr>
        <w:t xml:space="preserve"> test</w:t>
      </w:r>
      <w:r w:rsidRPr="003E0910">
        <w:rPr>
          <w:bCs/>
          <w:sz w:val="20"/>
          <w:szCs w:val="20"/>
          <w:lang w:val="en-ZW"/>
        </w:rPr>
        <w:t xml:space="preserve"> </w:t>
      </w:r>
      <w:r w:rsidR="00B468C1" w:rsidRPr="003E0910">
        <w:rPr>
          <w:bCs/>
          <w:sz w:val="20"/>
          <w:szCs w:val="20"/>
          <w:lang w:val="en-ZW"/>
        </w:rPr>
        <w:t>cream,</w:t>
      </w:r>
      <w:r w:rsidRPr="003E0910">
        <w:rPr>
          <w:bCs/>
          <w:sz w:val="20"/>
          <w:szCs w:val="20"/>
          <w:lang w:val="en-ZW"/>
        </w:rPr>
        <w:t xml:space="preserve"> and the second </w:t>
      </w:r>
      <w:r w:rsidR="008F25AA">
        <w:rPr>
          <w:bCs/>
          <w:sz w:val="20"/>
          <w:szCs w:val="20"/>
          <w:lang w:val="en-ZW"/>
        </w:rPr>
        <w:t xml:space="preserve"> and third </w:t>
      </w:r>
      <w:r w:rsidRPr="003E0910">
        <w:rPr>
          <w:bCs/>
          <w:sz w:val="20"/>
          <w:szCs w:val="20"/>
          <w:lang w:val="en-ZW"/>
        </w:rPr>
        <w:t>demarcated area</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used as the </w:t>
      </w:r>
      <w:r w:rsidR="008F25AA">
        <w:rPr>
          <w:bCs/>
          <w:sz w:val="20"/>
          <w:szCs w:val="20"/>
          <w:lang w:val="en-ZW"/>
        </w:rPr>
        <w:t xml:space="preserve">positive and negative </w:t>
      </w:r>
      <w:r w:rsidRPr="003E0910">
        <w:rPr>
          <w:bCs/>
          <w:sz w:val="20"/>
          <w:szCs w:val="20"/>
          <w:lang w:val="en-ZW"/>
        </w:rPr>
        <w:t xml:space="preserve">control testing </w:t>
      </w:r>
      <w:r w:rsidR="008F25AA">
        <w:rPr>
          <w:bCs/>
          <w:sz w:val="20"/>
          <w:szCs w:val="20"/>
          <w:lang w:val="en-ZW"/>
        </w:rPr>
        <w:t xml:space="preserve">sites for </w:t>
      </w:r>
      <w:r w:rsidRPr="003E0910">
        <w:rPr>
          <w:bCs/>
          <w:sz w:val="20"/>
          <w:szCs w:val="20"/>
          <w:lang w:val="en-ZW"/>
        </w:rPr>
        <w:t>the</w:t>
      </w:r>
      <w:r w:rsidR="008F25AA">
        <w:rPr>
          <w:bCs/>
          <w:sz w:val="20"/>
          <w:szCs w:val="20"/>
          <w:lang w:val="en-ZW"/>
        </w:rPr>
        <w:t xml:space="preserve"> skin </w:t>
      </w:r>
      <w:r w:rsidRPr="003E0910">
        <w:rPr>
          <w:bCs/>
          <w:sz w:val="20"/>
          <w:szCs w:val="20"/>
          <w:lang w:val="en-ZW"/>
        </w:rPr>
        <w:t xml:space="preserve">irritation </w:t>
      </w:r>
      <w:r w:rsidR="008F25AA">
        <w:rPr>
          <w:bCs/>
          <w:sz w:val="20"/>
          <w:szCs w:val="20"/>
          <w:lang w:val="en-ZW"/>
        </w:rPr>
        <w:t xml:space="preserve">assessments </w:t>
      </w:r>
      <w:r w:rsidRPr="003E0910">
        <w:rPr>
          <w:bCs/>
          <w:sz w:val="20"/>
          <w:szCs w:val="20"/>
          <w:lang w:val="en-ZW"/>
        </w:rPr>
        <w:t xml:space="preserve">according to OECD </w:t>
      </w:r>
      <w:r w:rsidR="003E75AE">
        <w:rPr>
          <w:bCs/>
          <w:sz w:val="20"/>
          <w:szCs w:val="20"/>
          <w:lang w:val="en-ZW"/>
        </w:rPr>
        <w:t xml:space="preserve">technical </w:t>
      </w:r>
      <w:r w:rsidRPr="003E0910">
        <w:rPr>
          <w:bCs/>
          <w:sz w:val="20"/>
          <w:szCs w:val="20"/>
          <w:lang w:val="en-ZW"/>
        </w:rPr>
        <w:t>guideline</w:t>
      </w:r>
      <w:r w:rsidR="003E75AE">
        <w:rPr>
          <w:bCs/>
          <w:sz w:val="20"/>
          <w:szCs w:val="20"/>
          <w:lang w:val="en-ZW"/>
        </w:rPr>
        <w:t xml:space="preserve"> 40</w:t>
      </w:r>
      <w:r w:rsidR="00430B96">
        <w:rPr>
          <w:bCs/>
          <w:sz w:val="20"/>
          <w:szCs w:val="20"/>
          <w:lang w:val="en-ZW"/>
        </w:rPr>
        <w:t>4</w:t>
      </w:r>
      <w:r w:rsidR="00252A81">
        <w:rPr>
          <w:bCs/>
          <w:sz w:val="20"/>
          <w:szCs w:val="20"/>
          <w:lang w:val="en-ZW"/>
        </w:rPr>
        <w:t>.</w:t>
      </w:r>
      <w:r w:rsidR="003E75AE">
        <w:rPr>
          <w:bCs/>
          <w:sz w:val="20"/>
          <w:szCs w:val="20"/>
          <w:lang w:val="en-ZW"/>
        </w:rPr>
        <w:t xml:space="preserve"> [25]</w:t>
      </w:r>
    </w:p>
    <w:p w14:paraId="7278F032" w14:textId="77777777" w:rsidR="003E0910" w:rsidRPr="003E0910" w:rsidRDefault="003E0910" w:rsidP="003E0910">
      <w:pPr>
        <w:spacing w:line="240" w:lineRule="auto"/>
        <w:contextualSpacing/>
        <w:jc w:val="both"/>
        <w:rPr>
          <w:bCs/>
          <w:sz w:val="20"/>
          <w:szCs w:val="20"/>
          <w:lang w:val="en-ZW"/>
        </w:rPr>
      </w:pPr>
      <w:r w:rsidRPr="003E0910">
        <w:rPr>
          <w:bCs/>
          <w:sz w:val="20"/>
          <w:szCs w:val="20"/>
          <w:lang w:val="en-ZW"/>
        </w:rPr>
        <w:t xml:space="preserve"> </w:t>
      </w:r>
    </w:p>
    <w:p w14:paraId="24A3B543" w14:textId="77777777" w:rsidR="003E0910" w:rsidRPr="003E0910" w:rsidRDefault="003E0910" w:rsidP="00252A81">
      <w:pPr>
        <w:pStyle w:val="Heading4"/>
      </w:pPr>
      <w:r w:rsidRPr="003E0910">
        <w:t>Cream application</w:t>
      </w:r>
    </w:p>
    <w:p w14:paraId="376D9200" w14:textId="1E2DBFE1" w:rsidR="003E0910" w:rsidRDefault="003E0910" w:rsidP="003E0910">
      <w:pPr>
        <w:spacing w:line="240" w:lineRule="auto"/>
        <w:contextualSpacing/>
        <w:jc w:val="both"/>
        <w:rPr>
          <w:bCs/>
          <w:sz w:val="20"/>
          <w:szCs w:val="20"/>
          <w:lang w:val="en-ZW"/>
        </w:rPr>
      </w:pPr>
      <w:r w:rsidRPr="003E0910">
        <w:rPr>
          <w:bCs/>
          <w:sz w:val="20"/>
          <w:szCs w:val="20"/>
          <w:lang w:val="en-ZW"/>
        </w:rPr>
        <w:t>To the test area</w:t>
      </w:r>
      <w:r w:rsidR="008F25AA">
        <w:rPr>
          <w:bCs/>
          <w:sz w:val="20"/>
          <w:szCs w:val="20"/>
          <w:lang w:val="en-ZW"/>
        </w:rPr>
        <w:t>s</w:t>
      </w:r>
      <w:r w:rsidRPr="003E0910">
        <w:rPr>
          <w:bCs/>
          <w:sz w:val="20"/>
          <w:szCs w:val="20"/>
          <w:lang w:val="en-ZW"/>
        </w:rPr>
        <w:t>, 5ml of the test cream</w:t>
      </w:r>
      <w:r w:rsidR="008F25AA">
        <w:rPr>
          <w:bCs/>
          <w:sz w:val="20"/>
          <w:szCs w:val="20"/>
          <w:lang w:val="en-ZW"/>
        </w:rPr>
        <w:t>, negative control (de-ionised water) and positive control (Sodium laurel ether sulphate) were</w:t>
      </w:r>
      <w:r w:rsidRPr="003E0910">
        <w:rPr>
          <w:bCs/>
          <w:sz w:val="20"/>
          <w:szCs w:val="20"/>
          <w:lang w:val="en-ZW"/>
        </w:rPr>
        <w:t xml:space="preserve"> applied by a syringe and spread evenly over the 25cm</w:t>
      </w:r>
      <w:r w:rsidRPr="003E0910">
        <w:rPr>
          <w:bCs/>
          <w:sz w:val="20"/>
          <w:szCs w:val="20"/>
          <w:vertAlign w:val="superscript"/>
          <w:lang w:val="en-ZW"/>
        </w:rPr>
        <w:t xml:space="preserve">2 </w:t>
      </w:r>
      <w:r w:rsidRPr="003E0910">
        <w:rPr>
          <w:bCs/>
          <w:sz w:val="20"/>
          <w:szCs w:val="20"/>
          <w:lang w:val="en-ZW"/>
        </w:rPr>
        <w:t>demarcated shaved area of each animal. The application site</w:t>
      </w:r>
      <w:r w:rsidR="008F25AA">
        <w:rPr>
          <w:bCs/>
          <w:sz w:val="20"/>
          <w:szCs w:val="20"/>
          <w:lang w:val="en-ZW"/>
        </w:rPr>
        <w:t>s</w:t>
      </w:r>
      <w:r w:rsidRPr="003E0910">
        <w:rPr>
          <w:bCs/>
          <w:sz w:val="20"/>
          <w:szCs w:val="20"/>
          <w:lang w:val="en-ZW"/>
        </w:rPr>
        <w:t xml:space="preserve"> w</w:t>
      </w:r>
      <w:r w:rsidR="008F25AA">
        <w:rPr>
          <w:bCs/>
          <w:sz w:val="20"/>
          <w:szCs w:val="20"/>
          <w:lang w:val="en-ZW"/>
        </w:rPr>
        <w:t>ere</w:t>
      </w:r>
      <w:r w:rsidRPr="003E0910">
        <w:rPr>
          <w:bCs/>
          <w:sz w:val="20"/>
          <w:szCs w:val="20"/>
          <w:lang w:val="en-ZW"/>
        </w:rPr>
        <w:t xml:space="preserve"> covered by </w:t>
      </w:r>
      <w:r w:rsidR="00B468C1" w:rsidRPr="003E0910">
        <w:rPr>
          <w:bCs/>
          <w:sz w:val="20"/>
          <w:szCs w:val="20"/>
          <w:lang w:val="en-ZW"/>
        </w:rPr>
        <w:t>gauze,</w:t>
      </w:r>
      <w:r w:rsidRPr="003E0910">
        <w:rPr>
          <w:bCs/>
          <w:sz w:val="20"/>
          <w:szCs w:val="20"/>
          <w:lang w:val="en-ZW"/>
        </w:rPr>
        <w:t xml:space="preserve"> and the area</w:t>
      </w:r>
      <w:r w:rsidR="008F25AA">
        <w:rPr>
          <w:bCs/>
          <w:sz w:val="20"/>
          <w:szCs w:val="20"/>
          <w:lang w:val="en-ZW"/>
        </w:rPr>
        <w:t>s were</w:t>
      </w:r>
      <w:r w:rsidRPr="003E0910">
        <w:rPr>
          <w:bCs/>
          <w:sz w:val="20"/>
          <w:szCs w:val="20"/>
          <w:lang w:val="en-ZW"/>
        </w:rPr>
        <w:t xml:space="preserve"> lightly covered by non-sticky bandages. The treated rabbits were then returned to their respective cages and observations were made to the sites at 24, 48</w:t>
      </w:r>
      <w:r w:rsidR="00252A81">
        <w:rPr>
          <w:bCs/>
          <w:sz w:val="20"/>
          <w:szCs w:val="20"/>
          <w:lang w:val="en-ZW"/>
        </w:rPr>
        <w:t>,</w:t>
      </w:r>
      <w:r w:rsidRPr="003E0910">
        <w:rPr>
          <w:bCs/>
          <w:sz w:val="20"/>
          <w:szCs w:val="20"/>
          <w:lang w:val="en-ZW"/>
        </w:rPr>
        <w:t xml:space="preserve"> 72 </w:t>
      </w:r>
      <w:r w:rsidR="00252A81">
        <w:rPr>
          <w:bCs/>
          <w:sz w:val="20"/>
          <w:szCs w:val="20"/>
          <w:lang w:val="en-ZW"/>
        </w:rPr>
        <w:t xml:space="preserve"> and 96  hou</w:t>
      </w:r>
      <w:r w:rsidRPr="003E0910">
        <w:rPr>
          <w:bCs/>
          <w:sz w:val="20"/>
          <w:szCs w:val="20"/>
          <w:lang w:val="en-ZW"/>
        </w:rPr>
        <w:t>rs. Any sensitivity or reactions to the treatment</w:t>
      </w:r>
      <w:r w:rsidR="008F25AA">
        <w:rPr>
          <w:bCs/>
          <w:sz w:val="20"/>
          <w:szCs w:val="20"/>
          <w:lang w:val="en-ZW"/>
        </w:rPr>
        <w:t>s were</w:t>
      </w:r>
      <w:r w:rsidRPr="003E0910">
        <w:rPr>
          <w:bCs/>
          <w:sz w:val="20"/>
          <w:szCs w:val="20"/>
          <w:lang w:val="en-ZW"/>
        </w:rPr>
        <w:t xml:space="preserve"> evaluated by the following criteria (Table </w:t>
      </w:r>
      <w:r w:rsidR="00686636">
        <w:rPr>
          <w:bCs/>
          <w:sz w:val="20"/>
          <w:szCs w:val="20"/>
          <w:lang w:val="en-ZW"/>
        </w:rPr>
        <w:t>2</w:t>
      </w:r>
      <w:r w:rsidRPr="003E0910">
        <w:rPr>
          <w:bCs/>
          <w:sz w:val="20"/>
          <w:szCs w:val="20"/>
          <w:lang w:val="en-ZW"/>
        </w:rPr>
        <w:t>) as per the documented method.</w:t>
      </w:r>
      <w:r>
        <w:rPr>
          <w:bCs/>
          <w:sz w:val="20"/>
          <w:szCs w:val="20"/>
          <w:lang w:val="en-ZW"/>
        </w:rPr>
        <w:t xml:space="preserve"> [25]</w:t>
      </w:r>
    </w:p>
    <w:p w14:paraId="5AA060AD" w14:textId="631D7F2C" w:rsidR="003E0910" w:rsidRDefault="003E0910" w:rsidP="00252A81">
      <w:pPr>
        <w:pStyle w:val="Heading3"/>
      </w:pPr>
      <w:r>
        <w:t xml:space="preserve">Human skin irritation potential patch testing of the augmented sunscreen </w:t>
      </w:r>
    </w:p>
    <w:p w14:paraId="55A9AF87" w14:textId="4CB5194A" w:rsidR="003E0910" w:rsidRDefault="003E0910" w:rsidP="003E0910">
      <w:pPr>
        <w:jc w:val="both"/>
        <w:rPr>
          <w:bCs/>
          <w:sz w:val="20"/>
          <w:szCs w:val="20"/>
          <w:lang w:val="en-ZW"/>
        </w:rPr>
      </w:pPr>
      <w:r>
        <w:rPr>
          <w:bCs/>
          <w:sz w:val="20"/>
          <w:szCs w:val="20"/>
          <w:lang w:val="en-ZW"/>
        </w:rPr>
        <w:t xml:space="preserve">In this study, 3 healthy subjects (aged </w:t>
      </w:r>
      <w:r w:rsidR="00686636">
        <w:rPr>
          <w:bCs/>
          <w:sz w:val="20"/>
          <w:szCs w:val="20"/>
          <w:lang w:val="en-ZW"/>
        </w:rPr>
        <w:t>19</w:t>
      </w:r>
      <w:r>
        <w:rPr>
          <w:bCs/>
          <w:sz w:val="20"/>
          <w:szCs w:val="20"/>
          <w:lang w:val="en-ZW"/>
        </w:rPr>
        <w:t>,</w:t>
      </w:r>
      <w:r w:rsidR="00686636">
        <w:rPr>
          <w:bCs/>
          <w:sz w:val="20"/>
          <w:szCs w:val="20"/>
          <w:lang w:val="en-ZW"/>
        </w:rPr>
        <w:t>30</w:t>
      </w:r>
      <w:r>
        <w:rPr>
          <w:bCs/>
          <w:sz w:val="20"/>
          <w:szCs w:val="20"/>
          <w:lang w:val="en-ZW"/>
        </w:rPr>
        <w:t xml:space="preserve"> and 4</w:t>
      </w:r>
      <w:r w:rsidR="00686636">
        <w:rPr>
          <w:bCs/>
          <w:sz w:val="20"/>
          <w:szCs w:val="20"/>
          <w:lang w:val="en-ZW"/>
        </w:rPr>
        <w:t>4</w:t>
      </w:r>
      <w:r>
        <w:rPr>
          <w:bCs/>
          <w:sz w:val="20"/>
          <w:szCs w:val="20"/>
          <w:lang w:val="en-ZW"/>
        </w:rPr>
        <w:t xml:space="preserve">years) were recruited. Each participant tested </w:t>
      </w:r>
      <w:r w:rsidR="008F25AA">
        <w:rPr>
          <w:bCs/>
          <w:sz w:val="20"/>
          <w:szCs w:val="20"/>
          <w:lang w:val="en-ZW"/>
        </w:rPr>
        <w:t xml:space="preserve">all 3 </w:t>
      </w:r>
      <w:r w:rsidR="00686636">
        <w:rPr>
          <w:bCs/>
          <w:sz w:val="20"/>
          <w:szCs w:val="20"/>
          <w:lang w:val="en-ZW"/>
        </w:rPr>
        <w:t xml:space="preserve"> </w:t>
      </w:r>
      <w:r>
        <w:rPr>
          <w:bCs/>
          <w:sz w:val="20"/>
          <w:szCs w:val="20"/>
          <w:lang w:val="en-ZW"/>
        </w:rPr>
        <w:t xml:space="preserve">test materials, using a different arm for each of the </w:t>
      </w:r>
      <w:r w:rsidR="008F25AA">
        <w:rPr>
          <w:bCs/>
          <w:sz w:val="20"/>
          <w:szCs w:val="20"/>
          <w:lang w:val="en-ZW"/>
        </w:rPr>
        <w:t>creams</w:t>
      </w:r>
      <w:r>
        <w:rPr>
          <w:bCs/>
          <w:sz w:val="20"/>
          <w:szCs w:val="20"/>
          <w:lang w:val="en-ZW"/>
        </w:rPr>
        <w:t xml:space="preserve"> ( bas</w:t>
      </w:r>
      <w:r w:rsidR="008F25AA">
        <w:rPr>
          <w:bCs/>
          <w:sz w:val="20"/>
          <w:szCs w:val="20"/>
          <w:lang w:val="en-ZW"/>
        </w:rPr>
        <w:t xml:space="preserve">e cream </w:t>
      </w:r>
      <w:r>
        <w:rPr>
          <w:bCs/>
          <w:sz w:val="20"/>
          <w:szCs w:val="20"/>
          <w:lang w:val="en-ZW"/>
        </w:rPr>
        <w:t>and augmented</w:t>
      </w:r>
      <w:r w:rsidR="008F25AA">
        <w:rPr>
          <w:bCs/>
          <w:sz w:val="20"/>
          <w:szCs w:val="20"/>
          <w:lang w:val="en-ZW"/>
        </w:rPr>
        <w:t xml:space="preserve"> sunscreen</w:t>
      </w:r>
      <w:r>
        <w:rPr>
          <w:bCs/>
          <w:sz w:val="20"/>
          <w:szCs w:val="20"/>
          <w:lang w:val="en-ZW"/>
        </w:rPr>
        <w:t xml:space="preserve">). </w:t>
      </w:r>
      <w:r w:rsidR="008F25AA">
        <w:rPr>
          <w:bCs/>
          <w:sz w:val="20"/>
          <w:szCs w:val="20"/>
          <w:lang w:val="en-ZW"/>
        </w:rPr>
        <w:t xml:space="preserve">In this test de ionised water was replaced by the base cream as the negative control. </w:t>
      </w:r>
      <w:r>
        <w:rPr>
          <w:bCs/>
          <w:sz w:val="20"/>
          <w:szCs w:val="20"/>
          <w:lang w:val="en-ZW"/>
        </w:rPr>
        <w:t xml:space="preserve">The participants were briefed on the study </w:t>
      </w:r>
      <w:r w:rsidR="00B468C1">
        <w:rPr>
          <w:bCs/>
          <w:sz w:val="20"/>
          <w:szCs w:val="20"/>
          <w:lang w:val="en-ZW"/>
        </w:rPr>
        <w:t>procedures,</w:t>
      </w:r>
      <w:r>
        <w:rPr>
          <w:bCs/>
          <w:sz w:val="20"/>
          <w:szCs w:val="20"/>
          <w:lang w:val="en-ZW"/>
        </w:rPr>
        <w:t xml:space="preserve"> and a signed written informed consent was obtained from all subjects prior to conducting the procedure</w:t>
      </w:r>
    </w:p>
    <w:p w14:paraId="69BFB059" w14:textId="77777777" w:rsidR="003E0910" w:rsidRDefault="003E0910" w:rsidP="00252A81">
      <w:pPr>
        <w:pStyle w:val="Heading4"/>
      </w:pPr>
      <w:r>
        <w:t>Irritancy patch test procedure</w:t>
      </w:r>
    </w:p>
    <w:p w14:paraId="79DD2C28" w14:textId="0D2D84F1" w:rsidR="003E0910" w:rsidRDefault="003E0910" w:rsidP="003E0910">
      <w:pPr>
        <w:spacing w:line="240" w:lineRule="auto"/>
        <w:contextualSpacing/>
        <w:jc w:val="both"/>
        <w:rPr>
          <w:bCs/>
          <w:sz w:val="20"/>
          <w:szCs w:val="20"/>
          <w:lang w:val="en-ZW"/>
        </w:rPr>
      </w:pPr>
      <w:r>
        <w:rPr>
          <w:bCs/>
          <w:sz w:val="20"/>
          <w:szCs w:val="20"/>
          <w:lang w:val="en-ZW"/>
        </w:rPr>
        <w:t xml:space="preserve">Panellists were tested with </w:t>
      </w:r>
      <w:r w:rsidR="008F25AA">
        <w:rPr>
          <w:bCs/>
          <w:sz w:val="20"/>
          <w:szCs w:val="20"/>
          <w:lang w:val="en-ZW"/>
        </w:rPr>
        <w:t>the</w:t>
      </w:r>
      <w:r>
        <w:rPr>
          <w:bCs/>
          <w:sz w:val="20"/>
          <w:szCs w:val="20"/>
          <w:lang w:val="en-ZW"/>
        </w:rPr>
        <w:t xml:space="preserve"> </w:t>
      </w:r>
      <w:r w:rsidR="008F25AA">
        <w:rPr>
          <w:bCs/>
          <w:sz w:val="20"/>
          <w:szCs w:val="20"/>
          <w:lang w:val="en-ZW"/>
        </w:rPr>
        <w:t>3</w:t>
      </w:r>
      <w:r>
        <w:rPr>
          <w:bCs/>
          <w:sz w:val="20"/>
          <w:szCs w:val="20"/>
          <w:lang w:val="en-ZW"/>
        </w:rPr>
        <w:t xml:space="preserve"> test substances in double blind trials according to standard testing procedures. Using an occlusive patch [FinnChamber on Scanpore (Epitest)] the test material was applied to the volar forearm for 4 x 24-hour periods. </w:t>
      </w:r>
    </w:p>
    <w:p w14:paraId="34F3F4F7" w14:textId="12669835" w:rsidR="003E0910" w:rsidRDefault="003E0910" w:rsidP="003E0910">
      <w:pPr>
        <w:spacing w:line="240" w:lineRule="auto"/>
        <w:contextualSpacing/>
        <w:jc w:val="both"/>
        <w:rPr>
          <w:bCs/>
          <w:sz w:val="20"/>
          <w:szCs w:val="20"/>
          <w:lang w:val="en-ZW"/>
        </w:rPr>
      </w:pPr>
      <w:r>
        <w:rPr>
          <w:bCs/>
          <w:sz w:val="20"/>
          <w:szCs w:val="20"/>
          <w:lang w:val="en-ZW"/>
        </w:rPr>
        <w:t xml:space="preserve">The augmented sunscreen cream (5 µl), basic </w:t>
      </w:r>
      <w:r w:rsidR="008F25AA">
        <w:rPr>
          <w:bCs/>
          <w:sz w:val="20"/>
          <w:szCs w:val="20"/>
          <w:lang w:val="en-ZW"/>
        </w:rPr>
        <w:t>cream</w:t>
      </w:r>
      <w:r>
        <w:rPr>
          <w:bCs/>
          <w:sz w:val="20"/>
          <w:szCs w:val="20"/>
          <w:lang w:val="en-ZW"/>
        </w:rPr>
        <w:t xml:space="preserve"> (negative control) and 1% sodium lauryl sulphate (positive control) were applied topically using white litmus paper (5 mm × 10 mm) and placed on the skin in Finn chambers and kept in position.  After a 24-hour interval, the test specimen was thereafter washed off by tap water and observed for any visible changes such as erythema and oedema. The mean erythemal scores were recorded (ranging from 0 to 4 as in table 2) according to Draize techniques  [25</w:t>
      </w:r>
      <w:r w:rsidR="004C3BB2">
        <w:rPr>
          <w:bCs/>
          <w:sz w:val="20"/>
          <w:szCs w:val="20"/>
          <w:lang w:val="en-ZW"/>
        </w:rPr>
        <w:t>,30</w:t>
      </w:r>
      <w:r>
        <w:rPr>
          <w:bCs/>
          <w:sz w:val="20"/>
          <w:szCs w:val="20"/>
          <w:lang w:val="en-ZW"/>
        </w:rPr>
        <w:t xml:space="preserve">]. A new patch was applied to the same </w:t>
      </w:r>
      <w:r w:rsidR="00B468C1">
        <w:rPr>
          <w:bCs/>
          <w:sz w:val="20"/>
          <w:szCs w:val="20"/>
          <w:lang w:val="en-ZW"/>
        </w:rPr>
        <w:t>area,</w:t>
      </w:r>
      <w:r>
        <w:rPr>
          <w:bCs/>
          <w:sz w:val="20"/>
          <w:szCs w:val="20"/>
          <w:lang w:val="en-ZW"/>
        </w:rPr>
        <w:t xml:space="preserve"> and the procedure was repeated daily for the next 4 days, the test areas were kept dry for the duration of the trial. The cumulative irritancy was calculated daily and averaged over the 4 days. The visual assessment was carried out using a 2 X magnifying lamp for visual scoring and a Minolta Cr400 Chromameter was used to assess the surface colour based on the tristimulus analysis of the reflected xenon light pulse using the lamp system. To quantify the skin response for each test site </w:t>
      </w:r>
      <w:r>
        <w:rPr>
          <w:bCs/>
          <w:sz w:val="20"/>
          <w:szCs w:val="20"/>
          <w:lang w:val="en-ZW"/>
        </w:rPr>
        <w:lastRenderedPageBreak/>
        <w:t xml:space="preserve">compared to the baseline, the estimate values were calculated at 0, 24, 48, 72 and 96h post application of test materials. </w:t>
      </w:r>
    </w:p>
    <w:p w14:paraId="51B21064" w14:textId="77777777" w:rsidR="0029571F" w:rsidRDefault="005211DE">
      <w:pPr>
        <w:pStyle w:val="Heading3"/>
      </w:pPr>
      <w:r>
        <w:t>Score of primary irritation index (SPI)</w:t>
      </w:r>
    </w:p>
    <w:p w14:paraId="372BA1AC" w14:textId="77777777" w:rsidR="0029571F" w:rsidRDefault="0029571F">
      <w:pPr>
        <w:pStyle w:val="Default"/>
        <w:contextualSpacing/>
        <w:jc w:val="both"/>
        <w:rPr>
          <w:b/>
          <w:color w:val="auto"/>
          <w:sz w:val="20"/>
          <w:szCs w:val="20"/>
        </w:rPr>
      </w:pPr>
    </w:p>
    <w:p w14:paraId="1FE6190E" w14:textId="77777777" w:rsidR="0029571F" w:rsidRDefault="005211DE">
      <w:pPr>
        <w:pStyle w:val="Caption"/>
        <w:rPr>
          <w:sz w:val="20"/>
          <w:szCs w:val="20"/>
        </w:rPr>
      </w:pPr>
      <w:r>
        <w:t xml:space="preserve">Table </w:t>
      </w:r>
      <w:r>
        <w:fldChar w:fldCharType="begin"/>
      </w:r>
      <w:r>
        <w:instrText xml:space="preserve"> SEQ Table \* ARABIC </w:instrText>
      </w:r>
      <w:r>
        <w:fldChar w:fldCharType="separate"/>
      </w:r>
      <w:r>
        <w:t>2</w:t>
      </w:r>
      <w:r>
        <w:fldChar w:fldCharType="end"/>
      </w:r>
      <w:r>
        <w:t>: Observed irritation classification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6137"/>
        <w:gridCol w:w="1522"/>
      </w:tblGrid>
      <w:tr w:rsidR="0029571F" w14:paraId="630EB06D" w14:textId="77777777" w:rsidTr="00686636">
        <w:trPr>
          <w:trHeight w:val="317"/>
        </w:trPr>
        <w:tc>
          <w:tcPr>
            <w:tcW w:w="1701" w:type="dxa"/>
            <w:shd w:val="clear" w:color="auto" w:fill="EEECE1" w:themeFill="background2"/>
          </w:tcPr>
          <w:p w14:paraId="595BF232" w14:textId="77777777" w:rsidR="0029571F" w:rsidRPr="0093361B" w:rsidRDefault="005211DE">
            <w:pPr>
              <w:pStyle w:val="NoSpacing"/>
              <w:contextualSpacing/>
              <w:jc w:val="center"/>
              <w:rPr>
                <w:b/>
                <w:sz w:val="18"/>
                <w:szCs w:val="18"/>
              </w:rPr>
            </w:pPr>
            <w:r w:rsidRPr="0093361B">
              <w:rPr>
                <w:b/>
                <w:sz w:val="18"/>
                <w:szCs w:val="18"/>
              </w:rPr>
              <w:t>Reaction</w:t>
            </w:r>
          </w:p>
        </w:tc>
        <w:tc>
          <w:tcPr>
            <w:tcW w:w="6137" w:type="dxa"/>
            <w:shd w:val="clear" w:color="auto" w:fill="D9D9D9" w:themeFill="background1" w:themeFillShade="D9"/>
          </w:tcPr>
          <w:p w14:paraId="37674646" w14:textId="77777777" w:rsidR="0029571F" w:rsidRPr="0093361B" w:rsidRDefault="005211DE">
            <w:pPr>
              <w:pStyle w:val="NoSpacing"/>
              <w:contextualSpacing/>
              <w:jc w:val="center"/>
              <w:rPr>
                <w:b/>
                <w:sz w:val="18"/>
                <w:szCs w:val="18"/>
              </w:rPr>
            </w:pPr>
            <w:r w:rsidRPr="0093361B">
              <w:rPr>
                <w:b/>
                <w:sz w:val="18"/>
                <w:szCs w:val="18"/>
              </w:rPr>
              <w:t>Observation</w:t>
            </w:r>
          </w:p>
        </w:tc>
        <w:tc>
          <w:tcPr>
            <w:tcW w:w="1522" w:type="dxa"/>
            <w:shd w:val="clear" w:color="auto" w:fill="D9D9D9" w:themeFill="background1" w:themeFillShade="D9"/>
          </w:tcPr>
          <w:p w14:paraId="0FFFCAAB" w14:textId="77777777" w:rsidR="0029571F" w:rsidRPr="0093361B" w:rsidRDefault="005211DE">
            <w:pPr>
              <w:pStyle w:val="NoSpacing"/>
              <w:contextualSpacing/>
              <w:jc w:val="center"/>
              <w:rPr>
                <w:b/>
                <w:sz w:val="18"/>
                <w:szCs w:val="18"/>
              </w:rPr>
            </w:pPr>
            <w:r w:rsidRPr="0093361B">
              <w:rPr>
                <w:b/>
                <w:sz w:val="18"/>
                <w:szCs w:val="18"/>
              </w:rPr>
              <w:t>Score</w:t>
            </w:r>
          </w:p>
        </w:tc>
      </w:tr>
      <w:tr w:rsidR="0029571F" w14:paraId="78AD1325" w14:textId="77777777" w:rsidTr="00686636">
        <w:tc>
          <w:tcPr>
            <w:tcW w:w="1701" w:type="dxa"/>
            <w:vMerge w:val="restart"/>
            <w:shd w:val="clear" w:color="auto" w:fill="EEECE1" w:themeFill="background2"/>
          </w:tcPr>
          <w:p w14:paraId="4593292D" w14:textId="77777777" w:rsidR="0029571F" w:rsidRPr="0093361B" w:rsidRDefault="005211DE">
            <w:pPr>
              <w:pStyle w:val="NoSpacing"/>
              <w:contextualSpacing/>
              <w:jc w:val="center"/>
              <w:rPr>
                <w:sz w:val="18"/>
                <w:szCs w:val="18"/>
              </w:rPr>
            </w:pPr>
            <w:r w:rsidRPr="0093361B">
              <w:rPr>
                <w:sz w:val="18"/>
                <w:szCs w:val="18"/>
              </w:rPr>
              <w:t>Erythema</w:t>
            </w:r>
          </w:p>
        </w:tc>
        <w:tc>
          <w:tcPr>
            <w:tcW w:w="6137" w:type="dxa"/>
          </w:tcPr>
          <w:p w14:paraId="399F8C8C" w14:textId="77777777" w:rsidR="0029571F" w:rsidRPr="0093361B" w:rsidRDefault="005211DE">
            <w:pPr>
              <w:pStyle w:val="NoSpacing"/>
              <w:contextualSpacing/>
              <w:jc w:val="center"/>
              <w:rPr>
                <w:sz w:val="18"/>
                <w:szCs w:val="18"/>
              </w:rPr>
            </w:pPr>
            <w:r w:rsidRPr="0093361B">
              <w:rPr>
                <w:sz w:val="18"/>
                <w:szCs w:val="18"/>
              </w:rPr>
              <w:t>No erythema</w:t>
            </w:r>
          </w:p>
        </w:tc>
        <w:tc>
          <w:tcPr>
            <w:tcW w:w="1522" w:type="dxa"/>
          </w:tcPr>
          <w:p w14:paraId="38DFB199" w14:textId="77777777" w:rsidR="0029571F" w:rsidRPr="0093361B" w:rsidRDefault="005211DE">
            <w:pPr>
              <w:pStyle w:val="NoSpacing"/>
              <w:contextualSpacing/>
              <w:jc w:val="center"/>
              <w:rPr>
                <w:sz w:val="18"/>
                <w:szCs w:val="18"/>
              </w:rPr>
            </w:pPr>
            <w:r w:rsidRPr="0093361B">
              <w:rPr>
                <w:sz w:val="18"/>
                <w:szCs w:val="18"/>
              </w:rPr>
              <w:t>0</w:t>
            </w:r>
          </w:p>
        </w:tc>
      </w:tr>
      <w:tr w:rsidR="0029571F" w14:paraId="29F18B7D" w14:textId="77777777" w:rsidTr="00686636">
        <w:tc>
          <w:tcPr>
            <w:tcW w:w="1701" w:type="dxa"/>
            <w:vMerge/>
            <w:shd w:val="clear" w:color="auto" w:fill="EEECE1" w:themeFill="background2"/>
          </w:tcPr>
          <w:p w14:paraId="22C4671B" w14:textId="77777777" w:rsidR="0029571F" w:rsidRPr="0093361B" w:rsidRDefault="0029571F">
            <w:pPr>
              <w:pStyle w:val="NoSpacing"/>
              <w:contextualSpacing/>
              <w:jc w:val="center"/>
              <w:rPr>
                <w:sz w:val="18"/>
                <w:szCs w:val="18"/>
              </w:rPr>
            </w:pPr>
          </w:p>
        </w:tc>
        <w:tc>
          <w:tcPr>
            <w:tcW w:w="6137" w:type="dxa"/>
          </w:tcPr>
          <w:p w14:paraId="63B4499A" w14:textId="77777777" w:rsidR="0029571F" w:rsidRPr="0093361B" w:rsidRDefault="005211DE">
            <w:pPr>
              <w:pStyle w:val="NoSpacing"/>
              <w:contextualSpacing/>
              <w:jc w:val="center"/>
              <w:rPr>
                <w:sz w:val="18"/>
                <w:szCs w:val="18"/>
              </w:rPr>
            </w:pPr>
            <w:r w:rsidRPr="0093361B">
              <w:rPr>
                <w:sz w:val="18"/>
                <w:szCs w:val="18"/>
              </w:rPr>
              <w:t>Very slight erythema</w:t>
            </w:r>
          </w:p>
        </w:tc>
        <w:tc>
          <w:tcPr>
            <w:tcW w:w="1522" w:type="dxa"/>
          </w:tcPr>
          <w:p w14:paraId="16788E23" w14:textId="77777777" w:rsidR="0029571F" w:rsidRPr="0093361B" w:rsidRDefault="005211DE">
            <w:pPr>
              <w:pStyle w:val="NoSpacing"/>
              <w:contextualSpacing/>
              <w:jc w:val="center"/>
              <w:rPr>
                <w:sz w:val="18"/>
                <w:szCs w:val="18"/>
              </w:rPr>
            </w:pPr>
            <w:r w:rsidRPr="0093361B">
              <w:rPr>
                <w:sz w:val="18"/>
                <w:szCs w:val="18"/>
              </w:rPr>
              <w:t>1</w:t>
            </w:r>
          </w:p>
        </w:tc>
      </w:tr>
      <w:tr w:rsidR="0029571F" w14:paraId="669539EF" w14:textId="77777777" w:rsidTr="00686636">
        <w:tc>
          <w:tcPr>
            <w:tcW w:w="1701" w:type="dxa"/>
            <w:vMerge/>
            <w:shd w:val="clear" w:color="auto" w:fill="EEECE1" w:themeFill="background2"/>
          </w:tcPr>
          <w:p w14:paraId="32810BC9" w14:textId="77777777" w:rsidR="0029571F" w:rsidRPr="0093361B" w:rsidRDefault="0029571F">
            <w:pPr>
              <w:pStyle w:val="NoSpacing"/>
              <w:contextualSpacing/>
              <w:jc w:val="center"/>
              <w:rPr>
                <w:sz w:val="18"/>
                <w:szCs w:val="18"/>
              </w:rPr>
            </w:pPr>
          </w:p>
        </w:tc>
        <w:tc>
          <w:tcPr>
            <w:tcW w:w="6137" w:type="dxa"/>
          </w:tcPr>
          <w:p w14:paraId="1BADDB8A" w14:textId="77777777" w:rsidR="0029571F" w:rsidRPr="0093361B" w:rsidRDefault="005211DE">
            <w:pPr>
              <w:pStyle w:val="NoSpacing"/>
              <w:contextualSpacing/>
              <w:jc w:val="center"/>
              <w:rPr>
                <w:sz w:val="18"/>
                <w:szCs w:val="18"/>
              </w:rPr>
            </w:pPr>
            <w:r w:rsidRPr="0093361B">
              <w:rPr>
                <w:sz w:val="18"/>
                <w:szCs w:val="18"/>
              </w:rPr>
              <w:t>Well-defined erythema</w:t>
            </w:r>
          </w:p>
        </w:tc>
        <w:tc>
          <w:tcPr>
            <w:tcW w:w="1522" w:type="dxa"/>
          </w:tcPr>
          <w:p w14:paraId="77CBF57A" w14:textId="77777777" w:rsidR="0029571F" w:rsidRPr="0093361B" w:rsidRDefault="005211DE">
            <w:pPr>
              <w:pStyle w:val="NoSpacing"/>
              <w:contextualSpacing/>
              <w:jc w:val="center"/>
              <w:rPr>
                <w:sz w:val="18"/>
                <w:szCs w:val="18"/>
              </w:rPr>
            </w:pPr>
            <w:r w:rsidRPr="0093361B">
              <w:rPr>
                <w:sz w:val="18"/>
                <w:szCs w:val="18"/>
              </w:rPr>
              <w:t>2</w:t>
            </w:r>
          </w:p>
        </w:tc>
      </w:tr>
      <w:tr w:rsidR="0029571F" w14:paraId="152792A0" w14:textId="77777777" w:rsidTr="00686636">
        <w:tc>
          <w:tcPr>
            <w:tcW w:w="1701" w:type="dxa"/>
            <w:vMerge/>
            <w:shd w:val="clear" w:color="auto" w:fill="EEECE1" w:themeFill="background2"/>
          </w:tcPr>
          <w:p w14:paraId="05DC8655" w14:textId="77777777" w:rsidR="0029571F" w:rsidRPr="0093361B" w:rsidRDefault="0029571F">
            <w:pPr>
              <w:pStyle w:val="NoSpacing"/>
              <w:contextualSpacing/>
              <w:jc w:val="center"/>
              <w:rPr>
                <w:sz w:val="18"/>
                <w:szCs w:val="18"/>
              </w:rPr>
            </w:pPr>
          </w:p>
        </w:tc>
        <w:tc>
          <w:tcPr>
            <w:tcW w:w="6137" w:type="dxa"/>
          </w:tcPr>
          <w:p w14:paraId="781A0BB2" w14:textId="77777777" w:rsidR="0029571F" w:rsidRPr="0093361B" w:rsidRDefault="005211DE">
            <w:pPr>
              <w:pStyle w:val="NoSpacing"/>
              <w:contextualSpacing/>
              <w:jc w:val="center"/>
              <w:rPr>
                <w:sz w:val="18"/>
                <w:szCs w:val="18"/>
              </w:rPr>
            </w:pPr>
            <w:r w:rsidRPr="0093361B">
              <w:rPr>
                <w:sz w:val="18"/>
                <w:szCs w:val="18"/>
              </w:rPr>
              <w:t>Moderate to severe erythema</w:t>
            </w:r>
          </w:p>
        </w:tc>
        <w:tc>
          <w:tcPr>
            <w:tcW w:w="1522" w:type="dxa"/>
          </w:tcPr>
          <w:p w14:paraId="1A3F9AEF" w14:textId="77777777" w:rsidR="0029571F" w:rsidRPr="0093361B" w:rsidRDefault="005211DE">
            <w:pPr>
              <w:pStyle w:val="NoSpacing"/>
              <w:contextualSpacing/>
              <w:jc w:val="center"/>
              <w:rPr>
                <w:sz w:val="18"/>
                <w:szCs w:val="18"/>
              </w:rPr>
            </w:pPr>
            <w:r w:rsidRPr="0093361B">
              <w:rPr>
                <w:sz w:val="18"/>
                <w:szCs w:val="18"/>
              </w:rPr>
              <w:t>3</w:t>
            </w:r>
          </w:p>
        </w:tc>
      </w:tr>
      <w:tr w:rsidR="0029571F" w14:paraId="37C2E00B" w14:textId="77777777" w:rsidTr="00686636">
        <w:tc>
          <w:tcPr>
            <w:tcW w:w="1701" w:type="dxa"/>
            <w:vMerge/>
            <w:shd w:val="clear" w:color="auto" w:fill="EEECE1" w:themeFill="background2"/>
          </w:tcPr>
          <w:p w14:paraId="2A30C8C3" w14:textId="77777777" w:rsidR="0029571F" w:rsidRPr="0093361B" w:rsidRDefault="0029571F">
            <w:pPr>
              <w:pStyle w:val="NoSpacing"/>
              <w:contextualSpacing/>
              <w:jc w:val="center"/>
              <w:rPr>
                <w:sz w:val="18"/>
                <w:szCs w:val="18"/>
              </w:rPr>
            </w:pPr>
          </w:p>
        </w:tc>
        <w:tc>
          <w:tcPr>
            <w:tcW w:w="6137" w:type="dxa"/>
          </w:tcPr>
          <w:p w14:paraId="2C92A301" w14:textId="77777777" w:rsidR="0029571F" w:rsidRPr="0093361B" w:rsidRDefault="005211DE">
            <w:pPr>
              <w:pStyle w:val="NoSpacing"/>
              <w:contextualSpacing/>
              <w:jc w:val="center"/>
              <w:rPr>
                <w:sz w:val="18"/>
                <w:szCs w:val="18"/>
              </w:rPr>
            </w:pPr>
            <w:r w:rsidRPr="0093361B">
              <w:rPr>
                <w:sz w:val="18"/>
                <w:szCs w:val="18"/>
              </w:rPr>
              <w:t>Severe erythema to eschar formation</w:t>
            </w:r>
          </w:p>
        </w:tc>
        <w:tc>
          <w:tcPr>
            <w:tcW w:w="1522" w:type="dxa"/>
          </w:tcPr>
          <w:p w14:paraId="10841FC1" w14:textId="77777777" w:rsidR="0029571F" w:rsidRPr="0093361B" w:rsidRDefault="005211DE">
            <w:pPr>
              <w:pStyle w:val="NoSpacing"/>
              <w:contextualSpacing/>
              <w:jc w:val="center"/>
              <w:rPr>
                <w:sz w:val="18"/>
                <w:szCs w:val="18"/>
              </w:rPr>
            </w:pPr>
            <w:r w:rsidRPr="0093361B">
              <w:rPr>
                <w:sz w:val="18"/>
                <w:szCs w:val="18"/>
              </w:rPr>
              <w:t>4</w:t>
            </w:r>
          </w:p>
        </w:tc>
      </w:tr>
      <w:tr w:rsidR="0029571F" w14:paraId="749D726D" w14:textId="77777777" w:rsidTr="00686636">
        <w:tc>
          <w:tcPr>
            <w:tcW w:w="1701" w:type="dxa"/>
            <w:vMerge w:val="restart"/>
            <w:shd w:val="clear" w:color="auto" w:fill="EEECE1" w:themeFill="background2"/>
          </w:tcPr>
          <w:p w14:paraId="4A19D0ED" w14:textId="77777777" w:rsidR="0029571F" w:rsidRPr="0093361B" w:rsidRDefault="005211DE">
            <w:pPr>
              <w:pStyle w:val="NoSpacing"/>
              <w:contextualSpacing/>
              <w:jc w:val="center"/>
              <w:rPr>
                <w:sz w:val="18"/>
                <w:szCs w:val="18"/>
              </w:rPr>
            </w:pPr>
            <w:r w:rsidRPr="0093361B">
              <w:rPr>
                <w:sz w:val="18"/>
                <w:szCs w:val="18"/>
              </w:rPr>
              <w:t>Oedema</w:t>
            </w:r>
          </w:p>
        </w:tc>
        <w:tc>
          <w:tcPr>
            <w:tcW w:w="6137" w:type="dxa"/>
          </w:tcPr>
          <w:p w14:paraId="5B70E026" w14:textId="77777777" w:rsidR="0029571F" w:rsidRPr="0093361B" w:rsidRDefault="005211DE">
            <w:pPr>
              <w:pStyle w:val="NoSpacing"/>
              <w:contextualSpacing/>
              <w:jc w:val="center"/>
              <w:rPr>
                <w:sz w:val="18"/>
                <w:szCs w:val="18"/>
              </w:rPr>
            </w:pPr>
            <w:r w:rsidRPr="0093361B">
              <w:rPr>
                <w:sz w:val="18"/>
                <w:szCs w:val="18"/>
              </w:rPr>
              <w:t>No oedema</w:t>
            </w:r>
          </w:p>
        </w:tc>
        <w:tc>
          <w:tcPr>
            <w:tcW w:w="1522" w:type="dxa"/>
          </w:tcPr>
          <w:p w14:paraId="1453F9A9" w14:textId="77777777" w:rsidR="0029571F" w:rsidRPr="0093361B" w:rsidRDefault="005211DE">
            <w:pPr>
              <w:pStyle w:val="NoSpacing"/>
              <w:contextualSpacing/>
              <w:jc w:val="center"/>
              <w:rPr>
                <w:sz w:val="18"/>
                <w:szCs w:val="18"/>
              </w:rPr>
            </w:pPr>
            <w:r w:rsidRPr="0093361B">
              <w:rPr>
                <w:sz w:val="18"/>
                <w:szCs w:val="18"/>
              </w:rPr>
              <w:t>0</w:t>
            </w:r>
          </w:p>
        </w:tc>
      </w:tr>
      <w:tr w:rsidR="0029571F" w14:paraId="41F32843" w14:textId="77777777" w:rsidTr="00686636">
        <w:tc>
          <w:tcPr>
            <w:tcW w:w="1701" w:type="dxa"/>
            <w:vMerge/>
            <w:shd w:val="clear" w:color="auto" w:fill="EEECE1" w:themeFill="background2"/>
          </w:tcPr>
          <w:p w14:paraId="573BBBFA" w14:textId="77777777" w:rsidR="0029571F" w:rsidRPr="0093361B" w:rsidRDefault="0029571F">
            <w:pPr>
              <w:pStyle w:val="NoSpacing"/>
              <w:contextualSpacing/>
              <w:jc w:val="center"/>
              <w:rPr>
                <w:sz w:val="18"/>
                <w:szCs w:val="18"/>
              </w:rPr>
            </w:pPr>
          </w:p>
        </w:tc>
        <w:tc>
          <w:tcPr>
            <w:tcW w:w="6137" w:type="dxa"/>
          </w:tcPr>
          <w:p w14:paraId="29A753BE" w14:textId="77777777" w:rsidR="0029571F" w:rsidRPr="0093361B" w:rsidRDefault="005211DE">
            <w:pPr>
              <w:pStyle w:val="NoSpacing"/>
              <w:contextualSpacing/>
              <w:jc w:val="center"/>
              <w:rPr>
                <w:sz w:val="18"/>
                <w:szCs w:val="18"/>
              </w:rPr>
            </w:pPr>
            <w:r w:rsidRPr="0093361B">
              <w:rPr>
                <w:sz w:val="18"/>
                <w:szCs w:val="18"/>
              </w:rPr>
              <w:t>Very slight oedema</w:t>
            </w:r>
          </w:p>
        </w:tc>
        <w:tc>
          <w:tcPr>
            <w:tcW w:w="1522" w:type="dxa"/>
          </w:tcPr>
          <w:p w14:paraId="13446569" w14:textId="77777777" w:rsidR="0029571F" w:rsidRPr="0093361B" w:rsidRDefault="005211DE">
            <w:pPr>
              <w:pStyle w:val="NoSpacing"/>
              <w:contextualSpacing/>
              <w:jc w:val="center"/>
              <w:rPr>
                <w:sz w:val="18"/>
                <w:szCs w:val="18"/>
              </w:rPr>
            </w:pPr>
            <w:r w:rsidRPr="0093361B">
              <w:rPr>
                <w:sz w:val="18"/>
                <w:szCs w:val="18"/>
              </w:rPr>
              <w:t>1</w:t>
            </w:r>
          </w:p>
        </w:tc>
      </w:tr>
      <w:tr w:rsidR="0029571F" w14:paraId="3967B94B" w14:textId="77777777" w:rsidTr="00686636">
        <w:tc>
          <w:tcPr>
            <w:tcW w:w="1701" w:type="dxa"/>
            <w:vMerge/>
            <w:shd w:val="clear" w:color="auto" w:fill="EEECE1" w:themeFill="background2"/>
          </w:tcPr>
          <w:p w14:paraId="285C783E" w14:textId="77777777" w:rsidR="0029571F" w:rsidRPr="0093361B" w:rsidRDefault="0029571F">
            <w:pPr>
              <w:pStyle w:val="NoSpacing"/>
              <w:contextualSpacing/>
              <w:jc w:val="center"/>
              <w:rPr>
                <w:sz w:val="18"/>
                <w:szCs w:val="18"/>
              </w:rPr>
            </w:pPr>
          </w:p>
        </w:tc>
        <w:tc>
          <w:tcPr>
            <w:tcW w:w="6137" w:type="dxa"/>
          </w:tcPr>
          <w:p w14:paraId="7E7DBD8F" w14:textId="77777777" w:rsidR="0029571F" w:rsidRPr="0093361B" w:rsidRDefault="005211DE">
            <w:pPr>
              <w:pStyle w:val="NoSpacing"/>
              <w:contextualSpacing/>
              <w:jc w:val="center"/>
              <w:rPr>
                <w:sz w:val="18"/>
                <w:szCs w:val="18"/>
              </w:rPr>
            </w:pPr>
            <w:r w:rsidRPr="0093361B">
              <w:rPr>
                <w:sz w:val="18"/>
                <w:szCs w:val="18"/>
              </w:rPr>
              <w:t>Well defined oedema</w:t>
            </w:r>
          </w:p>
        </w:tc>
        <w:tc>
          <w:tcPr>
            <w:tcW w:w="1522" w:type="dxa"/>
          </w:tcPr>
          <w:p w14:paraId="38DE0B63" w14:textId="77777777" w:rsidR="0029571F" w:rsidRPr="0093361B" w:rsidRDefault="005211DE">
            <w:pPr>
              <w:pStyle w:val="NoSpacing"/>
              <w:contextualSpacing/>
              <w:jc w:val="center"/>
              <w:rPr>
                <w:sz w:val="18"/>
                <w:szCs w:val="18"/>
              </w:rPr>
            </w:pPr>
            <w:r w:rsidRPr="0093361B">
              <w:rPr>
                <w:sz w:val="18"/>
                <w:szCs w:val="18"/>
              </w:rPr>
              <w:t>2</w:t>
            </w:r>
          </w:p>
        </w:tc>
      </w:tr>
      <w:tr w:rsidR="0029571F" w14:paraId="6604AE89" w14:textId="77777777" w:rsidTr="00686636">
        <w:tc>
          <w:tcPr>
            <w:tcW w:w="1701" w:type="dxa"/>
            <w:vMerge/>
            <w:shd w:val="clear" w:color="auto" w:fill="EEECE1" w:themeFill="background2"/>
          </w:tcPr>
          <w:p w14:paraId="5B3C5467" w14:textId="77777777" w:rsidR="0029571F" w:rsidRPr="0093361B" w:rsidRDefault="0029571F">
            <w:pPr>
              <w:pStyle w:val="NoSpacing"/>
              <w:contextualSpacing/>
              <w:jc w:val="center"/>
              <w:rPr>
                <w:sz w:val="18"/>
                <w:szCs w:val="18"/>
              </w:rPr>
            </w:pPr>
          </w:p>
        </w:tc>
        <w:tc>
          <w:tcPr>
            <w:tcW w:w="6137" w:type="dxa"/>
          </w:tcPr>
          <w:p w14:paraId="347ECB4F" w14:textId="77777777" w:rsidR="0029571F" w:rsidRPr="0093361B" w:rsidRDefault="005211DE">
            <w:pPr>
              <w:pStyle w:val="NoSpacing"/>
              <w:contextualSpacing/>
              <w:jc w:val="center"/>
              <w:rPr>
                <w:sz w:val="18"/>
                <w:szCs w:val="18"/>
              </w:rPr>
            </w:pPr>
            <w:r w:rsidRPr="0093361B">
              <w:rPr>
                <w:sz w:val="18"/>
                <w:szCs w:val="18"/>
              </w:rPr>
              <w:t>Moderate oedema (raising 1mm)</w:t>
            </w:r>
          </w:p>
        </w:tc>
        <w:tc>
          <w:tcPr>
            <w:tcW w:w="1522" w:type="dxa"/>
          </w:tcPr>
          <w:p w14:paraId="7F4A7202" w14:textId="77777777" w:rsidR="0029571F" w:rsidRPr="0093361B" w:rsidRDefault="005211DE">
            <w:pPr>
              <w:pStyle w:val="NoSpacing"/>
              <w:contextualSpacing/>
              <w:jc w:val="center"/>
              <w:rPr>
                <w:sz w:val="18"/>
                <w:szCs w:val="18"/>
              </w:rPr>
            </w:pPr>
            <w:r w:rsidRPr="0093361B">
              <w:rPr>
                <w:sz w:val="18"/>
                <w:szCs w:val="18"/>
              </w:rPr>
              <w:t>3</w:t>
            </w:r>
          </w:p>
        </w:tc>
      </w:tr>
      <w:tr w:rsidR="0029571F" w14:paraId="11757FE2" w14:textId="77777777" w:rsidTr="00686636">
        <w:tc>
          <w:tcPr>
            <w:tcW w:w="1701" w:type="dxa"/>
            <w:vMerge/>
            <w:tcBorders>
              <w:bottom w:val="single" w:sz="4" w:space="0" w:color="auto"/>
            </w:tcBorders>
            <w:shd w:val="clear" w:color="auto" w:fill="EEECE1" w:themeFill="background2"/>
          </w:tcPr>
          <w:p w14:paraId="5CA8A8B1" w14:textId="77777777" w:rsidR="0029571F" w:rsidRPr="0093361B" w:rsidRDefault="0029571F">
            <w:pPr>
              <w:pStyle w:val="NoSpacing"/>
              <w:contextualSpacing/>
              <w:jc w:val="center"/>
              <w:rPr>
                <w:sz w:val="18"/>
                <w:szCs w:val="18"/>
              </w:rPr>
            </w:pPr>
          </w:p>
        </w:tc>
        <w:tc>
          <w:tcPr>
            <w:tcW w:w="6137" w:type="dxa"/>
            <w:tcBorders>
              <w:bottom w:val="single" w:sz="4" w:space="0" w:color="auto"/>
            </w:tcBorders>
          </w:tcPr>
          <w:p w14:paraId="4D5C6FDB" w14:textId="77777777" w:rsidR="0029571F" w:rsidRPr="0093361B" w:rsidRDefault="005211DE">
            <w:pPr>
              <w:pStyle w:val="NoSpacing"/>
              <w:contextualSpacing/>
              <w:jc w:val="center"/>
              <w:rPr>
                <w:sz w:val="18"/>
                <w:szCs w:val="18"/>
              </w:rPr>
            </w:pPr>
            <w:r w:rsidRPr="0093361B">
              <w:rPr>
                <w:sz w:val="18"/>
                <w:szCs w:val="18"/>
              </w:rPr>
              <w:t>Severe oedema (raised more than 1 mm and extending beyond area of exposure</w:t>
            </w:r>
          </w:p>
        </w:tc>
        <w:tc>
          <w:tcPr>
            <w:tcW w:w="1522" w:type="dxa"/>
            <w:tcBorders>
              <w:bottom w:val="single" w:sz="4" w:space="0" w:color="auto"/>
            </w:tcBorders>
          </w:tcPr>
          <w:p w14:paraId="6E3C116D" w14:textId="77777777" w:rsidR="0029571F" w:rsidRPr="0093361B" w:rsidRDefault="005211DE">
            <w:pPr>
              <w:pStyle w:val="NoSpacing"/>
              <w:contextualSpacing/>
              <w:jc w:val="center"/>
              <w:rPr>
                <w:sz w:val="18"/>
                <w:szCs w:val="18"/>
              </w:rPr>
            </w:pPr>
            <w:r w:rsidRPr="0093361B">
              <w:rPr>
                <w:sz w:val="18"/>
                <w:szCs w:val="18"/>
              </w:rPr>
              <w:t>4</w:t>
            </w:r>
          </w:p>
        </w:tc>
      </w:tr>
      <w:tr w:rsidR="0029571F" w14:paraId="65FFB9B2" w14:textId="77777777">
        <w:tc>
          <w:tcPr>
            <w:tcW w:w="7838" w:type="dxa"/>
            <w:gridSpan w:val="2"/>
            <w:shd w:val="clear" w:color="auto" w:fill="FFFFFF" w:themeFill="background1"/>
          </w:tcPr>
          <w:p w14:paraId="63B7A930" w14:textId="77777777" w:rsidR="0029571F" w:rsidRPr="0093361B" w:rsidRDefault="005211DE">
            <w:pPr>
              <w:pStyle w:val="NoSpacing"/>
              <w:contextualSpacing/>
              <w:jc w:val="center"/>
              <w:rPr>
                <w:b/>
                <w:sz w:val="18"/>
                <w:szCs w:val="18"/>
              </w:rPr>
            </w:pPr>
            <w:r w:rsidRPr="0093361B">
              <w:rPr>
                <w:b/>
                <w:sz w:val="18"/>
                <w:szCs w:val="18"/>
              </w:rPr>
              <w:t>Total score for primary irritation</w:t>
            </w:r>
          </w:p>
        </w:tc>
        <w:tc>
          <w:tcPr>
            <w:tcW w:w="1522" w:type="dxa"/>
            <w:shd w:val="clear" w:color="auto" w:fill="FFFFFF" w:themeFill="background1"/>
          </w:tcPr>
          <w:p w14:paraId="17E27719" w14:textId="77777777" w:rsidR="0029571F" w:rsidRPr="0093361B" w:rsidRDefault="005211DE">
            <w:pPr>
              <w:pStyle w:val="NoSpacing"/>
              <w:contextualSpacing/>
              <w:jc w:val="center"/>
              <w:rPr>
                <w:b/>
                <w:sz w:val="18"/>
                <w:szCs w:val="18"/>
              </w:rPr>
            </w:pPr>
            <w:r w:rsidRPr="0093361B">
              <w:rPr>
                <w:b/>
                <w:sz w:val="18"/>
                <w:szCs w:val="18"/>
              </w:rPr>
              <w:t>8</w:t>
            </w:r>
          </w:p>
        </w:tc>
      </w:tr>
    </w:tbl>
    <w:p w14:paraId="1E83C3AC" w14:textId="77777777" w:rsidR="0029571F" w:rsidRDefault="0029571F">
      <w:pPr>
        <w:spacing w:line="240" w:lineRule="auto"/>
        <w:contextualSpacing/>
        <w:jc w:val="both"/>
        <w:rPr>
          <w:sz w:val="20"/>
          <w:szCs w:val="20"/>
        </w:rPr>
      </w:pPr>
    </w:p>
    <w:p w14:paraId="3FF66770" w14:textId="77777777" w:rsidR="0029571F" w:rsidRDefault="005211DE">
      <w:pPr>
        <w:spacing w:line="240" w:lineRule="auto"/>
        <w:contextualSpacing/>
        <w:jc w:val="both"/>
        <w:rPr>
          <w:sz w:val="20"/>
          <w:szCs w:val="20"/>
        </w:rPr>
      </w:pPr>
      <w:r>
        <w:rPr>
          <w:sz w:val="20"/>
          <w:szCs w:val="20"/>
        </w:rPr>
        <w:t>The Score of Primary Irritation (SPI) was calculated by the following equation 1 for both the treated and the control sites.</w:t>
      </w:r>
    </w:p>
    <w:p w14:paraId="2A22C271" w14:textId="77777777" w:rsidR="00686636" w:rsidRPr="00686636" w:rsidRDefault="00686636" w:rsidP="00686636">
      <w:pPr>
        <w:spacing w:line="240" w:lineRule="auto"/>
        <w:contextualSpacing/>
        <w:jc w:val="both"/>
        <w:rPr>
          <w:rFonts w:eastAsiaTheme="minorEastAsia"/>
          <w:bCs/>
          <w:i/>
          <w:iCs/>
          <w:sz w:val="20"/>
          <w:szCs w:val="20"/>
        </w:rPr>
      </w:pPr>
      <w:r w:rsidRPr="00686636">
        <w:rPr>
          <w:i/>
          <w:iCs/>
          <w:sz w:val="20"/>
          <w:szCs w:val="20"/>
        </w:rPr>
        <w:t xml:space="preserve">  </w:t>
      </w:r>
      <w:r w:rsidRPr="00686636">
        <w:rPr>
          <w:rFonts w:eastAsiaTheme="minorEastAsia"/>
          <w:bCs/>
          <w:i/>
          <w:iCs/>
          <w:sz w:val="20"/>
          <w:szCs w:val="20"/>
        </w:rPr>
        <w:t>Equation 1</w:t>
      </w:r>
    </w:p>
    <w:p w14:paraId="6AEB183D" w14:textId="77777777" w:rsidR="0029571F" w:rsidRDefault="0029571F">
      <w:pPr>
        <w:spacing w:line="240" w:lineRule="auto"/>
        <w:contextualSpacing/>
        <w:jc w:val="both"/>
        <w:rPr>
          <w:rFonts w:eastAsiaTheme="minorEastAsia"/>
          <w:sz w:val="20"/>
          <w:szCs w:val="20"/>
        </w:rPr>
      </w:pPr>
    </w:p>
    <w:p w14:paraId="256CFD50" w14:textId="77777777" w:rsidR="0029571F" w:rsidRDefault="005211DE">
      <w:pPr>
        <w:spacing w:line="240" w:lineRule="auto"/>
        <w:contextualSpacing/>
        <w:jc w:val="both"/>
        <w:rPr>
          <w:sz w:val="20"/>
          <w:szCs w:val="20"/>
        </w:rPr>
      </w:pPr>
      <m:oMathPara>
        <m:oMath>
          <m:r>
            <w:rPr>
              <w:rFonts w:ascii="Cambria Math" w:hAnsi="Cambria Math"/>
              <w:sz w:val="20"/>
              <w:szCs w:val="20"/>
            </w:rPr>
            <m:t>SPI</m:t>
          </m:r>
          <m:r>
            <m:rPr>
              <m:sty m:val="p"/>
            </m:rP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m:t>
              </m:r>
            </m:e>
          </m:nary>
          <m:f>
            <m:fPr>
              <m:ctrlPr>
                <w:rPr>
                  <w:rFonts w:ascii="Cambria Math" w:hAnsi="Cambria Math"/>
                  <w:sz w:val="20"/>
                  <w:szCs w:val="20"/>
                </w:rPr>
              </m:ctrlPr>
            </m:fPr>
            <m:num>
              <m:r>
                <w:rPr>
                  <w:rFonts w:ascii="Cambria Math" w:hAnsi="Cambria Math"/>
                  <w:sz w:val="20"/>
                  <w:szCs w:val="20"/>
                </w:rPr>
                <m:t xml:space="preserve">erytherma and oedema grade  at 24,48,72,96 </m:t>
              </m:r>
              <m:r>
                <w:rPr>
                  <w:rFonts w:ascii="Cambria Math" w:hAnsi="Cambria Math"/>
                  <w:sz w:val="20"/>
                  <w:szCs w:val="20"/>
                </w:rPr>
                <m:t>hrs</m:t>
              </m:r>
            </m:num>
            <m:den>
              <m:r>
                <w:rPr>
                  <w:rFonts w:ascii="Cambria Math" w:hAnsi="Cambria Math"/>
                  <w:sz w:val="20"/>
                  <w:szCs w:val="20"/>
                </w:rPr>
                <m:t>number of observations</m:t>
              </m:r>
            </m:den>
          </m:f>
        </m:oMath>
      </m:oMathPara>
    </w:p>
    <w:p w14:paraId="3B2A6292" w14:textId="77777777" w:rsidR="0029571F" w:rsidRDefault="0029571F">
      <w:pPr>
        <w:spacing w:line="240" w:lineRule="auto"/>
        <w:contextualSpacing/>
        <w:rPr>
          <w:rFonts w:eastAsiaTheme="minorEastAsia"/>
          <w:b/>
          <w:sz w:val="20"/>
          <w:szCs w:val="20"/>
        </w:rPr>
      </w:pPr>
    </w:p>
    <w:p w14:paraId="64144ECF" w14:textId="77777777" w:rsidR="0029571F" w:rsidRDefault="005211DE">
      <w:pPr>
        <w:pStyle w:val="Heading3"/>
      </w:pPr>
      <w:r>
        <w:t>Primary irritation index (PII)</w:t>
      </w:r>
    </w:p>
    <w:p w14:paraId="7A2037E2" w14:textId="77777777" w:rsidR="0029571F" w:rsidRDefault="005211DE">
      <w:pPr>
        <w:spacing w:line="240" w:lineRule="auto"/>
        <w:contextualSpacing/>
        <w:jc w:val="both"/>
        <w:rPr>
          <w:sz w:val="20"/>
          <w:szCs w:val="20"/>
        </w:rPr>
      </w:pPr>
      <w:r>
        <w:rPr>
          <w:sz w:val="20"/>
          <w:szCs w:val="20"/>
        </w:rPr>
        <w:t>The Primary Irritation Index (PII) was derived from the differences between the summed SPI scores for the treated site and the control sites. The PII was calculated by the following equation 2:</w:t>
      </w:r>
    </w:p>
    <w:p w14:paraId="0E856CF4" w14:textId="77777777" w:rsidR="00686636" w:rsidRDefault="00686636" w:rsidP="00686636">
      <w:pPr>
        <w:spacing w:line="240" w:lineRule="auto"/>
        <w:contextualSpacing/>
        <w:jc w:val="both"/>
        <w:rPr>
          <w:rFonts w:eastAsiaTheme="minorEastAsia"/>
          <w:sz w:val="20"/>
          <w:szCs w:val="20"/>
        </w:rPr>
      </w:pPr>
    </w:p>
    <w:p w14:paraId="010AA76E" w14:textId="10C5C78F" w:rsidR="00686636" w:rsidRPr="00686636" w:rsidRDefault="00686636" w:rsidP="00686636">
      <w:pPr>
        <w:spacing w:line="240" w:lineRule="auto"/>
        <w:contextualSpacing/>
        <w:jc w:val="both"/>
        <w:rPr>
          <w:rFonts w:eastAsiaTheme="minorEastAsia"/>
          <w:i/>
          <w:iCs/>
          <w:sz w:val="20"/>
          <w:szCs w:val="20"/>
        </w:rPr>
      </w:pPr>
      <w:r w:rsidRPr="00686636">
        <w:rPr>
          <w:rFonts w:eastAsiaTheme="minorEastAsia"/>
          <w:i/>
          <w:iCs/>
          <w:sz w:val="20"/>
          <w:szCs w:val="20"/>
        </w:rPr>
        <w:t>Equation 2</w:t>
      </w:r>
    </w:p>
    <w:p w14:paraId="410CCD64" w14:textId="77777777" w:rsidR="0029571F" w:rsidRDefault="0029571F">
      <w:pPr>
        <w:spacing w:line="240" w:lineRule="auto"/>
        <w:contextualSpacing/>
        <w:jc w:val="both"/>
        <w:rPr>
          <w:sz w:val="20"/>
          <w:szCs w:val="20"/>
        </w:rPr>
      </w:pPr>
    </w:p>
    <w:p w14:paraId="23304B93" w14:textId="77777777" w:rsidR="0029571F" w:rsidRDefault="005211DE">
      <w:pPr>
        <w:spacing w:line="240" w:lineRule="auto"/>
        <w:contextualSpacing/>
        <w:jc w:val="both"/>
        <w:rPr>
          <w:rFonts w:eastAsiaTheme="minorEastAsia"/>
          <w:sz w:val="20"/>
          <w:szCs w:val="20"/>
        </w:rPr>
      </w:pPr>
      <m:oMathPara>
        <m:oMath>
          <m:r>
            <w:rPr>
              <w:rFonts w:ascii="Cambria Math" w:eastAsiaTheme="minorEastAsia" w:hAnsi="Cambria Math"/>
              <w:sz w:val="20"/>
              <w:szCs w:val="20"/>
            </w:rPr>
            <m:t>PII</m:t>
          </m:r>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SPI</m:t>
                  </m:r>
                  <m:d>
                    <m:dPr>
                      <m:ctrlPr>
                        <w:rPr>
                          <w:rFonts w:ascii="Cambria Math" w:hAnsi="Cambria Math"/>
                          <w:i/>
                          <w:sz w:val="20"/>
                          <w:szCs w:val="20"/>
                        </w:rPr>
                      </m:ctrlPr>
                    </m:dPr>
                    <m:e>
                      <m:r>
                        <w:rPr>
                          <w:rFonts w:ascii="Cambria Math" w:hAnsi="Cambria Math"/>
                          <w:sz w:val="20"/>
                          <w:szCs w:val="20"/>
                        </w:rPr>
                        <m:t>test</m:t>
                      </m:r>
                    </m:e>
                  </m:d>
                  <m:r>
                    <w:rPr>
                      <w:rFonts w:ascii="Cambria Math" w:hAnsi="Cambria Math"/>
                      <w:sz w:val="20"/>
                      <w:szCs w:val="20"/>
                    </w:rPr>
                    <m:t>-</m:t>
                  </m:r>
                </m:e>
              </m:nary>
              <m:nary>
                <m:naryPr>
                  <m:chr m:val="∑"/>
                  <m:limLoc m:val="undOvr"/>
                  <m:subHide m:val="1"/>
                  <m:supHide m:val="1"/>
                  <m:ctrlPr>
                    <w:rPr>
                      <w:rFonts w:ascii="Cambria Math" w:hAnsi="Cambria Math"/>
                      <w:i/>
                      <w:sz w:val="20"/>
                      <w:szCs w:val="20"/>
                    </w:rPr>
                  </m:ctrlPr>
                </m:naryPr>
                <m:sub/>
                <m:sup/>
                <m:e>
                  <m:r>
                    <w:rPr>
                      <w:rFonts w:ascii="Cambria Math" w:hAnsi="Cambria Math"/>
                      <w:sz w:val="20"/>
                      <w:szCs w:val="20"/>
                    </w:rPr>
                    <m:t xml:space="preserve">SPI </m:t>
                  </m:r>
                  <m:d>
                    <m:dPr>
                      <m:ctrlPr>
                        <w:rPr>
                          <w:rFonts w:ascii="Cambria Math" w:hAnsi="Cambria Math"/>
                          <w:i/>
                          <w:sz w:val="20"/>
                          <w:szCs w:val="20"/>
                        </w:rPr>
                      </m:ctrlPr>
                    </m:dPr>
                    <m:e>
                      <m:r>
                        <w:rPr>
                          <w:rFonts w:ascii="Cambria Math" w:hAnsi="Cambria Math"/>
                          <w:sz w:val="20"/>
                          <w:szCs w:val="20"/>
                        </w:rPr>
                        <m:t>base</m:t>
                      </m:r>
                    </m:e>
                  </m:d>
                </m:e>
              </m:nary>
            </m:num>
            <m:den>
              <m:r>
                <w:rPr>
                  <w:rFonts w:ascii="Cambria Math" w:eastAsiaTheme="minorEastAsia" w:hAnsi="Cambria Math"/>
                  <w:sz w:val="20"/>
                  <w:szCs w:val="20"/>
                </w:rPr>
                <m:t>number of participants</m:t>
              </m:r>
            </m:den>
          </m:f>
        </m:oMath>
      </m:oMathPara>
    </w:p>
    <w:p w14:paraId="0ECFFC81" w14:textId="77777777" w:rsidR="0029571F" w:rsidRDefault="0029571F">
      <w:pPr>
        <w:spacing w:line="240" w:lineRule="auto"/>
        <w:contextualSpacing/>
        <w:jc w:val="both"/>
        <w:rPr>
          <w:rFonts w:eastAsiaTheme="minorEastAsia"/>
          <w:sz w:val="20"/>
          <w:szCs w:val="20"/>
        </w:rPr>
      </w:pPr>
    </w:p>
    <w:p w14:paraId="6A1A55B4" w14:textId="77777777" w:rsidR="0029571F" w:rsidRDefault="005211DE">
      <w:pPr>
        <w:spacing w:line="240" w:lineRule="auto"/>
        <w:contextualSpacing/>
        <w:jc w:val="both"/>
        <w:rPr>
          <w:rFonts w:eastAsiaTheme="minorEastAsia"/>
          <w:sz w:val="20"/>
          <w:szCs w:val="20"/>
        </w:rPr>
      </w:pPr>
      <w:r>
        <w:rPr>
          <w:rFonts w:eastAsiaTheme="minorEastAsia"/>
          <w:sz w:val="20"/>
          <w:szCs w:val="20"/>
        </w:rPr>
        <w:t xml:space="preserve">The degree of irritation was then categorized according to the Draize irritation response categories in Table 3. </w:t>
      </w:r>
    </w:p>
    <w:p w14:paraId="0F56DC18" w14:textId="77777777" w:rsidR="0029571F" w:rsidRDefault="005211DE">
      <w:pPr>
        <w:pStyle w:val="Caption"/>
        <w:rPr>
          <w:sz w:val="20"/>
          <w:szCs w:val="20"/>
        </w:rPr>
      </w:pPr>
      <w:bookmarkStart w:id="4" w:name="_Toc433173554"/>
      <w:r>
        <w:t xml:space="preserve">Table </w:t>
      </w:r>
      <w:r>
        <w:fldChar w:fldCharType="begin"/>
      </w:r>
      <w:r>
        <w:instrText xml:space="preserve"> SEQ Table \* ARABIC </w:instrText>
      </w:r>
      <w:r>
        <w:fldChar w:fldCharType="separate"/>
      </w:r>
      <w:r>
        <w:t>3</w:t>
      </w:r>
      <w:r>
        <w:fldChar w:fldCharType="end"/>
      </w:r>
      <w:r>
        <w:rPr>
          <w:sz w:val="20"/>
          <w:szCs w:val="20"/>
        </w:rPr>
        <w:t>:  Irritation response categories</w:t>
      </w:r>
      <w:bookmarkEnd w:id="4"/>
    </w:p>
    <w:tbl>
      <w:tblPr>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681"/>
        <w:gridCol w:w="4679"/>
      </w:tblGrid>
      <w:tr w:rsidR="0029571F" w:rsidRPr="0093361B" w14:paraId="0AE484A1" w14:textId="77777777">
        <w:tc>
          <w:tcPr>
            <w:tcW w:w="4788" w:type="dxa"/>
            <w:shd w:val="clear" w:color="auto" w:fill="EEECE1" w:themeFill="background2"/>
          </w:tcPr>
          <w:p w14:paraId="1246484F"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Category</w:t>
            </w:r>
          </w:p>
        </w:tc>
        <w:tc>
          <w:tcPr>
            <w:tcW w:w="4788" w:type="dxa"/>
            <w:shd w:val="clear" w:color="auto" w:fill="EEECE1" w:themeFill="background2"/>
          </w:tcPr>
          <w:p w14:paraId="2D50AC08" w14:textId="77777777" w:rsidR="0029571F" w:rsidRPr="0093361B" w:rsidRDefault="005211DE">
            <w:pPr>
              <w:pStyle w:val="NoSpacing"/>
              <w:contextualSpacing/>
              <w:jc w:val="center"/>
              <w:rPr>
                <w:rFonts w:eastAsiaTheme="minorEastAsia"/>
                <w:b/>
                <w:sz w:val="18"/>
                <w:szCs w:val="18"/>
              </w:rPr>
            </w:pPr>
            <w:r w:rsidRPr="0093361B">
              <w:rPr>
                <w:rFonts w:eastAsiaTheme="minorEastAsia"/>
                <w:b/>
                <w:sz w:val="18"/>
                <w:szCs w:val="18"/>
              </w:rPr>
              <w:t>Primary irritation index (PII)</w:t>
            </w:r>
          </w:p>
        </w:tc>
      </w:tr>
      <w:tr w:rsidR="0029571F" w:rsidRPr="0093361B" w14:paraId="0B80E455" w14:textId="77777777" w:rsidTr="007F0BDB">
        <w:tc>
          <w:tcPr>
            <w:tcW w:w="4788" w:type="dxa"/>
            <w:shd w:val="clear" w:color="auto" w:fill="EEECE1" w:themeFill="background2"/>
          </w:tcPr>
          <w:p w14:paraId="7BC0C02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Negligible irritation</w:t>
            </w:r>
          </w:p>
        </w:tc>
        <w:tc>
          <w:tcPr>
            <w:tcW w:w="4788" w:type="dxa"/>
            <w:shd w:val="clear" w:color="auto" w:fill="FFFFFF" w:themeFill="background1"/>
          </w:tcPr>
          <w:p w14:paraId="2C992DDB"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0-0.4</w:t>
            </w:r>
          </w:p>
        </w:tc>
      </w:tr>
      <w:tr w:rsidR="0029571F" w:rsidRPr="0093361B" w14:paraId="3F9DEAE2" w14:textId="77777777" w:rsidTr="007F0BDB">
        <w:tc>
          <w:tcPr>
            <w:tcW w:w="4788" w:type="dxa"/>
            <w:shd w:val="clear" w:color="auto" w:fill="EEECE1" w:themeFill="background2"/>
          </w:tcPr>
          <w:p w14:paraId="6AC44613"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Slight irritation</w:t>
            </w:r>
          </w:p>
        </w:tc>
        <w:tc>
          <w:tcPr>
            <w:tcW w:w="4788" w:type="dxa"/>
            <w:shd w:val="clear" w:color="auto" w:fill="FFFFFF" w:themeFill="background1"/>
          </w:tcPr>
          <w:p w14:paraId="06C145C2"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0.5-1.9</w:t>
            </w:r>
          </w:p>
        </w:tc>
      </w:tr>
      <w:tr w:rsidR="0029571F" w:rsidRPr="0093361B" w14:paraId="6C98644D" w14:textId="77777777" w:rsidTr="007F0BDB">
        <w:tc>
          <w:tcPr>
            <w:tcW w:w="4788" w:type="dxa"/>
            <w:shd w:val="clear" w:color="auto" w:fill="EEECE1" w:themeFill="background2"/>
          </w:tcPr>
          <w:p w14:paraId="2848BDEA"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Moderate irritation</w:t>
            </w:r>
          </w:p>
        </w:tc>
        <w:tc>
          <w:tcPr>
            <w:tcW w:w="4788" w:type="dxa"/>
            <w:shd w:val="clear" w:color="auto" w:fill="FFFFFF" w:themeFill="background1"/>
          </w:tcPr>
          <w:p w14:paraId="09AA7D5F"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2-4.9</w:t>
            </w:r>
          </w:p>
        </w:tc>
      </w:tr>
      <w:tr w:rsidR="0029571F" w:rsidRPr="0093361B" w14:paraId="2139CF08" w14:textId="77777777" w:rsidTr="007F0BDB">
        <w:tc>
          <w:tcPr>
            <w:tcW w:w="4788" w:type="dxa"/>
            <w:shd w:val="clear" w:color="auto" w:fill="EEECE1" w:themeFill="background2"/>
          </w:tcPr>
          <w:p w14:paraId="2D4CC00E"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Severe Irritation</w:t>
            </w:r>
          </w:p>
        </w:tc>
        <w:tc>
          <w:tcPr>
            <w:tcW w:w="4788" w:type="dxa"/>
            <w:shd w:val="clear" w:color="auto" w:fill="FFFFFF" w:themeFill="background1"/>
          </w:tcPr>
          <w:p w14:paraId="7470AA15" w14:textId="77777777" w:rsidR="0029571F" w:rsidRPr="0093361B" w:rsidRDefault="005211DE">
            <w:pPr>
              <w:pStyle w:val="NoSpacing"/>
              <w:contextualSpacing/>
              <w:jc w:val="center"/>
              <w:rPr>
                <w:rFonts w:eastAsiaTheme="minorEastAsia"/>
                <w:sz w:val="18"/>
                <w:szCs w:val="18"/>
              </w:rPr>
            </w:pPr>
            <w:r w:rsidRPr="0093361B">
              <w:rPr>
                <w:rFonts w:eastAsiaTheme="minorEastAsia"/>
                <w:sz w:val="18"/>
                <w:szCs w:val="18"/>
              </w:rPr>
              <w:t>5-8</w:t>
            </w:r>
          </w:p>
        </w:tc>
      </w:tr>
    </w:tbl>
    <w:p w14:paraId="41C832DC" w14:textId="77777777" w:rsidR="0029571F" w:rsidRDefault="0029571F">
      <w:pPr>
        <w:pStyle w:val="Default"/>
        <w:contextualSpacing/>
        <w:jc w:val="both"/>
        <w:rPr>
          <w:color w:val="auto"/>
          <w:sz w:val="20"/>
          <w:szCs w:val="20"/>
        </w:rPr>
      </w:pPr>
    </w:p>
    <w:p w14:paraId="065077A6" w14:textId="77777777" w:rsidR="0029571F" w:rsidRDefault="005211DE">
      <w:pPr>
        <w:pStyle w:val="Heading2"/>
        <w:rPr>
          <w:rFonts w:cs="Arial"/>
          <w:sz w:val="20"/>
          <w:szCs w:val="20"/>
        </w:rPr>
      </w:pPr>
      <w:r>
        <w:rPr>
          <w:rFonts w:cs="Arial"/>
          <w:i/>
          <w:sz w:val="20"/>
          <w:szCs w:val="20"/>
        </w:rPr>
        <w:t>In-Vitro</w:t>
      </w:r>
      <w:r>
        <w:rPr>
          <w:rFonts w:cs="Arial"/>
          <w:sz w:val="20"/>
          <w:szCs w:val="20"/>
        </w:rPr>
        <w:t xml:space="preserve"> photoprotection efficacy  determination of the augmented sunscreen</w:t>
      </w:r>
    </w:p>
    <w:p w14:paraId="00AC48ED" w14:textId="6E990365" w:rsidR="0029571F" w:rsidRDefault="005211DE">
      <w:pPr>
        <w:pStyle w:val="Default"/>
        <w:contextualSpacing/>
        <w:jc w:val="both"/>
        <w:rPr>
          <w:rFonts w:eastAsia="Calibri"/>
          <w:sz w:val="20"/>
          <w:szCs w:val="20"/>
        </w:rPr>
      </w:pPr>
      <w:r w:rsidRPr="00862FAA">
        <w:rPr>
          <w:rFonts w:eastAsia="Calibri"/>
          <w:sz w:val="20"/>
          <w:szCs w:val="20"/>
          <w:highlight w:val="yellow"/>
        </w:rPr>
        <w:t>The SPF</w:t>
      </w:r>
      <w:r w:rsidR="0093361B" w:rsidRPr="00862FAA">
        <w:rPr>
          <w:rFonts w:eastAsia="Calibri"/>
          <w:sz w:val="20"/>
          <w:szCs w:val="20"/>
          <w:highlight w:val="yellow"/>
        </w:rPr>
        <w:t xml:space="preserve">s for both the basic and </w:t>
      </w:r>
      <w:r w:rsidRPr="00862FAA">
        <w:rPr>
          <w:rFonts w:eastAsia="Calibri"/>
          <w:sz w:val="20"/>
          <w:szCs w:val="20"/>
          <w:highlight w:val="yellow"/>
        </w:rPr>
        <w:t xml:space="preserve"> augmented sunscreens were evaluated using directives on sunscreen testing and labelling of products prescribed by the FDA and COLIPA [2</w:t>
      </w:r>
      <w:r w:rsidR="004C3BB2" w:rsidRPr="00862FAA">
        <w:rPr>
          <w:rFonts w:eastAsia="Calibri"/>
          <w:sz w:val="20"/>
          <w:szCs w:val="20"/>
          <w:highlight w:val="yellow"/>
        </w:rPr>
        <w:t>6]</w:t>
      </w:r>
      <w:r w:rsidRPr="00862FAA">
        <w:rPr>
          <w:rFonts w:eastAsia="Calibri"/>
          <w:sz w:val="20"/>
          <w:szCs w:val="20"/>
          <w:highlight w:val="yellow"/>
        </w:rPr>
        <w:t xml:space="preserve"> guided by published methods by Chifamba </w:t>
      </w:r>
      <w:r w:rsidR="007F0BDB" w:rsidRPr="00862FAA">
        <w:rPr>
          <w:rFonts w:eastAsia="Calibri"/>
          <w:sz w:val="20"/>
          <w:szCs w:val="20"/>
          <w:highlight w:val="yellow"/>
        </w:rPr>
        <w:t>and Chifamba</w:t>
      </w:r>
      <w:r w:rsidRPr="00862FAA">
        <w:rPr>
          <w:rFonts w:eastAsia="Calibri"/>
          <w:sz w:val="20"/>
          <w:szCs w:val="20"/>
          <w:highlight w:val="yellow"/>
        </w:rPr>
        <w:t xml:space="preserve"> </w:t>
      </w:r>
      <w:r w:rsidR="004C3BB2" w:rsidRPr="00862FAA">
        <w:rPr>
          <w:rFonts w:eastAsia="Calibri"/>
          <w:sz w:val="20"/>
          <w:szCs w:val="20"/>
          <w:highlight w:val="yellow"/>
        </w:rPr>
        <w:t>2024 [24</w:t>
      </w:r>
      <w:r w:rsidRPr="00862FAA">
        <w:rPr>
          <w:rFonts w:eastAsia="Calibri"/>
          <w:sz w:val="20"/>
          <w:szCs w:val="20"/>
          <w:highlight w:val="yellow"/>
        </w:rPr>
        <w:t>].</w:t>
      </w:r>
      <w:r w:rsidRPr="00862FAA">
        <w:rPr>
          <w:sz w:val="20"/>
          <w:szCs w:val="20"/>
          <w:highlight w:val="yellow"/>
        </w:rPr>
        <w:t xml:space="preserve">  As mandated by both guidelines, t</w:t>
      </w:r>
      <w:r w:rsidRPr="00862FAA">
        <w:rPr>
          <w:rFonts w:eastAsia="Calibri"/>
          <w:sz w:val="20"/>
          <w:szCs w:val="20"/>
          <w:highlight w:val="yellow"/>
        </w:rPr>
        <w:t xml:space="preserve">he </w:t>
      </w:r>
      <w:r w:rsidRPr="00862FAA">
        <w:rPr>
          <w:rFonts w:eastAsia="Calibri"/>
          <w:i/>
          <w:sz w:val="20"/>
          <w:szCs w:val="20"/>
          <w:highlight w:val="yellow"/>
        </w:rPr>
        <w:t>in vitro</w:t>
      </w:r>
      <w:r w:rsidRPr="00862FAA">
        <w:rPr>
          <w:rFonts w:eastAsia="Calibri"/>
          <w:sz w:val="20"/>
          <w:szCs w:val="20"/>
          <w:highlight w:val="yellow"/>
        </w:rPr>
        <w:t xml:space="preserve"> SPF determinations were carried out using a Spectrophotometer equipped with two photodiode array spectrographs and coupled to an integrating sphere. (Ultraviolet Transmittance Analyzer (UV-2000S, Labsphere, USA). The spectrophotometer xenon flash lamp supplied energy in the spectral range between</w:t>
      </w:r>
      <w:r>
        <w:rPr>
          <w:rFonts w:eastAsia="Calibri"/>
          <w:sz w:val="20"/>
          <w:szCs w:val="20"/>
        </w:rPr>
        <w:t xml:space="preserve"> 290–450 nm while </w:t>
      </w:r>
      <w:r>
        <w:rPr>
          <w:rFonts w:eastAsia="Calibri"/>
          <w:sz w:val="20"/>
          <w:szCs w:val="20"/>
        </w:rPr>
        <w:lastRenderedPageBreak/>
        <w:t>emitting the required continuous peak</w:t>
      </w:r>
      <w:r w:rsidR="007F0BDB">
        <w:rPr>
          <w:rFonts w:eastAsia="Calibri"/>
          <w:sz w:val="20"/>
          <w:szCs w:val="20"/>
        </w:rPr>
        <w:t>-</w:t>
      </w:r>
      <w:r>
        <w:rPr>
          <w:rFonts w:eastAsia="Calibri"/>
          <w:sz w:val="20"/>
          <w:szCs w:val="20"/>
        </w:rPr>
        <w:t>less spectrum of radiation. The incremental step was 1nm and the irradiance was conveniently kept low so as not to introduce potential photo stability to the sample. The formulated sunscreens were applied at a rate of 2mg/cm</w:t>
      </w:r>
      <w:r>
        <w:rPr>
          <w:rFonts w:eastAsia="Calibri"/>
          <w:sz w:val="20"/>
          <w:szCs w:val="20"/>
          <w:vertAlign w:val="superscript"/>
        </w:rPr>
        <w:t>2</w:t>
      </w:r>
      <w:r>
        <w:rPr>
          <w:rFonts w:eastAsia="Calibri"/>
          <w:sz w:val="20"/>
          <w:szCs w:val="20"/>
        </w:rPr>
        <w:t xml:space="preserve"> to square Polymethylmethacrylate (PMMA) plates which were roughed on one side (Helioplate™ HD6, HelioScreen, France) and was spread evenly over the plates with a fingertip covered in a vinyl glove.  The individual sunscreen, 50mg in total per plate, was directly weighed and applied in droplets onto the plates. Three plates were prepared for each sample, and the filmed plates were kept in the dark to equilibrate for 20 minutes at 25</w:t>
      </w:r>
      <w:r>
        <w:rPr>
          <w:rFonts w:eastAsia="Calibri"/>
          <w:sz w:val="20"/>
          <w:szCs w:val="20"/>
          <w:vertAlign w:val="superscript"/>
        </w:rPr>
        <w:t>o</w:t>
      </w:r>
      <w:r>
        <w:rPr>
          <w:rFonts w:eastAsia="Calibri"/>
          <w:sz w:val="20"/>
          <w:szCs w:val="20"/>
        </w:rPr>
        <w:t>C degrees. The equilibrated plates were then subsequently mounted onto the light-path of the Ultraviolet Transmittance Analyzer (UV -2000S). The UV radiation transmittance patterns through the mounted samples were measured using the equipment settings above at 6 different sites of the plates. The built-in equipment software used the recorded transmission patterns to calculate and determine In-vitro UVA/B photo protection efficacy accordingly: The UVR photo protection efficacy of the sunscreens was determined through the calculation of the UVB protection efficacy (SPF) and the UVA protection efficacy (UVAPF), the UVA/UVB ratio and the critical wavelength ƛ</w:t>
      </w:r>
      <w:r>
        <w:rPr>
          <w:rFonts w:eastAsia="Calibri"/>
          <w:sz w:val="20"/>
          <w:szCs w:val="20"/>
          <w:vertAlign w:val="subscript"/>
        </w:rPr>
        <w:t>c</w:t>
      </w:r>
      <w:r>
        <w:rPr>
          <w:rFonts w:eastAsia="Calibri"/>
          <w:sz w:val="20"/>
          <w:szCs w:val="20"/>
        </w:rPr>
        <w:t>.</w:t>
      </w:r>
    </w:p>
    <w:p w14:paraId="6C765754" w14:textId="77777777" w:rsidR="0029571F" w:rsidRDefault="005211DE">
      <w:pPr>
        <w:pStyle w:val="Default"/>
        <w:contextualSpacing/>
        <w:jc w:val="both"/>
        <w:rPr>
          <w:rFonts w:eastAsia="Calibri"/>
          <w:sz w:val="20"/>
          <w:szCs w:val="20"/>
        </w:rPr>
      </w:pPr>
      <w:r>
        <w:rPr>
          <w:rFonts w:eastAsia="Calibri"/>
          <w:sz w:val="20"/>
          <w:szCs w:val="20"/>
        </w:rPr>
        <w:t xml:space="preserve">The </w:t>
      </w:r>
      <w:r>
        <w:rPr>
          <w:rFonts w:eastAsia="Calibri"/>
          <w:i/>
          <w:sz w:val="20"/>
          <w:szCs w:val="20"/>
        </w:rPr>
        <w:t>in vitro</w:t>
      </w:r>
      <w:r>
        <w:rPr>
          <w:rFonts w:eastAsia="Calibri"/>
          <w:sz w:val="20"/>
          <w:szCs w:val="20"/>
        </w:rPr>
        <w:t xml:space="preserve"> SPF is evaluated as per the following equation 3.</w:t>
      </w:r>
    </w:p>
    <w:p w14:paraId="3B21FBCA" w14:textId="77777777" w:rsidR="007F0BDB" w:rsidRDefault="007F0BDB">
      <w:pPr>
        <w:pStyle w:val="Default"/>
        <w:contextualSpacing/>
        <w:jc w:val="both"/>
        <w:rPr>
          <w:rFonts w:eastAsia="Calibri"/>
          <w:sz w:val="20"/>
          <w:szCs w:val="20"/>
        </w:rPr>
      </w:pPr>
    </w:p>
    <w:p w14:paraId="13012A4E" w14:textId="4E80EFA7" w:rsidR="0029571F" w:rsidRPr="007F0BDB" w:rsidRDefault="005211DE">
      <w:pPr>
        <w:autoSpaceDE w:val="0"/>
        <w:autoSpaceDN w:val="0"/>
        <w:adjustRightInd w:val="0"/>
        <w:spacing w:after="0"/>
        <w:contextualSpacing/>
        <w:jc w:val="both"/>
        <w:rPr>
          <w:rFonts w:eastAsia="Calibri"/>
          <w:bCs/>
          <w:i/>
          <w:iCs/>
          <w:color w:val="000000"/>
          <w:sz w:val="20"/>
          <w:szCs w:val="20"/>
        </w:rPr>
      </w:pPr>
      <w:r>
        <w:rPr>
          <w:color w:val="0000FF"/>
          <w:sz w:val="20"/>
          <w:szCs w:val="20"/>
        </w:rPr>
        <w:t xml:space="preserve"> </w:t>
      </w:r>
      <w:r w:rsidR="007F0BDB" w:rsidRPr="007F0BDB">
        <w:rPr>
          <w:bCs/>
          <w:i/>
          <w:iCs/>
          <w:sz w:val="20"/>
          <w:szCs w:val="20"/>
        </w:rPr>
        <w:t>Equation 3</w:t>
      </w:r>
    </w:p>
    <w:p w14:paraId="2EC0A9DC"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r>
        <w:rPr>
          <w:noProof/>
          <w:sz w:val="20"/>
          <w:szCs w:val="20"/>
        </w:rPr>
        <w:drawing>
          <wp:inline distT="0" distB="0" distL="0" distR="0" wp14:anchorId="2061BB4B" wp14:editId="605AE351">
            <wp:extent cx="2436495" cy="440055"/>
            <wp:effectExtent l="0" t="0" r="1905" b="0"/>
            <wp:docPr id="1395602808" name="Picture 3" descr="A math equations and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02808" name="Picture 3" descr="A math equations and formula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36495" cy="440055"/>
                    </a:xfrm>
                    <a:prstGeom prst="rect">
                      <a:avLst/>
                    </a:prstGeom>
                    <a:noFill/>
                    <a:ln>
                      <a:noFill/>
                    </a:ln>
                  </pic:spPr>
                </pic:pic>
              </a:graphicData>
            </a:graphic>
          </wp:inline>
        </w:drawing>
      </w:r>
      <w:r>
        <w:rPr>
          <w:color w:val="000000"/>
          <w:sz w:val="20"/>
          <w:szCs w:val="20"/>
        </w:rPr>
        <w:t xml:space="preserve"> </w:t>
      </w:r>
    </w:p>
    <w:p w14:paraId="30412741" w14:textId="77777777" w:rsidR="0029571F" w:rsidRDefault="005211DE">
      <w:pPr>
        <w:autoSpaceDE w:val="0"/>
        <w:autoSpaceDN w:val="0"/>
        <w:adjustRightInd w:val="0"/>
        <w:spacing w:after="0"/>
        <w:contextualSpacing/>
        <w:jc w:val="both"/>
        <w:rPr>
          <w:color w:val="000000"/>
          <w:sz w:val="20"/>
          <w:szCs w:val="20"/>
        </w:rPr>
      </w:pPr>
      <w:r>
        <w:rPr>
          <w:color w:val="000000"/>
          <w:sz w:val="20"/>
          <w:szCs w:val="20"/>
        </w:rPr>
        <w:t xml:space="preserve"> </w:t>
      </w:r>
    </w:p>
    <w:p w14:paraId="4E8BA348" w14:textId="289A9CDF" w:rsidR="0029571F" w:rsidRDefault="005211DE">
      <w:pPr>
        <w:autoSpaceDE w:val="0"/>
        <w:autoSpaceDN w:val="0"/>
        <w:adjustRightInd w:val="0"/>
        <w:spacing w:after="0"/>
        <w:contextualSpacing/>
        <w:jc w:val="both"/>
        <w:rPr>
          <w:b/>
          <w:sz w:val="20"/>
          <w:szCs w:val="20"/>
        </w:rPr>
      </w:pPr>
      <w:r>
        <w:rPr>
          <w:b/>
          <w:color w:val="000000"/>
          <w:sz w:val="20"/>
          <w:szCs w:val="20"/>
        </w:rPr>
        <w:t xml:space="preserve"> </w:t>
      </w:r>
    </w:p>
    <w:p w14:paraId="5E03E39C" w14:textId="22583A2B" w:rsidR="0029571F" w:rsidRPr="00862FAA" w:rsidRDefault="005211DE">
      <w:pPr>
        <w:autoSpaceDE w:val="0"/>
        <w:autoSpaceDN w:val="0"/>
        <w:adjustRightInd w:val="0"/>
        <w:spacing w:after="0"/>
        <w:contextualSpacing/>
        <w:jc w:val="both"/>
        <w:rPr>
          <w:color w:val="000000"/>
          <w:sz w:val="20"/>
          <w:szCs w:val="20"/>
          <w:highlight w:val="yellow"/>
        </w:rPr>
      </w:pPr>
      <w:r w:rsidRPr="00862FAA">
        <w:rPr>
          <w:sz w:val="20"/>
          <w:szCs w:val="20"/>
          <w:highlight w:val="yellow"/>
        </w:rPr>
        <w:t>Where</w:t>
      </w:r>
      <w:r w:rsidR="00862FAA">
        <w:rPr>
          <w:sz w:val="20"/>
          <w:szCs w:val="20"/>
          <w:highlight w:val="yellow"/>
        </w:rPr>
        <w:t>-</w:t>
      </w:r>
    </w:p>
    <w:p w14:paraId="563FCB6F" w14:textId="221F8DBD"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E (λ)</w:t>
      </w:r>
      <w:r w:rsidR="00E51A1C" w:rsidRPr="00862FAA">
        <w:rPr>
          <w:i/>
          <w:sz w:val="20"/>
          <w:szCs w:val="20"/>
          <w:highlight w:val="yellow"/>
        </w:rPr>
        <w:t xml:space="preserve">: Is the </w:t>
      </w:r>
      <w:r w:rsidRPr="00862FAA">
        <w:rPr>
          <w:i/>
          <w:sz w:val="20"/>
          <w:szCs w:val="20"/>
          <w:highlight w:val="yellow"/>
        </w:rPr>
        <w:t xml:space="preserve"> erythema action spectrum, </w:t>
      </w:r>
    </w:p>
    <w:p w14:paraId="686C5383" w14:textId="3EF4771A"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 xml:space="preserve">I (λ): </w:t>
      </w:r>
      <w:r w:rsidR="00E51A1C" w:rsidRPr="00862FAA">
        <w:rPr>
          <w:i/>
          <w:sz w:val="20"/>
          <w:szCs w:val="20"/>
          <w:highlight w:val="yellow"/>
        </w:rPr>
        <w:t xml:space="preserve">Stands for </w:t>
      </w:r>
      <w:r w:rsidRPr="00862FAA">
        <w:rPr>
          <w:i/>
          <w:sz w:val="20"/>
          <w:szCs w:val="20"/>
          <w:highlight w:val="yellow"/>
        </w:rPr>
        <w:t xml:space="preserve">spectral irradiance, </w:t>
      </w:r>
    </w:p>
    <w:p w14:paraId="1ECCC1E7" w14:textId="1C56F698" w:rsidR="0029571F" w:rsidRPr="00862FAA" w:rsidRDefault="005211DE">
      <w:pPr>
        <w:autoSpaceDE w:val="0"/>
        <w:autoSpaceDN w:val="0"/>
        <w:adjustRightInd w:val="0"/>
        <w:spacing w:after="0"/>
        <w:contextualSpacing/>
        <w:jc w:val="both"/>
        <w:rPr>
          <w:i/>
          <w:sz w:val="20"/>
          <w:szCs w:val="20"/>
          <w:highlight w:val="yellow"/>
        </w:rPr>
      </w:pPr>
      <w:r w:rsidRPr="00862FAA">
        <w:rPr>
          <w:i/>
          <w:sz w:val="20"/>
          <w:szCs w:val="20"/>
          <w:highlight w:val="yellow"/>
        </w:rPr>
        <w:t xml:space="preserve">A0 (λ): </w:t>
      </w:r>
      <w:r w:rsidR="00E51A1C" w:rsidRPr="00862FAA">
        <w:rPr>
          <w:i/>
          <w:sz w:val="20"/>
          <w:szCs w:val="20"/>
          <w:highlight w:val="yellow"/>
        </w:rPr>
        <w:t>M</w:t>
      </w:r>
      <w:r w:rsidRPr="00862FAA">
        <w:rPr>
          <w:i/>
          <w:sz w:val="20"/>
          <w:szCs w:val="20"/>
          <w:highlight w:val="yellow"/>
        </w:rPr>
        <w:t xml:space="preserve">eans monochromatic absorbance before UV exposure, </w:t>
      </w:r>
    </w:p>
    <w:p w14:paraId="30377151" w14:textId="5CD8FE1C" w:rsidR="0029571F" w:rsidRDefault="005211DE">
      <w:pPr>
        <w:autoSpaceDE w:val="0"/>
        <w:autoSpaceDN w:val="0"/>
        <w:adjustRightInd w:val="0"/>
        <w:spacing w:after="0"/>
        <w:contextualSpacing/>
        <w:jc w:val="both"/>
        <w:rPr>
          <w:i/>
          <w:sz w:val="20"/>
          <w:szCs w:val="20"/>
        </w:rPr>
      </w:pPr>
      <w:r w:rsidRPr="00862FAA">
        <w:rPr>
          <w:i/>
          <w:sz w:val="20"/>
          <w:szCs w:val="20"/>
          <w:highlight w:val="yellow"/>
        </w:rPr>
        <w:t xml:space="preserve">Dλ: </w:t>
      </w:r>
      <w:r w:rsidR="00E51A1C" w:rsidRPr="00862FAA">
        <w:rPr>
          <w:i/>
          <w:sz w:val="20"/>
          <w:szCs w:val="20"/>
          <w:highlight w:val="yellow"/>
        </w:rPr>
        <w:t xml:space="preserve">Is the </w:t>
      </w:r>
      <w:r w:rsidRPr="00862FAA">
        <w:rPr>
          <w:i/>
          <w:sz w:val="20"/>
          <w:szCs w:val="20"/>
          <w:highlight w:val="yellow"/>
        </w:rPr>
        <w:t>wavelength step (1 nm).</w:t>
      </w:r>
    </w:p>
    <w:p w14:paraId="5A030551" w14:textId="77777777" w:rsidR="0029571F" w:rsidRDefault="0029571F">
      <w:pPr>
        <w:spacing w:line="240" w:lineRule="auto"/>
        <w:contextualSpacing/>
        <w:jc w:val="both"/>
        <w:rPr>
          <w:sz w:val="20"/>
          <w:szCs w:val="20"/>
        </w:rPr>
      </w:pPr>
    </w:p>
    <w:p w14:paraId="40EFECE9" w14:textId="571623FA" w:rsidR="0029571F" w:rsidRDefault="005211DE">
      <w:pPr>
        <w:spacing w:line="240" w:lineRule="auto"/>
        <w:contextualSpacing/>
        <w:jc w:val="both"/>
        <w:rPr>
          <w:sz w:val="20"/>
          <w:szCs w:val="20"/>
        </w:rPr>
      </w:pPr>
      <w:r>
        <w:rPr>
          <w:sz w:val="20"/>
          <w:szCs w:val="20"/>
        </w:rPr>
        <w:t xml:space="preserve">The whole experiment procedure was repeated with a COLIPA SPF 30 standard, as an assaying </w:t>
      </w:r>
      <w:r w:rsidR="007F0BDB">
        <w:rPr>
          <w:sz w:val="20"/>
          <w:szCs w:val="20"/>
        </w:rPr>
        <w:t>control sample</w:t>
      </w:r>
      <w:r>
        <w:rPr>
          <w:sz w:val="20"/>
          <w:szCs w:val="20"/>
        </w:rPr>
        <w:t>.</w:t>
      </w:r>
    </w:p>
    <w:p w14:paraId="44A0E18C" w14:textId="5D6D8B17" w:rsidR="0029571F" w:rsidRDefault="007E41ED" w:rsidP="00DD56E3">
      <w:pPr>
        <w:pStyle w:val="Heading1"/>
      </w:pPr>
      <w:r>
        <w:t xml:space="preserve">  RESULTS AND DISCUSSION</w:t>
      </w:r>
    </w:p>
    <w:p w14:paraId="6AF985DC" w14:textId="77777777" w:rsidR="0029571F" w:rsidRDefault="005211DE">
      <w:pPr>
        <w:pStyle w:val="Heading2"/>
        <w:rPr>
          <w:rFonts w:cs="Arial"/>
          <w:sz w:val="20"/>
          <w:szCs w:val="20"/>
        </w:rPr>
      </w:pPr>
      <w:r>
        <w:rPr>
          <w:rFonts w:cs="Arial"/>
          <w:sz w:val="20"/>
          <w:szCs w:val="20"/>
        </w:rPr>
        <w:t xml:space="preserve">Comedogenesis evaluation of </w:t>
      </w:r>
      <w:r>
        <w:rPr>
          <w:rFonts w:cs="Arial"/>
          <w:i/>
          <w:iCs/>
          <w:sz w:val="20"/>
          <w:szCs w:val="20"/>
        </w:rPr>
        <w:t>M flabellifolius</w:t>
      </w:r>
      <w:r>
        <w:rPr>
          <w:rFonts w:cs="Arial"/>
          <w:sz w:val="20"/>
          <w:szCs w:val="20"/>
        </w:rPr>
        <w:t xml:space="preserve"> and </w:t>
      </w:r>
      <w:r>
        <w:rPr>
          <w:rFonts w:cs="Arial"/>
          <w:i/>
          <w:iCs/>
          <w:sz w:val="20"/>
          <w:szCs w:val="20"/>
        </w:rPr>
        <w:t>C Lanatus</w:t>
      </w:r>
      <w:r>
        <w:rPr>
          <w:rFonts w:cs="Arial"/>
          <w:sz w:val="20"/>
          <w:szCs w:val="20"/>
        </w:rPr>
        <w:t xml:space="preserve"> oils </w:t>
      </w:r>
    </w:p>
    <w:p w14:paraId="01912623" w14:textId="22DD4999" w:rsidR="0029571F" w:rsidRDefault="005211DE">
      <w:pPr>
        <w:jc w:val="both"/>
        <w:rPr>
          <w:bCs/>
          <w:kern w:val="36"/>
          <w:sz w:val="20"/>
          <w:szCs w:val="20"/>
        </w:rPr>
      </w:pPr>
      <w:r>
        <w:rPr>
          <w:bCs/>
          <w:kern w:val="36"/>
          <w:sz w:val="20"/>
          <w:szCs w:val="20"/>
        </w:rPr>
        <w:t xml:space="preserve">According to the </w:t>
      </w:r>
      <w:r>
        <w:rPr>
          <w:bCs/>
          <w:kern w:val="36"/>
          <w:sz w:val="20"/>
          <w:szCs w:val="20"/>
          <w:lang w:val="en-ZW"/>
        </w:rPr>
        <w:t>5</w:t>
      </w:r>
      <w:r>
        <w:rPr>
          <w:bCs/>
          <w:kern w:val="36"/>
          <w:sz w:val="20"/>
          <w:szCs w:val="20"/>
        </w:rPr>
        <w:t>-point scale used to determine the comedogenicity of cosmetic products</w:t>
      </w:r>
      <w:r w:rsidR="00872C40">
        <w:rPr>
          <w:bCs/>
          <w:kern w:val="36"/>
          <w:sz w:val="20"/>
          <w:szCs w:val="20"/>
        </w:rPr>
        <w:t>, t</w:t>
      </w:r>
      <w:r>
        <w:rPr>
          <w:bCs/>
          <w:kern w:val="36"/>
          <w:sz w:val="20"/>
          <w:szCs w:val="20"/>
        </w:rPr>
        <w:t xml:space="preserve">he average results for </w:t>
      </w:r>
      <w:r>
        <w:rPr>
          <w:bCs/>
          <w:kern w:val="36"/>
          <w:sz w:val="20"/>
          <w:szCs w:val="20"/>
          <w:lang w:val="en-ZW"/>
        </w:rPr>
        <w:t xml:space="preserve"> </w:t>
      </w:r>
      <w:r>
        <w:rPr>
          <w:bCs/>
          <w:i/>
          <w:iCs/>
          <w:kern w:val="36"/>
          <w:sz w:val="20"/>
          <w:szCs w:val="20"/>
          <w:lang w:val="en-ZW"/>
        </w:rPr>
        <w:t>C lanatus</w:t>
      </w:r>
      <w:r>
        <w:rPr>
          <w:bCs/>
          <w:kern w:val="36"/>
          <w:sz w:val="20"/>
          <w:szCs w:val="20"/>
          <w:lang w:val="en-ZW"/>
        </w:rPr>
        <w:t>, a fixed oil</w:t>
      </w:r>
      <w:r>
        <w:rPr>
          <w:bCs/>
          <w:kern w:val="36"/>
          <w:sz w:val="20"/>
          <w:szCs w:val="20"/>
        </w:rPr>
        <w:t xml:space="preserve"> was 0 (table</w:t>
      </w:r>
      <w:r>
        <w:rPr>
          <w:bCs/>
          <w:kern w:val="36"/>
          <w:sz w:val="20"/>
          <w:szCs w:val="20"/>
          <w:lang w:val="en-ZW"/>
        </w:rPr>
        <w:t xml:space="preserve"> 4 and </w:t>
      </w:r>
      <w:r>
        <w:rPr>
          <w:bCs/>
          <w:kern w:val="36"/>
          <w:sz w:val="20"/>
          <w:szCs w:val="20"/>
        </w:rPr>
        <w:t xml:space="preserve"> </w:t>
      </w:r>
      <w:r>
        <w:rPr>
          <w:bCs/>
          <w:kern w:val="36"/>
          <w:sz w:val="20"/>
          <w:szCs w:val="20"/>
          <w:lang w:val="en-ZW"/>
        </w:rPr>
        <w:t>5</w:t>
      </w:r>
      <w:r>
        <w:rPr>
          <w:bCs/>
          <w:kern w:val="36"/>
          <w:sz w:val="20"/>
          <w:szCs w:val="20"/>
        </w:rPr>
        <w:t xml:space="preserve">) which means that </w:t>
      </w:r>
      <w:r>
        <w:rPr>
          <w:bCs/>
          <w:kern w:val="36"/>
          <w:sz w:val="20"/>
          <w:szCs w:val="20"/>
          <w:lang w:val="en-ZW"/>
        </w:rPr>
        <w:t>the</w:t>
      </w:r>
      <w:r>
        <w:rPr>
          <w:bCs/>
          <w:kern w:val="36"/>
          <w:sz w:val="20"/>
          <w:szCs w:val="20"/>
        </w:rPr>
        <w:t xml:space="preserve"> oil</w:t>
      </w:r>
      <w:r>
        <w:rPr>
          <w:bCs/>
          <w:kern w:val="36"/>
          <w:sz w:val="20"/>
          <w:szCs w:val="20"/>
          <w:lang w:val="en-ZW"/>
        </w:rPr>
        <w:t xml:space="preserve"> is </w:t>
      </w:r>
      <w:r>
        <w:rPr>
          <w:bCs/>
          <w:kern w:val="36"/>
          <w:sz w:val="20"/>
          <w:szCs w:val="20"/>
        </w:rPr>
        <w:t xml:space="preserve">noncomedogenic and will not cause or increase skin outbreaks. </w:t>
      </w:r>
      <w:r>
        <w:rPr>
          <w:bCs/>
          <w:kern w:val="36"/>
          <w:sz w:val="20"/>
          <w:szCs w:val="20"/>
          <w:lang w:val="en-ZW"/>
        </w:rPr>
        <w:t xml:space="preserve">Corresponding results (table 4 and 5) for the </w:t>
      </w:r>
      <w:r>
        <w:rPr>
          <w:bCs/>
          <w:i/>
          <w:iCs/>
          <w:kern w:val="36"/>
          <w:sz w:val="20"/>
          <w:szCs w:val="20"/>
          <w:lang w:val="en-ZW"/>
        </w:rPr>
        <w:t>M flabellifolius</w:t>
      </w:r>
      <w:r>
        <w:rPr>
          <w:bCs/>
          <w:kern w:val="36"/>
          <w:sz w:val="20"/>
          <w:szCs w:val="20"/>
          <w:lang w:val="en-ZW"/>
        </w:rPr>
        <w:t xml:space="preserve"> which is an essential oil  show a rating of 1, which means that the oil is minimally comedogenic. </w:t>
      </w:r>
      <w:r>
        <w:rPr>
          <w:bCs/>
          <w:kern w:val="36"/>
          <w:sz w:val="20"/>
          <w:szCs w:val="20"/>
        </w:rPr>
        <w:t xml:space="preserve">Our evaluation followed a prospective design of the experimental protocol based on the publication </w:t>
      </w:r>
      <w:r w:rsidR="00BD3410">
        <w:rPr>
          <w:bCs/>
          <w:kern w:val="36"/>
          <w:sz w:val="20"/>
          <w:szCs w:val="20"/>
        </w:rPr>
        <w:t>from</w:t>
      </w:r>
      <w:r>
        <w:rPr>
          <w:bCs/>
          <w:kern w:val="36"/>
          <w:sz w:val="20"/>
          <w:szCs w:val="20"/>
        </w:rPr>
        <w:t xml:space="preserve"> Mills &amp; Kligman‘s procedure [2</w:t>
      </w:r>
      <w:r w:rsidR="00627629">
        <w:rPr>
          <w:bCs/>
          <w:kern w:val="36"/>
          <w:sz w:val="20"/>
          <w:szCs w:val="20"/>
        </w:rPr>
        <w:t>7</w:t>
      </w:r>
      <w:r>
        <w:rPr>
          <w:bCs/>
          <w:kern w:val="36"/>
          <w:sz w:val="20"/>
          <w:szCs w:val="20"/>
        </w:rPr>
        <w:t xml:space="preserve">]. The principle behind this </w:t>
      </w:r>
      <w:r w:rsidRPr="00872C40">
        <w:rPr>
          <w:bCs/>
          <w:i/>
          <w:iCs/>
          <w:kern w:val="36"/>
          <w:sz w:val="20"/>
          <w:szCs w:val="20"/>
        </w:rPr>
        <w:t>in</w:t>
      </w:r>
      <w:r w:rsidR="00BD3410">
        <w:rPr>
          <w:bCs/>
          <w:i/>
          <w:iCs/>
          <w:kern w:val="36"/>
          <w:sz w:val="20"/>
          <w:szCs w:val="20"/>
        </w:rPr>
        <w:t>-</w:t>
      </w:r>
      <w:r w:rsidRPr="00872C40">
        <w:rPr>
          <w:bCs/>
          <w:i/>
          <w:iCs/>
          <w:kern w:val="36"/>
          <w:sz w:val="20"/>
          <w:szCs w:val="20"/>
        </w:rPr>
        <w:t>vivo</w:t>
      </w:r>
      <w:r>
        <w:rPr>
          <w:bCs/>
          <w:kern w:val="36"/>
          <w:sz w:val="20"/>
          <w:szCs w:val="20"/>
        </w:rPr>
        <w:t xml:space="preserve"> test involving huma</w:t>
      </w:r>
      <w:r w:rsidR="00872C40">
        <w:rPr>
          <w:bCs/>
          <w:kern w:val="36"/>
          <w:sz w:val="20"/>
          <w:szCs w:val="20"/>
        </w:rPr>
        <w:t>n</w:t>
      </w:r>
      <w:r>
        <w:rPr>
          <w:bCs/>
          <w:kern w:val="36"/>
          <w:sz w:val="20"/>
          <w:szCs w:val="20"/>
        </w:rPr>
        <w:t xml:space="preserve">s is to determine the oils’ potential to cause or increase comedones by applying a uniform amount of test materials  on a small area mounted on patches on the intermammary cleft zone and faces of participants who </w:t>
      </w:r>
      <w:r w:rsidR="007F0BDB">
        <w:rPr>
          <w:bCs/>
          <w:kern w:val="36"/>
          <w:sz w:val="20"/>
          <w:szCs w:val="20"/>
        </w:rPr>
        <w:t>have</w:t>
      </w:r>
      <w:r>
        <w:rPr>
          <w:bCs/>
          <w:kern w:val="36"/>
          <w:sz w:val="20"/>
          <w:szCs w:val="20"/>
        </w:rPr>
        <w:t xml:space="preserve"> skin susceptible to comedones. Sebaceous follicles are then assessed by the non-invasive “follicular biopsy” technique [2</w:t>
      </w:r>
      <w:r w:rsidR="00627629">
        <w:rPr>
          <w:bCs/>
          <w:kern w:val="36"/>
          <w:sz w:val="20"/>
          <w:szCs w:val="20"/>
        </w:rPr>
        <w:t>7</w:t>
      </w:r>
      <w:r>
        <w:rPr>
          <w:bCs/>
          <w:kern w:val="36"/>
          <w:sz w:val="20"/>
          <w:szCs w:val="20"/>
        </w:rPr>
        <w:t xml:space="preserve">]. </w:t>
      </w:r>
      <w:r w:rsidR="00627629">
        <w:rPr>
          <w:bCs/>
          <w:kern w:val="36"/>
          <w:sz w:val="20"/>
          <w:szCs w:val="20"/>
        </w:rPr>
        <w:t>This was</w:t>
      </w:r>
      <w:r>
        <w:rPr>
          <w:bCs/>
          <w:kern w:val="36"/>
          <w:sz w:val="20"/>
          <w:szCs w:val="20"/>
        </w:rPr>
        <w:t xml:space="preserve"> then used to assess the sebaceous follicles and follicular contents removed by the quick setting, cyanoacrylate glue. An analysis of the biopsies by an experienced dermatologist determine</w:t>
      </w:r>
      <w:r w:rsidR="007F0BDB">
        <w:rPr>
          <w:bCs/>
          <w:kern w:val="36"/>
          <w:sz w:val="20"/>
          <w:szCs w:val="20"/>
        </w:rPr>
        <w:t>d</w:t>
      </w:r>
      <w:r>
        <w:rPr>
          <w:bCs/>
          <w:kern w:val="36"/>
          <w:sz w:val="20"/>
          <w:szCs w:val="20"/>
        </w:rPr>
        <w:t xml:space="preserve"> the number of follicles and microcomedones per unit area. The average grades of all the participants indicate</w:t>
      </w:r>
      <w:r w:rsidR="007F0BDB">
        <w:rPr>
          <w:bCs/>
          <w:kern w:val="36"/>
          <w:sz w:val="20"/>
          <w:szCs w:val="20"/>
        </w:rPr>
        <w:t>d</w:t>
      </w:r>
      <w:r>
        <w:rPr>
          <w:bCs/>
          <w:kern w:val="36"/>
          <w:sz w:val="20"/>
          <w:szCs w:val="20"/>
        </w:rPr>
        <w:t xml:space="preserve"> the mean rate of comedogenicity for each tested cosmeceutical ingredient or product. It </w:t>
      </w:r>
      <w:r w:rsidR="007F0BDB">
        <w:rPr>
          <w:bCs/>
          <w:kern w:val="36"/>
          <w:sz w:val="20"/>
          <w:szCs w:val="20"/>
        </w:rPr>
        <w:t>wa</w:t>
      </w:r>
      <w:r>
        <w:rPr>
          <w:bCs/>
          <w:kern w:val="36"/>
          <w:sz w:val="20"/>
          <w:szCs w:val="20"/>
        </w:rPr>
        <w:t>s therefore imperative to enroll only participants that are susceptible to acne and skin breakouts as comedogenicity is associated with this skin type</w:t>
      </w:r>
      <w:r w:rsidR="00872C40">
        <w:rPr>
          <w:bCs/>
          <w:kern w:val="36"/>
          <w:sz w:val="20"/>
          <w:szCs w:val="20"/>
        </w:rPr>
        <w:t>.</w:t>
      </w:r>
    </w:p>
    <w:p w14:paraId="3870BEB1" w14:textId="77777777" w:rsidR="0029571F" w:rsidRDefault="005211DE">
      <w:pPr>
        <w:pStyle w:val="Caption"/>
      </w:pPr>
      <w:r>
        <w:t xml:space="preserve">Table </w:t>
      </w:r>
      <w:r>
        <w:fldChar w:fldCharType="begin"/>
      </w:r>
      <w:r>
        <w:instrText xml:space="preserve"> SEQ Table \* ARABIC </w:instrText>
      </w:r>
      <w:r>
        <w:fldChar w:fldCharType="separate"/>
      </w:r>
      <w:r>
        <w:t>4</w:t>
      </w:r>
      <w:r>
        <w:fldChar w:fldCharType="end"/>
      </w:r>
      <w:r>
        <w:rPr>
          <w:lang w:val="en-ZW"/>
        </w:rPr>
        <w:t xml:space="preserve">: </w:t>
      </w:r>
      <w:r>
        <w:t>Clinical dermatological assessment according to the scale of comedogenic potential</w:t>
      </w:r>
    </w:p>
    <w:p w14:paraId="58506C0F" w14:textId="77777777" w:rsidR="0029571F" w:rsidRDefault="005211DE">
      <w:pPr>
        <w:pStyle w:val="Caption"/>
        <w:keepNext/>
        <w:rPr>
          <w:b w:val="0"/>
          <w:color w:val="auto"/>
          <w:kern w:val="36"/>
          <w:sz w:val="20"/>
          <w:szCs w:val="20"/>
          <w:lang w:eastAsia="en-ZW"/>
        </w:rPr>
      </w:pPr>
      <w:r>
        <w:rPr>
          <w:b w:val="0"/>
          <w:color w:val="auto"/>
          <w:kern w:val="36"/>
          <w:sz w:val="20"/>
          <w:szCs w:val="20"/>
          <w:lang w:eastAsia="en-ZW"/>
        </w:rPr>
        <w:lastRenderedPageBreak/>
        <w:t xml:space="preserve">Summary of the dermatological assessment in volunteers after 4-week applications of the oils </w:t>
      </w:r>
    </w:p>
    <w:tbl>
      <w:tblPr>
        <w:tblStyle w:val="PlainTable24"/>
        <w:tblW w:w="0" w:type="auto"/>
        <w:tblLook w:val="04A0" w:firstRow="1" w:lastRow="0" w:firstColumn="1" w:lastColumn="0" w:noHBand="0" w:noVBand="1"/>
      </w:tblPr>
      <w:tblGrid>
        <w:gridCol w:w="1476"/>
        <w:gridCol w:w="1236"/>
        <w:gridCol w:w="1296"/>
        <w:gridCol w:w="1668"/>
        <w:gridCol w:w="1428"/>
      </w:tblGrid>
      <w:tr w:rsidR="0029571F" w14:paraId="1FE38AA7" w14:textId="77777777" w:rsidTr="0029571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76" w:type="dxa"/>
            <w:vMerge w:val="restart"/>
            <w:tcBorders>
              <w:top w:val="single" w:sz="4" w:space="0" w:color="7F7F7F" w:themeColor="text1" w:themeTint="80"/>
            </w:tcBorders>
            <w:shd w:val="clear" w:color="auto" w:fill="EEECE1" w:themeFill="background2"/>
          </w:tcPr>
          <w:p w14:paraId="204E6600" w14:textId="77777777" w:rsidR="0029571F" w:rsidRDefault="005211DE">
            <w:pPr>
              <w:spacing w:after="0" w:line="240" w:lineRule="auto"/>
              <w:jc w:val="center"/>
              <w:rPr>
                <w:rFonts w:eastAsia="Times New Roman"/>
                <w:b w:val="0"/>
                <w:bCs w:val="0"/>
                <w:kern w:val="36"/>
                <w:sz w:val="18"/>
                <w:szCs w:val="18"/>
                <w:lang w:eastAsia="en-ZW"/>
              </w:rPr>
            </w:pPr>
            <w:r>
              <w:rPr>
                <w:rFonts w:eastAsia="Times New Roman"/>
                <w:kern w:val="36"/>
                <w:sz w:val="18"/>
                <w:szCs w:val="18"/>
                <w:lang w:eastAsia="en-ZW"/>
              </w:rPr>
              <w:t>Participant</w:t>
            </w:r>
          </w:p>
        </w:tc>
        <w:tc>
          <w:tcPr>
            <w:tcW w:w="1236" w:type="dxa"/>
            <w:vMerge w:val="restart"/>
            <w:tcBorders>
              <w:top w:val="single" w:sz="4" w:space="0" w:color="7F7F7F" w:themeColor="text1" w:themeTint="80"/>
            </w:tcBorders>
            <w:shd w:val="clear" w:color="auto" w:fill="EEECE1" w:themeFill="background2"/>
          </w:tcPr>
          <w:p w14:paraId="7AABCCB6"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Age</w:t>
            </w:r>
          </w:p>
        </w:tc>
        <w:tc>
          <w:tcPr>
            <w:tcW w:w="1296" w:type="dxa"/>
            <w:vMerge w:val="restart"/>
            <w:tcBorders>
              <w:top w:val="single" w:sz="4" w:space="0" w:color="7F7F7F" w:themeColor="text1" w:themeTint="80"/>
            </w:tcBorders>
            <w:shd w:val="clear" w:color="auto" w:fill="EEECE1" w:themeFill="background2"/>
          </w:tcPr>
          <w:p w14:paraId="2BD96398" w14:textId="77777777" w:rsidR="0029571F" w:rsidRDefault="005211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rFonts w:eastAsia="Times New Roman"/>
                <w:kern w:val="36"/>
                <w:sz w:val="18"/>
                <w:szCs w:val="18"/>
                <w:lang w:eastAsia="en-ZW"/>
              </w:rPr>
              <w:t>Sex</w:t>
            </w:r>
          </w:p>
        </w:tc>
        <w:tc>
          <w:tcPr>
            <w:tcW w:w="3096" w:type="dxa"/>
            <w:gridSpan w:val="2"/>
            <w:tcBorders>
              <w:top w:val="single" w:sz="4" w:space="0" w:color="7F7F7F" w:themeColor="text1" w:themeTint="80"/>
            </w:tcBorders>
            <w:shd w:val="clear" w:color="auto" w:fill="EEECE1" w:themeFill="background2"/>
          </w:tcPr>
          <w:p w14:paraId="4DCE9343"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Final Dermatological Assessment</w:t>
            </w:r>
          </w:p>
          <w:p w14:paraId="08F45167" w14:textId="77777777" w:rsidR="0029571F" w:rsidRDefault="005211DE">
            <w:pPr>
              <w:pStyle w:val="Default"/>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36"/>
                <w:sz w:val="18"/>
                <w:szCs w:val="18"/>
                <w:lang w:eastAsia="en-ZW"/>
              </w:rPr>
            </w:pPr>
            <w:r>
              <w:rPr>
                <w:sz w:val="18"/>
                <w:szCs w:val="18"/>
              </w:rPr>
              <w:t>(4 Weeks</w:t>
            </w:r>
            <w:r>
              <w:rPr>
                <w:sz w:val="18"/>
                <w:szCs w:val="18"/>
                <w:lang w:val="en-ZW"/>
              </w:rPr>
              <w:t xml:space="preserve"> face application</w:t>
            </w:r>
            <w:r>
              <w:rPr>
                <w:sz w:val="18"/>
                <w:szCs w:val="18"/>
              </w:rPr>
              <w:t>)</w:t>
            </w:r>
          </w:p>
        </w:tc>
      </w:tr>
      <w:tr w:rsidR="0029571F" w14:paraId="478EEB00" w14:textId="77777777" w:rsidTr="007F0BDB">
        <w:trPr>
          <w:trHeight w:val="295"/>
        </w:trPr>
        <w:tc>
          <w:tcPr>
            <w:cnfStyle w:val="001000000000" w:firstRow="0" w:lastRow="0" w:firstColumn="1" w:lastColumn="0" w:oddVBand="0" w:evenVBand="0" w:oddHBand="0" w:evenHBand="0" w:firstRowFirstColumn="0" w:firstRowLastColumn="0" w:lastRowFirstColumn="0" w:lastRowLastColumn="0"/>
            <w:tcW w:w="1476" w:type="dxa"/>
            <w:vMerge/>
            <w:tcBorders>
              <w:top w:val="single" w:sz="4" w:space="0" w:color="7F7F7F" w:themeColor="text1" w:themeTint="80"/>
              <w:bottom w:val="single" w:sz="4" w:space="0" w:color="7F7F7F" w:themeColor="text1" w:themeTint="80"/>
            </w:tcBorders>
            <w:shd w:val="clear" w:color="auto" w:fill="EEECE1" w:themeFill="background2"/>
          </w:tcPr>
          <w:p w14:paraId="774ADEEA" w14:textId="77777777" w:rsidR="0029571F" w:rsidRDefault="0029571F">
            <w:pPr>
              <w:spacing w:after="0" w:line="240" w:lineRule="auto"/>
              <w:jc w:val="center"/>
              <w:rPr>
                <w:sz w:val="18"/>
                <w:szCs w:val="18"/>
              </w:rPr>
            </w:pPr>
          </w:p>
        </w:tc>
        <w:tc>
          <w:tcPr>
            <w:tcW w:w="1236" w:type="dxa"/>
            <w:vMerge/>
            <w:tcBorders>
              <w:top w:val="single" w:sz="4" w:space="0" w:color="7F7F7F" w:themeColor="text1" w:themeTint="80"/>
              <w:bottom w:val="single" w:sz="4" w:space="0" w:color="7F7F7F" w:themeColor="text1" w:themeTint="80"/>
            </w:tcBorders>
          </w:tcPr>
          <w:p w14:paraId="0E56A45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96" w:type="dxa"/>
            <w:vMerge/>
            <w:tcBorders>
              <w:top w:val="single" w:sz="4" w:space="0" w:color="7F7F7F" w:themeColor="text1" w:themeTint="80"/>
              <w:bottom w:val="single" w:sz="4" w:space="0" w:color="7F7F7F" w:themeColor="text1" w:themeTint="80"/>
            </w:tcBorders>
          </w:tcPr>
          <w:p w14:paraId="2CEB04F5" w14:textId="77777777" w:rsidR="0029571F" w:rsidRDefault="0029571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668" w:type="dxa"/>
            <w:tcBorders>
              <w:top w:val="single" w:sz="4" w:space="0" w:color="7F7F7F" w:themeColor="text1" w:themeTint="80"/>
              <w:bottom w:val="single" w:sz="4" w:space="0" w:color="7F7F7F" w:themeColor="text1" w:themeTint="80"/>
            </w:tcBorders>
          </w:tcPr>
          <w:p w14:paraId="4F29E7B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M flabellifolius</w:t>
            </w:r>
          </w:p>
        </w:tc>
        <w:tc>
          <w:tcPr>
            <w:tcW w:w="1428" w:type="dxa"/>
            <w:tcBorders>
              <w:top w:val="single" w:sz="4" w:space="0" w:color="7F7F7F" w:themeColor="text1" w:themeTint="80"/>
              <w:bottom w:val="single" w:sz="4" w:space="0" w:color="7F7F7F" w:themeColor="text1" w:themeTint="80"/>
            </w:tcBorders>
          </w:tcPr>
          <w:p w14:paraId="15AA767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i/>
                <w:iCs/>
                <w:kern w:val="36"/>
                <w:sz w:val="18"/>
                <w:szCs w:val="18"/>
                <w:lang w:eastAsia="en-ZW"/>
              </w:rPr>
            </w:pPr>
            <w:r>
              <w:rPr>
                <w:rFonts w:eastAsia="Times New Roman"/>
                <w:b/>
                <w:bCs/>
                <w:i/>
                <w:iCs/>
                <w:kern w:val="36"/>
                <w:sz w:val="18"/>
                <w:szCs w:val="18"/>
                <w:lang w:eastAsia="en-ZW"/>
              </w:rPr>
              <w:t>C Lanatus</w:t>
            </w:r>
          </w:p>
        </w:tc>
      </w:tr>
      <w:tr w:rsidR="0029571F" w14:paraId="7D7CE0E9"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50DA34F1"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w:t>
            </w:r>
          </w:p>
        </w:tc>
        <w:tc>
          <w:tcPr>
            <w:tcW w:w="1236" w:type="dxa"/>
          </w:tcPr>
          <w:p w14:paraId="5E2DE88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16</w:t>
            </w:r>
          </w:p>
        </w:tc>
        <w:tc>
          <w:tcPr>
            <w:tcW w:w="1296" w:type="dxa"/>
          </w:tcPr>
          <w:p w14:paraId="223D665F"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288D0542"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450F780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16CCE24C"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3ACD3D36"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2</w:t>
            </w:r>
          </w:p>
        </w:tc>
        <w:tc>
          <w:tcPr>
            <w:tcW w:w="1236" w:type="dxa"/>
            <w:tcBorders>
              <w:top w:val="single" w:sz="4" w:space="0" w:color="7F7F7F" w:themeColor="text1" w:themeTint="80"/>
              <w:bottom w:val="single" w:sz="4" w:space="0" w:color="7F7F7F" w:themeColor="text1" w:themeTint="80"/>
            </w:tcBorders>
          </w:tcPr>
          <w:p w14:paraId="6EB2101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19</w:t>
            </w:r>
          </w:p>
        </w:tc>
        <w:tc>
          <w:tcPr>
            <w:tcW w:w="1296" w:type="dxa"/>
            <w:tcBorders>
              <w:top w:val="single" w:sz="4" w:space="0" w:color="7F7F7F" w:themeColor="text1" w:themeTint="80"/>
              <w:bottom w:val="single" w:sz="4" w:space="0" w:color="7F7F7F" w:themeColor="text1" w:themeTint="80"/>
            </w:tcBorders>
          </w:tcPr>
          <w:p w14:paraId="40211E0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899ED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79EEBE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99738FB"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124E3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3</w:t>
            </w:r>
          </w:p>
        </w:tc>
        <w:tc>
          <w:tcPr>
            <w:tcW w:w="1236" w:type="dxa"/>
          </w:tcPr>
          <w:p w14:paraId="5250185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18</w:t>
            </w:r>
          </w:p>
        </w:tc>
        <w:tc>
          <w:tcPr>
            <w:tcW w:w="1296" w:type="dxa"/>
          </w:tcPr>
          <w:p w14:paraId="65C33C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0DF93FE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w:t>
            </w:r>
          </w:p>
        </w:tc>
        <w:tc>
          <w:tcPr>
            <w:tcW w:w="1428" w:type="dxa"/>
          </w:tcPr>
          <w:p w14:paraId="2E157E3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r w:rsidR="0029571F" w14:paraId="5BABDDE4"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0971AF7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4</w:t>
            </w:r>
          </w:p>
        </w:tc>
        <w:tc>
          <w:tcPr>
            <w:tcW w:w="1236" w:type="dxa"/>
            <w:tcBorders>
              <w:top w:val="single" w:sz="4" w:space="0" w:color="7F7F7F" w:themeColor="text1" w:themeTint="80"/>
              <w:bottom w:val="single" w:sz="4" w:space="0" w:color="7F7F7F" w:themeColor="text1" w:themeTint="80"/>
            </w:tcBorders>
          </w:tcPr>
          <w:p w14:paraId="6965C14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7FB5629D"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6C95115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DC78E5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199793EE"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6B6C6890"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5</w:t>
            </w:r>
          </w:p>
        </w:tc>
        <w:tc>
          <w:tcPr>
            <w:tcW w:w="1236" w:type="dxa"/>
          </w:tcPr>
          <w:p w14:paraId="38F45C5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24</w:t>
            </w:r>
          </w:p>
        </w:tc>
        <w:tc>
          <w:tcPr>
            <w:tcW w:w="1296" w:type="dxa"/>
          </w:tcPr>
          <w:p w14:paraId="118845F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33F0B09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Pr>
          <w:p w14:paraId="33B3F3A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4C83A37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6712DCC3"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6</w:t>
            </w:r>
          </w:p>
        </w:tc>
        <w:tc>
          <w:tcPr>
            <w:tcW w:w="1236" w:type="dxa"/>
            <w:tcBorders>
              <w:top w:val="single" w:sz="4" w:space="0" w:color="7F7F7F" w:themeColor="text1" w:themeTint="80"/>
              <w:bottom w:val="single" w:sz="4" w:space="0" w:color="7F7F7F" w:themeColor="text1" w:themeTint="80"/>
            </w:tcBorders>
          </w:tcPr>
          <w:p w14:paraId="59AC13B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33</w:t>
            </w:r>
          </w:p>
        </w:tc>
        <w:tc>
          <w:tcPr>
            <w:tcW w:w="1296" w:type="dxa"/>
            <w:tcBorders>
              <w:top w:val="single" w:sz="4" w:space="0" w:color="7F7F7F" w:themeColor="text1" w:themeTint="80"/>
              <w:bottom w:val="single" w:sz="4" w:space="0" w:color="7F7F7F" w:themeColor="text1" w:themeTint="80"/>
            </w:tcBorders>
          </w:tcPr>
          <w:p w14:paraId="397DE68B"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2E0234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c>
          <w:tcPr>
            <w:tcW w:w="1428" w:type="dxa"/>
            <w:tcBorders>
              <w:top w:val="single" w:sz="4" w:space="0" w:color="7F7F7F" w:themeColor="text1" w:themeTint="80"/>
              <w:bottom w:val="single" w:sz="4" w:space="0" w:color="7F7F7F" w:themeColor="text1" w:themeTint="80"/>
            </w:tcBorders>
          </w:tcPr>
          <w:p w14:paraId="25AF2DFA"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0E333D57"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7121F4CC"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7</w:t>
            </w:r>
          </w:p>
        </w:tc>
        <w:tc>
          <w:tcPr>
            <w:tcW w:w="1236" w:type="dxa"/>
          </w:tcPr>
          <w:p w14:paraId="3EB932A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39</w:t>
            </w:r>
          </w:p>
        </w:tc>
        <w:tc>
          <w:tcPr>
            <w:tcW w:w="1296" w:type="dxa"/>
          </w:tcPr>
          <w:p w14:paraId="61D8933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4C94BCC9"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011B4503"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53570C56"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5EC4DD64"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8</w:t>
            </w:r>
          </w:p>
        </w:tc>
        <w:tc>
          <w:tcPr>
            <w:tcW w:w="1236" w:type="dxa"/>
            <w:tcBorders>
              <w:top w:val="single" w:sz="4" w:space="0" w:color="7F7F7F" w:themeColor="text1" w:themeTint="80"/>
              <w:bottom w:val="single" w:sz="4" w:space="0" w:color="7F7F7F" w:themeColor="text1" w:themeTint="80"/>
            </w:tcBorders>
          </w:tcPr>
          <w:p w14:paraId="416E1FC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42</w:t>
            </w:r>
          </w:p>
        </w:tc>
        <w:tc>
          <w:tcPr>
            <w:tcW w:w="1296" w:type="dxa"/>
            <w:tcBorders>
              <w:top w:val="single" w:sz="4" w:space="0" w:color="7F7F7F" w:themeColor="text1" w:themeTint="80"/>
              <w:bottom w:val="single" w:sz="4" w:space="0" w:color="7F7F7F" w:themeColor="text1" w:themeTint="80"/>
            </w:tcBorders>
          </w:tcPr>
          <w:p w14:paraId="38C6F52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43B7D8C5"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7F03E4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2ADF1FBD" w14:textId="77777777" w:rsidTr="007F0BDB">
        <w:tc>
          <w:tcPr>
            <w:cnfStyle w:val="001000000000" w:firstRow="0" w:lastRow="0" w:firstColumn="1" w:lastColumn="0" w:oddVBand="0" w:evenVBand="0" w:oddHBand="0" w:evenHBand="0" w:firstRowFirstColumn="0" w:firstRowLastColumn="0" w:lastRowFirstColumn="0" w:lastRowLastColumn="0"/>
            <w:tcW w:w="1476" w:type="dxa"/>
            <w:shd w:val="clear" w:color="auto" w:fill="EEECE1" w:themeFill="background2"/>
          </w:tcPr>
          <w:p w14:paraId="4D8130E8"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9</w:t>
            </w:r>
          </w:p>
        </w:tc>
        <w:tc>
          <w:tcPr>
            <w:tcW w:w="1236" w:type="dxa"/>
          </w:tcPr>
          <w:p w14:paraId="703E232C"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28</w:t>
            </w:r>
          </w:p>
        </w:tc>
        <w:tc>
          <w:tcPr>
            <w:tcW w:w="1296" w:type="dxa"/>
          </w:tcPr>
          <w:p w14:paraId="1AD84898"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Pr>
          <w:p w14:paraId="7665C190"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Pr>
          <w:p w14:paraId="38BFA30E"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0</w:t>
            </w:r>
          </w:p>
        </w:tc>
      </w:tr>
      <w:tr w:rsidR="0029571F" w14:paraId="6ECC7B41" w14:textId="77777777" w:rsidTr="007F0BDB">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7F7F7F" w:themeColor="text1" w:themeTint="80"/>
              <w:bottom w:val="single" w:sz="4" w:space="0" w:color="7F7F7F" w:themeColor="text1" w:themeTint="80"/>
            </w:tcBorders>
            <w:shd w:val="clear" w:color="auto" w:fill="EEECE1" w:themeFill="background2"/>
          </w:tcPr>
          <w:p w14:paraId="4CD14C5B" w14:textId="77777777" w:rsidR="0029571F" w:rsidRDefault="005211DE">
            <w:pPr>
              <w:spacing w:after="0" w:line="240" w:lineRule="auto"/>
              <w:jc w:val="center"/>
              <w:rPr>
                <w:rFonts w:eastAsia="Times New Roman"/>
                <w:bCs w:val="0"/>
                <w:kern w:val="36"/>
                <w:sz w:val="18"/>
                <w:szCs w:val="18"/>
                <w:lang w:eastAsia="en-ZW"/>
              </w:rPr>
            </w:pPr>
            <w:r>
              <w:rPr>
                <w:rFonts w:eastAsia="Times New Roman"/>
                <w:kern w:val="36"/>
                <w:sz w:val="18"/>
                <w:szCs w:val="18"/>
                <w:lang w:eastAsia="en-ZW"/>
              </w:rPr>
              <w:t>10</w:t>
            </w:r>
          </w:p>
        </w:tc>
        <w:tc>
          <w:tcPr>
            <w:tcW w:w="1236" w:type="dxa"/>
            <w:tcBorders>
              <w:top w:val="single" w:sz="4" w:space="0" w:color="7F7F7F" w:themeColor="text1" w:themeTint="80"/>
              <w:bottom w:val="single" w:sz="4" w:space="0" w:color="7F7F7F" w:themeColor="text1" w:themeTint="80"/>
            </w:tcBorders>
          </w:tcPr>
          <w:p w14:paraId="146B2FD4"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27</w:t>
            </w:r>
          </w:p>
        </w:tc>
        <w:tc>
          <w:tcPr>
            <w:tcW w:w="1296" w:type="dxa"/>
            <w:tcBorders>
              <w:top w:val="single" w:sz="4" w:space="0" w:color="7F7F7F" w:themeColor="text1" w:themeTint="80"/>
              <w:bottom w:val="single" w:sz="4" w:space="0" w:color="7F7F7F" w:themeColor="text1" w:themeTint="80"/>
            </w:tcBorders>
          </w:tcPr>
          <w:p w14:paraId="6F1699A6"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F</w:t>
            </w:r>
          </w:p>
        </w:tc>
        <w:tc>
          <w:tcPr>
            <w:tcW w:w="1668" w:type="dxa"/>
            <w:tcBorders>
              <w:top w:val="single" w:sz="4" w:space="0" w:color="7F7F7F" w:themeColor="text1" w:themeTint="80"/>
              <w:bottom w:val="single" w:sz="4" w:space="0" w:color="7F7F7F" w:themeColor="text1" w:themeTint="80"/>
            </w:tcBorders>
          </w:tcPr>
          <w:p w14:paraId="51117A01"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c>
          <w:tcPr>
            <w:tcW w:w="1428" w:type="dxa"/>
            <w:tcBorders>
              <w:top w:val="single" w:sz="4" w:space="0" w:color="7F7F7F" w:themeColor="text1" w:themeTint="80"/>
              <w:bottom w:val="single" w:sz="4" w:space="0" w:color="7F7F7F" w:themeColor="text1" w:themeTint="80"/>
            </w:tcBorders>
          </w:tcPr>
          <w:p w14:paraId="26824637" w14:textId="77777777" w:rsidR="0029571F" w:rsidRDefault="005211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kern w:val="36"/>
                <w:sz w:val="18"/>
                <w:szCs w:val="18"/>
                <w:lang w:eastAsia="en-ZW"/>
              </w:rPr>
            </w:pPr>
            <w:r>
              <w:rPr>
                <w:rFonts w:eastAsia="Times New Roman"/>
                <w:bCs/>
                <w:kern w:val="36"/>
                <w:sz w:val="18"/>
                <w:szCs w:val="18"/>
                <w:lang w:eastAsia="en-ZW"/>
              </w:rPr>
              <w:t>1</w:t>
            </w:r>
          </w:p>
        </w:tc>
      </w:tr>
    </w:tbl>
    <w:p w14:paraId="35A14D32" w14:textId="77777777" w:rsidR="0029571F" w:rsidRDefault="0029571F">
      <w:pPr>
        <w:pStyle w:val="Caption"/>
        <w:keepNext/>
      </w:pPr>
    </w:p>
    <w:p w14:paraId="35CD8E98" w14:textId="77777777" w:rsidR="00BF6093" w:rsidRDefault="00BF6093" w:rsidP="00BF6093"/>
    <w:p w14:paraId="2F5B3793" w14:textId="77777777" w:rsidR="00BF6093" w:rsidRDefault="00BF6093" w:rsidP="00BF6093"/>
    <w:p w14:paraId="33D9C2C4" w14:textId="77777777" w:rsidR="00BF6093" w:rsidRPr="00BF6093" w:rsidRDefault="00BF6093" w:rsidP="00BF6093"/>
    <w:p w14:paraId="081B5640" w14:textId="77777777" w:rsidR="0029571F" w:rsidRDefault="005211DE">
      <w:pPr>
        <w:pStyle w:val="Caption"/>
        <w:keepNext/>
      </w:pPr>
      <w:r>
        <w:t xml:space="preserve">Table </w:t>
      </w:r>
      <w:r>
        <w:fldChar w:fldCharType="begin"/>
      </w:r>
      <w:r>
        <w:instrText xml:space="preserve"> SEQ Table \* ARABIC </w:instrText>
      </w:r>
      <w:r>
        <w:fldChar w:fldCharType="separate"/>
      </w:r>
      <w:r>
        <w:t>5</w:t>
      </w:r>
      <w:r>
        <w:fldChar w:fldCharType="end"/>
      </w:r>
      <w:r>
        <w:t>:</w:t>
      </w:r>
      <w:r>
        <w:rPr>
          <w:lang w:val="en-ZW"/>
        </w:rPr>
        <w:t xml:space="preserve"> Average </w:t>
      </w:r>
      <w:r>
        <w:t xml:space="preserve">Comedogenesis assessment of </w:t>
      </w:r>
      <w:r>
        <w:rPr>
          <w:i/>
          <w:iCs/>
          <w:sz w:val="20"/>
          <w:szCs w:val="20"/>
        </w:rPr>
        <w:t>M flabellifolius</w:t>
      </w:r>
      <w:r>
        <w:rPr>
          <w:sz w:val="20"/>
          <w:szCs w:val="20"/>
        </w:rPr>
        <w:t xml:space="preserve"> and </w:t>
      </w:r>
      <w:r>
        <w:rPr>
          <w:i/>
          <w:iCs/>
          <w:sz w:val="20"/>
          <w:szCs w:val="20"/>
        </w:rPr>
        <w:t>C Lanatus oils</w:t>
      </w:r>
    </w:p>
    <w:tbl>
      <w:tblPr>
        <w:tblStyle w:val="PlainTable23"/>
        <w:tblW w:w="9214" w:type="dxa"/>
        <w:tblLook w:val="04A0" w:firstRow="1" w:lastRow="0" w:firstColumn="1" w:lastColumn="0" w:noHBand="0" w:noVBand="1"/>
      </w:tblPr>
      <w:tblGrid>
        <w:gridCol w:w="1690"/>
        <w:gridCol w:w="1539"/>
        <w:gridCol w:w="3472"/>
        <w:gridCol w:w="2513"/>
      </w:tblGrid>
      <w:tr w:rsidR="0029571F" w14:paraId="09CCBA20" w14:textId="77777777" w:rsidTr="00295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tcBorders>
            <w:shd w:val="clear" w:color="auto" w:fill="EEECE1" w:themeFill="background2"/>
          </w:tcPr>
          <w:p w14:paraId="1BC89BFC" w14:textId="77777777" w:rsidR="0029571F" w:rsidRDefault="005211DE">
            <w:pPr>
              <w:spacing w:before="100" w:beforeAutospacing="1" w:after="160" w:line="256" w:lineRule="auto"/>
              <w:jc w:val="center"/>
              <w:rPr>
                <w:rFonts w:eastAsia="Calibri"/>
                <w:b w:val="0"/>
                <w:sz w:val="18"/>
                <w:szCs w:val="18"/>
                <w:lang w:val="en-ZW"/>
              </w:rPr>
            </w:pPr>
            <w:r>
              <w:rPr>
                <w:rFonts w:eastAsia="Calibri"/>
                <w:bCs w:val="0"/>
                <w:sz w:val="18"/>
                <w:szCs w:val="18"/>
                <w:lang w:val="en-ZW"/>
              </w:rPr>
              <w:t>Oil</w:t>
            </w:r>
          </w:p>
        </w:tc>
        <w:tc>
          <w:tcPr>
            <w:tcW w:w="1539" w:type="dxa"/>
            <w:tcBorders>
              <w:top w:val="single" w:sz="4" w:space="0" w:color="7F7F7F" w:themeColor="text1" w:themeTint="80"/>
            </w:tcBorders>
            <w:shd w:val="clear" w:color="auto" w:fill="EEECE1" w:themeFill="background2"/>
          </w:tcPr>
          <w:p w14:paraId="7A14D80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Comedogenic rating</w:t>
            </w:r>
          </w:p>
        </w:tc>
        <w:tc>
          <w:tcPr>
            <w:tcW w:w="3472" w:type="dxa"/>
            <w:tcBorders>
              <w:top w:val="single" w:sz="4" w:space="0" w:color="7F7F7F" w:themeColor="text1" w:themeTint="80"/>
            </w:tcBorders>
            <w:shd w:val="clear" w:color="auto" w:fill="EEECE1" w:themeFill="background2"/>
          </w:tcPr>
          <w:p w14:paraId="0CAF86D1"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Contributing constituents’ possible reasons</w:t>
            </w:r>
          </w:p>
        </w:tc>
        <w:tc>
          <w:tcPr>
            <w:tcW w:w="2513" w:type="dxa"/>
            <w:tcBorders>
              <w:top w:val="single" w:sz="4" w:space="0" w:color="7F7F7F" w:themeColor="text1" w:themeTint="80"/>
            </w:tcBorders>
            <w:shd w:val="clear" w:color="auto" w:fill="EEECE1" w:themeFill="background2"/>
          </w:tcPr>
          <w:p w14:paraId="44D3BB7E" w14:textId="77777777" w:rsidR="0029571F" w:rsidRDefault="005211DE">
            <w:pPr>
              <w:spacing w:before="100" w:beforeAutospacing="1" w:after="160" w:line="256" w:lineRule="auto"/>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lang w:val="en-ZW"/>
              </w:rPr>
            </w:pPr>
            <w:r>
              <w:rPr>
                <w:rFonts w:eastAsia="Calibri"/>
                <w:bCs w:val="0"/>
                <w:sz w:val="18"/>
                <w:szCs w:val="18"/>
                <w:lang w:val="en-ZW"/>
              </w:rPr>
              <w:t>Skin type most suitable for oil</w:t>
            </w:r>
          </w:p>
        </w:tc>
      </w:tr>
      <w:tr w:rsidR="0029571F" w14:paraId="30C7A18D" w14:textId="77777777" w:rsidTr="007F0BDB">
        <w:tc>
          <w:tcPr>
            <w:cnfStyle w:val="001000000000" w:firstRow="0" w:lastRow="0" w:firstColumn="1" w:lastColumn="0" w:oddVBand="0" w:evenVBand="0" w:oddHBand="0" w:evenHBand="0" w:firstRowFirstColumn="0" w:firstRowLastColumn="0" w:lastRowFirstColumn="0" w:lastRowLastColumn="0"/>
            <w:tcW w:w="1690" w:type="dxa"/>
            <w:tcBorders>
              <w:top w:val="single" w:sz="4" w:space="0" w:color="7F7F7F" w:themeColor="text1" w:themeTint="80"/>
              <w:bottom w:val="single" w:sz="4" w:space="0" w:color="7F7F7F" w:themeColor="text1" w:themeTint="80"/>
            </w:tcBorders>
            <w:shd w:val="clear" w:color="auto" w:fill="EEECE1" w:themeFill="background2"/>
          </w:tcPr>
          <w:p w14:paraId="0E0D1FF1"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 xml:space="preserve">C Lanatus </w:t>
            </w:r>
          </w:p>
          <w:p w14:paraId="288F0A83" w14:textId="77777777" w:rsidR="0029571F" w:rsidRDefault="0029571F">
            <w:pPr>
              <w:spacing w:before="100" w:beforeAutospacing="1" w:after="160" w:line="256" w:lineRule="auto"/>
              <w:jc w:val="center"/>
              <w:rPr>
                <w:rFonts w:eastAsia="Calibri"/>
                <w:b w:val="0"/>
                <w:i/>
                <w:iCs/>
                <w:sz w:val="18"/>
                <w:szCs w:val="18"/>
                <w:lang w:val="en-ZW"/>
              </w:rPr>
            </w:pPr>
          </w:p>
        </w:tc>
        <w:tc>
          <w:tcPr>
            <w:tcW w:w="1539" w:type="dxa"/>
            <w:tcBorders>
              <w:top w:val="single" w:sz="4" w:space="0" w:color="7F7F7F" w:themeColor="text1" w:themeTint="80"/>
              <w:bottom w:val="single" w:sz="4" w:space="0" w:color="7F7F7F" w:themeColor="text1" w:themeTint="80"/>
            </w:tcBorders>
          </w:tcPr>
          <w:p w14:paraId="129312A4"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0 (non-comedogenic)</w:t>
            </w:r>
          </w:p>
        </w:tc>
        <w:tc>
          <w:tcPr>
            <w:tcW w:w="3472" w:type="dxa"/>
            <w:tcBorders>
              <w:top w:val="single" w:sz="4" w:space="0" w:color="7F7F7F" w:themeColor="text1" w:themeTint="80"/>
              <w:bottom w:val="single" w:sz="4" w:space="0" w:color="7F7F7F" w:themeColor="text1" w:themeTint="80"/>
            </w:tcBorders>
          </w:tcPr>
          <w:p w14:paraId="2F3EE942"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High in Linoleic Acid (62%) which is non comedogenic</w:t>
            </w:r>
          </w:p>
        </w:tc>
        <w:tc>
          <w:tcPr>
            <w:tcW w:w="2513" w:type="dxa"/>
            <w:tcBorders>
              <w:top w:val="single" w:sz="4" w:space="0" w:color="7F7F7F" w:themeColor="text1" w:themeTint="80"/>
              <w:bottom w:val="single" w:sz="4" w:space="0" w:color="7F7F7F" w:themeColor="text1" w:themeTint="80"/>
            </w:tcBorders>
          </w:tcPr>
          <w:p w14:paraId="1B874DFD"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All Skin Types, best for oily/Acne-Prone/Sensitive skin</w:t>
            </w:r>
          </w:p>
        </w:tc>
      </w:tr>
      <w:tr w:rsidR="0029571F" w14:paraId="72EEA77F" w14:textId="77777777" w:rsidTr="007F0BDB">
        <w:tc>
          <w:tcPr>
            <w:cnfStyle w:val="001000000000" w:firstRow="0" w:lastRow="0" w:firstColumn="1" w:lastColumn="0" w:oddVBand="0" w:evenVBand="0" w:oddHBand="0" w:evenHBand="0" w:firstRowFirstColumn="0" w:firstRowLastColumn="0" w:lastRowFirstColumn="0" w:lastRowLastColumn="0"/>
            <w:tcW w:w="1690" w:type="dxa"/>
            <w:shd w:val="clear" w:color="auto" w:fill="EEECE1" w:themeFill="background2"/>
          </w:tcPr>
          <w:p w14:paraId="758D725D" w14:textId="77777777" w:rsidR="0029571F" w:rsidRDefault="005211DE">
            <w:pPr>
              <w:spacing w:before="100" w:beforeAutospacing="1" w:after="160" w:line="256" w:lineRule="auto"/>
              <w:jc w:val="center"/>
              <w:rPr>
                <w:rFonts w:eastAsia="Calibri"/>
                <w:b w:val="0"/>
                <w:i/>
                <w:iCs/>
                <w:sz w:val="18"/>
                <w:szCs w:val="18"/>
                <w:lang w:val="en-ZW"/>
              </w:rPr>
            </w:pPr>
            <w:r>
              <w:rPr>
                <w:rFonts w:eastAsia="Calibri"/>
                <w:bCs w:val="0"/>
                <w:i/>
                <w:iCs/>
                <w:sz w:val="18"/>
                <w:szCs w:val="18"/>
                <w:lang w:val="en-ZW"/>
              </w:rPr>
              <w:t>M flabellifolius</w:t>
            </w:r>
          </w:p>
        </w:tc>
        <w:tc>
          <w:tcPr>
            <w:tcW w:w="1539" w:type="dxa"/>
          </w:tcPr>
          <w:p w14:paraId="4E695950"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1 (minimally-comedogenic)</w:t>
            </w:r>
          </w:p>
        </w:tc>
        <w:tc>
          <w:tcPr>
            <w:tcW w:w="3472" w:type="dxa"/>
          </w:tcPr>
          <w:p w14:paraId="3A9431E5" w14:textId="389887C5"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rPr>
            </w:pPr>
            <w:r>
              <w:rPr>
                <w:rFonts w:eastAsia="Calibri"/>
                <w:bCs/>
                <w:sz w:val="18"/>
                <w:szCs w:val="18"/>
                <w:lang w:val="en-ZW"/>
              </w:rPr>
              <w:t>Composed mostly of cyclic terpenoids including</w:t>
            </w:r>
            <w:r>
              <w:rPr>
                <w:bCs/>
                <w:sz w:val="18"/>
                <w:szCs w:val="18"/>
              </w:rPr>
              <w:t xml:space="preserve"> </w:t>
            </w:r>
            <w:r>
              <w:rPr>
                <w:rFonts w:eastAsia="Calibri"/>
                <w:bCs/>
                <w:sz w:val="18"/>
                <w:szCs w:val="18"/>
              </w:rPr>
              <w:t>pinocarvone and trans-pinocarveol.</w:t>
            </w:r>
            <w:r>
              <w:rPr>
                <w:rFonts w:eastAsia="Calibri"/>
                <w:bCs/>
                <w:sz w:val="18"/>
                <w:szCs w:val="18"/>
                <w:lang w:val="en-ZW"/>
              </w:rPr>
              <w:t xml:space="preserve"> </w:t>
            </w:r>
            <w:r>
              <w:rPr>
                <w:rFonts w:eastAsia="Calibri"/>
                <w:bCs/>
                <w:sz w:val="18"/>
                <w:szCs w:val="18"/>
                <w:lang w:val="en-ZW" w:eastAsia="en-ZW"/>
              </w:rPr>
              <w:t>Essential oils themselves are generally not comedogenic</w:t>
            </w:r>
            <w:r>
              <w:rPr>
                <w:rFonts w:eastAsia="Calibri"/>
                <w:bCs/>
                <w:sz w:val="18"/>
                <w:szCs w:val="18"/>
                <w:lang w:eastAsia="en-ZW"/>
              </w:rPr>
              <w:t xml:space="preserve"> and </w:t>
            </w:r>
            <w:r w:rsidR="00B468C1">
              <w:rPr>
                <w:rFonts w:eastAsia="Calibri"/>
                <w:bCs/>
                <w:sz w:val="18"/>
                <w:szCs w:val="18"/>
                <w:lang w:eastAsia="en-ZW"/>
              </w:rPr>
              <w:t>do not</w:t>
            </w:r>
            <w:r>
              <w:rPr>
                <w:rFonts w:eastAsia="Calibri"/>
                <w:bCs/>
                <w:sz w:val="18"/>
                <w:szCs w:val="18"/>
                <w:lang w:val="en-ZW" w:eastAsia="en-ZW"/>
              </w:rPr>
              <w:t xml:space="preserve"> clog pores. However, the carrier oils used to</w:t>
            </w:r>
            <w:r>
              <w:rPr>
                <w:rFonts w:eastAsia="Calibri"/>
                <w:bCs/>
                <w:sz w:val="18"/>
                <w:szCs w:val="18"/>
                <w:lang w:eastAsia="en-ZW"/>
              </w:rPr>
              <w:t xml:space="preserve"> stabilize</w:t>
            </w:r>
            <w:r>
              <w:rPr>
                <w:rFonts w:eastAsia="Calibri"/>
                <w:bCs/>
                <w:sz w:val="18"/>
                <w:szCs w:val="18"/>
                <w:lang w:val="en-ZW" w:eastAsia="en-ZW"/>
              </w:rPr>
              <w:t xml:space="preserve"> essential oils can have varying levels of comedogenicity</w:t>
            </w:r>
            <w:r>
              <w:rPr>
                <w:rFonts w:eastAsia="Calibri"/>
                <w:bCs/>
                <w:sz w:val="18"/>
                <w:szCs w:val="18"/>
                <w:lang w:eastAsia="en-ZW"/>
              </w:rPr>
              <w:t xml:space="preserve"> which could have contributed to this rating</w:t>
            </w:r>
          </w:p>
        </w:tc>
        <w:tc>
          <w:tcPr>
            <w:tcW w:w="2513" w:type="dxa"/>
          </w:tcPr>
          <w:p w14:paraId="624B043E" w14:textId="77777777" w:rsidR="0029571F" w:rsidRDefault="005211DE">
            <w:pPr>
              <w:spacing w:before="100" w:beforeAutospacing="1" w:after="160" w:line="256" w:lineRule="auto"/>
              <w:jc w:val="center"/>
              <w:cnfStyle w:val="000000000000" w:firstRow="0" w:lastRow="0" w:firstColumn="0" w:lastColumn="0" w:oddVBand="0" w:evenVBand="0" w:oddHBand="0" w:evenHBand="0" w:firstRowFirstColumn="0" w:firstRowLastColumn="0" w:lastRowFirstColumn="0" w:lastRowLastColumn="0"/>
              <w:rPr>
                <w:rFonts w:eastAsia="Calibri"/>
                <w:bCs/>
                <w:sz w:val="18"/>
                <w:szCs w:val="18"/>
                <w:lang w:val="en-ZW"/>
              </w:rPr>
            </w:pPr>
            <w:r>
              <w:rPr>
                <w:rFonts w:eastAsia="Calibri"/>
                <w:bCs/>
                <w:sz w:val="18"/>
                <w:szCs w:val="18"/>
                <w:lang w:val="en-ZW"/>
              </w:rPr>
              <w:t>Most skin types</w:t>
            </w:r>
          </w:p>
        </w:tc>
      </w:tr>
    </w:tbl>
    <w:p w14:paraId="489C9F55" w14:textId="0BFFA38D" w:rsidR="0029571F" w:rsidRDefault="005211DE">
      <w:pPr>
        <w:spacing w:before="100" w:beforeAutospacing="1" w:after="160" w:line="256" w:lineRule="auto"/>
        <w:jc w:val="both"/>
        <w:rPr>
          <w:bCs/>
          <w:kern w:val="36"/>
          <w:sz w:val="20"/>
          <w:szCs w:val="20"/>
          <w:lang w:val="en-ZW"/>
        </w:rPr>
      </w:pPr>
      <w:r>
        <w:rPr>
          <w:bCs/>
          <w:kern w:val="36"/>
          <w:sz w:val="20"/>
          <w:szCs w:val="20"/>
        </w:rPr>
        <w:t>The possibility of comedogenicity and irritancy in skin care products has been well documented. Cosmetics usually contain possible follicular and surface epithelial irritating ingredients which cause breakouts. These ingredients fall into several chemical classes. By understanding the relationship between chemical moiety and ingredient characteristics, it is possible to avoid potential comedogenic ingredients and formulate nonirritating, noncomedogenic moisturizers, sunscreens, and general cosmetics.</w:t>
      </w:r>
      <w:r>
        <w:rPr>
          <w:bCs/>
          <w:kern w:val="36"/>
          <w:sz w:val="20"/>
          <w:szCs w:val="20"/>
          <w:lang w:val="en-ZW"/>
        </w:rPr>
        <w:t xml:space="preserve"> The results above confirm</w:t>
      </w:r>
      <w:r w:rsidR="00BD3410">
        <w:rPr>
          <w:bCs/>
          <w:kern w:val="36"/>
          <w:sz w:val="20"/>
          <w:szCs w:val="20"/>
          <w:lang w:val="en-ZW"/>
        </w:rPr>
        <w:t>ed</w:t>
      </w:r>
      <w:r>
        <w:rPr>
          <w:bCs/>
          <w:kern w:val="36"/>
          <w:sz w:val="20"/>
          <w:szCs w:val="20"/>
          <w:lang w:val="en-ZW"/>
        </w:rPr>
        <w:t xml:space="preserve"> that both oils will not be expected to cause any break outs in users  of  cosmetics that contain them at ordinary usage levels. Our findings also point out that Comedogenicity is not directly related to oiliness; the latter is a physical attribute and not a chemical entity. Some of the most potent comedogenic substances, dioxin for example, are non-oily. On the other hand, many classical oils, notably vegetable oils, are usually non-comedogenic. From a cosmetic application perspective, it is paramount to keep in mind that the foregoing evaluations and analysis were done on neat (pure) oils and therefore represent the worst possible case scenario in terms of comedogenesis for the specific oils, </w:t>
      </w:r>
      <w:r w:rsidR="00BD3410">
        <w:rPr>
          <w:bCs/>
          <w:kern w:val="36"/>
          <w:sz w:val="20"/>
          <w:szCs w:val="20"/>
          <w:lang w:val="en-ZW"/>
        </w:rPr>
        <w:t>however,</w:t>
      </w:r>
      <w:r>
        <w:rPr>
          <w:bCs/>
          <w:kern w:val="36"/>
          <w:sz w:val="20"/>
          <w:szCs w:val="20"/>
          <w:lang w:val="en-ZW"/>
        </w:rPr>
        <w:t xml:space="preserve"> in general practice and in our sunscreen formulation in particular, the oils are most likely used diluted and mixed with other </w:t>
      </w:r>
      <w:r>
        <w:rPr>
          <w:bCs/>
          <w:kern w:val="36"/>
          <w:sz w:val="20"/>
          <w:szCs w:val="20"/>
          <w:lang w:val="en-ZW"/>
        </w:rPr>
        <w:lastRenderedPageBreak/>
        <w:t>ingredients, therefore their comedogenesis contribution in final formulations is even more limited and negligible.</w:t>
      </w:r>
    </w:p>
    <w:p w14:paraId="3B9964CF" w14:textId="77777777" w:rsidR="0029571F" w:rsidRDefault="005211DE" w:rsidP="00BD3410">
      <w:pPr>
        <w:pStyle w:val="Heading2"/>
        <w:spacing w:line="240" w:lineRule="auto"/>
        <w:contextualSpacing/>
      </w:pPr>
      <w:r>
        <w:t xml:space="preserve">Mutagenicity/Genotoxicity potential assessment of </w:t>
      </w:r>
      <w:r>
        <w:rPr>
          <w:i/>
          <w:iCs/>
        </w:rPr>
        <w:t>M flabellifolius</w:t>
      </w:r>
      <w:r>
        <w:t xml:space="preserve"> and </w:t>
      </w:r>
      <w:r>
        <w:rPr>
          <w:i/>
          <w:iCs/>
        </w:rPr>
        <w:t>C Lanatus</w:t>
      </w:r>
      <w:r>
        <w:t xml:space="preserve"> oils</w:t>
      </w:r>
    </w:p>
    <w:p w14:paraId="21760E2A" w14:textId="604D7F0D" w:rsidR="0029571F" w:rsidRDefault="005211DE" w:rsidP="00BD3410">
      <w:pPr>
        <w:spacing w:before="100" w:beforeAutospacing="1" w:after="160" w:line="240" w:lineRule="auto"/>
        <w:contextualSpacing/>
        <w:rPr>
          <w:bCs/>
          <w:kern w:val="36"/>
          <w:sz w:val="20"/>
          <w:szCs w:val="20"/>
        </w:rPr>
      </w:pPr>
      <w:r>
        <w:rPr>
          <w:bCs/>
          <w:kern w:val="36"/>
          <w:sz w:val="20"/>
          <w:szCs w:val="20"/>
        </w:rPr>
        <w:t xml:space="preserve">In the Reverse mutation assays using </w:t>
      </w:r>
      <w:r>
        <w:rPr>
          <w:bCs/>
          <w:i/>
          <w:iCs/>
          <w:kern w:val="36"/>
          <w:sz w:val="20"/>
          <w:szCs w:val="20"/>
        </w:rPr>
        <w:t>S. Typhimurium</w:t>
      </w:r>
      <w:r>
        <w:rPr>
          <w:bCs/>
          <w:kern w:val="36"/>
          <w:sz w:val="20"/>
          <w:szCs w:val="20"/>
        </w:rPr>
        <w:t xml:space="preserve"> strains, both oils were not mutagenic toward </w:t>
      </w:r>
      <w:r w:rsidRPr="00872C40">
        <w:rPr>
          <w:bCs/>
          <w:i/>
          <w:iCs/>
          <w:kern w:val="36"/>
          <w:sz w:val="20"/>
          <w:szCs w:val="20"/>
        </w:rPr>
        <w:t>S. Typhimurium</w:t>
      </w:r>
      <w:r>
        <w:rPr>
          <w:bCs/>
          <w:kern w:val="36"/>
          <w:sz w:val="20"/>
          <w:szCs w:val="20"/>
        </w:rPr>
        <w:t xml:space="preserve"> TA97, TA98, TA100, TA102 and TA104 either with or without S9 mix at doses up to 5 mg per plate (Table </w:t>
      </w:r>
      <w:r w:rsidR="007F0BDB">
        <w:rPr>
          <w:bCs/>
          <w:kern w:val="36"/>
          <w:sz w:val="20"/>
          <w:szCs w:val="20"/>
        </w:rPr>
        <w:t>6</w:t>
      </w:r>
      <w:r>
        <w:rPr>
          <w:bCs/>
          <w:kern w:val="36"/>
          <w:sz w:val="20"/>
          <w:szCs w:val="20"/>
        </w:rPr>
        <w:t xml:space="preserve">). Both oils were </w:t>
      </w:r>
      <w:r w:rsidR="00872C40">
        <w:rPr>
          <w:bCs/>
          <w:kern w:val="36"/>
          <w:sz w:val="20"/>
          <w:szCs w:val="20"/>
        </w:rPr>
        <w:t>non-</w:t>
      </w:r>
      <w:r>
        <w:rPr>
          <w:bCs/>
          <w:kern w:val="36"/>
          <w:sz w:val="20"/>
          <w:szCs w:val="20"/>
        </w:rPr>
        <w:t xml:space="preserve">toxic to </w:t>
      </w:r>
      <w:r>
        <w:rPr>
          <w:bCs/>
          <w:i/>
          <w:iCs/>
          <w:kern w:val="36"/>
          <w:sz w:val="20"/>
          <w:szCs w:val="20"/>
        </w:rPr>
        <w:t>S .Typhimurium</w:t>
      </w:r>
      <w:r>
        <w:rPr>
          <w:bCs/>
          <w:kern w:val="36"/>
          <w:sz w:val="20"/>
          <w:szCs w:val="20"/>
        </w:rPr>
        <w:t xml:space="preserve"> even at the highest </w:t>
      </w:r>
      <w:r w:rsidR="0075468F">
        <w:rPr>
          <w:bCs/>
          <w:kern w:val="36"/>
          <w:sz w:val="20"/>
          <w:szCs w:val="20"/>
        </w:rPr>
        <w:t>dose</w:t>
      </w:r>
      <w:r>
        <w:rPr>
          <w:bCs/>
          <w:kern w:val="36"/>
          <w:sz w:val="20"/>
          <w:szCs w:val="20"/>
        </w:rPr>
        <w:t xml:space="preserve">. </w:t>
      </w:r>
      <w:r>
        <w:rPr>
          <w:bCs/>
          <w:i/>
          <w:iCs/>
          <w:kern w:val="36"/>
          <w:sz w:val="20"/>
          <w:szCs w:val="20"/>
        </w:rPr>
        <w:t>C lanatus and M flabellifolius</w:t>
      </w:r>
      <w:r>
        <w:rPr>
          <w:bCs/>
          <w:kern w:val="36"/>
          <w:sz w:val="20"/>
          <w:szCs w:val="20"/>
        </w:rPr>
        <w:t xml:space="preserve">  oils were both not mutagenic in </w:t>
      </w:r>
      <w:r>
        <w:rPr>
          <w:bCs/>
          <w:i/>
          <w:iCs/>
          <w:kern w:val="36"/>
          <w:sz w:val="20"/>
          <w:szCs w:val="20"/>
        </w:rPr>
        <w:t>S. Typhimurium</w:t>
      </w:r>
      <w:r>
        <w:rPr>
          <w:bCs/>
          <w:kern w:val="36"/>
          <w:sz w:val="20"/>
          <w:szCs w:val="20"/>
        </w:rPr>
        <w:t xml:space="preserve"> TA1535, TA1537 and </w:t>
      </w:r>
      <w:r>
        <w:rPr>
          <w:bCs/>
          <w:i/>
          <w:iCs/>
          <w:kern w:val="36"/>
          <w:sz w:val="20"/>
          <w:szCs w:val="20"/>
        </w:rPr>
        <w:t>E.coli WP2 wvM/pKM101</w:t>
      </w:r>
      <w:r>
        <w:rPr>
          <w:bCs/>
          <w:kern w:val="36"/>
          <w:sz w:val="20"/>
          <w:szCs w:val="20"/>
        </w:rPr>
        <w:t xml:space="preserve"> "in the presence of the S9 mix.  </w:t>
      </w:r>
    </w:p>
    <w:p w14:paraId="490A1A34" w14:textId="10F0790B" w:rsidR="0029571F" w:rsidRDefault="005211DE" w:rsidP="00BD3410">
      <w:pPr>
        <w:spacing w:before="100" w:beforeAutospacing="1" w:after="160" w:line="240" w:lineRule="auto"/>
        <w:contextualSpacing/>
        <w:jc w:val="both"/>
        <w:rPr>
          <w:bCs/>
          <w:kern w:val="36"/>
          <w:sz w:val="20"/>
          <w:szCs w:val="20"/>
        </w:rPr>
      </w:pPr>
      <w:r>
        <w:rPr>
          <w:bCs/>
          <w:kern w:val="36"/>
          <w:sz w:val="20"/>
          <w:szCs w:val="20"/>
        </w:rPr>
        <w:t xml:space="preserve">To evaluate the genotoxic activities of the oils, we carried out six </w:t>
      </w:r>
      <w:r w:rsidRPr="00872C40">
        <w:rPr>
          <w:bCs/>
          <w:i/>
          <w:iCs/>
          <w:kern w:val="36"/>
          <w:sz w:val="20"/>
          <w:szCs w:val="20"/>
        </w:rPr>
        <w:t>in-vitro</w:t>
      </w:r>
      <w:r>
        <w:rPr>
          <w:bCs/>
          <w:kern w:val="36"/>
          <w:sz w:val="20"/>
          <w:szCs w:val="20"/>
        </w:rPr>
        <w:t xml:space="preserve"> mutagenicity assays for each oil. The results suggested that </w:t>
      </w:r>
      <w:r w:rsidR="007F0BDB">
        <w:rPr>
          <w:bCs/>
          <w:kern w:val="36"/>
          <w:sz w:val="20"/>
          <w:szCs w:val="20"/>
        </w:rPr>
        <w:t xml:space="preserve">(both) </w:t>
      </w:r>
      <w:r w:rsidR="00627629">
        <w:rPr>
          <w:bCs/>
          <w:kern w:val="36"/>
          <w:sz w:val="20"/>
          <w:szCs w:val="20"/>
        </w:rPr>
        <w:t>oils</w:t>
      </w:r>
      <w:r>
        <w:rPr>
          <w:bCs/>
          <w:kern w:val="36"/>
          <w:sz w:val="20"/>
          <w:szCs w:val="20"/>
        </w:rPr>
        <w:t xml:space="preserve"> have no mutagenic or clastogenic potential in bacteria or cultured mammalian cells either with or without S9 activation. We could not find any conclusive previously published evaluations on the genotoxicity of either of the oils in public literature searches to use as a comparative guide. We therefore used published results on the major phyto-constituents of the oils as comparative references. Our results are therefore consistent with the previous reports that the main constituents of the oils, linoleic acid, Oleic acid and Palmitic acid for </w:t>
      </w:r>
      <w:r>
        <w:rPr>
          <w:bCs/>
          <w:i/>
          <w:iCs/>
          <w:kern w:val="36"/>
          <w:sz w:val="20"/>
          <w:szCs w:val="20"/>
        </w:rPr>
        <w:t xml:space="preserve">C </w:t>
      </w:r>
      <w:r w:rsidR="00872C40">
        <w:rPr>
          <w:bCs/>
          <w:i/>
          <w:iCs/>
          <w:kern w:val="36"/>
          <w:sz w:val="20"/>
          <w:szCs w:val="20"/>
        </w:rPr>
        <w:t>l</w:t>
      </w:r>
      <w:r>
        <w:rPr>
          <w:bCs/>
          <w:i/>
          <w:iCs/>
          <w:kern w:val="36"/>
          <w:sz w:val="20"/>
          <w:szCs w:val="20"/>
        </w:rPr>
        <w:t xml:space="preserve">anatus </w:t>
      </w:r>
      <w:r>
        <w:rPr>
          <w:bCs/>
          <w:kern w:val="36"/>
          <w:sz w:val="20"/>
          <w:szCs w:val="20"/>
        </w:rPr>
        <w:t xml:space="preserve">and cyclic terpenoids for </w:t>
      </w:r>
      <w:r>
        <w:rPr>
          <w:bCs/>
          <w:i/>
          <w:iCs/>
          <w:kern w:val="36"/>
          <w:sz w:val="20"/>
          <w:szCs w:val="20"/>
        </w:rPr>
        <w:t xml:space="preserve">M </w:t>
      </w:r>
      <w:r w:rsidR="00872C40">
        <w:rPr>
          <w:bCs/>
          <w:i/>
          <w:iCs/>
          <w:kern w:val="36"/>
          <w:sz w:val="20"/>
          <w:szCs w:val="20"/>
        </w:rPr>
        <w:t>f</w:t>
      </w:r>
      <w:r>
        <w:rPr>
          <w:bCs/>
          <w:i/>
          <w:iCs/>
          <w:kern w:val="36"/>
          <w:sz w:val="20"/>
          <w:szCs w:val="20"/>
        </w:rPr>
        <w:t>labellifolius</w:t>
      </w:r>
      <w:r>
        <w:rPr>
          <w:bCs/>
          <w:kern w:val="36"/>
          <w:sz w:val="20"/>
          <w:szCs w:val="20"/>
        </w:rPr>
        <w:t xml:space="preserve">   do not cause DNA damage or alterations.  Even though some studies indicate that fatty acids can amplify the mutagenicity potential of genotoxic agents, there are no known genotoxins in </w:t>
      </w:r>
      <w:r>
        <w:rPr>
          <w:bCs/>
          <w:i/>
          <w:iCs/>
          <w:kern w:val="36"/>
          <w:sz w:val="20"/>
          <w:szCs w:val="20"/>
        </w:rPr>
        <w:t>C lanatus</w:t>
      </w:r>
      <w:r>
        <w:rPr>
          <w:bCs/>
          <w:kern w:val="36"/>
          <w:sz w:val="20"/>
          <w:szCs w:val="20"/>
        </w:rPr>
        <w:t xml:space="preserve"> and </w:t>
      </w:r>
      <w:r>
        <w:rPr>
          <w:bCs/>
          <w:i/>
          <w:iCs/>
          <w:kern w:val="36"/>
          <w:sz w:val="20"/>
          <w:szCs w:val="20"/>
        </w:rPr>
        <w:t>M flabellifolius</w:t>
      </w:r>
      <w:r>
        <w:rPr>
          <w:bCs/>
          <w:kern w:val="36"/>
          <w:sz w:val="20"/>
          <w:szCs w:val="20"/>
        </w:rPr>
        <w:t xml:space="preserve"> oils from </w:t>
      </w:r>
      <w:r w:rsidRPr="00DC4F38">
        <w:rPr>
          <w:bCs/>
          <w:kern w:val="36"/>
          <w:sz w:val="20"/>
          <w:szCs w:val="20"/>
          <w:highlight w:val="yellow"/>
        </w:rPr>
        <w:t xml:space="preserve">routine analysis which could have been amplified. Other studies by De Kok et al (2003) [28] also corroborate the finding that </w:t>
      </w:r>
      <w:r w:rsidR="00872C40" w:rsidRPr="00DC4F38">
        <w:rPr>
          <w:bCs/>
          <w:kern w:val="36"/>
          <w:sz w:val="20"/>
          <w:szCs w:val="20"/>
          <w:highlight w:val="yellow"/>
        </w:rPr>
        <w:t>l</w:t>
      </w:r>
      <w:r w:rsidRPr="00DC4F38">
        <w:rPr>
          <w:bCs/>
          <w:kern w:val="36"/>
          <w:sz w:val="20"/>
          <w:szCs w:val="20"/>
          <w:highlight w:val="yellow"/>
        </w:rPr>
        <w:t xml:space="preserve">inoleic acid and other fatty acids do not contribute to any DNA damage or chromosomal aberrations with or without metabolic activation in mutagenicity tests using bacteria, cultured mammalian cells or insects. Our findings are consistent with the expert panel conclusion in the </w:t>
      </w:r>
      <w:r w:rsidR="00DC4F38" w:rsidRPr="00DC4F38">
        <w:rPr>
          <w:bCs/>
          <w:kern w:val="36"/>
          <w:sz w:val="20"/>
          <w:szCs w:val="20"/>
          <w:highlight w:val="yellow"/>
        </w:rPr>
        <w:t>‘</w:t>
      </w:r>
      <w:r w:rsidRPr="00DC4F38">
        <w:rPr>
          <w:bCs/>
          <w:kern w:val="36"/>
          <w:sz w:val="20"/>
          <w:szCs w:val="20"/>
          <w:highlight w:val="yellow"/>
        </w:rPr>
        <w:t>Final Report on the Safety Assessment of Oleic Acid, Lauric Acid, Palmitic Acid, Myristic Acid, and Stearic Acid</w:t>
      </w:r>
      <w:r w:rsidR="00DC4F38" w:rsidRPr="00DC4F38">
        <w:rPr>
          <w:bCs/>
          <w:kern w:val="36"/>
          <w:sz w:val="20"/>
          <w:szCs w:val="20"/>
          <w:highlight w:val="yellow"/>
        </w:rPr>
        <w:t>’ as documented by</w:t>
      </w:r>
      <w:r w:rsidRPr="00DC4F38">
        <w:rPr>
          <w:bCs/>
          <w:kern w:val="36"/>
          <w:sz w:val="20"/>
          <w:szCs w:val="20"/>
          <w:highlight w:val="yellow"/>
        </w:rPr>
        <w:t xml:space="preserve"> the American college of toxicology [2</w:t>
      </w:r>
      <w:r w:rsidR="00430B96" w:rsidRPr="00DC4F38">
        <w:rPr>
          <w:bCs/>
          <w:kern w:val="36"/>
          <w:sz w:val="20"/>
          <w:szCs w:val="20"/>
          <w:highlight w:val="yellow"/>
        </w:rPr>
        <w:t>9</w:t>
      </w:r>
      <w:r w:rsidRPr="00DC4F38">
        <w:rPr>
          <w:bCs/>
          <w:kern w:val="36"/>
          <w:sz w:val="20"/>
          <w:szCs w:val="20"/>
          <w:highlight w:val="yellow"/>
        </w:rPr>
        <w:t xml:space="preserve">] which concluded that on the basis of available data from studies using animals and humans, </w:t>
      </w:r>
      <w:r w:rsidR="00872C40" w:rsidRPr="00DC4F38">
        <w:rPr>
          <w:bCs/>
          <w:kern w:val="36"/>
          <w:sz w:val="20"/>
          <w:szCs w:val="20"/>
          <w:highlight w:val="yellow"/>
        </w:rPr>
        <w:t xml:space="preserve">these fatty acids </w:t>
      </w:r>
      <w:r w:rsidRPr="00DC4F38">
        <w:rPr>
          <w:bCs/>
          <w:kern w:val="36"/>
          <w:sz w:val="20"/>
          <w:szCs w:val="20"/>
          <w:highlight w:val="yellow"/>
        </w:rPr>
        <w:t>are safe in present practices of use and concentrations in cosmetics.</w:t>
      </w:r>
    </w:p>
    <w:p w14:paraId="300B0D9F" w14:textId="77777777" w:rsidR="00084BAD" w:rsidRDefault="00084BAD">
      <w:pPr>
        <w:spacing w:before="100" w:beforeAutospacing="1" w:after="160" w:line="240" w:lineRule="auto"/>
        <w:contextualSpacing/>
        <w:jc w:val="both"/>
        <w:rPr>
          <w:bCs/>
          <w:kern w:val="36"/>
          <w:sz w:val="20"/>
          <w:szCs w:val="20"/>
        </w:rPr>
      </w:pPr>
    </w:p>
    <w:p w14:paraId="3665D281" w14:textId="77777777" w:rsidR="0029571F" w:rsidRDefault="005211DE">
      <w:pPr>
        <w:pStyle w:val="Caption"/>
        <w:rPr>
          <w:bCs w:val="0"/>
          <w:kern w:val="36"/>
          <w:sz w:val="20"/>
          <w:szCs w:val="20"/>
        </w:rPr>
      </w:pPr>
      <w:r>
        <w:rPr>
          <w:bCs w:val="0"/>
          <w:kern w:val="36"/>
          <w:sz w:val="20"/>
          <w:szCs w:val="20"/>
        </w:rPr>
        <w:t xml:space="preserve"> </w:t>
      </w:r>
      <w:r>
        <w:t xml:space="preserve">Table </w:t>
      </w:r>
      <w:r>
        <w:fldChar w:fldCharType="begin"/>
      </w:r>
      <w:r>
        <w:instrText xml:space="preserve"> SEQ Table \* ARABIC </w:instrText>
      </w:r>
      <w:r>
        <w:fldChar w:fldCharType="separate"/>
      </w:r>
      <w:r>
        <w:t>6</w:t>
      </w:r>
      <w:r>
        <w:fldChar w:fldCharType="end"/>
      </w:r>
      <w:r>
        <w:t>: Mutagenicity evaluation of C</w:t>
      </w:r>
      <w:r>
        <w:rPr>
          <w:i/>
          <w:iCs/>
        </w:rPr>
        <w:t xml:space="preserve"> Lanatus</w:t>
      </w:r>
      <w:r>
        <w:t xml:space="preserve"> and </w:t>
      </w:r>
      <w:r>
        <w:rPr>
          <w:i/>
          <w:iCs/>
        </w:rPr>
        <w:t>M Flabellifolius</w:t>
      </w:r>
    </w:p>
    <w:tbl>
      <w:tblPr>
        <w:tblStyle w:val="PlainTable2"/>
        <w:tblW w:w="9214" w:type="dxa"/>
        <w:tblLook w:val="04A0" w:firstRow="1" w:lastRow="0" w:firstColumn="1" w:lastColumn="0" w:noHBand="0" w:noVBand="1"/>
      </w:tblPr>
      <w:tblGrid>
        <w:gridCol w:w="1276"/>
        <w:gridCol w:w="1843"/>
        <w:gridCol w:w="3402"/>
        <w:gridCol w:w="2693"/>
      </w:tblGrid>
      <w:tr w:rsidR="0029571F" w14:paraId="55A23437" w14:textId="77777777" w:rsidTr="00FB3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DDD9C3" w:themeFill="background2" w:themeFillShade="E6"/>
          </w:tcPr>
          <w:p w14:paraId="7B496212" w14:textId="77777777" w:rsidR="0029571F" w:rsidRDefault="005211DE">
            <w:pPr>
              <w:autoSpaceDE w:val="0"/>
              <w:autoSpaceDN w:val="0"/>
              <w:adjustRightInd w:val="0"/>
              <w:spacing w:before="100" w:beforeAutospacing="1" w:after="0" w:line="256" w:lineRule="auto"/>
              <w:rPr>
                <w:b w:val="0"/>
                <w:kern w:val="36"/>
                <w:sz w:val="18"/>
                <w:szCs w:val="18"/>
                <w:lang w:val="en-ZW"/>
              </w:rPr>
            </w:pPr>
            <w:r>
              <w:rPr>
                <w:kern w:val="36"/>
                <w:sz w:val="18"/>
                <w:szCs w:val="18"/>
                <w:lang w:val="en-ZW"/>
              </w:rPr>
              <w:t>Oil</w:t>
            </w:r>
          </w:p>
        </w:tc>
        <w:tc>
          <w:tcPr>
            <w:tcW w:w="1843" w:type="dxa"/>
            <w:shd w:val="clear" w:color="auto" w:fill="DDD9C3" w:themeFill="background2" w:themeFillShade="E6"/>
          </w:tcPr>
          <w:p w14:paraId="49444A1E"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Toxicity to    </w:t>
            </w:r>
            <w:r>
              <w:rPr>
                <w:i/>
                <w:kern w:val="36"/>
                <w:sz w:val="18"/>
                <w:szCs w:val="18"/>
                <w:lang w:val="en-ZW"/>
              </w:rPr>
              <w:t>S .Typhimurium</w:t>
            </w:r>
          </w:p>
        </w:tc>
        <w:tc>
          <w:tcPr>
            <w:tcW w:w="3402" w:type="dxa"/>
            <w:shd w:val="clear" w:color="auto" w:fill="DDD9C3" w:themeFill="background2" w:themeFillShade="E6"/>
          </w:tcPr>
          <w:p w14:paraId="5BDC4B38"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to </w:t>
            </w:r>
            <w:r>
              <w:rPr>
                <w:i/>
                <w:kern w:val="36"/>
                <w:sz w:val="18"/>
                <w:szCs w:val="18"/>
                <w:lang w:val="en-ZW"/>
              </w:rPr>
              <w:t>S. Typhimurium</w:t>
            </w:r>
            <w:r>
              <w:rPr>
                <w:kern w:val="36"/>
                <w:sz w:val="18"/>
                <w:szCs w:val="18"/>
                <w:lang w:val="en-ZW"/>
              </w:rPr>
              <w:t xml:space="preserve"> TA97, TA98, TA100, TA102 and TA104</w:t>
            </w:r>
          </w:p>
        </w:tc>
        <w:tc>
          <w:tcPr>
            <w:tcW w:w="2693" w:type="dxa"/>
            <w:shd w:val="clear" w:color="auto" w:fill="DDD9C3" w:themeFill="background2" w:themeFillShade="E6"/>
          </w:tcPr>
          <w:p w14:paraId="2D3E99E2" w14:textId="77777777" w:rsidR="0029571F" w:rsidRDefault="005211DE">
            <w:pPr>
              <w:autoSpaceDE w:val="0"/>
              <w:autoSpaceDN w:val="0"/>
              <w:adjustRightInd w:val="0"/>
              <w:spacing w:before="100" w:beforeAutospacing="1" w:after="0" w:line="256" w:lineRule="auto"/>
              <w:cnfStyle w:val="100000000000" w:firstRow="1" w:lastRow="0" w:firstColumn="0" w:lastColumn="0" w:oddVBand="0" w:evenVBand="0" w:oddHBand="0" w:evenHBand="0" w:firstRowFirstColumn="0" w:firstRowLastColumn="0" w:lastRowFirstColumn="0" w:lastRowLastColumn="0"/>
              <w:rPr>
                <w:b w:val="0"/>
                <w:kern w:val="36"/>
                <w:sz w:val="18"/>
                <w:szCs w:val="18"/>
                <w:lang w:val="en-ZW"/>
              </w:rPr>
            </w:pPr>
            <w:r>
              <w:rPr>
                <w:kern w:val="36"/>
                <w:sz w:val="18"/>
                <w:szCs w:val="18"/>
                <w:lang w:val="en-ZW"/>
              </w:rPr>
              <w:t xml:space="preserve">Mutagenicity to  </w:t>
            </w:r>
            <w:r>
              <w:rPr>
                <w:i/>
                <w:kern w:val="36"/>
                <w:sz w:val="18"/>
                <w:szCs w:val="18"/>
                <w:lang w:val="en-ZW"/>
              </w:rPr>
              <w:t>S. Typhimurium</w:t>
            </w:r>
            <w:r>
              <w:rPr>
                <w:kern w:val="36"/>
                <w:sz w:val="18"/>
                <w:szCs w:val="18"/>
                <w:lang w:val="en-ZW"/>
              </w:rPr>
              <w:t xml:space="preserve"> TA1535, TA1537 and E.coli WP2 wvM/pKM101</w:t>
            </w:r>
          </w:p>
        </w:tc>
      </w:tr>
      <w:tr w:rsidR="0029571F" w14:paraId="7E19ECFD" w14:textId="77777777" w:rsidTr="00FB3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AB9F5E6"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C Lanatus</w:t>
            </w:r>
          </w:p>
        </w:tc>
        <w:tc>
          <w:tcPr>
            <w:tcW w:w="1843" w:type="dxa"/>
          </w:tcPr>
          <w:p w14:paraId="5B1B632D"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4B8A165"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7A1476AE" w14:textId="77777777" w:rsidR="0029571F" w:rsidRDefault="005211DE">
            <w:pPr>
              <w:autoSpaceDE w:val="0"/>
              <w:autoSpaceDN w:val="0"/>
              <w:adjustRightInd w:val="0"/>
              <w:spacing w:before="100" w:beforeAutospacing="1" w:after="0" w:line="256" w:lineRule="auto"/>
              <w:cnfStyle w:val="000000100000" w:firstRow="0" w:lastRow="0" w:firstColumn="0" w:lastColumn="0" w:oddVBand="0" w:evenVBand="0" w:oddHBand="1" w:evenHBand="0" w:firstRowFirstColumn="0" w:firstRowLastColumn="0" w:lastRowFirstColumn="0" w:lastRowLastColumn="0"/>
              <w:rPr>
                <w:bCs/>
                <w:kern w:val="36"/>
                <w:sz w:val="18"/>
                <w:szCs w:val="18"/>
                <w:lang w:val="en-ZW"/>
              </w:rPr>
            </w:pPr>
            <w:r>
              <w:rPr>
                <w:bCs/>
                <w:kern w:val="36"/>
                <w:sz w:val="18"/>
                <w:szCs w:val="18"/>
                <w:lang w:val="en-ZW"/>
              </w:rPr>
              <w:t>Non-mutagenic</w:t>
            </w:r>
          </w:p>
        </w:tc>
      </w:tr>
      <w:tr w:rsidR="0029571F" w14:paraId="7C7130DB" w14:textId="77777777" w:rsidTr="00FB3668">
        <w:tc>
          <w:tcPr>
            <w:cnfStyle w:val="001000000000" w:firstRow="0" w:lastRow="0" w:firstColumn="1" w:lastColumn="0" w:oddVBand="0" w:evenVBand="0" w:oddHBand="0" w:evenHBand="0" w:firstRowFirstColumn="0" w:firstRowLastColumn="0" w:lastRowFirstColumn="0" w:lastRowLastColumn="0"/>
            <w:tcW w:w="1276" w:type="dxa"/>
            <w:shd w:val="clear" w:color="auto" w:fill="EEECE1" w:themeFill="background2"/>
          </w:tcPr>
          <w:p w14:paraId="43A5A8CF" w14:textId="77777777" w:rsidR="0029571F" w:rsidRDefault="005211DE">
            <w:pPr>
              <w:autoSpaceDE w:val="0"/>
              <w:autoSpaceDN w:val="0"/>
              <w:adjustRightInd w:val="0"/>
              <w:spacing w:before="100" w:beforeAutospacing="1" w:after="0" w:line="256" w:lineRule="auto"/>
              <w:rPr>
                <w:bCs w:val="0"/>
                <w:kern w:val="36"/>
                <w:sz w:val="18"/>
                <w:szCs w:val="18"/>
                <w:lang w:val="en-ZW"/>
              </w:rPr>
            </w:pPr>
            <w:r>
              <w:rPr>
                <w:kern w:val="36"/>
                <w:sz w:val="18"/>
                <w:szCs w:val="18"/>
                <w:lang w:val="en-ZW"/>
              </w:rPr>
              <w:t>M flabellifolius</w:t>
            </w:r>
          </w:p>
        </w:tc>
        <w:tc>
          <w:tcPr>
            <w:tcW w:w="1843" w:type="dxa"/>
          </w:tcPr>
          <w:p w14:paraId="4549F3A0"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Non-Toxic</w:t>
            </w:r>
          </w:p>
        </w:tc>
        <w:tc>
          <w:tcPr>
            <w:tcW w:w="3402" w:type="dxa"/>
          </w:tcPr>
          <w:p w14:paraId="41142694"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c>
          <w:tcPr>
            <w:tcW w:w="2693" w:type="dxa"/>
          </w:tcPr>
          <w:p w14:paraId="3D18D35B" w14:textId="77777777" w:rsidR="0029571F" w:rsidRDefault="005211DE">
            <w:pPr>
              <w:autoSpaceDE w:val="0"/>
              <w:autoSpaceDN w:val="0"/>
              <w:adjustRightInd w:val="0"/>
              <w:spacing w:before="100" w:beforeAutospacing="1" w:after="0" w:line="256" w:lineRule="auto"/>
              <w:cnfStyle w:val="000000000000" w:firstRow="0" w:lastRow="0" w:firstColumn="0" w:lastColumn="0" w:oddVBand="0" w:evenVBand="0" w:oddHBand="0" w:evenHBand="0" w:firstRowFirstColumn="0" w:firstRowLastColumn="0" w:lastRowFirstColumn="0" w:lastRowLastColumn="0"/>
              <w:rPr>
                <w:bCs/>
                <w:kern w:val="36"/>
                <w:sz w:val="18"/>
                <w:szCs w:val="18"/>
                <w:lang w:val="en-ZW"/>
              </w:rPr>
            </w:pPr>
            <w:r>
              <w:rPr>
                <w:bCs/>
                <w:kern w:val="36"/>
                <w:sz w:val="18"/>
                <w:szCs w:val="18"/>
                <w:lang w:val="en-ZW"/>
              </w:rPr>
              <w:t>Non-mutagenic</w:t>
            </w:r>
          </w:p>
        </w:tc>
      </w:tr>
    </w:tbl>
    <w:p w14:paraId="4195B20B" w14:textId="77777777" w:rsidR="0029571F" w:rsidRDefault="0029571F">
      <w:pPr>
        <w:autoSpaceDE w:val="0"/>
        <w:autoSpaceDN w:val="0"/>
        <w:adjustRightInd w:val="0"/>
        <w:spacing w:before="100" w:beforeAutospacing="1" w:after="0" w:line="256" w:lineRule="auto"/>
        <w:rPr>
          <w:bCs/>
          <w:kern w:val="36"/>
          <w:sz w:val="20"/>
          <w:szCs w:val="20"/>
        </w:rPr>
      </w:pPr>
    </w:p>
    <w:p w14:paraId="26DC1C33" w14:textId="77777777" w:rsidR="0029571F" w:rsidRDefault="005211DE">
      <w:pPr>
        <w:pStyle w:val="Heading2"/>
        <w:rPr>
          <w:rFonts w:cs="Arial"/>
          <w:sz w:val="20"/>
          <w:szCs w:val="20"/>
        </w:rPr>
      </w:pPr>
      <w:r>
        <w:rPr>
          <w:rFonts w:cs="Arial"/>
          <w:sz w:val="20"/>
          <w:szCs w:val="20"/>
        </w:rPr>
        <w:t xml:space="preserve">Augmented sunscreen prototype formulation </w:t>
      </w:r>
    </w:p>
    <w:p w14:paraId="65329FF3" w14:textId="3D1F6F51" w:rsidR="0029571F" w:rsidRDefault="00084BAD">
      <w:pPr>
        <w:spacing w:line="240" w:lineRule="auto"/>
        <w:contextualSpacing/>
        <w:jc w:val="both"/>
        <w:rPr>
          <w:rFonts w:eastAsia="SimSun"/>
          <w:color w:val="000000"/>
          <w:sz w:val="20"/>
          <w:szCs w:val="20"/>
          <w:lang w:val="en-ZW" w:eastAsia="en-ZW"/>
        </w:rPr>
      </w:pPr>
      <w:r>
        <w:rPr>
          <w:rFonts w:eastAsia="SimSun"/>
          <w:color w:val="000000"/>
          <w:sz w:val="20"/>
          <w:szCs w:val="20"/>
          <w:lang w:val="en-ZW" w:eastAsia="en-ZW"/>
        </w:rPr>
        <w:t>Our formulation yielded an aesthetically pleasing cream  based on the following formulation</w:t>
      </w:r>
      <w:r w:rsidR="00BD3410">
        <w:rPr>
          <w:rFonts w:eastAsia="SimSun"/>
          <w:color w:val="000000"/>
          <w:sz w:val="20"/>
          <w:szCs w:val="20"/>
          <w:lang w:val="en-ZW" w:eastAsia="en-ZW"/>
        </w:rPr>
        <w:t xml:space="preserve"> given </w:t>
      </w:r>
      <w:r>
        <w:rPr>
          <w:rFonts w:eastAsia="SimSun"/>
          <w:color w:val="000000"/>
          <w:sz w:val="20"/>
          <w:szCs w:val="20"/>
          <w:lang w:val="en-ZW" w:eastAsia="en-ZW"/>
        </w:rPr>
        <w:t>in table 7 with a pH of 5.7 (Table 8) . The pH of 5.7 was deliberately targeted  for the cream because in previous studies</w:t>
      </w:r>
      <w:r w:rsidR="00BD3410">
        <w:rPr>
          <w:rFonts w:eastAsia="SimSun"/>
          <w:color w:val="000000"/>
          <w:sz w:val="20"/>
          <w:szCs w:val="20"/>
          <w:lang w:val="en-ZW" w:eastAsia="en-ZW"/>
        </w:rPr>
        <w:t>,</w:t>
      </w:r>
      <w:r>
        <w:rPr>
          <w:rFonts w:eastAsia="SimSun"/>
          <w:color w:val="000000"/>
          <w:sz w:val="20"/>
          <w:szCs w:val="20"/>
          <w:lang w:val="en-ZW" w:eastAsia="en-ZW"/>
        </w:rPr>
        <w:t xml:space="preserve">  Chifamba and Chifamba </w:t>
      </w:r>
      <w:r w:rsidR="00315579">
        <w:rPr>
          <w:rFonts w:eastAsia="SimSun"/>
          <w:color w:val="000000"/>
          <w:sz w:val="20"/>
          <w:szCs w:val="20"/>
          <w:lang w:val="en-ZW" w:eastAsia="en-ZW"/>
        </w:rPr>
        <w:t xml:space="preserve">(2024) </w:t>
      </w:r>
      <w:r>
        <w:rPr>
          <w:rFonts w:eastAsia="SimSun"/>
          <w:color w:val="000000"/>
          <w:sz w:val="20"/>
          <w:szCs w:val="20"/>
          <w:lang w:val="en-ZW" w:eastAsia="en-ZW"/>
        </w:rPr>
        <w:t xml:space="preserve">determined that </w:t>
      </w:r>
      <w:r w:rsidR="00315579">
        <w:rPr>
          <w:rFonts w:eastAsia="SimSun"/>
          <w:color w:val="000000"/>
          <w:sz w:val="20"/>
          <w:szCs w:val="20"/>
          <w:lang w:val="en-ZW" w:eastAsia="en-ZW"/>
        </w:rPr>
        <w:t xml:space="preserve">generally, their panel of participants, which was predominantly African skin types, had higher skin pH (ranging from 5.7 to 5.9) than ordinary Caucasians average of 5.5. Matching cream pH to average </w:t>
      </w:r>
      <w:proofErr w:type="gramStart"/>
      <w:r w:rsidR="00BD3410">
        <w:rPr>
          <w:rFonts w:eastAsia="SimSun"/>
          <w:color w:val="000000"/>
          <w:sz w:val="20"/>
          <w:szCs w:val="20"/>
          <w:lang w:val="en-ZW" w:eastAsia="en-ZW"/>
        </w:rPr>
        <w:t>users</w:t>
      </w:r>
      <w:proofErr w:type="gramEnd"/>
      <w:r w:rsidR="00BD3410">
        <w:rPr>
          <w:rFonts w:eastAsia="SimSun"/>
          <w:color w:val="000000"/>
          <w:sz w:val="20"/>
          <w:szCs w:val="20"/>
          <w:lang w:val="en-ZW" w:eastAsia="en-ZW"/>
        </w:rPr>
        <w:t xml:space="preserve"> </w:t>
      </w:r>
      <w:r w:rsidR="00315579">
        <w:rPr>
          <w:rFonts w:eastAsia="SimSun"/>
          <w:color w:val="000000"/>
          <w:sz w:val="20"/>
          <w:szCs w:val="20"/>
          <w:lang w:val="en-ZW" w:eastAsia="en-ZW"/>
        </w:rPr>
        <w:t xml:space="preserve">skin pH minimises irritation potential on application and reduces the risk of adverse skin creations to cosmetics. The sunscreen was  not fragranced so as to </w:t>
      </w:r>
      <w:r w:rsidR="009E00E4">
        <w:rPr>
          <w:rFonts w:eastAsia="SimSun"/>
          <w:color w:val="000000"/>
          <w:sz w:val="20"/>
          <w:szCs w:val="20"/>
          <w:lang w:val="en-ZW" w:eastAsia="en-ZW"/>
        </w:rPr>
        <w:t>avoid</w:t>
      </w:r>
      <w:r w:rsidR="00315579">
        <w:rPr>
          <w:rFonts w:eastAsia="SimSun"/>
          <w:color w:val="000000"/>
          <w:sz w:val="20"/>
          <w:szCs w:val="20"/>
          <w:lang w:val="en-ZW" w:eastAsia="en-ZW"/>
        </w:rPr>
        <w:t xml:space="preserve"> allergic reactions commonly associated with cosmetic fragrances and </w:t>
      </w:r>
      <w:r w:rsidR="009E00E4">
        <w:rPr>
          <w:rFonts w:eastAsia="SimSun"/>
          <w:color w:val="000000"/>
          <w:sz w:val="20"/>
          <w:szCs w:val="20"/>
          <w:lang w:val="en-ZW" w:eastAsia="en-ZW"/>
        </w:rPr>
        <w:t xml:space="preserve">volatile organic components. Liquid paraffin was completely </w:t>
      </w:r>
      <w:r w:rsidR="001F1E16">
        <w:rPr>
          <w:rFonts w:eastAsia="SimSun"/>
          <w:color w:val="000000"/>
          <w:sz w:val="20"/>
          <w:szCs w:val="20"/>
          <w:lang w:val="en-ZW" w:eastAsia="en-ZW"/>
        </w:rPr>
        <w:t>avoided,</w:t>
      </w:r>
      <w:r w:rsidR="009E00E4">
        <w:rPr>
          <w:rFonts w:eastAsia="SimSun"/>
          <w:color w:val="000000"/>
          <w:sz w:val="20"/>
          <w:szCs w:val="20"/>
          <w:lang w:val="en-ZW" w:eastAsia="en-ZW"/>
        </w:rPr>
        <w:t xml:space="preserve"> and the petrolatum was limited so as keep </w:t>
      </w:r>
      <w:r w:rsidR="001F1E16">
        <w:rPr>
          <w:rFonts w:eastAsia="SimSun"/>
          <w:color w:val="000000"/>
          <w:sz w:val="20"/>
          <w:szCs w:val="20"/>
          <w:lang w:val="en-ZW" w:eastAsia="en-ZW"/>
        </w:rPr>
        <w:t>mineral-based</w:t>
      </w:r>
      <w:r w:rsidR="009E00E4">
        <w:rPr>
          <w:rFonts w:eastAsia="SimSun"/>
          <w:color w:val="000000"/>
          <w:sz w:val="20"/>
          <w:szCs w:val="20"/>
          <w:lang w:val="en-ZW" w:eastAsia="en-ZW"/>
        </w:rPr>
        <w:t xml:space="preserve"> oils and fats at a minimum since they are alleged to clog pores leading to skin outbreaks.</w:t>
      </w:r>
      <w:r w:rsidR="001F1E16">
        <w:rPr>
          <w:rFonts w:eastAsia="SimSun"/>
          <w:color w:val="000000"/>
          <w:sz w:val="20"/>
          <w:szCs w:val="20"/>
          <w:lang w:val="en-ZW" w:eastAsia="en-ZW"/>
        </w:rPr>
        <w:t xml:space="preserve"> The </w:t>
      </w:r>
      <w:r w:rsidR="001F1E16" w:rsidRPr="001F1E16">
        <w:rPr>
          <w:i/>
          <w:iCs/>
          <w:sz w:val="20"/>
          <w:szCs w:val="20"/>
        </w:rPr>
        <w:t>Myrothamnus flabellifolius</w:t>
      </w:r>
      <w:r w:rsidR="001F1E16">
        <w:rPr>
          <w:i/>
          <w:iCs/>
          <w:sz w:val="18"/>
          <w:szCs w:val="18"/>
        </w:rPr>
        <w:t xml:space="preserve"> </w:t>
      </w:r>
      <w:r w:rsidR="001F1E16" w:rsidRPr="001F1E16">
        <w:rPr>
          <w:rFonts w:eastAsia="SimSun"/>
          <w:color w:val="000000"/>
          <w:sz w:val="20"/>
          <w:szCs w:val="20"/>
          <w:lang w:val="en-ZW" w:eastAsia="en-ZW"/>
        </w:rPr>
        <w:t>extract was added in step 4 after cooling the emulsion  due to the fact it is a volatile essential oil</w:t>
      </w:r>
      <w:r w:rsidR="001F1E16">
        <w:rPr>
          <w:rFonts w:eastAsia="SimSun"/>
          <w:color w:val="000000"/>
          <w:sz w:val="20"/>
          <w:szCs w:val="20"/>
          <w:lang w:val="en-ZW" w:eastAsia="en-ZW"/>
        </w:rPr>
        <w:t>.</w:t>
      </w:r>
      <w:r w:rsidR="00E86FCE">
        <w:rPr>
          <w:rFonts w:eastAsia="SimSun"/>
          <w:color w:val="000000"/>
          <w:sz w:val="20"/>
          <w:szCs w:val="20"/>
          <w:lang w:val="en-ZW" w:eastAsia="en-ZW"/>
        </w:rPr>
        <w:tab/>
      </w:r>
    </w:p>
    <w:p w14:paraId="622F1BCB" w14:textId="77777777" w:rsidR="0029571F" w:rsidRDefault="005211DE">
      <w:pPr>
        <w:pStyle w:val="Caption"/>
        <w:keepNext/>
      </w:pPr>
      <w:r>
        <w:lastRenderedPageBreak/>
        <w:t xml:space="preserve">Table </w:t>
      </w:r>
      <w:r>
        <w:fldChar w:fldCharType="begin"/>
      </w:r>
      <w:r>
        <w:instrText xml:space="preserve"> SEQ Table \* ARABIC </w:instrText>
      </w:r>
      <w:r>
        <w:fldChar w:fldCharType="separate"/>
      </w:r>
      <w:r>
        <w:t>7</w:t>
      </w:r>
      <w:r>
        <w:fldChar w:fldCharType="end"/>
      </w:r>
      <w:r>
        <w:t xml:space="preserve">: </w:t>
      </w:r>
      <w:r>
        <w:rPr>
          <w:lang w:val="en-ZW"/>
        </w:rPr>
        <w:t>prototype</w:t>
      </w:r>
      <w:r>
        <w:t xml:space="preserve"> </w:t>
      </w:r>
      <w:r>
        <w:rPr>
          <w:sz w:val="20"/>
          <w:szCs w:val="20"/>
          <w:lang w:val="en-ZW"/>
        </w:rPr>
        <w:t xml:space="preserve">Augmented </w:t>
      </w:r>
      <w:r>
        <w:rPr>
          <w:sz w:val="20"/>
          <w:szCs w:val="20"/>
        </w:rPr>
        <w:t>sunscreen formulation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6"/>
        <w:gridCol w:w="4819"/>
      </w:tblGrid>
      <w:tr w:rsidR="0029571F" w14:paraId="52A84726" w14:textId="77777777">
        <w:tc>
          <w:tcPr>
            <w:tcW w:w="3936" w:type="dxa"/>
            <w:shd w:val="clear" w:color="auto" w:fill="D9D9D9" w:themeFill="background1" w:themeFillShade="D9"/>
          </w:tcPr>
          <w:p w14:paraId="444A37E0" w14:textId="77777777" w:rsidR="0029571F" w:rsidRDefault="005211DE">
            <w:pPr>
              <w:spacing w:after="0" w:line="240" w:lineRule="auto"/>
              <w:contextualSpacing/>
              <w:jc w:val="center"/>
              <w:rPr>
                <w:b/>
                <w:sz w:val="16"/>
                <w:szCs w:val="16"/>
              </w:rPr>
            </w:pPr>
            <w:r>
              <w:rPr>
                <w:b/>
                <w:sz w:val="16"/>
                <w:szCs w:val="16"/>
              </w:rPr>
              <w:t>Material</w:t>
            </w:r>
          </w:p>
        </w:tc>
        <w:tc>
          <w:tcPr>
            <w:tcW w:w="4819" w:type="dxa"/>
            <w:shd w:val="clear" w:color="auto" w:fill="D9D9D9" w:themeFill="background1" w:themeFillShade="D9"/>
          </w:tcPr>
          <w:p w14:paraId="6E4E7340" w14:textId="77777777" w:rsidR="0029571F" w:rsidRDefault="005211DE">
            <w:pPr>
              <w:spacing w:after="0" w:line="240" w:lineRule="auto"/>
              <w:contextualSpacing/>
              <w:jc w:val="center"/>
              <w:rPr>
                <w:b/>
                <w:sz w:val="16"/>
                <w:szCs w:val="16"/>
              </w:rPr>
            </w:pPr>
            <w:r>
              <w:rPr>
                <w:b/>
                <w:sz w:val="16"/>
                <w:szCs w:val="16"/>
              </w:rPr>
              <w:t>% Incorporation</w:t>
            </w:r>
          </w:p>
        </w:tc>
      </w:tr>
      <w:tr w:rsidR="0029571F" w14:paraId="452844CE" w14:textId="77777777" w:rsidTr="00FB3668">
        <w:tc>
          <w:tcPr>
            <w:tcW w:w="3936" w:type="dxa"/>
            <w:shd w:val="clear" w:color="auto" w:fill="EEECE1" w:themeFill="background2"/>
          </w:tcPr>
          <w:p w14:paraId="1CBE6209" w14:textId="77777777" w:rsidR="0029571F" w:rsidRDefault="005211DE">
            <w:pPr>
              <w:spacing w:after="0" w:line="240" w:lineRule="auto"/>
              <w:contextualSpacing/>
              <w:jc w:val="center"/>
              <w:rPr>
                <w:sz w:val="18"/>
                <w:szCs w:val="18"/>
              </w:rPr>
            </w:pPr>
            <w:r>
              <w:rPr>
                <w:sz w:val="18"/>
                <w:szCs w:val="18"/>
              </w:rPr>
              <w:t>Stearic acid</w:t>
            </w:r>
          </w:p>
        </w:tc>
        <w:tc>
          <w:tcPr>
            <w:tcW w:w="4819" w:type="dxa"/>
          </w:tcPr>
          <w:p w14:paraId="4EC3B5F5" w14:textId="7ABB5FF0" w:rsidR="0029571F" w:rsidRDefault="009E00E4">
            <w:pPr>
              <w:spacing w:after="0" w:line="240" w:lineRule="auto"/>
              <w:contextualSpacing/>
              <w:jc w:val="center"/>
              <w:rPr>
                <w:sz w:val="18"/>
                <w:szCs w:val="18"/>
              </w:rPr>
            </w:pPr>
            <w:r>
              <w:rPr>
                <w:sz w:val="18"/>
                <w:szCs w:val="18"/>
              </w:rPr>
              <w:t>2</w:t>
            </w:r>
          </w:p>
        </w:tc>
      </w:tr>
      <w:tr w:rsidR="0029571F" w14:paraId="2C5FEB77" w14:textId="77777777" w:rsidTr="00FB3668">
        <w:tc>
          <w:tcPr>
            <w:tcW w:w="3936" w:type="dxa"/>
            <w:shd w:val="clear" w:color="auto" w:fill="EEECE1" w:themeFill="background2"/>
          </w:tcPr>
          <w:p w14:paraId="34DAA5D6" w14:textId="033E2A81" w:rsidR="0029571F" w:rsidRDefault="005211DE">
            <w:pPr>
              <w:spacing w:after="0" w:line="240" w:lineRule="auto"/>
              <w:contextualSpacing/>
              <w:jc w:val="center"/>
              <w:rPr>
                <w:sz w:val="18"/>
                <w:szCs w:val="18"/>
              </w:rPr>
            </w:pPr>
            <w:r>
              <w:rPr>
                <w:sz w:val="18"/>
                <w:szCs w:val="18"/>
              </w:rPr>
              <w:t>Cet</w:t>
            </w:r>
            <w:r w:rsidR="009E00E4">
              <w:rPr>
                <w:sz w:val="18"/>
                <w:szCs w:val="18"/>
              </w:rPr>
              <w:t xml:space="preserve">yl </w:t>
            </w:r>
            <w:r>
              <w:rPr>
                <w:sz w:val="18"/>
                <w:szCs w:val="18"/>
              </w:rPr>
              <w:t xml:space="preserve"> alcohol</w:t>
            </w:r>
          </w:p>
        </w:tc>
        <w:tc>
          <w:tcPr>
            <w:tcW w:w="4819" w:type="dxa"/>
          </w:tcPr>
          <w:p w14:paraId="4318E041" w14:textId="77777777" w:rsidR="0029571F" w:rsidRDefault="005211DE">
            <w:pPr>
              <w:spacing w:after="0" w:line="240" w:lineRule="auto"/>
              <w:contextualSpacing/>
              <w:jc w:val="center"/>
              <w:rPr>
                <w:sz w:val="18"/>
                <w:szCs w:val="18"/>
              </w:rPr>
            </w:pPr>
            <w:r>
              <w:rPr>
                <w:sz w:val="18"/>
                <w:szCs w:val="18"/>
              </w:rPr>
              <w:t>1</w:t>
            </w:r>
          </w:p>
        </w:tc>
      </w:tr>
      <w:tr w:rsidR="0029571F" w14:paraId="02499081" w14:textId="77777777" w:rsidTr="00FB3668">
        <w:tc>
          <w:tcPr>
            <w:tcW w:w="3936" w:type="dxa"/>
            <w:shd w:val="clear" w:color="auto" w:fill="EEECE1" w:themeFill="background2"/>
          </w:tcPr>
          <w:p w14:paraId="76D90380" w14:textId="77777777" w:rsidR="0029571F" w:rsidRDefault="005211DE">
            <w:pPr>
              <w:spacing w:after="0" w:line="240" w:lineRule="auto"/>
              <w:contextualSpacing/>
              <w:jc w:val="center"/>
              <w:rPr>
                <w:sz w:val="18"/>
                <w:szCs w:val="18"/>
              </w:rPr>
            </w:pPr>
            <w:r>
              <w:rPr>
                <w:sz w:val="18"/>
                <w:szCs w:val="18"/>
              </w:rPr>
              <w:t>Glycerol monostearate</w:t>
            </w:r>
          </w:p>
        </w:tc>
        <w:tc>
          <w:tcPr>
            <w:tcW w:w="4819" w:type="dxa"/>
          </w:tcPr>
          <w:p w14:paraId="7E684C71" w14:textId="77777777" w:rsidR="0029571F" w:rsidRDefault="005211DE">
            <w:pPr>
              <w:spacing w:after="0" w:line="240" w:lineRule="auto"/>
              <w:contextualSpacing/>
              <w:jc w:val="center"/>
              <w:rPr>
                <w:sz w:val="18"/>
                <w:szCs w:val="18"/>
              </w:rPr>
            </w:pPr>
            <w:r>
              <w:rPr>
                <w:sz w:val="18"/>
                <w:szCs w:val="18"/>
              </w:rPr>
              <w:t>1</w:t>
            </w:r>
          </w:p>
        </w:tc>
      </w:tr>
      <w:tr w:rsidR="009E00E4" w14:paraId="1302CC50" w14:textId="77777777" w:rsidTr="00FB3668">
        <w:tc>
          <w:tcPr>
            <w:tcW w:w="3936" w:type="dxa"/>
            <w:shd w:val="clear" w:color="auto" w:fill="EEECE1" w:themeFill="background2"/>
          </w:tcPr>
          <w:p w14:paraId="2A7F5AE8" w14:textId="572EB2DD" w:rsidR="009E00E4" w:rsidRDefault="009E00E4">
            <w:pPr>
              <w:spacing w:after="0" w:line="240" w:lineRule="auto"/>
              <w:contextualSpacing/>
              <w:jc w:val="center"/>
              <w:rPr>
                <w:sz w:val="18"/>
                <w:szCs w:val="18"/>
              </w:rPr>
            </w:pPr>
            <w:r>
              <w:rPr>
                <w:sz w:val="18"/>
                <w:szCs w:val="18"/>
              </w:rPr>
              <w:t>Petrolatum</w:t>
            </w:r>
          </w:p>
        </w:tc>
        <w:tc>
          <w:tcPr>
            <w:tcW w:w="4819" w:type="dxa"/>
          </w:tcPr>
          <w:p w14:paraId="72CF3A77" w14:textId="3590B5D5" w:rsidR="009E00E4" w:rsidRDefault="009E00E4">
            <w:pPr>
              <w:spacing w:after="0" w:line="240" w:lineRule="auto"/>
              <w:contextualSpacing/>
              <w:jc w:val="center"/>
              <w:rPr>
                <w:sz w:val="18"/>
                <w:szCs w:val="18"/>
              </w:rPr>
            </w:pPr>
            <w:r>
              <w:rPr>
                <w:sz w:val="18"/>
                <w:szCs w:val="18"/>
              </w:rPr>
              <w:t>1</w:t>
            </w:r>
          </w:p>
        </w:tc>
      </w:tr>
      <w:tr w:rsidR="0029571F" w14:paraId="7E1F2AF4" w14:textId="77777777" w:rsidTr="00FB3668">
        <w:tc>
          <w:tcPr>
            <w:tcW w:w="3936" w:type="dxa"/>
            <w:shd w:val="clear" w:color="auto" w:fill="EEECE1" w:themeFill="background2"/>
          </w:tcPr>
          <w:p w14:paraId="5B39454E" w14:textId="77777777" w:rsidR="0029571F" w:rsidRDefault="005211DE">
            <w:pPr>
              <w:spacing w:after="0" w:line="240" w:lineRule="auto"/>
              <w:contextualSpacing/>
              <w:jc w:val="center"/>
              <w:rPr>
                <w:sz w:val="18"/>
                <w:szCs w:val="18"/>
              </w:rPr>
            </w:pPr>
            <w:r>
              <w:rPr>
                <w:sz w:val="18"/>
                <w:szCs w:val="18"/>
              </w:rPr>
              <w:t>Castor oil</w:t>
            </w:r>
          </w:p>
        </w:tc>
        <w:tc>
          <w:tcPr>
            <w:tcW w:w="4819" w:type="dxa"/>
          </w:tcPr>
          <w:p w14:paraId="3F24B421" w14:textId="77777777" w:rsidR="0029571F" w:rsidRDefault="005211DE">
            <w:pPr>
              <w:spacing w:after="0" w:line="240" w:lineRule="auto"/>
              <w:contextualSpacing/>
              <w:jc w:val="center"/>
              <w:rPr>
                <w:sz w:val="18"/>
                <w:szCs w:val="18"/>
              </w:rPr>
            </w:pPr>
            <w:r>
              <w:rPr>
                <w:sz w:val="18"/>
                <w:szCs w:val="18"/>
              </w:rPr>
              <w:t>1</w:t>
            </w:r>
          </w:p>
        </w:tc>
      </w:tr>
      <w:tr w:rsidR="0029571F" w14:paraId="2F854D6F" w14:textId="77777777" w:rsidTr="00FB3668">
        <w:tc>
          <w:tcPr>
            <w:tcW w:w="3936" w:type="dxa"/>
            <w:shd w:val="clear" w:color="auto" w:fill="EEECE1" w:themeFill="background2"/>
          </w:tcPr>
          <w:p w14:paraId="0CBFD219" w14:textId="7341D7F7" w:rsidR="0029571F" w:rsidRDefault="00872C40">
            <w:pPr>
              <w:spacing w:after="0" w:line="240" w:lineRule="auto"/>
              <w:contextualSpacing/>
              <w:jc w:val="center"/>
              <w:rPr>
                <w:sz w:val="18"/>
                <w:szCs w:val="18"/>
              </w:rPr>
            </w:pPr>
            <w:r w:rsidRPr="00872C40">
              <w:rPr>
                <w:i/>
                <w:iCs/>
                <w:sz w:val="18"/>
                <w:szCs w:val="18"/>
              </w:rPr>
              <w:t>C Lanatus</w:t>
            </w:r>
            <w:r>
              <w:rPr>
                <w:sz w:val="18"/>
                <w:szCs w:val="18"/>
              </w:rPr>
              <w:t xml:space="preserve"> seed oil</w:t>
            </w:r>
          </w:p>
        </w:tc>
        <w:tc>
          <w:tcPr>
            <w:tcW w:w="4819" w:type="dxa"/>
          </w:tcPr>
          <w:p w14:paraId="35EBBB82" w14:textId="77777777" w:rsidR="0029571F" w:rsidRDefault="005211DE">
            <w:pPr>
              <w:spacing w:after="0" w:line="240" w:lineRule="auto"/>
              <w:contextualSpacing/>
              <w:jc w:val="center"/>
              <w:rPr>
                <w:sz w:val="18"/>
                <w:szCs w:val="18"/>
              </w:rPr>
            </w:pPr>
            <w:r>
              <w:rPr>
                <w:sz w:val="18"/>
                <w:szCs w:val="18"/>
              </w:rPr>
              <w:t>Q.S</w:t>
            </w:r>
          </w:p>
        </w:tc>
      </w:tr>
      <w:tr w:rsidR="0029571F" w14:paraId="633B0147" w14:textId="77777777" w:rsidTr="00FB3668">
        <w:tc>
          <w:tcPr>
            <w:tcW w:w="3936" w:type="dxa"/>
            <w:shd w:val="clear" w:color="auto" w:fill="EEECE1" w:themeFill="background2"/>
          </w:tcPr>
          <w:p w14:paraId="27F861AF" w14:textId="0D525D6F" w:rsidR="0029571F" w:rsidRPr="00872C40" w:rsidRDefault="005211DE">
            <w:pPr>
              <w:spacing w:after="0" w:line="240" w:lineRule="auto"/>
              <w:contextualSpacing/>
              <w:jc w:val="center"/>
              <w:rPr>
                <w:i/>
                <w:iCs/>
                <w:sz w:val="18"/>
                <w:szCs w:val="18"/>
              </w:rPr>
            </w:pPr>
            <w:r w:rsidRPr="00872C40">
              <w:rPr>
                <w:i/>
                <w:iCs/>
                <w:sz w:val="18"/>
                <w:szCs w:val="18"/>
              </w:rPr>
              <w:t xml:space="preserve">Myrothamnus </w:t>
            </w:r>
            <w:r w:rsidR="0075468F" w:rsidRPr="00872C40">
              <w:rPr>
                <w:i/>
                <w:iCs/>
                <w:sz w:val="18"/>
                <w:szCs w:val="18"/>
              </w:rPr>
              <w:t>flabellifolius</w:t>
            </w:r>
          </w:p>
        </w:tc>
        <w:tc>
          <w:tcPr>
            <w:tcW w:w="4819" w:type="dxa"/>
          </w:tcPr>
          <w:p w14:paraId="7EC83F8D" w14:textId="77777777" w:rsidR="0029571F" w:rsidRDefault="005211DE">
            <w:pPr>
              <w:spacing w:after="0" w:line="240" w:lineRule="auto"/>
              <w:contextualSpacing/>
              <w:jc w:val="center"/>
              <w:rPr>
                <w:sz w:val="18"/>
                <w:szCs w:val="18"/>
              </w:rPr>
            </w:pPr>
            <w:r>
              <w:rPr>
                <w:sz w:val="18"/>
                <w:szCs w:val="18"/>
              </w:rPr>
              <w:t>Q.S</w:t>
            </w:r>
          </w:p>
        </w:tc>
      </w:tr>
      <w:tr w:rsidR="0029571F" w14:paraId="0761BB1B" w14:textId="77777777" w:rsidTr="00FB3668">
        <w:tc>
          <w:tcPr>
            <w:tcW w:w="3936" w:type="dxa"/>
            <w:shd w:val="clear" w:color="auto" w:fill="EEECE1" w:themeFill="background2"/>
          </w:tcPr>
          <w:p w14:paraId="69ACE0C6" w14:textId="77777777" w:rsidR="0029571F" w:rsidRDefault="005211DE">
            <w:pPr>
              <w:spacing w:after="0" w:line="240" w:lineRule="auto"/>
              <w:contextualSpacing/>
              <w:jc w:val="center"/>
              <w:rPr>
                <w:sz w:val="18"/>
                <w:szCs w:val="18"/>
              </w:rPr>
            </w:pPr>
            <w:r>
              <w:rPr>
                <w:sz w:val="18"/>
                <w:szCs w:val="18"/>
              </w:rPr>
              <w:t>Glycerin</w:t>
            </w:r>
          </w:p>
        </w:tc>
        <w:tc>
          <w:tcPr>
            <w:tcW w:w="4819" w:type="dxa"/>
          </w:tcPr>
          <w:p w14:paraId="2837FFEC" w14:textId="77777777" w:rsidR="0029571F" w:rsidRDefault="005211DE">
            <w:pPr>
              <w:spacing w:after="0" w:line="240" w:lineRule="auto"/>
              <w:contextualSpacing/>
              <w:jc w:val="center"/>
              <w:rPr>
                <w:sz w:val="18"/>
                <w:szCs w:val="18"/>
              </w:rPr>
            </w:pPr>
            <w:r>
              <w:rPr>
                <w:sz w:val="18"/>
                <w:szCs w:val="18"/>
              </w:rPr>
              <w:t>3</w:t>
            </w:r>
          </w:p>
        </w:tc>
      </w:tr>
      <w:tr w:rsidR="0029571F" w14:paraId="0FCEC350" w14:textId="77777777" w:rsidTr="00FB3668">
        <w:tc>
          <w:tcPr>
            <w:tcW w:w="3936" w:type="dxa"/>
            <w:shd w:val="clear" w:color="auto" w:fill="EEECE1" w:themeFill="background2"/>
          </w:tcPr>
          <w:p w14:paraId="4B53C164" w14:textId="77777777" w:rsidR="0029571F" w:rsidRDefault="005211DE">
            <w:pPr>
              <w:spacing w:after="0" w:line="240" w:lineRule="auto"/>
              <w:contextualSpacing/>
              <w:jc w:val="center"/>
              <w:rPr>
                <w:sz w:val="18"/>
                <w:szCs w:val="18"/>
              </w:rPr>
            </w:pPr>
            <w:r>
              <w:rPr>
                <w:sz w:val="18"/>
                <w:szCs w:val="18"/>
              </w:rPr>
              <w:t>Monopropylene glycol</w:t>
            </w:r>
          </w:p>
        </w:tc>
        <w:tc>
          <w:tcPr>
            <w:tcW w:w="4819" w:type="dxa"/>
          </w:tcPr>
          <w:p w14:paraId="672EF736" w14:textId="77777777" w:rsidR="0029571F" w:rsidRDefault="005211DE">
            <w:pPr>
              <w:spacing w:after="0" w:line="240" w:lineRule="auto"/>
              <w:contextualSpacing/>
              <w:jc w:val="center"/>
              <w:rPr>
                <w:sz w:val="18"/>
                <w:szCs w:val="18"/>
              </w:rPr>
            </w:pPr>
            <w:r>
              <w:rPr>
                <w:sz w:val="18"/>
                <w:szCs w:val="18"/>
              </w:rPr>
              <w:t>1</w:t>
            </w:r>
          </w:p>
        </w:tc>
      </w:tr>
      <w:tr w:rsidR="0029571F" w14:paraId="2A4C8FBB" w14:textId="77777777" w:rsidTr="00FB3668">
        <w:tc>
          <w:tcPr>
            <w:tcW w:w="3936" w:type="dxa"/>
            <w:shd w:val="clear" w:color="auto" w:fill="EEECE1" w:themeFill="background2"/>
          </w:tcPr>
          <w:p w14:paraId="0A278EBC" w14:textId="77777777" w:rsidR="0029571F" w:rsidRDefault="005211DE">
            <w:pPr>
              <w:spacing w:after="0" w:line="240" w:lineRule="auto"/>
              <w:contextualSpacing/>
              <w:jc w:val="center"/>
              <w:rPr>
                <w:sz w:val="18"/>
                <w:szCs w:val="18"/>
              </w:rPr>
            </w:pPr>
            <w:r>
              <w:rPr>
                <w:sz w:val="18"/>
                <w:szCs w:val="18"/>
              </w:rPr>
              <w:t>Carbopol 940</w:t>
            </w:r>
            <w:r>
              <w:rPr>
                <w:sz w:val="18"/>
                <w:szCs w:val="18"/>
                <w:vertAlign w:val="superscript"/>
              </w:rPr>
              <w:t>®</w:t>
            </w:r>
          </w:p>
        </w:tc>
        <w:tc>
          <w:tcPr>
            <w:tcW w:w="4819" w:type="dxa"/>
          </w:tcPr>
          <w:p w14:paraId="2A9B7E64" w14:textId="77777777" w:rsidR="0029571F" w:rsidRDefault="005211DE">
            <w:pPr>
              <w:spacing w:after="0" w:line="240" w:lineRule="auto"/>
              <w:contextualSpacing/>
              <w:jc w:val="center"/>
              <w:rPr>
                <w:sz w:val="18"/>
                <w:szCs w:val="18"/>
              </w:rPr>
            </w:pPr>
            <w:r>
              <w:rPr>
                <w:sz w:val="18"/>
                <w:szCs w:val="18"/>
              </w:rPr>
              <w:t>0.07</w:t>
            </w:r>
          </w:p>
        </w:tc>
      </w:tr>
      <w:tr w:rsidR="009E00E4" w14:paraId="6B5BCF60" w14:textId="77777777" w:rsidTr="00FB3668">
        <w:tc>
          <w:tcPr>
            <w:tcW w:w="3936" w:type="dxa"/>
            <w:shd w:val="clear" w:color="auto" w:fill="EEECE1" w:themeFill="background2"/>
          </w:tcPr>
          <w:p w14:paraId="179E45FF" w14:textId="184901A3" w:rsidR="009E00E4" w:rsidRDefault="009E00E4">
            <w:pPr>
              <w:spacing w:after="0" w:line="240" w:lineRule="auto"/>
              <w:contextualSpacing/>
              <w:jc w:val="center"/>
              <w:rPr>
                <w:sz w:val="18"/>
                <w:szCs w:val="18"/>
              </w:rPr>
            </w:pPr>
            <w:r>
              <w:rPr>
                <w:sz w:val="18"/>
                <w:szCs w:val="18"/>
              </w:rPr>
              <w:t>EDTA</w:t>
            </w:r>
          </w:p>
        </w:tc>
        <w:tc>
          <w:tcPr>
            <w:tcW w:w="4819" w:type="dxa"/>
          </w:tcPr>
          <w:p w14:paraId="2DF000CF" w14:textId="21E7A535" w:rsidR="009E00E4" w:rsidRDefault="009E00E4">
            <w:pPr>
              <w:spacing w:after="0" w:line="240" w:lineRule="auto"/>
              <w:contextualSpacing/>
              <w:jc w:val="center"/>
              <w:rPr>
                <w:sz w:val="18"/>
                <w:szCs w:val="18"/>
              </w:rPr>
            </w:pPr>
            <w:r>
              <w:rPr>
                <w:sz w:val="18"/>
                <w:szCs w:val="18"/>
              </w:rPr>
              <w:t>0.2</w:t>
            </w:r>
          </w:p>
        </w:tc>
      </w:tr>
      <w:tr w:rsidR="0029571F" w14:paraId="1BA2DEC9" w14:textId="77777777" w:rsidTr="00FB3668">
        <w:tc>
          <w:tcPr>
            <w:tcW w:w="3936" w:type="dxa"/>
            <w:shd w:val="clear" w:color="auto" w:fill="EEECE1" w:themeFill="background2"/>
          </w:tcPr>
          <w:p w14:paraId="5632C4C3" w14:textId="77777777" w:rsidR="0029571F" w:rsidRDefault="005211DE">
            <w:pPr>
              <w:spacing w:after="0" w:line="240" w:lineRule="auto"/>
              <w:contextualSpacing/>
              <w:jc w:val="center"/>
              <w:rPr>
                <w:sz w:val="18"/>
                <w:szCs w:val="18"/>
              </w:rPr>
            </w:pPr>
            <w:r>
              <w:rPr>
                <w:sz w:val="18"/>
                <w:szCs w:val="18"/>
              </w:rPr>
              <w:t>Methyl hydroxybenzoate</w:t>
            </w:r>
          </w:p>
        </w:tc>
        <w:tc>
          <w:tcPr>
            <w:tcW w:w="4819" w:type="dxa"/>
          </w:tcPr>
          <w:p w14:paraId="74B33FC8" w14:textId="77777777" w:rsidR="0029571F" w:rsidRDefault="005211DE">
            <w:pPr>
              <w:spacing w:after="0" w:line="240" w:lineRule="auto"/>
              <w:contextualSpacing/>
              <w:jc w:val="center"/>
              <w:rPr>
                <w:sz w:val="18"/>
                <w:szCs w:val="18"/>
              </w:rPr>
            </w:pPr>
            <w:r>
              <w:rPr>
                <w:sz w:val="18"/>
                <w:szCs w:val="18"/>
              </w:rPr>
              <w:t>0.2</w:t>
            </w:r>
          </w:p>
        </w:tc>
      </w:tr>
      <w:tr w:rsidR="0029571F" w14:paraId="7FA07295" w14:textId="77777777" w:rsidTr="00FB3668">
        <w:tc>
          <w:tcPr>
            <w:tcW w:w="3936" w:type="dxa"/>
            <w:shd w:val="clear" w:color="auto" w:fill="EEECE1" w:themeFill="background2"/>
          </w:tcPr>
          <w:p w14:paraId="524973B3" w14:textId="77777777" w:rsidR="0029571F" w:rsidRDefault="005211DE">
            <w:pPr>
              <w:spacing w:after="0" w:line="240" w:lineRule="auto"/>
              <w:contextualSpacing/>
              <w:jc w:val="center"/>
              <w:rPr>
                <w:sz w:val="18"/>
                <w:szCs w:val="18"/>
              </w:rPr>
            </w:pPr>
            <w:r>
              <w:rPr>
                <w:sz w:val="18"/>
                <w:szCs w:val="18"/>
              </w:rPr>
              <w:t>Propyl hydroxybenzoate</w:t>
            </w:r>
          </w:p>
        </w:tc>
        <w:tc>
          <w:tcPr>
            <w:tcW w:w="4819" w:type="dxa"/>
          </w:tcPr>
          <w:p w14:paraId="66E87A15" w14:textId="77777777" w:rsidR="0029571F" w:rsidRDefault="005211DE">
            <w:pPr>
              <w:spacing w:after="0" w:line="240" w:lineRule="auto"/>
              <w:contextualSpacing/>
              <w:jc w:val="center"/>
              <w:rPr>
                <w:sz w:val="18"/>
                <w:szCs w:val="18"/>
              </w:rPr>
            </w:pPr>
            <w:r>
              <w:rPr>
                <w:sz w:val="18"/>
                <w:szCs w:val="18"/>
              </w:rPr>
              <w:t>0.2</w:t>
            </w:r>
          </w:p>
        </w:tc>
      </w:tr>
      <w:tr w:rsidR="0029571F" w14:paraId="0B9F0C92" w14:textId="77777777" w:rsidTr="00FB3668">
        <w:tc>
          <w:tcPr>
            <w:tcW w:w="3936" w:type="dxa"/>
            <w:shd w:val="clear" w:color="auto" w:fill="EEECE1" w:themeFill="background2"/>
          </w:tcPr>
          <w:p w14:paraId="4958C11A" w14:textId="77777777" w:rsidR="0029571F" w:rsidRDefault="005211DE">
            <w:pPr>
              <w:spacing w:after="0" w:line="240" w:lineRule="auto"/>
              <w:contextualSpacing/>
              <w:jc w:val="center"/>
              <w:rPr>
                <w:sz w:val="18"/>
                <w:szCs w:val="18"/>
              </w:rPr>
            </w:pPr>
            <w:r>
              <w:rPr>
                <w:sz w:val="18"/>
                <w:szCs w:val="18"/>
              </w:rPr>
              <w:t>Triethanolamine</w:t>
            </w:r>
          </w:p>
        </w:tc>
        <w:tc>
          <w:tcPr>
            <w:tcW w:w="4819" w:type="dxa"/>
          </w:tcPr>
          <w:p w14:paraId="6CF4EFC3" w14:textId="77777777" w:rsidR="0029571F" w:rsidRDefault="005211DE">
            <w:pPr>
              <w:spacing w:after="0" w:line="240" w:lineRule="auto"/>
              <w:contextualSpacing/>
              <w:jc w:val="center"/>
              <w:rPr>
                <w:sz w:val="18"/>
                <w:szCs w:val="18"/>
              </w:rPr>
            </w:pPr>
            <w:r>
              <w:rPr>
                <w:sz w:val="18"/>
                <w:szCs w:val="18"/>
              </w:rPr>
              <w:t>0.4</w:t>
            </w:r>
          </w:p>
        </w:tc>
      </w:tr>
      <w:tr w:rsidR="0029571F" w14:paraId="02D18CA0" w14:textId="77777777" w:rsidTr="00FB3668">
        <w:tc>
          <w:tcPr>
            <w:tcW w:w="3936" w:type="dxa"/>
            <w:shd w:val="clear" w:color="auto" w:fill="EEECE1" w:themeFill="background2"/>
          </w:tcPr>
          <w:p w14:paraId="5EE9D468" w14:textId="77777777" w:rsidR="0029571F" w:rsidRDefault="005211DE">
            <w:pPr>
              <w:spacing w:after="0" w:line="240" w:lineRule="auto"/>
              <w:contextualSpacing/>
              <w:jc w:val="center"/>
              <w:rPr>
                <w:sz w:val="18"/>
                <w:szCs w:val="18"/>
              </w:rPr>
            </w:pPr>
            <w:r>
              <w:rPr>
                <w:sz w:val="18"/>
                <w:szCs w:val="18"/>
              </w:rPr>
              <w:t>PABA</w:t>
            </w:r>
          </w:p>
        </w:tc>
        <w:tc>
          <w:tcPr>
            <w:tcW w:w="4819" w:type="dxa"/>
          </w:tcPr>
          <w:p w14:paraId="4B86860D" w14:textId="77777777" w:rsidR="0029571F" w:rsidRDefault="005211DE">
            <w:pPr>
              <w:spacing w:after="0" w:line="240" w:lineRule="auto"/>
              <w:contextualSpacing/>
              <w:jc w:val="center"/>
              <w:rPr>
                <w:sz w:val="18"/>
                <w:szCs w:val="18"/>
              </w:rPr>
            </w:pPr>
            <w:r>
              <w:rPr>
                <w:sz w:val="18"/>
                <w:szCs w:val="18"/>
              </w:rPr>
              <w:t>Q.S</w:t>
            </w:r>
          </w:p>
        </w:tc>
      </w:tr>
      <w:tr w:rsidR="0029571F" w14:paraId="6B8CB848" w14:textId="77777777" w:rsidTr="00FB3668">
        <w:tc>
          <w:tcPr>
            <w:tcW w:w="3936" w:type="dxa"/>
            <w:shd w:val="clear" w:color="auto" w:fill="EEECE1" w:themeFill="background2"/>
          </w:tcPr>
          <w:p w14:paraId="3C0C78D1" w14:textId="77777777" w:rsidR="0029571F" w:rsidRDefault="005211DE">
            <w:pPr>
              <w:spacing w:after="0" w:line="240" w:lineRule="auto"/>
              <w:contextualSpacing/>
              <w:jc w:val="center"/>
              <w:rPr>
                <w:sz w:val="18"/>
                <w:szCs w:val="18"/>
              </w:rPr>
            </w:pPr>
            <w:r>
              <w:rPr>
                <w:sz w:val="18"/>
                <w:szCs w:val="18"/>
              </w:rPr>
              <w:t>Distilled Water</w:t>
            </w:r>
          </w:p>
        </w:tc>
        <w:tc>
          <w:tcPr>
            <w:tcW w:w="4819" w:type="dxa"/>
          </w:tcPr>
          <w:p w14:paraId="4583C797" w14:textId="77777777" w:rsidR="0029571F" w:rsidRDefault="005211DE">
            <w:pPr>
              <w:spacing w:after="0" w:line="240" w:lineRule="auto"/>
              <w:contextualSpacing/>
              <w:jc w:val="center"/>
              <w:rPr>
                <w:sz w:val="18"/>
                <w:szCs w:val="18"/>
              </w:rPr>
            </w:pPr>
            <w:r>
              <w:rPr>
                <w:sz w:val="18"/>
                <w:szCs w:val="18"/>
              </w:rPr>
              <w:t>Q. S</w:t>
            </w:r>
          </w:p>
        </w:tc>
      </w:tr>
    </w:tbl>
    <w:p w14:paraId="1086867D" w14:textId="77777777" w:rsidR="0029571F" w:rsidRDefault="0029571F">
      <w:pPr>
        <w:pStyle w:val="Caption"/>
        <w:contextualSpacing/>
        <w:rPr>
          <w:sz w:val="20"/>
          <w:szCs w:val="20"/>
        </w:rPr>
      </w:pPr>
    </w:p>
    <w:p w14:paraId="730C2153" w14:textId="77777777" w:rsidR="00BF6093" w:rsidRDefault="00BF6093">
      <w:pPr>
        <w:pStyle w:val="Caption"/>
      </w:pPr>
    </w:p>
    <w:p w14:paraId="20935C8D" w14:textId="77777777" w:rsidR="00BF6093" w:rsidRDefault="00BF6093">
      <w:pPr>
        <w:pStyle w:val="Caption"/>
      </w:pPr>
    </w:p>
    <w:p w14:paraId="00ED2928" w14:textId="77777777" w:rsidR="00BF6093" w:rsidRDefault="00BF6093">
      <w:pPr>
        <w:pStyle w:val="Caption"/>
      </w:pPr>
    </w:p>
    <w:p w14:paraId="13E22548" w14:textId="505250A8" w:rsidR="0029571F" w:rsidRDefault="005211DE">
      <w:pPr>
        <w:pStyle w:val="Caption"/>
        <w:rPr>
          <w:sz w:val="20"/>
          <w:szCs w:val="20"/>
        </w:rPr>
      </w:pPr>
      <w:r>
        <w:t xml:space="preserve">Table </w:t>
      </w:r>
      <w:r>
        <w:fldChar w:fldCharType="begin"/>
      </w:r>
      <w:r>
        <w:instrText xml:space="preserve"> SEQ Table \* ARABIC </w:instrText>
      </w:r>
      <w:r>
        <w:fldChar w:fldCharType="separate"/>
      </w:r>
      <w:r>
        <w:t>8</w:t>
      </w:r>
      <w:r>
        <w:fldChar w:fldCharType="end"/>
      </w:r>
      <w:r>
        <w:rPr>
          <w:sz w:val="20"/>
          <w:szCs w:val="20"/>
        </w:rPr>
        <w:t>: Treatment Cream Analytical Report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8"/>
        <w:gridCol w:w="5947"/>
      </w:tblGrid>
      <w:tr w:rsidR="0029571F" w14:paraId="44A53ABE" w14:textId="77777777">
        <w:tc>
          <w:tcPr>
            <w:tcW w:w="2808" w:type="dxa"/>
            <w:shd w:val="clear" w:color="auto" w:fill="BFBFBF" w:themeFill="background1" w:themeFillShade="BF"/>
          </w:tcPr>
          <w:p w14:paraId="65BCF3A6" w14:textId="77777777" w:rsidR="0029571F" w:rsidRDefault="005211DE">
            <w:pPr>
              <w:spacing w:after="0" w:line="240" w:lineRule="auto"/>
              <w:contextualSpacing/>
              <w:jc w:val="center"/>
              <w:rPr>
                <w:b/>
                <w:sz w:val="18"/>
                <w:szCs w:val="18"/>
              </w:rPr>
            </w:pPr>
            <w:r>
              <w:rPr>
                <w:b/>
                <w:sz w:val="18"/>
                <w:szCs w:val="18"/>
              </w:rPr>
              <w:t>Parameter</w:t>
            </w:r>
          </w:p>
        </w:tc>
        <w:tc>
          <w:tcPr>
            <w:tcW w:w="5947" w:type="dxa"/>
            <w:shd w:val="clear" w:color="auto" w:fill="BFBFBF" w:themeFill="background1" w:themeFillShade="BF"/>
          </w:tcPr>
          <w:p w14:paraId="1CDC25DC" w14:textId="77777777" w:rsidR="0029571F" w:rsidRDefault="005211DE">
            <w:pPr>
              <w:spacing w:after="0" w:line="240" w:lineRule="auto"/>
              <w:contextualSpacing/>
              <w:jc w:val="center"/>
              <w:rPr>
                <w:b/>
                <w:sz w:val="18"/>
                <w:szCs w:val="18"/>
              </w:rPr>
            </w:pPr>
            <w:r>
              <w:rPr>
                <w:b/>
                <w:sz w:val="18"/>
                <w:szCs w:val="18"/>
              </w:rPr>
              <w:t>Result</w:t>
            </w:r>
          </w:p>
        </w:tc>
      </w:tr>
      <w:tr w:rsidR="0029571F" w14:paraId="13635BB7" w14:textId="77777777" w:rsidTr="00FB3668">
        <w:tc>
          <w:tcPr>
            <w:tcW w:w="2808" w:type="dxa"/>
            <w:shd w:val="clear" w:color="auto" w:fill="EEECE1" w:themeFill="background2"/>
          </w:tcPr>
          <w:p w14:paraId="11CB725A" w14:textId="77777777" w:rsidR="0029571F" w:rsidRDefault="005211DE">
            <w:pPr>
              <w:spacing w:after="0" w:line="240" w:lineRule="auto"/>
              <w:contextualSpacing/>
              <w:jc w:val="center"/>
              <w:rPr>
                <w:sz w:val="18"/>
                <w:szCs w:val="18"/>
              </w:rPr>
            </w:pPr>
            <w:r>
              <w:rPr>
                <w:sz w:val="18"/>
                <w:szCs w:val="18"/>
              </w:rPr>
              <w:t>Description</w:t>
            </w:r>
          </w:p>
        </w:tc>
        <w:tc>
          <w:tcPr>
            <w:tcW w:w="5947" w:type="dxa"/>
          </w:tcPr>
          <w:p w14:paraId="44EEACAE" w14:textId="77777777" w:rsidR="0029571F" w:rsidRDefault="005211DE">
            <w:pPr>
              <w:spacing w:after="0" w:line="240" w:lineRule="auto"/>
              <w:contextualSpacing/>
              <w:jc w:val="center"/>
              <w:rPr>
                <w:sz w:val="18"/>
                <w:szCs w:val="18"/>
              </w:rPr>
            </w:pPr>
            <w:r>
              <w:rPr>
                <w:sz w:val="18"/>
                <w:szCs w:val="18"/>
              </w:rPr>
              <w:t>White smooth viscous cream, esthetically pleasing slippery feel when rubbed between two fingers.</w:t>
            </w:r>
          </w:p>
        </w:tc>
      </w:tr>
      <w:tr w:rsidR="0029571F" w14:paraId="47D7ACC3" w14:textId="77777777" w:rsidTr="00FB3668">
        <w:tc>
          <w:tcPr>
            <w:tcW w:w="2808" w:type="dxa"/>
            <w:shd w:val="clear" w:color="auto" w:fill="EEECE1" w:themeFill="background2"/>
          </w:tcPr>
          <w:p w14:paraId="65C2406A" w14:textId="77777777" w:rsidR="0029571F" w:rsidRDefault="005211DE">
            <w:pPr>
              <w:spacing w:after="0" w:line="240" w:lineRule="auto"/>
              <w:contextualSpacing/>
              <w:jc w:val="center"/>
              <w:rPr>
                <w:sz w:val="18"/>
                <w:szCs w:val="18"/>
              </w:rPr>
            </w:pPr>
            <w:r>
              <w:rPr>
                <w:sz w:val="18"/>
                <w:szCs w:val="18"/>
              </w:rPr>
              <w:t>pH</w:t>
            </w:r>
          </w:p>
        </w:tc>
        <w:tc>
          <w:tcPr>
            <w:tcW w:w="5947" w:type="dxa"/>
          </w:tcPr>
          <w:p w14:paraId="682E008A" w14:textId="77777777" w:rsidR="0029571F" w:rsidRDefault="005211DE">
            <w:pPr>
              <w:spacing w:after="0" w:line="240" w:lineRule="auto"/>
              <w:contextualSpacing/>
              <w:jc w:val="center"/>
              <w:rPr>
                <w:sz w:val="18"/>
                <w:szCs w:val="18"/>
              </w:rPr>
            </w:pPr>
            <w:r>
              <w:rPr>
                <w:sz w:val="18"/>
                <w:szCs w:val="18"/>
              </w:rPr>
              <w:t>5.70</w:t>
            </w:r>
          </w:p>
        </w:tc>
      </w:tr>
      <w:tr w:rsidR="0029571F" w14:paraId="31363F06" w14:textId="77777777" w:rsidTr="00FB3668">
        <w:tc>
          <w:tcPr>
            <w:tcW w:w="2808" w:type="dxa"/>
            <w:shd w:val="clear" w:color="auto" w:fill="EEECE1" w:themeFill="background2"/>
          </w:tcPr>
          <w:p w14:paraId="380B8DA1" w14:textId="77777777" w:rsidR="0029571F" w:rsidRDefault="005211DE">
            <w:pPr>
              <w:spacing w:after="0" w:line="240" w:lineRule="auto"/>
              <w:contextualSpacing/>
              <w:jc w:val="center"/>
              <w:rPr>
                <w:sz w:val="18"/>
                <w:szCs w:val="18"/>
              </w:rPr>
            </w:pPr>
            <w:r>
              <w:rPr>
                <w:sz w:val="18"/>
                <w:szCs w:val="18"/>
              </w:rPr>
              <w:t>Odor</w:t>
            </w:r>
          </w:p>
        </w:tc>
        <w:tc>
          <w:tcPr>
            <w:tcW w:w="5947" w:type="dxa"/>
          </w:tcPr>
          <w:p w14:paraId="2E453CB2" w14:textId="77777777" w:rsidR="0029571F" w:rsidRDefault="005211DE">
            <w:pPr>
              <w:spacing w:after="0" w:line="240" w:lineRule="auto"/>
              <w:contextualSpacing/>
              <w:jc w:val="center"/>
              <w:rPr>
                <w:sz w:val="18"/>
                <w:szCs w:val="18"/>
              </w:rPr>
            </w:pPr>
            <w:r>
              <w:rPr>
                <w:sz w:val="18"/>
                <w:szCs w:val="18"/>
              </w:rPr>
              <w:t>Characteristic of un-fragranced base cream</w:t>
            </w:r>
          </w:p>
        </w:tc>
      </w:tr>
    </w:tbl>
    <w:p w14:paraId="091C922A" w14:textId="77777777" w:rsidR="0029571F" w:rsidRDefault="0029571F">
      <w:pPr>
        <w:spacing w:line="240" w:lineRule="auto"/>
        <w:contextualSpacing/>
        <w:jc w:val="both"/>
        <w:rPr>
          <w:b/>
          <w:sz w:val="20"/>
          <w:szCs w:val="20"/>
        </w:rPr>
      </w:pPr>
    </w:p>
    <w:p w14:paraId="28200597" w14:textId="77777777" w:rsidR="0029571F" w:rsidRDefault="005211DE">
      <w:pPr>
        <w:pStyle w:val="Heading2"/>
      </w:pPr>
      <w:r>
        <w:rPr>
          <w:rFonts w:cs="Arial"/>
          <w:sz w:val="20"/>
          <w:szCs w:val="20"/>
        </w:rPr>
        <w:t xml:space="preserve">Animal and Human skin irritation potential patch testing of the augmented sunscreen </w:t>
      </w:r>
    </w:p>
    <w:p w14:paraId="5E9FA27D" w14:textId="459A5464" w:rsidR="00DD56E3" w:rsidRDefault="00BF7F19">
      <w:pPr>
        <w:spacing w:line="240" w:lineRule="auto"/>
        <w:contextualSpacing/>
        <w:jc w:val="both"/>
        <w:rPr>
          <w:bCs/>
          <w:sz w:val="20"/>
          <w:szCs w:val="20"/>
          <w:lang w:val="en"/>
        </w:rPr>
      </w:pPr>
      <w:r>
        <w:rPr>
          <w:bCs/>
          <w:sz w:val="20"/>
          <w:szCs w:val="20"/>
          <w:lang w:val="en"/>
        </w:rPr>
        <w:t>Cosmetic</w:t>
      </w:r>
      <w:r w:rsidR="001F1973">
        <w:rPr>
          <w:bCs/>
          <w:sz w:val="20"/>
          <w:szCs w:val="20"/>
          <w:lang w:val="en"/>
        </w:rPr>
        <w:t xml:space="preserve"> ingredients</w:t>
      </w:r>
      <w:r>
        <w:rPr>
          <w:bCs/>
          <w:sz w:val="20"/>
          <w:szCs w:val="20"/>
          <w:lang w:val="en"/>
        </w:rPr>
        <w:t xml:space="preserve"> </w:t>
      </w:r>
      <w:r w:rsidR="001F1973">
        <w:rPr>
          <w:bCs/>
          <w:sz w:val="20"/>
          <w:szCs w:val="20"/>
          <w:lang w:val="en"/>
        </w:rPr>
        <w:t xml:space="preserve">in general </w:t>
      </w:r>
      <w:r>
        <w:rPr>
          <w:bCs/>
          <w:sz w:val="20"/>
          <w:szCs w:val="20"/>
          <w:lang w:val="en"/>
        </w:rPr>
        <w:t xml:space="preserve">and sunscreens in particular are capable of causing adverse </w:t>
      </w:r>
      <w:r w:rsidR="001F1973">
        <w:rPr>
          <w:bCs/>
          <w:sz w:val="20"/>
          <w:szCs w:val="20"/>
          <w:lang w:val="en"/>
        </w:rPr>
        <w:t xml:space="preserve">effects </w:t>
      </w:r>
      <w:r>
        <w:rPr>
          <w:bCs/>
          <w:sz w:val="20"/>
          <w:szCs w:val="20"/>
          <w:lang w:val="en"/>
        </w:rPr>
        <w:t>on skin</w:t>
      </w:r>
      <w:r w:rsidR="001F1973">
        <w:rPr>
          <w:bCs/>
          <w:sz w:val="20"/>
          <w:szCs w:val="20"/>
          <w:lang w:val="en"/>
        </w:rPr>
        <w:t>,</w:t>
      </w:r>
      <w:r>
        <w:rPr>
          <w:bCs/>
          <w:sz w:val="20"/>
          <w:szCs w:val="20"/>
          <w:lang w:val="en"/>
        </w:rPr>
        <w:t xml:space="preserve"> </w:t>
      </w:r>
      <w:r w:rsidR="001F1973">
        <w:rPr>
          <w:bCs/>
          <w:sz w:val="20"/>
          <w:szCs w:val="20"/>
          <w:lang w:val="en"/>
        </w:rPr>
        <w:t>either</w:t>
      </w:r>
      <w:r>
        <w:rPr>
          <w:bCs/>
          <w:sz w:val="20"/>
          <w:szCs w:val="20"/>
          <w:lang w:val="en"/>
        </w:rPr>
        <w:t xml:space="preserve"> skin irritations </w:t>
      </w:r>
      <w:r w:rsidRPr="00BF7F19">
        <w:rPr>
          <w:bCs/>
          <w:sz w:val="20"/>
          <w:szCs w:val="20"/>
        </w:rPr>
        <w:t>or allergic reactions</w:t>
      </w:r>
      <w:r>
        <w:rPr>
          <w:bCs/>
          <w:sz w:val="20"/>
          <w:szCs w:val="20"/>
          <w:lang w:val="en"/>
        </w:rPr>
        <w:t xml:space="preserve"> due to  various factors. One of the most </w:t>
      </w:r>
      <w:r w:rsidR="000750F0">
        <w:rPr>
          <w:bCs/>
          <w:sz w:val="20"/>
          <w:szCs w:val="20"/>
          <w:lang w:val="en"/>
        </w:rPr>
        <w:t xml:space="preserve">skin </w:t>
      </w:r>
      <w:r>
        <w:rPr>
          <w:bCs/>
          <w:sz w:val="20"/>
          <w:szCs w:val="20"/>
          <w:lang w:val="en"/>
        </w:rPr>
        <w:t>common  re</w:t>
      </w:r>
      <w:r w:rsidR="000750F0">
        <w:rPr>
          <w:bCs/>
          <w:sz w:val="20"/>
          <w:szCs w:val="20"/>
          <w:lang w:val="en"/>
        </w:rPr>
        <w:t>sponses</w:t>
      </w:r>
      <w:r>
        <w:rPr>
          <w:bCs/>
          <w:sz w:val="20"/>
          <w:szCs w:val="20"/>
          <w:lang w:val="en"/>
        </w:rPr>
        <w:t xml:space="preserve"> is</w:t>
      </w:r>
      <w:r w:rsidR="000750F0">
        <w:rPr>
          <w:bCs/>
          <w:sz w:val="20"/>
          <w:szCs w:val="20"/>
          <w:lang w:val="en"/>
        </w:rPr>
        <w:t xml:space="preserve"> adverse irritant</w:t>
      </w:r>
      <w:r w:rsidR="001F1973">
        <w:rPr>
          <w:bCs/>
          <w:sz w:val="20"/>
          <w:szCs w:val="20"/>
        </w:rPr>
        <w:t xml:space="preserve"> </w:t>
      </w:r>
      <w:r w:rsidRPr="00BF7F19">
        <w:rPr>
          <w:bCs/>
          <w:sz w:val="20"/>
          <w:szCs w:val="20"/>
        </w:rPr>
        <w:t xml:space="preserve">contact dermatitis </w:t>
      </w:r>
      <w:r>
        <w:rPr>
          <w:bCs/>
          <w:sz w:val="20"/>
          <w:szCs w:val="20"/>
        </w:rPr>
        <w:t>which causes</w:t>
      </w:r>
      <w:r w:rsidRPr="00BF7F19">
        <w:rPr>
          <w:bCs/>
          <w:sz w:val="20"/>
          <w:szCs w:val="20"/>
        </w:rPr>
        <w:t xml:space="preserve"> redness, </w:t>
      </w:r>
      <w:r>
        <w:rPr>
          <w:bCs/>
          <w:sz w:val="20"/>
          <w:szCs w:val="20"/>
        </w:rPr>
        <w:t xml:space="preserve">itching, </w:t>
      </w:r>
      <w:r w:rsidRPr="00BF7F19">
        <w:rPr>
          <w:bCs/>
          <w:sz w:val="20"/>
          <w:szCs w:val="20"/>
        </w:rPr>
        <w:t>stinging, or burning</w:t>
      </w:r>
      <w:r>
        <w:rPr>
          <w:bCs/>
          <w:sz w:val="20"/>
          <w:szCs w:val="20"/>
        </w:rPr>
        <w:t xml:space="preserve"> sensations</w:t>
      </w:r>
      <w:r w:rsidRPr="00BF7F19">
        <w:rPr>
          <w:bCs/>
          <w:sz w:val="20"/>
          <w:szCs w:val="20"/>
        </w:rPr>
        <w:t xml:space="preserve">. Allergic contact dermatitis </w:t>
      </w:r>
      <w:r>
        <w:rPr>
          <w:bCs/>
          <w:sz w:val="20"/>
          <w:szCs w:val="20"/>
        </w:rPr>
        <w:t xml:space="preserve">on the other hand results in more </w:t>
      </w:r>
      <w:r w:rsidRPr="00BF7F19">
        <w:rPr>
          <w:bCs/>
          <w:sz w:val="20"/>
          <w:szCs w:val="20"/>
        </w:rPr>
        <w:t xml:space="preserve">intense itching, </w:t>
      </w:r>
      <w:r>
        <w:rPr>
          <w:bCs/>
          <w:sz w:val="20"/>
          <w:szCs w:val="20"/>
        </w:rPr>
        <w:t>oedema</w:t>
      </w:r>
      <w:r w:rsidRPr="00BF7F19">
        <w:rPr>
          <w:bCs/>
          <w:sz w:val="20"/>
          <w:szCs w:val="20"/>
        </w:rPr>
        <w:t xml:space="preserve"> and  rash</w:t>
      </w:r>
      <w:r>
        <w:rPr>
          <w:bCs/>
          <w:sz w:val="20"/>
          <w:szCs w:val="20"/>
        </w:rPr>
        <w:t>es</w:t>
      </w:r>
      <w:r w:rsidRPr="00BF7F19">
        <w:rPr>
          <w:bCs/>
          <w:sz w:val="20"/>
          <w:szCs w:val="20"/>
        </w:rPr>
        <w:t>. </w:t>
      </w:r>
      <w:r>
        <w:rPr>
          <w:bCs/>
          <w:sz w:val="20"/>
          <w:szCs w:val="20"/>
        </w:rPr>
        <w:t xml:space="preserve">The most common culprits inducing adverse responses  include </w:t>
      </w:r>
      <w:r w:rsidRPr="00BF7F19">
        <w:rPr>
          <w:bCs/>
          <w:sz w:val="20"/>
          <w:szCs w:val="20"/>
        </w:rPr>
        <w:t>chemical UV filters</w:t>
      </w:r>
      <w:r>
        <w:rPr>
          <w:bCs/>
          <w:sz w:val="20"/>
          <w:szCs w:val="20"/>
        </w:rPr>
        <w:t xml:space="preserve"> and other ingredients like</w:t>
      </w:r>
      <w:r w:rsidRPr="00BF7F19">
        <w:rPr>
          <w:bCs/>
          <w:sz w:val="20"/>
          <w:szCs w:val="20"/>
        </w:rPr>
        <w:t xml:space="preserve"> fragrances. </w:t>
      </w:r>
      <w:r>
        <w:rPr>
          <w:bCs/>
          <w:sz w:val="20"/>
          <w:szCs w:val="20"/>
        </w:rPr>
        <w:t xml:space="preserve">Since a number of skin care ingredients can be regarded as </w:t>
      </w:r>
      <w:r>
        <w:rPr>
          <w:bCs/>
          <w:sz w:val="20"/>
          <w:szCs w:val="20"/>
          <w:lang w:val="en"/>
        </w:rPr>
        <w:t>irritants based on the concentration in the product</w:t>
      </w:r>
      <w:r w:rsidR="00527582">
        <w:rPr>
          <w:bCs/>
          <w:sz w:val="20"/>
          <w:szCs w:val="20"/>
          <w:lang w:val="en"/>
        </w:rPr>
        <w:t xml:space="preserve"> and the </w:t>
      </w:r>
      <w:r>
        <w:rPr>
          <w:bCs/>
          <w:sz w:val="20"/>
          <w:szCs w:val="20"/>
          <w:lang w:val="en"/>
        </w:rPr>
        <w:t xml:space="preserve">duration of the </w:t>
      </w:r>
      <w:r w:rsidR="00527582">
        <w:rPr>
          <w:bCs/>
          <w:sz w:val="20"/>
          <w:szCs w:val="20"/>
          <w:lang w:val="en"/>
        </w:rPr>
        <w:t xml:space="preserve">application </w:t>
      </w:r>
      <w:r>
        <w:rPr>
          <w:bCs/>
          <w:sz w:val="20"/>
          <w:szCs w:val="20"/>
          <w:lang w:val="en"/>
        </w:rPr>
        <w:t>contact time</w:t>
      </w:r>
      <w:r w:rsidR="00527582">
        <w:rPr>
          <w:bCs/>
          <w:sz w:val="20"/>
          <w:szCs w:val="20"/>
          <w:lang w:val="en"/>
        </w:rPr>
        <w:t>, the</w:t>
      </w:r>
      <w:r>
        <w:rPr>
          <w:bCs/>
          <w:sz w:val="20"/>
          <w:szCs w:val="20"/>
          <w:lang w:val="en"/>
        </w:rPr>
        <w:t xml:space="preserve"> body site </w:t>
      </w:r>
      <w:r w:rsidR="00527582">
        <w:rPr>
          <w:bCs/>
          <w:sz w:val="20"/>
          <w:szCs w:val="20"/>
          <w:lang w:val="en"/>
        </w:rPr>
        <w:t xml:space="preserve">that will be </w:t>
      </w:r>
      <w:r>
        <w:rPr>
          <w:bCs/>
          <w:sz w:val="20"/>
          <w:szCs w:val="20"/>
          <w:lang w:val="en"/>
        </w:rPr>
        <w:t>exposed to the potential irritant</w:t>
      </w:r>
      <w:r w:rsidR="00527582">
        <w:rPr>
          <w:bCs/>
          <w:sz w:val="20"/>
          <w:szCs w:val="20"/>
          <w:lang w:val="en"/>
        </w:rPr>
        <w:t xml:space="preserve"> must be considered along with</w:t>
      </w:r>
      <w:r>
        <w:rPr>
          <w:bCs/>
          <w:sz w:val="20"/>
          <w:szCs w:val="20"/>
          <w:lang w:val="en"/>
        </w:rPr>
        <w:t xml:space="preserve"> the skin permeability and </w:t>
      </w:r>
      <w:r w:rsidR="00527582">
        <w:rPr>
          <w:bCs/>
          <w:sz w:val="20"/>
          <w:szCs w:val="20"/>
          <w:lang w:val="en"/>
        </w:rPr>
        <w:t>dermal sensitivity</w:t>
      </w:r>
      <w:r>
        <w:rPr>
          <w:bCs/>
          <w:sz w:val="20"/>
          <w:szCs w:val="20"/>
          <w:lang w:val="en"/>
        </w:rPr>
        <w:t xml:space="preserve"> profile of the irritant</w:t>
      </w:r>
      <w:r w:rsidR="00527582">
        <w:rPr>
          <w:bCs/>
          <w:sz w:val="20"/>
          <w:szCs w:val="20"/>
          <w:lang w:val="en"/>
        </w:rPr>
        <w:t xml:space="preserve"> ingredient</w:t>
      </w:r>
      <w:r w:rsidR="000B1481">
        <w:rPr>
          <w:bCs/>
          <w:sz w:val="20"/>
          <w:szCs w:val="20"/>
          <w:vertAlign w:val="superscript"/>
          <w:lang w:val="en"/>
        </w:rPr>
        <w:t xml:space="preserve"> </w:t>
      </w:r>
      <w:r w:rsidR="000B1481">
        <w:rPr>
          <w:bCs/>
          <w:sz w:val="20"/>
          <w:szCs w:val="20"/>
          <w:lang w:val="en"/>
        </w:rPr>
        <w:t>[</w:t>
      </w:r>
      <w:r w:rsidR="00430B96">
        <w:rPr>
          <w:bCs/>
          <w:sz w:val="20"/>
          <w:szCs w:val="20"/>
          <w:lang w:val="en"/>
        </w:rPr>
        <w:t>30</w:t>
      </w:r>
      <w:r w:rsidR="000B1481">
        <w:rPr>
          <w:bCs/>
          <w:sz w:val="20"/>
          <w:szCs w:val="20"/>
          <w:lang w:val="en"/>
        </w:rPr>
        <w:t>]</w:t>
      </w:r>
      <w:r>
        <w:rPr>
          <w:bCs/>
          <w:sz w:val="20"/>
          <w:szCs w:val="20"/>
          <w:lang w:val="en"/>
        </w:rPr>
        <w:t xml:space="preserve">. </w:t>
      </w:r>
      <w:r w:rsidR="00527582">
        <w:rPr>
          <w:bCs/>
          <w:sz w:val="20"/>
          <w:szCs w:val="20"/>
          <w:lang w:val="en"/>
        </w:rPr>
        <w:t xml:space="preserve">It is the basis upon which cosmetics are labeled with directions to the application site, </w:t>
      </w:r>
      <w:r w:rsidR="001F1973">
        <w:rPr>
          <w:bCs/>
          <w:sz w:val="20"/>
          <w:szCs w:val="20"/>
          <w:lang w:val="en"/>
        </w:rPr>
        <w:t>e.g.</w:t>
      </w:r>
      <w:r w:rsidR="00527582">
        <w:rPr>
          <w:bCs/>
          <w:sz w:val="20"/>
          <w:szCs w:val="20"/>
          <w:lang w:val="en"/>
        </w:rPr>
        <w:t xml:space="preserve"> facials, hand and body cosmeceuticals because different anatomical sites have different responses to potential irritants. </w:t>
      </w:r>
      <w:r>
        <w:rPr>
          <w:bCs/>
          <w:sz w:val="20"/>
          <w:szCs w:val="20"/>
          <w:lang w:val="en"/>
        </w:rPr>
        <w:t xml:space="preserve">The </w:t>
      </w:r>
      <w:r w:rsidR="00527582">
        <w:rPr>
          <w:bCs/>
          <w:sz w:val="20"/>
          <w:szCs w:val="20"/>
          <w:lang w:val="en"/>
        </w:rPr>
        <w:t xml:space="preserve">assessment </w:t>
      </w:r>
      <w:r>
        <w:rPr>
          <w:bCs/>
          <w:sz w:val="20"/>
          <w:szCs w:val="20"/>
          <w:lang w:val="en"/>
        </w:rPr>
        <w:t xml:space="preserve">of the </w:t>
      </w:r>
      <w:r w:rsidR="00527582">
        <w:rPr>
          <w:bCs/>
          <w:sz w:val="20"/>
          <w:szCs w:val="20"/>
          <w:lang w:val="en"/>
        </w:rPr>
        <w:t xml:space="preserve">irritancy </w:t>
      </w:r>
      <w:r>
        <w:rPr>
          <w:bCs/>
          <w:sz w:val="20"/>
          <w:szCs w:val="20"/>
          <w:lang w:val="en"/>
        </w:rPr>
        <w:t xml:space="preserve">potential </w:t>
      </w:r>
      <w:r w:rsidR="00527582">
        <w:rPr>
          <w:bCs/>
          <w:sz w:val="20"/>
          <w:szCs w:val="20"/>
          <w:lang w:val="en"/>
        </w:rPr>
        <w:t xml:space="preserve"> of sunscreens and other </w:t>
      </w:r>
      <w:r>
        <w:rPr>
          <w:bCs/>
          <w:sz w:val="20"/>
          <w:szCs w:val="20"/>
          <w:lang w:val="en"/>
        </w:rPr>
        <w:t xml:space="preserve">skin care </w:t>
      </w:r>
      <w:r w:rsidR="00DD56E3">
        <w:rPr>
          <w:bCs/>
          <w:sz w:val="20"/>
          <w:szCs w:val="20"/>
          <w:lang w:val="en"/>
        </w:rPr>
        <w:t>products</w:t>
      </w:r>
      <w:r>
        <w:rPr>
          <w:bCs/>
          <w:sz w:val="20"/>
          <w:szCs w:val="20"/>
          <w:lang w:val="en"/>
        </w:rPr>
        <w:t xml:space="preserve"> is therefore necessary and </w:t>
      </w:r>
      <w:r w:rsidR="00527582">
        <w:rPr>
          <w:bCs/>
          <w:sz w:val="20"/>
          <w:szCs w:val="20"/>
          <w:lang w:val="en"/>
        </w:rPr>
        <w:t xml:space="preserve">prescribed by regulatory bodies </w:t>
      </w:r>
      <w:r>
        <w:rPr>
          <w:bCs/>
          <w:sz w:val="20"/>
          <w:szCs w:val="20"/>
          <w:lang w:val="en"/>
        </w:rPr>
        <w:t xml:space="preserve">. The OECD </w:t>
      </w:r>
      <w:r w:rsidR="00527582">
        <w:rPr>
          <w:bCs/>
          <w:sz w:val="20"/>
          <w:szCs w:val="20"/>
          <w:lang w:val="en"/>
        </w:rPr>
        <w:t xml:space="preserve">technical </w:t>
      </w:r>
      <w:r>
        <w:rPr>
          <w:bCs/>
          <w:sz w:val="20"/>
          <w:szCs w:val="20"/>
          <w:lang w:val="en"/>
        </w:rPr>
        <w:t>guideline</w:t>
      </w:r>
      <w:r w:rsidR="00527582">
        <w:rPr>
          <w:bCs/>
          <w:sz w:val="20"/>
          <w:szCs w:val="20"/>
          <w:lang w:val="en"/>
        </w:rPr>
        <w:t>s</w:t>
      </w:r>
      <w:r>
        <w:rPr>
          <w:bCs/>
          <w:sz w:val="20"/>
          <w:szCs w:val="20"/>
          <w:lang w:val="en"/>
        </w:rPr>
        <w:t xml:space="preserve"> 404</w:t>
      </w:r>
      <w:r w:rsidR="00527582">
        <w:rPr>
          <w:bCs/>
          <w:sz w:val="20"/>
          <w:szCs w:val="20"/>
          <w:lang w:val="en"/>
        </w:rPr>
        <w:t xml:space="preserve"> and 406</w:t>
      </w:r>
      <w:r>
        <w:rPr>
          <w:bCs/>
          <w:sz w:val="20"/>
          <w:szCs w:val="20"/>
          <w:lang w:val="en"/>
        </w:rPr>
        <w:t>, COLIPA as well as the FDA</w:t>
      </w:r>
      <w:r w:rsidR="00D71E16">
        <w:rPr>
          <w:bCs/>
          <w:sz w:val="20"/>
          <w:szCs w:val="20"/>
          <w:lang w:val="en"/>
        </w:rPr>
        <w:t xml:space="preserve"> monographs </w:t>
      </w:r>
      <w:r>
        <w:rPr>
          <w:bCs/>
          <w:sz w:val="20"/>
          <w:szCs w:val="20"/>
          <w:lang w:val="en"/>
        </w:rPr>
        <w:t xml:space="preserve">recommend the rabbit skin irritancy evaluation based on the </w:t>
      </w:r>
      <w:r w:rsidR="00D71E16">
        <w:rPr>
          <w:bCs/>
          <w:sz w:val="20"/>
          <w:szCs w:val="20"/>
          <w:lang w:val="en"/>
        </w:rPr>
        <w:t xml:space="preserve">established </w:t>
      </w:r>
      <w:r>
        <w:rPr>
          <w:bCs/>
          <w:sz w:val="20"/>
          <w:szCs w:val="20"/>
          <w:lang w:val="en"/>
        </w:rPr>
        <w:t>methods documented by Draize (Draize H:  1944)</w:t>
      </w:r>
      <w:r w:rsidR="000B1481">
        <w:rPr>
          <w:bCs/>
          <w:sz w:val="20"/>
          <w:szCs w:val="20"/>
          <w:vertAlign w:val="superscript"/>
          <w:lang w:val="en"/>
        </w:rPr>
        <w:t xml:space="preserve"> </w:t>
      </w:r>
      <w:r>
        <w:rPr>
          <w:bCs/>
          <w:sz w:val="20"/>
          <w:szCs w:val="20"/>
          <w:lang w:val="en"/>
        </w:rPr>
        <w:t xml:space="preserve"> employed in </w:t>
      </w:r>
      <w:r w:rsidR="00D71E16">
        <w:rPr>
          <w:bCs/>
          <w:sz w:val="20"/>
          <w:szCs w:val="20"/>
          <w:lang w:val="en"/>
        </w:rPr>
        <w:t>our previous published studies</w:t>
      </w:r>
      <w:r w:rsidR="000B1481">
        <w:rPr>
          <w:bCs/>
          <w:sz w:val="20"/>
          <w:szCs w:val="20"/>
          <w:lang w:val="en"/>
        </w:rPr>
        <w:t xml:space="preserve"> [3</w:t>
      </w:r>
      <w:r w:rsidR="00430B96">
        <w:rPr>
          <w:bCs/>
          <w:sz w:val="20"/>
          <w:szCs w:val="20"/>
          <w:lang w:val="en"/>
        </w:rPr>
        <w:t>1</w:t>
      </w:r>
      <w:r w:rsidR="000B1481">
        <w:rPr>
          <w:bCs/>
          <w:sz w:val="20"/>
          <w:szCs w:val="20"/>
          <w:lang w:val="en"/>
        </w:rPr>
        <w:t>]</w:t>
      </w:r>
      <w:r>
        <w:rPr>
          <w:bCs/>
          <w:sz w:val="20"/>
          <w:szCs w:val="20"/>
          <w:lang w:val="en"/>
        </w:rPr>
        <w:t xml:space="preserve">. </w:t>
      </w:r>
    </w:p>
    <w:p w14:paraId="1624D514" w14:textId="3126AF7D" w:rsidR="0029571F" w:rsidRDefault="005211DE">
      <w:pPr>
        <w:spacing w:line="240" w:lineRule="auto"/>
        <w:contextualSpacing/>
        <w:jc w:val="both"/>
        <w:rPr>
          <w:bCs/>
          <w:sz w:val="20"/>
          <w:szCs w:val="20"/>
          <w:lang w:val="en"/>
        </w:rPr>
      </w:pPr>
      <w:r>
        <w:rPr>
          <w:bCs/>
          <w:sz w:val="20"/>
          <w:szCs w:val="20"/>
          <w:lang w:val="en"/>
        </w:rPr>
        <w:t xml:space="preserve">For ethical reasons, </w:t>
      </w:r>
      <w:r w:rsidR="00DD56E3">
        <w:rPr>
          <w:bCs/>
          <w:sz w:val="20"/>
          <w:szCs w:val="20"/>
          <w:lang w:val="en"/>
        </w:rPr>
        <w:t xml:space="preserve">before any </w:t>
      </w:r>
      <w:r w:rsidR="00DD56E3">
        <w:rPr>
          <w:bCs/>
          <w:i/>
          <w:sz w:val="20"/>
          <w:szCs w:val="20"/>
          <w:lang w:val="en"/>
        </w:rPr>
        <w:t>in-vivo</w:t>
      </w:r>
      <w:r w:rsidR="00DD56E3">
        <w:rPr>
          <w:bCs/>
          <w:sz w:val="20"/>
          <w:szCs w:val="20"/>
          <w:lang w:val="en"/>
        </w:rPr>
        <w:t xml:space="preserve"> animal test for skin irritation, the </w:t>
      </w:r>
      <w:r>
        <w:rPr>
          <w:bCs/>
          <w:sz w:val="20"/>
          <w:szCs w:val="20"/>
          <w:lang w:val="en"/>
        </w:rPr>
        <w:t xml:space="preserve">OECD </w:t>
      </w:r>
      <w:r w:rsidR="00DD56E3">
        <w:rPr>
          <w:bCs/>
          <w:sz w:val="20"/>
          <w:szCs w:val="20"/>
          <w:lang w:val="en"/>
        </w:rPr>
        <w:t xml:space="preserve">technical </w:t>
      </w:r>
      <w:r>
        <w:rPr>
          <w:bCs/>
          <w:sz w:val="20"/>
          <w:szCs w:val="20"/>
          <w:lang w:val="en"/>
        </w:rPr>
        <w:t>guideline</w:t>
      </w:r>
      <w:r w:rsidR="00DD56E3">
        <w:rPr>
          <w:bCs/>
          <w:sz w:val="20"/>
          <w:szCs w:val="20"/>
          <w:lang w:val="en"/>
        </w:rPr>
        <w:t>s</w:t>
      </w:r>
      <w:r>
        <w:rPr>
          <w:bCs/>
          <w:sz w:val="20"/>
          <w:szCs w:val="20"/>
          <w:lang w:val="en"/>
        </w:rPr>
        <w:t xml:space="preserve"> </w:t>
      </w:r>
      <w:r w:rsidR="00483D23">
        <w:rPr>
          <w:bCs/>
          <w:sz w:val="20"/>
          <w:szCs w:val="20"/>
          <w:lang w:val="en"/>
        </w:rPr>
        <w:t>recommend</w:t>
      </w:r>
      <w:r>
        <w:rPr>
          <w:bCs/>
          <w:sz w:val="20"/>
          <w:szCs w:val="20"/>
          <w:lang w:val="en"/>
        </w:rPr>
        <w:t xml:space="preserve"> decision-making protocol</w:t>
      </w:r>
      <w:r w:rsidR="00DD56E3">
        <w:rPr>
          <w:bCs/>
          <w:sz w:val="20"/>
          <w:szCs w:val="20"/>
          <w:lang w:val="en"/>
        </w:rPr>
        <w:t xml:space="preserve">s </w:t>
      </w:r>
      <w:r>
        <w:rPr>
          <w:bCs/>
          <w:sz w:val="20"/>
          <w:szCs w:val="20"/>
          <w:lang w:val="en"/>
        </w:rPr>
        <w:t xml:space="preserve">based on the product </w:t>
      </w:r>
      <w:r w:rsidR="00DD56E3">
        <w:rPr>
          <w:bCs/>
          <w:sz w:val="20"/>
          <w:szCs w:val="20"/>
          <w:lang w:val="en"/>
        </w:rPr>
        <w:t>technical specifications and rheological</w:t>
      </w:r>
      <w:r>
        <w:rPr>
          <w:bCs/>
          <w:sz w:val="20"/>
          <w:szCs w:val="20"/>
          <w:lang w:val="en"/>
        </w:rPr>
        <w:t xml:space="preserve"> </w:t>
      </w:r>
      <w:r w:rsidR="00DD56E3">
        <w:rPr>
          <w:bCs/>
          <w:sz w:val="20"/>
          <w:szCs w:val="20"/>
          <w:lang w:val="en"/>
        </w:rPr>
        <w:t xml:space="preserve">parameters  which were </w:t>
      </w:r>
      <w:r>
        <w:rPr>
          <w:bCs/>
          <w:sz w:val="20"/>
          <w:szCs w:val="20"/>
          <w:lang w:val="en"/>
        </w:rPr>
        <w:t xml:space="preserve">adhered to in this study. </w:t>
      </w:r>
      <w:r w:rsidR="00DD56E3">
        <w:rPr>
          <w:bCs/>
          <w:sz w:val="20"/>
          <w:szCs w:val="20"/>
          <w:lang w:val="en"/>
        </w:rPr>
        <w:t xml:space="preserve">For </w:t>
      </w:r>
      <w:r w:rsidR="00D54B6A">
        <w:rPr>
          <w:bCs/>
          <w:sz w:val="20"/>
          <w:szCs w:val="20"/>
          <w:lang w:val="en"/>
        </w:rPr>
        <w:t>instance,</w:t>
      </w:r>
      <w:r w:rsidR="00DD56E3">
        <w:rPr>
          <w:bCs/>
          <w:sz w:val="20"/>
          <w:szCs w:val="20"/>
          <w:lang w:val="en"/>
        </w:rPr>
        <w:t xml:space="preserve"> the guidelines prescribe that s</w:t>
      </w:r>
      <w:r>
        <w:rPr>
          <w:bCs/>
          <w:sz w:val="20"/>
          <w:szCs w:val="20"/>
          <w:lang w:val="en"/>
        </w:rPr>
        <w:t xml:space="preserve">ubstances with </w:t>
      </w:r>
      <w:r w:rsidR="00DD56E3">
        <w:rPr>
          <w:bCs/>
          <w:sz w:val="20"/>
          <w:szCs w:val="20"/>
          <w:lang w:val="en"/>
        </w:rPr>
        <w:t xml:space="preserve">harsh </w:t>
      </w:r>
      <w:r>
        <w:rPr>
          <w:bCs/>
          <w:sz w:val="20"/>
          <w:szCs w:val="20"/>
          <w:lang w:val="en"/>
        </w:rPr>
        <w:t xml:space="preserve">pH </w:t>
      </w:r>
      <w:r w:rsidR="00DD56E3">
        <w:rPr>
          <w:bCs/>
          <w:sz w:val="20"/>
          <w:szCs w:val="20"/>
          <w:lang w:val="en"/>
        </w:rPr>
        <w:t>specifications (</w:t>
      </w:r>
      <w:r>
        <w:rPr>
          <w:bCs/>
          <w:sz w:val="20"/>
          <w:szCs w:val="20"/>
          <w:lang w:val="en"/>
        </w:rPr>
        <w:t>below 2 or above 11.5</w:t>
      </w:r>
      <w:r w:rsidR="00DD56E3">
        <w:rPr>
          <w:bCs/>
          <w:sz w:val="20"/>
          <w:szCs w:val="20"/>
          <w:lang w:val="en"/>
        </w:rPr>
        <w:t>)</w:t>
      </w:r>
      <w:r>
        <w:rPr>
          <w:bCs/>
          <w:sz w:val="20"/>
          <w:szCs w:val="20"/>
          <w:lang w:val="en"/>
        </w:rPr>
        <w:t xml:space="preserve"> should never be tested on animals due to the obvious </w:t>
      </w:r>
      <w:r w:rsidR="00DD56E3">
        <w:rPr>
          <w:bCs/>
          <w:sz w:val="20"/>
          <w:szCs w:val="20"/>
          <w:lang w:val="en"/>
        </w:rPr>
        <w:t xml:space="preserve">corrosive reactions </w:t>
      </w:r>
      <w:r w:rsidR="00D54B6A">
        <w:rPr>
          <w:bCs/>
          <w:sz w:val="20"/>
          <w:szCs w:val="20"/>
          <w:lang w:val="en"/>
        </w:rPr>
        <w:t xml:space="preserve">and effects </w:t>
      </w:r>
      <w:r>
        <w:rPr>
          <w:bCs/>
          <w:sz w:val="20"/>
          <w:szCs w:val="20"/>
          <w:lang w:val="en"/>
        </w:rPr>
        <w:t xml:space="preserve">on animals and that any substances previously found to </w:t>
      </w:r>
      <w:r w:rsidR="00D54B6A">
        <w:rPr>
          <w:bCs/>
          <w:sz w:val="20"/>
          <w:szCs w:val="20"/>
          <w:lang w:val="en"/>
        </w:rPr>
        <w:t>have adverse effects</w:t>
      </w:r>
      <w:r>
        <w:rPr>
          <w:bCs/>
          <w:sz w:val="20"/>
          <w:szCs w:val="20"/>
          <w:lang w:val="en"/>
        </w:rPr>
        <w:t xml:space="preserve"> any other sensitivity test</w:t>
      </w:r>
      <w:r w:rsidR="00D54B6A">
        <w:rPr>
          <w:bCs/>
          <w:sz w:val="20"/>
          <w:szCs w:val="20"/>
          <w:lang w:val="en"/>
        </w:rPr>
        <w:t xml:space="preserve"> protocol as described </w:t>
      </w:r>
      <w:r>
        <w:rPr>
          <w:bCs/>
          <w:sz w:val="20"/>
          <w:szCs w:val="20"/>
          <w:lang w:val="en"/>
        </w:rPr>
        <w:t xml:space="preserve">under Annex </w:t>
      </w:r>
      <w:r w:rsidR="00CA5A4A">
        <w:rPr>
          <w:bCs/>
          <w:sz w:val="20"/>
          <w:szCs w:val="20"/>
          <w:lang w:val="en"/>
        </w:rPr>
        <w:t>1</w:t>
      </w:r>
      <w:r>
        <w:rPr>
          <w:bCs/>
          <w:sz w:val="20"/>
          <w:szCs w:val="20"/>
          <w:lang w:val="en"/>
        </w:rPr>
        <w:t xml:space="preserve"> of Dir. 67/548/EEC should never be included </w:t>
      </w:r>
      <w:r w:rsidR="006E19E3">
        <w:rPr>
          <w:bCs/>
          <w:sz w:val="20"/>
          <w:szCs w:val="20"/>
          <w:lang w:val="en"/>
        </w:rPr>
        <w:t xml:space="preserve">in </w:t>
      </w:r>
      <w:r w:rsidR="00D54B6A">
        <w:rPr>
          <w:bCs/>
          <w:sz w:val="20"/>
          <w:szCs w:val="20"/>
          <w:lang w:val="en"/>
        </w:rPr>
        <w:t xml:space="preserve">animal tests and researchers have to find suitable </w:t>
      </w:r>
      <w:r w:rsidR="00D54B6A" w:rsidRPr="006E19E3">
        <w:rPr>
          <w:bCs/>
          <w:i/>
          <w:iCs/>
          <w:sz w:val="20"/>
          <w:szCs w:val="20"/>
          <w:lang w:val="en"/>
        </w:rPr>
        <w:t>in-vitro</w:t>
      </w:r>
      <w:r w:rsidR="00D54B6A">
        <w:rPr>
          <w:bCs/>
          <w:sz w:val="20"/>
          <w:szCs w:val="20"/>
          <w:lang w:val="en"/>
        </w:rPr>
        <w:t xml:space="preserve"> alternatives</w:t>
      </w:r>
      <w:r>
        <w:rPr>
          <w:bCs/>
          <w:sz w:val="20"/>
          <w:szCs w:val="20"/>
          <w:lang w:val="en"/>
        </w:rPr>
        <w:t xml:space="preserve">. In </w:t>
      </w:r>
      <w:r w:rsidR="00D54B6A">
        <w:rPr>
          <w:bCs/>
          <w:sz w:val="20"/>
          <w:szCs w:val="20"/>
          <w:lang w:val="en"/>
        </w:rPr>
        <w:t>our investigations</w:t>
      </w:r>
      <w:r>
        <w:rPr>
          <w:bCs/>
          <w:sz w:val="20"/>
          <w:szCs w:val="20"/>
          <w:lang w:val="en"/>
        </w:rPr>
        <w:t xml:space="preserve">, </w:t>
      </w:r>
      <w:r w:rsidR="00D54B6A">
        <w:rPr>
          <w:bCs/>
          <w:sz w:val="20"/>
          <w:szCs w:val="20"/>
          <w:lang w:val="en"/>
        </w:rPr>
        <w:t xml:space="preserve">all </w:t>
      </w:r>
      <w:r>
        <w:rPr>
          <w:bCs/>
          <w:sz w:val="20"/>
          <w:szCs w:val="20"/>
          <w:lang w:val="en"/>
        </w:rPr>
        <w:lastRenderedPageBreak/>
        <w:t xml:space="preserve">the </w:t>
      </w:r>
      <w:r w:rsidR="00D54B6A">
        <w:rPr>
          <w:bCs/>
          <w:sz w:val="20"/>
          <w:szCs w:val="20"/>
          <w:lang w:val="en"/>
        </w:rPr>
        <w:t xml:space="preserve">ingredients’ used are Cosmetic ingredient review (CIR) approved, and the plant extracts have known safe  dermal toxicity profiles. </w:t>
      </w:r>
      <w:r w:rsidR="006E19E3">
        <w:rPr>
          <w:bCs/>
          <w:sz w:val="20"/>
          <w:szCs w:val="20"/>
          <w:lang w:val="en"/>
        </w:rPr>
        <w:t xml:space="preserve">Our </w:t>
      </w:r>
      <w:r w:rsidR="00D54B6A">
        <w:rPr>
          <w:bCs/>
          <w:sz w:val="20"/>
          <w:szCs w:val="20"/>
          <w:lang w:val="en"/>
        </w:rPr>
        <w:t>formulated product technical specifications  and</w:t>
      </w:r>
      <w:r w:rsidR="006E19E3">
        <w:rPr>
          <w:bCs/>
          <w:sz w:val="20"/>
          <w:szCs w:val="20"/>
          <w:lang w:val="en"/>
        </w:rPr>
        <w:t xml:space="preserve"> the subsequent </w:t>
      </w:r>
      <w:r w:rsidR="00D54B6A">
        <w:rPr>
          <w:bCs/>
          <w:sz w:val="20"/>
          <w:szCs w:val="20"/>
          <w:lang w:val="en"/>
        </w:rPr>
        <w:t xml:space="preserve"> laboratory </w:t>
      </w:r>
      <w:r>
        <w:rPr>
          <w:bCs/>
          <w:sz w:val="20"/>
          <w:szCs w:val="20"/>
          <w:lang w:val="en"/>
        </w:rPr>
        <w:t xml:space="preserve">analytical report and pH </w:t>
      </w:r>
      <w:r w:rsidR="006E19E3">
        <w:rPr>
          <w:bCs/>
          <w:sz w:val="20"/>
          <w:szCs w:val="20"/>
          <w:lang w:val="en"/>
        </w:rPr>
        <w:t xml:space="preserve">in this present case </w:t>
      </w:r>
      <w:r>
        <w:rPr>
          <w:bCs/>
          <w:sz w:val="20"/>
          <w:szCs w:val="20"/>
          <w:lang w:val="en"/>
        </w:rPr>
        <w:t xml:space="preserve">justified the use of the Draize </w:t>
      </w:r>
      <w:r w:rsidR="00D54B6A">
        <w:rPr>
          <w:bCs/>
          <w:sz w:val="20"/>
          <w:szCs w:val="20"/>
          <w:lang w:val="en"/>
        </w:rPr>
        <w:t xml:space="preserve">animal sensitivity </w:t>
      </w:r>
      <w:r>
        <w:rPr>
          <w:bCs/>
          <w:sz w:val="20"/>
          <w:szCs w:val="20"/>
          <w:lang w:val="en"/>
        </w:rPr>
        <w:t xml:space="preserve">tests. </w:t>
      </w:r>
    </w:p>
    <w:p w14:paraId="1E0F1ED5" w14:textId="77777777" w:rsidR="0029571F" w:rsidRDefault="005211DE">
      <w:pPr>
        <w:pStyle w:val="Heading2"/>
        <w:rPr>
          <w:rFonts w:cs="Arial"/>
          <w:sz w:val="20"/>
          <w:szCs w:val="20"/>
        </w:rPr>
      </w:pPr>
      <w:r>
        <w:rPr>
          <w:rFonts w:cs="Arial"/>
          <w:sz w:val="20"/>
          <w:szCs w:val="20"/>
        </w:rPr>
        <w:t xml:space="preserve">Skin sensitivity tests </w:t>
      </w:r>
    </w:p>
    <w:p w14:paraId="39D6562E" w14:textId="77777777" w:rsidR="00D54B6A" w:rsidRDefault="00D54B6A">
      <w:pPr>
        <w:pStyle w:val="Heading3"/>
      </w:pPr>
      <w:r>
        <w:t xml:space="preserve"> Animal tests</w:t>
      </w:r>
    </w:p>
    <w:p w14:paraId="499D6C52" w14:textId="4A753EAB" w:rsidR="0029571F" w:rsidRDefault="005211DE" w:rsidP="001A7BAE">
      <w:pPr>
        <w:pStyle w:val="Heading3"/>
        <w:numPr>
          <w:ilvl w:val="0"/>
          <w:numId w:val="0"/>
        </w:numPr>
        <w:jc w:val="both"/>
        <w:rPr>
          <w:szCs w:val="20"/>
        </w:rPr>
      </w:pPr>
      <w:r w:rsidRPr="00C069CA">
        <w:rPr>
          <w:b/>
          <w:bCs/>
        </w:rPr>
        <w:t>Erythema</w:t>
      </w:r>
      <w:r w:rsidR="00D54B6A">
        <w:t xml:space="preserve">: </w:t>
      </w:r>
      <w:r>
        <w:rPr>
          <w:szCs w:val="20"/>
        </w:rPr>
        <w:t xml:space="preserve">After </w:t>
      </w:r>
      <w:r w:rsidR="00D54B6A">
        <w:rPr>
          <w:szCs w:val="20"/>
        </w:rPr>
        <w:t xml:space="preserve"> the mandated test period  of </w:t>
      </w:r>
      <w:r>
        <w:rPr>
          <w:szCs w:val="20"/>
        </w:rPr>
        <w:t xml:space="preserve">96 hours, the skin irritation score for erythema in all </w:t>
      </w:r>
      <w:r w:rsidR="00D54B6A">
        <w:rPr>
          <w:szCs w:val="20"/>
        </w:rPr>
        <w:t xml:space="preserve">the tested animals  were </w:t>
      </w:r>
      <w:r w:rsidR="001A7BAE">
        <w:rPr>
          <w:szCs w:val="20"/>
        </w:rPr>
        <w:t>low</w:t>
      </w:r>
      <w:r w:rsidR="00D54B6A">
        <w:rPr>
          <w:szCs w:val="20"/>
        </w:rPr>
        <w:t xml:space="preserve"> for </w:t>
      </w:r>
      <w:r>
        <w:rPr>
          <w:szCs w:val="20"/>
        </w:rPr>
        <w:t xml:space="preserve"> both the</w:t>
      </w:r>
      <w:r w:rsidR="00D54B6A">
        <w:rPr>
          <w:szCs w:val="20"/>
        </w:rPr>
        <w:t xml:space="preserve"> augmented sunscreen under test and </w:t>
      </w:r>
      <w:r>
        <w:rPr>
          <w:szCs w:val="20"/>
        </w:rPr>
        <w:t xml:space="preserve"> the base cream</w:t>
      </w:r>
      <w:r w:rsidR="00D54B6A">
        <w:rPr>
          <w:szCs w:val="20"/>
        </w:rPr>
        <w:t xml:space="preserve"> (control)</w:t>
      </w:r>
      <w:r>
        <w:rPr>
          <w:szCs w:val="20"/>
        </w:rPr>
        <w:t xml:space="preserve">. </w:t>
      </w:r>
      <w:r w:rsidR="00C069CA">
        <w:rPr>
          <w:szCs w:val="20"/>
        </w:rPr>
        <w:t>No animals exhibited any signs of erythema</w:t>
      </w:r>
      <w:r>
        <w:rPr>
          <w:szCs w:val="20"/>
        </w:rPr>
        <w:t>.</w:t>
      </w:r>
    </w:p>
    <w:p w14:paraId="4E655F61" w14:textId="77777777" w:rsidR="00C069CA" w:rsidRDefault="005211DE" w:rsidP="001A7BAE">
      <w:pPr>
        <w:pStyle w:val="Heading3"/>
        <w:numPr>
          <w:ilvl w:val="0"/>
          <w:numId w:val="0"/>
        </w:numPr>
        <w:jc w:val="both"/>
        <w:rPr>
          <w:szCs w:val="20"/>
        </w:rPr>
      </w:pPr>
      <w:r w:rsidRPr="00C069CA">
        <w:rPr>
          <w:b/>
          <w:bCs/>
        </w:rPr>
        <w:t>Oedema</w:t>
      </w:r>
      <w:r w:rsidR="00C069CA" w:rsidRPr="00C069CA">
        <w:rPr>
          <w:b/>
          <w:bCs/>
        </w:rPr>
        <w:t>:</w:t>
      </w:r>
      <w:r w:rsidR="00C069CA">
        <w:t xml:space="preserve"> After the 96-hour test period, t</w:t>
      </w:r>
      <w:r>
        <w:rPr>
          <w:szCs w:val="20"/>
        </w:rPr>
        <w:t xml:space="preserve">he results for the </w:t>
      </w:r>
      <w:r w:rsidR="00C069CA">
        <w:rPr>
          <w:szCs w:val="20"/>
        </w:rPr>
        <w:t xml:space="preserve">test </w:t>
      </w:r>
      <w:r>
        <w:rPr>
          <w:szCs w:val="20"/>
        </w:rPr>
        <w:t>sunscreen and the base cream were also identical. No animal exhibited any signs of oedema formation</w:t>
      </w:r>
      <w:r w:rsidR="00C069CA">
        <w:rPr>
          <w:szCs w:val="20"/>
        </w:rPr>
        <w:t>.</w:t>
      </w:r>
      <w:r>
        <w:rPr>
          <w:szCs w:val="20"/>
        </w:rPr>
        <w:t xml:space="preserve"> </w:t>
      </w:r>
    </w:p>
    <w:p w14:paraId="4106E2F7" w14:textId="18D95EF7" w:rsidR="00C069CA" w:rsidRDefault="005211DE" w:rsidP="001A7BAE">
      <w:pPr>
        <w:pStyle w:val="Heading3"/>
        <w:numPr>
          <w:ilvl w:val="0"/>
          <w:numId w:val="0"/>
        </w:numPr>
        <w:jc w:val="both"/>
        <w:rPr>
          <w:szCs w:val="20"/>
        </w:rPr>
      </w:pPr>
      <w:r w:rsidRPr="00C069CA">
        <w:rPr>
          <w:b/>
          <w:bCs/>
        </w:rPr>
        <w:t>Primary irritation index</w:t>
      </w:r>
      <w:r w:rsidR="00C069CA">
        <w:t xml:space="preserve">: </w:t>
      </w:r>
      <w:r>
        <w:rPr>
          <w:szCs w:val="20"/>
        </w:rPr>
        <w:t xml:space="preserve">For both the sunscreen and the control, </w:t>
      </w:r>
      <w:r w:rsidR="00C069CA">
        <w:rPr>
          <w:szCs w:val="20"/>
        </w:rPr>
        <w:t xml:space="preserve">for all animals, </w:t>
      </w:r>
      <w:r>
        <w:rPr>
          <w:szCs w:val="20"/>
        </w:rPr>
        <w:t xml:space="preserve">the Primary irritation index,  was found to be </w:t>
      </w:r>
      <w:r w:rsidR="00C069CA">
        <w:rPr>
          <w:szCs w:val="20"/>
        </w:rPr>
        <w:t>below</w:t>
      </w:r>
      <w:r>
        <w:rPr>
          <w:szCs w:val="20"/>
        </w:rPr>
        <w:t xml:space="preserve"> 0.</w:t>
      </w:r>
      <w:r w:rsidR="001A7BAE">
        <w:rPr>
          <w:szCs w:val="20"/>
        </w:rPr>
        <w:t>5</w:t>
      </w:r>
      <w:r>
        <w:rPr>
          <w:szCs w:val="20"/>
        </w:rPr>
        <w:t xml:space="preserve">. According to the </w:t>
      </w:r>
      <w:r w:rsidR="00C069CA">
        <w:rPr>
          <w:szCs w:val="20"/>
        </w:rPr>
        <w:t xml:space="preserve">test </w:t>
      </w:r>
      <w:r>
        <w:rPr>
          <w:szCs w:val="20"/>
        </w:rPr>
        <w:t xml:space="preserve">scoring criteria, the </w:t>
      </w:r>
      <w:r w:rsidR="00C069CA">
        <w:rPr>
          <w:szCs w:val="20"/>
        </w:rPr>
        <w:t xml:space="preserve">augmented  sunscreen is therefore classified </w:t>
      </w:r>
      <w:r>
        <w:rPr>
          <w:szCs w:val="20"/>
        </w:rPr>
        <w:t xml:space="preserve">as a ‘negligible </w:t>
      </w:r>
      <w:r w:rsidR="006E19E3">
        <w:rPr>
          <w:szCs w:val="20"/>
        </w:rPr>
        <w:t xml:space="preserve">skin </w:t>
      </w:r>
      <w:r>
        <w:rPr>
          <w:szCs w:val="20"/>
        </w:rPr>
        <w:t>irritant</w:t>
      </w:r>
      <w:r w:rsidR="00C069CA">
        <w:rPr>
          <w:szCs w:val="20"/>
        </w:rPr>
        <w:t xml:space="preserve"> because it</w:t>
      </w:r>
      <w:r>
        <w:rPr>
          <w:bCs/>
          <w:szCs w:val="20"/>
        </w:rPr>
        <w:t xml:space="preserve"> d</w:t>
      </w:r>
      <w:r w:rsidR="00C069CA">
        <w:rPr>
          <w:bCs/>
          <w:szCs w:val="20"/>
        </w:rPr>
        <w:t xml:space="preserve">oes </w:t>
      </w:r>
      <w:r>
        <w:rPr>
          <w:bCs/>
          <w:szCs w:val="20"/>
        </w:rPr>
        <w:t xml:space="preserve">not </w:t>
      </w:r>
      <w:r w:rsidR="00C069CA">
        <w:rPr>
          <w:bCs/>
          <w:szCs w:val="20"/>
        </w:rPr>
        <w:t>pose</w:t>
      </w:r>
      <w:r>
        <w:rPr>
          <w:bCs/>
          <w:szCs w:val="20"/>
        </w:rPr>
        <w:t xml:space="preserve"> any skin sensitisation </w:t>
      </w:r>
      <w:r w:rsidR="00C069CA">
        <w:rPr>
          <w:bCs/>
          <w:szCs w:val="20"/>
        </w:rPr>
        <w:t>potential base</w:t>
      </w:r>
      <w:r w:rsidR="006E19E3">
        <w:rPr>
          <w:bCs/>
          <w:szCs w:val="20"/>
        </w:rPr>
        <w:t>d</w:t>
      </w:r>
      <w:r w:rsidR="00C069CA">
        <w:rPr>
          <w:bCs/>
          <w:szCs w:val="20"/>
        </w:rPr>
        <w:t xml:space="preserve"> on</w:t>
      </w:r>
      <w:r>
        <w:rPr>
          <w:bCs/>
          <w:szCs w:val="20"/>
        </w:rPr>
        <w:t xml:space="preserve"> the Draize method </w:t>
      </w:r>
      <w:r w:rsidR="00C069CA">
        <w:rPr>
          <w:bCs/>
          <w:szCs w:val="20"/>
        </w:rPr>
        <w:t>on test</w:t>
      </w:r>
      <w:r>
        <w:rPr>
          <w:bCs/>
          <w:szCs w:val="20"/>
        </w:rPr>
        <w:t xml:space="preserve"> </w:t>
      </w:r>
      <w:r w:rsidR="00C069CA">
        <w:rPr>
          <w:bCs/>
          <w:szCs w:val="20"/>
        </w:rPr>
        <w:t>animals.</w:t>
      </w:r>
      <w:r w:rsidR="00C069CA">
        <w:rPr>
          <w:szCs w:val="20"/>
        </w:rPr>
        <w:t xml:space="preserve"> The experiments were concluded as per the guidelines</w:t>
      </w:r>
      <w:r w:rsidR="001A7BAE">
        <w:rPr>
          <w:szCs w:val="20"/>
        </w:rPr>
        <w:t xml:space="preserve"> (table 9)</w:t>
      </w:r>
      <w:r w:rsidR="00C069CA">
        <w:rPr>
          <w:szCs w:val="20"/>
        </w:rPr>
        <w:t>.</w:t>
      </w:r>
    </w:p>
    <w:p w14:paraId="20913342" w14:textId="77777777" w:rsidR="00505D1C" w:rsidRDefault="00505D1C" w:rsidP="00866DCB">
      <w:pPr>
        <w:rPr>
          <w:b/>
          <w:bCs/>
          <w:color w:val="4F81BD" w:themeColor="accent1"/>
          <w:sz w:val="20"/>
          <w:szCs w:val="20"/>
        </w:rPr>
      </w:pPr>
    </w:p>
    <w:p w14:paraId="7EC9D8B2" w14:textId="470B88F0" w:rsidR="00866DCB" w:rsidRPr="001A7BAE" w:rsidRDefault="001A7BAE" w:rsidP="00866DCB">
      <w:pPr>
        <w:rPr>
          <w:b/>
          <w:bCs/>
          <w:color w:val="4F81BD" w:themeColor="accent1"/>
          <w:sz w:val="20"/>
          <w:szCs w:val="20"/>
        </w:rPr>
      </w:pPr>
      <w:r>
        <w:rPr>
          <w:b/>
          <w:bCs/>
          <w:color w:val="4F81BD" w:themeColor="accent1"/>
          <w:sz w:val="20"/>
          <w:szCs w:val="20"/>
        </w:rPr>
        <w:t xml:space="preserve">Table 9: </w:t>
      </w:r>
      <w:r w:rsidR="00866DCB" w:rsidRPr="001A7BAE">
        <w:rPr>
          <w:b/>
          <w:bCs/>
          <w:color w:val="4F81BD" w:themeColor="accent1"/>
          <w:sz w:val="20"/>
          <w:szCs w:val="20"/>
        </w:rPr>
        <w:t xml:space="preserve">Primary irritation of the  </w:t>
      </w:r>
      <w:r w:rsidRPr="001A7BAE">
        <w:rPr>
          <w:b/>
          <w:bCs/>
          <w:color w:val="4F81BD" w:themeColor="accent1"/>
          <w:sz w:val="20"/>
          <w:szCs w:val="20"/>
        </w:rPr>
        <w:t>augmented</w:t>
      </w:r>
      <w:r w:rsidR="00866DCB" w:rsidRPr="001A7BAE">
        <w:rPr>
          <w:b/>
          <w:bCs/>
          <w:color w:val="4F81BD" w:themeColor="accent1"/>
          <w:sz w:val="20"/>
          <w:szCs w:val="20"/>
        </w:rPr>
        <w:t xml:space="preserve"> cream on rabbits </w:t>
      </w:r>
    </w:p>
    <w:tbl>
      <w:tblPr>
        <w:tblStyle w:val="PlainTable2"/>
        <w:tblW w:w="9214" w:type="dxa"/>
        <w:tblLook w:val="04A0" w:firstRow="1" w:lastRow="0" w:firstColumn="1" w:lastColumn="0" w:noHBand="0" w:noVBand="1"/>
      </w:tblPr>
      <w:tblGrid>
        <w:gridCol w:w="1837"/>
        <w:gridCol w:w="2558"/>
        <w:gridCol w:w="2409"/>
        <w:gridCol w:w="2410"/>
      </w:tblGrid>
      <w:tr w:rsidR="00866DCB" w14:paraId="5D3F09C0" w14:textId="77777777" w:rsidTr="001A7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DDD9C3" w:themeFill="background2" w:themeFillShade="E6"/>
          </w:tcPr>
          <w:p w14:paraId="253535D9" w14:textId="2F8B240F" w:rsidR="00866DCB" w:rsidRPr="001A7BAE" w:rsidRDefault="00866DCB" w:rsidP="009F2CAA">
            <w:pPr>
              <w:spacing w:after="0" w:line="240" w:lineRule="auto"/>
              <w:contextualSpacing/>
              <w:jc w:val="center"/>
              <w:rPr>
                <w:sz w:val="18"/>
                <w:szCs w:val="18"/>
              </w:rPr>
            </w:pPr>
            <w:r w:rsidRPr="001A7BAE">
              <w:rPr>
                <w:sz w:val="18"/>
                <w:szCs w:val="18"/>
              </w:rPr>
              <w:t xml:space="preserve">Sample </w:t>
            </w:r>
          </w:p>
        </w:tc>
        <w:tc>
          <w:tcPr>
            <w:tcW w:w="2558" w:type="dxa"/>
            <w:shd w:val="clear" w:color="auto" w:fill="DDD9C3" w:themeFill="background2" w:themeFillShade="E6"/>
          </w:tcPr>
          <w:p w14:paraId="055F8B4B"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Draize Rabbit  sensitivity screening</w:t>
            </w:r>
          </w:p>
        </w:tc>
        <w:tc>
          <w:tcPr>
            <w:tcW w:w="2409" w:type="dxa"/>
            <w:shd w:val="clear" w:color="auto" w:fill="DDD9C3" w:themeFill="background2" w:themeFillShade="E6"/>
          </w:tcPr>
          <w:p w14:paraId="3D6F7E55"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Human Primary irritation index</w:t>
            </w:r>
          </w:p>
          <w:p w14:paraId="794E64A8"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2410" w:type="dxa"/>
            <w:shd w:val="clear" w:color="auto" w:fill="DDD9C3" w:themeFill="background2" w:themeFillShade="E6"/>
          </w:tcPr>
          <w:p w14:paraId="4F7882CE" w14:textId="77777777" w:rsidR="00866DCB" w:rsidRPr="001A7BAE" w:rsidRDefault="00866DCB" w:rsidP="009F2CAA">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1A7BAE">
              <w:rPr>
                <w:sz w:val="18"/>
                <w:szCs w:val="18"/>
              </w:rPr>
              <w:t>Conclusion</w:t>
            </w:r>
          </w:p>
        </w:tc>
      </w:tr>
      <w:tr w:rsidR="00866DCB" w14:paraId="71005AA8"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66600B0" w14:textId="1884FC7C" w:rsidR="00866DCB" w:rsidRPr="001A7BAE" w:rsidRDefault="001A7BAE" w:rsidP="009F2CAA">
            <w:pPr>
              <w:spacing w:after="0" w:line="240" w:lineRule="auto"/>
              <w:contextualSpacing/>
              <w:jc w:val="center"/>
              <w:rPr>
                <w:bCs w:val="0"/>
                <w:sz w:val="18"/>
                <w:szCs w:val="18"/>
              </w:rPr>
            </w:pPr>
            <w:r w:rsidRPr="001A7BAE">
              <w:rPr>
                <w:bCs w:val="0"/>
                <w:sz w:val="18"/>
                <w:szCs w:val="18"/>
              </w:rPr>
              <w:t>Augmented</w:t>
            </w:r>
            <w:r w:rsidR="00866DCB" w:rsidRPr="001A7BAE">
              <w:rPr>
                <w:bCs w:val="0"/>
                <w:sz w:val="18"/>
                <w:szCs w:val="18"/>
              </w:rPr>
              <w:t xml:space="preserve"> sunscreen</w:t>
            </w:r>
          </w:p>
        </w:tc>
        <w:tc>
          <w:tcPr>
            <w:tcW w:w="2558" w:type="dxa"/>
          </w:tcPr>
          <w:p w14:paraId="22353608" w14:textId="54F730D3"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oedema after 96 hours</w:t>
            </w:r>
          </w:p>
          <w:p w14:paraId="6E669F6E"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71FF2696" w14:textId="6258110D"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0.3</w:t>
            </w:r>
            <w:r w:rsidR="001A7BAE" w:rsidRPr="001A7BAE">
              <w:rPr>
                <w:bCs/>
                <w:sz w:val="18"/>
                <w:szCs w:val="18"/>
              </w:rPr>
              <w:t>0</w:t>
            </w:r>
          </w:p>
        </w:tc>
        <w:tc>
          <w:tcPr>
            <w:tcW w:w="2410" w:type="dxa"/>
          </w:tcPr>
          <w:p w14:paraId="64782A6C"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24D69BF8"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35A2CEAD" w14:textId="404B86CF" w:rsidR="00866DCB" w:rsidRPr="001A7BAE" w:rsidRDefault="00866DCB" w:rsidP="009F2CAA">
            <w:pPr>
              <w:spacing w:after="0" w:line="240" w:lineRule="auto"/>
              <w:contextualSpacing/>
              <w:jc w:val="center"/>
              <w:rPr>
                <w:bCs w:val="0"/>
                <w:sz w:val="18"/>
                <w:szCs w:val="18"/>
              </w:rPr>
            </w:pPr>
            <w:r w:rsidRPr="001A7BAE">
              <w:rPr>
                <w:bCs w:val="0"/>
                <w:sz w:val="18"/>
                <w:szCs w:val="18"/>
              </w:rPr>
              <w:t>Base cream</w:t>
            </w:r>
          </w:p>
        </w:tc>
        <w:tc>
          <w:tcPr>
            <w:tcW w:w="2558" w:type="dxa"/>
          </w:tcPr>
          <w:p w14:paraId="41DF8F33" w14:textId="6294A1D3"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 xml:space="preserve">No lasting </w:t>
            </w:r>
            <w:r w:rsidR="001A7BAE" w:rsidRPr="001A7BAE">
              <w:rPr>
                <w:sz w:val="18"/>
                <w:szCs w:val="18"/>
              </w:rPr>
              <w:t>erythema</w:t>
            </w:r>
            <w:r w:rsidRPr="001A7BAE">
              <w:rPr>
                <w:sz w:val="18"/>
                <w:szCs w:val="18"/>
              </w:rPr>
              <w:t xml:space="preserve"> and oedema after 96 hours</w:t>
            </w:r>
          </w:p>
          <w:p w14:paraId="388574E4"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2E20EBD"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0.30</w:t>
            </w:r>
          </w:p>
        </w:tc>
        <w:tc>
          <w:tcPr>
            <w:tcW w:w="2410" w:type="dxa"/>
          </w:tcPr>
          <w:p w14:paraId="655C668A"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6B7B09EB" w14:textId="77777777" w:rsidTr="001A7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582A38C8" w14:textId="6288B9B6" w:rsidR="00866DCB" w:rsidRPr="001A7BAE" w:rsidRDefault="00866DCB" w:rsidP="009F2CAA">
            <w:pPr>
              <w:spacing w:after="0" w:line="240" w:lineRule="auto"/>
              <w:contextualSpacing/>
              <w:jc w:val="center"/>
              <w:rPr>
                <w:bCs w:val="0"/>
                <w:sz w:val="18"/>
                <w:szCs w:val="18"/>
              </w:rPr>
            </w:pPr>
            <w:r w:rsidRPr="001A7BAE">
              <w:rPr>
                <w:bCs w:val="0"/>
                <w:sz w:val="18"/>
                <w:szCs w:val="18"/>
              </w:rPr>
              <w:t>De ionized water (negative control)</w:t>
            </w:r>
          </w:p>
        </w:tc>
        <w:tc>
          <w:tcPr>
            <w:tcW w:w="2558" w:type="dxa"/>
          </w:tcPr>
          <w:p w14:paraId="66D139A1" w14:textId="0EF20A61"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sz w:val="18"/>
                <w:szCs w:val="18"/>
              </w:rPr>
              <w:t>No lasting erythema and oedema after 96 hours</w:t>
            </w:r>
          </w:p>
          <w:p w14:paraId="039CC1B0"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409" w:type="dxa"/>
          </w:tcPr>
          <w:p w14:paraId="2FBF3B81"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bCs/>
                <w:sz w:val="18"/>
                <w:szCs w:val="18"/>
              </w:rPr>
            </w:pPr>
            <w:r w:rsidRPr="001A7BAE">
              <w:rPr>
                <w:bCs/>
                <w:sz w:val="18"/>
                <w:szCs w:val="18"/>
              </w:rPr>
              <w:t>0.28</w:t>
            </w:r>
          </w:p>
        </w:tc>
        <w:tc>
          <w:tcPr>
            <w:tcW w:w="2410" w:type="dxa"/>
          </w:tcPr>
          <w:p w14:paraId="565A910A" w14:textId="77777777" w:rsidR="00866DCB" w:rsidRPr="001A7BAE" w:rsidRDefault="00866DCB" w:rsidP="009F2CAA">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sz w:val="18"/>
                <w:szCs w:val="18"/>
              </w:rPr>
            </w:pPr>
            <w:r w:rsidRPr="001A7BAE">
              <w:rPr>
                <w:kern w:val="36"/>
                <w:sz w:val="18"/>
                <w:szCs w:val="18"/>
                <w:lang w:eastAsia="en-ZW"/>
              </w:rPr>
              <w:t>Negligible irritation</w:t>
            </w:r>
          </w:p>
        </w:tc>
      </w:tr>
      <w:tr w:rsidR="00866DCB" w14:paraId="06B0812C" w14:textId="77777777" w:rsidTr="001A7BAE">
        <w:tc>
          <w:tcPr>
            <w:cnfStyle w:val="001000000000" w:firstRow="0" w:lastRow="0" w:firstColumn="1" w:lastColumn="0" w:oddVBand="0" w:evenVBand="0" w:oddHBand="0" w:evenHBand="0" w:firstRowFirstColumn="0" w:firstRowLastColumn="0" w:lastRowFirstColumn="0" w:lastRowLastColumn="0"/>
            <w:tcW w:w="1837" w:type="dxa"/>
            <w:shd w:val="clear" w:color="auto" w:fill="EEECE1" w:themeFill="background2"/>
          </w:tcPr>
          <w:p w14:paraId="6A385BAD" w14:textId="1739CB32" w:rsidR="00866DCB" w:rsidRPr="001A7BAE" w:rsidRDefault="00866DCB" w:rsidP="009F2CAA">
            <w:pPr>
              <w:spacing w:after="0" w:line="240" w:lineRule="auto"/>
              <w:contextualSpacing/>
              <w:jc w:val="center"/>
              <w:rPr>
                <w:bCs w:val="0"/>
                <w:sz w:val="18"/>
                <w:szCs w:val="18"/>
              </w:rPr>
            </w:pPr>
            <w:r w:rsidRPr="001A7BAE">
              <w:rPr>
                <w:bCs w:val="0"/>
                <w:sz w:val="18"/>
                <w:szCs w:val="18"/>
              </w:rPr>
              <w:t>SLES  (positive control)</w:t>
            </w:r>
          </w:p>
        </w:tc>
        <w:tc>
          <w:tcPr>
            <w:tcW w:w="2558" w:type="dxa"/>
          </w:tcPr>
          <w:p w14:paraId="0F21FDDA" w14:textId="74BA3E3A"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sz w:val="18"/>
                <w:szCs w:val="18"/>
              </w:rPr>
              <w:t>Observed</w:t>
            </w:r>
            <w:r w:rsidR="00866DCB" w:rsidRPr="001A7BAE">
              <w:rPr>
                <w:sz w:val="18"/>
                <w:szCs w:val="18"/>
              </w:rPr>
              <w:t xml:space="preserve"> erythema and oedema </w:t>
            </w:r>
            <w:r w:rsidRPr="001A7BAE">
              <w:rPr>
                <w:sz w:val="18"/>
                <w:szCs w:val="18"/>
              </w:rPr>
              <w:t xml:space="preserve">during testing </w:t>
            </w:r>
          </w:p>
          <w:p w14:paraId="26144D4B"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409" w:type="dxa"/>
          </w:tcPr>
          <w:p w14:paraId="73E5F974" w14:textId="62A03691" w:rsidR="00866DCB" w:rsidRPr="001A7BAE" w:rsidRDefault="001A7BAE"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bCs/>
                <w:sz w:val="18"/>
                <w:szCs w:val="18"/>
              </w:rPr>
            </w:pPr>
            <w:r w:rsidRPr="001A7BAE">
              <w:rPr>
                <w:bCs/>
                <w:sz w:val="18"/>
                <w:szCs w:val="18"/>
              </w:rPr>
              <w:t>5.80</w:t>
            </w:r>
          </w:p>
        </w:tc>
        <w:tc>
          <w:tcPr>
            <w:tcW w:w="2410" w:type="dxa"/>
          </w:tcPr>
          <w:p w14:paraId="589FD4B8" w14:textId="77777777" w:rsidR="00866DCB" w:rsidRPr="001A7BAE" w:rsidRDefault="00866DCB" w:rsidP="009F2CAA">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sz w:val="18"/>
                <w:szCs w:val="18"/>
              </w:rPr>
            </w:pPr>
            <w:r w:rsidRPr="001A7BAE">
              <w:rPr>
                <w:kern w:val="36"/>
                <w:sz w:val="18"/>
                <w:szCs w:val="18"/>
                <w:lang w:eastAsia="en-ZW"/>
              </w:rPr>
              <w:t>Negligible irritation</w:t>
            </w:r>
          </w:p>
        </w:tc>
      </w:tr>
    </w:tbl>
    <w:p w14:paraId="02F15900" w14:textId="403DEBA8" w:rsidR="0029571F" w:rsidRDefault="0029571F" w:rsidP="00C069CA">
      <w:pPr>
        <w:pStyle w:val="Heading3"/>
        <w:numPr>
          <w:ilvl w:val="0"/>
          <w:numId w:val="0"/>
        </w:numPr>
        <w:rPr>
          <w:bCs/>
          <w:szCs w:val="20"/>
        </w:rPr>
      </w:pPr>
    </w:p>
    <w:p w14:paraId="350F32AE" w14:textId="77777777" w:rsidR="0029571F" w:rsidRDefault="005211DE" w:rsidP="00A13E99">
      <w:pPr>
        <w:pStyle w:val="Heading3"/>
      </w:pPr>
      <w:r>
        <w:t xml:space="preserve"> Human patch testing </w:t>
      </w:r>
    </w:p>
    <w:p w14:paraId="1C0238E9" w14:textId="760C96C0" w:rsidR="00D82248" w:rsidRDefault="00C069CA" w:rsidP="0075468F">
      <w:pPr>
        <w:spacing w:line="240" w:lineRule="auto"/>
        <w:contextualSpacing/>
        <w:jc w:val="both"/>
        <w:rPr>
          <w:bCs/>
          <w:sz w:val="20"/>
          <w:szCs w:val="20"/>
          <w:lang w:val="en-ZW"/>
        </w:rPr>
      </w:pPr>
      <w:r>
        <w:rPr>
          <w:bCs/>
          <w:sz w:val="20"/>
          <w:szCs w:val="20"/>
          <w:lang w:val="en-ZW"/>
        </w:rPr>
        <w:t>At the conclusion of  the human patch testing assessments</w:t>
      </w:r>
      <w:r w:rsidR="006E19E3">
        <w:rPr>
          <w:bCs/>
          <w:sz w:val="20"/>
          <w:szCs w:val="20"/>
          <w:lang w:val="en-ZW"/>
        </w:rPr>
        <w:t>,</w:t>
      </w:r>
      <w:r>
        <w:rPr>
          <w:bCs/>
          <w:sz w:val="20"/>
          <w:szCs w:val="20"/>
          <w:lang w:val="en-ZW"/>
        </w:rPr>
        <w:t xml:space="preserve"> the primary irritation index for the augmented sunscreen was </w:t>
      </w:r>
      <w:r w:rsidR="00D82248">
        <w:rPr>
          <w:bCs/>
          <w:sz w:val="20"/>
          <w:szCs w:val="20"/>
          <w:lang w:val="en-ZW"/>
        </w:rPr>
        <w:t>very low, thereby classifying the sunscreen</w:t>
      </w:r>
      <w:r>
        <w:rPr>
          <w:bCs/>
          <w:sz w:val="20"/>
          <w:szCs w:val="20"/>
          <w:lang w:val="en-ZW"/>
        </w:rPr>
        <w:t xml:space="preserve"> as a negligible irritant. </w:t>
      </w:r>
    </w:p>
    <w:p w14:paraId="46DE9E35" w14:textId="123C8BD6" w:rsidR="00D82248" w:rsidRDefault="00D82248" w:rsidP="0075468F">
      <w:pPr>
        <w:spacing w:line="240" w:lineRule="auto"/>
        <w:contextualSpacing/>
        <w:jc w:val="both"/>
        <w:rPr>
          <w:bCs/>
          <w:sz w:val="20"/>
          <w:szCs w:val="20"/>
          <w:lang w:val="en-ZW"/>
        </w:rPr>
      </w:pPr>
      <w:r>
        <w:rPr>
          <w:bCs/>
          <w:sz w:val="20"/>
          <w:szCs w:val="20"/>
          <w:lang w:val="en-ZW"/>
        </w:rPr>
        <w:t xml:space="preserve">Comparative visual assessment of the positive control (sodium lauryl sulphate) revealed that  it had adverse irritancy potential to human skin, as expected, while  the negative control (de-ionised water) had displayed similar results  to the augmented  sunscreen and the base cream with low erythema scores and no visual adverse effects. The visual grading scores of </w:t>
      </w:r>
      <w:r w:rsidR="0075468F">
        <w:rPr>
          <w:bCs/>
          <w:sz w:val="20"/>
          <w:szCs w:val="20"/>
          <w:lang w:val="en-ZW"/>
        </w:rPr>
        <w:t>the bas</w:t>
      </w:r>
      <w:r w:rsidR="006E19E3">
        <w:rPr>
          <w:bCs/>
          <w:sz w:val="20"/>
          <w:szCs w:val="20"/>
          <w:lang w:val="en-ZW"/>
        </w:rPr>
        <w:t>e cream</w:t>
      </w:r>
      <w:r w:rsidR="0075468F">
        <w:rPr>
          <w:bCs/>
          <w:sz w:val="20"/>
          <w:szCs w:val="20"/>
          <w:lang w:val="en-ZW"/>
        </w:rPr>
        <w:t xml:space="preserve"> (negative control)  were similar to the augmented sunscreen</w:t>
      </w:r>
      <w:r w:rsidR="001A7BAE">
        <w:rPr>
          <w:bCs/>
          <w:sz w:val="20"/>
          <w:szCs w:val="20"/>
          <w:lang w:val="en-ZW"/>
        </w:rPr>
        <w:t xml:space="preserve"> (Table 9)</w:t>
      </w:r>
      <w:r>
        <w:rPr>
          <w:bCs/>
          <w:sz w:val="20"/>
          <w:szCs w:val="20"/>
          <w:lang w:val="en-ZW"/>
        </w:rPr>
        <w:t>.</w:t>
      </w:r>
    </w:p>
    <w:p w14:paraId="6B08C41F" w14:textId="754AF42A" w:rsidR="0029571F" w:rsidRDefault="00295EA9" w:rsidP="0075468F">
      <w:pPr>
        <w:spacing w:line="240" w:lineRule="auto"/>
        <w:contextualSpacing/>
        <w:jc w:val="both"/>
        <w:rPr>
          <w:b/>
          <w:bCs/>
          <w:sz w:val="20"/>
          <w:szCs w:val="20"/>
          <w:lang w:val="en-ZW"/>
        </w:rPr>
      </w:pPr>
      <w:r>
        <w:rPr>
          <w:bCs/>
          <w:sz w:val="20"/>
          <w:szCs w:val="20"/>
          <w:lang w:val="en-ZW"/>
        </w:rPr>
        <w:t xml:space="preserve">In the investigations  the </w:t>
      </w:r>
      <w:r>
        <w:rPr>
          <w:bCs/>
          <w:i/>
          <w:iCs/>
          <w:sz w:val="20"/>
          <w:szCs w:val="20"/>
          <w:lang w:val="en-ZW"/>
        </w:rPr>
        <w:t>In</w:t>
      </w:r>
      <w:r w:rsidR="00866DCB">
        <w:rPr>
          <w:bCs/>
          <w:i/>
          <w:iCs/>
          <w:sz w:val="20"/>
          <w:szCs w:val="20"/>
          <w:lang w:val="en-ZW"/>
        </w:rPr>
        <w:t>-</w:t>
      </w:r>
      <w:r>
        <w:rPr>
          <w:bCs/>
          <w:i/>
          <w:iCs/>
          <w:sz w:val="20"/>
          <w:szCs w:val="20"/>
          <w:lang w:val="en-ZW"/>
        </w:rPr>
        <w:t>Vivo</w:t>
      </w:r>
      <w:r>
        <w:rPr>
          <w:bCs/>
          <w:sz w:val="20"/>
          <w:szCs w:val="20"/>
          <w:lang w:val="en-ZW"/>
        </w:rPr>
        <w:t xml:space="preserve"> human testing protocols  were imperative since  there are differences in the morphology, biochemical and  structural  components of  human skin and animal models. </w:t>
      </w:r>
      <w:r w:rsidR="006E19E3">
        <w:rPr>
          <w:bCs/>
          <w:sz w:val="20"/>
          <w:szCs w:val="20"/>
          <w:lang w:val="en-ZW"/>
        </w:rPr>
        <w:t>Therefore,</w:t>
      </w:r>
      <w:r>
        <w:rPr>
          <w:bCs/>
          <w:sz w:val="20"/>
          <w:szCs w:val="20"/>
          <w:lang w:val="en-ZW"/>
        </w:rPr>
        <w:t xml:space="preserve">  </w:t>
      </w:r>
      <w:r w:rsidR="00866DCB">
        <w:rPr>
          <w:bCs/>
          <w:sz w:val="20"/>
          <w:szCs w:val="20"/>
          <w:lang w:val="en-ZW"/>
        </w:rPr>
        <w:t>animal-based</w:t>
      </w:r>
      <w:r>
        <w:rPr>
          <w:bCs/>
          <w:sz w:val="20"/>
          <w:szCs w:val="20"/>
          <w:lang w:val="en-ZW"/>
        </w:rPr>
        <w:t xml:space="preserve"> tests, </w:t>
      </w:r>
      <w:r w:rsidRPr="00295EA9">
        <w:rPr>
          <w:bCs/>
          <w:i/>
          <w:iCs/>
          <w:sz w:val="20"/>
          <w:szCs w:val="20"/>
          <w:lang w:val="en-ZW"/>
        </w:rPr>
        <w:t>in</w:t>
      </w:r>
      <w:r>
        <w:rPr>
          <w:bCs/>
          <w:i/>
          <w:iCs/>
          <w:sz w:val="20"/>
          <w:szCs w:val="20"/>
          <w:lang w:val="en-ZW"/>
        </w:rPr>
        <w:t>-</w:t>
      </w:r>
      <w:r w:rsidRPr="00295EA9">
        <w:rPr>
          <w:bCs/>
          <w:i/>
          <w:iCs/>
          <w:sz w:val="20"/>
          <w:szCs w:val="20"/>
          <w:lang w:val="en-ZW"/>
        </w:rPr>
        <w:t>vi</w:t>
      </w:r>
      <w:r w:rsidR="00866DCB">
        <w:rPr>
          <w:bCs/>
          <w:i/>
          <w:iCs/>
          <w:sz w:val="20"/>
          <w:szCs w:val="20"/>
          <w:lang w:val="en-ZW"/>
        </w:rPr>
        <w:t>tr</w:t>
      </w:r>
      <w:r w:rsidRPr="00295EA9">
        <w:rPr>
          <w:bCs/>
          <w:i/>
          <w:iCs/>
          <w:sz w:val="20"/>
          <w:szCs w:val="20"/>
          <w:lang w:val="en-ZW"/>
        </w:rPr>
        <w:t>o</w:t>
      </w:r>
      <w:r>
        <w:rPr>
          <w:bCs/>
          <w:sz w:val="20"/>
          <w:szCs w:val="20"/>
          <w:lang w:val="en-ZW"/>
        </w:rPr>
        <w:t xml:space="preserve">  or other alternative </w:t>
      </w:r>
      <w:r w:rsidRPr="00A13E99">
        <w:rPr>
          <w:bCs/>
          <w:i/>
          <w:iCs/>
          <w:sz w:val="20"/>
          <w:szCs w:val="20"/>
          <w:lang w:val="en-ZW"/>
        </w:rPr>
        <w:t>ex</w:t>
      </w:r>
      <w:r w:rsidR="00866DCB">
        <w:rPr>
          <w:bCs/>
          <w:i/>
          <w:iCs/>
          <w:sz w:val="20"/>
          <w:szCs w:val="20"/>
          <w:lang w:val="en-ZW"/>
        </w:rPr>
        <w:t>-</w:t>
      </w:r>
      <w:r w:rsidRPr="00A13E99">
        <w:rPr>
          <w:bCs/>
          <w:i/>
          <w:iCs/>
          <w:sz w:val="20"/>
          <w:szCs w:val="20"/>
          <w:lang w:val="en-ZW"/>
        </w:rPr>
        <w:t>vivo</w:t>
      </w:r>
      <w:r>
        <w:rPr>
          <w:bCs/>
          <w:sz w:val="20"/>
          <w:szCs w:val="20"/>
          <w:lang w:val="en-ZW"/>
        </w:rPr>
        <w:t xml:space="preserve"> methods may have limited utility with respect to their predictive approximation of potential adverse exposure in human applications. These human panel confirmatory  tests are not only necessary scientifically but ethical </w:t>
      </w:r>
      <w:r w:rsidR="00866DCB">
        <w:rPr>
          <w:bCs/>
          <w:sz w:val="20"/>
          <w:szCs w:val="20"/>
          <w:lang w:val="en-ZW"/>
        </w:rPr>
        <w:t xml:space="preserve">as well </w:t>
      </w:r>
      <w:r>
        <w:rPr>
          <w:bCs/>
          <w:sz w:val="20"/>
          <w:szCs w:val="20"/>
          <w:lang w:val="en-ZW"/>
        </w:rPr>
        <w:t xml:space="preserve">in guaranteeing biosafety. Just as in the animal tests above, the human tests can only proceed if and only if  the toxicological  profile of all ingredients and their  resultant interactions  based on animal or alternative methods are available and as long as a justifiably high degree of safety </w:t>
      </w:r>
      <w:r w:rsidR="006E19E3">
        <w:rPr>
          <w:bCs/>
          <w:sz w:val="20"/>
          <w:szCs w:val="20"/>
          <w:lang w:val="en-ZW"/>
        </w:rPr>
        <w:t>is guaranteed</w:t>
      </w:r>
      <w:r>
        <w:rPr>
          <w:bCs/>
          <w:sz w:val="20"/>
          <w:szCs w:val="20"/>
          <w:lang w:val="en-ZW"/>
        </w:rPr>
        <w:t xml:space="preserve">. Confirmatory tests of </w:t>
      </w:r>
      <w:r w:rsidR="006E19E3">
        <w:rPr>
          <w:bCs/>
          <w:sz w:val="20"/>
          <w:szCs w:val="20"/>
          <w:lang w:val="en-ZW"/>
        </w:rPr>
        <w:t xml:space="preserve">cosmeceuticals and cosmeceutical ingredients </w:t>
      </w:r>
      <w:r>
        <w:rPr>
          <w:bCs/>
          <w:sz w:val="20"/>
          <w:szCs w:val="20"/>
          <w:lang w:val="en-ZW"/>
        </w:rPr>
        <w:t xml:space="preserve">in humans </w:t>
      </w:r>
      <w:r w:rsidR="006E19E3">
        <w:rPr>
          <w:bCs/>
          <w:sz w:val="20"/>
          <w:szCs w:val="20"/>
          <w:lang w:val="en-ZW"/>
        </w:rPr>
        <w:t>is therefore</w:t>
      </w:r>
      <w:r>
        <w:rPr>
          <w:bCs/>
          <w:sz w:val="20"/>
          <w:szCs w:val="20"/>
          <w:lang w:val="en-ZW"/>
        </w:rPr>
        <w:t xml:space="preserve"> limited to </w:t>
      </w:r>
      <w:r w:rsidR="006E19E3">
        <w:rPr>
          <w:bCs/>
          <w:sz w:val="20"/>
          <w:szCs w:val="20"/>
          <w:lang w:val="en-ZW"/>
        </w:rPr>
        <w:t xml:space="preserve">assessments </w:t>
      </w:r>
      <w:r>
        <w:rPr>
          <w:bCs/>
          <w:sz w:val="20"/>
          <w:szCs w:val="20"/>
          <w:lang w:val="en-ZW"/>
        </w:rPr>
        <w:t xml:space="preserve">where no irreversible </w:t>
      </w:r>
      <w:r w:rsidR="006E19E3">
        <w:rPr>
          <w:bCs/>
          <w:sz w:val="20"/>
          <w:szCs w:val="20"/>
          <w:lang w:val="en-ZW"/>
        </w:rPr>
        <w:t xml:space="preserve">damages to dermal structures </w:t>
      </w:r>
      <w:r>
        <w:rPr>
          <w:bCs/>
          <w:sz w:val="20"/>
          <w:szCs w:val="20"/>
          <w:lang w:val="en-ZW"/>
        </w:rPr>
        <w:t xml:space="preserve"> are to be expected for the </w:t>
      </w:r>
      <w:r w:rsidR="006E19E3">
        <w:rPr>
          <w:bCs/>
          <w:sz w:val="20"/>
          <w:szCs w:val="20"/>
          <w:lang w:val="en-ZW"/>
        </w:rPr>
        <w:t>participants</w:t>
      </w:r>
      <w:r>
        <w:rPr>
          <w:bCs/>
          <w:sz w:val="20"/>
          <w:szCs w:val="20"/>
          <w:lang w:val="en-ZW"/>
        </w:rPr>
        <w:t xml:space="preserve"> and where the study</w:t>
      </w:r>
      <w:r w:rsidR="006E19E3">
        <w:rPr>
          <w:bCs/>
          <w:sz w:val="20"/>
          <w:szCs w:val="20"/>
          <w:lang w:val="en-ZW"/>
        </w:rPr>
        <w:t xml:space="preserve"> objectives are  </w:t>
      </w:r>
      <w:r>
        <w:rPr>
          <w:bCs/>
          <w:sz w:val="20"/>
          <w:szCs w:val="20"/>
          <w:lang w:val="en-ZW"/>
        </w:rPr>
        <w:t xml:space="preserve">reasonably achievable with a </w:t>
      </w:r>
      <w:r w:rsidR="006E19E3">
        <w:rPr>
          <w:bCs/>
          <w:sz w:val="20"/>
          <w:szCs w:val="20"/>
          <w:lang w:val="en-ZW"/>
        </w:rPr>
        <w:t xml:space="preserve">limited </w:t>
      </w:r>
      <w:r>
        <w:rPr>
          <w:bCs/>
          <w:sz w:val="20"/>
          <w:szCs w:val="20"/>
          <w:lang w:val="en-ZW"/>
        </w:rPr>
        <w:t xml:space="preserve">population of </w:t>
      </w:r>
      <w:r w:rsidR="006E19E3">
        <w:rPr>
          <w:bCs/>
          <w:sz w:val="20"/>
          <w:szCs w:val="20"/>
          <w:lang w:val="en-ZW"/>
        </w:rPr>
        <w:t>participants</w:t>
      </w:r>
      <w:r>
        <w:rPr>
          <w:bCs/>
          <w:sz w:val="20"/>
          <w:szCs w:val="20"/>
          <w:lang w:val="en-ZW"/>
        </w:rPr>
        <w:t xml:space="preserve">. </w:t>
      </w:r>
      <w:r w:rsidR="006E19E3">
        <w:rPr>
          <w:bCs/>
          <w:sz w:val="20"/>
          <w:szCs w:val="20"/>
          <w:lang w:val="en-ZW"/>
        </w:rPr>
        <w:t xml:space="preserve">According to the </w:t>
      </w:r>
      <w:r w:rsidR="00866DCB" w:rsidRPr="00866DCB">
        <w:rPr>
          <w:bCs/>
          <w:sz w:val="20"/>
          <w:szCs w:val="20"/>
          <w:lang w:val="en-ZW"/>
        </w:rPr>
        <w:t xml:space="preserve">World Medical Doctors Association </w:t>
      </w:r>
      <w:r w:rsidR="00866DCB" w:rsidRPr="00866DCB">
        <w:rPr>
          <w:bCs/>
          <w:sz w:val="20"/>
          <w:szCs w:val="20"/>
          <w:lang w:val="en-ZW"/>
        </w:rPr>
        <w:lastRenderedPageBreak/>
        <w:t>Declaration of Helsinki in its current revision</w:t>
      </w:r>
      <w:r w:rsidR="006E19E3">
        <w:rPr>
          <w:bCs/>
          <w:sz w:val="20"/>
          <w:szCs w:val="20"/>
          <w:lang w:val="en-ZW"/>
        </w:rPr>
        <w:t>, h</w:t>
      </w:r>
      <w:r>
        <w:rPr>
          <w:bCs/>
          <w:sz w:val="20"/>
          <w:szCs w:val="20"/>
          <w:lang w:val="en-ZW"/>
        </w:rPr>
        <w:t xml:space="preserve">uman testing </w:t>
      </w:r>
      <w:r w:rsidR="000750F0">
        <w:rPr>
          <w:bCs/>
          <w:sz w:val="20"/>
          <w:szCs w:val="20"/>
          <w:lang w:val="en-ZW"/>
        </w:rPr>
        <w:t>should be</w:t>
      </w:r>
      <w:r>
        <w:rPr>
          <w:bCs/>
          <w:sz w:val="20"/>
          <w:szCs w:val="20"/>
          <w:lang w:val="en-ZW"/>
        </w:rPr>
        <w:t xml:space="preserve"> conducted and monitored under the direction of </w:t>
      </w:r>
      <w:r w:rsidR="006E19E3">
        <w:rPr>
          <w:bCs/>
          <w:sz w:val="20"/>
          <w:szCs w:val="20"/>
          <w:lang w:val="en-ZW"/>
        </w:rPr>
        <w:t>certified expert health</w:t>
      </w:r>
      <w:r>
        <w:rPr>
          <w:bCs/>
          <w:sz w:val="20"/>
          <w:szCs w:val="20"/>
          <w:lang w:val="en-ZW"/>
        </w:rPr>
        <w:t xml:space="preserve"> personnel to ensure the health and well-being of </w:t>
      </w:r>
      <w:r w:rsidR="006E19E3">
        <w:rPr>
          <w:bCs/>
          <w:sz w:val="20"/>
          <w:szCs w:val="20"/>
          <w:lang w:val="en-ZW"/>
        </w:rPr>
        <w:t>test participants</w:t>
      </w:r>
      <w:r>
        <w:rPr>
          <w:bCs/>
          <w:sz w:val="20"/>
          <w:szCs w:val="20"/>
          <w:lang w:val="en-ZW"/>
        </w:rPr>
        <w:t>.</w:t>
      </w:r>
    </w:p>
    <w:p w14:paraId="4A58C622" w14:textId="77777777" w:rsidR="0029571F" w:rsidRDefault="0029571F">
      <w:pPr>
        <w:spacing w:line="240" w:lineRule="auto"/>
        <w:contextualSpacing/>
        <w:jc w:val="both"/>
        <w:rPr>
          <w:bCs/>
          <w:sz w:val="20"/>
          <w:szCs w:val="20"/>
          <w:lang w:val="en-ZW"/>
        </w:rPr>
      </w:pPr>
    </w:p>
    <w:p w14:paraId="4AB5DD58" w14:textId="0756F1BC" w:rsidR="0029571F" w:rsidRDefault="005211DE">
      <w:pPr>
        <w:pStyle w:val="Heading2"/>
        <w:rPr>
          <w:rFonts w:cs="Arial"/>
          <w:sz w:val="20"/>
          <w:szCs w:val="20"/>
        </w:rPr>
      </w:pPr>
      <w:r>
        <w:rPr>
          <w:rFonts w:cs="Arial"/>
          <w:i/>
          <w:sz w:val="20"/>
          <w:szCs w:val="20"/>
        </w:rPr>
        <w:t>In-Vitro</w:t>
      </w:r>
      <w:r>
        <w:rPr>
          <w:rFonts w:cs="Arial"/>
          <w:sz w:val="20"/>
          <w:szCs w:val="20"/>
        </w:rPr>
        <w:t xml:space="preserve"> </w:t>
      </w:r>
      <w:r w:rsidR="0056670C">
        <w:rPr>
          <w:rFonts w:cs="Arial"/>
          <w:sz w:val="20"/>
          <w:szCs w:val="20"/>
        </w:rPr>
        <w:t xml:space="preserve">photoprotection and photo stability potential </w:t>
      </w:r>
      <w:r>
        <w:rPr>
          <w:rFonts w:cs="Arial"/>
          <w:sz w:val="20"/>
          <w:szCs w:val="20"/>
        </w:rPr>
        <w:t>of the augmented sunscreen</w:t>
      </w:r>
    </w:p>
    <w:p w14:paraId="79EFFCD9" w14:textId="5749F676" w:rsidR="0029571F" w:rsidRDefault="005211DE" w:rsidP="0028790D">
      <w:pPr>
        <w:autoSpaceDE w:val="0"/>
        <w:autoSpaceDN w:val="0"/>
        <w:adjustRightInd w:val="0"/>
        <w:spacing w:after="0"/>
        <w:jc w:val="both"/>
        <w:rPr>
          <w:color w:val="000000"/>
          <w:sz w:val="20"/>
          <w:szCs w:val="20"/>
        </w:rPr>
      </w:pPr>
      <w:r>
        <w:rPr>
          <w:sz w:val="20"/>
          <w:szCs w:val="20"/>
        </w:rPr>
        <w:t xml:space="preserve">The  </w:t>
      </w:r>
      <w:r w:rsidR="0028790D">
        <w:rPr>
          <w:sz w:val="20"/>
          <w:szCs w:val="20"/>
        </w:rPr>
        <w:t>photoprotection</w:t>
      </w:r>
      <w:r>
        <w:rPr>
          <w:sz w:val="20"/>
          <w:szCs w:val="20"/>
        </w:rPr>
        <w:t xml:space="preserve"> efficacy</w:t>
      </w:r>
      <w:r w:rsidR="00A13E99">
        <w:rPr>
          <w:sz w:val="20"/>
          <w:szCs w:val="20"/>
        </w:rPr>
        <w:t xml:space="preserve">, </w:t>
      </w:r>
      <w:r>
        <w:rPr>
          <w:sz w:val="20"/>
          <w:szCs w:val="20"/>
        </w:rPr>
        <w:t xml:space="preserve">through SPF and UVAPF determinations for the augmented sunscreen were carried out </w:t>
      </w:r>
      <w:r>
        <w:rPr>
          <w:i/>
          <w:iCs/>
          <w:sz w:val="20"/>
          <w:szCs w:val="20"/>
        </w:rPr>
        <w:t>in vitro</w:t>
      </w:r>
      <w:r>
        <w:rPr>
          <w:sz w:val="20"/>
          <w:szCs w:val="20"/>
        </w:rPr>
        <w:t xml:space="preserve"> </w:t>
      </w:r>
      <w:r w:rsidR="0028790D">
        <w:rPr>
          <w:sz w:val="20"/>
          <w:szCs w:val="20"/>
        </w:rPr>
        <w:t xml:space="preserve">as described according to the harmonized </w:t>
      </w:r>
      <w:r>
        <w:rPr>
          <w:sz w:val="20"/>
          <w:szCs w:val="20"/>
        </w:rPr>
        <w:t xml:space="preserve"> Testing </w:t>
      </w:r>
      <w:r w:rsidR="0028790D">
        <w:rPr>
          <w:sz w:val="20"/>
          <w:szCs w:val="20"/>
        </w:rPr>
        <w:t>guidelines u</w:t>
      </w:r>
      <w:r>
        <w:rPr>
          <w:sz w:val="20"/>
          <w:szCs w:val="20"/>
        </w:rPr>
        <w:t>sing UV/Vis LAMBDA Spectrophotometers”</w:t>
      </w:r>
      <w:r w:rsidR="0073589E">
        <w:rPr>
          <w:sz w:val="20"/>
          <w:szCs w:val="20"/>
        </w:rPr>
        <w:t>[33]</w:t>
      </w:r>
      <w:r>
        <w:rPr>
          <w:sz w:val="20"/>
          <w:szCs w:val="20"/>
        </w:rPr>
        <w:t xml:space="preserve">. </w:t>
      </w:r>
      <w:r>
        <w:rPr>
          <w:color w:val="000000"/>
          <w:sz w:val="20"/>
          <w:szCs w:val="20"/>
        </w:rPr>
        <w:t xml:space="preserve">The </w:t>
      </w:r>
      <w:r w:rsidR="0028790D">
        <w:rPr>
          <w:color w:val="000000"/>
          <w:sz w:val="20"/>
          <w:szCs w:val="20"/>
        </w:rPr>
        <w:t>protocols are</w:t>
      </w:r>
      <w:r>
        <w:rPr>
          <w:color w:val="000000"/>
          <w:sz w:val="20"/>
          <w:szCs w:val="20"/>
        </w:rPr>
        <w:t xml:space="preserve">  based on agreed specified procedures by the FDA</w:t>
      </w:r>
      <w:r w:rsidR="0028790D">
        <w:rPr>
          <w:color w:val="000000"/>
          <w:sz w:val="20"/>
          <w:szCs w:val="20"/>
        </w:rPr>
        <w:t xml:space="preserve"> monographs</w:t>
      </w:r>
      <w:r>
        <w:rPr>
          <w:color w:val="000000"/>
          <w:sz w:val="20"/>
          <w:szCs w:val="20"/>
        </w:rPr>
        <w:t>, OECD and the EU guideline method M389/EN through council directive 76/768/EEC of 27 July 1976</w:t>
      </w:r>
      <w:r w:rsidR="0073589E">
        <w:rPr>
          <w:color w:val="000000"/>
          <w:sz w:val="20"/>
          <w:szCs w:val="20"/>
        </w:rPr>
        <w:t xml:space="preserve"> [24]</w:t>
      </w:r>
      <w:r>
        <w:rPr>
          <w:color w:val="000000"/>
          <w:sz w:val="20"/>
          <w:szCs w:val="20"/>
        </w:rPr>
        <w:t xml:space="preserve">.  </w:t>
      </w:r>
      <w:r w:rsidR="0028790D">
        <w:rPr>
          <w:color w:val="000000"/>
          <w:sz w:val="20"/>
          <w:szCs w:val="20"/>
        </w:rPr>
        <w:t>Technically</w:t>
      </w:r>
      <w:r w:rsidR="0056670C">
        <w:rPr>
          <w:color w:val="000000"/>
          <w:sz w:val="20"/>
          <w:szCs w:val="20"/>
        </w:rPr>
        <w:t xml:space="preserve">, </w:t>
      </w:r>
      <w:r w:rsidR="0028790D">
        <w:rPr>
          <w:color w:val="000000"/>
          <w:sz w:val="20"/>
          <w:szCs w:val="20"/>
        </w:rPr>
        <w:t>photoprotection approximations</w:t>
      </w:r>
      <w:r>
        <w:rPr>
          <w:color w:val="000000"/>
          <w:sz w:val="20"/>
          <w:szCs w:val="20"/>
        </w:rPr>
        <w:t xml:space="preserve"> can only be done through </w:t>
      </w:r>
      <w:r w:rsidR="0028790D">
        <w:rPr>
          <w:color w:val="000000"/>
          <w:sz w:val="20"/>
          <w:szCs w:val="20"/>
        </w:rPr>
        <w:t>either o</w:t>
      </w:r>
      <w:r>
        <w:rPr>
          <w:color w:val="000000"/>
          <w:sz w:val="20"/>
          <w:szCs w:val="20"/>
        </w:rPr>
        <w:t>f 2</w:t>
      </w:r>
      <w:r w:rsidR="0028790D">
        <w:rPr>
          <w:color w:val="000000"/>
          <w:sz w:val="20"/>
          <w:szCs w:val="20"/>
        </w:rPr>
        <w:t xml:space="preserve"> mandated </w:t>
      </w:r>
      <w:r>
        <w:rPr>
          <w:color w:val="000000"/>
          <w:sz w:val="20"/>
          <w:szCs w:val="20"/>
        </w:rPr>
        <w:t xml:space="preserve"> methods; The first is the</w:t>
      </w:r>
      <w:r>
        <w:rPr>
          <w:i/>
          <w:color w:val="000000"/>
          <w:sz w:val="20"/>
          <w:szCs w:val="20"/>
        </w:rPr>
        <w:t xml:space="preserve"> in-vivo</w:t>
      </w:r>
      <w:r>
        <w:rPr>
          <w:color w:val="000000"/>
          <w:sz w:val="20"/>
          <w:szCs w:val="20"/>
        </w:rPr>
        <w:t xml:space="preserve"> techniques based on visually appraising the effects of increased erythemal doses of UVR on human subjects and the second is the </w:t>
      </w:r>
      <w:r>
        <w:rPr>
          <w:i/>
          <w:color w:val="000000"/>
          <w:sz w:val="20"/>
          <w:szCs w:val="20"/>
        </w:rPr>
        <w:t>in-vitro</w:t>
      </w:r>
      <w:r>
        <w:rPr>
          <w:color w:val="000000"/>
          <w:sz w:val="20"/>
          <w:szCs w:val="20"/>
        </w:rPr>
        <w:t xml:space="preserve"> spectrophotometric methods.  In this study, the </w:t>
      </w:r>
      <w:r>
        <w:rPr>
          <w:i/>
          <w:color w:val="000000"/>
          <w:sz w:val="20"/>
          <w:szCs w:val="20"/>
        </w:rPr>
        <w:t xml:space="preserve">in-vitro </w:t>
      </w:r>
      <w:r>
        <w:rPr>
          <w:color w:val="000000"/>
          <w:sz w:val="20"/>
          <w:szCs w:val="20"/>
        </w:rPr>
        <w:t xml:space="preserve">testing protocols using Optometric 290S were employed. </w:t>
      </w:r>
    </w:p>
    <w:p w14:paraId="06C415AF" w14:textId="71839A74" w:rsidR="0029571F" w:rsidRDefault="0028790D" w:rsidP="0028790D">
      <w:pPr>
        <w:spacing w:line="240" w:lineRule="auto"/>
        <w:contextualSpacing/>
        <w:jc w:val="both"/>
        <w:rPr>
          <w:sz w:val="20"/>
          <w:szCs w:val="20"/>
        </w:rPr>
      </w:pPr>
      <w:r>
        <w:rPr>
          <w:color w:val="000000"/>
          <w:sz w:val="20"/>
          <w:szCs w:val="20"/>
        </w:rPr>
        <w:t xml:space="preserve">Sunscreen products are hierarchically categorized based on their photoprotective efficacy which according to regulations must be visibly outlined on the labels. Based on </w:t>
      </w:r>
      <w:r w:rsidR="00FA0D0F">
        <w:rPr>
          <w:color w:val="000000"/>
          <w:sz w:val="20"/>
          <w:szCs w:val="20"/>
        </w:rPr>
        <w:t>these criteria</w:t>
      </w:r>
      <w:r>
        <w:rPr>
          <w:color w:val="000000"/>
          <w:sz w:val="20"/>
          <w:szCs w:val="20"/>
        </w:rPr>
        <w:t xml:space="preserve">  commercial  sunscreens are available to users in </w:t>
      </w:r>
      <w:r w:rsidR="00FA0D0F">
        <w:rPr>
          <w:color w:val="000000"/>
          <w:sz w:val="20"/>
          <w:szCs w:val="20"/>
        </w:rPr>
        <w:t>4</w:t>
      </w:r>
      <w:r>
        <w:rPr>
          <w:color w:val="000000"/>
          <w:sz w:val="20"/>
          <w:szCs w:val="20"/>
        </w:rPr>
        <w:t xml:space="preserve"> categories: </w:t>
      </w:r>
      <w:r>
        <w:rPr>
          <w:sz w:val="20"/>
          <w:szCs w:val="20"/>
        </w:rPr>
        <w:t xml:space="preserve">either as low, moderate, high or very high </w:t>
      </w:r>
      <w:r w:rsidR="00A13E99">
        <w:rPr>
          <w:sz w:val="20"/>
          <w:szCs w:val="20"/>
        </w:rPr>
        <w:t>SPF</w:t>
      </w:r>
      <w:r w:rsidR="0073589E">
        <w:rPr>
          <w:sz w:val="20"/>
          <w:szCs w:val="20"/>
        </w:rPr>
        <w:t xml:space="preserve"> </w:t>
      </w:r>
      <w:r>
        <w:rPr>
          <w:sz w:val="20"/>
          <w:szCs w:val="20"/>
        </w:rPr>
        <w:t xml:space="preserve">as </w:t>
      </w:r>
      <w:r w:rsidR="00FA0D0F">
        <w:rPr>
          <w:sz w:val="20"/>
          <w:szCs w:val="20"/>
        </w:rPr>
        <w:t xml:space="preserve">depicted </w:t>
      </w:r>
      <w:r>
        <w:rPr>
          <w:sz w:val="20"/>
          <w:szCs w:val="20"/>
        </w:rPr>
        <w:t xml:space="preserve"> in table 10.   </w:t>
      </w:r>
      <w:r w:rsidR="00FA0D0F">
        <w:rPr>
          <w:sz w:val="20"/>
          <w:szCs w:val="20"/>
        </w:rPr>
        <w:t>In consensus</w:t>
      </w:r>
      <w:r w:rsidR="0056670C">
        <w:rPr>
          <w:sz w:val="20"/>
          <w:szCs w:val="20"/>
        </w:rPr>
        <w:t>,</w:t>
      </w:r>
      <w:r w:rsidR="00FA0D0F">
        <w:rPr>
          <w:sz w:val="20"/>
          <w:szCs w:val="20"/>
        </w:rPr>
        <w:t xml:space="preserve"> all the regulatory bodies have set an SPF of 6 </w:t>
      </w:r>
      <w:r>
        <w:rPr>
          <w:sz w:val="20"/>
          <w:szCs w:val="20"/>
        </w:rPr>
        <w:t xml:space="preserve">as the </w:t>
      </w:r>
      <w:r w:rsidR="00FA0D0F">
        <w:rPr>
          <w:sz w:val="20"/>
          <w:szCs w:val="20"/>
        </w:rPr>
        <w:t xml:space="preserve">minimum mandated SPF for a cosmeceutical that is offered to the public as </w:t>
      </w:r>
      <w:r w:rsidR="0056670C">
        <w:rPr>
          <w:sz w:val="20"/>
          <w:szCs w:val="20"/>
        </w:rPr>
        <w:t xml:space="preserve">a </w:t>
      </w:r>
      <w:r w:rsidR="00FA0D0F">
        <w:rPr>
          <w:sz w:val="20"/>
          <w:szCs w:val="20"/>
        </w:rPr>
        <w:t xml:space="preserve">commercial sunscreen. </w:t>
      </w:r>
      <w:r>
        <w:rPr>
          <w:sz w:val="20"/>
          <w:szCs w:val="20"/>
        </w:rPr>
        <w:t xml:space="preserve"> </w:t>
      </w:r>
      <w:r w:rsidR="00FA0D0F">
        <w:rPr>
          <w:sz w:val="20"/>
          <w:szCs w:val="20"/>
        </w:rPr>
        <w:t xml:space="preserve">The consideration  is that  </w:t>
      </w:r>
      <w:r w:rsidR="0056670C">
        <w:rPr>
          <w:sz w:val="20"/>
          <w:szCs w:val="20"/>
        </w:rPr>
        <w:t xml:space="preserve">at efficacies </w:t>
      </w:r>
      <w:r>
        <w:rPr>
          <w:sz w:val="20"/>
          <w:szCs w:val="20"/>
        </w:rPr>
        <w:t>below th</w:t>
      </w:r>
      <w:r w:rsidR="00FA0D0F">
        <w:rPr>
          <w:sz w:val="20"/>
          <w:szCs w:val="20"/>
        </w:rPr>
        <w:t>is</w:t>
      </w:r>
      <w:r>
        <w:rPr>
          <w:sz w:val="20"/>
          <w:szCs w:val="20"/>
        </w:rPr>
        <w:t xml:space="preserve"> </w:t>
      </w:r>
      <w:r w:rsidR="00FA0D0F">
        <w:rPr>
          <w:sz w:val="20"/>
          <w:szCs w:val="20"/>
        </w:rPr>
        <w:t xml:space="preserve">agreed </w:t>
      </w:r>
      <w:r>
        <w:rPr>
          <w:sz w:val="20"/>
          <w:szCs w:val="20"/>
        </w:rPr>
        <w:t xml:space="preserve">minimum SPF, the objectives of </w:t>
      </w:r>
      <w:r w:rsidR="00FA0D0F">
        <w:rPr>
          <w:sz w:val="20"/>
          <w:szCs w:val="20"/>
        </w:rPr>
        <w:t>photo</w:t>
      </w:r>
      <w:r>
        <w:rPr>
          <w:sz w:val="20"/>
          <w:szCs w:val="20"/>
        </w:rPr>
        <w:t xml:space="preserve"> protection</w:t>
      </w:r>
      <w:r w:rsidR="0056670C">
        <w:rPr>
          <w:sz w:val="20"/>
          <w:szCs w:val="20"/>
        </w:rPr>
        <w:t xml:space="preserve"> cannot be</w:t>
      </w:r>
      <w:r w:rsidR="00FA0D0F">
        <w:rPr>
          <w:sz w:val="20"/>
          <w:szCs w:val="20"/>
        </w:rPr>
        <w:t xml:space="preserve"> realized</w:t>
      </w:r>
      <w:r>
        <w:rPr>
          <w:sz w:val="20"/>
          <w:szCs w:val="20"/>
        </w:rPr>
        <w:t xml:space="preserve">.  </w:t>
      </w:r>
    </w:p>
    <w:p w14:paraId="2B809000" w14:textId="77777777" w:rsidR="0029571F" w:rsidRDefault="0029571F" w:rsidP="0028790D">
      <w:pPr>
        <w:jc w:val="both"/>
        <w:rPr>
          <w:sz w:val="20"/>
          <w:szCs w:val="20"/>
        </w:rPr>
      </w:pPr>
    </w:p>
    <w:p w14:paraId="7E211707" w14:textId="6B8816E1" w:rsidR="0029571F" w:rsidRDefault="005211DE">
      <w:pPr>
        <w:pStyle w:val="Caption"/>
        <w:keepNext/>
      </w:pPr>
      <w:r>
        <w:t xml:space="preserve">Table </w:t>
      </w:r>
      <w:r w:rsidR="001A7BAE">
        <w:t>10</w:t>
      </w:r>
      <w:r>
        <w:t>: The four protection classes for SPF labelling by COLIPA 2011/FDA Final Rule 2011</w:t>
      </w:r>
    </w:p>
    <w:tbl>
      <w:tblPr>
        <w:tblStyle w:val="PlainTable22"/>
        <w:tblW w:w="7719" w:type="dxa"/>
        <w:tblLook w:val="04A0" w:firstRow="1" w:lastRow="0" w:firstColumn="1" w:lastColumn="0" w:noHBand="0" w:noVBand="1"/>
      </w:tblPr>
      <w:tblGrid>
        <w:gridCol w:w="3460"/>
        <w:gridCol w:w="4259"/>
      </w:tblGrid>
      <w:tr w:rsidR="0029571F" w14:paraId="09E841C7"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567D6F3D" w14:textId="77777777" w:rsidR="0029571F" w:rsidRDefault="005211DE">
            <w:pPr>
              <w:spacing w:after="0"/>
              <w:jc w:val="center"/>
              <w:rPr>
                <w:rFonts w:eastAsia="Times New Roman"/>
                <w:b w:val="0"/>
                <w:bCs w:val="0"/>
                <w:color w:val="000000"/>
                <w:sz w:val="18"/>
                <w:szCs w:val="18"/>
              </w:rPr>
            </w:pPr>
            <w:r>
              <w:rPr>
                <w:rFonts w:eastAsia="Times New Roman"/>
                <w:color w:val="000000"/>
                <w:sz w:val="18"/>
                <w:szCs w:val="18"/>
              </w:rPr>
              <w:t xml:space="preserve">Label SPF </w:t>
            </w:r>
          </w:p>
        </w:tc>
        <w:tc>
          <w:tcPr>
            <w:tcW w:w="4259" w:type="dxa"/>
            <w:tcBorders>
              <w:top w:val="single" w:sz="4" w:space="0" w:color="7E7E7E"/>
              <w:left w:val="nil"/>
              <w:bottom w:val="single" w:sz="4" w:space="0" w:color="7E7E7E"/>
              <w:right w:val="nil"/>
            </w:tcBorders>
            <w:shd w:val="clear" w:color="auto" w:fill="DDD9C4"/>
            <w:noWrap/>
          </w:tcPr>
          <w:p w14:paraId="25214F34" w14:textId="77777777" w:rsidR="0029571F" w:rsidRDefault="005211DE">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Pr>
                <w:rFonts w:eastAsia="Times New Roman"/>
                <w:color w:val="000000"/>
                <w:sz w:val="18"/>
                <w:szCs w:val="18"/>
              </w:rPr>
              <w:t>Protection class</w:t>
            </w:r>
          </w:p>
        </w:tc>
      </w:tr>
      <w:tr w:rsidR="0029571F" w14:paraId="590A3ED7"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E303880" w14:textId="77777777" w:rsidR="0029571F" w:rsidRDefault="005211DE">
            <w:pPr>
              <w:spacing w:after="0"/>
              <w:jc w:val="center"/>
              <w:rPr>
                <w:rFonts w:eastAsia="Times New Roman"/>
                <w:b w:val="0"/>
                <w:bCs w:val="0"/>
                <w:color w:val="000000"/>
                <w:sz w:val="18"/>
                <w:szCs w:val="18"/>
              </w:rPr>
            </w:pPr>
            <w:r>
              <w:rPr>
                <w:rFonts w:eastAsia="Times New Roman"/>
                <w:b w:val="0"/>
                <w:bCs w:val="0"/>
                <w:color w:val="000000"/>
                <w:sz w:val="18"/>
                <w:szCs w:val="18"/>
              </w:rPr>
              <w:t>6</w:t>
            </w:r>
          </w:p>
        </w:tc>
        <w:tc>
          <w:tcPr>
            <w:tcW w:w="4259" w:type="dxa"/>
            <w:tcBorders>
              <w:top w:val="single" w:sz="4" w:space="0" w:color="7E7E7E"/>
              <w:left w:val="nil"/>
              <w:bottom w:val="single" w:sz="4" w:space="0" w:color="7E7E7E"/>
              <w:right w:val="nil"/>
            </w:tcBorders>
            <w:noWrap/>
          </w:tcPr>
          <w:p w14:paraId="0AF44BBD"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4329C54"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7919AC3F"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10</w:t>
            </w:r>
          </w:p>
        </w:tc>
        <w:tc>
          <w:tcPr>
            <w:tcW w:w="4259" w:type="dxa"/>
            <w:tcBorders>
              <w:top w:val="nil"/>
              <w:left w:val="nil"/>
              <w:bottom w:val="nil"/>
              <w:right w:val="nil"/>
            </w:tcBorders>
            <w:noWrap/>
          </w:tcPr>
          <w:p w14:paraId="68F1ED89"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low</w:t>
            </w:r>
          </w:p>
        </w:tc>
      </w:tr>
      <w:tr w:rsidR="0029571F" w14:paraId="25AC7BE5"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44A40A26"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15</w:t>
            </w:r>
          </w:p>
        </w:tc>
        <w:tc>
          <w:tcPr>
            <w:tcW w:w="4259" w:type="dxa"/>
            <w:tcBorders>
              <w:top w:val="single" w:sz="4" w:space="0" w:color="7E7E7E"/>
              <w:left w:val="nil"/>
              <w:bottom w:val="single" w:sz="4" w:space="0" w:color="7E7E7E"/>
              <w:right w:val="nil"/>
            </w:tcBorders>
            <w:noWrap/>
          </w:tcPr>
          <w:p w14:paraId="64262028"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15E586FD"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6519C01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20</w:t>
            </w:r>
          </w:p>
        </w:tc>
        <w:tc>
          <w:tcPr>
            <w:tcW w:w="4259" w:type="dxa"/>
            <w:tcBorders>
              <w:top w:val="nil"/>
              <w:left w:val="nil"/>
              <w:bottom w:val="nil"/>
              <w:right w:val="nil"/>
            </w:tcBorders>
            <w:noWrap/>
          </w:tcPr>
          <w:p w14:paraId="27EBA354"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moderate</w:t>
            </w:r>
          </w:p>
        </w:tc>
      </w:tr>
      <w:tr w:rsidR="0029571F" w14:paraId="51A240C8"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2178579A"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30</w:t>
            </w:r>
          </w:p>
        </w:tc>
        <w:tc>
          <w:tcPr>
            <w:tcW w:w="4259" w:type="dxa"/>
            <w:tcBorders>
              <w:top w:val="single" w:sz="4" w:space="0" w:color="7E7E7E"/>
              <w:left w:val="nil"/>
              <w:bottom w:val="single" w:sz="4" w:space="0" w:color="7E7E7E"/>
              <w:right w:val="nil"/>
            </w:tcBorders>
            <w:noWrap/>
          </w:tcPr>
          <w:p w14:paraId="20C5718F"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2A7D0D69"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3460" w:type="dxa"/>
            <w:tcBorders>
              <w:top w:val="nil"/>
              <w:left w:val="nil"/>
              <w:bottom w:val="nil"/>
              <w:right w:val="nil"/>
            </w:tcBorders>
            <w:shd w:val="clear" w:color="auto" w:fill="DDD9C3" w:themeFill="background2" w:themeFillShade="E6"/>
            <w:noWrap/>
          </w:tcPr>
          <w:p w14:paraId="589C1D95"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nil"/>
              <w:left w:val="nil"/>
              <w:bottom w:val="nil"/>
              <w:right w:val="nil"/>
            </w:tcBorders>
            <w:noWrap/>
          </w:tcPr>
          <w:p w14:paraId="7827D0AA"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high</w:t>
            </w:r>
          </w:p>
        </w:tc>
      </w:tr>
      <w:tr w:rsidR="0029571F" w14:paraId="1E2570A0" w14:textId="77777777" w:rsidTr="00FB3668">
        <w:trPr>
          <w:trHeight w:val="58"/>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7E7E7E"/>
              <w:left w:val="nil"/>
              <w:bottom w:val="single" w:sz="4" w:space="0" w:color="7E7E7E"/>
              <w:right w:val="nil"/>
            </w:tcBorders>
            <w:shd w:val="clear" w:color="auto" w:fill="DDD9C3" w:themeFill="background2" w:themeFillShade="E6"/>
            <w:noWrap/>
          </w:tcPr>
          <w:p w14:paraId="1A782E2B" w14:textId="77777777" w:rsidR="0029571F" w:rsidRDefault="005211DE">
            <w:pPr>
              <w:spacing w:after="0"/>
              <w:jc w:val="center"/>
              <w:rPr>
                <w:rFonts w:eastAsia="Times New Roman"/>
                <w:color w:val="000000"/>
                <w:sz w:val="18"/>
                <w:szCs w:val="18"/>
              </w:rPr>
            </w:pPr>
            <w:r>
              <w:rPr>
                <w:rFonts w:eastAsia="Times New Roman"/>
                <w:b w:val="0"/>
                <w:bCs w:val="0"/>
                <w:color w:val="000000"/>
                <w:sz w:val="18"/>
                <w:szCs w:val="18"/>
              </w:rPr>
              <w:t>50+</w:t>
            </w:r>
          </w:p>
        </w:tc>
        <w:tc>
          <w:tcPr>
            <w:tcW w:w="4259" w:type="dxa"/>
            <w:tcBorders>
              <w:top w:val="single" w:sz="4" w:space="0" w:color="7E7E7E"/>
              <w:left w:val="nil"/>
              <w:bottom w:val="single" w:sz="4" w:space="0" w:color="7E7E7E"/>
              <w:right w:val="nil"/>
            </w:tcBorders>
            <w:noWrap/>
          </w:tcPr>
          <w:p w14:paraId="0F8FE3DE" w14:textId="77777777" w:rsidR="0029571F" w:rsidRDefault="005211DE">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very high </w:t>
            </w:r>
          </w:p>
        </w:tc>
      </w:tr>
    </w:tbl>
    <w:p w14:paraId="1D5E6DB6" w14:textId="77777777" w:rsidR="0029571F" w:rsidRDefault="005211DE">
      <w:pPr>
        <w:rPr>
          <w:rStyle w:val="15"/>
          <w:rFonts w:eastAsia="Calibri" w:cs="Arial"/>
          <w:sz w:val="20"/>
          <w:szCs w:val="20"/>
        </w:rPr>
      </w:pPr>
      <w:r>
        <w:rPr>
          <w:rStyle w:val="15"/>
          <w:rFonts w:cs="Arial"/>
          <w:sz w:val="20"/>
          <w:szCs w:val="20"/>
        </w:rPr>
        <w:t xml:space="preserve"> </w:t>
      </w:r>
    </w:p>
    <w:p w14:paraId="4AA3B2D0" w14:textId="0A2A5FB2" w:rsidR="0029571F" w:rsidRDefault="007F1C88">
      <w:pPr>
        <w:contextualSpacing/>
        <w:jc w:val="both"/>
        <w:rPr>
          <w:sz w:val="20"/>
          <w:szCs w:val="20"/>
        </w:rPr>
      </w:pPr>
      <w:r>
        <w:rPr>
          <w:sz w:val="20"/>
          <w:szCs w:val="20"/>
        </w:rPr>
        <w:t xml:space="preserve">For commercial sunscreens </w:t>
      </w:r>
      <w:r w:rsidR="00DC5AC9">
        <w:rPr>
          <w:sz w:val="20"/>
          <w:szCs w:val="20"/>
        </w:rPr>
        <w:t xml:space="preserve"> to be</w:t>
      </w:r>
      <w:r w:rsidR="0056670C">
        <w:rPr>
          <w:sz w:val="20"/>
          <w:szCs w:val="20"/>
        </w:rPr>
        <w:t xml:space="preserve"> labelled </w:t>
      </w:r>
      <w:r w:rsidR="00DC5AC9">
        <w:rPr>
          <w:sz w:val="20"/>
          <w:szCs w:val="20"/>
        </w:rPr>
        <w:t>for broad spectrum  protection, the</w:t>
      </w:r>
      <w:r>
        <w:rPr>
          <w:sz w:val="20"/>
          <w:szCs w:val="20"/>
        </w:rPr>
        <w:t xml:space="preserve"> testing guidelines for sunscreen </w:t>
      </w:r>
      <w:r w:rsidR="00DC5AC9">
        <w:rPr>
          <w:sz w:val="20"/>
          <w:szCs w:val="20"/>
        </w:rPr>
        <w:t xml:space="preserve">photoprotection  go on to further  require </w:t>
      </w:r>
      <w:r>
        <w:rPr>
          <w:sz w:val="20"/>
          <w:szCs w:val="20"/>
        </w:rPr>
        <w:t xml:space="preserve">proof </w:t>
      </w:r>
      <w:r w:rsidR="0056670C">
        <w:rPr>
          <w:sz w:val="20"/>
          <w:szCs w:val="20"/>
        </w:rPr>
        <w:t xml:space="preserve">of </w:t>
      </w:r>
      <w:r w:rsidR="00DC5AC9">
        <w:rPr>
          <w:sz w:val="20"/>
          <w:szCs w:val="20"/>
        </w:rPr>
        <w:t>UVAPF (</w:t>
      </w:r>
      <w:r>
        <w:rPr>
          <w:sz w:val="20"/>
          <w:szCs w:val="20"/>
        </w:rPr>
        <w:t>UVA protection factor</w:t>
      </w:r>
      <w:r w:rsidR="0056670C">
        <w:rPr>
          <w:sz w:val="20"/>
          <w:szCs w:val="20"/>
        </w:rPr>
        <w:t>)</w:t>
      </w:r>
      <w:r>
        <w:rPr>
          <w:sz w:val="20"/>
          <w:szCs w:val="20"/>
        </w:rPr>
        <w:t xml:space="preserve"> which </w:t>
      </w:r>
      <w:r w:rsidR="00DC5AC9">
        <w:rPr>
          <w:sz w:val="20"/>
          <w:szCs w:val="20"/>
        </w:rPr>
        <w:t>numerically should approximately be equal to or above a third</w:t>
      </w:r>
      <w:r>
        <w:rPr>
          <w:sz w:val="20"/>
          <w:szCs w:val="20"/>
        </w:rPr>
        <w:t xml:space="preserve"> of the </w:t>
      </w:r>
      <w:r w:rsidR="00DC5AC9">
        <w:rPr>
          <w:sz w:val="20"/>
          <w:szCs w:val="20"/>
        </w:rPr>
        <w:t xml:space="preserve">determined </w:t>
      </w:r>
      <w:r>
        <w:rPr>
          <w:sz w:val="20"/>
          <w:szCs w:val="20"/>
        </w:rPr>
        <w:t>SPF</w:t>
      </w:r>
      <w:r w:rsidR="00DC5AC9">
        <w:rPr>
          <w:sz w:val="20"/>
          <w:szCs w:val="20"/>
        </w:rPr>
        <w:t xml:space="preserve">. The harmonized protocol </w:t>
      </w:r>
      <w:r>
        <w:rPr>
          <w:sz w:val="20"/>
          <w:szCs w:val="20"/>
        </w:rPr>
        <w:t xml:space="preserve"> guidelines also </w:t>
      </w:r>
      <w:r w:rsidR="00DC5AC9">
        <w:rPr>
          <w:sz w:val="20"/>
          <w:szCs w:val="20"/>
        </w:rPr>
        <w:t xml:space="preserve">mandate </w:t>
      </w:r>
      <w:r>
        <w:rPr>
          <w:sz w:val="20"/>
          <w:szCs w:val="20"/>
        </w:rPr>
        <w:t xml:space="preserve">an  </w:t>
      </w:r>
      <w:r>
        <w:rPr>
          <w:i/>
          <w:sz w:val="20"/>
          <w:szCs w:val="20"/>
        </w:rPr>
        <w:t>in-vitro</w:t>
      </w:r>
      <w:r>
        <w:rPr>
          <w:sz w:val="20"/>
          <w:szCs w:val="20"/>
        </w:rPr>
        <w:t xml:space="preserve"> Critical Wavelength (</w:t>
      </w:r>
      <w:r>
        <w:rPr>
          <w:rFonts w:eastAsia="Times New Roman"/>
          <w:color w:val="000000"/>
          <w:sz w:val="20"/>
          <w:szCs w:val="20"/>
        </w:rPr>
        <w:t>ƛ</w:t>
      </w:r>
      <w:r>
        <w:rPr>
          <w:rFonts w:eastAsia="Times New Roman"/>
          <w:color w:val="000000"/>
          <w:sz w:val="20"/>
          <w:szCs w:val="20"/>
          <w:vertAlign w:val="subscript"/>
        </w:rPr>
        <w:t>C</w:t>
      </w:r>
      <w:r>
        <w:rPr>
          <w:rFonts w:eastAsia="Times New Roman"/>
          <w:color w:val="000000"/>
          <w:sz w:val="20"/>
          <w:szCs w:val="20"/>
        </w:rPr>
        <w:t>)</w:t>
      </w:r>
      <w:r>
        <w:rPr>
          <w:sz w:val="20"/>
          <w:szCs w:val="20"/>
        </w:rPr>
        <w:t xml:space="preserve"> </w:t>
      </w:r>
      <w:r w:rsidR="00DC5AC9">
        <w:rPr>
          <w:sz w:val="20"/>
          <w:szCs w:val="20"/>
        </w:rPr>
        <w:t>figure</w:t>
      </w:r>
      <w:r>
        <w:rPr>
          <w:sz w:val="20"/>
          <w:szCs w:val="20"/>
        </w:rPr>
        <w:t xml:space="preserve"> greater than 370 nm</w:t>
      </w:r>
      <w:r w:rsidR="0073589E">
        <w:rPr>
          <w:sz w:val="20"/>
          <w:szCs w:val="20"/>
        </w:rPr>
        <w:t xml:space="preserve"> [24]</w:t>
      </w:r>
      <w:r>
        <w:rPr>
          <w:sz w:val="20"/>
          <w:szCs w:val="20"/>
        </w:rPr>
        <w:t xml:space="preserve">. </w:t>
      </w:r>
    </w:p>
    <w:p w14:paraId="050FAB49" w14:textId="77777777" w:rsidR="0029571F" w:rsidRDefault="005211DE">
      <w:pPr>
        <w:contextualSpacing/>
        <w:rPr>
          <w:rFonts w:eastAsia="DGMetaScience-Bold"/>
          <w:b/>
          <w:bCs/>
          <w:sz w:val="20"/>
          <w:szCs w:val="20"/>
        </w:rPr>
      </w:pPr>
      <w:r>
        <w:rPr>
          <w:rFonts w:eastAsia="DGMetaScience-Bold"/>
          <w:b/>
          <w:bCs/>
          <w:sz w:val="20"/>
          <w:szCs w:val="20"/>
        </w:rPr>
        <w:t xml:space="preserve"> </w:t>
      </w:r>
    </w:p>
    <w:p w14:paraId="452ABB34" w14:textId="59532CFF" w:rsidR="0029571F" w:rsidRDefault="005211DE">
      <w:pPr>
        <w:pStyle w:val="Caption"/>
        <w:rPr>
          <w:rFonts w:eastAsia="Calibri"/>
          <w:b w:val="0"/>
          <w:sz w:val="20"/>
          <w:szCs w:val="20"/>
        </w:rPr>
      </w:pPr>
      <w:r>
        <w:t xml:space="preserve">Table </w:t>
      </w:r>
      <w:r w:rsidR="001A7BAE">
        <w:t>11</w:t>
      </w:r>
      <w:r>
        <w:t>:</w:t>
      </w:r>
      <w:r>
        <w:rPr>
          <w:rFonts w:eastAsia="DGMetaScience-Bold"/>
          <w:b w:val="0"/>
          <w:i/>
          <w:iCs/>
          <w:sz w:val="20"/>
          <w:szCs w:val="20"/>
        </w:rPr>
        <w:t xml:space="preserve"> </w:t>
      </w:r>
      <w:r>
        <w:rPr>
          <w:rFonts w:eastAsia="DGMetaScience-Bold"/>
          <w:i/>
          <w:iCs/>
          <w:sz w:val="20"/>
          <w:szCs w:val="20"/>
        </w:rPr>
        <w:t xml:space="preserve">In vitro </w:t>
      </w:r>
      <w:r>
        <w:rPr>
          <w:rFonts w:eastAsia="DGMetaScience"/>
          <w:sz w:val="20"/>
          <w:szCs w:val="20"/>
        </w:rPr>
        <w:t xml:space="preserve">photo protection and photo stability of the </w:t>
      </w:r>
      <w:r w:rsidR="00A13E99">
        <w:rPr>
          <w:rFonts w:eastAsia="DGMetaScience"/>
          <w:sz w:val="20"/>
          <w:szCs w:val="20"/>
        </w:rPr>
        <w:t xml:space="preserve">augmented </w:t>
      </w:r>
      <w:r>
        <w:rPr>
          <w:rFonts w:eastAsia="DGMetaScience"/>
          <w:sz w:val="20"/>
          <w:szCs w:val="20"/>
        </w:rPr>
        <w:t xml:space="preserve"> Sunscreen</w:t>
      </w:r>
    </w:p>
    <w:p w14:paraId="135C8FC3" w14:textId="77777777" w:rsidR="0029571F" w:rsidRDefault="005211DE">
      <w:pPr>
        <w:contextualSpacing/>
        <w:rPr>
          <w:sz w:val="20"/>
          <w:szCs w:val="20"/>
        </w:rPr>
      </w:pPr>
      <w:r>
        <w:rPr>
          <w:sz w:val="20"/>
          <w:szCs w:val="20"/>
        </w:rPr>
        <w:t xml:space="preserve">       </w:t>
      </w:r>
    </w:p>
    <w:tbl>
      <w:tblPr>
        <w:tblStyle w:val="PlainTable22"/>
        <w:tblW w:w="7778" w:type="dxa"/>
        <w:tblInd w:w="846" w:type="dxa"/>
        <w:tblLook w:val="04A0" w:firstRow="1" w:lastRow="0" w:firstColumn="1" w:lastColumn="0" w:noHBand="0" w:noVBand="1"/>
      </w:tblPr>
      <w:tblGrid>
        <w:gridCol w:w="1701"/>
        <w:gridCol w:w="1116"/>
        <w:gridCol w:w="1134"/>
        <w:gridCol w:w="1275"/>
        <w:gridCol w:w="1276"/>
        <w:gridCol w:w="1276"/>
      </w:tblGrid>
      <w:tr w:rsidR="0029571F" w14:paraId="7F070735" w14:textId="77777777" w:rsidTr="00FB36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6103E575" w14:textId="77777777" w:rsidR="0029571F" w:rsidRPr="003429E7" w:rsidRDefault="005211DE">
            <w:pPr>
              <w:spacing w:after="0"/>
              <w:contextualSpacing/>
              <w:rPr>
                <w:rFonts w:eastAsia="Times New Roman"/>
                <w:color w:val="000000"/>
                <w:sz w:val="18"/>
                <w:szCs w:val="18"/>
              </w:rPr>
            </w:pPr>
            <w:r w:rsidRPr="003429E7">
              <w:rPr>
                <w:rFonts w:eastAsia="Times New Roman"/>
                <w:b w:val="0"/>
                <w:bCs w:val="0"/>
                <w:color w:val="000000"/>
                <w:sz w:val="18"/>
                <w:szCs w:val="18"/>
              </w:rPr>
              <w:t>Parameter</w:t>
            </w:r>
          </w:p>
        </w:tc>
        <w:tc>
          <w:tcPr>
            <w:tcW w:w="1116" w:type="dxa"/>
            <w:tcBorders>
              <w:top w:val="single" w:sz="4" w:space="0" w:color="7E7E7E"/>
              <w:left w:val="nil"/>
              <w:bottom w:val="single" w:sz="4" w:space="0" w:color="7E7E7E"/>
              <w:right w:val="nil"/>
            </w:tcBorders>
            <w:shd w:val="clear" w:color="auto" w:fill="DDD9C4"/>
            <w:noWrap/>
          </w:tcPr>
          <w:p w14:paraId="6D86AD7E"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2409" w:type="dxa"/>
            <w:gridSpan w:val="2"/>
            <w:tcBorders>
              <w:top w:val="single" w:sz="4" w:space="0" w:color="7E7E7E"/>
              <w:left w:val="nil"/>
              <w:bottom w:val="single" w:sz="4" w:space="0" w:color="7E7E7E"/>
              <w:right w:val="nil"/>
            </w:tcBorders>
            <w:shd w:val="clear" w:color="auto" w:fill="DDD9C4"/>
            <w:noWrap/>
          </w:tcPr>
          <w:p w14:paraId="62BA9B81"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xml:space="preserve">               Time, minutes </w:t>
            </w:r>
          </w:p>
        </w:tc>
        <w:tc>
          <w:tcPr>
            <w:tcW w:w="1276" w:type="dxa"/>
            <w:tcBorders>
              <w:top w:val="single" w:sz="4" w:space="0" w:color="7E7E7E"/>
              <w:left w:val="nil"/>
              <w:bottom w:val="single" w:sz="4" w:space="0" w:color="7E7E7E"/>
              <w:right w:val="nil"/>
            </w:tcBorders>
            <w:shd w:val="clear" w:color="auto" w:fill="DDD9C4"/>
            <w:noWrap/>
          </w:tcPr>
          <w:p w14:paraId="2BEC90E3"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c>
          <w:tcPr>
            <w:tcW w:w="1276" w:type="dxa"/>
            <w:tcBorders>
              <w:top w:val="single" w:sz="4" w:space="0" w:color="7E7E7E"/>
              <w:left w:val="nil"/>
              <w:bottom w:val="single" w:sz="4" w:space="0" w:color="7E7E7E"/>
              <w:right w:val="nil"/>
            </w:tcBorders>
            <w:shd w:val="clear" w:color="auto" w:fill="DDD9C4"/>
            <w:noWrap/>
          </w:tcPr>
          <w:p w14:paraId="2D7F12F5" w14:textId="77777777" w:rsidR="0029571F" w:rsidRPr="003429E7" w:rsidRDefault="005211DE">
            <w:p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8"/>
                <w:szCs w:val="18"/>
              </w:rPr>
            </w:pPr>
            <w:r w:rsidRPr="003429E7">
              <w:rPr>
                <w:rFonts w:eastAsia="Times New Roman"/>
                <w:b w:val="0"/>
                <w:bCs w:val="0"/>
                <w:color w:val="000000"/>
                <w:sz w:val="18"/>
                <w:szCs w:val="18"/>
              </w:rPr>
              <w:t> </w:t>
            </w:r>
          </w:p>
        </w:tc>
      </w:tr>
      <w:tr w:rsidR="0029571F" w14:paraId="28C30F46"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4BAC8406" w14:textId="77777777" w:rsidR="0029571F" w:rsidRPr="003429E7" w:rsidRDefault="0029571F">
            <w:pPr>
              <w:spacing w:after="0"/>
              <w:contextualSpacing/>
              <w:jc w:val="center"/>
              <w:rPr>
                <w:rFonts w:eastAsia="Times New Roman"/>
                <w:b w:val="0"/>
                <w:bCs w:val="0"/>
                <w:color w:val="000000"/>
                <w:sz w:val="18"/>
                <w:szCs w:val="18"/>
              </w:rPr>
            </w:pPr>
          </w:p>
        </w:tc>
        <w:tc>
          <w:tcPr>
            <w:tcW w:w="1116" w:type="dxa"/>
            <w:tcBorders>
              <w:top w:val="single" w:sz="4" w:space="0" w:color="7E7E7E"/>
              <w:left w:val="nil"/>
              <w:bottom w:val="single" w:sz="4" w:space="0" w:color="7E7E7E"/>
              <w:right w:val="nil"/>
            </w:tcBorders>
            <w:shd w:val="clear" w:color="auto" w:fill="DDD9C4"/>
            <w:noWrap/>
          </w:tcPr>
          <w:p w14:paraId="3451B91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0</w:t>
            </w:r>
          </w:p>
        </w:tc>
        <w:tc>
          <w:tcPr>
            <w:tcW w:w="1134" w:type="dxa"/>
            <w:tcBorders>
              <w:top w:val="single" w:sz="4" w:space="0" w:color="7E7E7E"/>
              <w:left w:val="nil"/>
              <w:bottom w:val="single" w:sz="4" w:space="0" w:color="7E7E7E"/>
              <w:right w:val="nil"/>
            </w:tcBorders>
            <w:shd w:val="clear" w:color="auto" w:fill="DDD9C4"/>
            <w:noWrap/>
          </w:tcPr>
          <w:p w14:paraId="3E376CB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30</w:t>
            </w:r>
          </w:p>
        </w:tc>
        <w:tc>
          <w:tcPr>
            <w:tcW w:w="1275" w:type="dxa"/>
            <w:tcBorders>
              <w:top w:val="single" w:sz="4" w:space="0" w:color="7E7E7E"/>
              <w:left w:val="nil"/>
              <w:bottom w:val="single" w:sz="4" w:space="0" w:color="7E7E7E"/>
              <w:right w:val="nil"/>
            </w:tcBorders>
            <w:shd w:val="clear" w:color="auto" w:fill="DDD9C4"/>
            <w:noWrap/>
          </w:tcPr>
          <w:p w14:paraId="6F51B65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60</w:t>
            </w:r>
          </w:p>
        </w:tc>
        <w:tc>
          <w:tcPr>
            <w:tcW w:w="1276" w:type="dxa"/>
            <w:tcBorders>
              <w:top w:val="single" w:sz="4" w:space="0" w:color="7E7E7E"/>
              <w:left w:val="nil"/>
              <w:bottom w:val="single" w:sz="4" w:space="0" w:color="7E7E7E"/>
              <w:right w:val="nil"/>
            </w:tcBorders>
            <w:shd w:val="clear" w:color="auto" w:fill="DDD9C4"/>
            <w:noWrap/>
          </w:tcPr>
          <w:p w14:paraId="2CCDF57D"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90</w:t>
            </w:r>
          </w:p>
        </w:tc>
        <w:tc>
          <w:tcPr>
            <w:tcW w:w="1276" w:type="dxa"/>
            <w:tcBorders>
              <w:top w:val="single" w:sz="4" w:space="0" w:color="7E7E7E"/>
              <w:left w:val="nil"/>
              <w:bottom w:val="single" w:sz="4" w:space="0" w:color="7E7E7E"/>
              <w:right w:val="nil"/>
            </w:tcBorders>
            <w:shd w:val="clear" w:color="auto" w:fill="DDD9C4"/>
            <w:noWrap/>
          </w:tcPr>
          <w:p w14:paraId="744F7ED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rPr>
            </w:pPr>
            <w:r w:rsidRPr="003429E7">
              <w:rPr>
                <w:rFonts w:eastAsia="Times New Roman"/>
                <w:b/>
                <w:color w:val="000000"/>
                <w:sz w:val="18"/>
                <w:szCs w:val="18"/>
              </w:rPr>
              <w:t>120</w:t>
            </w:r>
          </w:p>
        </w:tc>
      </w:tr>
      <w:tr w:rsidR="0029571F" w14:paraId="7C0FB20F"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DDD9C3" w:themeFill="background2" w:themeFillShade="E6"/>
            <w:noWrap/>
          </w:tcPr>
          <w:p w14:paraId="5E2DB763" w14:textId="77777777" w:rsidR="0029571F" w:rsidRPr="003429E7" w:rsidRDefault="005211DE">
            <w:pPr>
              <w:spacing w:after="0"/>
              <w:contextualSpacing/>
              <w:jc w:val="center"/>
              <w:rPr>
                <w:rFonts w:eastAsia="Times New Roman"/>
                <w:b w:val="0"/>
                <w:color w:val="000000"/>
                <w:sz w:val="18"/>
                <w:szCs w:val="18"/>
              </w:rPr>
            </w:pPr>
            <w:r w:rsidRPr="003429E7">
              <w:rPr>
                <w:rFonts w:eastAsia="Times New Roman"/>
                <w:b w:val="0"/>
                <w:bCs w:val="0"/>
                <w:color w:val="000000"/>
                <w:sz w:val="18"/>
                <w:szCs w:val="18"/>
              </w:rPr>
              <w:t>SPF</w:t>
            </w:r>
          </w:p>
        </w:tc>
        <w:tc>
          <w:tcPr>
            <w:tcW w:w="1116" w:type="dxa"/>
            <w:tcBorders>
              <w:top w:val="nil"/>
              <w:left w:val="nil"/>
              <w:bottom w:val="nil"/>
              <w:right w:val="nil"/>
            </w:tcBorders>
            <w:noWrap/>
          </w:tcPr>
          <w:p w14:paraId="1AE12B5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31.00±0.30</w:t>
            </w:r>
          </w:p>
        </w:tc>
        <w:tc>
          <w:tcPr>
            <w:tcW w:w="1134" w:type="dxa"/>
            <w:tcBorders>
              <w:top w:val="nil"/>
              <w:left w:val="nil"/>
              <w:bottom w:val="nil"/>
              <w:right w:val="nil"/>
            </w:tcBorders>
            <w:noWrap/>
          </w:tcPr>
          <w:p w14:paraId="4B48119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30.95±0.25</w:t>
            </w:r>
          </w:p>
        </w:tc>
        <w:tc>
          <w:tcPr>
            <w:tcW w:w="1275" w:type="dxa"/>
            <w:tcBorders>
              <w:top w:val="nil"/>
              <w:left w:val="nil"/>
              <w:bottom w:val="nil"/>
              <w:right w:val="nil"/>
            </w:tcBorders>
            <w:noWrap/>
          </w:tcPr>
          <w:p w14:paraId="26D823D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30.60±0.15</w:t>
            </w:r>
          </w:p>
        </w:tc>
        <w:tc>
          <w:tcPr>
            <w:tcW w:w="1276" w:type="dxa"/>
            <w:tcBorders>
              <w:top w:val="nil"/>
              <w:left w:val="nil"/>
              <w:bottom w:val="nil"/>
              <w:right w:val="nil"/>
            </w:tcBorders>
            <w:noWrap/>
          </w:tcPr>
          <w:p w14:paraId="4CE4330B"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30.28±0.40</w:t>
            </w:r>
          </w:p>
        </w:tc>
        <w:tc>
          <w:tcPr>
            <w:tcW w:w="1276" w:type="dxa"/>
            <w:tcBorders>
              <w:top w:val="nil"/>
              <w:left w:val="nil"/>
              <w:bottom w:val="nil"/>
              <w:right w:val="nil"/>
            </w:tcBorders>
            <w:noWrap/>
          </w:tcPr>
          <w:p w14:paraId="6987067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30.20±0.60</w:t>
            </w:r>
          </w:p>
        </w:tc>
      </w:tr>
      <w:tr w:rsidR="0029571F" w14:paraId="06386340" w14:textId="77777777" w:rsidTr="00FB3668">
        <w:trPr>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12ED773"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UVAPF</w:t>
            </w:r>
          </w:p>
        </w:tc>
        <w:tc>
          <w:tcPr>
            <w:tcW w:w="1116" w:type="dxa"/>
            <w:tcBorders>
              <w:top w:val="single" w:sz="4" w:space="0" w:color="7E7E7E"/>
              <w:left w:val="nil"/>
              <w:bottom w:val="single" w:sz="4" w:space="0" w:color="7E7E7E"/>
              <w:right w:val="nil"/>
            </w:tcBorders>
            <w:noWrap/>
          </w:tcPr>
          <w:p w14:paraId="7D0BFCC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134" w:type="dxa"/>
            <w:tcBorders>
              <w:top w:val="single" w:sz="4" w:space="0" w:color="7E7E7E"/>
              <w:left w:val="nil"/>
              <w:bottom w:val="single" w:sz="4" w:space="0" w:color="7E7E7E"/>
              <w:right w:val="nil"/>
            </w:tcBorders>
            <w:noWrap/>
          </w:tcPr>
          <w:p w14:paraId="4FECC890"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5" w:type="dxa"/>
            <w:tcBorders>
              <w:top w:val="single" w:sz="4" w:space="0" w:color="7E7E7E"/>
              <w:left w:val="nil"/>
              <w:bottom w:val="single" w:sz="4" w:space="0" w:color="7E7E7E"/>
              <w:right w:val="nil"/>
            </w:tcBorders>
            <w:noWrap/>
          </w:tcPr>
          <w:p w14:paraId="49D72E21"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5F117E74"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c>
          <w:tcPr>
            <w:tcW w:w="1276" w:type="dxa"/>
            <w:tcBorders>
              <w:top w:val="single" w:sz="4" w:space="0" w:color="7E7E7E"/>
              <w:left w:val="nil"/>
              <w:bottom w:val="single" w:sz="4" w:space="0" w:color="7E7E7E"/>
              <w:right w:val="nil"/>
            </w:tcBorders>
            <w:noWrap/>
          </w:tcPr>
          <w:p w14:paraId="3D2D198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14</w:t>
            </w:r>
          </w:p>
        </w:tc>
      </w:tr>
      <w:tr w:rsidR="0029571F" w14:paraId="583C87A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auto"/>
              <w:right w:val="nil"/>
            </w:tcBorders>
            <w:shd w:val="clear" w:color="auto" w:fill="DDD9C3" w:themeFill="background2" w:themeFillShade="E6"/>
            <w:noWrap/>
          </w:tcPr>
          <w:p w14:paraId="3C444B9E" w14:textId="77777777" w:rsidR="0029571F" w:rsidRPr="003429E7" w:rsidRDefault="005211DE">
            <w:pPr>
              <w:spacing w:after="0"/>
              <w:contextualSpacing/>
              <w:jc w:val="center"/>
              <w:rPr>
                <w:rFonts w:eastAsia="Times New Roman"/>
                <w:color w:val="000000"/>
                <w:sz w:val="18"/>
                <w:szCs w:val="18"/>
              </w:rPr>
            </w:pPr>
            <w:bookmarkStart w:id="5" w:name="_Hlk189563521"/>
            <w:r w:rsidRPr="003429E7">
              <w:rPr>
                <w:rFonts w:eastAsia="Times New Roman"/>
                <w:b w:val="0"/>
                <w:bCs w:val="0"/>
                <w:color w:val="000000"/>
                <w:sz w:val="18"/>
                <w:szCs w:val="18"/>
              </w:rPr>
              <w:t>ƛ</w:t>
            </w:r>
            <w:r w:rsidRPr="003429E7">
              <w:rPr>
                <w:rFonts w:eastAsia="Times New Roman"/>
                <w:b w:val="0"/>
                <w:bCs w:val="0"/>
                <w:color w:val="000000"/>
                <w:sz w:val="18"/>
                <w:szCs w:val="18"/>
                <w:vertAlign w:val="subscript"/>
              </w:rPr>
              <w:t>C</w:t>
            </w:r>
            <w:bookmarkEnd w:id="5"/>
          </w:p>
        </w:tc>
        <w:tc>
          <w:tcPr>
            <w:tcW w:w="1116" w:type="dxa"/>
            <w:tcBorders>
              <w:top w:val="single" w:sz="4" w:space="0" w:color="7E7E7E"/>
              <w:left w:val="nil"/>
              <w:bottom w:val="single" w:sz="4" w:space="0" w:color="auto"/>
              <w:right w:val="nil"/>
            </w:tcBorders>
            <w:noWrap/>
          </w:tcPr>
          <w:p w14:paraId="2315BD2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134" w:type="dxa"/>
            <w:tcBorders>
              <w:top w:val="single" w:sz="4" w:space="0" w:color="7E7E7E"/>
              <w:left w:val="nil"/>
              <w:bottom w:val="single" w:sz="4" w:space="0" w:color="auto"/>
              <w:right w:val="nil"/>
            </w:tcBorders>
            <w:noWrap/>
          </w:tcPr>
          <w:p w14:paraId="1407137C"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383</w:t>
            </w:r>
          </w:p>
        </w:tc>
        <w:tc>
          <w:tcPr>
            <w:tcW w:w="1275" w:type="dxa"/>
            <w:tcBorders>
              <w:top w:val="single" w:sz="4" w:space="0" w:color="7E7E7E"/>
              <w:left w:val="nil"/>
              <w:bottom w:val="single" w:sz="4" w:space="0" w:color="auto"/>
              <w:right w:val="nil"/>
            </w:tcBorders>
            <w:noWrap/>
          </w:tcPr>
          <w:p w14:paraId="6E832EF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382</w:t>
            </w:r>
          </w:p>
        </w:tc>
        <w:tc>
          <w:tcPr>
            <w:tcW w:w="1276" w:type="dxa"/>
            <w:tcBorders>
              <w:top w:val="single" w:sz="4" w:space="0" w:color="7E7E7E"/>
              <w:left w:val="nil"/>
              <w:bottom w:val="single" w:sz="4" w:space="0" w:color="auto"/>
              <w:right w:val="nil"/>
            </w:tcBorders>
            <w:noWrap/>
          </w:tcPr>
          <w:p w14:paraId="39AEDA4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379</w:t>
            </w:r>
          </w:p>
        </w:tc>
        <w:tc>
          <w:tcPr>
            <w:tcW w:w="1276" w:type="dxa"/>
            <w:tcBorders>
              <w:top w:val="single" w:sz="4" w:space="0" w:color="7E7E7E"/>
              <w:left w:val="nil"/>
              <w:bottom w:val="single" w:sz="4" w:space="0" w:color="auto"/>
              <w:right w:val="nil"/>
            </w:tcBorders>
            <w:noWrap/>
          </w:tcPr>
          <w:p w14:paraId="03F7E5E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375</w:t>
            </w:r>
          </w:p>
        </w:tc>
      </w:tr>
      <w:tr w:rsidR="0029571F" w14:paraId="3E13718E"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DDD9C3" w:themeFill="background2" w:themeFillShade="E6"/>
            <w:noWrap/>
          </w:tcPr>
          <w:p w14:paraId="252D8B68"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%SPF</w:t>
            </w:r>
            <w:r w:rsidRPr="003429E7">
              <w:rPr>
                <w:rFonts w:eastAsia="Times New Roman"/>
                <w:b w:val="0"/>
                <w:bCs w:val="0"/>
                <w:color w:val="000000"/>
                <w:sz w:val="18"/>
                <w:szCs w:val="18"/>
                <w:vertAlign w:val="subscript"/>
              </w:rPr>
              <w:t>eff</w:t>
            </w:r>
          </w:p>
        </w:tc>
        <w:tc>
          <w:tcPr>
            <w:tcW w:w="1116" w:type="dxa"/>
            <w:tcBorders>
              <w:top w:val="single" w:sz="4" w:space="0" w:color="auto"/>
              <w:left w:val="nil"/>
              <w:bottom w:val="nil"/>
              <w:right w:val="nil"/>
            </w:tcBorders>
            <w:noWrap/>
          </w:tcPr>
          <w:p w14:paraId="5F49D7EA"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auto"/>
              <w:left w:val="nil"/>
              <w:bottom w:val="nil"/>
              <w:right w:val="nil"/>
            </w:tcBorders>
            <w:noWrap/>
          </w:tcPr>
          <w:p w14:paraId="2EED229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99.85</w:t>
            </w:r>
          </w:p>
        </w:tc>
        <w:tc>
          <w:tcPr>
            <w:tcW w:w="1275" w:type="dxa"/>
            <w:tcBorders>
              <w:top w:val="single" w:sz="4" w:space="0" w:color="auto"/>
              <w:left w:val="nil"/>
              <w:bottom w:val="nil"/>
              <w:right w:val="nil"/>
            </w:tcBorders>
            <w:noWrap/>
          </w:tcPr>
          <w:p w14:paraId="5A55F5D7"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98.74</w:t>
            </w:r>
          </w:p>
        </w:tc>
        <w:tc>
          <w:tcPr>
            <w:tcW w:w="1276" w:type="dxa"/>
            <w:tcBorders>
              <w:top w:val="single" w:sz="4" w:space="0" w:color="auto"/>
              <w:left w:val="nil"/>
              <w:bottom w:val="nil"/>
              <w:right w:val="nil"/>
            </w:tcBorders>
            <w:noWrap/>
          </w:tcPr>
          <w:p w14:paraId="2EC52F45"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97.76</w:t>
            </w:r>
          </w:p>
        </w:tc>
        <w:tc>
          <w:tcPr>
            <w:tcW w:w="1276" w:type="dxa"/>
            <w:tcBorders>
              <w:top w:val="single" w:sz="4" w:space="0" w:color="auto"/>
              <w:left w:val="nil"/>
              <w:bottom w:val="nil"/>
              <w:right w:val="nil"/>
            </w:tcBorders>
            <w:noWrap/>
          </w:tcPr>
          <w:p w14:paraId="5DB32EB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97.42</w:t>
            </w:r>
          </w:p>
        </w:tc>
      </w:tr>
      <w:tr w:rsidR="0029571F" w14:paraId="620A308B" w14:textId="77777777" w:rsidTr="00FB3668">
        <w:trPr>
          <w:trHeight w:val="31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E7E7E"/>
              <w:left w:val="nil"/>
              <w:bottom w:val="single" w:sz="4" w:space="0" w:color="7E7E7E"/>
              <w:right w:val="nil"/>
            </w:tcBorders>
            <w:shd w:val="clear" w:color="auto" w:fill="DDD9C3" w:themeFill="background2" w:themeFillShade="E6"/>
            <w:noWrap/>
          </w:tcPr>
          <w:p w14:paraId="0AF816FA" w14:textId="77777777" w:rsidR="0029571F" w:rsidRPr="003429E7" w:rsidRDefault="005211DE">
            <w:pPr>
              <w:spacing w:after="0"/>
              <w:contextualSpacing/>
              <w:jc w:val="center"/>
              <w:rPr>
                <w:rFonts w:eastAsia="Times New Roman"/>
                <w:color w:val="000000"/>
                <w:sz w:val="18"/>
                <w:szCs w:val="18"/>
              </w:rPr>
            </w:pPr>
            <w:r w:rsidRPr="003429E7">
              <w:rPr>
                <w:rFonts w:eastAsia="Times New Roman"/>
                <w:b w:val="0"/>
                <w:bCs w:val="0"/>
                <w:color w:val="000000"/>
                <w:sz w:val="18"/>
                <w:szCs w:val="18"/>
              </w:rPr>
              <w:t>%UVAPF</w:t>
            </w:r>
            <w:r w:rsidRPr="003429E7">
              <w:rPr>
                <w:rFonts w:eastAsia="Times New Roman"/>
                <w:b w:val="0"/>
                <w:bCs w:val="0"/>
                <w:color w:val="000000"/>
                <w:sz w:val="18"/>
                <w:szCs w:val="18"/>
                <w:vertAlign w:val="subscript"/>
              </w:rPr>
              <w:t>eff</w:t>
            </w:r>
          </w:p>
        </w:tc>
        <w:tc>
          <w:tcPr>
            <w:tcW w:w="1116" w:type="dxa"/>
            <w:tcBorders>
              <w:top w:val="single" w:sz="4" w:space="0" w:color="7E7E7E"/>
              <w:left w:val="nil"/>
              <w:bottom w:val="single" w:sz="4" w:space="0" w:color="7E7E7E"/>
              <w:right w:val="nil"/>
            </w:tcBorders>
            <w:noWrap/>
          </w:tcPr>
          <w:p w14:paraId="6A9625BF"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w:t>
            </w:r>
          </w:p>
        </w:tc>
        <w:tc>
          <w:tcPr>
            <w:tcW w:w="1134" w:type="dxa"/>
            <w:tcBorders>
              <w:top w:val="single" w:sz="4" w:space="0" w:color="7E7E7E"/>
              <w:left w:val="nil"/>
              <w:bottom w:val="single" w:sz="4" w:space="0" w:color="7E7E7E"/>
              <w:right w:val="nil"/>
            </w:tcBorders>
            <w:noWrap/>
          </w:tcPr>
          <w:p w14:paraId="1D3301AE"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5" w:type="dxa"/>
            <w:tcBorders>
              <w:top w:val="single" w:sz="4" w:space="0" w:color="7E7E7E"/>
              <w:left w:val="nil"/>
              <w:bottom w:val="single" w:sz="4" w:space="0" w:color="7E7E7E"/>
              <w:right w:val="nil"/>
            </w:tcBorders>
            <w:noWrap/>
          </w:tcPr>
          <w:p w14:paraId="48D43C43"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1118B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c>
          <w:tcPr>
            <w:tcW w:w="1276" w:type="dxa"/>
            <w:tcBorders>
              <w:top w:val="single" w:sz="4" w:space="0" w:color="7E7E7E"/>
              <w:left w:val="nil"/>
              <w:bottom w:val="single" w:sz="4" w:space="0" w:color="7E7E7E"/>
              <w:right w:val="nil"/>
            </w:tcBorders>
            <w:noWrap/>
          </w:tcPr>
          <w:p w14:paraId="7D452E32" w14:textId="77777777" w:rsidR="0029571F" w:rsidRPr="003429E7" w:rsidRDefault="005211DE">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3429E7">
              <w:rPr>
                <w:rFonts w:eastAsia="Times New Roman"/>
                <w:color w:val="000000"/>
                <w:sz w:val="18"/>
                <w:szCs w:val="18"/>
              </w:rPr>
              <w:t>100</w:t>
            </w:r>
          </w:p>
        </w:tc>
      </w:tr>
    </w:tbl>
    <w:p w14:paraId="3BF5326B" w14:textId="77777777" w:rsidR="0029571F" w:rsidRDefault="005211DE">
      <w:pPr>
        <w:contextualSpacing/>
        <w:rPr>
          <w:rFonts w:eastAsia="Calibri"/>
          <w:sz w:val="20"/>
          <w:szCs w:val="20"/>
        </w:rPr>
      </w:pPr>
      <w:r>
        <w:rPr>
          <w:sz w:val="20"/>
          <w:szCs w:val="20"/>
        </w:rPr>
        <w:t xml:space="preserve"> </w:t>
      </w:r>
    </w:p>
    <w:p w14:paraId="489BF841" w14:textId="1B8543CF" w:rsidR="0029571F" w:rsidRDefault="005211DE">
      <w:pPr>
        <w:autoSpaceDE w:val="0"/>
        <w:autoSpaceDN w:val="0"/>
        <w:adjustRightInd w:val="0"/>
        <w:spacing w:after="0"/>
        <w:contextualSpacing/>
        <w:jc w:val="both"/>
        <w:rPr>
          <w:color w:val="000000"/>
          <w:sz w:val="20"/>
          <w:szCs w:val="20"/>
        </w:rPr>
      </w:pPr>
      <w:r>
        <w:rPr>
          <w:sz w:val="20"/>
          <w:szCs w:val="20"/>
        </w:rPr>
        <w:lastRenderedPageBreak/>
        <w:t xml:space="preserve">Our  </w:t>
      </w:r>
      <w:r w:rsidR="00DC5AC9">
        <w:rPr>
          <w:sz w:val="20"/>
          <w:szCs w:val="20"/>
        </w:rPr>
        <w:t xml:space="preserve">photoprotection investigation </w:t>
      </w:r>
      <w:r>
        <w:rPr>
          <w:sz w:val="20"/>
          <w:szCs w:val="20"/>
        </w:rPr>
        <w:t xml:space="preserve">results in Table </w:t>
      </w:r>
      <w:r w:rsidR="00A13E99">
        <w:rPr>
          <w:sz w:val="20"/>
          <w:szCs w:val="20"/>
        </w:rPr>
        <w:t>1</w:t>
      </w:r>
      <w:r w:rsidR="00DC5AC9">
        <w:rPr>
          <w:sz w:val="20"/>
          <w:szCs w:val="20"/>
        </w:rPr>
        <w:t>1</w:t>
      </w:r>
      <w:r>
        <w:rPr>
          <w:sz w:val="20"/>
          <w:szCs w:val="20"/>
        </w:rPr>
        <w:t xml:space="preserve">  confirm that the augmented sunscreen</w:t>
      </w:r>
      <w:r w:rsidR="00DC5AC9">
        <w:rPr>
          <w:sz w:val="20"/>
          <w:szCs w:val="20"/>
        </w:rPr>
        <w:t xml:space="preserve"> has an SPF  above 30 and is therefore </w:t>
      </w:r>
      <w:r>
        <w:rPr>
          <w:sz w:val="20"/>
          <w:szCs w:val="20"/>
        </w:rPr>
        <w:t xml:space="preserve"> regarded as  high SPF</w:t>
      </w:r>
      <w:r w:rsidR="00DC5AC9">
        <w:rPr>
          <w:sz w:val="20"/>
          <w:szCs w:val="20"/>
        </w:rPr>
        <w:t>,</w:t>
      </w:r>
      <w:r>
        <w:rPr>
          <w:sz w:val="20"/>
          <w:szCs w:val="20"/>
        </w:rPr>
        <w:t xml:space="preserve"> and a UVAPF of 14 and a critical wavelength</w:t>
      </w:r>
      <w:r w:rsidR="00A13E99">
        <w:rPr>
          <w:sz w:val="20"/>
          <w:szCs w:val="20"/>
        </w:rPr>
        <w:t xml:space="preserve"> (</w:t>
      </w:r>
      <w:r w:rsidR="00A13E99">
        <w:rPr>
          <w:rFonts w:eastAsia="Times New Roman"/>
          <w:color w:val="000000"/>
          <w:sz w:val="20"/>
          <w:szCs w:val="20"/>
        </w:rPr>
        <w:t>ƛ</w:t>
      </w:r>
      <w:r w:rsidR="00A13E99">
        <w:rPr>
          <w:rFonts w:eastAsia="Times New Roman"/>
          <w:color w:val="000000"/>
          <w:sz w:val="20"/>
          <w:szCs w:val="20"/>
          <w:vertAlign w:val="subscript"/>
        </w:rPr>
        <w:t>C</w:t>
      </w:r>
      <w:r w:rsidR="00A13E99">
        <w:rPr>
          <w:rFonts w:eastAsia="Times New Roman"/>
          <w:color w:val="000000"/>
          <w:sz w:val="20"/>
          <w:szCs w:val="20"/>
        </w:rPr>
        <w:t xml:space="preserve">) </w:t>
      </w:r>
      <w:r>
        <w:rPr>
          <w:sz w:val="20"/>
          <w:szCs w:val="20"/>
        </w:rPr>
        <w:t>of 383.</w:t>
      </w:r>
      <w:r w:rsidR="00DC5AC9">
        <w:rPr>
          <w:sz w:val="20"/>
          <w:szCs w:val="20"/>
        </w:rPr>
        <w:t xml:space="preserve"> The UVAPF is higher than 1/3 of the SPF and the </w:t>
      </w:r>
      <w:r w:rsidR="00DC5AC9">
        <w:rPr>
          <w:rFonts w:eastAsia="Times New Roman"/>
          <w:color w:val="000000"/>
          <w:sz w:val="20"/>
          <w:szCs w:val="20"/>
        </w:rPr>
        <w:t>ƛ</w:t>
      </w:r>
      <w:r w:rsidR="00DC5AC9">
        <w:rPr>
          <w:rFonts w:eastAsia="Times New Roman"/>
          <w:color w:val="000000"/>
          <w:sz w:val="20"/>
          <w:szCs w:val="20"/>
          <w:vertAlign w:val="subscript"/>
        </w:rPr>
        <w:t xml:space="preserve">C </w:t>
      </w:r>
      <w:r w:rsidR="00DC5AC9" w:rsidRPr="00DC5AC9">
        <w:rPr>
          <w:rFonts w:eastAsia="Times New Roman"/>
          <w:color w:val="000000"/>
          <w:sz w:val="20"/>
          <w:szCs w:val="20"/>
        </w:rPr>
        <w:t>is higher than 3</w:t>
      </w:r>
      <w:r w:rsidR="00DC5AC9">
        <w:rPr>
          <w:rFonts w:eastAsia="Times New Roman"/>
          <w:color w:val="000000"/>
          <w:sz w:val="20"/>
          <w:szCs w:val="20"/>
        </w:rPr>
        <w:t>7</w:t>
      </w:r>
      <w:r w:rsidR="00DC5AC9" w:rsidRPr="00DC5AC9">
        <w:rPr>
          <w:rFonts w:eastAsia="Times New Roman"/>
          <w:color w:val="000000"/>
          <w:sz w:val="20"/>
          <w:szCs w:val="20"/>
        </w:rPr>
        <w:t xml:space="preserve">0 </w:t>
      </w:r>
      <w:r w:rsidR="00DC5AC9">
        <w:rPr>
          <w:rFonts w:eastAsia="Times New Roman"/>
          <w:color w:val="000000"/>
          <w:sz w:val="20"/>
          <w:szCs w:val="20"/>
        </w:rPr>
        <w:t>and in conformance with</w:t>
      </w:r>
      <w:r w:rsidR="00DC5AC9" w:rsidRPr="00DC5AC9">
        <w:rPr>
          <w:rFonts w:eastAsia="Times New Roman"/>
          <w:color w:val="000000"/>
          <w:sz w:val="20"/>
          <w:szCs w:val="20"/>
        </w:rPr>
        <w:t xml:space="preserve"> regulat</w:t>
      </w:r>
      <w:r w:rsidR="00DC5AC9">
        <w:rPr>
          <w:rFonts w:eastAsia="Times New Roman"/>
          <w:color w:val="000000"/>
          <w:sz w:val="20"/>
          <w:szCs w:val="20"/>
        </w:rPr>
        <w:t>ory requirements, the sunscreen is regarded as broad spectrum.</w:t>
      </w:r>
      <w:r>
        <w:rPr>
          <w:sz w:val="20"/>
          <w:szCs w:val="20"/>
        </w:rPr>
        <w:t xml:space="preserve"> The </w:t>
      </w:r>
      <w:r w:rsidR="00A76B00">
        <w:rPr>
          <w:i/>
          <w:sz w:val="20"/>
          <w:szCs w:val="20"/>
        </w:rPr>
        <w:t>in-vitro</w:t>
      </w:r>
      <w:r w:rsidR="00A76B00">
        <w:rPr>
          <w:sz w:val="20"/>
          <w:szCs w:val="20"/>
        </w:rPr>
        <w:t xml:space="preserve"> photoprotective efficacy percentages: %SPF</w:t>
      </w:r>
      <w:r w:rsidR="00A76B00">
        <w:rPr>
          <w:sz w:val="20"/>
          <w:szCs w:val="20"/>
          <w:vertAlign w:val="subscript"/>
        </w:rPr>
        <w:t>eff</w:t>
      </w:r>
      <w:r w:rsidR="00A76B00">
        <w:rPr>
          <w:sz w:val="20"/>
          <w:szCs w:val="20"/>
        </w:rPr>
        <w:t xml:space="preserve"> and %UVAPF</w:t>
      </w:r>
      <w:r w:rsidR="00A76B00">
        <w:rPr>
          <w:sz w:val="20"/>
          <w:szCs w:val="20"/>
          <w:vertAlign w:val="subscript"/>
        </w:rPr>
        <w:t>eff</w:t>
      </w:r>
      <w:r w:rsidR="00A76B00">
        <w:rPr>
          <w:sz w:val="20"/>
          <w:szCs w:val="20"/>
        </w:rPr>
        <w:t xml:space="preserve"> are all above 95% over the 2-hour exposure period which signify</w:t>
      </w:r>
      <w:r>
        <w:rPr>
          <w:sz w:val="20"/>
          <w:szCs w:val="20"/>
        </w:rPr>
        <w:t xml:space="preserve"> excellent photostability. </w:t>
      </w:r>
      <w:r w:rsidR="00A76B00">
        <w:rPr>
          <w:sz w:val="20"/>
          <w:szCs w:val="20"/>
        </w:rPr>
        <w:t>In the experiments we  preferred the</w:t>
      </w:r>
      <w:r>
        <w:rPr>
          <w:sz w:val="20"/>
          <w:szCs w:val="20"/>
        </w:rPr>
        <w:t xml:space="preserve"> </w:t>
      </w:r>
      <w:r>
        <w:rPr>
          <w:i/>
          <w:color w:val="000000"/>
          <w:sz w:val="20"/>
          <w:szCs w:val="20"/>
        </w:rPr>
        <w:t>in-vitro</w:t>
      </w:r>
      <w:r>
        <w:rPr>
          <w:color w:val="000000"/>
          <w:sz w:val="20"/>
          <w:szCs w:val="20"/>
        </w:rPr>
        <w:t xml:space="preserve"> method over the </w:t>
      </w:r>
      <w:r>
        <w:rPr>
          <w:i/>
          <w:color w:val="000000"/>
          <w:sz w:val="20"/>
          <w:szCs w:val="20"/>
        </w:rPr>
        <w:t>in-vivo</w:t>
      </w:r>
      <w:r>
        <w:rPr>
          <w:color w:val="000000"/>
          <w:sz w:val="20"/>
          <w:szCs w:val="20"/>
        </w:rPr>
        <w:t xml:space="preserve"> methods due to </w:t>
      </w:r>
      <w:r w:rsidR="00A76B00">
        <w:rPr>
          <w:color w:val="000000"/>
          <w:sz w:val="20"/>
          <w:szCs w:val="20"/>
        </w:rPr>
        <w:t xml:space="preserve">mounting ethical and technical </w:t>
      </w:r>
      <w:r>
        <w:rPr>
          <w:color w:val="000000"/>
          <w:sz w:val="20"/>
          <w:szCs w:val="20"/>
        </w:rPr>
        <w:t xml:space="preserve">reservations about envisaged inadequacies and </w:t>
      </w:r>
      <w:r w:rsidR="00A76B00">
        <w:rPr>
          <w:color w:val="000000"/>
          <w:sz w:val="20"/>
          <w:szCs w:val="20"/>
        </w:rPr>
        <w:t xml:space="preserve">questionable utility </w:t>
      </w:r>
      <w:r>
        <w:rPr>
          <w:color w:val="000000"/>
          <w:sz w:val="20"/>
          <w:szCs w:val="20"/>
        </w:rPr>
        <w:t xml:space="preserve">of the </w:t>
      </w:r>
      <w:r w:rsidRPr="00A13E99">
        <w:rPr>
          <w:i/>
          <w:iCs/>
          <w:color w:val="000000"/>
          <w:sz w:val="20"/>
          <w:szCs w:val="20"/>
        </w:rPr>
        <w:t>in vivo</w:t>
      </w:r>
      <w:r>
        <w:rPr>
          <w:color w:val="000000"/>
          <w:sz w:val="20"/>
          <w:szCs w:val="20"/>
        </w:rPr>
        <w:t xml:space="preserve"> testing protocols</w:t>
      </w:r>
      <w:r w:rsidR="0056670C">
        <w:rPr>
          <w:color w:val="000000"/>
          <w:sz w:val="20"/>
          <w:szCs w:val="20"/>
        </w:rPr>
        <w:t xml:space="preserve"> [24]</w:t>
      </w:r>
      <w:r w:rsidR="00A76B00">
        <w:rPr>
          <w:color w:val="000000"/>
          <w:sz w:val="20"/>
          <w:szCs w:val="20"/>
        </w:rPr>
        <w:t xml:space="preserve">. Currently, industry and regulatory authorities are engaged in unresolved </w:t>
      </w:r>
      <w:r>
        <w:rPr>
          <w:color w:val="000000"/>
          <w:sz w:val="20"/>
          <w:szCs w:val="20"/>
        </w:rPr>
        <w:t xml:space="preserve">debates </w:t>
      </w:r>
      <w:r w:rsidR="00A76B00">
        <w:rPr>
          <w:color w:val="000000"/>
          <w:sz w:val="20"/>
          <w:szCs w:val="20"/>
        </w:rPr>
        <w:t xml:space="preserve">over the </w:t>
      </w:r>
      <w:r>
        <w:rPr>
          <w:color w:val="000000"/>
          <w:sz w:val="20"/>
          <w:szCs w:val="20"/>
        </w:rPr>
        <w:t xml:space="preserve">controversies </w:t>
      </w:r>
      <w:r w:rsidR="00A76B00">
        <w:rPr>
          <w:color w:val="000000"/>
          <w:sz w:val="20"/>
          <w:szCs w:val="20"/>
        </w:rPr>
        <w:t>and</w:t>
      </w:r>
      <w:r>
        <w:rPr>
          <w:color w:val="000000"/>
          <w:sz w:val="20"/>
          <w:szCs w:val="20"/>
        </w:rPr>
        <w:t xml:space="preserve"> the validity of the Fitzpatrick  skin </w:t>
      </w:r>
      <w:r w:rsidR="00A76B00">
        <w:rPr>
          <w:color w:val="000000"/>
          <w:sz w:val="20"/>
          <w:szCs w:val="20"/>
        </w:rPr>
        <w:t>classification</w:t>
      </w:r>
      <w:r>
        <w:rPr>
          <w:color w:val="000000"/>
          <w:sz w:val="20"/>
          <w:szCs w:val="20"/>
        </w:rPr>
        <w:t xml:space="preserve"> which </w:t>
      </w:r>
      <w:r w:rsidR="00A76B00">
        <w:rPr>
          <w:color w:val="000000"/>
          <w:sz w:val="20"/>
          <w:szCs w:val="20"/>
        </w:rPr>
        <w:t xml:space="preserve">is the very </w:t>
      </w:r>
      <w:r>
        <w:rPr>
          <w:color w:val="000000"/>
          <w:sz w:val="20"/>
          <w:szCs w:val="20"/>
        </w:rPr>
        <w:t xml:space="preserve">basis of </w:t>
      </w:r>
      <w:r w:rsidRPr="00A76B00">
        <w:rPr>
          <w:i/>
          <w:iCs/>
          <w:color w:val="000000"/>
          <w:sz w:val="20"/>
          <w:szCs w:val="20"/>
        </w:rPr>
        <w:t>in</w:t>
      </w:r>
      <w:r w:rsidR="00A76B00" w:rsidRPr="00A76B00">
        <w:rPr>
          <w:i/>
          <w:iCs/>
          <w:color w:val="000000"/>
          <w:sz w:val="20"/>
          <w:szCs w:val="20"/>
        </w:rPr>
        <w:t>-vivo</w:t>
      </w:r>
      <w:r>
        <w:rPr>
          <w:color w:val="000000"/>
          <w:sz w:val="20"/>
          <w:szCs w:val="20"/>
        </w:rPr>
        <w:t xml:space="preserve"> SPF testing </w:t>
      </w:r>
      <w:r w:rsidR="00A76B00">
        <w:rPr>
          <w:color w:val="000000"/>
          <w:sz w:val="20"/>
          <w:szCs w:val="20"/>
        </w:rPr>
        <w:t>methods</w:t>
      </w:r>
      <w:r>
        <w:rPr>
          <w:color w:val="000000"/>
          <w:sz w:val="20"/>
          <w:szCs w:val="20"/>
        </w:rPr>
        <w:t xml:space="preserve"> [3</w:t>
      </w:r>
      <w:r w:rsidR="0073589E">
        <w:rPr>
          <w:color w:val="000000"/>
          <w:sz w:val="20"/>
          <w:szCs w:val="20"/>
        </w:rPr>
        <w:t>4</w:t>
      </w:r>
      <w:r>
        <w:rPr>
          <w:color w:val="000000"/>
          <w:sz w:val="20"/>
          <w:szCs w:val="20"/>
        </w:rPr>
        <w:t>].</w:t>
      </w:r>
    </w:p>
    <w:p w14:paraId="228FB719" w14:textId="4A9B7254" w:rsidR="0029571F" w:rsidRDefault="007E41ED">
      <w:pPr>
        <w:pStyle w:val="Heading1"/>
      </w:pPr>
      <w:r>
        <w:t>CONCLUSION</w:t>
      </w:r>
    </w:p>
    <w:p w14:paraId="7E6FF99E" w14:textId="36D6B9F1" w:rsidR="0029571F" w:rsidRDefault="005211DE">
      <w:pPr>
        <w:jc w:val="both"/>
        <w:rPr>
          <w:sz w:val="20"/>
          <w:szCs w:val="20"/>
          <w:lang w:val="en-ZW"/>
        </w:rPr>
      </w:pPr>
      <w:r>
        <w:rPr>
          <w:sz w:val="20"/>
          <w:szCs w:val="20"/>
        </w:rPr>
        <w:t xml:space="preserve">The  comedogenesis evaluation concluded that  </w:t>
      </w:r>
      <w:r w:rsidRPr="00A13E99">
        <w:rPr>
          <w:i/>
          <w:iCs/>
          <w:sz w:val="20"/>
          <w:szCs w:val="20"/>
        </w:rPr>
        <w:t>C lanatus</w:t>
      </w:r>
      <w:r>
        <w:rPr>
          <w:sz w:val="20"/>
          <w:szCs w:val="20"/>
        </w:rPr>
        <w:t xml:space="preserve"> and </w:t>
      </w:r>
      <w:r w:rsidRPr="00A13E99">
        <w:rPr>
          <w:i/>
          <w:iCs/>
          <w:sz w:val="20"/>
          <w:szCs w:val="20"/>
        </w:rPr>
        <w:t>M flabellifolius</w:t>
      </w:r>
      <w:r>
        <w:rPr>
          <w:sz w:val="20"/>
          <w:szCs w:val="20"/>
        </w:rPr>
        <w:t xml:space="preserve"> oils are non-comedogenic ingredients  which are substances that do not clog pores and have no potential to cause breakouts in users. Our genotoxicity and mutagenicity evaluations further suggest that neither concentration of the 2 oils is mutagenic in </w:t>
      </w:r>
      <w:r>
        <w:rPr>
          <w:i/>
          <w:iCs/>
          <w:sz w:val="20"/>
          <w:szCs w:val="20"/>
        </w:rPr>
        <w:t>S. Typhimurium TA</w:t>
      </w:r>
      <w:r>
        <w:rPr>
          <w:sz w:val="20"/>
          <w:szCs w:val="20"/>
        </w:rPr>
        <w:t xml:space="preserve"> strains and </w:t>
      </w:r>
      <w:r>
        <w:rPr>
          <w:i/>
          <w:iCs/>
          <w:sz w:val="20"/>
          <w:szCs w:val="20"/>
        </w:rPr>
        <w:t>E.coli WP2 wvM/pKMlOl</w:t>
      </w:r>
      <w:r>
        <w:rPr>
          <w:sz w:val="20"/>
          <w:szCs w:val="20"/>
        </w:rPr>
        <w:t xml:space="preserve"> either with or without metabolic activation. According to the data presented therefore in this </w:t>
      </w:r>
      <w:r w:rsidR="00FB3668">
        <w:rPr>
          <w:sz w:val="20"/>
          <w:szCs w:val="20"/>
        </w:rPr>
        <w:t>investigation</w:t>
      </w:r>
      <w:r>
        <w:rPr>
          <w:sz w:val="20"/>
          <w:szCs w:val="20"/>
        </w:rPr>
        <w:t xml:space="preserve">, we concluded that </w:t>
      </w:r>
      <w:r w:rsidR="00A76B00">
        <w:rPr>
          <w:sz w:val="20"/>
          <w:szCs w:val="20"/>
        </w:rPr>
        <w:t>both</w:t>
      </w:r>
      <w:r>
        <w:rPr>
          <w:sz w:val="20"/>
          <w:szCs w:val="20"/>
        </w:rPr>
        <w:t xml:space="preserve"> oils do not present any mutagenicity, cytotoxic or genotoxic, properties.</w:t>
      </w:r>
      <w:r>
        <w:rPr>
          <w:rFonts w:ascii="Times New Roman" w:eastAsia="Times New Roman" w:hAnsi="Times New Roman" w:cs="Times New Roman"/>
          <w:bCs/>
          <w:kern w:val="36"/>
          <w:lang w:val="en-ZW" w:eastAsia="en-ZW"/>
        </w:rPr>
        <w:t xml:space="preserve"> </w:t>
      </w:r>
      <w:r>
        <w:rPr>
          <w:bCs/>
          <w:sz w:val="20"/>
          <w:szCs w:val="20"/>
          <w:lang w:val="en-ZW"/>
        </w:rPr>
        <w:t>Our results with the Draize  animal skin sensitivity tests and the human skin irritation potential  patch tests confirm and supplement a series of previous studies showing that these oils  and the resulting augmented sunscreen incorporating  various ingredients do not sensitise or irritate skin in basic topical cosmetic use.  The photoprotection efficacy  was high at S</w:t>
      </w:r>
      <w:r w:rsidR="00A13E99">
        <w:rPr>
          <w:bCs/>
          <w:sz w:val="20"/>
          <w:szCs w:val="20"/>
          <w:lang w:val="en-ZW"/>
        </w:rPr>
        <w:t>P</w:t>
      </w:r>
      <w:r>
        <w:rPr>
          <w:bCs/>
          <w:sz w:val="20"/>
          <w:szCs w:val="20"/>
          <w:lang w:val="en-ZW"/>
        </w:rPr>
        <w:t xml:space="preserve">F 30 and the photoprotection efficiency and critical wavelength were high. On the basis of the available data from these studies both </w:t>
      </w:r>
      <w:r w:rsidRPr="00A13E99">
        <w:rPr>
          <w:bCs/>
          <w:i/>
          <w:iCs/>
          <w:sz w:val="20"/>
          <w:szCs w:val="20"/>
          <w:lang w:val="en-ZW"/>
        </w:rPr>
        <w:t>in</w:t>
      </w:r>
      <w:r w:rsidR="00A13E99">
        <w:rPr>
          <w:bCs/>
          <w:i/>
          <w:iCs/>
          <w:sz w:val="20"/>
          <w:szCs w:val="20"/>
          <w:lang w:val="en-ZW"/>
        </w:rPr>
        <w:t xml:space="preserve"> </w:t>
      </w:r>
      <w:r w:rsidRPr="00A13E99">
        <w:rPr>
          <w:bCs/>
          <w:i/>
          <w:iCs/>
          <w:sz w:val="20"/>
          <w:szCs w:val="20"/>
          <w:lang w:val="en-ZW"/>
        </w:rPr>
        <w:t>vitro</w:t>
      </w:r>
      <w:r>
        <w:rPr>
          <w:bCs/>
          <w:sz w:val="20"/>
          <w:szCs w:val="20"/>
          <w:lang w:val="en-ZW"/>
        </w:rPr>
        <w:t xml:space="preserve"> and </w:t>
      </w:r>
      <w:r w:rsidRPr="00A13E99">
        <w:rPr>
          <w:bCs/>
          <w:i/>
          <w:iCs/>
          <w:sz w:val="20"/>
          <w:szCs w:val="20"/>
          <w:lang w:val="en-ZW"/>
        </w:rPr>
        <w:t>in vivo</w:t>
      </w:r>
      <w:r>
        <w:rPr>
          <w:bCs/>
          <w:sz w:val="20"/>
          <w:szCs w:val="20"/>
          <w:lang w:val="en-ZW"/>
        </w:rPr>
        <w:t xml:space="preserve">, we conclude that  formulation of a broad-spectrum high SPF, and biologically safe  augmented sunscreen incorporating </w:t>
      </w:r>
      <w:r w:rsidR="00A76B00">
        <w:rPr>
          <w:bCs/>
          <w:sz w:val="20"/>
          <w:szCs w:val="20"/>
          <w:lang w:val="en-ZW"/>
        </w:rPr>
        <w:t>low level chemical</w:t>
      </w:r>
      <w:r>
        <w:rPr>
          <w:bCs/>
          <w:sz w:val="20"/>
          <w:szCs w:val="20"/>
          <w:lang w:val="en-ZW"/>
        </w:rPr>
        <w:t xml:space="preserve"> sunscreens</w:t>
      </w:r>
      <w:r w:rsidR="00A76B00">
        <w:rPr>
          <w:bCs/>
          <w:sz w:val="20"/>
          <w:szCs w:val="20"/>
          <w:lang w:val="en-ZW"/>
        </w:rPr>
        <w:t xml:space="preserve"> augmented by</w:t>
      </w:r>
      <w:r>
        <w:rPr>
          <w:bCs/>
          <w:sz w:val="20"/>
          <w:szCs w:val="20"/>
          <w:lang w:val="en-ZW"/>
        </w:rPr>
        <w:t xml:space="preserve"> </w:t>
      </w:r>
      <w:r>
        <w:rPr>
          <w:bCs/>
          <w:i/>
          <w:iCs/>
          <w:sz w:val="20"/>
          <w:szCs w:val="20"/>
          <w:lang w:val="en-ZW"/>
        </w:rPr>
        <w:t>C Lanatus</w:t>
      </w:r>
      <w:r>
        <w:rPr>
          <w:bCs/>
          <w:sz w:val="20"/>
          <w:szCs w:val="20"/>
          <w:lang w:val="en-ZW"/>
        </w:rPr>
        <w:t xml:space="preserve">  and </w:t>
      </w:r>
      <w:r>
        <w:rPr>
          <w:bCs/>
          <w:i/>
          <w:iCs/>
          <w:sz w:val="20"/>
          <w:szCs w:val="20"/>
          <w:lang w:val="en-ZW"/>
        </w:rPr>
        <w:t>M flabellifolius</w:t>
      </w:r>
      <w:r>
        <w:rPr>
          <w:bCs/>
          <w:sz w:val="20"/>
          <w:szCs w:val="20"/>
          <w:lang w:val="en-ZW"/>
        </w:rPr>
        <w:t xml:space="preserve"> </w:t>
      </w:r>
      <w:r w:rsidR="00A76B00">
        <w:rPr>
          <w:bCs/>
          <w:sz w:val="20"/>
          <w:szCs w:val="20"/>
          <w:lang w:val="en-ZW"/>
        </w:rPr>
        <w:t xml:space="preserve">oils </w:t>
      </w:r>
      <w:r>
        <w:rPr>
          <w:bCs/>
          <w:sz w:val="20"/>
          <w:szCs w:val="20"/>
          <w:lang w:val="en-ZW"/>
        </w:rPr>
        <w:t>and emollients is feasible and herald’s new perspectives in formulation of safe, stable and efficacious nonconventional photoprotective products.</w:t>
      </w:r>
    </w:p>
    <w:p w14:paraId="5DC8EB01" w14:textId="2CAA8B20" w:rsidR="0029571F" w:rsidRDefault="007E41ED">
      <w:pPr>
        <w:pStyle w:val="Heading1"/>
      </w:pPr>
      <w:r>
        <w:t>DISCLAIMER (ARTIFICIAL INTELLIGENCE)</w:t>
      </w:r>
    </w:p>
    <w:p w14:paraId="7FEC6737" w14:textId="77777777" w:rsidR="0029571F" w:rsidRDefault="005211DE">
      <w:pPr>
        <w:autoSpaceDE w:val="0"/>
        <w:autoSpaceDN w:val="0"/>
        <w:adjustRightInd w:val="0"/>
        <w:spacing w:after="0" w:line="240" w:lineRule="auto"/>
        <w:contextualSpacing/>
        <w:jc w:val="both"/>
        <w:rPr>
          <w:sz w:val="20"/>
          <w:szCs w:val="20"/>
          <w:lang w:val="en-ZW"/>
        </w:rPr>
      </w:pPr>
      <w:r>
        <w:rPr>
          <w:sz w:val="20"/>
          <w:szCs w:val="20"/>
          <w:lang w:val="en-ZW"/>
        </w:rPr>
        <w:t xml:space="preserve">The Authors hereby declare that NO generative AI technologies such as Large Language Models (ChatGPT, COPILOT, etc.) and text-to-image generators have been used during the writing or editing of this manuscript. </w:t>
      </w:r>
    </w:p>
    <w:p w14:paraId="52D60099" w14:textId="77777777" w:rsidR="00652294" w:rsidRPr="00652294" w:rsidRDefault="00652294" w:rsidP="008325A8">
      <w:pPr>
        <w:pStyle w:val="Heading1"/>
      </w:pPr>
      <w:r w:rsidRPr="008325A8">
        <w:t>COMPETING INTERESTS DISCLAIMER</w:t>
      </w:r>
      <w:r w:rsidRPr="00652294">
        <w:t>:</w:t>
      </w:r>
    </w:p>
    <w:p w14:paraId="3E6C0560" w14:textId="76E1DF3F" w:rsidR="00652294" w:rsidRDefault="00652294" w:rsidP="00652294">
      <w:pPr>
        <w:autoSpaceDE w:val="0"/>
        <w:autoSpaceDN w:val="0"/>
        <w:adjustRightInd w:val="0"/>
        <w:spacing w:after="0" w:line="240" w:lineRule="auto"/>
        <w:contextualSpacing/>
        <w:jc w:val="both"/>
        <w:rPr>
          <w:sz w:val="20"/>
          <w:szCs w:val="20"/>
          <w:lang w:val="en-ZW"/>
        </w:rPr>
      </w:pPr>
      <w:r w:rsidRPr="00652294">
        <w:rPr>
          <w:sz w:val="20"/>
          <w:szCs w:val="20"/>
          <w:lang w:val="en-ZW"/>
        </w:rPr>
        <w:t>Authors have declared that they have no known competing financial interests OR non-financial interests OR personal relationships that could have appeared to influence the work reported in this paper.</w:t>
      </w:r>
    </w:p>
    <w:p w14:paraId="2B40B1BA" w14:textId="77777777" w:rsidR="0029571F" w:rsidRDefault="0029571F">
      <w:pPr>
        <w:autoSpaceDE w:val="0"/>
        <w:autoSpaceDN w:val="0"/>
        <w:adjustRightInd w:val="0"/>
        <w:spacing w:after="0" w:line="240" w:lineRule="auto"/>
        <w:contextualSpacing/>
        <w:jc w:val="both"/>
        <w:rPr>
          <w:sz w:val="20"/>
          <w:szCs w:val="20"/>
        </w:rPr>
      </w:pPr>
    </w:p>
    <w:p w14:paraId="6BEEF313" w14:textId="3DBCC437" w:rsidR="0029571F" w:rsidRDefault="007E41ED">
      <w:pPr>
        <w:pStyle w:val="Heading1"/>
      </w:pPr>
      <w:r>
        <w:t>REFERENCES</w:t>
      </w:r>
    </w:p>
    <w:p w14:paraId="79A14928" w14:textId="77777777" w:rsidR="005F1C6B" w:rsidRDefault="005F1C6B" w:rsidP="005F1C6B">
      <w:pPr>
        <w:rPr>
          <w:lang w:val="en-ZW"/>
        </w:rPr>
      </w:pPr>
    </w:p>
    <w:p w14:paraId="4DEE4229" w14:textId="55885B46" w:rsidR="005F1C6B" w:rsidRDefault="005F1C6B" w:rsidP="005F1C6B">
      <w:pPr>
        <w:pStyle w:val="ListParagraph"/>
        <w:numPr>
          <w:ilvl w:val="0"/>
          <w:numId w:val="4"/>
        </w:numPr>
        <w:rPr>
          <w:sz w:val="20"/>
          <w:szCs w:val="20"/>
          <w:lang w:val="en-ZW"/>
        </w:rPr>
      </w:pPr>
      <w:r w:rsidRPr="005F1C6B">
        <w:rPr>
          <w:sz w:val="20"/>
          <w:szCs w:val="20"/>
          <w:lang w:val="en-ZW"/>
        </w:rPr>
        <w:t xml:space="preserve">Zwinkels, J. (2016). Light, Electromagnetic Spectrum. In: Luo, M.R. (eds) </w:t>
      </w:r>
      <w:proofErr w:type="spellStart"/>
      <w:r w:rsidRPr="005F1C6B">
        <w:rPr>
          <w:sz w:val="20"/>
          <w:szCs w:val="20"/>
          <w:lang w:val="en-ZW"/>
        </w:rPr>
        <w:t>Encyclopedia</w:t>
      </w:r>
      <w:proofErr w:type="spellEnd"/>
      <w:r w:rsidRPr="005F1C6B">
        <w:rPr>
          <w:sz w:val="20"/>
          <w:szCs w:val="20"/>
          <w:lang w:val="en-ZW"/>
        </w:rPr>
        <w:t xml:space="preserve"> of </w:t>
      </w:r>
      <w:proofErr w:type="spellStart"/>
      <w:r w:rsidRPr="005F1C6B">
        <w:rPr>
          <w:sz w:val="20"/>
          <w:szCs w:val="20"/>
          <w:lang w:val="en-ZW"/>
        </w:rPr>
        <w:t>Color</w:t>
      </w:r>
      <w:proofErr w:type="spellEnd"/>
      <w:r w:rsidRPr="005F1C6B">
        <w:rPr>
          <w:sz w:val="20"/>
          <w:szCs w:val="20"/>
          <w:lang w:val="en-ZW"/>
        </w:rPr>
        <w:t xml:space="preserve"> Science and Technology. Springer, New York, NY. </w:t>
      </w:r>
      <w:hyperlink r:id="rId13" w:history="1">
        <w:r w:rsidRPr="00F1251E">
          <w:rPr>
            <w:rStyle w:val="Hyperlink"/>
            <w:sz w:val="20"/>
            <w:szCs w:val="20"/>
            <w:lang w:val="en-ZW"/>
          </w:rPr>
          <w:t>https://doi.org/10.1007/978-1-4419-8071-7_204</w:t>
        </w:r>
      </w:hyperlink>
    </w:p>
    <w:p w14:paraId="01CCE03F" w14:textId="0B07B911" w:rsidR="00753253" w:rsidRPr="00753253" w:rsidRDefault="00753253" w:rsidP="005F1C6B">
      <w:pPr>
        <w:pStyle w:val="ListParagraph"/>
        <w:numPr>
          <w:ilvl w:val="0"/>
          <w:numId w:val="4"/>
        </w:numPr>
        <w:rPr>
          <w:sz w:val="20"/>
          <w:szCs w:val="20"/>
          <w:lang w:val="en-ZW"/>
        </w:rPr>
      </w:pPr>
      <w:r w:rsidRPr="00753253">
        <w:rPr>
          <w:sz w:val="20"/>
          <w:szCs w:val="20"/>
        </w:rPr>
        <w:t>D’Orazio, J.; Jarrett, S.; Amaro-Ortiz, A.; Scott, T. UV radiation and the skin. </w:t>
      </w:r>
      <w:r w:rsidRPr="00753253">
        <w:rPr>
          <w:i/>
          <w:iCs/>
          <w:sz w:val="20"/>
          <w:szCs w:val="20"/>
        </w:rPr>
        <w:t>Int. J. Mol. Sci.</w:t>
      </w:r>
      <w:r w:rsidRPr="00753253">
        <w:rPr>
          <w:sz w:val="20"/>
          <w:szCs w:val="20"/>
        </w:rPr>
        <w:t> </w:t>
      </w:r>
      <w:r w:rsidRPr="00753253">
        <w:rPr>
          <w:b/>
          <w:bCs/>
          <w:sz w:val="20"/>
          <w:szCs w:val="20"/>
        </w:rPr>
        <w:t>2013</w:t>
      </w:r>
      <w:r w:rsidRPr="00753253">
        <w:rPr>
          <w:sz w:val="20"/>
          <w:szCs w:val="20"/>
        </w:rPr>
        <w:t>, </w:t>
      </w:r>
      <w:r w:rsidRPr="00753253">
        <w:rPr>
          <w:i/>
          <w:iCs/>
          <w:sz w:val="20"/>
          <w:szCs w:val="20"/>
        </w:rPr>
        <w:t>14</w:t>
      </w:r>
      <w:r w:rsidRPr="00753253">
        <w:rPr>
          <w:sz w:val="20"/>
          <w:szCs w:val="20"/>
        </w:rPr>
        <w:t>, 12222–12248</w:t>
      </w:r>
    </w:p>
    <w:p w14:paraId="6AC23944" w14:textId="2B44DB1D" w:rsidR="00BE1F05" w:rsidRPr="00BE1F05" w:rsidRDefault="00BE1F05" w:rsidP="005F1C6B">
      <w:pPr>
        <w:pStyle w:val="ListParagraph"/>
        <w:numPr>
          <w:ilvl w:val="0"/>
          <w:numId w:val="4"/>
        </w:numPr>
        <w:rPr>
          <w:sz w:val="20"/>
          <w:szCs w:val="20"/>
          <w:lang w:val="en-ZW"/>
        </w:rPr>
      </w:pPr>
      <w:r w:rsidRPr="00BE1F05">
        <w:rPr>
          <w:sz w:val="20"/>
          <w:szCs w:val="20"/>
        </w:rPr>
        <w:t>Li L, Chong L, Huang T, Ma Y, Li Y, Ding H. Natural products and extracts from plants as natural UV filters for sunscreens: A review. Animal Model Exp Med. 2023 Jun;6(3):183-195. doi: 10.1002/ame2.12295. Epub 2022 Dec 19. PMID: 36536536; PMCID: PMC10272908.</w:t>
      </w:r>
    </w:p>
    <w:p w14:paraId="6CA1A7D2" w14:textId="7A0DD226" w:rsidR="00753253" w:rsidRPr="00753253" w:rsidRDefault="00753253" w:rsidP="005F1C6B">
      <w:pPr>
        <w:pStyle w:val="ListParagraph"/>
        <w:numPr>
          <w:ilvl w:val="0"/>
          <w:numId w:val="4"/>
        </w:numPr>
        <w:rPr>
          <w:sz w:val="20"/>
          <w:szCs w:val="20"/>
          <w:lang w:val="en-ZW"/>
        </w:rPr>
      </w:pPr>
      <w:r w:rsidRPr="00753253">
        <w:rPr>
          <w:sz w:val="20"/>
          <w:szCs w:val="20"/>
        </w:rPr>
        <w:lastRenderedPageBreak/>
        <w:t>Fleury, N.; Geldenhuys, S.; Gorman, S. Sun exposure and its effects on human health: Mechanisms through which sun exposure could reduce the risk of developing obesity and cardiometabolic dysfunction. </w:t>
      </w:r>
      <w:r w:rsidRPr="00753253">
        <w:rPr>
          <w:i/>
          <w:iCs/>
          <w:sz w:val="20"/>
          <w:szCs w:val="20"/>
        </w:rPr>
        <w:t>Int. J. Environ. Res. Public Health</w:t>
      </w:r>
      <w:r w:rsidRPr="00753253">
        <w:rPr>
          <w:sz w:val="20"/>
          <w:szCs w:val="20"/>
        </w:rPr>
        <w:t> </w:t>
      </w:r>
      <w:r w:rsidRPr="00753253">
        <w:rPr>
          <w:b/>
          <w:bCs/>
          <w:sz w:val="20"/>
          <w:szCs w:val="20"/>
        </w:rPr>
        <w:t>2016</w:t>
      </w:r>
      <w:r w:rsidRPr="00753253">
        <w:rPr>
          <w:sz w:val="20"/>
          <w:szCs w:val="20"/>
        </w:rPr>
        <w:t>, </w:t>
      </w:r>
      <w:r w:rsidRPr="00753253">
        <w:rPr>
          <w:i/>
          <w:iCs/>
          <w:sz w:val="20"/>
          <w:szCs w:val="20"/>
        </w:rPr>
        <w:t>13</w:t>
      </w:r>
      <w:r w:rsidRPr="00753253">
        <w:rPr>
          <w:sz w:val="20"/>
          <w:szCs w:val="20"/>
        </w:rPr>
        <w:t>, 999.</w:t>
      </w:r>
    </w:p>
    <w:p w14:paraId="0D46DAE9" w14:textId="299F4B36" w:rsidR="00BE1F05" w:rsidRDefault="00BE1F05" w:rsidP="003C466B">
      <w:pPr>
        <w:pStyle w:val="ListParagraph"/>
        <w:numPr>
          <w:ilvl w:val="0"/>
          <w:numId w:val="4"/>
        </w:numPr>
        <w:rPr>
          <w:sz w:val="20"/>
          <w:szCs w:val="20"/>
          <w:lang w:val="en-ZW"/>
        </w:rPr>
      </w:pPr>
      <w:r w:rsidRPr="00BE1F05">
        <w:rPr>
          <w:sz w:val="20"/>
          <w:szCs w:val="20"/>
          <w:lang w:val="en-ZW"/>
        </w:rPr>
        <w:t>Nasser Shubayr,</w:t>
      </w:r>
      <w:r>
        <w:rPr>
          <w:sz w:val="20"/>
          <w:szCs w:val="20"/>
          <w:lang w:val="en-ZW"/>
        </w:rPr>
        <w:t xml:space="preserve"> </w:t>
      </w:r>
      <w:r w:rsidRPr="00BE1F05">
        <w:rPr>
          <w:sz w:val="20"/>
          <w:szCs w:val="20"/>
          <w:lang w:val="en-ZW"/>
        </w:rPr>
        <w:t>Phytochemicals properties of herbal extracts for ultraviolet protection and skin health: A narrative review, Journal of Radiation Research and Applied Sciences, Volume 16, Issue 4, 2023, 100729, ISSN 1687-8507,https://doi.org/10.1016/j.jrras.2023.100729.</w:t>
      </w:r>
    </w:p>
    <w:p w14:paraId="70A1AFF4" w14:textId="0C4D8B80" w:rsidR="00BE1F05" w:rsidRPr="00BE1F05" w:rsidRDefault="00BE1F05" w:rsidP="003C466B">
      <w:pPr>
        <w:pStyle w:val="ListParagraph"/>
        <w:numPr>
          <w:ilvl w:val="0"/>
          <w:numId w:val="4"/>
        </w:numPr>
        <w:rPr>
          <w:sz w:val="20"/>
          <w:szCs w:val="20"/>
          <w:lang w:val="en-ZW"/>
        </w:rPr>
      </w:pPr>
      <w:r w:rsidRPr="00BE1F05">
        <w:rPr>
          <w:sz w:val="20"/>
          <w:szCs w:val="20"/>
        </w:rPr>
        <w:t>Ngoc LTN, Tran VV, Moon J-Y, Chae M, Park D, Lee Y-C. Recent Trends of Sunscreen Cosmetic: An Update Review. </w:t>
      </w:r>
      <w:r w:rsidRPr="00BE1F05">
        <w:rPr>
          <w:i/>
          <w:iCs/>
          <w:sz w:val="20"/>
          <w:szCs w:val="20"/>
        </w:rPr>
        <w:t>Cosmetics</w:t>
      </w:r>
      <w:r w:rsidRPr="00BE1F05">
        <w:rPr>
          <w:sz w:val="20"/>
          <w:szCs w:val="20"/>
        </w:rPr>
        <w:t xml:space="preserve">. 2019; 6(4):64. </w:t>
      </w:r>
      <w:hyperlink r:id="rId14" w:history="1">
        <w:r w:rsidRPr="00F1251E">
          <w:rPr>
            <w:rStyle w:val="Hyperlink"/>
            <w:sz w:val="20"/>
            <w:szCs w:val="20"/>
          </w:rPr>
          <w:t>https://doi.org/10.3390/cosmetics6040064</w:t>
        </w:r>
      </w:hyperlink>
    </w:p>
    <w:p w14:paraId="3B305AA8" w14:textId="77777777" w:rsidR="00753253" w:rsidRPr="00BE1F05" w:rsidRDefault="00753253" w:rsidP="00753253">
      <w:pPr>
        <w:pStyle w:val="ListParagraph"/>
        <w:numPr>
          <w:ilvl w:val="0"/>
          <w:numId w:val="4"/>
        </w:numPr>
        <w:rPr>
          <w:sz w:val="20"/>
          <w:szCs w:val="20"/>
          <w:lang w:val="en-ZW"/>
        </w:rPr>
      </w:pPr>
      <w:r w:rsidRPr="00BE1F05">
        <w:rPr>
          <w:sz w:val="20"/>
          <w:szCs w:val="20"/>
        </w:rPr>
        <w:t>Wang SQ, Balagula Y, Osterwalder U. Photoprotection: a review of the current and future technologies. Dermatol Ther. 2010 Jan-Feb;23(1):31-47. doi: 10.1111/j.1529-8019.2009.01289.x. PMID: 20136907.</w:t>
      </w:r>
    </w:p>
    <w:p w14:paraId="30A97FC4" w14:textId="77777777" w:rsidR="00753253" w:rsidRPr="00BE1F05" w:rsidRDefault="00753253" w:rsidP="00753253">
      <w:pPr>
        <w:pStyle w:val="ListParagraph"/>
        <w:numPr>
          <w:ilvl w:val="0"/>
          <w:numId w:val="4"/>
        </w:numPr>
        <w:rPr>
          <w:sz w:val="20"/>
          <w:szCs w:val="20"/>
          <w:lang w:val="en-ZW"/>
        </w:rPr>
      </w:pPr>
      <w:r w:rsidRPr="00BE1F05">
        <w:rPr>
          <w:sz w:val="20"/>
          <w:szCs w:val="20"/>
        </w:rPr>
        <w:t>Verma, A., Zanoletti, A., Kareem, K.Y. </w:t>
      </w:r>
      <w:r w:rsidRPr="00BE1F05">
        <w:rPr>
          <w:i/>
          <w:iCs/>
          <w:sz w:val="20"/>
          <w:szCs w:val="20"/>
        </w:rPr>
        <w:t>et al.</w:t>
      </w:r>
      <w:r w:rsidRPr="00BE1F05">
        <w:rPr>
          <w:sz w:val="20"/>
          <w:szCs w:val="20"/>
        </w:rPr>
        <w:t> Skin protection from solar ultraviolet radiation using natural compounds: a review. </w:t>
      </w:r>
      <w:r w:rsidRPr="00BE1F05">
        <w:rPr>
          <w:i/>
          <w:iCs/>
          <w:sz w:val="20"/>
          <w:szCs w:val="20"/>
        </w:rPr>
        <w:t>Environ Chem Lett</w:t>
      </w:r>
      <w:r w:rsidRPr="00BE1F05">
        <w:rPr>
          <w:sz w:val="20"/>
          <w:szCs w:val="20"/>
        </w:rPr>
        <w:t> </w:t>
      </w:r>
      <w:r w:rsidRPr="00BE1F05">
        <w:rPr>
          <w:b/>
          <w:bCs/>
          <w:sz w:val="20"/>
          <w:szCs w:val="20"/>
        </w:rPr>
        <w:t>22</w:t>
      </w:r>
      <w:r w:rsidRPr="00BE1F05">
        <w:rPr>
          <w:sz w:val="20"/>
          <w:szCs w:val="20"/>
        </w:rPr>
        <w:t xml:space="preserve">, 273–295 (2024). </w:t>
      </w:r>
      <w:hyperlink r:id="rId15" w:history="1">
        <w:r w:rsidRPr="00F1251E">
          <w:rPr>
            <w:rStyle w:val="Hyperlink"/>
            <w:sz w:val="20"/>
            <w:szCs w:val="20"/>
          </w:rPr>
          <w:t>https://doi.org/10.1007/s10311-023-01649-4</w:t>
        </w:r>
      </w:hyperlink>
    </w:p>
    <w:p w14:paraId="285B2BA9" w14:textId="6B128C27" w:rsidR="00BE1F05" w:rsidRPr="00753253" w:rsidRDefault="00753253" w:rsidP="003C466B">
      <w:pPr>
        <w:pStyle w:val="ListParagraph"/>
        <w:numPr>
          <w:ilvl w:val="0"/>
          <w:numId w:val="4"/>
        </w:numPr>
        <w:rPr>
          <w:sz w:val="20"/>
          <w:szCs w:val="20"/>
          <w:lang w:val="en-ZW"/>
        </w:rPr>
      </w:pPr>
      <w:r w:rsidRPr="00753253">
        <w:rPr>
          <w:sz w:val="20"/>
          <w:szCs w:val="20"/>
        </w:rPr>
        <w:t>Sambandan, D.R.; Ratner, D. Sunscreens: An overview and update. </w:t>
      </w:r>
      <w:r w:rsidRPr="00753253">
        <w:rPr>
          <w:i/>
          <w:iCs/>
          <w:sz w:val="20"/>
          <w:szCs w:val="20"/>
        </w:rPr>
        <w:t>J. Am. Acad. Dermatol.</w:t>
      </w:r>
      <w:r w:rsidRPr="00753253">
        <w:rPr>
          <w:sz w:val="20"/>
          <w:szCs w:val="20"/>
        </w:rPr>
        <w:t> </w:t>
      </w:r>
      <w:r w:rsidRPr="00753253">
        <w:rPr>
          <w:b/>
          <w:bCs/>
          <w:sz w:val="20"/>
          <w:szCs w:val="20"/>
        </w:rPr>
        <w:t>2011</w:t>
      </w:r>
      <w:r w:rsidRPr="00753253">
        <w:rPr>
          <w:sz w:val="20"/>
          <w:szCs w:val="20"/>
        </w:rPr>
        <w:t>, </w:t>
      </w:r>
      <w:r w:rsidRPr="00753253">
        <w:rPr>
          <w:i/>
          <w:iCs/>
          <w:sz w:val="20"/>
          <w:szCs w:val="20"/>
        </w:rPr>
        <w:t>64</w:t>
      </w:r>
      <w:r w:rsidRPr="00753253">
        <w:rPr>
          <w:sz w:val="20"/>
          <w:szCs w:val="20"/>
        </w:rPr>
        <w:t>, 748–758</w:t>
      </w:r>
    </w:p>
    <w:p w14:paraId="33CF8E58" w14:textId="5A9EE839" w:rsidR="00753253" w:rsidRPr="00753253" w:rsidRDefault="00753253" w:rsidP="003C466B">
      <w:pPr>
        <w:pStyle w:val="ListParagraph"/>
        <w:numPr>
          <w:ilvl w:val="0"/>
          <w:numId w:val="4"/>
        </w:numPr>
        <w:rPr>
          <w:sz w:val="20"/>
          <w:szCs w:val="20"/>
          <w:lang w:val="en-ZW"/>
        </w:rPr>
      </w:pPr>
      <w:r w:rsidRPr="00753253">
        <w:rPr>
          <w:sz w:val="20"/>
          <w:szCs w:val="20"/>
        </w:rPr>
        <w:t>Abdel Azim S, Bainvoll L, Vecerek N, DeLeo VA, Adler BL. Sunscreens part 2: Regulation and safety. J Am Acad Dermatol. 2025 Apr;92(4):689-698. doi: 10.1016/j.jaad.2024.02.066. Epub 2024 May 20. PMID: 38777185.</w:t>
      </w:r>
    </w:p>
    <w:p w14:paraId="3BCF2C8C" w14:textId="5BB3EEF2" w:rsidR="00753253" w:rsidRPr="00753253" w:rsidRDefault="00753253" w:rsidP="003C466B">
      <w:pPr>
        <w:pStyle w:val="ListParagraph"/>
        <w:numPr>
          <w:ilvl w:val="0"/>
          <w:numId w:val="4"/>
        </w:numPr>
        <w:rPr>
          <w:sz w:val="20"/>
          <w:szCs w:val="20"/>
          <w:lang w:val="en-ZW"/>
        </w:rPr>
      </w:pPr>
      <w:r w:rsidRPr="00753253">
        <w:rPr>
          <w:sz w:val="20"/>
          <w:szCs w:val="20"/>
        </w:rPr>
        <w:t>Milutinov J, Pavlović N, Ćirin D, Atanacković Krstonošić M, Krstonošić V. The Potential of Natural Compounds in UV Protection Products. Molecules. 2024 Nov 16;29(22):5409. doi: 10.3390/molecules29225409. PMID: 39598798; PMCID: PMC11597743.</w:t>
      </w:r>
    </w:p>
    <w:p w14:paraId="0EC97C07" w14:textId="77777777" w:rsidR="00753253" w:rsidRPr="00753253" w:rsidRDefault="00753253" w:rsidP="003C466B">
      <w:pPr>
        <w:pStyle w:val="ListParagraph"/>
        <w:numPr>
          <w:ilvl w:val="0"/>
          <w:numId w:val="4"/>
        </w:numPr>
        <w:rPr>
          <w:sz w:val="20"/>
          <w:szCs w:val="20"/>
          <w:lang w:val="en-ZW"/>
        </w:rPr>
      </w:pPr>
      <w:r w:rsidRPr="00753253">
        <w:rPr>
          <w:sz w:val="20"/>
          <w:szCs w:val="20"/>
        </w:rPr>
        <w:t xml:space="preserve">.Cefali LC, Ataide JA, Moriel P, Foglio MA, Mazzola PG. Plant-based active photoprotectants for sunscreens. Int J Cosmet Sci. 2016;38(4):346-53. doi: 10.1111/ ics.12316, PMID 26919163. 2. </w:t>
      </w:r>
    </w:p>
    <w:p w14:paraId="4E2FB414" w14:textId="4B0DA2B4" w:rsidR="00A21C3E" w:rsidRPr="00A21C3E" w:rsidRDefault="00A21C3E" w:rsidP="00C63941">
      <w:pPr>
        <w:pStyle w:val="ListParagraph"/>
        <w:numPr>
          <w:ilvl w:val="0"/>
          <w:numId w:val="4"/>
        </w:numPr>
        <w:autoSpaceDE w:val="0"/>
        <w:autoSpaceDN w:val="0"/>
        <w:adjustRightInd w:val="0"/>
        <w:spacing w:after="0" w:line="240" w:lineRule="auto"/>
        <w:rPr>
          <w:sz w:val="20"/>
          <w:szCs w:val="20"/>
          <w:lang w:val="en-ZW"/>
        </w:rPr>
      </w:pPr>
      <w:r w:rsidRPr="00A21C3E">
        <w:rPr>
          <w:sz w:val="20"/>
          <w:szCs w:val="20"/>
        </w:rPr>
        <w:t>Engelhardt C, Petereit F, Lechtenberg M, Liefländer-Wulf U, Hensel A. Qualitative and quantitative phytochemical characterization of Myrothamnus flabellifolia Welw. Fitoterapia. 2016 Oct;114:69-80. doi: 10.1016/j.fitote.2016.08.013. Epub 2016 Aug 26. PMID: 27575326.</w:t>
      </w:r>
    </w:p>
    <w:p w14:paraId="3787BAAA" w14:textId="18C16440" w:rsidR="00753253" w:rsidRPr="00A21C3E" w:rsidRDefault="00753253" w:rsidP="00BD6FFB">
      <w:pPr>
        <w:pStyle w:val="ListParagraph"/>
        <w:numPr>
          <w:ilvl w:val="0"/>
          <w:numId w:val="4"/>
        </w:numPr>
        <w:autoSpaceDE w:val="0"/>
        <w:autoSpaceDN w:val="0"/>
        <w:adjustRightInd w:val="0"/>
        <w:spacing w:after="0" w:line="240" w:lineRule="auto"/>
        <w:rPr>
          <w:sz w:val="20"/>
          <w:szCs w:val="20"/>
        </w:rPr>
      </w:pPr>
      <w:r w:rsidRPr="00A21C3E">
        <w:rPr>
          <w:sz w:val="20"/>
          <w:szCs w:val="20"/>
        </w:rPr>
        <w:t>Djilianov, D.; Moyankova,D.; Mladenov, P.; Topouzova-Hristova,T.; Kostadinova, A.; Staneva, G.;Zasheva, D.; Berkov, S.; Simova-Stoilova, L. resurrection Plants</w:t>
      </w:r>
      <w:r w:rsidRPr="00A21C3E">
        <w:rPr>
          <w:rFonts w:hint="eastAsia"/>
          <w:sz w:val="20"/>
          <w:szCs w:val="20"/>
        </w:rPr>
        <w:t>—</w:t>
      </w:r>
      <w:r w:rsidRPr="00A21C3E">
        <w:rPr>
          <w:sz w:val="20"/>
          <w:szCs w:val="20"/>
        </w:rPr>
        <w:t>A Valuable Source of Natural Bioactive Compounds: From Word-of-Mouth to Scientifically Proven Sustainable Use. Metabolites 2024, 14, 113. https://doi.org/10.3390/metabo14020113</w:t>
      </w:r>
    </w:p>
    <w:p w14:paraId="26266B30" w14:textId="2BB5DCF5" w:rsidR="00A21C3E" w:rsidRPr="00A21C3E" w:rsidRDefault="00A21C3E" w:rsidP="00BD6FFB">
      <w:pPr>
        <w:pStyle w:val="ListParagraph"/>
        <w:numPr>
          <w:ilvl w:val="0"/>
          <w:numId w:val="4"/>
        </w:numPr>
        <w:rPr>
          <w:sz w:val="20"/>
          <w:szCs w:val="20"/>
        </w:rPr>
      </w:pPr>
      <w:r w:rsidRPr="00A21C3E">
        <w:rPr>
          <w:sz w:val="20"/>
          <w:szCs w:val="20"/>
        </w:rPr>
        <w:t>J.P. Moore, G.G. Lindsey, J.M. Farrant,</w:t>
      </w:r>
      <w:r>
        <w:rPr>
          <w:sz w:val="20"/>
          <w:szCs w:val="20"/>
        </w:rPr>
        <w:t xml:space="preserve"> </w:t>
      </w:r>
      <w:r w:rsidRPr="00A21C3E">
        <w:rPr>
          <w:sz w:val="20"/>
          <w:szCs w:val="20"/>
        </w:rPr>
        <w:t>W.F. Brandt, An overview of the biology of the desiccation-tolerant resurrection plant Myrothamnus flabellifolia, Ann. Bot. (Lond) 99 (2007) 211–217.</w:t>
      </w:r>
    </w:p>
    <w:p w14:paraId="25390D56" w14:textId="7ED9367A" w:rsidR="00A21C3E" w:rsidRDefault="00BD6FFB" w:rsidP="00BD6FFB">
      <w:pPr>
        <w:pStyle w:val="ListParagraph"/>
        <w:numPr>
          <w:ilvl w:val="0"/>
          <w:numId w:val="4"/>
        </w:numPr>
        <w:rPr>
          <w:sz w:val="20"/>
          <w:szCs w:val="20"/>
        </w:rPr>
      </w:pPr>
      <w:r w:rsidRPr="00BD6FFB">
        <w:rPr>
          <w:sz w:val="20"/>
          <w:szCs w:val="20"/>
        </w:rPr>
        <w:t>Sorokina M, McCaffrey KS, Deaton EE, Ma G, Ordovás JM, Perkins-Veazie PM, Steinbeck C, Levi A and Parnell LD (2021) A Catalog of Natural Products Occurring in Watermelon—Citrullus lanatus. Front. Nutr. 8:729822. doi: 10.3389/fnut.2021.729822</w:t>
      </w:r>
    </w:p>
    <w:p w14:paraId="5932D8E0" w14:textId="269AF565" w:rsidR="00BD6FFB" w:rsidRDefault="00BD6FFB" w:rsidP="00BD6FFB">
      <w:pPr>
        <w:pStyle w:val="ListParagraph"/>
        <w:numPr>
          <w:ilvl w:val="0"/>
          <w:numId w:val="4"/>
        </w:numPr>
        <w:rPr>
          <w:sz w:val="20"/>
          <w:szCs w:val="20"/>
        </w:rPr>
      </w:pPr>
      <w:r w:rsidRPr="00BD6FFB">
        <w:rPr>
          <w:sz w:val="20"/>
          <w:szCs w:val="20"/>
        </w:rPr>
        <w:t>Paris HS. Origin and emergence of the sweet dessert watermelon, Citrullus lanatus. Ann Bot. (2015) 116:133–48. doi: 10.1093/aob/mcv077</w:t>
      </w:r>
    </w:p>
    <w:p w14:paraId="3FCDF448" w14:textId="30087D46" w:rsidR="00BD6FFB" w:rsidRDefault="00BD6FFB" w:rsidP="00504A4A">
      <w:pPr>
        <w:pStyle w:val="ListParagraph"/>
        <w:numPr>
          <w:ilvl w:val="0"/>
          <w:numId w:val="4"/>
        </w:numPr>
        <w:rPr>
          <w:sz w:val="20"/>
          <w:szCs w:val="20"/>
        </w:rPr>
      </w:pPr>
      <w:r w:rsidRPr="00BD6FFB">
        <w:rPr>
          <w:sz w:val="20"/>
          <w:szCs w:val="20"/>
        </w:rPr>
        <w:t>Tlili I, Hdider C, Lenucci MS, Ilahy R, Jebari H, Dalessandro G. Bioactive compounds and antioxidant activities during fruit ripening of watermelon cultivars. J Food Compos Anal. (2011) 24:923–8. doi: 10.1016/j.jfca.2011.03.016</w:t>
      </w:r>
    </w:p>
    <w:p w14:paraId="28381FB0" w14:textId="5AEF5E67" w:rsidR="00BD6FFB" w:rsidRPr="003E75AE" w:rsidRDefault="00896BFE" w:rsidP="00504A4A">
      <w:pPr>
        <w:pStyle w:val="ListParagraph"/>
        <w:numPr>
          <w:ilvl w:val="0"/>
          <w:numId w:val="4"/>
        </w:numPr>
        <w:rPr>
          <w:sz w:val="20"/>
          <w:szCs w:val="20"/>
        </w:rPr>
      </w:pPr>
      <w:r w:rsidRPr="00896BFE">
        <w:rPr>
          <w:sz w:val="20"/>
          <w:szCs w:val="20"/>
        </w:rPr>
        <w:t xml:space="preserve">Adesanya AO, Olaseinde OO, Oguntayo OD, Otulana JO, Adefule AK(2011). Effects of Methanolic Extract of Citrullus lanatus Seed onExperimentally Induced Prostatic Hyperplasia. European Journal ofMedicinal Plants, 1(4):171-179 </w:t>
      </w:r>
      <w:r w:rsidRPr="00896BFE">
        <w:rPr>
          <w:sz w:val="20"/>
          <w:szCs w:val="20"/>
        </w:rPr>
        <w:br/>
      </w:r>
      <w:r w:rsidRPr="003E75AE">
        <w:rPr>
          <w:sz w:val="20"/>
          <w:szCs w:val="20"/>
        </w:rPr>
        <w:t xml:space="preserve">(PDF) Characterization of Seed Oil from Citrullus lanatus (Watermelon). Available from: </w:t>
      </w:r>
      <w:hyperlink r:id="rId16" w:history="1">
        <w:r w:rsidRPr="003E75AE">
          <w:rPr>
            <w:sz w:val="20"/>
            <w:szCs w:val="20"/>
          </w:rPr>
          <w:t>https://www.researchgate.net/publication/325553377_Characterization_of_Seed_Oil_from_Citrullus_lanatus_Watermelon</w:t>
        </w:r>
      </w:hyperlink>
      <w:r w:rsidRPr="003E75AE">
        <w:rPr>
          <w:sz w:val="20"/>
          <w:szCs w:val="20"/>
        </w:rPr>
        <w:t xml:space="preserve"> [accessed Aug 09 2025].</w:t>
      </w:r>
    </w:p>
    <w:p w14:paraId="023AAF20" w14:textId="512FF200" w:rsidR="00896BFE" w:rsidRPr="003E75AE" w:rsidRDefault="00896BFE" w:rsidP="00504A4A">
      <w:pPr>
        <w:pStyle w:val="ListParagraph"/>
        <w:numPr>
          <w:ilvl w:val="0"/>
          <w:numId w:val="4"/>
        </w:numPr>
        <w:rPr>
          <w:sz w:val="20"/>
          <w:szCs w:val="20"/>
        </w:rPr>
      </w:pPr>
      <w:r w:rsidRPr="003E75AE">
        <w:rPr>
          <w:sz w:val="20"/>
          <w:szCs w:val="20"/>
        </w:rPr>
        <w:lastRenderedPageBreak/>
        <w:t>Kligman LH. Intensification of ultraviolet-induced dermal damage by infrared radiation. Arch Dermatol Res. 1982;272(3-4):229-38. doi: 10.1007/BF00509050. PMID: 7165330.</w:t>
      </w:r>
    </w:p>
    <w:p w14:paraId="1FA3DFB1" w14:textId="62473B5B" w:rsidR="00896BFE" w:rsidRPr="003E75AE" w:rsidRDefault="00896BFE" w:rsidP="003E75AE">
      <w:pPr>
        <w:pStyle w:val="ListParagraph"/>
        <w:numPr>
          <w:ilvl w:val="0"/>
          <w:numId w:val="4"/>
        </w:numPr>
        <w:rPr>
          <w:sz w:val="20"/>
          <w:szCs w:val="20"/>
        </w:rPr>
      </w:pPr>
      <w:r w:rsidRPr="003E75AE">
        <w:rPr>
          <w:sz w:val="20"/>
          <w:szCs w:val="20"/>
        </w:rPr>
        <w:t xml:space="preserve">Ames, B.N. 1971. The detection of chemical mutagens with enteric  bacteria. In: Chemical Mutagens, Principles and Methods for Their Detection vol. 1 (ed. A. Hollaender), pp. 267-282. Plenum, New York. </w:t>
      </w:r>
    </w:p>
    <w:p w14:paraId="05B62034" w14:textId="1EF82A1A" w:rsidR="00896BFE" w:rsidRPr="003E75AE" w:rsidRDefault="00896BFE" w:rsidP="003E75AE">
      <w:pPr>
        <w:pStyle w:val="ListParagraph"/>
        <w:numPr>
          <w:ilvl w:val="0"/>
          <w:numId w:val="4"/>
        </w:numPr>
        <w:rPr>
          <w:sz w:val="20"/>
          <w:szCs w:val="20"/>
        </w:rPr>
      </w:pPr>
      <w:r w:rsidRPr="003E75AE">
        <w:rPr>
          <w:sz w:val="20"/>
          <w:szCs w:val="20"/>
        </w:rPr>
        <w:t>Ames, B.N., J. McCann, E. Yamasaki. 1975. Methods for detecting  carcinogens and mutagens with the Salmonella/</w:t>
      </w:r>
      <w:proofErr w:type="spellStart"/>
      <w:r w:rsidRPr="003E75AE">
        <w:rPr>
          <w:sz w:val="20"/>
          <w:szCs w:val="20"/>
        </w:rPr>
        <w:t>mammalianmicrosome</w:t>
      </w:r>
      <w:proofErr w:type="spellEnd"/>
      <w:r w:rsidRPr="003E75AE">
        <w:rPr>
          <w:sz w:val="20"/>
          <w:szCs w:val="20"/>
        </w:rPr>
        <w:t xml:space="preserve"> mutagenicity test. Mutation Research 31: 347–364.</w:t>
      </w:r>
    </w:p>
    <w:p w14:paraId="5CCAA273" w14:textId="3B012851" w:rsidR="00896BFE" w:rsidRPr="003E75AE" w:rsidRDefault="00896BFE" w:rsidP="003E75AE">
      <w:pPr>
        <w:pStyle w:val="ListParagraph"/>
        <w:numPr>
          <w:ilvl w:val="0"/>
          <w:numId w:val="4"/>
        </w:numPr>
        <w:rPr>
          <w:sz w:val="20"/>
          <w:szCs w:val="20"/>
        </w:rPr>
      </w:pPr>
      <w:r w:rsidRPr="003E75AE">
        <w:rPr>
          <w:sz w:val="20"/>
          <w:szCs w:val="20"/>
        </w:rPr>
        <w:t>Assessment of the cytotoxic, genotoxic, and antigenotoxic activities of sucupira oil (Pterodon emarginatus)  L.A. Assunção et al Genetics and Molecular Research 14 (2): 6323-6329 (2015)</w:t>
      </w:r>
    </w:p>
    <w:p w14:paraId="48319869" w14:textId="44DC63B2" w:rsidR="00896BFE" w:rsidRPr="003E75AE" w:rsidRDefault="003E75AE" w:rsidP="003E75AE">
      <w:pPr>
        <w:pStyle w:val="ListParagraph"/>
        <w:numPr>
          <w:ilvl w:val="0"/>
          <w:numId w:val="4"/>
        </w:numPr>
        <w:rPr>
          <w:sz w:val="20"/>
          <w:szCs w:val="20"/>
        </w:rPr>
      </w:pPr>
      <w:r w:rsidRPr="003E75AE">
        <w:rPr>
          <w:sz w:val="20"/>
          <w:szCs w:val="20"/>
        </w:rPr>
        <w:t xml:space="preserve"> Chifamba, J, and C Chifamba. 2024. “Hybrid Sunscreen for Albinistic Skin Types Augmented by Terminalia Sericea Mediated Silver Doped Zinc Oxide Nanoparticles, Efficacy and Safety Investigation”. Biotechnology Journal International 28 (5):84-99. https://doi.org/10.9734/bji/2024/v28i5744.</w:t>
      </w:r>
    </w:p>
    <w:p w14:paraId="48F01D2F" w14:textId="0769084D" w:rsidR="0029571F" w:rsidRDefault="004C3BB2" w:rsidP="003E75AE">
      <w:pPr>
        <w:pStyle w:val="ListParagraph"/>
        <w:numPr>
          <w:ilvl w:val="0"/>
          <w:numId w:val="4"/>
        </w:numPr>
        <w:rPr>
          <w:sz w:val="20"/>
          <w:szCs w:val="20"/>
        </w:rPr>
      </w:pPr>
      <w:r w:rsidRPr="004C3BB2">
        <w:rPr>
          <w:sz w:val="20"/>
          <w:szCs w:val="20"/>
        </w:rPr>
        <w:t>OECD (2022), </w:t>
      </w:r>
      <w:r w:rsidRPr="004C3BB2">
        <w:rPr>
          <w:i/>
          <w:iCs/>
          <w:sz w:val="20"/>
          <w:szCs w:val="20"/>
        </w:rPr>
        <w:t>Test No. 406: Skin Sensitisation</w:t>
      </w:r>
      <w:r w:rsidRPr="004C3BB2">
        <w:rPr>
          <w:sz w:val="20"/>
          <w:szCs w:val="20"/>
        </w:rPr>
        <w:t>, OECD Guidelines for the Testing of Chemicals, Section 4, OECD Publishing, Paris, </w:t>
      </w:r>
      <w:hyperlink r:id="rId17" w:history="1">
        <w:r w:rsidRPr="004C3BB2">
          <w:t>https://doi.org/10.1787/9789264070660-en</w:t>
        </w:r>
      </w:hyperlink>
      <w:r w:rsidRPr="004C3BB2">
        <w:rPr>
          <w:sz w:val="20"/>
          <w:szCs w:val="20"/>
        </w:rPr>
        <w:t>.</w:t>
      </w:r>
    </w:p>
    <w:p w14:paraId="3E9C6286" w14:textId="46EE974D" w:rsidR="0029571F" w:rsidRDefault="00D520F3" w:rsidP="004C3BB2">
      <w:pPr>
        <w:pStyle w:val="ListParagraph"/>
        <w:numPr>
          <w:ilvl w:val="0"/>
          <w:numId w:val="4"/>
        </w:numPr>
        <w:rPr>
          <w:sz w:val="20"/>
          <w:szCs w:val="20"/>
        </w:rPr>
      </w:pPr>
      <w:hyperlink r:id="rId18" w:history="1">
        <w:r w:rsidR="004C3BB2">
          <w:rPr>
            <w:sz w:val="20"/>
            <w:szCs w:val="20"/>
          </w:rPr>
          <w:t>U</w:t>
        </w:r>
        <w:r w:rsidR="004C3BB2" w:rsidRPr="004C3BB2">
          <w:rPr>
            <w:sz w:val="20"/>
            <w:szCs w:val="20"/>
          </w:rPr>
          <w:t>S. Department of Health and Human Services Food and Drug Administration Center for Drug Evaluation and Research (CDER) December 2012 , Labeling and Effectiveness Testing: Sunscreen Drug Products for Over The-Counter Human Use — Small Entity Compliance Guide</w:t>
        </w:r>
      </w:hyperlink>
    </w:p>
    <w:p w14:paraId="4F6C85E8" w14:textId="56FA3815" w:rsidR="004C3BB2" w:rsidRDefault="00627629" w:rsidP="004C3BB2">
      <w:pPr>
        <w:pStyle w:val="ListParagraph"/>
        <w:numPr>
          <w:ilvl w:val="0"/>
          <w:numId w:val="4"/>
        </w:numPr>
        <w:rPr>
          <w:sz w:val="20"/>
          <w:szCs w:val="20"/>
        </w:rPr>
      </w:pPr>
      <w:r w:rsidRPr="00627629">
        <w:rPr>
          <w:sz w:val="20"/>
          <w:szCs w:val="20"/>
        </w:rPr>
        <w:t>Mills OH Jr, Kligman AM. The follicular biopsy. Dermatologica. 1983;167(2):57-63. doi: 10.1159/000249749. PMID: 6226549.</w:t>
      </w:r>
    </w:p>
    <w:p w14:paraId="0ADDEA3C" w14:textId="1FBE906C" w:rsidR="00627629" w:rsidRDefault="000B1481" w:rsidP="004C3BB2">
      <w:pPr>
        <w:pStyle w:val="ListParagraph"/>
        <w:numPr>
          <w:ilvl w:val="0"/>
          <w:numId w:val="4"/>
        </w:numPr>
        <w:rPr>
          <w:sz w:val="20"/>
          <w:szCs w:val="20"/>
        </w:rPr>
      </w:pPr>
      <w:r w:rsidRPr="000B1481">
        <w:rPr>
          <w:sz w:val="20"/>
          <w:szCs w:val="20"/>
        </w:rPr>
        <w:t>de Kok TM, Zwingman I, Moonen EJ, Schilderman PA, Rhijnsburger E, Haenen GR, Kleinjans JC. Analysis of oxidative DNA damage after human dietary supplementation with linoleic acid. Food Chem Toxicol. 2003 Mar;41(3):351-8. doi: 10.1016/s0278-6915(02)00237-5. PMID: 12504167.</w:t>
      </w:r>
    </w:p>
    <w:p w14:paraId="147CA9A2" w14:textId="5D5EC3ED" w:rsidR="000B1481" w:rsidRPr="000B1481" w:rsidRDefault="000B1481" w:rsidP="004C3BB2">
      <w:pPr>
        <w:pStyle w:val="ListParagraph"/>
        <w:numPr>
          <w:ilvl w:val="0"/>
          <w:numId w:val="4"/>
        </w:numPr>
        <w:rPr>
          <w:sz w:val="20"/>
          <w:szCs w:val="20"/>
        </w:rPr>
      </w:pPr>
      <w:r w:rsidRPr="000B1481">
        <w:rPr>
          <w:sz w:val="20"/>
          <w:szCs w:val="20"/>
        </w:rPr>
        <w:t>Final Report on the Safety Assessment of Oleic Acid, Laurie Acid, Palmitic Acid, Myristic Acid, and Stearic Acid</w:t>
      </w:r>
      <w:r>
        <w:rPr>
          <w:sz w:val="20"/>
          <w:szCs w:val="20"/>
        </w:rPr>
        <w:t>: J</w:t>
      </w:r>
      <w:r>
        <w:rPr>
          <w:bCs/>
          <w:kern w:val="36"/>
          <w:sz w:val="20"/>
          <w:szCs w:val="20"/>
        </w:rPr>
        <w:t>ournal of the American college of toxicology (Volume 6, Number 3, 1987</w:t>
      </w:r>
    </w:p>
    <w:p w14:paraId="6E7B2F80" w14:textId="64BC8E15" w:rsidR="000B1481" w:rsidRPr="00430B96" w:rsidRDefault="00430B96" w:rsidP="004C3BB2">
      <w:pPr>
        <w:pStyle w:val="ListParagraph"/>
        <w:numPr>
          <w:ilvl w:val="0"/>
          <w:numId w:val="4"/>
        </w:numPr>
        <w:rPr>
          <w:sz w:val="20"/>
          <w:szCs w:val="20"/>
        </w:rPr>
      </w:pPr>
      <w:r>
        <w:rPr>
          <w:sz w:val="18"/>
          <w:szCs w:val="18"/>
        </w:rPr>
        <w:t xml:space="preserve">Chifamba J, Dube A and Maponga CC: Investigation of </w:t>
      </w:r>
      <w:r>
        <w:rPr>
          <w:i/>
          <w:iCs/>
          <w:sz w:val="18"/>
          <w:szCs w:val="18"/>
        </w:rPr>
        <w:t xml:space="preserve">In-Vivo </w:t>
      </w:r>
      <w:r>
        <w:rPr>
          <w:sz w:val="18"/>
          <w:szCs w:val="18"/>
        </w:rPr>
        <w:t>Penetration and Distribution of Nanometric TiO</w:t>
      </w:r>
      <w:r>
        <w:rPr>
          <w:sz w:val="12"/>
          <w:szCs w:val="12"/>
        </w:rPr>
        <w:t xml:space="preserve">2 </w:t>
      </w:r>
      <w:r>
        <w:rPr>
          <w:sz w:val="18"/>
          <w:szCs w:val="18"/>
        </w:rPr>
        <w:t>in Tropical Albinistic Skin by Sequential Adhesive Tape Stripping. Int J Pharm Sci Res 2015; 6(10): 4181-89.doi: 10.13040/IJPSR.0975-8232.6(10).4181-89.</w:t>
      </w:r>
    </w:p>
    <w:p w14:paraId="11674EB7" w14:textId="2E79F629" w:rsidR="00430B96" w:rsidRDefault="00430B96" w:rsidP="004C3BB2">
      <w:pPr>
        <w:pStyle w:val="ListParagraph"/>
        <w:numPr>
          <w:ilvl w:val="0"/>
          <w:numId w:val="4"/>
        </w:numPr>
        <w:rPr>
          <w:sz w:val="20"/>
          <w:szCs w:val="20"/>
        </w:rPr>
      </w:pPr>
      <w:r w:rsidRPr="00430B96">
        <w:rPr>
          <w:sz w:val="20"/>
          <w:szCs w:val="20"/>
        </w:rPr>
        <w:t>Draize, J., Woodard, G. and Calvery, H. (1944) Methods for the Study of Irritation and Toxicity of Substances Applied Topically to the Skin and Mucous Membranes. Journal of Pharmacology and Experimental Therapeutics, 82, 377-390</w:t>
      </w:r>
    </w:p>
    <w:p w14:paraId="695705E4" w14:textId="333FABD4" w:rsidR="00430B96" w:rsidRDefault="00430B96" w:rsidP="004C3BB2">
      <w:pPr>
        <w:pStyle w:val="ListParagraph"/>
        <w:numPr>
          <w:ilvl w:val="0"/>
          <w:numId w:val="4"/>
        </w:numPr>
        <w:rPr>
          <w:sz w:val="20"/>
          <w:szCs w:val="20"/>
        </w:rPr>
      </w:pPr>
      <w:r w:rsidRPr="00430B96">
        <w:rPr>
          <w:sz w:val="20"/>
          <w:szCs w:val="20"/>
        </w:rPr>
        <w:t>OECD (2015), </w:t>
      </w:r>
      <w:r w:rsidRPr="00430B96">
        <w:rPr>
          <w:i/>
          <w:iCs/>
          <w:sz w:val="20"/>
          <w:szCs w:val="20"/>
        </w:rPr>
        <w:t>Test No. 404: Acute Dermal Irritation/Corrosion</w:t>
      </w:r>
      <w:r w:rsidRPr="00430B96">
        <w:rPr>
          <w:sz w:val="20"/>
          <w:szCs w:val="20"/>
        </w:rPr>
        <w:t>, OECD Guidelines for the Testing of Chemicals, Section 4, OECD Publishing, Paris, </w:t>
      </w:r>
      <w:hyperlink r:id="rId19" w:history="1">
        <w:r w:rsidRPr="00430B96">
          <w:rPr>
            <w:rStyle w:val="Hyperlink"/>
            <w:sz w:val="20"/>
            <w:szCs w:val="20"/>
          </w:rPr>
          <w:t>https://doi.org/10.1787/9789264242678-en</w:t>
        </w:r>
      </w:hyperlink>
      <w:r w:rsidRPr="00430B96">
        <w:rPr>
          <w:sz w:val="20"/>
          <w:szCs w:val="20"/>
        </w:rPr>
        <w:t>.</w:t>
      </w:r>
    </w:p>
    <w:p w14:paraId="17C85CAF" w14:textId="28207D04" w:rsidR="00430B96" w:rsidRDefault="0073589E" w:rsidP="000B0ECA">
      <w:pPr>
        <w:pStyle w:val="ListParagraph"/>
        <w:numPr>
          <w:ilvl w:val="0"/>
          <w:numId w:val="4"/>
        </w:numPr>
        <w:rPr>
          <w:sz w:val="20"/>
          <w:szCs w:val="20"/>
        </w:rPr>
      </w:pPr>
      <w:r w:rsidRPr="0073589E">
        <w:rPr>
          <w:sz w:val="20"/>
          <w:szCs w:val="20"/>
        </w:rPr>
        <w:t xml:space="preserve">Wenyue Zou, Rajesh Ramanathan, Sylvia Urban, Craig Sinclair, Kerryn King, Rick Tinker, Vipul Bansal, Sunscreen testing: A critical perspective and future roadmap, TrAC Trends in Analytical Chemistry, Volume 157, 2022, 116724, ISSN 0165-9936, </w:t>
      </w:r>
      <w:hyperlink r:id="rId20" w:history="1">
        <w:r w:rsidRPr="00F1251E">
          <w:rPr>
            <w:rStyle w:val="Hyperlink"/>
            <w:sz w:val="20"/>
            <w:szCs w:val="20"/>
          </w:rPr>
          <w:t>https://doi.org/10.1016/j.trac.2022.116724</w:t>
        </w:r>
      </w:hyperlink>
    </w:p>
    <w:p w14:paraId="59D7802D" w14:textId="4C843649" w:rsidR="0073589E" w:rsidRDefault="0073589E" w:rsidP="000B0ECA">
      <w:pPr>
        <w:pStyle w:val="ListParagraph"/>
        <w:numPr>
          <w:ilvl w:val="0"/>
          <w:numId w:val="4"/>
        </w:numPr>
        <w:rPr>
          <w:sz w:val="20"/>
          <w:szCs w:val="20"/>
        </w:rPr>
      </w:pPr>
      <w:r w:rsidRPr="0073589E">
        <w:rPr>
          <w:sz w:val="20"/>
          <w:szCs w:val="20"/>
        </w:rPr>
        <w:t>Ward WH, Lambreton F, Goel N, et al. Clinical Presentation and Staging of Melanoma. In: Ward WH, Farma JM, editors. Cutaneous Melanoma: Etiology and Therapy [Internet]. Brisbane (AU): Codon Publications; 2017 Dec 21. TABLE 1, Fitzpatrick Classification of Skin Types I through VI. Available from: https://www.ncbi.nlm.nih.gov/books/NBK481857/table/chapter6.t1/ doi: 10.15586/codon.cutaneousmelanoma.2017.ch6</w:t>
      </w:r>
    </w:p>
    <w:p w14:paraId="7F26516C" w14:textId="77777777" w:rsidR="0073589E" w:rsidRPr="0073589E" w:rsidRDefault="0073589E" w:rsidP="0073589E">
      <w:pPr>
        <w:pStyle w:val="ListParagraph"/>
        <w:rPr>
          <w:sz w:val="20"/>
          <w:szCs w:val="20"/>
        </w:rPr>
      </w:pPr>
    </w:p>
    <w:sectPr w:rsidR="0073589E" w:rsidRPr="0073589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415E" w14:textId="77777777" w:rsidR="00D520F3" w:rsidRDefault="00D520F3">
      <w:pPr>
        <w:spacing w:line="240" w:lineRule="auto"/>
      </w:pPr>
      <w:r>
        <w:separator/>
      </w:r>
    </w:p>
  </w:endnote>
  <w:endnote w:type="continuationSeparator" w:id="0">
    <w:p w14:paraId="7A9B4EFD" w14:textId="77777777" w:rsidR="00D520F3" w:rsidRDefault="00D52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Com 45 Light">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GMetaScience-Bold">
    <w:altName w:val="Segoe Print"/>
    <w:charset w:val="00"/>
    <w:family w:val="auto"/>
    <w:pitch w:val="default"/>
  </w:font>
  <w:font w:name="DGMetaScience">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9F3C" w14:textId="77777777" w:rsidR="007D3D40" w:rsidRDefault="007D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23528"/>
    </w:sdtPr>
    <w:sdtEndPr/>
    <w:sdtContent>
      <w:p w14:paraId="12BE592A" w14:textId="77777777" w:rsidR="0029571F" w:rsidRDefault="005211DE">
        <w:pPr>
          <w:pStyle w:val="Footer"/>
          <w:jc w:val="center"/>
        </w:pPr>
        <w:r>
          <w:fldChar w:fldCharType="begin"/>
        </w:r>
        <w:r>
          <w:instrText xml:space="preserve"> PAGE   \* MERGEFORMAT </w:instrText>
        </w:r>
        <w:r>
          <w:fldChar w:fldCharType="separate"/>
        </w:r>
        <w:r>
          <w:t>1</w:t>
        </w:r>
        <w:r>
          <w:fldChar w:fldCharType="end"/>
        </w:r>
      </w:p>
    </w:sdtContent>
  </w:sdt>
  <w:p w14:paraId="2B6F5310" w14:textId="77777777" w:rsidR="0029571F" w:rsidRDefault="00295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64CD" w14:textId="77777777" w:rsidR="007D3D40" w:rsidRDefault="007D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2945D" w14:textId="77777777" w:rsidR="00D520F3" w:rsidRDefault="00D520F3">
      <w:pPr>
        <w:spacing w:after="0"/>
      </w:pPr>
      <w:r>
        <w:separator/>
      </w:r>
    </w:p>
  </w:footnote>
  <w:footnote w:type="continuationSeparator" w:id="0">
    <w:p w14:paraId="1D5A198C" w14:textId="77777777" w:rsidR="00D520F3" w:rsidRDefault="00D520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C15B" w14:textId="212EADD8" w:rsidR="007D3D40" w:rsidRDefault="00D520F3">
    <w:pPr>
      <w:pStyle w:val="Header"/>
    </w:pPr>
    <w:r>
      <w:rPr>
        <w:noProof/>
      </w:rPr>
      <w:pict w14:anchorId="7DE3A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0FE3" w14:textId="401C79E2" w:rsidR="007D3D40" w:rsidRDefault="00D520F3">
    <w:pPr>
      <w:pStyle w:val="Header"/>
    </w:pPr>
    <w:r>
      <w:rPr>
        <w:noProof/>
      </w:rPr>
      <w:pict w14:anchorId="6563C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FADC" w14:textId="1F976482" w:rsidR="007D3D40" w:rsidRDefault="00D520F3">
    <w:pPr>
      <w:pStyle w:val="Header"/>
    </w:pPr>
    <w:r>
      <w:rPr>
        <w:noProof/>
      </w:rPr>
      <w:pict w14:anchorId="0B5D9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337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21"/>
    <w:multiLevelType w:val="multilevel"/>
    <w:tmpl w:val="05EB3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8456C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4E17"/>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E35D5"/>
    <w:multiLevelType w:val="hybridMultilevel"/>
    <w:tmpl w:val="F6A22DA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EEE3EC2"/>
    <w:multiLevelType w:val="multilevel"/>
    <w:tmpl w:val="8E061C52"/>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lvlText w:val="%1.%2.%3.%4.%5.%6.%7"/>
      <w:lvlJc w:val="left"/>
      <w:pPr>
        <w:ind w:left="1296" w:hanging="1296"/>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584" w:hanging="1584"/>
      </w:pPr>
      <w:rPr>
        <w:rFonts w:ascii="Times New Roman" w:hAnsi="Times New Roman" w:cs="Times New Roman" w:hint="default"/>
      </w:rPr>
    </w:lvl>
  </w:abstractNum>
  <w:abstractNum w:abstractNumId="5" w15:restartNumberingAfterBreak="0">
    <w:nsid w:val="1F7343E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E4ACA"/>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F6668"/>
    <w:multiLevelType w:val="multilevel"/>
    <w:tmpl w:val="370F66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ED0A13"/>
    <w:multiLevelType w:val="multilevel"/>
    <w:tmpl w:val="4FED0A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330EF4"/>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345DFD"/>
    <w:multiLevelType w:val="hybridMultilevel"/>
    <w:tmpl w:val="F6A22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0"/>
  </w:num>
  <w:num w:numId="7">
    <w:abstractNumId w:val="9"/>
  </w:num>
  <w:num w:numId="8">
    <w:abstractNumId w:val="2"/>
  </w:num>
  <w:num w:numId="9">
    <w:abstractNumId w:val="5"/>
  </w:num>
  <w:num w:numId="10">
    <w:abstractNumId w:val="0"/>
  </w:num>
  <w:num w:numId="11">
    <w:abstractNumId w:val="1"/>
  </w:num>
  <w:num w:numId="12">
    <w:abstractNumId w:val="7"/>
  </w:num>
  <w:num w:numId="13">
    <w:abstractNumId w:val="8"/>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2sjQ3N7c0NDYwNDRQ0lEKTi0uzszPAykwrAUATbumYCwAAAA="/>
  </w:docVars>
  <w:rsids>
    <w:rsidRoot w:val="00A11053"/>
    <w:rsid w:val="000006DE"/>
    <w:rsid w:val="00001CBA"/>
    <w:rsid w:val="000046B9"/>
    <w:rsid w:val="0000513D"/>
    <w:rsid w:val="00005302"/>
    <w:rsid w:val="00015408"/>
    <w:rsid w:val="00016256"/>
    <w:rsid w:val="0002694E"/>
    <w:rsid w:val="00026984"/>
    <w:rsid w:val="000329A1"/>
    <w:rsid w:val="00033AE6"/>
    <w:rsid w:val="00040B86"/>
    <w:rsid w:val="000436BF"/>
    <w:rsid w:val="00044305"/>
    <w:rsid w:val="00045243"/>
    <w:rsid w:val="00045CF0"/>
    <w:rsid w:val="000468D0"/>
    <w:rsid w:val="0005041D"/>
    <w:rsid w:val="00050A8C"/>
    <w:rsid w:val="000519A0"/>
    <w:rsid w:val="000535ED"/>
    <w:rsid w:val="00056FA1"/>
    <w:rsid w:val="00057D5F"/>
    <w:rsid w:val="000700C1"/>
    <w:rsid w:val="00070ACE"/>
    <w:rsid w:val="00071FF3"/>
    <w:rsid w:val="00072C42"/>
    <w:rsid w:val="00074314"/>
    <w:rsid w:val="000750F0"/>
    <w:rsid w:val="00075FAE"/>
    <w:rsid w:val="0008117A"/>
    <w:rsid w:val="000829F6"/>
    <w:rsid w:val="00082E50"/>
    <w:rsid w:val="000830B3"/>
    <w:rsid w:val="00084BAD"/>
    <w:rsid w:val="00087A99"/>
    <w:rsid w:val="00091172"/>
    <w:rsid w:val="00091C81"/>
    <w:rsid w:val="000924D8"/>
    <w:rsid w:val="00094FDA"/>
    <w:rsid w:val="00095281"/>
    <w:rsid w:val="00096EAF"/>
    <w:rsid w:val="00097928"/>
    <w:rsid w:val="000A3DDB"/>
    <w:rsid w:val="000A4699"/>
    <w:rsid w:val="000A6147"/>
    <w:rsid w:val="000A6FCA"/>
    <w:rsid w:val="000B03C5"/>
    <w:rsid w:val="000B1481"/>
    <w:rsid w:val="000B7FEB"/>
    <w:rsid w:val="000C008B"/>
    <w:rsid w:val="000C4698"/>
    <w:rsid w:val="000C7724"/>
    <w:rsid w:val="000D79B3"/>
    <w:rsid w:val="000E2515"/>
    <w:rsid w:val="000E6045"/>
    <w:rsid w:val="000F2727"/>
    <w:rsid w:val="000F3F5D"/>
    <w:rsid w:val="000F641D"/>
    <w:rsid w:val="00100B33"/>
    <w:rsid w:val="00102A76"/>
    <w:rsid w:val="0010620C"/>
    <w:rsid w:val="00111226"/>
    <w:rsid w:val="00116A43"/>
    <w:rsid w:val="00117D18"/>
    <w:rsid w:val="0012093A"/>
    <w:rsid w:val="0012169C"/>
    <w:rsid w:val="00122519"/>
    <w:rsid w:val="0012514D"/>
    <w:rsid w:val="00125F22"/>
    <w:rsid w:val="00132B0E"/>
    <w:rsid w:val="001346D7"/>
    <w:rsid w:val="0013783B"/>
    <w:rsid w:val="00144594"/>
    <w:rsid w:val="00145A4A"/>
    <w:rsid w:val="0014654C"/>
    <w:rsid w:val="00146571"/>
    <w:rsid w:val="001536A3"/>
    <w:rsid w:val="00153787"/>
    <w:rsid w:val="0016023F"/>
    <w:rsid w:val="00162493"/>
    <w:rsid w:val="00171C07"/>
    <w:rsid w:val="00177708"/>
    <w:rsid w:val="001811F7"/>
    <w:rsid w:val="001850D8"/>
    <w:rsid w:val="00185559"/>
    <w:rsid w:val="00186CC6"/>
    <w:rsid w:val="00190178"/>
    <w:rsid w:val="00194541"/>
    <w:rsid w:val="001A0AA3"/>
    <w:rsid w:val="001A540C"/>
    <w:rsid w:val="001A6D19"/>
    <w:rsid w:val="001A7BAE"/>
    <w:rsid w:val="001B0320"/>
    <w:rsid w:val="001B116A"/>
    <w:rsid w:val="001B1B1A"/>
    <w:rsid w:val="001B48C4"/>
    <w:rsid w:val="001B53B4"/>
    <w:rsid w:val="001B65CE"/>
    <w:rsid w:val="001B7186"/>
    <w:rsid w:val="001C36DE"/>
    <w:rsid w:val="001D3739"/>
    <w:rsid w:val="001D3D0D"/>
    <w:rsid w:val="001D75AE"/>
    <w:rsid w:val="001D78F1"/>
    <w:rsid w:val="001D7C37"/>
    <w:rsid w:val="001E09FD"/>
    <w:rsid w:val="001E21A4"/>
    <w:rsid w:val="001E4433"/>
    <w:rsid w:val="001E4F3D"/>
    <w:rsid w:val="001F0FE9"/>
    <w:rsid w:val="001F11DF"/>
    <w:rsid w:val="001F1973"/>
    <w:rsid w:val="001F1A43"/>
    <w:rsid w:val="001F1E16"/>
    <w:rsid w:val="001F24C1"/>
    <w:rsid w:val="001F45B4"/>
    <w:rsid w:val="001F5413"/>
    <w:rsid w:val="00203825"/>
    <w:rsid w:val="00203AAA"/>
    <w:rsid w:val="002111CE"/>
    <w:rsid w:val="00216930"/>
    <w:rsid w:val="00223C4F"/>
    <w:rsid w:val="00225913"/>
    <w:rsid w:val="00233F10"/>
    <w:rsid w:val="0023548B"/>
    <w:rsid w:val="00236EC5"/>
    <w:rsid w:val="002379FD"/>
    <w:rsid w:val="00241BF2"/>
    <w:rsid w:val="002443EA"/>
    <w:rsid w:val="00246125"/>
    <w:rsid w:val="00247794"/>
    <w:rsid w:val="00252A81"/>
    <w:rsid w:val="00256A8A"/>
    <w:rsid w:val="00260BE9"/>
    <w:rsid w:val="00260CDD"/>
    <w:rsid w:val="00262DA6"/>
    <w:rsid w:val="00266C6D"/>
    <w:rsid w:val="00267EF1"/>
    <w:rsid w:val="00275892"/>
    <w:rsid w:val="00277384"/>
    <w:rsid w:val="00277C96"/>
    <w:rsid w:val="00277FC0"/>
    <w:rsid w:val="00283383"/>
    <w:rsid w:val="00283B89"/>
    <w:rsid w:val="0028677B"/>
    <w:rsid w:val="0028790D"/>
    <w:rsid w:val="00290873"/>
    <w:rsid w:val="00294492"/>
    <w:rsid w:val="0029571F"/>
    <w:rsid w:val="00295854"/>
    <w:rsid w:val="00295EA9"/>
    <w:rsid w:val="00296A87"/>
    <w:rsid w:val="0029758B"/>
    <w:rsid w:val="002A0034"/>
    <w:rsid w:val="002A03F1"/>
    <w:rsid w:val="002A08C7"/>
    <w:rsid w:val="002B00B6"/>
    <w:rsid w:val="002B0AC0"/>
    <w:rsid w:val="002B2258"/>
    <w:rsid w:val="002B249D"/>
    <w:rsid w:val="002B4E43"/>
    <w:rsid w:val="002B50B8"/>
    <w:rsid w:val="002B526C"/>
    <w:rsid w:val="002B61DD"/>
    <w:rsid w:val="002C0291"/>
    <w:rsid w:val="002C29E8"/>
    <w:rsid w:val="002C3C9D"/>
    <w:rsid w:val="002C4DCF"/>
    <w:rsid w:val="002C5B13"/>
    <w:rsid w:val="002C734D"/>
    <w:rsid w:val="002D068C"/>
    <w:rsid w:val="002D0879"/>
    <w:rsid w:val="002D0B43"/>
    <w:rsid w:val="002D13BE"/>
    <w:rsid w:val="002D3687"/>
    <w:rsid w:val="002D5366"/>
    <w:rsid w:val="002D6873"/>
    <w:rsid w:val="002D6E95"/>
    <w:rsid w:val="002D7FB5"/>
    <w:rsid w:val="002E48C7"/>
    <w:rsid w:val="002F058B"/>
    <w:rsid w:val="002F0BF7"/>
    <w:rsid w:val="002F4F3F"/>
    <w:rsid w:val="002F66EE"/>
    <w:rsid w:val="002F74E1"/>
    <w:rsid w:val="00302B69"/>
    <w:rsid w:val="00304782"/>
    <w:rsid w:val="00310AE8"/>
    <w:rsid w:val="003112DF"/>
    <w:rsid w:val="00311E26"/>
    <w:rsid w:val="00314E64"/>
    <w:rsid w:val="00315579"/>
    <w:rsid w:val="00322FBF"/>
    <w:rsid w:val="00325DEF"/>
    <w:rsid w:val="0033080A"/>
    <w:rsid w:val="00330CEB"/>
    <w:rsid w:val="0033260C"/>
    <w:rsid w:val="00332872"/>
    <w:rsid w:val="003335E8"/>
    <w:rsid w:val="0033519C"/>
    <w:rsid w:val="003414B8"/>
    <w:rsid w:val="00341DB2"/>
    <w:rsid w:val="003429E7"/>
    <w:rsid w:val="003527B6"/>
    <w:rsid w:val="00356454"/>
    <w:rsid w:val="003566C9"/>
    <w:rsid w:val="00360859"/>
    <w:rsid w:val="00364C0E"/>
    <w:rsid w:val="00365E33"/>
    <w:rsid w:val="003666F9"/>
    <w:rsid w:val="00366BE0"/>
    <w:rsid w:val="00370502"/>
    <w:rsid w:val="00370D86"/>
    <w:rsid w:val="003722CB"/>
    <w:rsid w:val="00372D77"/>
    <w:rsid w:val="003775C3"/>
    <w:rsid w:val="003801B2"/>
    <w:rsid w:val="003854D3"/>
    <w:rsid w:val="0039655C"/>
    <w:rsid w:val="003A134F"/>
    <w:rsid w:val="003A20B3"/>
    <w:rsid w:val="003A5B4D"/>
    <w:rsid w:val="003B08DC"/>
    <w:rsid w:val="003B658B"/>
    <w:rsid w:val="003C00C6"/>
    <w:rsid w:val="003C2E60"/>
    <w:rsid w:val="003C3597"/>
    <w:rsid w:val="003C35DD"/>
    <w:rsid w:val="003C5B27"/>
    <w:rsid w:val="003C7FBC"/>
    <w:rsid w:val="003D0CAF"/>
    <w:rsid w:val="003D270F"/>
    <w:rsid w:val="003D2CE5"/>
    <w:rsid w:val="003D573A"/>
    <w:rsid w:val="003D699E"/>
    <w:rsid w:val="003D7D38"/>
    <w:rsid w:val="003E0910"/>
    <w:rsid w:val="003E641C"/>
    <w:rsid w:val="003E66F1"/>
    <w:rsid w:val="003E75AE"/>
    <w:rsid w:val="003F098B"/>
    <w:rsid w:val="003F0C49"/>
    <w:rsid w:val="003F1836"/>
    <w:rsid w:val="003F7F7F"/>
    <w:rsid w:val="004000E1"/>
    <w:rsid w:val="00400AE0"/>
    <w:rsid w:val="00402BA2"/>
    <w:rsid w:val="004046DA"/>
    <w:rsid w:val="0040510A"/>
    <w:rsid w:val="004056FB"/>
    <w:rsid w:val="0040597D"/>
    <w:rsid w:val="00410E4D"/>
    <w:rsid w:val="00413C8F"/>
    <w:rsid w:val="00415F36"/>
    <w:rsid w:val="0041747A"/>
    <w:rsid w:val="00417819"/>
    <w:rsid w:val="00425AD9"/>
    <w:rsid w:val="00425D82"/>
    <w:rsid w:val="00427C38"/>
    <w:rsid w:val="00430B96"/>
    <w:rsid w:val="00430D2A"/>
    <w:rsid w:val="00433181"/>
    <w:rsid w:val="004351A2"/>
    <w:rsid w:val="00435DA6"/>
    <w:rsid w:val="00435EB6"/>
    <w:rsid w:val="004400CC"/>
    <w:rsid w:val="00442026"/>
    <w:rsid w:val="004431B0"/>
    <w:rsid w:val="0044370B"/>
    <w:rsid w:val="0044407D"/>
    <w:rsid w:val="00446ED2"/>
    <w:rsid w:val="004514EC"/>
    <w:rsid w:val="00453707"/>
    <w:rsid w:val="00454A01"/>
    <w:rsid w:val="00457B0C"/>
    <w:rsid w:val="00461834"/>
    <w:rsid w:val="00461E0D"/>
    <w:rsid w:val="00465858"/>
    <w:rsid w:val="00466769"/>
    <w:rsid w:val="0047103E"/>
    <w:rsid w:val="00471592"/>
    <w:rsid w:val="00473391"/>
    <w:rsid w:val="00476B73"/>
    <w:rsid w:val="00477BFB"/>
    <w:rsid w:val="00483D23"/>
    <w:rsid w:val="00486C17"/>
    <w:rsid w:val="00486C38"/>
    <w:rsid w:val="00494302"/>
    <w:rsid w:val="00494CC5"/>
    <w:rsid w:val="004968D1"/>
    <w:rsid w:val="00497D8E"/>
    <w:rsid w:val="004A22B4"/>
    <w:rsid w:val="004A5608"/>
    <w:rsid w:val="004A71D4"/>
    <w:rsid w:val="004B0505"/>
    <w:rsid w:val="004B2679"/>
    <w:rsid w:val="004B4415"/>
    <w:rsid w:val="004B553A"/>
    <w:rsid w:val="004B57C1"/>
    <w:rsid w:val="004B59E7"/>
    <w:rsid w:val="004B7AD1"/>
    <w:rsid w:val="004C1D6C"/>
    <w:rsid w:val="004C3BB2"/>
    <w:rsid w:val="004C3DEF"/>
    <w:rsid w:val="004C631E"/>
    <w:rsid w:val="004C78E9"/>
    <w:rsid w:val="004D231B"/>
    <w:rsid w:val="004D47BF"/>
    <w:rsid w:val="004D62E3"/>
    <w:rsid w:val="004E1CFA"/>
    <w:rsid w:val="004F20E5"/>
    <w:rsid w:val="004F4167"/>
    <w:rsid w:val="004F6E32"/>
    <w:rsid w:val="004F7949"/>
    <w:rsid w:val="00501F08"/>
    <w:rsid w:val="0050346B"/>
    <w:rsid w:val="00505D1C"/>
    <w:rsid w:val="005076B4"/>
    <w:rsid w:val="00512124"/>
    <w:rsid w:val="0051464A"/>
    <w:rsid w:val="005168B3"/>
    <w:rsid w:val="00520C7D"/>
    <w:rsid w:val="005211DE"/>
    <w:rsid w:val="005215BB"/>
    <w:rsid w:val="005217DD"/>
    <w:rsid w:val="00525D5D"/>
    <w:rsid w:val="00527582"/>
    <w:rsid w:val="00530F1C"/>
    <w:rsid w:val="00531CB4"/>
    <w:rsid w:val="0053200D"/>
    <w:rsid w:val="00534675"/>
    <w:rsid w:val="00541D16"/>
    <w:rsid w:val="00544DA8"/>
    <w:rsid w:val="00552B20"/>
    <w:rsid w:val="00552D21"/>
    <w:rsid w:val="005551E1"/>
    <w:rsid w:val="005562EF"/>
    <w:rsid w:val="00557314"/>
    <w:rsid w:val="00560083"/>
    <w:rsid w:val="0056670C"/>
    <w:rsid w:val="005710EB"/>
    <w:rsid w:val="00572EA7"/>
    <w:rsid w:val="00576A6D"/>
    <w:rsid w:val="00580F9F"/>
    <w:rsid w:val="00582E24"/>
    <w:rsid w:val="00583FEF"/>
    <w:rsid w:val="0058582D"/>
    <w:rsid w:val="00585B4C"/>
    <w:rsid w:val="00585CE1"/>
    <w:rsid w:val="00585D79"/>
    <w:rsid w:val="005906A9"/>
    <w:rsid w:val="0059294C"/>
    <w:rsid w:val="00592CA0"/>
    <w:rsid w:val="005947CE"/>
    <w:rsid w:val="00594A8D"/>
    <w:rsid w:val="005959E4"/>
    <w:rsid w:val="005A3255"/>
    <w:rsid w:val="005A4FCF"/>
    <w:rsid w:val="005B48BE"/>
    <w:rsid w:val="005B5A2B"/>
    <w:rsid w:val="005B6B98"/>
    <w:rsid w:val="005B73EA"/>
    <w:rsid w:val="005B7B61"/>
    <w:rsid w:val="005C728E"/>
    <w:rsid w:val="005D12BA"/>
    <w:rsid w:val="005D165F"/>
    <w:rsid w:val="005D7119"/>
    <w:rsid w:val="005D7984"/>
    <w:rsid w:val="005E3BAA"/>
    <w:rsid w:val="005E6220"/>
    <w:rsid w:val="005F0949"/>
    <w:rsid w:val="005F1C6B"/>
    <w:rsid w:val="005F39A0"/>
    <w:rsid w:val="005F4F7D"/>
    <w:rsid w:val="00611F9C"/>
    <w:rsid w:val="006128F3"/>
    <w:rsid w:val="00615377"/>
    <w:rsid w:val="006165F1"/>
    <w:rsid w:val="006201E9"/>
    <w:rsid w:val="00625558"/>
    <w:rsid w:val="00627629"/>
    <w:rsid w:val="006306C2"/>
    <w:rsid w:val="00632646"/>
    <w:rsid w:val="00633029"/>
    <w:rsid w:val="00635349"/>
    <w:rsid w:val="00636E92"/>
    <w:rsid w:val="006413F7"/>
    <w:rsid w:val="00644570"/>
    <w:rsid w:val="00645487"/>
    <w:rsid w:val="00647AB7"/>
    <w:rsid w:val="00647D85"/>
    <w:rsid w:val="006506EB"/>
    <w:rsid w:val="00652294"/>
    <w:rsid w:val="00652611"/>
    <w:rsid w:val="00653EDE"/>
    <w:rsid w:val="0065404A"/>
    <w:rsid w:val="0065772D"/>
    <w:rsid w:val="00661550"/>
    <w:rsid w:val="006631F7"/>
    <w:rsid w:val="006644E0"/>
    <w:rsid w:val="00664D5D"/>
    <w:rsid w:val="00665202"/>
    <w:rsid w:val="00666AB8"/>
    <w:rsid w:val="00667B85"/>
    <w:rsid w:val="00673416"/>
    <w:rsid w:val="00682545"/>
    <w:rsid w:val="00684483"/>
    <w:rsid w:val="00686636"/>
    <w:rsid w:val="0068726C"/>
    <w:rsid w:val="0069172A"/>
    <w:rsid w:val="00692CF6"/>
    <w:rsid w:val="00694654"/>
    <w:rsid w:val="00695D64"/>
    <w:rsid w:val="00696717"/>
    <w:rsid w:val="0069691C"/>
    <w:rsid w:val="00696F76"/>
    <w:rsid w:val="006A0645"/>
    <w:rsid w:val="006A12D4"/>
    <w:rsid w:val="006A23EF"/>
    <w:rsid w:val="006B0F34"/>
    <w:rsid w:val="006B39A5"/>
    <w:rsid w:val="006B4DA8"/>
    <w:rsid w:val="006B577B"/>
    <w:rsid w:val="006C13CE"/>
    <w:rsid w:val="006C2A7E"/>
    <w:rsid w:val="006C5AF7"/>
    <w:rsid w:val="006D216B"/>
    <w:rsid w:val="006D30CA"/>
    <w:rsid w:val="006D3D86"/>
    <w:rsid w:val="006D6474"/>
    <w:rsid w:val="006D735C"/>
    <w:rsid w:val="006E024F"/>
    <w:rsid w:val="006E19E3"/>
    <w:rsid w:val="006E6014"/>
    <w:rsid w:val="006E6448"/>
    <w:rsid w:val="006F2332"/>
    <w:rsid w:val="00702CB9"/>
    <w:rsid w:val="00703DB0"/>
    <w:rsid w:val="0070562E"/>
    <w:rsid w:val="00706819"/>
    <w:rsid w:val="00707330"/>
    <w:rsid w:val="0071045E"/>
    <w:rsid w:val="00711307"/>
    <w:rsid w:val="00711D2D"/>
    <w:rsid w:val="007124ED"/>
    <w:rsid w:val="00712723"/>
    <w:rsid w:val="00714F5E"/>
    <w:rsid w:val="007157BB"/>
    <w:rsid w:val="00716CE6"/>
    <w:rsid w:val="00724114"/>
    <w:rsid w:val="00730069"/>
    <w:rsid w:val="00730523"/>
    <w:rsid w:val="00734161"/>
    <w:rsid w:val="00735207"/>
    <w:rsid w:val="0073589E"/>
    <w:rsid w:val="00735C7C"/>
    <w:rsid w:val="00736A9F"/>
    <w:rsid w:val="0074123C"/>
    <w:rsid w:val="00744DED"/>
    <w:rsid w:val="007504AB"/>
    <w:rsid w:val="00751C2D"/>
    <w:rsid w:val="00753253"/>
    <w:rsid w:val="0075339D"/>
    <w:rsid w:val="00753B35"/>
    <w:rsid w:val="0075468F"/>
    <w:rsid w:val="00755464"/>
    <w:rsid w:val="007578E8"/>
    <w:rsid w:val="00762406"/>
    <w:rsid w:val="0076403E"/>
    <w:rsid w:val="007651A7"/>
    <w:rsid w:val="007724F0"/>
    <w:rsid w:val="00776274"/>
    <w:rsid w:val="007769C6"/>
    <w:rsid w:val="00781728"/>
    <w:rsid w:val="0078484B"/>
    <w:rsid w:val="00791C9A"/>
    <w:rsid w:val="007A3DD4"/>
    <w:rsid w:val="007A4D7B"/>
    <w:rsid w:val="007A5D83"/>
    <w:rsid w:val="007B083A"/>
    <w:rsid w:val="007B3F80"/>
    <w:rsid w:val="007C13D2"/>
    <w:rsid w:val="007C537F"/>
    <w:rsid w:val="007C5875"/>
    <w:rsid w:val="007C5AD4"/>
    <w:rsid w:val="007D1580"/>
    <w:rsid w:val="007D16B7"/>
    <w:rsid w:val="007D17BE"/>
    <w:rsid w:val="007D18AA"/>
    <w:rsid w:val="007D2527"/>
    <w:rsid w:val="007D3D40"/>
    <w:rsid w:val="007D7DF1"/>
    <w:rsid w:val="007E05AA"/>
    <w:rsid w:val="007E2155"/>
    <w:rsid w:val="007E41ED"/>
    <w:rsid w:val="007F0BDB"/>
    <w:rsid w:val="007F1C88"/>
    <w:rsid w:val="007F60AA"/>
    <w:rsid w:val="007F782C"/>
    <w:rsid w:val="008008B6"/>
    <w:rsid w:val="008038E2"/>
    <w:rsid w:val="00805E78"/>
    <w:rsid w:val="008067B7"/>
    <w:rsid w:val="00807965"/>
    <w:rsid w:val="008120C1"/>
    <w:rsid w:val="008178F2"/>
    <w:rsid w:val="0082204E"/>
    <w:rsid w:val="00824E3A"/>
    <w:rsid w:val="0082710B"/>
    <w:rsid w:val="00831029"/>
    <w:rsid w:val="00831B79"/>
    <w:rsid w:val="008325A8"/>
    <w:rsid w:val="00833A08"/>
    <w:rsid w:val="008340E0"/>
    <w:rsid w:val="00835148"/>
    <w:rsid w:val="00836DC8"/>
    <w:rsid w:val="00844409"/>
    <w:rsid w:val="00845E37"/>
    <w:rsid w:val="00846DAB"/>
    <w:rsid w:val="00847268"/>
    <w:rsid w:val="008479B2"/>
    <w:rsid w:val="00847C27"/>
    <w:rsid w:val="008504B2"/>
    <w:rsid w:val="00854571"/>
    <w:rsid w:val="00854A3D"/>
    <w:rsid w:val="008565BC"/>
    <w:rsid w:val="008570BF"/>
    <w:rsid w:val="00862FAA"/>
    <w:rsid w:val="008634BB"/>
    <w:rsid w:val="008645E4"/>
    <w:rsid w:val="00865117"/>
    <w:rsid w:val="00866DCB"/>
    <w:rsid w:val="00872B06"/>
    <w:rsid w:val="00872C40"/>
    <w:rsid w:val="00874DAF"/>
    <w:rsid w:val="00876F7D"/>
    <w:rsid w:val="008804B1"/>
    <w:rsid w:val="00891142"/>
    <w:rsid w:val="008914D9"/>
    <w:rsid w:val="00891A0F"/>
    <w:rsid w:val="00894269"/>
    <w:rsid w:val="0089514E"/>
    <w:rsid w:val="00896BFE"/>
    <w:rsid w:val="00896EE6"/>
    <w:rsid w:val="0089792D"/>
    <w:rsid w:val="008A021F"/>
    <w:rsid w:val="008A0874"/>
    <w:rsid w:val="008A2823"/>
    <w:rsid w:val="008A329B"/>
    <w:rsid w:val="008A37A6"/>
    <w:rsid w:val="008A384D"/>
    <w:rsid w:val="008A62D6"/>
    <w:rsid w:val="008B029D"/>
    <w:rsid w:val="008B0727"/>
    <w:rsid w:val="008B116C"/>
    <w:rsid w:val="008B19A2"/>
    <w:rsid w:val="008B3CCE"/>
    <w:rsid w:val="008B58BA"/>
    <w:rsid w:val="008B6956"/>
    <w:rsid w:val="008C204C"/>
    <w:rsid w:val="008C31BF"/>
    <w:rsid w:val="008C4FF4"/>
    <w:rsid w:val="008C5A1B"/>
    <w:rsid w:val="008D3DA4"/>
    <w:rsid w:val="008D429C"/>
    <w:rsid w:val="008E0CE2"/>
    <w:rsid w:val="008E4D34"/>
    <w:rsid w:val="008E64E0"/>
    <w:rsid w:val="008F1FC3"/>
    <w:rsid w:val="008F25AA"/>
    <w:rsid w:val="008F47F3"/>
    <w:rsid w:val="008F5DD1"/>
    <w:rsid w:val="008F6737"/>
    <w:rsid w:val="009015D8"/>
    <w:rsid w:val="00901AC1"/>
    <w:rsid w:val="00901C1B"/>
    <w:rsid w:val="00902EC8"/>
    <w:rsid w:val="0090417E"/>
    <w:rsid w:val="00907C6E"/>
    <w:rsid w:val="00910B14"/>
    <w:rsid w:val="009110BC"/>
    <w:rsid w:val="00917F4C"/>
    <w:rsid w:val="0092446E"/>
    <w:rsid w:val="00924F0D"/>
    <w:rsid w:val="00924F3A"/>
    <w:rsid w:val="00925B80"/>
    <w:rsid w:val="0093272E"/>
    <w:rsid w:val="00932B2A"/>
    <w:rsid w:val="0093361B"/>
    <w:rsid w:val="0093650A"/>
    <w:rsid w:val="00937978"/>
    <w:rsid w:val="009441F5"/>
    <w:rsid w:val="009453EB"/>
    <w:rsid w:val="00947FE0"/>
    <w:rsid w:val="0095137C"/>
    <w:rsid w:val="00953EC0"/>
    <w:rsid w:val="009566A3"/>
    <w:rsid w:val="00960A0B"/>
    <w:rsid w:val="00964E43"/>
    <w:rsid w:val="00966A8F"/>
    <w:rsid w:val="009757CA"/>
    <w:rsid w:val="00991870"/>
    <w:rsid w:val="00992301"/>
    <w:rsid w:val="009A2166"/>
    <w:rsid w:val="009A2DAC"/>
    <w:rsid w:val="009A3109"/>
    <w:rsid w:val="009A4A8D"/>
    <w:rsid w:val="009A5BF3"/>
    <w:rsid w:val="009A6FE8"/>
    <w:rsid w:val="009B0744"/>
    <w:rsid w:val="009B2634"/>
    <w:rsid w:val="009B40B2"/>
    <w:rsid w:val="009B4EDA"/>
    <w:rsid w:val="009C1509"/>
    <w:rsid w:val="009C6C0F"/>
    <w:rsid w:val="009D55D0"/>
    <w:rsid w:val="009E00E4"/>
    <w:rsid w:val="009E2369"/>
    <w:rsid w:val="009E7D64"/>
    <w:rsid w:val="009F0547"/>
    <w:rsid w:val="009F0D1B"/>
    <w:rsid w:val="009F0EDA"/>
    <w:rsid w:val="009F1A36"/>
    <w:rsid w:val="009F5530"/>
    <w:rsid w:val="009F5745"/>
    <w:rsid w:val="00A0160B"/>
    <w:rsid w:val="00A01AD1"/>
    <w:rsid w:val="00A0277A"/>
    <w:rsid w:val="00A10C9D"/>
    <w:rsid w:val="00A11053"/>
    <w:rsid w:val="00A1117F"/>
    <w:rsid w:val="00A11623"/>
    <w:rsid w:val="00A1163B"/>
    <w:rsid w:val="00A1184F"/>
    <w:rsid w:val="00A11B5E"/>
    <w:rsid w:val="00A13234"/>
    <w:rsid w:val="00A13E99"/>
    <w:rsid w:val="00A14672"/>
    <w:rsid w:val="00A149AC"/>
    <w:rsid w:val="00A15C6C"/>
    <w:rsid w:val="00A162B0"/>
    <w:rsid w:val="00A20011"/>
    <w:rsid w:val="00A21C3E"/>
    <w:rsid w:val="00A22599"/>
    <w:rsid w:val="00A25B37"/>
    <w:rsid w:val="00A31A86"/>
    <w:rsid w:val="00A31ED9"/>
    <w:rsid w:val="00A33268"/>
    <w:rsid w:val="00A3450E"/>
    <w:rsid w:val="00A34734"/>
    <w:rsid w:val="00A366C4"/>
    <w:rsid w:val="00A36F9B"/>
    <w:rsid w:val="00A41F69"/>
    <w:rsid w:val="00A435BA"/>
    <w:rsid w:val="00A45310"/>
    <w:rsid w:val="00A45DFE"/>
    <w:rsid w:val="00A46B0E"/>
    <w:rsid w:val="00A51738"/>
    <w:rsid w:val="00A531DF"/>
    <w:rsid w:val="00A53898"/>
    <w:rsid w:val="00A54DE6"/>
    <w:rsid w:val="00A60348"/>
    <w:rsid w:val="00A60774"/>
    <w:rsid w:val="00A612E6"/>
    <w:rsid w:val="00A62515"/>
    <w:rsid w:val="00A630D0"/>
    <w:rsid w:val="00A677A7"/>
    <w:rsid w:val="00A67C66"/>
    <w:rsid w:val="00A71308"/>
    <w:rsid w:val="00A76B00"/>
    <w:rsid w:val="00A77068"/>
    <w:rsid w:val="00A80FA8"/>
    <w:rsid w:val="00A81CEA"/>
    <w:rsid w:val="00A96658"/>
    <w:rsid w:val="00A970B5"/>
    <w:rsid w:val="00AA03C9"/>
    <w:rsid w:val="00AA44A9"/>
    <w:rsid w:val="00AA562E"/>
    <w:rsid w:val="00AA57D9"/>
    <w:rsid w:val="00AB3399"/>
    <w:rsid w:val="00AB3CDB"/>
    <w:rsid w:val="00AB535D"/>
    <w:rsid w:val="00AB78F8"/>
    <w:rsid w:val="00AC12EA"/>
    <w:rsid w:val="00AC2295"/>
    <w:rsid w:val="00AC4B74"/>
    <w:rsid w:val="00AD0A3E"/>
    <w:rsid w:val="00AD0EEF"/>
    <w:rsid w:val="00AD1663"/>
    <w:rsid w:val="00AD1BDE"/>
    <w:rsid w:val="00AD2BE6"/>
    <w:rsid w:val="00AD3902"/>
    <w:rsid w:val="00AD6B30"/>
    <w:rsid w:val="00AD6BE2"/>
    <w:rsid w:val="00AD7913"/>
    <w:rsid w:val="00AE6E86"/>
    <w:rsid w:val="00AF420D"/>
    <w:rsid w:val="00AF5AB2"/>
    <w:rsid w:val="00AF5FCB"/>
    <w:rsid w:val="00AF7599"/>
    <w:rsid w:val="00B00788"/>
    <w:rsid w:val="00B00EAE"/>
    <w:rsid w:val="00B0103D"/>
    <w:rsid w:val="00B02035"/>
    <w:rsid w:val="00B02266"/>
    <w:rsid w:val="00B031E7"/>
    <w:rsid w:val="00B03EB3"/>
    <w:rsid w:val="00B10ACE"/>
    <w:rsid w:val="00B13E2D"/>
    <w:rsid w:val="00B16CB6"/>
    <w:rsid w:val="00B17F08"/>
    <w:rsid w:val="00B206D4"/>
    <w:rsid w:val="00B21CE4"/>
    <w:rsid w:val="00B2708D"/>
    <w:rsid w:val="00B31706"/>
    <w:rsid w:val="00B32660"/>
    <w:rsid w:val="00B3380C"/>
    <w:rsid w:val="00B338ED"/>
    <w:rsid w:val="00B3425D"/>
    <w:rsid w:val="00B34B38"/>
    <w:rsid w:val="00B35382"/>
    <w:rsid w:val="00B37D42"/>
    <w:rsid w:val="00B41E95"/>
    <w:rsid w:val="00B42007"/>
    <w:rsid w:val="00B436F9"/>
    <w:rsid w:val="00B43B97"/>
    <w:rsid w:val="00B43D79"/>
    <w:rsid w:val="00B468C1"/>
    <w:rsid w:val="00B52F77"/>
    <w:rsid w:val="00B549B0"/>
    <w:rsid w:val="00B54FC6"/>
    <w:rsid w:val="00B571DF"/>
    <w:rsid w:val="00B67D90"/>
    <w:rsid w:val="00B67DEB"/>
    <w:rsid w:val="00B726F5"/>
    <w:rsid w:val="00B75599"/>
    <w:rsid w:val="00B75644"/>
    <w:rsid w:val="00B76FDE"/>
    <w:rsid w:val="00B86677"/>
    <w:rsid w:val="00B86E36"/>
    <w:rsid w:val="00B87E41"/>
    <w:rsid w:val="00B90308"/>
    <w:rsid w:val="00B91173"/>
    <w:rsid w:val="00B92DF7"/>
    <w:rsid w:val="00B940BC"/>
    <w:rsid w:val="00BA13BD"/>
    <w:rsid w:val="00BA3D09"/>
    <w:rsid w:val="00BA77B8"/>
    <w:rsid w:val="00BB2102"/>
    <w:rsid w:val="00BB2C37"/>
    <w:rsid w:val="00BB5C0D"/>
    <w:rsid w:val="00BB5EE2"/>
    <w:rsid w:val="00BB69E0"/>
    <w:rsid w:val="00BB7465"/>
    <w:rsid w:val="00BC0C15"/>
    <w:rsid w:val="00BC42EF"/>
    <w:rsid w:val="00BC4AEE"/>
    <w:rsid w:val="00BD2FF2"/>
    <w:rsid w:val="00BD3410"/>
    <w:rsid w:val="00BD4DD2"/>
    <w:rsid w:val="00BD6FFB"/>
    <w:rsid w:val="00BD7E8B"/>
    <w:rsid w:val="00BE0EF7"/>
    <w:rsid w:val="00BE18E3"/>
    <w:rsid w:val="00BE1D48"/>
    <w:rsid w:val="00BE1F05"/>
    <w:rsid w:val="00BE4642"/>
    <w:rsid w:val="00BE7A8A"/>
    <w:rsid w:val="00BF2C54"/>
    <w:rsid w:val="00BF4867"/>
    <w:rsid w:val="00BF6093"/>
    <w:rsid w:val="00BF7F19"/>
    <w:rsid w:val="00C01A30"/>
    <w:rsid w:val="00C065E7"/>
    <w:rsid w:val="00C066F8"/>
    <w:rsid w:val="00C069CA"/>
    <w:rsid w:val="00C1192B"/>
    <w:rsid w:val="00C11991"/>
    <w:rsid w:val="00C246FA"/>
    <w:rsid w:val="00C2650A"/>
    <w:rsid w:val="00C33689"/>
    <w:rsid w:val="00C351FD"/>
    <w:rsid w:val="00C41BAC"/>
    <w:rsid w:val="00C4586F"/>
    <w:rsid w:val="00C45BEF"/>
    <w:rsid w:val="00C466D3"/>
    <w:rsid w:val="00C5266A"/>
    <w:rsid w:val="00C53F77"/>
    <w:rsid w:val="00C56775"/>
    <w:rsid w:val="00C60D34"/>
    <w:rsid w:val="00C62143"/>
    <w:rsid w:val="00C63F73"/>
    <w:rsid w:val="00C652D3"/>
    <w:rsid w:val="00C7013C"/>
    <w:rsid w:val="00C70EEC"/>
    <w:rsid w:val="00C7213C"/>
    <w:rsid w:val="00C73B76"/>
    <w:rsid w:val="00C7493F"/>
    <w:rsid w:val="00C754B2"/>
    <w:rsid w:val="00C82415"/>
    <w:rsid w:val="00C83C12"/>
    <w:rsid w:val="00C907B2"/>
    <w:rsid w:val="00C90D4F"/>
    <w:rsid w:val="00C94311"/>
    <w:rsid w:val="00C94986"/>
    <w:rsid w:val="00C94FAA"/>
    <w:rsid w:val="00C97AD8"/>
    <w:rsid w:val="00CA0F0A"/>
    <w:rsid w:val="00CA3A36"/>
    <w:rsid w:val="00CA47C2"/>
    <w:rsid w:val="00CA49C4"/>
    <w:rsid w:val="00CA5A4A"/>
    <w:rsid w:val="00CA72BF"/>
    <w:rsid w:val="00CA7DE1"/>
    <w:rsid w:val="00CB1780"/>
    <w:rsid w:val="00CB19B3"/>
    <w:rsid w:val="00CB2E51"/>
    <w:rsid w:val="00CB6422"/>
    <w:rsid w:val="00CB6649"/>
    <w:rsid w:val="00CC0F01"/>
    <w:rsid w:val="00CC1526"/>
    <w:rsid w:val="00CC2A6A"/>
    <w:rsid w:val="00CC5053"/>
    <w:rsid w:val="00CC5ED3"/>
    <w:rsid w:val="00CC6235"/>
    <w:rsid w:val="00CD11AC"/>
    <w:rsid w:val="00CD1E40"/>
    <w:rsid w:val="00CD453E"/>
    <w:rsid w:val="00CD56B9"/>
    <w:rsid w:val="00CD6773"/>
    <w:rsid w:val="00CD71F2"/>
    <w:rsid w:val="00CD769B"/>
    <w:rsid w:val="00CF0058"/>
    <w:rsid w:val="00CF0586"/>
    <w:rsid w:val="00D042C3"/>
    <w:rsid w:val="00D063F2"/>
    <w:rsid w:val="00D06D9A"/>
    <w:rsid w:val="00D0789F"/>
    <w:rsid w:val="00D158DF"/>
    <w:rsid w:val="00D17027"/>
    <w:rsid w:val="00D214C4"/>
    <w:rsid w:val="00D259EF"/>
    <w:rsid w:val="00D27B86"/>
    <w:rsid w:val="00D31316"/>
    <w:rsid w:val="00D31917"/>
    <w:rsid w:val="00D40F33"/>
    <w:rsid w:val="00D41E5E"/>
    <w:rsid w:val="00D520F3"/>
    <w:rsid w:val="00D52F4B"/>
    <w:rsid w:val="00D53CE5"/>
    <w:rsid w:val="00D546E2"/>
    <w:rsid w:val="00D54B6A"/>
    <w:rsid w:val="00D55D70"/>
    <w:rsid w:val="00D57C6F"/>
    <w:rsid w:val="00D600B7"/>
    <w:rsid w:val="00D700F0"/>
    <w:rsid w:val="00D70443"/>
    <w:rsid w:val="00D71E16"/>
    <w:rsid w:val="00D721CE"/>
    <w:rsid w:val="00D745FF"/>
    <w:rsid w:val="00D776B8"/>
    <w:rsid w:val="00D77A14"/>
    <w:rsid w:val="00D81AD0"/>
    <w:rsid w:val="00D82248"/>
    <w:rsid w:val="00D8286F"/>
    <w:rsid w:val="00D82FD0"/>
    <w:rsid w:val="00D84E6B"/>
    <w:rsid w:val="00D87BEB"/>
    <w:rsid w:val="00D92D9B"/>
    <w:rsid w:val="00D9636E"/>
    <w:rsid w:val="00DA0D25"/>
    <w:rsid w:val="00DA28AA"/>
    <w:rsid w:val="00DA2A72"/>
    <w:rsid w:val="00DA666D"/>
    <w:rsid w:val="00DB15FB"/>
    <w:rsid w:val="00DB2389"/>
    <w:rsid w:val="00DB2496"/>
    <w:rsid w:val="00DB529F"/>
    <w:rsid w:val="00DB5C9B"/>
    <w:rsid w:val="00DB7B08"/>
    <w:rsid w:val="00DC08C4"/>
    <w:rsid w:val="00DC0FCF"/>
    <w:rsid w:val="00DC4F38"/>
    <w:rsid w:val="00DC5AC9"/>
    <w:rsid w:val="00DC5DBE"/>
    <w:rsid w:val="00DC7941"/>
    <w:rsid w:val="00DD08A6"/>
    <w:rsid w:val="00DD18CC"/>
    <w:rsid w:val="00DD56E3"/>
    <w:rsid w:val="00DD636E"/>
    <w:rsid w:val="00DD6CF6"/>
    <w:rsid w:val="00DE22B2"/>
    <w:rsid w:val="00DF2805"/>
    <w:rsid w:val="00DF4B33"/>
    <w:rsid w:val="00E00183"/>
    <w:rsid w:val="00E105AE"/>
    <w:rsid w:val="00E1089D"/>
    <w:rsid w:val="00E1371C"/>
    <w:rsid w:val="00E16F19"/>
    <w:rsid w:val="00E17E9B"/>
    <w:rsid w:val="00E23D79"/>
    <w:rsid w:val="00E30FC5"/>
    <w:rsid w:val="00E34FC7"/>
    <w:rsid w:val="00E35C74"/>
    <w:rsid w:val="00E3608C"/>
    <w:rsid w:val="00E361D0"/>
    <w:rsid w:val="00E36E92"/>
    <w:rsid w:val="00E42017"/>
    <w:rsid w:val="00E422FA"/>
    <w:rsid w:val="00E42E77"/>
    <w:rsid w:val="00E43233"/>
    <w:rsid w:val="00E44479"/>
    <w:rsid w:val="00E46D58"/>
    <w:rsid w:val="00E473B4"/>
    <w:rsid w:val="00E51A1C"/>
    <w:rsid w:val="00E51DD9"/>
    <w:rsid w:val="00E51E27"/>
    <w:rsid w:val="00E54910"/>
    <w:rsid w:val="00E54F0A"/>
    <w:rsid w:val="00E5668B"/>
    <w:rsid w:val="00E61587"/>
    <w:rsid w:val="00E66AB4"/>
    <w:rsid w:val="00E701CE"/>
    <w:rsid w:val="00E70FC0"/>
    <w:rsid w:val="00E71961"/>
    <w:rsid w:val="00E72E79"/>
    <w:rsid w:val="00E74528"/>
    <w:rsid w:val="00E83022"/>
    <w:rsid w:val="00E84E9B"/>
    <w:rsid w:val="00E85F0E"/>
    <w:rsid w:val="00E86FCE"/>
    <w:rsid w:val="00E873BE"/>
    <w:rsid w:val="00E92333"/>
    <w:rsid w:val="00E92D88"/>
    <w:rsid w:val="00E92FD4"/>
    <w:rsid w:val="00E938EE"/>
    <w:rsid w:val="00E94421"/>
    <w:rsid w:val="00E95507"/>
    <w:rsid w:val="00E96E9B"/>
    <w:rsid w:val="00EA2397"/>
    <w:rsid w:val="00EA38AB"/>
    <w:rsid w:val="00EA3F4E"/>
    <w:rsid w:val="00EB433C"/>
    <w:rsid w:val="00EB43F4"/>
    <w:rsid w:val="00EB6E01"/>
    <w:rsid w:val="00EC5140"/>
    <w:rsid w:val="00EC6BF4"/>
    <w:rsid w:val="00EC702B"/>
    <w:rsid w:val="00ED1D6B"/>
    <w:rsid w:val="00ED6898"/>
    <w:rsid w:val="00EE0895"/>
    <w:rsid w:val="00EE11AD"/>
    <w:rsid w:val="00EE15C0"/>
    <w:rsid w:val="00EE4216"/>
    <w:rsid w:val="00EE5071"/>
    <w:rsid w:val="00EF1F43"/>
    <w:rsid w:val="00EF5225"/>
    <w:rsid w:val="00EF57BF"/>
    <w:rsid w:val="00EF588E"/>
    <w:rsid w:val="00F008CC"/>
    <w:rsid w:val="00F01B8A"/>
    <w:rsid w:val="00F02752"/>
    <w:rsid w:val="00F032D2"/>
    <w:rsid w:val="00F07D63"/>
    <w:rsid w:val="00F13694"/>
    <w:rsid w:val="00F14315"/>
    <w:rsid w:val="00F15BEC"/>
    <w:rsid w:val="00F16F79"/>
    <w:rsid w:val="00F17D9D"/>
    <w:rsid w:val="00F2349E"/>
    <w:rsid w:val="00F425E1"/>
    <w:rsid w:val="00F44165"/>
    <w:rsid w:val="00F46282"/>
    <w:rsid w:val="00F467E7"/>
    <w:rsid w:val="00F5071A"/>
    <w:rsid w:val="00F51237"/>
    <w:rsid w:val="00F51317"/>
    <w:rsid w:val="00F519C9"/>
    <w:rsid w:val="00F5211F"/>
    <w:rsid w:val="00F53FED"/>
    <w:rsid w:val="00F62486"/>
    <w:rsid w:val="00F65C54"/>
    <w:rsid w:val="00F6625B"/>
    <w:rsid w:val="00F67522"/>
    <w:rsid w:val="00F708A6"/>
    <w:rsid w:val="00F80449"/>
    <w:rsid w:val="00F81C9F"/>
    <w:rsid w:val="00F82B48"/>
    <w:rsid w:val="00F83AAF"/>
    <w:rsid w:val="00F84E57"/>
    <w:rsid w:val="00F90867"/>
    <w:rsid w:val="00F943FF"/>
    <w:rsid w:val="00F9498E"/>
    <w:rsid w:val="00FA0D0F"/>
    <w:rsid w:val="00FA5770"/>
    <w:rsid w:val="00FB0098"/>
    <w:rsid w:val="00FB3668"/>
    <w:rsid w:val="00FB5D0A"/>
    <w:rsid w:val="00FB6671"/>
    <w:rsid w:val="00FB6962"/>
    <w:rsid w:val="00FC25C5"/>
    <w:rsid w:val="00FC64C6"/>
    <w:rsid w:val="00FC672A"/>
    <w:rsid w:val="00FD015F"/>
    <w:rsid w:val="00FD6BB0"/>
    <w:rsid w:val="00FE304C"/>
    <w:rsid w:val="00FE3293"/>
    <w:rsid w:val="00FE5B3B"/>
    <w:rsid w:val="00FF0A4A"/>
    <w:rsid w:val="00FF4C7D"/>
    <w:rsid w:val="00FF6DDA"/>
    <w:rsid w:val="025B4B18"/>
    <w:rsid w:val="059A0B4F"/>
    <w:rsid w:val="125F0737"/>
    <w:rsid w:val="1710392D"/>
    <w:rsid w:val="1F206259"/>
    <w:rsid w:val="271E0C9B"/>
    <w:rsid w:val="38C22E51"/>
    <w:rsid w:val="4C0C6618"/>
    <w:rsid w:val="4D7204C6"/>
    <w:rsid w:val="561E6BA3"/>
    <w:rsid w:val="5D42767F"/>
    <w:rsid w:val="662E5BE7"/>
    <w:rsid w:val="693E27B8"/>
    <w:rsid w:val="7C96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501640D"/>
  <w15:docId w15:val="{E30D4D6A-7EAA-4064-9B92-E8D826CC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Theme="minorHAnsi" w:hAnsi="Arial" w:cs="Arial"/>
      <w:sz w:val="24"/>
      <w:szCs w:val="24"/>
      <w:lang w:val="en-US" w:eastAsia="en-US"/>
    </w:rPr>
  </w:style>
  <w:style w:type="paragraph" w:styleId="Heading1">
    <w:name w:val="heading 1"/>
    <w:basedOn w:val="Normal"/>
    <w:next w:val="Normal"/>
    <w:link w:val="Heading1Char"/>
    <w:autoRedefine/>
    <w:uiPriority w:val="9"/>
    <w:qFormat/>
    <w:pPr>
      <w:keepNext/>
      <w:keepLines/>
      <w:numPr>
        <w:numId w:val="1"/>
      </w:numPr>
      <w:spacing w:before="240" w:after="0" w:line="240" w:lineRule="auto"/>
      <w:contextualSpacing/>
      <w:jc w:val="both"/>
      <w:outlineLvl w:val="0"/>
    </w:pPr>
    <w:rPr>
      <w:rFonts w:eastAsiaTheme="majorEastAsia"/>
      <w:b/>
      <w:sz w:val="20"/>
      <w:szCs w:val="20"/>
      <w:lang w:val="en-ZW"/>
    </w:rPr>
  </w:style>
  <w:style w:type="paragraph" w:styleId="Heading2">
    <w:name w:val="heading 2"/>
    <w:basedOn w:val="Normal"/>
    <w:link w:val="Heading2Char"/>
    <w:uiPriority w:val="9"/>
    <w:unhideWhenUsed/>
    <w:qFormat/>
    <w:pPr>
      <w:keepNext/>
      <w:keepLines/>
      <w:numPr>
        <w:ilvl w:val="1"/>
        <w:numId w:val="1"/>
      </w:numPr>
      <w:spacing w:before="40" w:after="0"/>
      <w:outlineLvl w:val="1"/>
    </w:pPr>
    <w:rPr>
      <w:rFonts w:eastAsiaTheme="majorEastAsia" w:cstheme="majorBidi"/>
      <w:b/>
      <w:sz w:val="22"/>
      <w:szCs w:val="26"/>
    </w:rPr>
  </w:style>
  <w:style w:type="paragraph" w:styleId="Heading3">
    <w:name w:val="heading 3"/>
    <w:basedOn w:val="Normal"/>
    <w:next w:val="Normal"/>
    <w:link w:val="Heading3Char"/>
    <w:autoRedefine/>
    <w:uiPriority w:val="9"/>
    <w:unhideWhenUsed/>
    <w:qFormat/>
    <w:pPr>
      <w:keepNext/>
      <w:keepLines/>
      <w:numPr>
        <w:ilvl w:val="2"/>
        <w:numId w:val="1"/>
      </w:numPr>
      <w:spacing w:before="40" w:after="0" w:line="240" w:lineRule="auto"/>
      <w:ind w:left="720"/>
      <w:contextualSpacing/>
      <w:outlineLvl w:val="2"/>
    </w:pPr>
    <w:rPr>
      <w:rFonts w:eastAsiaTheme="majorEastAsia" w:cstheme="majorBidi"/>
      <w:iCs/>
      <w:sz w:val="20"/>
      <w:lang w:val="en-ZW"/>
    </w:rPr>
  </w:style>
  <w:style w:type="paragraph" w:styleId="Heading4">
    <w:name w:val="heading 4"/>
    <w:basedOn w:val="Heading3"/>
    <w:next w:val="Normal"/>
    <w:link w:val="Heading4Char"/>
    <w:autoRedefine/>
    <w:uiPriority w:val="9"/>
    <w:unhideWhenUsed/>
    <w:qFormat/>
    <w:pPr>
      <w:numPr>
        <w:ilvl w:val="3"/>
      </w:numPr>
      <w:outlineLvl w:val="3"/>
    </w:pPr>
  </w:style>
  <w:style w:type="paragraph" w:styleId="Heading5">
    <w:name w:val="heading 5"/>
    <w:basedOn w:val="Normal"/>
    <w:next w:val="Normal"/>
    <w:link w:val="Heading5Char"/>
    <w:autoRedefine/>
    <w:uiPriority w:val="9"/>
    <w:unhideWhenUsed/>
    <w:qFormat/>
    <w:pPr>
      <w:keepNext/>
      <w:keepLines/>
      <w:numPr>
        <w:ilvl w:val="4"/>
        <w:numId w:val="1"/>
      </w:numPr>
      <w:spacing w:before="200" w:beforeAutospacing="1" w:after="0" w:afterAutospacing="1" w:line="480" w:lineRule="auto"/>
      <w:contextualSpacing/>
      <w:jc w:val="both"/>
      <w:outlineLvl w:val="4"/>
    </w:pPr>
    <w:rPr>
      <w:rFonts w:eastAsiaTheme="majorEastAsia" w:cstheme="majorBidi"/>
      <w:b/>
      <w:color w:val="4F81BD" w:themeColor="accent1"/>
      <w:szCs w:val="22"/>
      <w:lang w:val="en-ZW"/>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a-color-secondary">
    <w:name w:val="a-color-secondary"/>
    <w:basedOn w:val="DefaultParagraphFont"/>
    <w:qFormat/>
  </w:style>
  <w:style w:type="character" w:customStyle="1" w:styleId="reference-text">
    <w:name w:val="reference-text"/>
    <w:basedOn w:val="DefaultParagraphFont"/>
    <w:qFormat/>
  </w:style>
  <w:style w:type="character" w:customStyle="1" w:styleId="citation">
    <w:name w:val="citation"/>
    <w:basedOn w:val="DefaultParagraphFont"/>
    <w:qFormat/>
  </w:style>
  <w:style w:type="character" w:customStyle="1" w:styleId="Heading1Char">
    <w:name w:val="Heading 1 Char"/>
    <w:basedOn w:val="DefaultParagraphFont"/>
    <w:link w:val="Heading1"/>
    <w:uiPriority w:val="9"/>
    <w:qFormat/>
    <w:rPr>
      <w:rFonts w:ascii="Arial" w:eastAsiaTheme="majorEastAsia" w:hAnsi="Arial" w:cs="Arial"/>
      <w:b/>
      <w:lang w:eastAsia="en-US"/>
    </w:rPr>
  </w:style>
  <w:style w:type="character" w:customStyle="1" w:styleId="Heading3Char">
    <w:name w:val="Heading 3 Char"/>
    <w:basedOn w:val="DefaultParagraphFont"/>
    <w:link w:val="Heading3"/>
    <w:uiPriority w:val="9"/>
    <w:qFormat/>
    <w:rPr>
      <w:rFonts w:ascii="Arial" w:eastAsiaTheme="majorEastAsia" w:hAnsi="Arial" w:cstheme="majorBidi"/>
      <w:iCs/>
      <w:szCs w:val="24"/>
      <w:lang w:eastAsia="en-US"/>
    </w:rPr>
  </w:style>
  <w:style w:type="character" w:customStyle="1" w:styleId="Heading4Char">
    <w:name w:val="Heading 4 Char"/>
    <w:basedOn w:val="DefaultParagraphFont"/>
    <w:link w:val="Heading4"/>
    <w:uiPriority w:val="9"/>
    <w:qFormat/>
    <w:rPr>
      <w:rFonts w:eastAsia="Calibri"/>
      <w:b/>
      <w:color w:val="4F81BD" w:themeColor="accent1"/>
      <w:lang w:val="en"/>
    </w:rPr>
  </w:style>
  <w:style w:type="character" w:customStyle="1" w:styleId="Heading5Char">
    <w:name w:val="Heading 5 Char"/>
    <w:basedOn w:val="DefaultParagraphFont"/>
    <w:link w:val="Heading5"/>
    <w:uiPriority w:val="9"/>
    <w:qFormat/>
    <w:rPr>
      <w:rFonts w:eastAsiaTheme="majorEastAsia" w:cstheme="majorBidi"/>
      <w:b/>
      <w:color w:val="4F81BD" w:themeColor="accent1"/>
      <w:szCs w:val="22"/>
      <w:lang w:val="en-ZW"/>
    </w:rPr>
  </w:style>
  <w:style w:type="paragraph" w:styleId="NoSpacing">
    <w:name w:val="No Spacing"/>
    <w:uiPriority w:val="1"/>
    <w:qFormat/>
    <w:pPr>
      <w:spacing w:beforeAutospacing="1" w:afterAutospacing="1"/>
    </w:pPr>
    <w:rPr>
      <w:rFonts w:ascii="Arial" w:eastAsia="Times New Roman" w:hAnsi="Arial" w:cs="Arial"/>
      <w:bCs/>
      <w:color w:val="000000" w:themeColor="text1"/>
      <w:sz w:val="24"/>
      <w:szCs w:val="24"/>
      <w:lang w:val="en-US" w:eastAsia="en-US"/>
    </w:rPr>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rFonts w:eastAsiaTheme="majorEastAsia" w:cstheme="majorBidi"/>
      <w:b/>
      <w:sz w:val="22"/>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Accent31">
    <w:name w:val="Grid Table 7 Colorful - Accent 31"/>
    <w:basedOn w:val="TableNormal"/>
    <w:uiPriority w:val="52"/>
    <w:qFormat/>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21">
    <w:name w:val="Grid Table 7 Colorful - Accent 21"/>
    <w:basedOn w:val="TableNormal"/>
    <w:uiPriority w:val="52"/>
    <w:qFormat/>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11">
    <w:name w:val="Grid Table 7 Colorful - Accent 11"/>
    <w:basedOn w:val="TableNormal"/>
    <w:uiPriority w:val="52"/>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1">
    <w:name w:val="Grid Table 7 Colorful1"/>
    <w:basedOn w:val="TableNormal"/>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61">
    <w:name w:val="Grid Table 7 Colorful - Accent 61"/>
    <w:basedOn w:val="TableNormal"/>
    <w:uiPriority w:val="52"/>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6Colorful-Accent61">
    <w:name w:val="List Table 6 Colorful - Accent 61"/>
    <w:basedOn w:val="TableNormal"/>
    <w:uiPriority w:val="51"/>
    <w:qFormat/>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6Colorful-Accent51">
    <w:name w:val="List Table 6 Colorful - Accent 51"/>
    <w:basedOn w:val="TableNormal"/>
    <w:uiPriority w:val="51"/>
    <w:qFormat/>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41">
    <w:name w:val="List Table 6 Colorful - Accent 41"/>
    <w:basedOn w:val="TableNormal"/>
    <w:uiPriority w:val="51"/>
    <w:qFormat/>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1">
    <w:name w:val="List Table 1 Light1"/>
    <w:basedOn w:val="TableNormal"/>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1">
    <w:name w:val="List Table 1 Light - Accent 31"/>
    <w:basedOn w:val="TableNormal"/>
    <w:uiPriority w:val="46"/>
    <w:qFormat/>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qFormat/>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qFormat/>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qFormat/>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5Dark1">
    <w:name w:val="List Table 5 Dark1"/>
    <w:basedOn w:val="TableNormal"/>
    <w:uiPriority w:val="50"/>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iliation">
    <w:name w:val="Affiliation"/>
    <w:basedOn w:val="Normal"/>
    <w:pPr>
      <w:spacing w:after="240" w:line="240" w:lineRule="exact"/>
      <w:jc w:val="right"/>
    </w:pPr>
    <w:rPr>
      <w:rFonts w:ascii="Helvetica" w:eastAsia="Times New Roman" w:hAnsi="Helvetica" w:cs="Times New Roman"/>
      <w:sz w:val="20"/>
      <w:szCs w:val="20"/>
    </w:rPr>
  </w:style>
  <w:style w:type="character" w:customStyle="1" w:styleId="jpfdse">
    <w:name w:val="jpfdse"/>
    <w:basedOn w:val="DefaultParagraphFont"/>
  </w:style>
  <w:style w:type="character" w:customStyle="1" w:styleId="A4">
    <w:name w:val="A4"/>
    <w:uiPriority w:val="99"/>
    <w:rPr>
      <w:rFonts w:cs="Frutiger LT Com 45 Light"/>
      <w:color w:val="221E1F"/>
      <w:sz w:val="18"/>
      <w:szCs w:val="18"/>
    </w:rPr>
  </w:style>
  <w:style w:type="character" w:customStyle="1" w:styleId="headerfileinfooverlaystoragelabel1zoke">
    <w:name w:val="headerfileinfooverlay__storagelabel___1zok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va-legacy-c-buttonlabel">
    <w:name w:val="nova-legacy-c-button__label"/>
    <w:basedOn w:val="DefaultParagraphFont"/>
  </w:style>
  <w:style w:type="character" w:customStyle="1" w:styleId="js-target-copy-link">
    <w:name w:val="js-target-copy-link"/>
    <w:basedOn w:val="DefaultParagraphFont"/>
  </w:style>
  <w:style w:type="table" w:customStyle="1" w:styleId="PlainTable22">
    <w:name w:val="Plain Table 22"/>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5">
    <w:name w:val="15"/>
    <w:basedOn w:val="DefaultParagraphFont"/>
    <w:rPr>
      <w:rFonts w:ascii="Arial" w:hAnsi="Arial" w:cs="Frutiger LT Com 45 Light" w:hint="default"/>
      <w:color w:val="221E1F"/>
      <w:sz w:val="18"/>
      <w:szCs w:val="18"/>
    </w:rPr>
  </w:style>
  <w:style w:type="table" w:customStyle="1" w:styleId="PlainTable23">
    <w:name w:val="Plain Table 23"/>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4">
    <w:name w:val="Plain Table 24"/>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FB36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F1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97378">
      <w:bodyDiv w:val="1"/>
      <w:marLeft w:val="0"/>
      <w:marRight w:val="0"/>
      <w:marTop w:val="0"/>
      <w:marBottom w:val="0"/>
      <w:divBdr>
        <w:top w:val="none" w:sz="0" w:space="0" w:color="auto"/>
        <w:left w:val="none" w:sz="0" w:space="0" w:color="auto"/>
        <w:bottom w:val="none" w:sz="0" w:space="0" w:color="auto"/>
        <w:right w:val="none" w:sz="0" w:space="0" w:color="auto"/>
      </w:divBdr>
    </w:div>
    <w:div w:id="212457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978-1-4419-8071-7_204" TargetMode="External"/><Relationship Id="rId18" Type="http://schemas.openxmlformats.org/officeDocument/2006/relationships/hyperlink" Target="https://www.google.com/search?sca_esv=22ad96beb70fd0c9&amp;sxsrf=AE3TifOMReuqISTIMvJitVCIfK2RfZHVrw:1754720248666&amp;q=U.S.+Department+of+Health+and+Human+Services+Food+and+Drug+Administration+Center+for+Drug+Evaluation+and+Research+(CDER)+December+2012+,+Labeling+and+Effectiveness+Testing:+Sunscreen+Drug+Products+for+Over+The-Counter+Human+Use+%E2%80%94+Small+Entity+Compliance+Guide&amp;spell=1&amp;sa=X&amp;ved=2ahUKEwj0kuioiv2OAxUKZ0EAHcnHCOQQBSgAegQIDRAB"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1787/9789264070660-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esearchgate.net/publication/325553377_Characterization_of_Seed_Oil_from_Citrullus_lanatus_Watermelon" TargetMode="External"/><Relationship Id="rId20" Type="http://schemas.openxmlformats.org/officeDocument/2006/relationships/hyperlink" Target="https://doi.org/10.1016/j.trac.2022.116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007/s10311-023-01649-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787/9789264242678-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90/cosmetics604006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4D6E2-5D7D-4795-9438-54953D0E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9240</Words>
  <Characters>52671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SDI PC New 16</cp:lastModifiedBy>
  <cp:revision>35</cp:revision>
  <dcterms:created xsi:type="dcterms:W3CDTF">2025-08-12T03:45:00Z</dcterms:created>
  <dcterms:modified xsi:type="dcterms:W3CDTF">2025-08-22T09:52:00Z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1F9C38EBE3984A1DAD34ACC81468047B_13</vt:lpwstr>
  </property>
</Properties>
</file>