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3F5C9" w14:textId="24D23B4E" w:rsidR="00724AB5" w:rsidRDefault="00432C9A">
      <w:pPr>
        <w:spacing w:after="0" w:line="240" w:lineRule="auto"/>
        <w:rPr>
          <w:rFonts w:ascii="Times New Roman" w:eastAsia="Times New Roman" w:hAnsi="Times New Roman" w:cs="Times New Roman"/>
          <w:sz w:val="24"/>
          <w:szCs w:val="24"/>
        </w:rPr>
      </w:pPr>
      <w:bookmarkStart w:id="0" w:name="_GoBack"/>
      <w:bookmarkEnd w:id="0"/>
      <w:r w:rsidRPr="00432C9A">
        <w:rPr>
          <w:rFonts w:ascii="Times New Roman" w:eastAsia="Times New Roman" w:hAnsi="Times New Roman" w:cs="Times New Roman"/>
          <w:b/>
          <w:sz w:val="24"/>
          <w:szCs w:val="24"/>
        </w:rPr>
        <w:t xml:space="preserve">Clinical Clusters of Sickle Cell </w:t>
      </w:r>
      <w:r w:rsidR="008F5E66">
        <w:rPr>
          <w:rFonts w:ascii="Times New Roman" w:eastAsia="Times New Roman" w:hAnsi="Times New Roman" w:cs="Times New Roman"/>
          <w:b/>
          <w:sz w:val="24"/>
          <w:szCs w:val="24"/>
        </w:rPr>
        <w:t>Anemia</w:t>
      </w:r>
      <w:r w:rsidRPr="00432C9A">
        <w:rPr>
          <w:rFonts w:ascii="Times New Roman" w:eastAsia="Times New Roman" w:hAnsi="Times New Roman" w:cs="Times New Roman"/>
          <w:b/>
          <w:sz w:val="24"/>
          <w:szCs w:val="24"/>
        </w:rPr>
        <w:t>: Exploring the Impact of Lifestyle,</w:t>
      </w:r>
      <w:r>
        <w:rPr>
          <w:rFonts w:ascii="Times New Roman" w:eastAsia="Times New Roman" w:hAnsi="Times New Roman" w:cs="Times New Roman"/>
          <w:b/>
          <w:sz w:val="24"/>
          <w:szCs w:val="24"/>
        </w:rPr>
        <w:t xml:space="preserve"> </w:t>
      </w:r>
      <w:r w:rsidRPr="00432C9A">
        <w:rPr>
          <w:rFonts w:ascii="Times New Roman" w:eastAsia="Times New Roman" w:hAnsi="Times New Roman" w:cs="Times New Roman"/>
          <w:b/>
          <w:sz w:val="24"/>
          <w:szCs w:val="24"/>
        </w:rPr>
        <w:t>Environmental, and Socioeconomic Influences in Cameroon</w:t>
      </w:r>
    </w:p>
    <w:p w14:paraId="308917E8" w14:textId="77777777" w:rsidR="00724AB5" w:rsidRDefault="00724AB5">
      <w:pPr>
        <w:spacing w:after="0" w:line="240" w:lineRule="auto"/>
        <w:rPr>
          <w:rFonts w:ascii="Times New Roman" w:eastAsia="Times New Roman" w:hAnsi="Times New Roman" w:cs="Times New Roman"/>
          <w:sz w:val="24"/>
          <w:szCs w:val="24"/>
        </w:rPr>
      </w:pPr>
    </w:p>
    <w:p w14:paraId="1666EABD" w14:textId="77777777" w:rsidR="00724AB5" w:rsidRDefault="007D385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54804C5" w14:textId="77777777" w:rsidR="00724AB5" w:rsidRDefault="007D38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36EB9E35" w14:textId="681D76EF" w:rsidR="00724AB5" w:rsidRDefault="004E6132">
      <w:pPr>
        <w:spacing w:after="0" w:line="240" w:lineRule="auto"/>
        <w:jc w:val="both"/>
        <w:rPr>
          <w:rFonts w:ascii="Times New Roman" w:eastAsia="Times New Roman" w:hAnsi="Times New Roman" w:cs="Times New Roman"/>
          <w:sz w:val="24"/>
          <w:szCs w:val="24"/>
        </w:rPr>
      </w:pPr>
      <w:r w:rsidRPr="004E6132">
        <w:rPr>
          <w:rFonts w:ascii="Times New Roman" w:eastAsia="Times New Roman" w:hAnsi="Times New Roman" w:cs="Times New Roman"/>
          <w:sz w:val="24"/>
          <w:szCs w:val="24"/>
        </w:rPr>
        <w:t xml:space="preserve">Despite growing evidence that exogenous factors such as environmental conditions, influence the clinical severity of sickle cell </w:t>
      </w:r>
      <w:r w:rsidR="005D6D4B">
        <w:rPr>
          <w:rFonts w:ascii="Times New Roman" w:eastAsia="Times New Roman" w:hAnsi="Times New Roman" w:cs="Times New Roman"/>
          <w:sz w:val="24"/>
          <w:szCs w:val="24"/>
        </w:rPr>
        <w:t>anemia</w:t>
      </w:r>
      <w:r w:rsidRPr="004E6132">
        <w:rPr>
          <w:rFonts w:ascii="Times New Roman" w:eastAsia="Times New Roman" w:hAnsi="Times New Roman" w:cs="Times New Roman"/>
          <w:sz w:val="24"/>
          <w:szCs w:val="24"/>
        </w:rPr>
        <w:t>, their impact remain poorly understood in Cameroon. This study explores clinical clusters of sickle cell anemia and their associations with lifestyle, environmental, and socioeconomic factors among patients in Cameroon’s cosmopolitan Centre region</w:t>
      </w:r>
      <w:r>
        <w:rPr>
          <w:rFonts w:ascii="Times New Roman" w:eastAsia="Times New Roman" w:hAnsi="Times New Roman" w:cs="Times New Roman"/>
          <w:sz w:val="24"/>
          <w:szCs w:val="24"/>
        </w:rPr>
        <w:t>.</w:t>
      </w:r>
      <w:r w:rsidR="00097DF0">
        <w:rPr>
          <w:rFonts w:ascii="Times New Roman" w:eastAsia="Times New Roman" w:hAnsi="Times New Roman" w:cs="Times New Roman"/>
          <w:sz w:val="24"/>
          <w:szCs w:val="24"/>
        </w:rPr>
        <w:t xml:space="preserve"> </w:t>
      </w:r>
    </w:p>
    <w:p w14:paraId="08212A47" w14:textId="77777777" w:rsidR="00724AB5" w:rsidRDefault="007D38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p w14:paraId="7B5FA328" w14:textId="5433B5D6"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enrolled 185 participants from four hospitals in Yaoundé between October 2023 and September 2024. </w:t>
      </w:r>
      <w:r w:rsidR="002B7BEA">
        <w:rPr>
          <w:rFonts w:ascii="Times New Roman" w:eastAsia="Times New Roman" w:hAnsi="Times New Roman" w:cs="Times New Roman"/>
          <w:sz w:val="24"/>
          <w:szCs w:val="24"/>
        </w:rPr>
        <w:t xml:space="preserve">We collected data </w:t>
      </w:r>
      <w:r>
        <w:rPr>
          <w:rFonts w:ascii="Times New Roman" w:eastAsia="Times New Roman" w:hAnsi="Times New Roman" w:cs="Times New Roman"/>
          <w:sz w:val="24"/>
          <w:szCs w:val="24"/>
        </w:rPr>
        <w:t>on</w:t>
      </w:r>
      <w:r w:rsidR="002B7B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lifestyle</w:t>
      </w:r>
      <w:r w:rsidR="009837E9">
        <w:rPr>
          <w:rFonts w:ascii="Times New Roman" w:eastAsia="Times New Roman" w:hAnsi="Times New Roman" w:cs="Times New Roman"/>
          <w:sz w:val="24"/>
          <w:szCs w:val="24"/>
        </w:rPr>
        <w:t xml:space="preserve"> factors</w:t>
      </w:r>
      <w:r w:rsidR="002B7BEA">
        <w:rPr>
          <w:rFonts w:ascii="Times New Roman" w:eastAsia="Times New Roman" w:hAnsi="Times New Roman" w:cs="Times New Roman"/>
          <w:sz w:val="24"/>
          <w:szCs w:val="24"/>
        </w:rPr>
        <w:t xml:space="preserve"> (</w:t>
      </w:r>
      <w:r w:rsidR="009837E9">
        <w:rPr>
          <w:rFonts w:ascii="Times New Roman" w:eastAsia="Times New Roman" w:hAnsi="Times New Roman" w:cs="Times New Roman"/>
          <w:sz w:val="24"/>
          <w:szCs w:val="24"/>
        </w:rPr>
        <w:t>stress, anxiety, nutritional habits, physical activity</w:t>
      </w:r>
      <w:r w:rsidR="002B7BEA">
        <w:rPr>
          <w:rFonts w:ascii="Times New Roman" w:eastAsia="Times New Roman" w:hAnsi="Times New Roman" w:cs="Times New Roman"/>
          <w:sz w:val="24"/>
          <w:szCs w:val="24"/>
        </w:rPr>
        <w:t>,</w:t>
      </w:r>
      <w:r w:rsidR="009837E9">
        <w:rPr>
          <w:rFonts w:ascii="Times New Roman" w:eastAsia="Times New Roman" w:hAnsi="Times New Roman" w:cs="Times New Roman"/>
          <w:sz w:val="24"/>
          <w:szCs w:val="24"/>
        </w:rPr>
        <w:t xml:space="preserve"> and routine checkups</w:t>
      </w:r>
      <w:r w:rsidR="002B7B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environmental</w:t>
      </w:r>
      <w:r w:rsidR="009837E9">
        <w:rPr>
          <w:rFonts w:ascii="Times New Roman" w:eastAsia="Times New Roman" w:hAnsi="Times New Roman" w:cs="Times New Roman"/>
          <w:sz w:val="24"/>
          <w:szCs w:val="24"/>
        </w:rPr>
        <w:t xml:space="preserve"> influences</w:t>
      </w:r>
      <w:r w:rsidR="002B7BEA">
        <w:rPr>
          <w:rFonts w:ascii="Times New Roman" w:eastAsia="Times New Roman" w:hAnsi="Times New Roman" w:cs="Times New Roman"/>
          <w:sz w:val="24"/>
          <w:szCs w:val="24"/>
        </w:rPr>
        <w:t xml:space="preserve"> (</w:t>
      </w:r>
      <w:r w:rsidR="009837E9">
        <w:rPr>
          <w:rFonts w:ascii="Times New Roman" w:eastAsia="Times New Roman" w:hAnsi="Times New Roman" w:cs="Times New Roman"/>
          <w:sz w:val="24"/>
          <w:szCs w:val="24"/>
        </w:rPr>
        <w:t>seasonal variations</w:t>
      </w:r>
      <w:r w:rsidR="002B7BEA">
        <w:rPr>
          <w:rFonts w:ascii="Times New Roman" w:eastAsia="Times New Roman" w:hAnsi="Times New Roman" w:cs="Times New Roman"/>
          <w:sz w:val="24"/>
          <w:szCs w:val="24"/>
        </w:rPr>
        <w:t>,</w:t>
      </w:r>
      <w:r w:rsidR="00D96B6F">
        <w:rPr>
          <w:rFonts w:ascii="Times New Roman" w:eastAsia="Times New Roman" w:hAnsi="Times New Roman" w:cs="Times New Roman"/>
          <w:sz w:val="24"/>
          <w:szCs w:val="24"/>
        </w:rPr>
        <w:t xml:space="preserve"> </w:t>
      </w:r>
      <w:r w:rsidR="009837E9">
        <w:rPr>
          <w:rFonts w:ascii="Times New Roman" w:eastAsia="Times New Roman" w:hAnsi="Times New Roman" w:cs="Times New Roman"/>
          <w:sz w:val="24"/>
          <w:szCs w:val="24"/>
        </w:rPr>
        <w:t xml:space="preserve">weather </w:t>
      </w:r>
      <w:r w:rsidR="00D96B6F">
        <w:rPr>
          <w:rFonts w:ascii="Times New Roman" w:eastAsia="Times New Roman" w:hAnsi="Times New Roman" w:cs="Times New Roman"/>
          <w:sz w:val="24"/>
          <w:szCs w:val="24"/>
        </w:rPr>
        <w:t>changes</w:t>
      </w:r>
      <w:r w:rsidR="00E578B0">
        <w:rPr>
          <w:rFonts w:ascii="Times New Roman" w:eastAsia="Times New Roman" w:hAnsi="Times New Roman" w:cs="Times New Roman"/>
          <w:sz w:val="24"/>
          <w:szCs w:val="24"/>
        </w:rPr>
        <w:t>,</w:t>
      </w:r>
      <w:r w:rsidR="002B7BEA">
        <w:rPr>
          <w:rFonts w:ascii="Times New Roman" w:eastAsia="Times New Roman" w:hAnsi="Times New Roman" w:cs="Times New Roman"/>
          <w:sz w:val="24"/>
          <w:szCs w:val="24"/>
        </w:rPr>
        <w:t xml:space="preserve"> and exposure to pollutants),</w:t>
      </w:r>
      <w:r w:rsidR="00D96B6F">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socioeconomic factors</w:t>
      </w:r>
      <w:r w:rsidR="002B7BEA">
        <w:rPr>
          <w:rFonts w:ascii="Times New Roman" w:eastAsia="Times New Roman" w:hAnsi="Times New Roman" w:cs="Times New Roman"/>
          <w:sz w:val="24"/>
          <w:szCs w:val="24"/>
        </w:rPr>
        <w:t xml:space="preserve"> (household income, household size</w:t>
      </w:r>
      <w:r w:rsidR="00E578B0">
        <w:rPr>
          <w:rFonts w:ascii="Times New Roman" w:eastAsia="Times New Roman" w:hAnsi="Times New Roman" w:cs="Times New Roman"/>
          <w:sz w:val="24"/>
          <w:szCs w:val="24"/>
        </w:rPr>
        <w:t>,</w:t>
      </w:r>
      <w:r w:rsidR="002B7BEA">
        <w:rPr>
          <w:rFonts w:ascii="Times New Roman" w:eastAsia="Times New Roman" w:hAnsi="Times New Roman" w:cs="Times New Roman"/>
          <w:sz w:val="24"/>
          <w:szCs w:val="24"/>
        </w:rPr>
        <w:t xml:space="preserve"> and parental</w:t>
      </w:r>
      <w:r w:rsidR="00E578B0">
        <w:rPr>
          <w:rFonts w:ascii="Times New Roman" w:eastAsia="Times New Roman" w:hAnsi="Times New Roman" w:cs="Times New Roman"/>
          <w:sz w:val="24"/>
          <w:szCs w:val="24"/>
        </w:rPr>
        <w:t xml:space="preserve"> </w:t>
      </w:r>
      <w:r w:rsidR="002B7BEA">
        <w:rPr>
          <w:rFonts w:ascii="Times New Roman" w:eastAsia="Times New Roman" w:hAnsi="Times New Roman" w:cs="Times New Roman"/>
          <w:sz w:val="24"/>
          <w:szCs w:val="24"/>
        </w:rPr>
        <w:t>education</w:t>
      </w:r>
      <w:r w:rsidR="00E578B0">
        <w:rPr>
          <w:rFonts w:ascii="Times New Roman" w:eastAsia="Times New Roman" w:hAnsi="Times New Roman" w:cs="Times New Roman"/>
          <w:sz w:val="24"/>
          <w:szCs w:val="24"/>
        </w:rPr>
        <w:t xml:space="preserve"> level)</w:t>
      </w:r>
      <w:r>
        <w:rPr>
          <w:rFonts w:ascii="Times New Roman" w:eastAsia="Times New Roman" w:hAnsi="Times New Roman" w:cs="Times New Roman"/>
          <w:sz w:val="24"/>
          <w:szCs w:val="24"/>
        </w:rPr>
        <w:t xml:space="preserve"> </w:t>
      </w:r>
      <w:r w:rsidR="008E3EF4">
        <w:rPr>
          <w:rFonts w:ascii="Times New Roman" w:eastAsia="Times New Roman" w:hAnsi="Times New Roman" w:cs="Times New Roman"/>
          <w:sz w:val="24"/>
          <w:szCs w:val="24"/>
        </w:rPr>
        <w:t>over</w:t>
      </w:r>
      <w:r>
        <w:rPr>
          <w:rFonts w:ascii="Times New Roman" w:eastAsia="Times New Roman" w:hAnsi="Times New Roman" w:cs="Times New Roman"/>
          <w:sz w:val="24"/>
          <w:szCs w:val="24"/>
        </w:rPr>
        <w:t xml:space="preserve"> the 12 months preceding enrollment using self-reported questionnaires</w:t>
      </w:r>
      <w:r w:rsidR="008C54AE">
        <w:rPr>
          <w:rFonts w:ascii="Times New Roman" w:eastAsia="Times New Roman" w:hAnsi="Times New Roman" w:cs="Times New Roman"/>
          <w:sz w:val="24"/>
          <w:szCs w:val="24"/>
        </w:rPr>
        <w:t>. C</w:t>
      </w:r>
      <w:r>
        <w:rPr>
          <w:rFonts w:ascii="Times New Roman" w:eastAsia="Times New Roman" w:hAnsi="Times New Roman" w:cs="Times New Roman"/>
          <w:sz w:val="24"/>
          <w:szCs w:val="24"/>
        </w:rPr>
        <w:t>linical data w</w:t>
      </w:r>
      <w:r w:rsidR="004F773E">
        <w:rPr>
          <w:rFonts w:ascii="Times New Roman" w:eastAsia="Times New Roman" w:hAnsi="Times New Roman" w:cs="Times New Roman"/>
          <w:sz w:val="24"/>
          <w:szCs w:val="24"/>
        </w:rPr>
        <w:t>ere</w:t>
      </w:r>
      <w:r>
        <w:rPr>
          <w:rFonts w:ascii="Times New Roman" w:eastAsia="Times New Roman" w:hAnsi="Times New Roman" w:cs="Times New Roman"/>
          <w:sz w:val="24"/>
          <w:szCs w:val="24"/>
        </w:rPr>
        <w:t xml:space="preserve"> retrieved from patients’ medical records.</w:t>
      </w:r>
      <w:r w:rsidR="00863D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KAy-means for Mixed Large </w:t>
      </w:r>
      <w:r w:rsidR="003A152D">
        <w:rPr>
          <w:rFonts w:ascii="Times New Roman" w:eastAsia="Times New Roman" w:hAnsi="Times New Roman" w:cs="Times New Roman"/>
          <w:sz w:val="24"/>
          <w:szCs w:val="24"/>
        </w:rPr>
        <w:t>D</w:t>
      </w:r>
      <w:r>
        <w:rPr>
          <w:rFonts w:ascii="Times New Roman" w:eastAsia="Times New Roman" w:hAnsi="Times New Roman" w:cs="Times New Roman"/>
          <w:sz w:val="24"/>
          <w:szCs w:val="24"/>
        </w:rPr>
        <w:t>ata</w:t>
      </w:r>
      <w:r w:rsidR="003A152D">
        <w:rPr>
          <w:rFonts w:ascii="Times New Roman" w:eastAsia="Times New Roman" w:hAnsi="Times New Roman" w:cs="Times New Roman"/>
          <w:sz w:val="24"/>
          <w:szCs w:val="24"/>
        </w:rPr>
        <w:t xml:space="preserve"> (KAMILA) </w:t>
      </w:r>
      <w:r w:rsidR="00863D4F">
        <w:rPr>
          <w:rFonts w:ascii="Times New Roman" w:eastAsia="Times New Roman" w:hAnsi="Times New Roman" w:cs="Times New Roman"/>
          <w:sz w:val="24"/>
          <w:szCs w:val="24"/>
        </w:rPr>
        <w:t>was used</w:t>
      </w:r>
      <w:r w:rsidR="00210BC1">
        <w:rPr>
          <w:rFonts w:ascii="Times New Roman" w:eastAsia="Times New Roman" w:hAnsi="Times New Roman" w:cs="Times New Roman"/>
          <w:sz w:val="24"/>
          <w:szCs w:val="24"/>
        </w:rPr>
        <w:t xml:space="preserve"> to cluster</w:t>
      </w:r>
      <w:r w:rsidR="00863D4F">
        <w:rPr>
          <w:rFonts w:ascii="Times New Roman" w:eastAsia="Times New Roman" w:hAnsi="Times New Roman" w:cs="Times New Roman"/>
          <w:sz w:val="24"/>
          <w:szCs w:val="24"/>
        </w:rPr>
        <w:t xml:space="preserve"> patients based </w:t>
      </w:r>
      <w:r w:rsidR="00C97FCC">
        <w:rPr>
          <w:rFonts w:ascii="Times New Roman" w:eastAsia="Times New Roman" w:hAnsi="Times New Roman" w:cs="Times New Roman"/>
          <w:sz w:val="24"/>
          <w:szCs w:val="24"/>
        </w:rPr>
        <w:t xml:space="preserve">on </w:t>
      </w:r>
      <w:r w:rsidR="00863D4F">
        <w:rPr>
          <w:rFonts w:ascii="Times New Roman" w:eastAsia="Times New Roman" w:hAnsi="Times New Roman" w:cs="Times New Roman"/>
          <w:sz w:val="24"/>
          <w:szCs w:val="24"/>
        </w:rPr>
        <w:t>similar clinical characteristics</w:t>
      </w:r>
      <w:r>
        <w:rPr>
          <w:rFonts w:ascii="Times New Roman" w:eastAsia="Times New Roman" w:hAnsi="Times New Roman" w:cs="Times New Roman"/>
          <w:sz w:val="24"/>
          <w:szCs w:val="24"/>
        </w:rPr>
        <w:t>. Associations between clinical clusters and exogenous factors were evaluated using association plots, chi-square tests</w:t>
      </w:r>
      <w:r w:rsidR="00C97F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863D4F">
        <w:rPr>
          <w:rFonts w:ascii="Times New Roman" w:eastAsia="Times New Roman" w:hAnsi="Times New Roman" w:cs="Times New Roman"/>
          <w:sz w:val="24"/>
          <w:szCs w:val="24"/>
        </w:rPr>
        <w:t xml:space="preserve">relationships </w:t>
      </w:r>
      <w:r w:rsidR="00C97FCC">
        <w:rPr>
          <w:rFonts w:ascii="Times New Roman" w:eastAsia="Times New Roman" w:hAnsi="Times New Roman" w:cs="Times New Roman"/>
          <w:sz w:val="24"/>
          <w:szCs w:val="24"/>
        </w:rPr>
        <w:t xml:space="preserve">were </w:t>
      </w:r>
      <w:r w:rsidR="00863D4F">
        <w:rPr>
          <w:rFonts w:ascii="Times New Roman" w:eastAsia="Times New Roman" w:hAnsi="Times New Roman" w:cs="Times New Roman"/>
          <w:sz w:val="24"/>
          <w:szCs w:val="24"/>
        </w:rPr>
        <w:t xml:space="preserve">quantified using </w:t>
      </w:r>
      <w:r>
        <w:rPr>
          <w:rFonts w:ascii="Times New Roman" w:eastAsia="Times New Roman" w:hAnsi="Times New Roman" w:cs="Times New Roman"/>
          <w:sz w:val="24"/>
          <w:szCs w:val="24"/>
        </w:rPr>
        <w:t>regression analysis.</w:t>
      </w:r>
    </w:p>
    <w:p w14:paraId="1F032CAB" w14:textId="77777777" w:rsidR="00724AB5" w:rsidRDefault="007D38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57D56EC4"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Two distinct cl</w:t>
      </w:r>
      <w:r>
        <w:rPr>
          <w:rFonts w:ascii="Times New Roman" w:eastAsia="Times New Roman" w:hAnsi="Times New Roman" w:cs="Times New Roman"/>
          <w:sz w:val="24"/>
          <w:szCs w:val="24"/>
        </w:rPr>
        <w:t>inical clusters were identified (Cluster 1 and Cluster 2) sharing common symptoms and sickle-related complications, but differing significantly in disease severity, with Cluster 1 exhibiting a higher burden of hospitalizations, transfusions, painful episod</w:t>
      </w:r>
      <w:r>
        <w:rPr>
          <w:rFonts w:ascii="Times New Roman" w:eastAsia="Times New Roman" w:hAnsi="Times New Roman" w:cs="Times New Roman"/>
          <w:sz w:val="24"/>
          <w:szCs w:val="24"/>
        </w:rPr>
        <w:t>es and pain severity. Lifestyle factors (stress, anxiety, physical inactivity, routine checkups) and environmental conditions (sensitivity to windy, humidity, dust and smoke) were significantly associated with cluster membership, and contributed to the gre</w:t>
      </w:r>
      <w:r>
        <w:rPr>
          <w:rFonts w:ascii="Times New Roman" w:eastAsia="Times New Roman" w:hAnsi="Times New Roman" w:cs="Times New Roman"/>
          <w:sz w:val="24"/>
          <w:szCs w:val="24"/>
        </w:rPr>
        <w:t>ater clinical burden observed in Cluster 1.</w:t>
      </w:r>
    </w:p>
    <w:p w14:paraId="32073C75" w14:textId="77777777" w:rsidR="00724AB5" w:rsidRDefault="007D38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5AA71384" w14:textId="77777777" w:rsidR="00724AB5" w:rsidRDefault="007D38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study provides a foundation for further research into the multifactorial drivers of disease severity in Cameroon and highlights the importance of patient and caregiver education on lifestyle optimi</w:t>
      </w:r>
      <w:r>
        <w:rPr>
          <w:rFonts w:ascii="Times New Roman" w:eastAsia="Times New Roman" w:hAnsi="Times New Roman" w:cs="Times New Roman"/>
          <w:sz w:val="24"/>
          <w:szCs w:val="24"/>
        </w:rPr>
        <w:t>zation and the health risks of environmental exposures, with potential benefits for healthcare burden reduction among sickle cell patients.</w:t>
      </w:r>
    </w:p>
    <w:p w14:paraId="56A4A5F0" w14:textId="77777777" w:rsidR="00724AB5" w:rsidRDefault="007D38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w:t>
      </w:r>
      <w:r>
        <w:rPr>
          <w:rFonts w:ascii="Times New Roman" w:eastAsia="Times New Roman" w:hAnsi="Times New Roman" w:cs="Times New Roman"/>
          <w:sz w:val="24"/>
          <w:szCs w:val="24"/>
        </w:rPr>
        <w:t>:</w:t>
      </w:r>
    </w:p>
    <w:p w14:paraId="057ED31D" w14:textId="58C4EEE6" w:rsidR="00724AB5" w:rsidRDefault="007D38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Sickle cell disease,</w:t>
      </w:r>
      <w:r w:rsidR="00FC5369">
        <w:rPr>
          <w:rFonts w:ascii="Times New Roman" w:eastAsia="Times New Roman" w:hAnsi="Times New Roman" w:cs="Times New Roman"/>
          <w:sz w:val="24"/>
          <w:szCs w:val="24"/>
        </w:rPr>
        <w:t xml:space="preserve"> clinical cluster</w:t>
      </w:r>
      <w:r>
        <w:rPr>
          <w:rFonts w:ascii="Times New Roman" w:eastAsia="Times New Roman" w:hAnsi="Times New Roman" w:cs="Times New Roman"/>
          <w:sz w:val="24"/>
          <w:szCs w:val="24"/>
        </w:rPr>
        <w:t>, lifestyle factor</w:t>
      </w:r>
      <w:r w:rsidR="00FC536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FC5369">
        <w:rPr>
          <w:rFonts w:ascii="Times New Roman" w:eastAsia="Times New Roman" w:hAnsi="Times New Roman" w:cs="Times New Roman"/>
          <w:sz w:val="24"/>
          <w:szCs w:val="24"/>
        </w:rPr>
        <w:t>environmental conditions</w:t>
      </w:r>
      <w:r>
        <w:rPr>
          <w:rFonts w:ascii="Times New Roman" w:eastAsia="Times New Roman" w:hAnsi="Times New Roman" w:cs="Times New Roman"/>
          <w:sz w:val="24"/>
          <w:szCs w:val="24"/>
        </w:rPr>
        <w:t>,</w:t>
      </w:r>
      <w:r w:rsidR="00FC53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socioeconomic factors.</w:t>
      </w:r>
    </w:p>
    <w:p w14:paraId="6D75BABA" w14:textId="77777777" w:rsidR="00724AB5" w:rsidRDefault="007D385F">
      <w:pPr>
        <w:spacing w:after="0" w:line="240" w:lineRule="auto"/>
        <w:rPr>
          <w:rFonts w:ascii="Times New Roman" w:eastAsia="Times New Roman" w:hAnsi="Times New Roman" w:cs="Times New Roman"/>
          <w:b/>
          <w:sz w:val="24"/>
          <w:szCs w:val="24"/>
        </w:rPr>
      </w:pPr>
      <w:bookmarkStart w:id="1" w:name="_kofeshpl2lv0" w:colFirst="0" w:colLast="0"/>
      <w:bookmarkEnd w:id="1"/>
      <w:r>
        <w:rPr>
          <w:rFonts w:ascii="Times New Roman" w:eastAsia="Times New Roman" w:hAnsi="Times New Roman" w:cs="Times New Roman"/>
          <w:b/>
          <w:sz w:val="24"/>
          <w:szCs w:val="24"/>
        </w:rPr>
        <w:t>BACKGROUND</w:t>
      </w:r>
    </w:p>
    <w:p w14:paraId="58895E71" w14:textId="1FEBDD05"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Sickle cell disease (SCD) is widely regarded as the most severe monogenic disease globally, characterized by recurrent episodes of acute illness and progressive damage to vital organs [1]. It is predominantly found in individuals of Sub-Saharan </w:t>
      </w:r>
      <w:r>
        <w:rPr>
          <w:rFonts w:ascii="Times New Roman" w:eastAsia="Times New Roman" w:hAnsi="Times New Roman" w:cs="Times New Roman"/>
          <w:sz w:val="24"/>
          <w:szCs w:val="24"/>
        </w:rPr>
        <w:t>descent, as well as in populations from India, Middle East and parts of South America, the Caribbean, and the Mediterranean region [2]. In Africa alone, it is estimated that about 1,000 children are born with SCD daily, predominantly sickle cell anemia (SC</w:t>
      </w:r>
      <w:r>
        <w:rPr>
          <w:rFonts w:ascii="Times New Roman" w:eastAsia="Times New Roman" w:hAnsi="Times New Roman" w:cs="Times New Roman"/>
          <w:sz w:val="24"/>
          <w:szCs w:val="24"/>
        </w:rPr>
        <w:t>A) [2,3]. Projections by experts suggest a 30% increase in the global prevalence of SCD by 2050, driven by declining infant mortality rates due to advancements in healthcare and management of SCD among affected infants [2</w:t>
      </w:r>
      <w:r w:rsidR="001706E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As of 2021 published </w:t>
      </w:r>
      <w:r>
        <w:rPr>
          <w:rFonts w:ascii="Times New Roman" w:eastAsia="Times New Roman" w:hAnsi="Times New Roman" w:cs="Times New Roman"/>
          <w:sz w:val="24"/>
          <w:szCs w:val="24"/>
        </w:rPr>
        <w:t>data, the estimated prevalence of SCD in Cameroon ranged between 0.3% to 0.7% [2], with SCA being the most dominant genotype. Sickle cell disease imposes a profound physical and mental burden on both patients and their families in Cameroon [</w:t>
      </w:r>
      <w:r w:rsidR="001706EC">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p w14:paraId="28F8EC0B" w14:textId="701CF7D9"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Vaso-occlus</w:t>
      </w:r>
      <w:r>
        <w:rPr>
          <w:rFonts w:ascii="Times New Roman" w:eastAsia="Times New Roman" w:hAnsi="Times New Roman" w:cs="Times New Roman"/>
          <w:sz w:val="24"/>
          <w:szCs w:val="24"/>
        </w:rPr>
        <w:t>ion crisis (VOC), arising from obstructed blood flow in the microvasculature when sickled hemoglobin S red blood cells become trapped and are unable to pass through narrow blood vessels, serves as the primary driver of all acute and chronic complications s</w:t>
      </w:r>
      <w:r>
        <w:rPr>
          <w:rFonts w:ascii="Times New Roman" w:eastAsia="Times New Roman" w:hAnsi="Times New Roman" w:cs="Times New Roman"/>
          <w:sz w:val="24"/>
          <w:szCs w:val="24"/>
        </w:rPr>
        <w:t>een in patients with SCD [</w:t>
      </w:r>
      <w:r w:rsidR="001706EC">
        <w:rPr>
          <w:rFonts w:ascii="Times New Roman" w:eastAsia="Times New Roman" w:hAnsi="Times New Roman" w:cs="Times New Roman"/>
          <w:sz w:val="24"/>
          <w:szCs w:val="24"/>
        </w:rPr>
        <w:t>4,6</w:t>
      </w:r>
      <w:r>
        <w:rPr>
          <w:rFonts w:ascii="Times New Roman" w:eastAsia="Times New Roman" w:hAnsi="Times New Roman" w:cs="Times New Roman"/>
          <w:sz w:val="24"/>
          <w:szCs w:val="24"/>
        </w:rPr>
        <w:t>].</w:t>
      </w:r>
      <w:r w:rsidR="00E4489F">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Acute symptoms can differ within the same patient from one episode to another and may change over time with age, as well as due to influences from endogenous and exogenous factors</w:t>
      </w:r>
      <w:r w:rsidR="00B978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such as lifestyle, environment and infectio</w:t>
      </w:r>
      <w:r>
        <w:rPr>
          <w:rFonts w:ascii="Times New Roman" w:eastAsia="Times New Roman" w:hAnsi="Times New Roman" w:cs="Times New Roman"/>
          <w:sz w:val="24"/>
          <w:szCs w:val="24"/>
        </w:rPr>
        <w:t>ns [</w:t>
      </w:r>
      <w:r w:rsidR="002D71E5">
        <w:rPr>
          <w:rFonts w:ascii="Times New Roman" w:eastAsia="Times New Roman" w:hAnsi="Times New Roman" w:cs="Times New Roman"/>
          <w:sz w:val="24"/>
          <w:szCs w:val="24"/>
        </w:rPr>
        <w:t>4,7</w:t>
      </w:r>
      <w:r>
        <w:rPr>
          <w:rFonts w:ascii="Times New Roman" w:eastAsia="Times New Roman" w:hAnsi="Times New Roman" w:cs="Times New Roman"/>
          <w:sz w:val="24"/>
          <w:szCs w:val="24"/>
        </w:rPr>
        <w:t>–</w:t>
      </w:r>
      <w:r w:rsidR="002D71E5">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Understanding patient’s clinical severity differences in homozygous SCD of the same haplotype is complex, as some patients with chronic complications can survive for extended periods while others may experience sudden death without prior acute </w:t>
      </w:r>
      <w:r>
        <w:rPr>
          <w:rFonts w:ascii="Times New Roman" w:eastAsia="Times New Roman" w:hAnsi="Times New Roman" w:cs="Times New Roman"/>
          <w:sz w:val="24"/>
          <w:szCs w:val="24"/>
        </w:rPr>
        <w:t>indications [</w:t>
      </w:r>
      <w:r w:rsidR="0058796E">
        <w:rPr>
          <w:rFonts w:ascii="Times New Roman" w:eastAsia="Times New Roman" w:hAnsi="Times New Roman" w:cs="Times New Roman"/>
          <w:sz w:val="24"/>
          <w:szCs w:val="24"/>
        </w:rPr>
        <w:t>10</w:t>
      </w:r>
      <w:r>
        <w:rPr>
          <w:rFonts w:ascii="Times New Roman" w:eastAsia="Times New Roman" w:hAnsi="Times New Roman" w:cs="Times New Roman"/>
          <w:sz w:val="24"/>
          <w:szCs w:val="24"/>
        </w:rPr>
        <w:t>]. The severity of SCD can be regarded as a spectrum of clinical manifestations that may or may not vary over time, potentially predisposing patients to an increased risk of morbidity and mortality. Many studies have attributed differences i</w:t>
      </w:r>
      <w:r>
        <w:rPr>
          <w:rFonts w:ascii="Times New Roman" w:eastAsia="Times New Roman" w:hAnsi="Times New Roman" w:cs="Times New Roman"/>
          <w:sz w:val="24"/>
          <w:szCs w:val="24"/>
        </w:rPr>
        <w:t>n clinical severity to the modifying effects of genetic and environmental influences [</w:t>
      </w:r>
      <w:r w:rsidR="0058796E">
        <w:rPr>
          <w:rFonts w:ascii="Times New Roman" w:eastAsia="Times New Roman" w:hAnsi="Times New Roman" w:cs="Times New Roman"/>
          <w:sz w:val="24"/>
          <w:szCs w:val="24"/>
        </w:rPr>
        <w:t>7</w:t>
      </w:r>
      <w:r>
        <w:rPr>
          <w:rFonts w:ascii="Times New Roman" w:eastAsia="Times New Roman" w:hAnsi="Times New Roman" w:cs="Times New Roman"/>
          <w:sz w:val="24"/>
          <w:szCs w:val="24"/>
        </w:rPr>
        <w:t>,1</w:t>
      </w:r>
      <w:r w:rsidR="0058796E">
        <w:rPr>
          <w:rFonts w:ascii="Times New Roman" w:eastAsia="Times New Roman" w:hAnsi="Times New Roman" w:cs="Times New Roman"/>
          <w:sz w:val="24"/>
          <w:szCs w:val="24"/>
        </w:rPr>
        <w:t>1</w:t>
      </w:r>
      <w:r>
        <w:rPr>
          <w:rFonts w:ascii="Times New Roman" w:eastAsia="Times New Roman" w:hAnsi="Times New Roman" w:cs="Times New Roman"/>
          <w:sz w:val="24"/>
          <w:szCs w:val="24"/>
        </w:rPr>
        <w:t>]. The effect of environmental factors, such as pollution, climate, and weather conditions, has been studied through retrospective or prospective distributed lag mode</w:t>
      </w:r>
      <w:r>
        <w:rPr>
          <w:rFonts w:ascii="Times New Roman" w:eastAsia="Times New Roman" w:hAnsi="Times New Roman" w:cs="Times New Roman"/>
          <w:sz w:val="24"/>
          <w:szCs w:val="24"/>
        </w:rPr>
        <w:t>ls of these factors with emergency department visits, and hospital admissions [</w:t>
      </w:r>
      <w:r w:rsidR="004B3C02">
        <w:rPr>
          <w:rFonts w:ascii="Times New Roman" w:eastAsia="Times New Roman" w:hAnsi="Times New Roman" w:cs="Times New Roman"/>
          <w:sz w:val="24"/>
          <w:szCs w:val="24"/>
        </w:rPr>
        <w:t>7</w:t>
      </w:r>
      <w:r>
        <w:rPr>
          <w:rFonts w:ascii="Times New Roman" w:eastAsia="Times New Roman" w:hAnsi="Times New Roman" w:cs="Times New Roman"/>
          <w:sz w:val="24"/>
          <w:szCs w:val="24"/>
        </w:rPr>
        <w:t>,1</w:t>
      </w:r>
      <w:r w:rsidR="004B3C02">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004B3C02">
        <w:rPr>
          <w:rFonts w:ascii="Times New Roman" w:eastAsia="Times New Roman" w:hAnsi="Times New Roman" w:cs="Times New Roman"/>
          <w:sz w:val="24"/>
          <w:szCs w:val="24"/>
        </w:rPr>
        <w:t>3</w:t>
      </w:r>
      <w:r>
        <w:rPr>
          <w:rFonts w:ascii="Times New Roman" w:eastAsia="Times New Roman" w:hAnsi="Times New Roman" w:cs="Times New Roman"/>
          <w:sz w:val="24"/>
          <w:szCs w:val="24"/>
        </w:rPr>
        <w:t>]. Conducting such studies in settings where daily quantitative local data on pollution and weather are scarce poses unique challenges. Descriptive exploratory analysis m</w:t>
      </w:r>
      <w:r>
        <w:rPr>
          <w:rFonts w:ascii="Times New Roman" w:eastAsia="Times New Roman" w:hAnsi="Times New Roman" w:cs="Times New Roman"/>
          <w:sz w:val="24"/>
          <w:szCs w:val="24"/>
        </w:rPr>
        <w:t>ay offer an alternative approach.</w:t>
      </w:r>
    </w:p>
    <w:p w14:paraId="70843769" w14:textId="77777777"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aims to identify clusters of SCA patients in the Centre Region of Cameroon based on shared clinical characteristics and investigate the associations between these clusters and lifestyle factors, environmental in</w:t>
      </w:r>
      <w:r>
        <w:rPr>
          <w:rFonts w:ascii="Times New Roman" w:eastAsia="Times New Roman" w:hAnsi="Times New Roman" w:cs="Times New Roman"/>
          <w:sz w:val="24"/>
          <w:szCs w:val="24"/>
        </w:rPr>
        <w:t>fluences and socioeconomic factors. By doing so, it seeks to inform the development of targeted interventions for high-risk patients, enhance patient education and caregiver support, and improve complication monitoring and healthcare provider training in p</w:t>
      </w:r>
      <w:r>
        <w:rPr>
          <w:rFonts w:ascii="Times New Roman" w:eastAsia="Times New Roman" w:hAnsi="Times New Roman" w:cs="Times New Roman"/>
          <w:sz w:val="24"/>
          <w:szCs w:val="24"/>
        </w:rPr>
        <w:t>rimary care centers.</w:t>
      </w:r>
    </w:p>
    <w:p w14:paraId="1B4EBA0C" w14:textId="77777777" w:rsidR="00724AB5" w:rsidRDefault="007D38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 and Methods</w:t>
      </w:r>
    </w:p>
    <w:p w14:paraId="36441E6D" w14:textId="77777777" w:rsidR="00724AB5" w:rsidRDefault="007D38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Study design and participants</w:t>
      </w:r>
    </w:p>
    <w:p w14:paraId="6E4FFAAF" w14:textId="18DBE80C"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observational multicenter cross-sectional study recruited SCD patients from October 2023 to September 2024 at four health facilities in Yaoundé: Central Hospital, Cite Vert District Hospital, Gyneco-Obstetric and Pediatric Hospital, and </w:t>
      </w:r>
      <w:r>
        <w:rPr>
          <w:rFonts w:ascii="Times New Roman" w:eastAsia="Times New Roman" w:hAnsi="Times New Roman" w:cs="Times New Roman"/>
          <w:i/>
          <w:sz w:val="24"/>
          <w:szCs w:val="24"/>
        </w:rPr>
        <w:t>Centre D’anima</w:t>
      </w:r>
      <w:r>
        <w:rPr>
          <w:rFonts w:ascii="Times New Roman" w:eastAsia="Times New Roman" w:hAnsi="Times New Roman" w:cs="Times New Roman"/>
          <w:i/>
          <w:sz w:val="24"/>
          <w:szCs w:val="24"/>
        </w:rPr>
        <w:t>tion Sociale et Sanitaire</w:t>
      </w:r>
      <w:r>
        <w:rPr>
          <w:rFonts w:ascii="Times New Roman" w:eastAsia="Times New Roman" w:hAnsi="Times New Roman" w:cs="Times New Roman"/>
          <w:sz w:val="24"/>
          <w:szCs w:val="24"/>
        </w:rPr>
        <w:t xml:space="preserve">. These centers were selected to capture a diverse patient population from primary, secondary and tertiary care settings, representing various ethnic groups and socioeconomic backgrounds. Only patients who had resided in the </w:t>
      </w:r>
      <w:r>
        <w:rPr>
          <w:rFonts w:ascii="Times New Roman" w:eastAsia="Times New Roman" w:hAnsi="Times New Roman" w:cs="Times New Roman"/>
          <w:sz w:val="24"/>
          <w:szCs w:val="24"/>
        </w:rPr>
        <w:t>Centre Region for the past</w:t>
      </w:r>
      <w:r w:rsidR="00001099">
        <w:rPr>
          <w:rFonts w:ascii="Times New Roman" w:eastAsia="Times New Roman" w:hAnsi="Times New Roman" w:cs="Times New Roman"/>
          <w:sz w:val="24"/>
          <w:szCs w:val="24"/>
        </w:rPr>
        <w:t xml:space="preserve"> 12 months</w:t>
      </w:r>
      <w:r>
        <w:rPr>
          <w:rFonts w:ascii="Times New Roman" w:eastAsia="Times New Roman" w:hAnsi="Times New Roman" w:cs="Times New Roman"/>
          <w:sz w:val="24"/>
          <w:szCs w:val="24"/>
        </w:rPr>
        <w:t xml:space="preserve"> were recruited to ensure consistent exposure to similar weather and climatic conditions and minimize variations. All recruited participants were homozygous SCD patients, as documented in their patient-held health (PHH) </w:t>
      </w:r>
      <w:r>
        <w:rPr>
          <w:rFonts w:ascii="Times New Roman" w:eastAsia="Times New Roman" w:hAnsi="Times New Roman" w:cs="Times New Roman"/>
          <w:sz w:val="24"/>
          <w:szCs w:val="24"/>
        </w:rPr>
        <w:t>booklets. Patients were eligible if they were in steady state or experiencing a sickle cell crisis, defined as acute mild-to-severe pain or severe anemia with no underlying cause other than VOC. Additionally, patients aged 4 years or older who had not rece</w:t>
      </w:r>
      <w:r>
        <w:rPr>
          <w:rFonts w:ascii="Times New Roman" w:eastAsia="Times New Roman" w:hAnsi="Times New Roman" w:cs="Times New Roman"/>
          <w:sz w:val="24"/>
          <w:szCs w:val="24"/>
        </w:rPr>
        <w:t>ived hydroxyurea for at least the past 12 months were eligible. The sample size was estimated using a formula for survey sampling based on prevalence [1</w:t>
      </w:r>
      <w:r w:rsidR="00A80163">
        <w:rPr>
          <w:rFonts w:ascii="Times New Roman" w:eastAsia="Times New Roman" w:hAnsi="Times New Roman" w:cs="Times New Roman"/>
          <w:sz w:val="24"/>
          <w:szCs w:val="24"/>
        </w:rPr>
        <w:t>4</w:t>
      </w:r>
      <w:r>
        <w:rPr>
          <w:rFonts w:ascii="Times New Roman" w:eastAsia="Times New Roman" w:hAnsi="Times New Roman" w:cs="Times New Roman"/>
          <w:sz w:val="24"/>
          <w:szCs w:val="24"/>
        </w:rPr>
        <w:t>], assuming a published estimated prevalence of SCD in Cameroon of 0.3%−0.7% [2], a 1% margin of error,</w:t>
      </w:r>
      <w:r>
        <w:rPr>
          <w:rFonts w:ascii="Times New Roman" w:eastAsia="Times New Roman" w:hAnsi="Times New Roman" w:cs="Times New Roman"/>
          <w:sz w:val="24"/>
          <w:szCs w:val="24"/>
        </w:rPr>
        <w:t xml:space="preserve"> and a 95% confidence interval. A minimum of 114 patients was considered appropriate for this study. The study received approval from each study center’s ethics committee, and all patients (or their parents/guardians) provided signed, dated informed consen</w:t>
      </w:r>
      <w:r>
        <w:rPr>
          <w:rFonts w:ascii="Times New Roman" w:eastAsia="Times New Roman" w:hAnsi="Times New Roman" w:cs="Times New Roman"/>
          <w:sz w:val="24"/>
          <w:szCs w:val="24"/>
        </w:rPr>
        <w:t>t and assent from children where applicable, authorizing the use of their personal and medical information for research purposes.</w:t>
      </w:r>
    </w:p>
    <w:p w14:paraId="0D510988" w14:textId="77777777" w:rsidR="00724AB5" w:rsidRDefault="007D38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Design of the study questionnaire</w:t>
      </w:r>
    </w:p>
    <w:p w14:paraId="78E766EB" w14:textId="1F7CAC28"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Study questionnaires were designed to collect face-to-face data on lifestyle factors, e</w:t>
      </w:r>
      <w:r>
        <w:rPr>
          <w:rFonts w:ascii="Times New Roman" w:eastAsia="Times New Roman" w:hAnsi="Times New Roman" w:cs="Times New Roman"/>
          <w:sz w:val="24"/>
          <w:szCs w:val="24"/>
        </w:rPr>
        <w:t>nvironmental influences, socioeconomic impacts, and patients’ clinical history, providing insight into the characteristics of the population under study. The questionnaires underwent review by two hematologists specializing in SCD treatment, two general pr</w:t>
      </w:r>
      <w:r>
        <w:rPr>
          <w:rFonts w:ascii="Times New Roman" w:eastAsia="Times New Roman" w:hAnsi="Times New Roman" w:cs="Times New Roman"/>
          <w:sz w:val="24"/>
          <w:szCs w:val="24"/>
        </w:rPr>
        <w:t xml:space="preserve">actitioners experienced in managing SCD, a nurse supervisor from a hematology department who </w:t>
      </w:r>
      <w:r>
        <w:rPr>
          <w:rFonts w:ascii="Times New Roman" w:eastAsia="Times New Roman" w:hAnsi="Times New Roman" w:cs="Times New Roman"/>
          <w:sz w:val="24"/>
          <w:szCs w:val="24"/>
        </w:rPr>
        <w:lastRenderedPageBreak/>
        <w:t>frequently interacts with SCD patients, a pediatrician, and our scientific research committee. The questionnaire was pretested and validated by the supervisory tea</w:t>
      </w:r>
      <w:r>
        <w:rPr>
          <w:rFonts w:ascii="Times New Roman" w:eastAsia="Times New Roman" w:hAnsi="Times New Roman" w:cs="Times New Roman"/>
          <w:sz w:val="24"/>
          <w:szCs w:val="24"/>
        </w:rPr>
        <w:t xml:space="preserve">m of the study. To ensure accurate responses, patients were asked simple and concise questions, which were read aloud and further explained as needed. The questionnaires focused on three key domains: (1) lifestyle and well-being factors, (2) </w:t>
      </w:r>
      <w:r w:rsidR="00E92A65">
        <w:rPr>
          <w:rFonts w:ascii="Times New Roman" w:eastAsia="Times New Roman" w:hAnsi="Times New Roman" w:cs="Times New Roman"/>
          <w:sz w:val="24"/>
          <w:szCs w:val="24"/>
        </w:rPr>
        <w:t xml:space="preserve">environmental </w:t>
      </w:r>
      <w:r>
        <w:rPr>
          <w:rFonts w:ascii="Times New Roman" w:eastAsia="Times New Roman" w:hAnsi="Times New Roman" w:cs="Times New Roman"/>
          <w:sz w:val="24"/>
          <w:szCs w:val="24"/>
        </w:rPr>
        <w:t xml:space="preserve">risks, and (3) socioeconomic conditions. A fourth domain gathered patients’ personal accounts of their painful episodes, transfusions, and frequency of hospitalizations. All patient-reported </w:t>
      </w:r>
      <w:r w:rsidR="002D798B">
        <w:rPr>
          <w:rFonts w:ascii="Times New Roman" w:eastAsia="Times New Roman" w:hAnsi="Times New Roman" w:cs="Times New Roman"/>
          <w:sz w:val="24"/>
          <w:szCs w:val="24"/>
        </w:rPr>
        <w:t xml:space="preserve">outcomes </w:t>
      </w:r>
      <w:r>
        <w:rPr>
          <w:rFonts w:ascii="Times New Roman" w:eastAsia="Times New Roman" w:hAnsi="Times New Roman" w:cs="Times New Roman"/>
          <w:sz w:val="24"/>
          <w:szCs w:val="24"/>
        </w:rPr>
        <w:t>were cross-checked against medical records to minimize r</w:t>
      </w:r>
      <w:r>
        <w:rPr>
          <w:rFonts w:ascii="Times New Roman" w:eastAsia="Times New Roman" w:hAnsi="Times New Roman" w:cs="Times New Roman"/>
          <w:sz w:val="24"/>
          <w:szCs w:val="24"/>
        </w:rPr>
        <w:t>ecall bias. When patient-provided information could not be verified, responses were assumed to be valid.</w:t>
      </w:r>
    </w:p>
    <w:p w14:paraId="60642E45" w14:textId="77777777" w:rsidR="00724AB5" w:rsidRDefault="007D38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Demographic characteristics</w:t>
      </w:r>
    </w:p>
    <w:p w14:paraId="7E4FF24B"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Information regarding participants demographic information including gender, age (in years), ethnic group, height (in </w:t>
      </w:r>
      <w:r>
        <w:rPr>
          <w:rFonts w:ascii="Times New Roman" w:eastAsia="Times New Roman" w:hAnsi="Times New Roman" w:cs="Times New Roman"/>
          <w:sz w:val="24"/>
          <w:szCs w:val="24"/>
        </w:rPr>
        <w:t>centimeters), weight (in kilograms) and residential council area were registered.</w:t>
      </w:r>
    </w:p>
    <w:p w14:paraId="5C0F104B" w14:textId="77777777" w:rsidR="00724AB5" w:rsidRDefault="007D38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Assessment of well-being and lifestyle</w:t>
      </w:r>
    </w:p>
    <w:p w14:paraId="48F1008F" w14:textId="25D49856"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perceived stress scale (PSS) score was used to assess stress level related to living with SCD in patients aged 17 and older. T</w:t>
      </w:r>
      <w:r>
        <w:rPr>
          <w:rFonts w:ascii="Times New Roman" w:eastAsia="Times New Roman" w:hAnsi="Times New Roman" w:cs="Times New Roman"/>
          <w:sz w:val="24"/>
          <w:szCs w:val="24"/>
        </w:rPr>
        <w:t>wo questions from the PSS, as previously described [1</w:t>
      </w:r>
      <w:r w:rsidR="00245B79">
        <w:rPr>
          <w:rFonts w:ascii="Times New Roman" w:eastAsia="Times New Roman" w:hAnsi="Times New Roman" w:cs="Times New Roman"/>
          <w:sz w:val="24"/>
          <w:szCs w:val="24"/>
        </w:rPr>
        <w:t>5</w:t>
      </w:r>
      <w:r>
        <w:rPr>
          <w:rFonts w:ascii="Times New Roman" w:eastAsia="Times New Roman" w:hAnsi="Times New Roman" w:cs="Times New Roman"/>
          <w:sz w:val="24"/>
          <w:szCs w:val="24"/>
        </w:rPr>
        <w:t>] were included: “How often have you felt that you were unable to control the important things in your life?” and “How often have you found that you could not cope with all the things that you had to do</w:t>
      </w:r>
      <w:r>
        <w:rPr>
          <w:rFonts w:ascii="Times New Roman" w:eastAsia="Times New Roman" w:hAnsi="Times New Roman" w:cs="Times New Roman"/>
          <w:sz w:val="24"/>
          <w:szCs w:val="24"/>
        </w:rPr>
        <w:t>?” (in the context of living with SCD in the past 3 months). Responses were rated on a five-point Likert scale: 1 (never), 2 (almost never), 3 (sometimes), 4 (fairly often) and 5 (very often). Factor analysis using polychoric correlations was conducted, an</w:t>
      </w:r>
      <w:r>
        <w:rPr>
          <w:rFonts w:ascii="Times New Roman" w:eastAsia="Times New Roman" w:hAnsi="Times New Roman" w:cs="Times New Roman"/>
          <w:sz w:val="24"/>
          <w:szCs w:val="24"/>
        </w:rPr>
        <w:t xml:space="preserve">d factors scores were derived through the </w:t>
      </w:r>
      <w:r w:rsidR="00856C88">
        <w:rPr>
          <w:rFonts w:ascii="Times New Roman" w:eastAsia="Times New Roman" w:hAnsi="Times New Roman" w:cs="Times New Roman"/>
          <w:sz w:val="24"/>
          <w:szCs w:val="24"/>
        </w:rPr>
        <w:t>regression method</w:t>
      </w:r>
      <w:r>
        <w:rPr>
          <w:rFonts w:ascii="Times New Roman" w:eastAsia="Times New Roman" w:hAnsi="Times New Roman" w:cs="Times New Roman"/>
          <w:sz w:val="24"/>
          <w:szCs w:val="24"/>
        </w:rPr>
        <w:t xml:space="preserve"> [1</w:t>
      </w:r>
      <w:r w:rsidR="00245B79">
        <w:rPr>
          <w:rFonts w:ascii="Times New Roman" w:eastAsia="Times New Roman" w:hAnsi="Times New Roman" w:cs="Times New Roman"/>
          <w:sz w:val="24"/>
          <w:szCs w:val="24"/>
        </w:rPr>
        <w:t>5</w:t>
      </w:r>
      <w:r>
        <w:rPr>
          <w:rFonts w:ascii="Times New Roman" w:eastAsia="Times New Roman" w:hAnsi="Times New Roman" w:cs="Times New Roman"/>
          <w:sz w:val="24"/>
          <w:szCs w:val="24"/>
        </w:rPr>
        <w:t>]. Factor scores were scaled from 0 to 100 by subtracting the minimum score from each score, dividing the result by the range and multiplying by 100. Patients were asked to identify the life ev</w:t>
      </w:r>
      <w:r>
        <w:rPr>
          <w:rFonts w:ascii="Times New Roman" w:eastAsia="Times New Roman" w:hAnsi="Times New Roman" w:cs="Times New Roman"/>
          <w:sz w:val="24"/>
          <w:szCs w:val="24"/>
        </w:rPr>
        <w:t>ents (stressors) that had the greatest impact on their stress levels. These stressors included anticipation of pain, cold weather, feeling dehydrated, academic or work-related pressure, mood fluctuations, lack of sleep, not being physically active, lonelin</w:t>
      </w:r>
      <w:r>
        <w:rPr>
          <w:rFonts w:ascii="Times New Roman" w:eastAsia="Times New Roman" w:hAnsi="Times New Roman" w:cs="Times New Roman"/>
          <w:sz w:val="24"/>
          <w:szCs w:val="24"/>
        </w:rPr>
        <w:t>ess and financial difficulties.</w:t>
      </w:r>
    </w:p>
    <w:p w14:paraId="60AF5CB1" w14:textId="53569203"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Patient-Reported Outcomes Measurement Information System (PROMIS</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short form for anxiety, consisting of eight items selected from a 56-item bank, was used to assess perceived anxiety in patients aged 17 and </w:t>
      </w:r>
      <w:r>
        <w:rPr>
          <w:rFonts w:ascii="Times New Roman" w:eastAsia="Times New Roman" w:hAnsi="Times New Roman" w:cs="Times New Roman"/>
          <w:sz w:val="24"/>
          <w:szCs w:val="24"/>
        </w:rPr>
        <w:t>older. PROMIS is a validated item bank widely used to measure emotional distress, including depression, anxiety and anger [1</w:t>
      </w:r>
      <w:r w:rsidR="0096682A">
        <w:rPr>
          <w:rFonts w:ascii="Times New Roman" w:eastAsia="Times New Roman" w:hAnsi="Times New Roman" w:cs="Times New Roman"/>
          <w:sz w:val="24"/>
          <w:szCs w:val="24"/>
        </w:rPr>
        <w:t>6</w:t>
      </w:r>
      <w:r w:rsidR="00B806C6">
        <w:rPr>
          <w:rFonts w:ascii="Times New Roman" w:eastAsia="Times New Roman" w:hAnsi="Times New Roman" w:cs="Times New Roman"/>
          <w:sz w:val="24"/>
          <w:szCs w:val="24"/>
        </w:rPr>
        <w:t>,1</w:t>
      </w:r>
      <w:r w:rsidR="0096682A">
        <w:rPr>
          <w:rFonts w:ascii="Times New Roman" w:eastAsia="Times New Roman" w:hAnsi="Times New Roman" w:cs="Times New Roman"/>
          <w:sz w:val="24"/>
          <w:szCs w:val="24"/>
        </w:rPr>
        <w:t>7</w:t>
      </w:r>
      <w:r>
        <w:rPr>
          <w:rFonts w:ascii="Times New Roman" w:eastAsia="Times New Roman" w:hAnsi="Times New Roman" w:cs="Times New Roman"/>
          <w:sz w:val="24"/>
          <w:szCs w:val="24"/>
        </w:rPr>
        <w:t>]. The short form used in this study included eight questions, and each rated in a five-point scale: 1 (Never), 2 (Rarely), 3 (S</w:t>
      </w:r>
      <w:r>
        <w:rPr>
          <w:rFonts w:ascii="Times New Roman" w:eastAsia="Times New Roman" w:hAnsi="Times New Roman" w:cs="Times New Roman"/>
          <w:sz w:val="24"/>
          <w:szCs w:val="24"/>
        </w:rPr>
        <w:t xml:space="preserve">ometimes), 4 (Often) and 5 (Always). The raw score was calculated by summing the item scores, multiplying the total by </w:t>
      </w:r>
      <w:r w:rsidR="0011347E">
        <w:rPr>
          <w:rFonts w:ascii="Times New Roman" w:eastAsia="Times New Roman" w:hAnsi="Times New Roman" w:cs="Times New Roman"/>
          <w:sz w:val="24"/>
          <w:szCs w:val="24"/>
        </w:rPr>
        <w:t>eight</w:t>
      </w:r>
      <w:r>
        <w:rPr>
          <w:rFonts w:ascii="Times New Roman" w:eastAsia="Times New Roman" w:hAnsi="Times New Roman" w:cs="Times New Roman"/>
          <w:sz w:val="24"/>
          <w:szCs w:val="24"/>
        </w:rPr>
        <w:t>, dividing by the number of answered items, and then converting it into a T-score ranging from lowest to highest anxiety [1</w:t>
      </w:r>
      <w:r w:rsidR="00D311E7">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p w14:paraId="4283DDF9" w14:textId="751E9892"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w:t>
      </w:r>
      <w:r w:rsidR="00AF5F8A">
        <w:rPr>
          <w:rFonts w:ascii="Times New Roman" w:eastAsia="Times New Roman" w:hAnsi="Times New Roman" w:cs="Times New Roman"/>
          <w:sz w:val="24"/>
          <w:szCs w:val="24"/>
        </w:rPr>
        <w:t xml:space="preserve">assess </w:t>
      </w:r>
      <w:r>
        <w:rPr>
          <w:rFonts w:ascii="Times New Roman" w:eastAsia="Times New Roman" w:hAnsi="Times New Roman" w:cs="Times New Roman"/>
          <w:sz w:val="24"/>
          <w:szCs w:val="24"/>
        </w:rPr>
        <w:t>the impact of SCD on the daily lives of patients aged 17 and older, patients responded to four questions assessing different aspects of daily living. These questions were phrased as: “How does this condition impact your daily life in the following ar</w:t>
      </w:r>
      <w:r>
        <w:rPr>
          <w:rFonts w:ascii="Times New Roman" w:eastAsia="Times New Roman" w:hAnsi="Times New Roman" w:cs="Times New Roman"/>
          <w:sz w:val="24"/>
          <w:szCs w:val="24"/>
        </w:rPr>
        <w:t>eas?”: (1) engaging in physical activity, (2) school/wok life, (3) perform household tasks, and (4) family and social life. Response options included: not at all, slightly, moderately, very much and extremely.</w:t>
      </w:r>
    </w:p>
    <w:p w14:paraId="57E773F8" w14:textId="2A704F8E"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2" w:name="_Hlk204652207"/>
      <w:r w:rsidR="00F748DD">
        <w:rPr>
          <w:rFonts w:ascii="Times New Roman" w:eastAsia="Times New Roman" w:hAnsi="Times New Roman" w:cs="Times New Roman"/>
          <w:sz w:val="24"/>
          <w:szCs w:val="24"/>
        </w:rPr>
        <w:t>T</w:t>
      </w:r>
      <w:r>
        <w:rPr>
          <w:rFonts w:ascii="Times New Roman" w:eastAsia="Times New Roman" w:hAnsi="Times New Roman" w:cs="Times New Roman"/>
          <w:sz w:val="24"/>
          <w:szCs w:val="24"/>
        </w:rPr>
        <w:t>he frequency of physical activity</w:t>
      </w:r>
      <w:r w:rsidR="00F748DD">
        <w:rPr>
          <w:rFonts w:ascii="Times New Roman" w:eastAsia="Times New Roman" w:hAnsi="Times New Roman" w:cs="Times New Roman"/>
          <w:sz w:val="24"/>
          <w:szCs w:val="24"/>
        </w:rPr>
        <w:t xml:space="preserve"> was assessed by asking </w:t>
      </w:r>
      <w:r>
        <w:rPr>
          <w:rFonts w:ascii="Times New Roman" w:eastAsia="Times New Roman" w:hAnsi="Times New Roman" w:cs="Times New Roman"/>
          <w:sz w:val="24"/>
          <w:szCs w:val="24"/>
        </w:rPr>
        <w:t xml:space="preserve">patients </w:t>
      </w:r>
      <w:r w:rsidR="00F748DD">
        <w:rPr>
          <w:rFonts w:ascii="Times New Roman" w:eastAsia="Times New Roman" w:hAnsi="Times New Roman" w:cs="Times New Roman"/>
          <w:sz w:val="24"/>
          <w:szCs w:val="24"/>
        </w:rPr>
        <w:t xml:space="preserve">to state the number of times they exercised per week over the </w:t>
      </w:r>
      <w:r>
        <w:rPr>
          <w:rFonts w:ascii="Times New Roman" w:eastAsia="Times New Roman" w:hAnsi="Times New Roman" w:cs="Times New Roman"/>
          <w:sz w:val="24"/>
          <w:szCs w:val="24"/>
        </w:rPr>
        <w:t>12 months</w:t>
      </w:r>
      <w:r w:rsidR="00F748DD">
        <w:rPr>
          <w:rFonts w:ascii="Times New Roman" w:eastAsia="Times New Roman" w:hAnsi="Times New Roman" w:cs="Times New Roman"/>
          <w:sz w:val="24"/>
          <w:szCs w:val="24"/>
        </w:rPr>
        <w:t xml:space="preserve"> preceding months</w:t>
      </w:r>
      <w:bookmarkEnd w:id="2"/>
      <w:r>
        <w:rPr>
          <w:rFonts w:ascii="Times New Roman" w:eastAsia="Times New Roman" w:hAnsi="Times New Roman" w:cs="Times New Roman"/>
          <w:sz w:val="24"/>
          <w:szCs w:val="24"/>
        </w:rPr>
        <w:t>. Responses were categorized as: none, less than three times per week, three to six times per week, and daily. Physical activity was defined accor</w:t>
      </w:r>
      <w:r>
        <w:rPr>
          <w:rFonts w:ascii="Times New Roman" w:eastAsia="Times New Roman" w:hAnsi="Times New Roman" w:cs="Times New Roman"/>
          <w:sz w:val="24"/>
          <w:szCs w:val="24"/>
        </w:rPr>
        <w:t>ding to the World Health Organization’s guidelines for adults and children living with disability, as 150−300 minutes of moderate- to high-intensity aerobic exercise per week (approximately 25−45 minutes per day) [1</w:t>
      </w:r>
      <w:r w:rsidR="00747A98">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p w14:paraId="6558DB1E" w14:textId="77777777"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participants estimated </w:t>
      </w:r>
      <w:r>
        <w:rPr>
          <w:rFonts w:ascii="Times New Roman" w:eastAsia="Times New Roman" w:hAnsi="Times New Roman" w:cs="Times New Roman"/>
          <w:sz w:val="24"/>
          <w:szCs w:val="24"/>
        </w:rPr>
        <w:t xml:space="preserve">average daily water intake over the past 12 months was recorded and classified into three groups: less than 1 liter per day, about 1 liter per day, and more than 1 liter per day, across all age groups. Nutrition habits were assessed based on </w:t>
      </w:r>
      <w:r>
        <w:rPr>
          <w:rFonts w:ascii="Times New Roman" w:eastAsia="Times New Roman" w:hAnsi="Times New Roman" w:cs="Times New Roman"/>
          <w:sz w:val="24"/>
          <w:szCs w:val="24"/>
        </w:rPr>
        <w:lastRenderedPageBreak/>
        <w:t xml:space="preserve">the number of </w:t>
      </w:r>
      <w:r>
        <w:rPr>
          <w:rFonts w:ascii="Times New Roman" w:eastAsia="Times New Roman" w:hAnsi="Times New Roman" w:cs="Times New Roman"/>
          <w:sz w:val="24"/>
          <w:szCs w:val="24"/>
        </w:rPr>
        <w:t>meals consumed per day, excluding snacks taken between meals. Intake was categorized as: 1−2 meals per day, 3−4 meals per day and more than 4 meals per day. The frequency of fruit and green vegetable consumption was recorded as binary measure (daily/not da</w:t>
      </w:r>
      <w:r>
        <w:rPr>
          <w:rFonts w:ascii="Times New Roman" w:eastAsia="Times New Roman" w:hAnsi="Times New Roman" w:cs="Times New Roman"/>
          <w:sz w:val="24"/>
          <w:szCs w:val="24"/>
        </w:rPr>
        <w:t xml:space="preserve">ily). </w:t>
      </w:r>
    </w:p>
    <w:p w14:paraId="1CDAE890" w14:textId="3AEC557A"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were also evaluated for tobacco use and passive exposure to cigarette smoke at home. Additional data on well-being included the number of routine checkup visits</w:t>
      </w:r>
      <w:bookmarkStart w:id="3" w:name="_Hlk204652538"/>
      <w:r w:rsidR="007B0360">
        <w:rPr>
          <w:rFonts w:ascii="Times New Roman" w:eastAsia="Times New Roman" w:hAnsi="Times New Roman" w:cs="Times New Roman"/>
          <w:sz w:val="24"/>
          <w:szCs w:val="24"/>
        </w:rPr>
        <w:t xml:space="preserve"> attended by patients</w:t>
      </w:r>
      <w:r>
        <w:rPr>
          <w:rFonts w:ascii="Times New Roman" w:eastAsia="Times New Roman" w:hAnsi="Times New Roman" w:cs="Times New Roman"/>
          <w:sz w:val="24"/>
          <w:szCs w:val="24"/>
        </w:rPr>
        <w:t xml:space="preserve"> </w:t>
      </w:r>
      <w:r w:rsidR="007B0360">
        <w:rPr>
          <w:rFonts w:ascii="Times New Roman" w:eastAsia="Times New Roman" w:hAnsi="Times New Roman" w:cs="Times New Roman"/>
          <w:sz w:val="24"/>
          <w:szCs w:val="24"/>
        </w:rPr>
        <w:t>during</w:t>
      </w:r>
      <w:bookmarkEnd w:id="3"/>
      <w:r>
        <w:rPr>
          <w:rFonts w:ascii="Times New Roman" w:eastAsia="Times New Roman" w:hAnsi="Times New Roman" w:cs="Times New Roman"/>
          <w:sz w:val="24"/>
          <w:szCs w:val="24"/>
        </w:rPr>
        <w:t xml:space="preserve"> the past 12 months. Routine checkup was defined as scheduled outpatient health assessment at a health facility (primary, secondary, or tertiary) during steady state, including vital sign monitoring, physical examination, and routine laboratory tests, excl</w:t>
      </w:r>
      <w:r>
        <w:rPr>
          <w:rFonts w:ascii="Times New Roman" w:eastAsia="Times New Roman" w:hAnsi="Times New Roman" w:cs="Times New Roman"/>
          <w:sz w:val="24"/>
          <w:szCs w:val="24"/>
        </w:rPr>
        <w:t>uding post-hospitalization follow-up appointments.</w:t>
      </w:r>
    </w:p>
    <w:p w14:paraId="1518ADEA" w14:textId="77777777" w:rsidR="00724AB5" w:rsidRDefault="007D38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Environmental influences</w:t>
      </w:r>
    </w:p>
    <w:p w14:paraId="6ED49610" w14:textId="2E2915A1"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Due to the lack of local meteorological data for the Centre region of Cameroon, the impact of environmental factors was assessed based on patient’ self-reported-exposure over t</w:t>
      </w:r>
      <w:r>
        <w:rPr>
          <w:rFonts w:ascii="Times New Roman" w:eastAsia="Times New Roman" w:hAnsi="Times New Roman" w:cs="Times New Roman"/>
          <w:sz w:val="24"/>
          <w:szCs w:val="24"/>
        </w:rPr>
        <w:t>he past year to various conditions, including cold, heat, high wind, humidity, seasonal changes, road dust and smoke fumes (including indoor biomass burning for cooking, vehicle exhaust, and other sources). Road dust and smoke fumes comprises of pollutants</w:t>
      </w:r>
      <w:r>
        <w:rPr>
          <w:rFonts w:ascii="Times New Roman" w:eastAsia="Times New Roman" w:hAnsi="Times New Roman" w:cs="Times New Roman"/>
          <w:sz w:val="24"/>
          <w:szCs w:val="24"/>
        </w:rPr>
        <w:t xml:space="preserve"> like metals, CO, 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and particulate </w:t>
      </w:r>
      <w:r w:rsidR="007B0360">
        <w:rPr>
          <w:rFonts w:ascii="Times New Roman" w:eastAsia="Times New Roman" w:hAnsi="Times New Roman" w:cs="Times New Roman"/>
          <w:sz w:val="24"/>
          <w:szCs w:val="24"/>
        </w:rPr>
        <w:t>matters (</w:t>
      </w:r>
      <w:r>
        <w:rPr>
          <w:rFonts w:ascii="Times New Roman" w:eastAsia="Times New Roman" w:hAnsi="Times New Roman" w:cs="Times New Roman"/>
          <w:sz w:val="24"/>
          <w:szCs w:val="24"/>
        </w:rPr>
        <w:t>PM10 and PM2.5)</w:t>
      </w:r>
      <w:r w:rsidR="008A458E">
        <w:rPr>
          <w:rFonts w:ascii="Times New Roman" w:eastAsia="Times New Roman" w:hAnsi="Times New Roman" w:cs="Times New Roman"/>
          <w:sz w:val="24"/>
          <w:szCs w:val="24"/>
        </w:rPr>
        <w:t xml:space="preserve"> which are harmful to health</w:t>
      </w:r>
      <w:r>
        <w:rPr>
          <w:rFonts w:ascii="Times New Roman" w:eastAsia="Times New Roman" w:hAnsi="Times New Roman" w:cs="Times New Roman"/>
          <w:sz w:val="24"/>
          <w:szCs w:val="24"/>
        </w:rPr>
        <w:t xml:space="preserve"> [</w:t>
      </w:r>
      <w:r w:rsidR="00747A98">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47A98">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8A458E">
        <w:rPr>
          <w:rFonts w:ascii="Times New Roman" w:eastAsia="Times New Roman" w:hAnsi="Times New Roman" w:cs="Times New Roman"/>
          <w:sz w:val="24"/>
          <w:szCs w:val="24"/>
        </w:rPr>
        <w:t xml:space="preserve"> </w:t>
      </w:r>
      <w:r w:rsidR="00F04989">
        <w:rPr>
          <w:rFonts w:ascii="Times New Roman" w:eastAsia="Times New Roman" w:hAnsi="Times New Roman" w:cs="Times New Roman"/>
          <w:sz w:val="24"/>
          <w:szCs w:val="24"/>
        </w:rPr>
        <w:t xml:space="preserve">Patients reported whether these factors consistently coincided with mild-to-severe painful episodes or other symptoms within 1−3 days post-exposure. </w:t>
      </w:r>
      <w:r>
        <w:rPr>
          <w:rFonts w:ascii="Times New Roman" w:eastAsia="Times New Roman" w:hAnsi="Times New Roman" w:cs="Times New Roman"/>
          <w:sz w:val="24"/>
          <w:szCs w:val="24"/>
        </w:rPr>
        <w:t>Additi</w:t>
      </w:r>
      <w:r>
        <w:rPr>
          <w:rFonts w:ascii="Times New Roman" w:eastAsia="Times New Roman" w:hAnsi="Times New Roman" w:cs="Times New Roman"/>
          <w:sz w:val="24"/>
          <w:szCs w:val="24"/>
        </w:rPr>
        <w:t>onally, patients and caregivers identified the season during which patients most frequently experienced painful episodes, categorized as rainy season, dry season and no specific season.</w:t>
      </w:r>
    </w:p>
    <w:p w14:paraId="6C8DDC85" w14:textId="77777777" w:rsidR="00724AB5" w:rsidRDefault="007D38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Socioeconomic impact</w:t>
      </w:r>
    </w:p>
    <w:p w14:paraId="1951CC23"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questionnaire assessing socioeconomic sta</w:t>
      </w:r>
      <w:r>
        <w:rPr>
          <w:rFonts w:ascii="Times New Roman" w:eastAsia="Times New Roman" w:hAnsi="Times New Roman" w:cs="Times New Roman"/>
          <w:sz w:val="24"/>
          <w:szCs w:val="24"/>
        </w:rPr>
        <w:t>tus was designed to identify factors influencing patients access to adequate medical care. Parental level of education was categorized as follows: no formal education, primary education, secondary education, high school or vocational training, and universi</w:t>
      </w:r>
      <w:r>
        <w:rPr>
          <w:rFonts w:ascii="Times New Roman" w:eastAsia="Times New Roman" w:hAnsi="Times New Roman" w:cs="Times New Roman"/>
          <w:sz w:val="24"/>
          <w:szCs w:val="24"/>
        </w:rPr>
        <w:t xml:space="preserve">ty education. Household size was grouped based on the number of residents: 1−3, 4−6, and more than 6 individuals per household. </w:t>
      </w:r>
    </w:p>
    <w:p w14:paraId="72110AE4" w14:textId="1F0E7091"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Patients were asked to assess the ventilation in their bedrooms, categorized as well-ventilated, inadequate ventilation and lac</w:t>
      </w:r>
      <w:r>
        <w:rPr>
          <w:rFonts w:ascii="Times New Roman" w:eastAsia="Times New Roman" w:hAnsi="Times New Roman" w:cs="Times New Roman"/>
          <w:sz w:val="24"/>
          <w:szCs w:val="24"/>
        </w:rPr>
        <w:t>king ventilation. Poor bedroom ventilation and overcrowding can disrupt the indoor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balance, affect temperature regulation, increase indoor particulate matter exposure, and negatively impact sleep quality, as well as mental and physical well-being [2</w:t>
      </w:r>
      <w:r w:rsidR="005306AF">
        <w:rPr>
          <w:rFonts w:ascii="Times New Roman" w:eastAsia="Times New Roman" w:hAnsi="Times New Roman" w:cs="Times New Roman"/>
          <w:sz w:val="24"/>
          <w:szCs w:val="24"/>
        </w:rPr>
        <w:t>2</w:t>
      </w:r>
      <w:r>
        <w:rPr>
          <w:rFonts w:ascii="Times New Roman" w:eastAsia="Times New Roman" w:hAnsi="Times New Roman" w:cs="Times New Roman"/>
          <w:sz w:val="24"/>
          <w:szCs w:val="24"/>
        </w:rPr>
        <w:t>]. Additionality, inadequate ventilation may exacerbate chronic respiratory conditions including hypoxemia in symptomatic patients, chronic lung disease and sleep-disordered breathing. Adequate bedroom ventilation was defined as the natural flow of air be</w:t>
      </w:r>
      <w:r>
        <w:rPr>
          <w:rFonts w:ascii="Times New Roman" w:eastAsia="Times New Roman" w:hAnsi="Times New Roman" w:cs="Times New Roman"/>
          <w:sz w:val="24"/>
          <w:szCs w:val="24"/>
        </w:rPr>
        <w:t>tween indoor and outdoor spaces, ensuring the room is neither airtight nor stuffy at night and that air quality does not interfere with normal breathing during sleep.</w:t>
      </w:r>
    </w:p>
    <w:p w14:paraId="12DBC52B" w14:textId="48082F43"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household income was categorized into three groups: less than XAF 100,000 ($165 USD</w:t>
      </w:r>
      <w:r>
        <w:rPr>
          <w:rFonts w:ascii="Times New Roman" w:eastAsia="Times New Roman" w:hAnsi="Times New Roman" w:cs="Times New Roman"/>
          <w:sz w:val="24"/>
          <w:szCs w:val="24"/>
        </w:rPr>
        <w:t>) per month, XAF 100,000–200,000 ($165−330 USD) per month, and more than XAF 200,000 ($330 USD) per month ($1 USD = XAF 606.35, based on World Bank average local currency unit per US dollar in 2024) [22]. These thresholds were determined based on the pover</w:t>
      </w:r>
      <w:r>
        <w:rPr>
          <w:rFonts w:ascii="Times New Roman" w:eastAsia="Times New Roman" w:hAnsi="Times New Roman" w:cs="Times New Roman"/>
          <w:sz w:val="24"/>
          <w:szCs w:val="24"/>
        </w:rPr>
        <w:t>ty line in Cameroon, which was set around XAF 24,724 per person per month according to the National Institute of Statistics [2</w:t>
      </w:r>
      <w:r w:rsidR="00C47D8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Additionally, consideration was given to the fact that most participants aged 17−25 were unaware of their household </w:t>
      </w:r>
      <w:r>
        <w:rPr>
          <w:rFonts w:ascii="Times New Roman" w:eastAsia="Times New Roman" w:hAnsi="Times New Roman" w:cs="Times New Roman"/>
          <w:sz w:val="24"/>
          <w:szCs w:val="24"/>
        </w:rPr>
        <w:t>income. Household income was defined as the combined monthly earnings of all individuals permanently residing in the same household.</w:t>
      </w:r>
    </w:p>
    <w:p w14:paraId="1427AB4F" w14:textId="77777777" w:rsidR="00724AB5" w:rsidRDefault="007D38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 Clinical data</w:t>
      </w:r>
    </w:p>
    <w:p w14:paraId="50E3C160"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Patient medical records (PMR) were obtained from PHH booklets, hospital inpatient files, and patient-repo</w:t>
      </w:r>
      <w:r>
        <w:rPr>
          <w:rFonts w:ascii="Times New Roman" w:eastAsia="Times New Roman" w:hAnsi="Times New Roman" w:cs="Times New Roman"/>
          <w:sz w:val="24"/>
          <w:szCs w:val="24"/>
        </w:rPr>
        <w:t>rted health experiences gathered through open-ended questionnaires.</w:t>
      </w:r>
    </w:p>
    <w:p w14:paraId="4C7E6B3F" w14:textId="77777777"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on the number of painful episodes in the past three months, hospitalizations in the past 12 months, and blood transfusion units received in the past 12 months due to sickle cell </w:t>
      </w:r>
      <w:r>
        <w:rPr>
          <w:rFonts w:ascii="Times New Roman" w:eastAsia="Times New Roman" w:hAnsi="Times New Roman" w:cs="Times New Roman"/>
          <w:sz w:val="24"/>
          <w:szCs w:val="24"/>
        </w:rPr>
        <w:lastRenderedPageBreak/>
        <w:t>crisi</w:t>
      </w:r>
      <w:r>
        <w:rPr>
          <w:rFonts w:ascii="Times New Roman" w:eastAsia="Times New Roman" w:hAnsi="Times New Roman" w:cs="Times New Roman"/>
          <w:sz w:val="24"/>
          <w:szCs w:val="24"/>
        </w:rPr>
        <w:t xml:space="preserve">s (no patient was receiving routine blood transfusion stroke prevention) were retrieved from PMR. A transfusion unit was defined as one whole blood unit, approximately 450 mL. To minimize response bias, the analysis focused on the number of mild to severe </w:t>
      </w:r>
      <w:r>
        <w:rPr>
          <w:rFonts w:ascii="Times New Roman" w:eastAsia="Times New Roman" w:hAnsi="Times New Roman" w:cs="Times New Roman"/>
          <w:sz w:val="24"/>
          <w:szCs w:val="24"/>
        </w:rPr>
        <w:t>painful episodes lasting a few hours to several days within the past 3 months, as patients and caregivers struggled to accurately recall events over a longer period. Pain severity was categorized as mild (1–4), moderate (5–7) and severe (8–10) on a 1−10 sc</w:t>
      </w:r>
      <w:r>
        <w:rPr>
          <w:rFonts w:ascii="Times New Roman" w:eastAsia="Times New Roman" w:hAnsi="Times New Roman" w:cs="Times New Roman"/>
          <w:sz w:val="24"/>
          <w:szCs w:val="24"/>
        </w:rPr>
        <w:t>ale. Hospitalization was defined as inpatient stay of ≥24 hours due to acute painful episodes, VOC, anemia, infection, or other VOC-related complications.</w:t>
      </w:r>
    </w:p>
    <w:p w14:paraId="28E534E4" w14:textId="4319D614"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on frequent signs and symptoms experienced by patients in the past 12 months were extracted from</w:t>
      </w:r>
      <w:r>
        <w:rPr>
          <w:rFonts w:ascii="Times New Roman" w:eastAsia="Times New Roman" w:hAnsi="Times New Roman" w:cs="Times New Roman"/>
          <w:sz w:val="24"/>
          <w:szCs w:val="24"/>
        </w:rPr>
        <w:t xml:space="preserve"> PMR, and baseline clinical findings were documented during a physical examination by a physician at enrollment. Medical records and patient/caregiver provided information were used to document patients’ histor</w:t>
      </w:r>
      <w:r w:rsidR="00EB445E">
        <w:rPr>
          <w:rFonts w:ascii="Times New Roman" w:eastAsia="Times New Roman" w:hAnsi="Times New Roman" w:cs="Times New Roman"/>
          <w:sz w:val="24"/>
          <w:szCs w:val="24"/>
        </w:rPr>
        <w:t xml:space="preserve">y </w:t>
      </w:r>
      <w:r w:rsidR="001160FD">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avascular necrosis and ulceration since b</w:t>
      </w:r>
      <w:r>
        <w:rPr>
          <w:rFonts w:ascii="Times New Roman" w:eastAsia="Times New Roman" w:hAnsi="Times New Roman" w:cs="Times New Roman"/>
          <w:sz w:val="24"/>
          <w:szCs w:val="24"/>
        </w:rPr>
        <w:t>irth. Cardiopulmonary risk was defined as: (1) resting or sleeping partial oxygen saturation &lt;90% on a pulse oximeter [2</w:t>
      </w:r>
      <w:r w:rsidR="000D1A6F">
        <w:rPr>
          <w:rFonts w:ascii="Times New Roman" w:eastAsia="Times New Roman" w:hAnsi="Times New Roman" w:cs="Times New Roman"/>
          <w:sz w:val="24"/>
          <w:szCs w:val="24"/>
        </w:rPr>
        <w:t>5</w:t>
      </w:r>
      <w:r>
        <w:rPr>
          <w:rFonts w:ascii="Times New Roman" w:eastAsia="Times New Roman" w:hAnsi="Times New Roman" w:cs="Times New Roman"/>
          <w:sz w:val="24"/>
          <w:szCs w:val="24"/>
        </w:rPr>
        <w:t>], during at least two consecutive VOC episodes or (2) history of systemic hypertension (systolic blood pressure ≥130 mmHg or diastolic</w:t>
      </w:r>
      <w:r>
        <w:rPr>
          <w:rFonts w:ascii="Times New Roman" w:eastAsia="Times New Roman" w:hAnsi="Times New Roman" w:cs="Times New Roman"/>
          <w:sz w:val="24"/>
          <w:szCs w:val="24"/>
        </w:rPr>
        <w:t xml:space="preserve"> blood pressure ≥85 mmHg). Hypoxia and hypertension were considered markers of cardiopulmonary involvement [2</w:t>
      </w:r>
      <w:r w:rsidR="000D1A6F">
        <w:rPr>
          <w:rFonts w:ascii="Times New Roman" w:eastAsia="Times New Roman" w:hAnsi="Times New Roman" w:cs="Times New Roman"/>
          <w:sz w:val="24"/>
          <w:szCs w:val="24"/>
        </w:rPr>
        <w:t>6</w:t>
      </w:r>
      <w:r>
        <w:rPr>
          <w:rFonts w:ascii="Times New Roman" w:eastAsia="Times New Roman" w:hAnsi="Times New Roman" w:cs="Times New Roman"/>
          <w:sz w:val="24"/>
          <w:szCs w:val="24"/>
        </w:rPr>
        <w:t>], due to their ease of measurement in low-resource settings.</w:t>
      </w:r>
    </w:p>
    <w:p w14:paraId="7C2AE2F8" w14:textId="77777777" w:rsidR="00724AB5" w:rsidRDefault="007D38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 Statistical analyses</w:t>
      </w:r>
    </w:p>
    <w:p w14:paraId="145243A0" w14:textId="7DBB9C08" w:rsidR="00724AB5" w:rsidRDefault="007D385F">
      <w:pPr>
        <w:spacing w:after="0" w:line="240" w:lineRule="auto"/>
        <w:jc w:val="both"/>
        <w:rPr>
          <w:rFonts w:ascii="Times New Roman" w:eastAsia="Times New Roman" w:hAnsi="Times New Roman" w:cs="Times New Roman"/>
          <w:sz w:val="24"/>
          <w:szCs w:val="24"/>
        </w:rPr>
      </w:pPr>
      <w:bookmarkStart w:id="4" w:name="_o02yv52v3nt" w:colFirst="0" w:colLast="0"/>
      <w:bookmarkEnd w:id="4"/>
      <w:r>
        <w:rPr>
          <w:rFonts w:ascii="Times New Roman" w:eastAsia="Times New Roman" w:hAnsi="Times New Roman" w:cs="Times New Roman"/>
          <w:sz w:val="24"/>
          <w:szCs w:val="24"/>
        </w:rPr>
        <w:t>Summary statistics were computed for categorical variables</w:t>
      </w:r>
      <w:r>
        <w:rPr>
          <w:rFonts w:ascii="Times New Roman" w:eastAsia="Times New Roman" w:hAnsi="Times New Roman" w:cs="Times New Roman"/>
          <w:sz w:val="24"/>
          <w:szCs w:val="24"/>
        </w:rPr>
        <w:t xml:space="preserve"> (frequency and percentage) and continuous variables (average and standard deviation). In SCD, a single clinical outcome variable such as hospitalizations or emergency department visits may insufficiently capture disease severity, as patients often experie</w:t>
      </w:r>
      <w:r>
        <w:rPr>
          <w:rFonts w:ascii="Times New Roman" w:eastAsia="Times New Roman" w:hAnsi="Times New Roman" w:cs="Times New Roman"/>
          <w:sz w:val="24"/>
          <w:szCs w:val="24"/>
        </w:rPr>
        <w:t>nce multiple clinical conditions simultaneously or over time. Still, real-world medical data often comprise mixed data types (categorical and continuous) [2</w:t>
      </w:r>
      <w:r w:rsidR="004A10BC">
        <w:rPr>
          <w:rFonts w:ascii="Times New Roman" w:eastAsia="Times New Roman" w:hAnsi="Times New Roman" w:cs="Times New Roman"/>
          <w:sz w:val="24"/>
          <w:szCs w:val="24"/>
        </w:rPr>
        <w:t>7</w:t>
      </w:r>
      <w:r>
        <w:rPr>
          <w:rFonts w:ascii="Times New Roman" w:eastAsia="Times New Roman" w:hAnsi="Times New Roman" w:cs="Times New Roman"/>
          <w:sz w:val="24"/>
          <w:szCs w:val="24"/>
        </w:rPr>
        <w:t>], which rarely satisfy traditional multivariate model assumptions. Furthermore, patients may not a</w:t>
      </w:r>
      <w:r>
        <w:rPr>
          <w:rFonts w:ascii="Times New Roman" w:eastAsia="Times New Roman" w:hAnsi="Times New Roman" w:cs="Times New Roman"/>
          <w:sz w:val="24"/>
          <w:szCs w:val="24"/>
        </w:rPr>
        <w:t xml:space="preserve">lways seek emergency care when needed due to limited access to comprehensive healthcare program, access to healthcare and financial constraints (out-of-pocket affordability). Therefore, clustering was used to group patients based on shared medical history </w:t>
      </w:r>
      <w:r>
        <w:rPr>
          <w:rFonts w:ascii="Times New Roman" w:eastAsia="Times New Roman" w:hAnsi="Times New Roman" w:cs="Times New Roman"/>
          <w:sz w:val="24"/>
          <w:szCs w:val="24"/>
        </w:rPr>
        <w:t xml:space="preserve">(frequency of hospitalization, painful episodes and transfusion), systemic assessments and history of signs/symptoms (Table 1). Data suitability for clustering was assessed using Hopkin’s statistics and collinearity acceptance range was &lt;0.55 correlation. </w:t>
      </w:r>
      <w:r>
        <w:rPr>
          <w:rFonts w:ascii="Times New Roman" w:eastAsia="Times New Roman" w:hAnsi="Times New Roman" w:cs="Times New Roman"/>
          <w:sz w:val="24"/>
          <w:szCs w:val="24"/>
        </w:rPr>
        <w:t>The Adjusted Rand Index was used to compare and select KAy-means for Mixed Large data (KAMILA) method over alternative clustering methods, including K-prototype, partitioning around medoids (PAM), hierarchical clustering and latent class model. The optimal</w:t>
      </w:r>
      <w:r>
        <w:rPr>
          <w:rFonts w:ascii="Times New Roman" w:eastAsia="Times New Roman" w:hAnsi="Times New Roman" w:cs="Times New Roman"/>
          <w:sz w:val="24"/>
          <w:szCs w:val="24"/>
        </w:rPr>
        <w:t xml:space="preserve"> number of clusters was determined using a heuristic approach: silhouette score (for K-prototype, hierarchical clustering, and PAM) and statistical criteria (Bayesian information criteria for latent class model, and log-likelihood for KAMILA). Associations</w:t>
      </w:r>
      <w:r>
        <w:rPr>
          <w:rFonts w:ascii="Times New Roman" w:eastAsia="Times New Roman" w:hAnsi="Times New Roman" w:cs="Times New Roman"/>
          <w:sz w:val="24"/>
          <w:szCs w:val="24"/>
        </w:rPr>
        <w:t xml:space="preserve"> between lifestyle factors, environmental influences and socioeconomic factors and cluster groups were examined using mosaic plots, </w:t>
      </w:r>
      <w:r w:rsidR="00837CA4">
        <w:rPr>
          <w:rFonts w:ascii="Times New Roman" w:eastAsia="Times New Roman" w:hAnsi="Times New Roman" w:cs="Times New Roman"/>
          <w:sz w:val="24"/>
          <w:szCs w:val="24"/>
        </w:rPr>
        <w:t>c</w:t>
      </w:r>
      <w:r>
        <w:rPr>
          <w:rFonts w:ascii="Times New Roman" w:eastAsia="Times New Roman" w:hAnsi="Times New Roman" w:cs="Times New Roman"/>
          <w:sz w:val="24"/>
          <w:szCs w:val="24"/>
        </w:rPr>
        <w:t>hi-square tests, and regression models with binomial link function as appropriate. Analys</w:t>
      </w:r>
      <w:r w:rsidR="00CA2E32">
        <w:rPr>
          <w:rFonts w:ascii="Times New Roman" w:eastAsia="Times New Roman" w:hAnsi="Times New Roman" w:cs="Times New Roman"/>
          <w:sz w:val="24"/>
          <w:szCs w:val="24"/>
        </w:rPr>
        <w:t>e</w:t>
      </w:r>
      <w:r>
        <w:rPr>
          <w:rFonts w:ascii="Times New Roman" w:eastAsia="Times New Roman" w:hAnsi="Times New Roman" w:cs="Times New Roman"/>
          <w:sz w:val="24"/>
          <w:szCs w:val="24"/>
        </w:rPr>
        <w:t>s were performed using R software</w:t>
      </w:r>
      <w:r>
        <w:rPr>
          <w:rFonts w:ascii="Times New Roman" w:eastAsia="Times New Roman" w:hAnsi="Times New Roman" w:cs="Times New Roman"/>
          <w:sz w:val="24"/>
          <w:szCs w:val="24"/>
        </w:rPr>
        <w:t xml:space="preserve"> for statistical computing and graphics with various packages [2</w:t>
      </w:r>
      <w:r w:rsidR="000C0119">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p w14:paraId="32F90A99" w14:textId="77777777" w:rsidR="00724AB5" w:rsidRDefault="007D385F">
      <w:pPr>
        <w:keepNext/>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5" w:name="_fz4xv56pf434" w:colFirst="0" w:colLast="0"/>
      <w:bookmarkEnd w:id="5"/>
      <w:r>
        <w:rPr>
          <w:rFonts w:ascii="Times New Roman" w:eastAsia="Times New Roman" w:hAnsi="Times New Roman" w:cs="Times New Roman"/>
          <w:color w:val="000000"/>
          <w:sz w:val="20"/>
          <w:szCs w:val="20"/>
        </w:rPr>
        <w:t>Table 1. Clinical outcome variables used for clustering based on data accessibility in a primary health setting.</w:t>
      </w:r>
    </w:p>
    <w:tbl>
      <w:tblPr>
        <w:tblStyle w:val="a"/>
        <w:tblW w:w="9719" w:type="dxa"/>
        <w:tblInd w:w="0" w:type="dxa"/>
        <w:tblLayout w:type="fixed"/>
        <w:tblLook w:val="0400" w:firstRow="0" w:lastRow="0" w:firstColumn="0" w:lastColumn="0" w:noHBand="0" w:noVBand="1"/>
      </w:tblPr>
      <w:tblGrid>
        <w:gridCol w:w="2792"/>
        <w:gridCol w:w="5938"/>
        <w:gridCol w:w="989"/>
      </w:tblGrid>
      <w:tr w:rsidR="00724AB5" w14:paraId="47E7382A" w14:textId="77777777">
        <w:trPr>
          <w:trHeight w:val="300"/>
        </w:trPr>
        <w:tc>
          <w:tcPr>
            <w:tcW w:w="2792" w:type="dxa"/>
            <w:tcBorders>
              <w:top w:val="single" w:sz="8" w:space="0" w:color="000000"/>
              <w:left w:val="nil"/>
              <w:bottom w:val="single" w:sz="8" w:space="0" w:color="000000"/>
              <w:right w:val="nil"/>
            </w:tcBorders>
            <w:shd w:val="clear" w:color="auto" w:fill="auto"/>
            <w:vAlign w:val="center"/>
          </w:tcPr>
          <w:p w14:paraId="17184F46" w14:textId="77777777" w:rsidR="00724AB5" w:rsidRDefault="007D38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Clinical outcome </w:t>
            </w:r>
          </w:p>
          <w:p w14:paraId="1AA5F30B" w14:textId="77777777" w:rsidR="00724AB5" w:rsidRDefault="007D38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parameter</w:t>
            </w:r>
          </w:p>
        </w:tc>
        <w:tc>
          <w:tcPr>
            <w:tcW w:w="5938" w:type="dxa"/>
            <w:tcBorders>
              <w:top w:val="single" w:sz="8" w:space="0" w:color="000000"/>
              <w:left w:val="nil"/>
              <w:bottom w:val="single" w:sz="8" w:space="0" w:color="000000"/>
              <w:right w:val="nil"/>
            </w:tcBorders>
            <w:shd w:val="clear" w:color="auto" w:fill="auto"/>
            <w:vAlign w:val="center"/>
          </w:tcPr>
          <w:p w14:paraId="6B69B2D4" w14:textId="77777777" w:rsidR="00724AB5" w:rsidRDefault="007D38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Description</w:t>
            </w:r>
          </w:p>
        </w:tc>
        <w:tc>
          <w:tcPr>
            <w:tcW w:w="989" w:type="dxa"/>
            <w:tcBorders>
              <w:top w:val="single" w:sz="8" w:space="0" w:color="000000"/>
              <w:left w:val="nil"/>
              <w:bottom w:val="single" w:sz="8" w:space="0" w:color="000000"/>
              <w:right w:val="nil"/>
            </w:tcBorders>
            <w:shd w:val="clear" w:color="auto" w:fill="auto"/>
            <w:vAlign w:val="center"/>
          </w:tcPr>
          <w:p w14:paraId="50FE53F1" w14:textId="77777777" w:rsidR="00724AB5" w:rsidRDefault="007D38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Variable type</w:t>
            </w:r>
          </w:p>
        </w:tc>
      </w:tr>
      <w:tr w:rsidR="00724AB5" w14:paraId="7866B94D" w14:textId="77777777">
        <w:trPr>
          <w:trHeight w:val="300"/>
        </w:trPr>
        <w:tc>
          <w:tcPr>
            <w:tcW w:w="8730" w:type="dxa"/>
            <w:gridSpan w:val="2"/>
            <w:tcBorders>
              <w:top w:val="single" w:sz="8" w:space="0" w:color="000000"/>
              <w:left w:val="nil"/>
              <w:bottom w:val="nil"/>
              <w:right w:val="nil"/>
            </w:tcBorders>
            <w:shd w:val="clear" w:color="auto" w:fill="auto"/>
          </w:tcPr>
          <w:p w14:paraId="0C628784"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Medical </w:t>
            </w:r>
            <w:r>
              <w:rPr>
                <w:rFonts w:ascii="Times New Roman" w:eastAsia="Times New Roman" w:hAnsi="Times New Roman" w:cs="Times New Roman"/>
                <w:b/>
                <w:color w:val="000000"/>
                <w:sz w:val="20"/>
                <w:szCs w:val="20"/>
              </w:rPr>
              <w:t>history</w:t>
            </w:r>
          </w:p>
        </w:tc>
        <w:tc>
          <w:tcPr>
            <w:tcW w:w="989" w:type="dxa"/>
            <w:tcBorders>
              <w:top w:val="single" w:sz="8" w:space="0" w:color="000000"/>
              <w:left w:val="nil"/>
              <w:bottom w:val="nil"/>
              <w:right w:val="nil"/>
            </w:tcBorders>
            <w:shd w:val="clear" w:color="auto" w:fill="auto"/>
          </w:tcPr>
          <w:p w14:paraId="3AF587C7" w14:textId="77777777" w:rsidR="00724AB5" w:rsidRDefault="00724AB5">
            <w:pPr>
              <w:spacing w:after="0" w:line="240" w:lineRule="auto"/>
              <w:rPr>
                <w:rFonts w:ascii="Times New Roman" w:eastAsia="Times New Roman" w:hAnsi="Times New Roman" w:cs="Times New Roman"/>
                <w:sz w:val="20"/>
                <w:szCs w:val="20"/>
              </w:rPr>
            </w:pPr>
          </w:p>
        </w:tc>
      </w:tr>
      <w:tr w:rsidR="00724AB5" w14:paraId="139D4F33" w14:textId="77777777">
        <w:trPr>
          <w:trHeight w:val="300"/>
        </w:trPr>
        <w:tc>
          <w:tcPr>
            <w:tcW w:w="2792" w:type="dxa"/>
            <w:tcBorders>
              <w:top w:val="nil"/>
              <w:left w:val="nil"/>
              <w:bottom w:val="nil"/>
              <w:right w:val="nil"/>
            </w:tcBorders>
            <w:shd w:val="clear" w:color="auto" w:fill="auto"/>
          </w:tcPr>
          <w:p w14:paraId="17DFC147"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Hospitalization</w:t>
            </w:r>
          </w:p>
        </w:tc>
        <w:tc>
          <w:tcPr>
            <w:tcW w:w="5938" w:type="dxa"/>
            <w:tcBorders>
              <w:top w:val="nil"/>
              <w:left w:val="nil"/>
              <w:bottom w:val="nil"/>
              <w:right w:val="nil"/>
            </w:tcBorders>
            <w:shd w:val="clear" w:color="auto" w:fill="auto"/>
          </w:tcPr>
          <w:p w14:paraId="7E066F78"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number of SCD related hospitalizations over the past 12 months</w:t>
            </w:r>
          </w:p>
        </w:tc>
        <w:tc>
          <w:tcPr>
            <w:tcW w:w="989" w:type="dxa"/>
            <w:tcBorders>
              <w:top w:val="nil"/>
              <w:left w:val="nil"/>
              <w:bottom w:val="nil"/>
              <w:right w:val="nil"/>
            </w:tcBorders>
            <w:shd w:val="clear" w:color="auto" w:fill="auto"/>
          </w:tcPr>
          <w:p w14:paraId="57EF5504"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Numeric</w:t>
            </w:r>
          </w:p>
        </w:tc>
      </w:tr>
      <w:tr w:rsidR="00724AB5" w14:paraId="64D717D6" w14:textId="77777777">
        <w:trPr>
          <w:trHeight w:val="300"/>
        </w:trPr>
        <w:tc>
          <w:tcPr>
            <w:tcW w:w="2792" w:type="dxa"/>
            <w:tcBorders>
              <w:top w:val="nil"/>
              <w:left w:val="nil"/>
              <w:bottom w:val="nil"/>
              <w:right w:val="nil"/>
            </w:tcBorders>
            <w:shd w:val="clear" w:color="auto" w:fill="auto"/>
          </w:tcPr>
          <w:p w14:paraId="14F41BB7"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Transfusion</w:t>
            </w:r>
          </w:p>
        </w:tc>
        <w:tc>
          <w:tcPr>
            <w:tcW w:w="5938" w:type="dxa"/>
            <w:tcBorders>
              <w:top w:val="nil"/>
              <w:left w:val="nil"/>
              <w:bottom w:val="nil"/>
              <w:right w:val="nil"/>
            </w:tcBorders>
            <w:shd w:val="clear" w:color="auto" w:fill="auto"/>
          </w:tcPr>
          <w:p w14:paraId="73D7FA31"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number of blood transfusions over the past 12 months</w:t>
            </w:r>
          </w:p>
        </w:tc>
        <w:tc>
          <w:tcPr>
            <w:tcW w:w="989" w:type="dxa"/>
            <w:tcBorders>
              <w:top w:val="nil"/>
              <w:left w:val="nil"/>
              <w:bottom w:val="nil"/>
              <w:right w:val="nil"/>
            </w:tcBorders>
            <w:shd w:val="clear" w:color="auto" w:fill="auto"/>
          </w:tcPr>
          <w:p w14:paraId="3FA62B47"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Numeric</w:t>
            </w:r>
          </w:p>
        </w:tc>
      </w:tr>
      <w:tr w:rsidR="00724AB5" w14:paraId="6D820556" w14:textId="77777777">
        <w:trPr>
          <w:trHeight w:val="300"/>
        </w:trPr>
        <w:tc>
          <w:tcPr>
            <w:tcW w:w="2792" w:type="dxa"/>
            <w:tcBorders>
              <w:top w:val="nil"/>
              <w:left w:val="nil"/>
              <w:bottom w:val="nil"/>
              <w:right w:val="nil"/>
            </w:tcBorders>
            <w:shd w:val="clear" w:color="auto" w:fill="auto"/>
          </w:tcPr>
          <w:p w14:paraId="2ABA4CCD"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Painful episodes</w:t>
            </w:r>
          </w:p>
        </w:tc>
        <w:tc>
          <w:tcPr>
            <w:tcW w:w="5938" w:type="dxa"/>
            <w:tcBorders>
              <w:top w:val="nil"/>
              <w:left w:val="nil"/>
              <w:bottom w:val="nil"/>
              <w:right w:val="nil"/>
            </w:tcBorders>
            <w:shd w:val="clear" w:color="auto" w:fill="auto"/>
          </w:tcPr>
          <w:p w14:paraId="48212911"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total number of mild to severe periodic painful </w:t>
            </w:r>
            <w:r>
              <w:rPr>
                <w:rFonts w:ascii="Times New Roman" w:eastAsia="Times New Roman" w:hAnsi="Times New Roman" w:cs="Times New Roman"/>
                <w:color w:val="000000"/>
                <w:sz w:val="20"/>
                <w:szCs w:val="20"/>
              </w:rPr>
              <w:t>episodes, lasting from a few hours to several days over the past 3 months</w:t>
            </w:r>
          </w:p>
        </w:tc>
        <w:tc>
          <w:tcPr>
            <w:tcW w:w="989" w:type="dxa"/>
            <w:tcBorders>
              <w:top w:val="nil"/>
              <w:left w:val="nil"/>
              <w:bottom w:val="nil"/>
              <w:right w:val="nil"/>
            </w:tcBorders>
            <w:shd w:val="clear" w:color="auto" w:fill="auto"/>
          </w:tcPr>
          <w:p w14:paraId="3B314DCA"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Numeric</w:t>
            </w:r>
          </w:p>
        </w:tc>
      </w:tr>
      <w:tr w:rsidR="00724AB5" w14:paraId="3121D72E" w14:textId="77777777">
        <w:trPr>
          <w:trHeight w:val="300"/>
        </w:trPr>
        <w:tc>
          <w:tcPr>
            <w:tcW w:w="2792" w:type="dxa"/>
            <w:tcBorders>
              <w:top w:val="nil"/>
              <w:left w:val="nil"/>
              <w:bottom w:val="single" w:sz="8" w:space="0" w:color="000000"/>
              <w:right w:val="nil"/>
            </w:tcBorders>
            <w:shd w:val="clear" w:color="auto" w:fill="auto"/>
          </w:tcPr>
          <w:p w14:paraId="3013B4F8"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Pain severity</w:t>
            </w:r>
          </w:p>
        </w:tc>
        <w:tc>
          <w:tcPr>
            <w:tcW w:w="5938" w:type="dxa"/>
            <w:tcBorders>
              <w:top w:val="nil"/>
              <w:left w:val="nil"/>
              <w:bottom w:val="single" w:sz="8" w:space="0" w:color="000000"/>
              <w:right w:val="nil"/>
            </w:tcBorders>
            <w:shd w:val="clear" w:color="auto" w:fill="auto"/>
          </w:tcPr>
          <w:p w14:paraId="7F126A54"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Pain severity level (mild moderate, or severe) reported during the past 3 consecutive hospitalizations</w:t>
            </w:r>
          </w:p>
        </w:tc>
        <w:tc>
          <w:tcPr>
            <w:tcW w:w="989" w:type="dxa"/>
            <w:tcBorders>
              <w:top w:val="nil"/>
              <w:left w:val="nil"/>
              <w:bottom w:val="single" w:sz="8" w:space="0" w:color="000000"/>
              <w:right w:val="nil"/>
            </w:tcBorders>
            <w:shd w:val="clear" w:color="auto" w:fill="auto"/>
          </w:tcPr>
          <w:p w14:paraId="0086095D"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Ordinal</w:t>
            </w:r>
          </w:p>
        </w:tc>
      </w:tr>
      <w:tr w:rsidR="00724AB5" w14:paraId="6E45EAF0" w14:textId="77777777">
        <w:trPr>
          <w:trHeight w:val="300"/>
        </w:trPr>
        <w:tc>
          <w:tcPr>
            <w:tcW w:w="8730" w:type="dxa"/>
            <w:gridSpan w:val="2"/>
            <w:tcBorders>
              <w:top w:val="single" w:sz="8" w:space="0" w:color="000000"/>
              <w:left w:val="nil"/>
              <w:bottom w:val="nil"/>
              <w:right w:val="nil"/>
            </w:tcBorders>
            <w:shd w:val="clear" w:color="auto" w:fill="auto"/>
          </w:tcPr>
          <w:p w14:paraId="7A48C17F"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Signs and symptoms</w:t>
            </w:r>
          </w:p>
        </w:tc>
        <w:tc>
          <w:tcPr>
            <w:tcW w:w="989" w:type="dxa"/>
            <w:tcBorders>
              <w:top w:val="single" w:sz="8" w:space="0" w:color="000000"/>
              <w:left w:val="nil"/>
              <w:bottom w:val="nil"/>
              <w:right w:val="nil"/>
            </w:tcBorders>
            <w:shd w:val="clear" w:color="auto" w:fill="auto"/>
          </w:tcPr>
          <w:p w14:paraId="54341CE9" w14:textId="77777777" w:rsidR="00724AB5" w:rsidRDefault="00724AB5">
            <w:pPr>
              <w:spacing w:after="0" w:line="240" w:lineRule="auto"/>
              <w:rPr>
                <w:rFonts w:ascii="Times New Roman" w:eastAsia="Times New Roman" w:hAnsi="Times New Roman" w:cs="Times New Roman"/>
                <w:sz w:val="20"/>
                <w:szCs w:val="20"/>
              </w:rPr>
            </w:pPr>
          </w:p>
        </w:tc>
      </w:tr>
      <w:tr w:rsidR="00724AB5" w14:paraId="4E3146A0" w14:textId="77777777">
        <w:trPr>
          <w:trHeight w:val="300"/>
        </w:trPr>
        <w:tc>
          <w:tcPr>
            <w:tcW w:w="2792" w:type="dxa"/>
            <w:tcBorders>
              <w:top w:val="nil"/>
              <w:left w:val="nil"/>
              <w:bottom w:val="nil"/>
              <w:right w:val="nil"/>
            </w:tcBorders>
            <w:shd w:val="clear" w:color="auto" w:fill="auto"/>
          </w:tcPr>
          <w:p w14:paraId="0B52E04B"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Bone/joint pain</w:t>
            </w:r>
          </w:p>
        </w:tc>
        <w:tc>
          <w:tcPr>
            <w:tcW w:w="5938" w:type="dxa"/>
            <w:tcBorders>
              <w:top w:val="nil"/>
              <w:left w:val="nil"/>
              <w:bottom w:val="nil"/>
              <w:right w:val="nil"/>
            </w:tcBorders>
            <w:shd w:val="clear" w:color="auto" w:fill="auto"/>
          </w:tcPr>
          <w:p w14:paraId="05734E54"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patient frequently had bone or joint pain during crisis</w:t>
            </w:r>
          </w:p>
        </w:tc>
        <w:tc>
          <w:tcPr>
            <w:tcW w:w="989" w:type="dxa"/>
            <w:tcBorders>
              <w:top w:val="nil"/>
              <w:left w:val="nil"/>
              <w:bottom w:val="nil"/>
              <w:right w:val="nil"/>
            </w:tcBorders>
            <w:shd w:val="clear" w:color="auto" w:fill="auto"/>
          </w:tcPr>
          <w:p w14:paraId="33909F05"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Binary</w:t>
            </w:r>
          </w:p>
        </w:tc>
      </w:tr>
      <w:tr w:rsidR="00724AB5" w14:paraId="5F313585" w14:textId="77777777">
        <w:trPr>
          <w:trHeight w:val="300"/>
        </w:trPr>
        <w:tc>
          <w:tcPr>
            <w:tcW w:w="2792" w:type="dxa"/>
            <w:tcBorders>
              <w:top w:val="nil"/>
              <w:left w:val="nil"/>
              <w:bottom w:val="nil"/>
              <w:right w:val="nil"/>
            </w:tcBorders>
            <w:shd w:val="clear" w:color="auto" w:fill="auto"/>
          </w:tcPr>
          <w:p w14:paraId="536F50B9"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Abdominal pain</w:t>
            </w:r>
          </w:p>
        </w:tc>
        <w:tc>
          <w:tcPr>
            <w:tcW w:w="5938" w:type="dxa"/>
            <w:tcBorders>
              <w:top w:val="nil"/>
              <w:left w:val="nil"/>
              <w:bottom w:val="nil"/>
              <w:right w:val="nil"/>
            </w:tcBorders>
            <w:shd w:val="clear" w:color="auto" w:fill="auto"/>
          </w:tcPr>
          <w:p w14:paraId="7078B8EC"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patient frequently had abdominal pain during crisis</w:t>
            </w:r>
          </w:p>
        </w:tc>
        <w:tc>
          <w:tcPr>
            <w:tcW w:w="989" w:type="dxa"/>
            <w:tcBorders>
              <w:top w:val="nil"/>
              <w:left w:val="nil"/>
              <w:bottom w:val="nil"/>
              <w:right w:val="nil"/>
            </w:tcBorders>
            <w:shd w:val="clear" w:color="auto" w:fill="auto"/>
          </w:tcPr>
          <w:p w14:paraId="625B2F44"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Binary</w:t>
            </w:r>
          </w:p>
        </w:tc>
      </w:tr>
      <w:tr w:rsidR="00724AB5" w14:paraId="62407033" w14:textId="77777777">
        <w:trPr>
          <w:trHeight w:val="300"/>
        </w:trPr>
        <w:tc>
          <w:tcPr>
            <w:tcW w:w="2792" w:type="dxa"/>
            <w:tcBorders>
              <w:top w:val="nil"/>
              <w:left w:val="nil"/>
              <w:bottom w:val="nil"/>
              <w:right w:val="nil"/>
            </w:tcBorders>
            <w:shd w:val="clear" w:color="auto" w:fill="auto"/>
          </w:tcPr>
          <w:p w14:paraId="7DDF05C8"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Fever</w:t>
            </w:r>
          </w:p>
        </w:tc>
        <w:tc>
          <w:tcPr>
            <w:tcW w:w="5938" w:type="dxa"/>
            <w:tcBorders>
              <w:top w:val="nil"/>
              <w:left w:val="nil"/>
              <w:bottom w:val="nil"/>
              <w:right w:val="nil"/>
            </w:tcBorders>
            <w:shd w:val="clear" w:color="auto" w:fill="auto"/>
          </w:tcPr>
          <w:p w14:paraId="6FEDBB05"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patient usually had fever during crisis (axillary temperature &gt;37.5ºC)</w:t>
            </w:r>
          </w:p>
        </w:tc>
        <w:tc>
          <w:tcPr>
            <w:tcW w:w="989" w:type="dxa"/>
            <w:tcBorders>
              <w:top w:val="nil"/>
              <w:left w:val="nil"/>
              <w:bottom w:val="nil"/>
              <w:right w:val="nil"/>
            </w:tcBorders>
            <w:shd w:val="clear" w:color="auto" w:fill="auto"/>
          </w:tcPr>
          <w:p w14:paraId="0E2CA847"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Binary</w:t>
            </w:r>
          </w:p>
        </w:tc>
      </w:tr>
      <w:tr w:rsidR="00724AB5" w14:paraId="1A54FA6D" w14:textId="77777777">
        <w:trPr>
          <w:trHeight w:val="300"/>
        </w:trPr>
        <w:tc>
          <w:tcPr>
            <w:tcW w:w="2792" w:type="dxa"/>
            <w:tcBorders>
              <w:top w:val="nil"/>
              <w:left w:val="nil"/>
              <w:bottom w:val="nil"/>
              <w:right w:val="nil"/>
            </w:tcBorders>
            <w:shd w:val="clear" w:color="auto" w:fill="auto"/>
          </w:tcPr>
          <w:p w14:paraId="5D1D4E82"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Cough</w:t>
            </w:r>
          </w:p>
        </w:tc>
        <w:tc>
          <w:tcPr>
            <w:tcW w:w="5938" w:type="dxa"/>
            <w:tcBorders>
              <w:top w:val="nil"/>
              <w:left w:val="nil"/>
              <w:bottom w:val="nil"/>
              <w:right w:val="nil"/>
            </w:tcBorders>
            <w:shd w:val="clear" w:color="auto" w:fill="auto"/>
          </w:tcPr>
          <w:p w14:paraId="4859C657"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Frequently had acute/chronic cough during crisis</w:t>
            </w:r>
          </w:p>
        </w:tc>
        <w:tc>
          <w:tcPr>
            <w:tcW w:w="989" w:type="dxa"/>
            <w:tcBorders>
              <w:top w:val="nil"/>
              <w:left w:val="nil"/>
              <w:bottom w:val="nil"/>
              <w:right w:val="nil"/>
            </w:tcBorders>
            <w:shd w:val="clear" w:color="auto" w:fill="auto"/>
          </w:tcPr>
          <w:p w14:paraId="371ACDC6"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Binary</w:t>
            </w:r>
          </w:p>
        </w:tc>
      </w:tr>
      <w:tr w:rsidR="00724AB5" w14:paraId="04E8C522" w14:textId="77777777">
        <w:trPr>
          <w:trHeight w:val="300"/>
        </w:trPr>
        <w:tc>
          <w:tcPr>
            <w:tcW w:w="2792" w:type="dxa"/>
            <w:tcBorders>
              <w:top w:val="nil"/>
              <w:left w:val="nil"/>
              <w:bottom w:val="nil"/>
              <w:right w:val="nil"/>
            </w:tcBorders>
            <w:shd w:val="clear" w:color="auto" w:fill="auto"/>
          </w:tcPr>
          <w:p w14:paraId="4917E4BD"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Chest pain</w:t>
            </w:r>
          </w:p>
        </w:tc>
        <w:tc>
          <w:tcPr>
            <w:tcW w:w="5938" w:type="dxa"/>
            <w:tcBorders>
              <w:top w:val="nil"/>
              <w:left w:val="nil"/>
              <w:bottom w:val="nil"/>
              <w:right w:val="nil"/>
            </w:tcBorders>
            <w:shd w:val="clear" w:color="auto" w:fill="auto"/>
          </w:tcPr>
          <w:p w14:paraId="34AF08E4"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Have experienced a sharp chest pain at least twice during crisis</w:t>
            </w:r>
          </w:p>
        </w:tc>
        <w:tc>
          <w:tcPr>
            <w:tcW w:w="989" w:type="dxa"/>
            <w:tcBorders>
              <w:top w:val="nil"/>
              <w:left w:val="nil"/>
              <w:bottom w:val="nil"/>
              <w:right w:val="nil"/>
            </w:tcBorders>
            <w:shd w:val="clear" w:color="auto" w:fill="auto"/>
          </w:tcPr>
          <w:p w14:paraId="39F4F1B0"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Binary</w:t>
            </w:r>
          </w:p>
        </w:tc>
      </w:tr>
      <w:tr w:rsidR="00724AB5" w14:paraId="1CE905EB" w14:textId="77777777">
        <w:trPr>
          <w:trHeight w:val="300"/>
        </w:trPr>
        <w:tc>
          <w:tcPr>
            <w:tcW w:w="2792" w:type="dxa"/>
            <w:tcBorders>
              <w:top w:val="nil"/>
              <w:left w:val="nil"/>
              <w:bottom w:val="nil"/>
              <w:right w:val="nil"/>
            </w:tcBorders>
            <w:shd w:val="clear" w:color="auto" w:fill="auto"/>
          </w:tcPr>
          <w:p w14:paraId="70DF54CF"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Dark urine</w:t>
            </w:r>
          </w:p>
        </w:tc>
        <w:tc>
          <w:tcPr>
            <w:tcW w:w="5938" w:type="dxa"/>
            <w:tcBorders>
              <w:top w:val="nil"/>
              <w:left w:val="nil"/>
              <w:bottom w:val="nil"/>
              <w:right w:val="nil"/>
            </w:tcBorders>
            <w:shd w:val="clear" w:color="auto" w:fill="auto"/>
          </w:tcPr>
          <w:p w14:paraId="42C57087"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Often had dark urine during crisis </w:t>
            </w:r>
          </w:p>
        </w:tc>
        <w:tc>
          <w:tcPr>
            <w:tcW w:w="989" w:type="dxa"/>
            <w:tcBorders>
              <w:top w:val="nil"/>
              <w:left w:val="nil"/>
              <w:bottom w:val="nil"/>
              <w:right w:val="nil"/>
            </w:tcBorders>
            <w:shd w:val="clear" w:color="auto" w:fill="auto"/>
          </w:tcPr>
          <w:p w14:paraId="2B7AB11A"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Binary</w:t>
            </w:r>
          </w:p>
        </w:tc>
      </w:tr>
      <w:tr w:rsidR="00724AB5" w14:paraId="50C132EE" w14:textId="77777777">
        <w:trPr>
          <w:trHeight w:val="300"/>
        </w:trPr>
        <w:tc>
          <w:tcPr>
            <w:tcW w:w="2792" w:type="dxa"/>
            <w:tcBorders>
              <w:top w:val="nil"/>
              <w:left w:val="nil"/>
              <w:bottom w:val="single" w:sz="8" w:space="0" w:color="000000"/>
              <w:right w:val="nil"/>
            </w:tcBorders>
            <w:shd w:val="clear" w:color="auto" w:fill="auto"/>
          </w:tcPr>
          <w:p w14:paraId="3294C92F"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Other   symptoms/diagnosis</w:t>
            </w:r>
          </w:p>
        </w:tc>
        <w:tc>
          <w:tcPr>
            <w:tcW w:w="5938" w:type="dxa"/>
            <w:tcBorders>
              <w:top w:val="nil"/>
              <w:left w:val="nil"/>
              <w:bottom w:val="single" w:sz="8" w:space="0" w:color="000000"/>
              <w:right w:val="nil"/>
            </w:tcBorders>
            <w:shd w:val="clear" w:color="auto" w:fill="auto"/>
          </w:tcPr>
          <w:p w14:paraId="10F6EE7D"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Presence of other </w:t>
            </w:r>
            <w:r>
              <w:rPr>
                <w:rFonts w:ascii="Times New Roman" w:eastAsia="Times New Roman" w:hAnsi="Times New Roman" w:cs="Times New Roman"/>
                <w:color w:val="000000"/>
                <w:sz w:val="20"/>
                <w:szCs w:val="20"/>
              </w:rPr>
              <w:t>symptoms during the past 3 hospitalizations</w:t>
            </w:r>
          </w:p>
        </w:tc>
        <w:tc>
          <w:tcPr>
            <w:tcW w:w="989" w:type="dxa"/>
            <w:tcBorders>
              <w:top w:val="nil"/>
              <w:left w:val="nil"/>
              <w:bottom w:val="single" w:sz="8" w:space="0" w:color="000000"/>
              <w:right w:val="nil"/>
            </w:tcBorders>
            <w:shd w:val="clear" w:color="auto" w:fill="auto"/>
          </w:tcPr>
          <w:p w14:paraId="6C27DFCA"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Binary</w:t>
            </w:r>
          </w:p>
        </w:tc>
      </w:tr>
      <w:tr w:rsidR="00724AB5" w14:paraId="4B1A69ED" w14:textId="77777777">
        <w:trPr>
          <w:trHeight w:val="300"/>
        </w:trPr>
        <w:tc>
          <w:tcPr>
            <w:tcW w:w="2792" w:type="dxa"/>
            <w:tcBorders>
              <w:top w:val="single" w:sz="8" w:space="0" w:color="000000"/>
              <w:left w:val="nil"/>
              <w:bottom w:val="nil"/>
              <w:right w:val="nil"/>
            </w:tcBorders>
            <w:shd w:val="clear" w:color="auto" w:fill="auto"/>
          </w:tcPr>
          <w:p w14:paraId="1ECBB9B1" w14:textId="77777777" w:rsidR="00724AB5" w:rsidRDefault="007D385F">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Other clinical assessment</w:t>
            </w:r>
          </w:p>
        </w:tc>
        <w:tc>
          <w:tcPr>
            <w:tcW w:w="5938" w:type="dxa"/>
            <w:tcBorders>
              <w:top w:val="single" w:sz="8" w:space="0" w:color="000000"/>
              <w:left w:val="nil"/>
              <w:bottom w:val="nil"/>
              <w:right w:val="nil"/>
            </w:tcBorders>
            <w:shd w:val="clear" w:color="auto" w:fill="auto"/>
          </w:tcPr>
          <w:p w14:paraId="089F7DFE" w14:textId="77777777" w:rsidR="00724AB5" w:rsidRDefault="00724AB5">
            <w:pPr>
              <w:spacing w:after="0" w:line="240" w:lineRule="auto"/>
              <w:rPr>
                <w:rFonts w:ascii="Times New Roman" w:eastAsia="Times New Roman" w:hAnsi="Times New Roman" w:cs="Times New Roman"/>
                <w:color w:val="000000"/>
                <w:sz w:val="20"/>
                <w:szCs w:val="20"/>
              </w:rPr>
            </w:pPr>
          </w:p>
        </w:tc>
        <w:tc>
          <w:tcPr>
            <w:tcW w:w="989" w:type="dxa"/>
            <w:tcBorders>
              <w:top w:val="single" w:sz="8" w:space="0" w:color="000000"/>
              <w:left w:val="nil"/>
              <w:bottom w:val="nil"/>
              <w:right w:val="nil"/>
            </w:tcBorders>
            <w:shd w:val="clear" w:color="auto" w:fill="auto"/>
          </w:tcPr>
          <w:p w14:paraId="69B11FB6" w14:textId="77777777" w:rsidR="00724AB5" w:rsidRDefault="00724AB5">
            <w:pPr>
              <w:spacing w:after="0" w:line="240" w:lineRule="auto"/>
              <w:rPr>
                <w:rFonts w:ascii="Times New Roman" w:eastAsia="Times New Roman" w:hAnsi="Times New Roman" w:cs="Times New Roman"/>
                <w:sz w:val="20"/>
                <w:szCs w:val="20"/>
              </w:rPr>
            </w:pPr>
          </w:p>
        </w:tc>
      </w:tr>
      <w:tr w:rsidR="00724AB5" w14:paraId="483DE91C" w14:textId="77777777">
        <w:trPr>
          <w:trHeight w:val="300"/>
        </w:trPr>
        <w:tc>
          <w:tcPr>
            <w:tcW w:w="2792" w:type="dxa"/>
            <w:tcBorders>
              <w:top w:val="nil"/>
              <w:left w:val="nil"/>
              <w:bottom w:val="nil"/>
              <w:right w:val="nil"/>
            </w:tcBorders>
            <w:shd w:val="clear" w:color="auto" w:fill="auto"/>
          </w:tcPr>
          <w:p w14:paraId="4F5E76A6"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Avascular necrosis</w:t>
            </w:r>
          </w:p>
        </w:tc>
        <w:tc>
          <w:tcPr>
            <w:tcW w:w="5938" w:type="dxa"/>
            <w:tcBorders>
              <w:top w:val="nil"/>
              <w:left w:val="nil"/>
              <w:bottom w:val="nil"/>
              <w:right w:val="nil"/>
            </w:tcBorders>
            <w:shd w:val="clear" w:color="auto" w:fill="auto"/>
          </w:tcPr>
          <w:p w14:paraId="75FA9811"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patient had a history of avascular necrosis</w:t>
            </w:r>
          </w:p>
        </w:tc>
        <w:tc>
          <w:tcPr>
            <w:tcW w:w="989" w:type="dxa"/>
            <w:tcBorders>
              <w:top w:val="nil"/>
              <w:left w:val="nil"/>
              <w:bottom w:val="nil"/>
              <w:right w:val="nil"/>
            </w:tcBorders>
            <w:shd w:val="clear" w:color="auto" w:fill="auto"/>
          </w:tcPr>
          <w:p w14:paraId="29A8B53F"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Binary</w:t>
            </w:r>
          </w:p>
        </w:tc>
      </w:tr>
      <w:tr w:rsidR="00724AB5" w14:paraId="5FAF0B12" w14:textId="77777777">
        <w:trPr>
          <w:trHeight w:val="300"/>
        </w:trPr>
        <w:tc>
          <w:tcPr>
            <w:tcW w:w="2792" w:type="dxa"/>
            <w:tcBorders>
              <w:top w:val="nil"/>
              <w:left w:val="nil"/>
              <w:bottom w:val="nil"/>
              <w:right w:val="nil"/>
            </w:tcBorders>
            <w:shd w:val="clear" w:color="auto" w:fill="auto"/>
          </w:tcPr>
          <w:p w14:paraId="0A24ABFF"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Infection</w:t>
            </w:r>
          </w:p>
        </w:tc>
        <w:tc>
          <w:tcPr>
            <w:tcW w:w="5938" w:type="dxa"/>
            <w:tcBorders>
              <w:top w:val="nil"/>
              <w:left w:val="nil"/>
              <w:bottom w:val="nil"/>
              <w:right w:val="nil"/>
            </w:tcBorders>
            <w:shd w:val="clear" w:color="auto" w:fill="auto"/>
          </w:tcPr>
          <w:p w14:paraId="3BE6FA6D"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Whether the patient was diagnosed with an infection over the past 12 months</w:t>
            </w:r>
          </w:p>
        </w:tc>
        <w:tc>
          <w:tcPr>
            <w:tcW w:w="989" w:type="dxa"/>
            <w:tcBorders>
              <w:top w:val="nil"/>
              <w:left w:val="nil"/>
              <w:bottom w:val="nil"/>
              <w:right w:val="nil"/>
            </w:tcBorders>
            <w:shd w:val="clear" w:color="auto" w:fill="auto"/>
          </w:tcPr>
          <w:p w14:paraId="2722088F"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Binary</w:t>
            </w:r>
          </w:p>
        </w:tc>
      </w:tr>
      <w:tr w:rsidR="00724AB5" w14:paraId="58F85DCE" w14:textId="77777777">
        <w:trPr>
          <w:trHeight w:val="300"/>
        </w:trPr>
        <w:tc>
          <w:tcPr>
            <w:tcW w:w="2792" w:type="dxa"/>
            <w:tcBorders>
              <w:top w:val="nil"/>
              <w:left w:val="nil"/>
              <w:bottom w:val="nil"/>
              <w:right w:val="nil"/>
            </w:tcBorders>
            <w:shd w:val="clear" w:color="auto" w:fill="auto"/>
          </w:tcPr>
          <w:p w14:paraId="5948A96C"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Ulceration</w:t>
            </w:r>
          </w:p>
        </w:tc>
        <w:tc>
          <w:tcPr>
            <w:tcW w:w="5938" w:type="dxa"/>
            <w:tcBorders>
              <w:top w:val="nil"/>
              <w:left w:val="nil"/>
              <w:bottom w:val="nil"/>
              <w:right w:val="nil"/>
            </w:tcBorders>
            <w:shd w:val="clear" w:color="auto" w:fill="auto"/>
          </w:tcPr>
          <w:p w14:paraId="5398860D" w14:textId="429BF335"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Patient ha</w:t>
            </w:r>
            <w:r w:rsidR="006F6D8D">
              <w:rPr>
                <w:rFonts w:ascii="Times New Roman" w:eastAsia="Times New Roman" w:hAnsi="Times New Roman" w:cs="Times New Roman"/>
                <w:color w:val="000000"/>
                <w:sz w:val="20"/>
                <w:szCs w:val="20"/>
              </w:rPr>
              <w:t>d</w:t>
            </w:r>
            <w:r>
              <w:rPr>
                <w:rFonts w:ascii="Times New Roman" w:eastAsia="Times New Roman" w:hAnsi="Times New Roman" w:cs="Times New Roman"/>
                <w:color w:val="000000"/>
                <w:sz w:val="20"/>
                <w:szCs w:val="20"/>
              </w:rPr>
              <w:t xml:space="preserve"> a history of ulceration </w:t>
            </w:r>
          </w:p>
        </w:tc>
        <w:tc>
          <w:tcPr>
            <w:tcW w:w="989" w:type="dxa"/>
            <w:tcBorders>
              <w:top w:val="nil"/>
              <w:left w:val="nil"/>
              <w:bottom w:val="nil"/>
              <w:right w:val="nil"/>
            </w:tcBorders>
            <w:shd w:val="clear" w:color="auto" w:fill="auto"/>
          </w:tcPr>
          <w:p w14:paraId="1D5B7731"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Binary</w:t>
            </w:r>
          </w:p>
        </w:tc>
      </w:tr>
      <w:tr w:rsidR="00724AB5" w14:paraId="5CF46987" w14:textId="77777777">
        <w:trPr>
          <w:trHeight w:val="300"/>
        </w:trPr>
        <w:tc>
          <w:tcPr>
            <w:tcW w:w="2792" w:type="dxa"/>
            <w:tcBorders>
              <w:top w:val="nil"/>
              <w:left w:val="nil"/>
              <w:bottom w:val="nil"/>
              <w:right w:val="nil"/>
            </w:tcBorders>
            <w:shd w:val="clear" w:color="auto" w:fill="auto"/>
          </w:tcPr>
          <w:p w14:paraId="4B337ADB"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Cardiopulmonary</w:t>
            </w:r>
          </w:p>
        </w:tc>
        <w:tc>
          <w:tcPr>
            <w:tcW w:w="5938" w:type="dxa"/>
            <w:tcBorders>
              <w:top w:val="nil"/>
              <w:left w:val="nil"/>
              <w:bottom w:val="nil"/>
              <w:right w:val="nil"/>
            </w:tcBorders>
            <w:shd w:val="clear" w:color="auto" w:fill="auto"/>
          </w:tcPr>
          <w:p w14:paraId="10FD074B"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PaO</w:t>
            </w:r>
            <w:r>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 xml:space="preserve"> was &lt;90% during 2 or more conservative crisis and/or a history of systemic hypertension (≥130/85 mmHg)</w:t>
            </w:r>
          </w:p>
        </w:tc>
        <w:tc>
          <w:tcPr>
            <w:tcW w:w="989" w:type="dxa"/>
            <w:tcBorders>
              <w:top w:val="nil"/>
              <w:left w:val="nil"/>
              <w:bottom w:val="nil"/>
              <w:right w:val="nil"/>
            </w:tcBorders>
            <w:shd w:val="clear" w:color="auto" w:fill="auto"/>
          </w:tcPr>
          <w:p w14:paraId="560D72A8"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Binary</w:t>
            </w:r>
          </w:p>
        </w:tc>
      </w:tr>
      <w:tr w:rsidR="00724AB5" w14:paraId="471BBB98" w14:textId="77777777">
        <w:trPr>
          <w:trHeight w:val="300"/>
        </w:trPr>
        <w:tc>
          <w:tcPr>
            <w:tcW w:w="2792" w:type="dxa"/>
            <w:tcBorders>
              <w:top w:val="nil"/>
              <w:left w:val="nil"/>
              <w:bottom w:val="single" w:sz="8" w:space="0" w:color="000000"/>
              <w:right w:val="nil"/>
            </w:tcBorders>
            <w:shd w:val="clear" w:color="auto" w:fill="auto"/>
          </w:tcPr>
          <w:p w14:paraId="2781395C"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Comorbidity</w:t>
            </w:r>
          </w:p>
        </w:tc>
        <w:tc>
          <w:tcPr>
            <w:tcW w:w="5938" w:type="dxa"/>
            <w:tcBorders>
              <w:top w:val="nil"/>
              <w:left w:val="nil"/>
              <w:bottom w:val="single" w:sz="8" w:space="0" w:color="000000"/>
              <w:right w:val="nil"/>
            </w:tcBorders>
            <w:shd w:val="clear" w:color="auto" w:fill="auto"/>
          </w:tcPr>
          <w:p w14:paraId="238245AE"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Presence of other comorbidities associated or not as</w:t>
            </w:r>
            <w:r>
              <w:rPr>
                <w:rFonts w:ascii="Times New Roman" w:eastAsia="Times New Roman" w:hAnsi="Times New Roman" w:cs="Times New Roman"/>
                <w:color w:val="000000"/>
                <w:sz w:val="20"/>
                <w:szCs w:val="20"/>
              </w:rPr>
              <w:t xml:space="preserve">sociated to SCD </w:t>
            </w:r>
          </w:p>
        </w:tc>
        <w:tc>
          <w:tcPr>
            <w:tcW w:w="989" w:type="dxa"/>
            <w:tcBorders>
              <w:top w:val="nil"/>
              <w:left w:val="nil"/>
              <w:bottom w:val="single" w:sz="8" w:space="0" w:color="000000"/>
              <w:right w:val="nil"/>
            </w:tcBorders>
            <w:shd w:val="clear" w:color="auto" w:fill="auto"/>
          </w:tcPr>
          <w:p w14:paraId="57B7F415"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Binary</w:t>
            </w:r>
          </w:p>
        </w:tc>
      </w:tr>
      <w:tr w:rsidR="00724AB5" w14:paraId="53520E3C" w14:textId="77777777">
        <w:trPr>
          <w:trHeight w:val="300"/>
        </w:trPr>
        <w:tc>
          <w:tcPr>
            <w:tcW w:w="9719" w:type="dxa"/>
            <w:gridSpan w:val="3"/>
            <w:tcBorders>
              <w:top w:val="single" w:sz="8" w:space="0" w:color="000000"/>
              <w:left w:val="nil"/>
              <w:right w:val="nil"/>
            </w:tcBorders>
            <w:shd w:val="clear" w:color="auto" w:fill="auto"/>
          </w:tcPr>
          <w:p w14:paraId="0DF89AA0"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PaO2; partial oxygen saturation taken with a pulse oximeter.</w:t>
            </w:r>
          </w:p>
          <w:p w14:paraId="1550AEE4"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Binary data were coded as Yes or No.</w:t>
            </w:r>
          </w:p>
        </w:tc>
      </w:tr>
    </w:tbl>
    <w:p w14:paraId="0DF8F07D" w14:textId="77777777" w:rsidR="00724AB5" w:rsidRDefault="00724AB5">
      <w:pPr>
        <w:spacing w:after="0" w:line="240" w:lineRule="auto"/>
        <w:jc w:val="both"/>
        <w:rPr>
          <w:rFonts w:ascii="Times New Roman" w:eastAsia="Times New Roman" w:hAnsi="Times New Roman" w:cs="Times New Roman"/>
          <w:b/>
          <w:sz w:val="24"/>
          <w:szCs w:val="24"/>
        </w:rPr>
      </w:pPr>
    </w:p>
    <w:p w14:paraId="222E92F9"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Results</w:t>
      </w:r>
    </w:p>
    <w:p w14:paraId="6FC930B2" w14:textId="0D61C33E"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demographic characteristics of the participants are presented in Table 2. A total of 210 SCD patients from 10 </w:t>
      </w:r>
      <w:r>
        <w:rPr>
          <w:rFonts w:ascii="Times New Roman" w:eastAsia="Times New Roman" w:hAnsi="Times New Roman" w:cs="Times New Roman"/>
          <w:sz w:val="24"/>
          <w:szCs w:val="24"/>
        </w:rPr>
        <w:t>municipalities in Yaoundé and surrounding areas were approached, of whom 185 met the inclusion criteria. The participants belonged to 44 different ethnic groups across Cameroon, with 70% of the participants representing the six ethnic groups: Béti (16%), B</w:t>
      </w:r>
      <w:r>
        <w:rPr>
          <w:rFonts w:ascii="Times New Roman" w:eastAsia="Times New Roman" w:hAnsi="Times New Roman" w:cs="Times New Roman"/>
          <w:sz w:val="24"/>
          <w:szCs w:val="24"/>
        </w:rPr>
        <w:t>amiléké (15%), Bulu (12%), Bassa (11%), Éton (8%) and Ewondo (8%).  The study included 102 females (55%) and 83 males (45%). Participant ages ranged from 4 to 59 years old</w:t>
      </w:r>
      <w:r w:rsidR="007834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 the majority (4</w:t>
      </w:r>
      <w:r w:rsidR="00743890">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001A139B">
        <w:rPr>
          <w:rFonts w:ascii="Times New Roman" w:eastAsia="Times New Roman" w:hAnsi="Times New Roman" w:cs="Times New Roman"/>
          <w:sz w:val="24"/>
          <w:szCs w:val="24"/>
        </w:rPr>
        <w:t>aged</w:t>
      </w:r>
      <w:r>
        <w:rPr>
          <w:rFonts w:ascii="Times New Roman" w:eastAsia="Times New Roman" w:hAnsi="Times New Roman" w:cs="Times New Roman"/>
          <w:sz w:val="24"/>
          <w:szCs w:val="24"/>
        </w:rPr>
        <w:t xml:space="preserve"> between 17 and 25 years.</w:t>
      </w:r>
    </w:p>
    <w:p w14:paraId="145E1F7E" w14:textId="77777777" w:rsidR="00724AB5" w:rsidRDefault="007D385F">
      <w:pPr>
        <w:keepNext/>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6" w:name="_7pjzn9ud1c7q" w:colFirst="0" w:colLast="0"/>
      <w:bookmarkEnd w:id="6"/>
      <w:r>
        <w:rPr>
          <w:rFonts w:ascii="Times New Roman" w:eastAsia="Times New Roman" w:hAnsi="Times New Roman" w:cs="Times New Roman"/>
          <w:color w:val="000000"/>
          <w:sz w:val="20"/>
          <w:szCs w:val="20"/>
        </w:rPr>
        <w:t xml:space="preserve">Table 2. </w:t>
      </w:r>
      <w:r>
        <w:rPr>
          <w:rFonts w:ascii="Times New Roman" w:eastAsia="Times New Roman" w:hAnsi="Times New Roman" w:cs="Times New Roman"/>
          <w:color w:val="000000"/>
          <w:sz w:val="20"/>
          <w:szCs w:val="20"/>
        </w:rPr>
        <w:t>Demographic characteristics. Continuous variables are expressed as averages and categorical variables as frequencies</w:t>
      </w:r>
    </w:p>
    <w:tbl>
      <w:tblPr>
        <w:tblStyle w:val="a0"/>
        <w:tblW w:w="5355" w:type="dxa"/>
        <w:tblInd w:w="0" w:type="dxa"/>
        <w:tblLayout w:type="fixed"/>
        <w:tblLook w:val="0400" w:firstRow="0" w:lastRow="0" w:firstColumn="0" w:lastColumn="0" w:noHBand="0" w:noVBand="1"/>
      </w:tblPr>
      <w:tblGrid>
        <w:gridCol w:w="2070"/>
        <w:gridCol w:w="1727"/>
        <w:gridCol w:w="1558"/>
      </w:tblGrid>
      <w:tr w:rsidR="00724AB5" w14:paraId="225D5EC6" w14:textId="77777777">
        <w:trPr>
          <w:trHeight w:val="20"/>
        </w:trPr>
        <w:tc>
          <w:tcPr>
            <w:tcW w:w="2070" w:type="dxa"/>
            <w:tcBorders>
              <w:top w:val="single" w:sz="8" w:space="0" w:color="000000"/>
              <w:left w:val="nil"/>
              <w:bottom w:val="single" w:sz="8" w:space="0" w:color="000000"/>
              <w:right w:val="nil"/>
            </w:tcBorders>
            <w:shd w:val="clear" w:color="auto" w:fill="auto"/>
            <w:vAlign w:val="center"/>
          </w:tcPr>
          <w:p w14:paraId="79EADDF1" w14:textId="77777777" w:rsidR="00724AB5" w:rsidRDefault="007D38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Variable</w:t>
            </w:r>
          </w:p>
        </w:tc>
        <w:tc>
          <w:tcPr>
            <w:tcW w:w="1727" w:type="dxa"/>
            <w:tcBorders>
              <w:top w:val="single" w:sz="8" w:space="0" w:color="000000"/>
              <w:left w:val="nil"/>
              <w:bottom w:val="single" w:sz="8" w:space="0" w:color="000000"/>
              <w:right w:val="nil"/>
            </w:tcBorders>
            <w:shd w:val="clear" w:color="auto" w:fill="auto"/>
            <w:vAlign w:val="center"/>
          </w:tcPr>
          <w:p w14:paraId="42515718" w14:textId="77777777" w:rsidR="00724AB5" w:rsidRDefault="007D38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Mean (SD)</w:t>
            </w:r>
          </w:p>
        </w:tc>
        <w:tc>
          <w:tcPr>
            <w:tcW w:w="1558" w:type="dxa"/>
            <w:tcBorders>
              <w:top w:val="single" w:sz="8" w:space="0" w:color="000000"/>
              <w:left w:val="nil"/>
              <w:bottom w:val="single" w:sz="8" w:space="0" w:color="000000"/>
              <w:right w:val="nil"/>
            </w:tcBorders>
            <w:shd w:val="clear" w:color="auto" w:fill="auto"/>
            <w:vAlign w:val="center"/>
          </w:tcPr>
          <w:p w14:paraId="458706F7" w14:textId="77777777" w:rsidR="00724AB5" w:rsidRDefault="007D38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Range</w:t>
            </w:r>
          </w:p>
          <w:p w14:paraId="68230400" w14:textId="77777777" w:rsidR="00724AB5" w:rsidRDefault="007D38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(Min-Max)</w:t>
            </w:r>
          </w:p>
        </w:tc>
      </w:tr>
      <w:tr w:rsidR="00724AB5" w14:paraId="61335D7D" w14:textId="77777777">
        <w:trPr>
          <w:trHeight w:val="20"/>
        </w:trPr>
        <w:tc>
          <w:tcPr>
            <w:tcW w:w="2070" w:type="dxa"/>
            <w:tcBorders>
              <w:top w:val="single" w:sz="8" w:space="0" w:color="000000"/>
              <w:left w:val="nil"/>
              <w:right w:val="nil"/>
            </w:tcBorders>
            <w:shd w:val="clear" w:color="auto" w:fill="auto"/>
            <w:vAlign w:val="bottom"/>
          </w:tcPr>
          <w:p w14:paraId="7309A58C" w14:textId="77777777" w:rsidR="00724AB5" w:rsidRDefault="007D385F">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Age (years)</w:t>
            </w:r>
          </w:p>
        </w:tc>
        <w:tc>
          <w:tcPr>
            <w:tcW w:w="1727" w:type="dxa"/>
            <w:tcBorders>
              <w:top w:val="single" w:sz="8" w:space="0" w:color="000000"/>
              <w:left w:val="nil"/>
              <w:right w:val="nil"/>
            </w:tcBorders>
            <w:shd w:val="clear" w:color="auto" w:fill="auto"/>
            <w:vAlign w:val="bottom"/>
          </w:tcPr>
          <w:p w14:paraId="5420E0F9" w14:textId="77777777" w:rsidR="00724AB5" w:rsidRDefault="007D38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19.79 (11.68)</w:t>
            </w:r>
          </w:p>
        </w:tc>
        <w:tc>
          <w:tcPr>
            <w:tcW w:w="1558" w:type="dxa"/>
            <w:tcBorders>
              <w:top w:val="single" w:sz="8" w:space="0" w:color="000000"/>
              <w:left w:val="nil"/>
              <w:right w:val="nil"/>
            </w:tcBorders>
            <w:shd w:val="clear" w:color="auto" w:fill="auto"/>
            <w:vAlign w:val="bottom"/>
          </w:tcPr>
          <w:p w14:paraId="0C6386B4" w14:textId="77777777" w:rsidR="00724AB5" w:rsidRDefault="007D38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4-59</w:t>
            </w:r>
          </w:p>
        </w:tc>
      </w:tr>
      <w:tr w:rsidR="00724AB5" w14:paraId="278E41DB" w14:textId="77777777">
        <w:trPr>
          <w:trHeight w:val="20"/>
        </w:trPr>
        <w:tc>
          <w:tcPr>
            <w:tcW w:w="2070" w:type="dxa"/>
            <w:tcBorders>
              <w:left w:val="nil"/>
              <w:right w:val="nil"/>
            </w:tcBorders>
            <w:shd w:val="clear" w:color="auto" w:fill="auto"/>
            <w:vAlign w:val="bottom"/>
          </w:tcPr>
          <w:p w14:paraId="0A9663CC" w14:textId="77777777" w:rsidR="00724AB5" w:rsidRDefault="007D385F">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Height (cm)</w:t>
            </w:r>
          </w:p>
        </w:tc>
        <w:tc>
          <w:tcPr>
            <w:tcW w:w="1727" w:type="dxa"/>
            <w:tcBorders>
              <w:left w:val="nil"/>
              <w:right w:val="nil"/>
            </w:tcBorders>
            <w:shd w:val="clear" w:color="auto" w:fill="auto"/>
            <w:vAlign w:val="bottom"/>
          </w:tcPr>
          <w:p w14:paraId="467F455A" w14:textId="77777777" w:rsidR="00724AB5" w:rsidRDefault="007D38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151.58 (23.81)</w:t>
            </w:r>
          </w:p>
        </w:tc>
        <w:tc>
          <w:tcPr>
            <w:tcW w:w="1558" w:type="dxa"/>
            <w:tcBorders>
              <w:left w:val="nil"/>
              <w:right w:val="nil"/>
            </w:tcBorders>
            <w:shd w:val="clear" w:color="auto" w:fill="auto"/>
            <w:vAlign w:val="bottom"/>
          </w:tcPr>
          <w:p w14:paraId="1B946909" w14:textId="77777777" w:rsidR="00724AB5" w:rsidRDefault="007D38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99-189</w:t>
            </w:r>
          </w:p>
        </w:tc>
      </w:tr>
      <w:tr w:rsidR="00724AB5" w14:paraId="31E3A4F7" w14:textId="77777777">
        <w:trPr>
          <w:trHeight w:val="20"/>
        </w:trPr>
        <w:tc>
          <w:tcPr>
            <w:tcW w:w="2070" w:type="dxa"/>
            <w:tcBorders>
              <w:left w:val="nil"/>
              <w:bottom w:val="single" w:sz="8" w:space="0" w:color="000000"/>
              <w:right w:val="nil"/>
            </w:tcBorders>
            <w:shd w:val="clear" w:color="auto" w:fill="auto"/>
            <w:vAlign w:val="bottom"/>
          </w:tcPr>
          <w:p w14:paraId="17814242" w14:textId="77777777" w:rsidR="00724AB5" w:rsidRDefault="007D385F">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Weight (kg)</w:t>
            </w:r>
          </w:p>
        </w:tc>
        <w:tc>
          <w:tcPr>
            <w:tcW w:w="1727" w:type="dxa"/>
            <w:tcBorders>
              <w:left w:val="nil"/>
              <w:bottom w:val="single" w:sz="8" w:space="0" w:color="000000"/>
              <w:right w:val="nil"/>
            </w:tcBorders>
            <w:shd w:val="clear" w:color="auto" w:fill="auto"/>
            <w:vAlign w:val="bottom"/>
          </w:tcPr>
          <w:p w14:paraId="54D78D55" w14:textId="77777777" w:rsidR="00724AB5" w:rsidRDefault="007D38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45.13 (17.19)</w:t>
            </w:r>
          </w:p>
        </w:tc>
        <w:tc>
          <w:tcPr>
            <w:tcW w:w="1558" w:type="dxa"/>
            <w:tcBorders>
              <w:left w:val="nil"/>
              <w:bottom w:val="single" w:sz="8" w:space="0" w:color="000000"/>
              <w:right w:val="nil"/>
            </w:tcBorders>
            <w:shd w:val="clear" w:color="auto" w:fill="auto"/>
            <w:vAlign w:val="bottom"/>
          </w:tcPr>
          <w:p w14:paraId="6C55C7EC" w14:textId="77777777" w:rsidR="00724AB5" w:rsidRDefault="007D38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13-90</w:t>
            </w:r>
          </w:p>
        </w:tc>
      </w:tr>
      <w:tr w:rsidR="00724AB5" w14:paraId="10684FC3" w14:textId="77777777">
        <w:trPr>
          <w:trHeight w:val="20"/>
        </w:trPr>
        <w:tc>
          <w:tcPr>
            <w:tcW w:w="2070" w:type="dxa"/>
            <w:tcBorders>
              <w:top w:val="single" w:sz="8" w:space="0" w:color="000000"/>
              <w:left w:val="nil"/>
              <w:bottom w:val="single" w:sz="8" w:space="0" w:color="000000"/>
              <w:right w:val="nil"/>
            </w:tcBorders>
            <w:shd w:val="clear" w:color="auto" w:fill="auto"/>
            <w:vAlign w:val="center"/>
          </w:tcPr>
          <w:p w14:paraId="053C77DE" w14:textId="77777777" w:rsidR="00724AB5" w:rsidRDefault="00724AB5">
            <w:pPr>
              <w:spacing w:after="0" w:line="240" w:lineRule="auto"/>
              <w:rPr>
                <w:rFonts w:ascii="Times New Roman" w:eastAsia="Times New Roman" w:hAnsi="Times New Roman" w:cs="Times New Roman"/>
                <w:color w:val="000000"/>
                <w:sz w:val="20"/>
                <w:szCs w:val="20"/>
              </w:rPr>
            </w:pPr>
          </w:p>
        </w:tc>
        <w:tc>
          <w:tcPr>
            <w:tcW w:w="1727" w:type="dxa"/>
            <w:tcBorders>
              <w:top w:val="single" w:sz="8" w:space="0" w:color="000000"/>
              <w:left w:val="nil"/>
              <w:bottom w:val="single" w:sz="8" w:space="0" w:color="000000"/>
              <w:right w:val="nil"/>
            </w:tcBorders>
            <w:shd w:val="clear" w:color="auto" w:fill="auto"/>
            <w:vAlign w:val="center"/>
          </w:tcPr>
          <w:p w14:paraId="7BCF34D8"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Frequency</w:t>
            </w:r>
          </w:p>
        </w:tc>
        <w:tc>
          <w:tcPr>
            <w:tcW w:w="1558" w:type="dxa"/>
            <w:tcBorders>
              <w:top w:val="single" w:sz="8" w:space="0" w:color="000000"/>
              <w:left w:val="nil"/>
              <w:bottom w:val="single" w:sz="8" w:space="0" w:color="000000"/>
              <w:right w:val="nil"/>
            </w:tcBorders>
            <w:shd w:val="clear" w:color="auto" w:fill="auto"/>
            <w:vAlign w:val="center"/>
          </w:tcPr>
          <w:p w14:paraId="572B4152" w14:textId="77777777" w:rsidR="00724AB5" w:rsidRDefault="007D38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Percent </w:t>
            </w:r>
          </w:p>
          <w:p w14:paraId="3175D48F" w14:textId="77777777" w:rsidR="00724AB5" w:rsidRDefault="007D385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w:t>
            </w:r>
          </w:p>
        </w:tc>
      </w:tr>
      <w:tr w:rsidR="00724AB5" w14:paraId="29850B2C" w14:textId="77777777">
        <w:trPr>
          <w:trHeight w:val="20"/>
        </w:trPr>
        <w:tc>
          <w:tcPr>
            <w:tcW w:w="2070" w:type="dxa"/>
            <w:tcBorders>
              <w:top w:val="single" w:sz="8" w:space="0" w:color="000000"/>
              <w:left w:val="nil"/>
              <w:bottom w:val="nil"/>
              <w:right w:val="nil"/>
            </w:tcBorders>
            <w:shd w:val="clear" w:color="auto" w:fill="auto"/>
            <w:vAlign w:val="bottom"/>
          </w:tcPr>
          <w:p w14:paraId="0CC8AF34"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Age category</w:t>
            </w:r>
          </w:p>
        </w:tc>
        <w:tc>
          <w:tcPr>
            <w:tcW w:w="1727" w:type="dxa"/>
            <w:tcBorders>
              <w:top w:val="single" w:sz="8" w:space="0" w:color="000000"/>
              <w:left w:val="nil"/>
              <w:bottom w:val="nil"/>
              <w:right w:val="nil"/>
            </w:tcBorders>
            <w:shd w:val="clear" w:color="auto" w:fill="auto"/>
            <w:vAlign w:val="bottom"/>
          </w:tcPr>
          <w:p w14:paraId="09F61CAF" w14:textId="77777777" w:rsidR="00724AB5" w:rsidRDefault="00724AB5">
            <w:pPr>
              <w:spacing w:after="0" w:line="240" w:lineRule="auto"/>
              <w:rPr>
                <w:rFonts w:ascii="Times New Roman" w:eastAsia="Times New Roman" w:hAnsi="Times New Roman" w:cs="Times New Roman"/>
                <w:color w:val="000000"/>
                <w:sz w:val="20"/>
                <w:szCs w:val="20"/>
              </w:rPr>
            </w:pPr>
          </w:p>
        </w:tc>
        <w:tc>
          <w:tcPr>
            <w:tcW w:w="1558" w:type="dxa"/>
            <w:tcBorders>
              <w:top w:val="single" w:sz="8" w:space="0" w:color="000000"/>
              <w:left w:val="nil"/>
              <w:bottom w:val="nil"/>
              <w:right w:val="nil"/>
            </w:tcBorders>
            <w:shd w:val="clear" w:color="auto" w:fill="auto"/>
            <w:vAlign w:val="bottom"/>
          </w:tcPr>
          <w:p w14:paraId="41B7214B" w14:textId="77777777" w:rsidR="00724AB5" w:rsidRDefault="00724AB5">
            <w:pPr>
              <w:spacing w:after="0" w:line="240" w:lineRule="auto"/>
              <w:jc w:val="center"/>
              <w:rPr>
                <w:rFonts w:ascii="Times New Roman" w:eastAsia="Times New Roman" w:hAnsi="Times New Roman" w:cs="Times New Roman"/>
                <w:sz w:val="20"/>
                <w:szCs w:val="20"/>
              </w:rPr>
            </w:pPr>
          </w:p>
        </w:tc>
      </w:tr>
      <w:tr w:rsidR="00724AB5" w14:paraId="1A10317E" w14:textId="77777777">
        <w:trPr>
          <w:trHeight w:val="20"/>
        </w:trPr>
        <w:tc>
          <w:tcPr>
            <w:tcW w:w="2070" w:type="dxa"/>
            <w:tcBorders>
              <w:left w:val="nil"/>
              <w:bottom w:val="nil"/>
              <w:right w:val="nil"/>
            </w:tcBorders>
            <w:shd w:val="clear" w:color="auto" w:fill="auto"/>
            <w:vAlign w:val="bottom"/>
          </w:tcPr>
          <w:p w14:paraId="700A510D"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Under 17 years old   </w:t>
            </w:r>
          </w:p>
        </w:tc>
        <w:tc>
          <w:tcPr>
            <w:tcW w:w="1727" w:type="dxa"/>
            <w:tcBorders>
              <w:left w:val="nil"/>
              <w:bottom w:val="nil"/>
              <w:right w:val="nil"/>
            </w:tcBorders>
            <w:shd w:val="clear" w:color="auto" w:fill="auto"/>
            <w:vAlign w:val="bottom"/>
          </w:tcPr>
          <w:p w14:paraId="56D45728"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w:t>
            </w:r>
          </w:p>
        </w:tc>
        <w:tc>
          <w:tcPr>
            <w:tcW w:w="1558" w:type="dxa"/>
            <w:tcBorders>
              <w:left w:val="nil"/>
              <w:bottom w:val="nil"/>
              <w:right w:val="nil"/>
            </w:tcBorders>
            <w:shd w:val="clear" w:color="auto" w:fill="auto"/>
            <w:vAlign w:val="bottom"/>
          </w:tcPr>
          <w:p w14:paraId="2B20880D" w14:textId="77777777" w:rsidR="00724AB5" w:rsidRDefault="007D385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37</w:t>
            </w:r>
          </w:p>
        </w:tc>
      </w:tr>
      <w:tr w:rsidR="00724AB5" w14:paraId="36F2AA22" w14:textId="77777777">
        <w:trPr>
          <w:trHeight w:val="20"/>
        </w:trPr>
        <w:tc>
          <w:tcPr>
            <w:tcW w:w="2070" w:type="dxa"/>
            <w:tcBorders>
              <w:left w:val="nil"/>
              <w:bottom w:val="nil"/>
              <w:right w:val="nil"/>
            </w:tcBorders>
            <w:shd w:val="clear" w:color="auto" w:fill="auto"/>
            <w:vAlign w:val="bottom"/>
          </w:tcPr>
          <w:p w14:paraId="7A476F49"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17-25 years old </w:t>
            </w:r>
          </w:p>
        </w:tc>
        <w:tc>
          <w:tcPr>
            <w:tcW w:w="1727" w:type="dxa"/>
            <w:tcBorders>
              <w:left w:val="nil"/>
              <w:bottom w:val="nil"/>
              <w:right w:val="nil"/>
            </w:tcBorders>
            <w:shd w:val="clear" w:color="auto" w:fill="auto"/>
            <w:vAlign w:val="bottom"/>
          </w:tcPr>
          <w:p w14:paraId="21852C6C"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w:t>
            </w:r>
          </w:p>
        </w:tc>
        <w:tc>
          <w:tcPr>
            <w:tcW w:w="1558" w:type="dxa"/>
            <w:tcBorders>
              <w:left w:val="nil"/>
              <w:bottom w:val="nil"/>
              <w:right w:val="nil"/>
            </w:tcBorders>
            <w:shd w:val="clear" w:color="auto" w:fill="auto"/>
            <w:vAlign w:val="bottom"/>
          </w:tcPr>
          <w:p w14:paraId="0D05EA1A" w14:textId="77777777" w:rsidR="00724AB5" w:rsidRDefault="007D385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40</w:t>
            </w:r>
          </w:p>
        </w:tc>
      </w:tr>
      <w:tr w:rsidR="00724AB5" w14:paraId="4DC48546" w14:textId="77777777">
        <w:trPr>
          <w:trHeight w:val="20"/>
        </w:trPr>
        <w:tc>
          <w:tcPr>
            <w:tcW w:w="2070" w:type="dxa"/>
            <w:tcBorders>
              <w:left w:val="nil"/>
              <w:right w:val="nil"/>
            </w:tcBorders>
            <w:shd w:val="clear" w:color="auto" w:fill="auto"/>
            <w:vAlign w:val="bottom"/>
          </w:tcPr>
          <w:p w14:paraId="1675A728"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26-35 years old </w:t>
            </w:r>
          </w:p>
        </w:tc>
        <w:tc>
          <w:tcPr>
            <w:tcW w:w="1727" w:type="dxa"/>
            <w:tcBorders>
              <w:left w:val="nil"/>
              <w:right w:val="nil"/>
            </w:tcBorders>
            <w:shd w:val="clear" w:color="auto" w:fill="auto"/>
            <w:vAlign w:val="bottom"/>
          </w:tcPr>
          <w:p w14:paraId="3A9A63FA"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1558" w:type="dxa"/>
            <w:tcBorders>
              <w:left w:val="nil"/>
              <w:right w:val="nil"/>
            </w:tcBorders>
            <w:shd w:val="clear" w:color="auto" w:fill="auto"/>
            <w:vAlign w:val="bottom"/>
          </w:tcPr>
          <w:p w14:paraId="4FFA3B5F" w14:textId="77777777" w:rsidR="00724AB5" w:rsidRDefault="007D385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12</w:t>
            </w:r>
          </w:p>
        </w:tc>
      </w:tr>
      <w:tr w:rsidR="00724AB5" w14:paraId="710B8BCD" w14:textId="77777777">
        <w:trPr>
          <w:trHeight w:val="20"/>
        </w:trPr>
        <w:tc>
          <w:tcPr>
            <w:tcW w:w="2070" w:type="dxa"/>
            <w:tcBorders>
              <w:left w:val="nil"/>
              <w:right w:val="nil"/>
            </w:tcBorders>
            <w:shd w:val="clear" w:color="auto" w:fill="auto"/>
            <w:vAlign w:val="bottom"/>
          </w:tcPr>
          <w:p w14:paraId="0739BF80"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Over 35 years old   </w:t>
            </w:r>
          </w:p>
        </w:tc>
        <w:tc>
          <w:tcPr>
            <w:tcW w:w="1727" w:type="dxa"/>
            <w:tcBorders>
              <w:left w:val="nil"/>
              <w:right w:val="nil"/>
            </w:tcBorders>
            <w:shd w:val="clear" w:color="auto" w:fill="auto"/>
            <w:vAlign w:val="bottom"/>
          </w:tcPr>
          <w:p w14:paraId="4D7448A6"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558" w:type="dxa"/>
            <w:tcBorders>
              <w:left w:val="nil"/>
              <w:right w:val="nil"/>
            </w:tcBorders>
            <w:shd w:val="clear" w:color="auto" w:fill="auto"/>
            <w:vAlign w:val="bottom"/>
          </w:tcPr>
          <w:p w14:paraId="0113D629" w14:textId="77777777" w:rsidR="00724AB5" w:rsidRDefault="007D385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11</w:t>
            </w:r>
          </w:p>
        </w:tc>
      </w:tr>
      <w:tr w:rsidR="00724AB5" w14:paraId="15B5C96F" w14:textId="77777777">
        <w:trPr>
          <w:trHeight w:val="20"/>
        </w:trPr>
        <w:tc>
          <w:tcPr>
            <w:tcW w:w="2070" w:type="dxa"/>
            <w:tcBorders>
              <w:left w:val="nil"/>
              <w:bottom w:val="nil"/>
              <w:right w:val="nil"/>
            </w:tcBorders>
            <w:shd w:val="clear" w:color="auto" w:fill="auto"/>
            <w:vAlign w:val="bottom"/>
          </w:tcPr>
          <w:p w14:paraId="62FF3E6B"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Gender</w:t>
            </w:r>
          </w:p>
        </w:tc>
        <w:tc>
          <w:tcPr>
            <w:tcW w:w="1727" w:type="dxa"/>
            <w:tcBorders>
              <w:left w:val="nil"/>
              <w:bottom w:val="nil"/>
              <w:right w:val="nil"/>
            </w:tcBorders>
            <w:shd w:val="clear" w:color="auto" w:fill="auto"/>
            <w:vAlign w:val="bottom"/>
          </w:tcPr>
          <w:p w14:paraId="750A797E" w14:textId="77777777" w:rsidR="00724AB5" w:rsidRDefault="00724AB5">
            <w:pPr>
              <w:spacing w:after="0" w:line="240" w:lineRule="auto"/>
              <w:rPr>
                <w:rFonts w:ascii="Times New Roman" w:eastAsia="Times New Roman" w:hAnsi="Times New Roman" w:cs="Times New Roman"/>
                <w:color w:val="000000"/>
                <w:sz w:val="20"/>
                <w:szCs w:val="20"/>
              </w:rPr>
            </w:pPr>
          </w:p>
        </w:tc>
        <w:tc>
          <w:tcPr>
            <w:tcW w:w="1558" w:type="dxa"/>
            <w:tcBorders>
              <w:left w:val="nil"/>
              <w:bottom w:val="nil"/>
              <w:right w:val="nil"/>
            </w:tcBorders>
            <w:shd w:val="clear" w:color="auto" w:fill="auto"/>
            <w:vAlign w:val="bottom"/>
          </w:tcPr>
          <w:p w14:paraId="2DE3C2D2" w14:textId="77777777" w:rsidR="00724AB5" w:rsidRDefault="00724AB5">
            <w:pPr>
              <w:spacing w:after="0" w:line="240" w:lineRule="auto"/>
              <w:jc w:val="center"/>
              <w:rPr>
                <w:rFonts w:ascii="Times New Roman" w:eastAsia="Times New Roman" w:hAnsi="Times New Roman" w:cs="Times New Roman"/>
                <w:sz w:val="20"/>
                <w:szCs w:val="20"/>
              </w:rPr>
            </w:pPr>
          </w:p>
        </w:tc>
      </w:tr>
      <w:tr w:rsidR="00724AB5" w14:paraId="3CE5D33A" w14:textId="77777777">
        <w:trPr>
          <w:trHeight w:val="20"/>
        </w:trPr>
        <w:tc>
          <w:tcPr>
            <w:tcW w:w="2070" w:type="dxa"/>
            <w:tcBorders>
              <w:top w:val="nil"/>
              <w:left w:val="nil"/>
              <w:bottom w:val="nil"/>
              <w:right w:val="nil"/>
            </w:tcBorders>
            <w:shd w:val="clear" w:color="auto" w:fill="auto"/>
            <w:vAlign w:val="bottom"/>
          </w:tcPr>
          <w:p w14:paraId="79FD6450"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Female</w:t>
            </w:r>
          </w:p>
        </w:tc>
        <w:tc>
          <w:tcPr>
            <w:tcW w:w="1727" w:type="dxa"/>
            <w:tcBorders>
              <w:top w:val="nil"/>
              <w:left w:val="nil"/>
              <w:bottom w:val="nil"/>
              <w:right w:val="nil"/>
            </w:tcBorders>
            <w:shd w:val="clear" w:color="auto" w:fill="auto"/>
            <w:vAlign w:val="bottom"/>
          </w:tcPr>
          <w:p w14:paraId="08FE4BB9"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w:t>
            </w:r>
          </w:p>
        </w:tc>
        <w:tc>
          <w:tcPr>
            <w:tcW w:w="1558" w:type="dxa"/>
            <w:tcBorders>
              <w:top w:val="nil"/>
              <w:left w:val="nil"/>
              <w:bottom w:val="nil"/>
              <w:right w:val="nil"/>
            </w:tcBorders>
            <w:shd w:val="clear" w:color="auto" w:fill="auto"/>
            <w:vAlign w:val="bottom"/>
          </w:tcPr>
          <w:p w14:paraId="1EABB906"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r>
      <w:tr w:rsidR="00724AB5" w14:paraId="4B6AEF5D" w14:textId="77777777">
        <w:trPr>
          <w:trHeight w:val="20"/>
        </w:trPr>
        <w:tc>
          <w:tcPr>
            <w:tcW w:w="2070" w:type="dxa"/>
            <w:tcBorders>
              <w:top w:val="nil"/>
              <w:left w:val="nil"/>
              <w:bottom w:val="nil"/>
              <w:right w:val="nil"/>
            </w:tcBorders>
            <w:shd w:val="clear" w:color="auto" w:fill="auto"/>
            <w:vAlign w:val="bottom"/>
          </w:tcPr>
          <w:p w14:paraId="57E52CD0"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Male</w:t>
            </w:r>
          </w:p>
        </w:tc>
        <w:tc>
          <w:tcPr>
            <w:tcW w:w="1727" w:type="dxa"/>
            <w:tcBorders>
              <w:top w:val="nil"/>
              <w:left w:val="nil"/>
              <w:bottom w:val="nil"/>
              <w:right w:val="nil"/>
            </w:tcBorders>
            <w:shd w:val="clear" w:color="auto" w:fill="auto"/>
            <w:vAlign w:val="bottom"/>
          </w:tcPr>
          <w:p w14:paraId="0DF5121D"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w:t>
            </w:r>
          </w:p>
        </w:tc>
        <w:tc>
          <w:tcPr>
            <w:tcW w:w="1558" w:type="dxa"/>
            <w:tcBorders>
              <w:top w:val="nil"/>
              <w:left w:val="nil"/>
              <w:bottom w:val="nil"/>
              <w:right w:val="nil"/>
            </w:tcBorders>
            <w:shd w:val="clear" w:color="auto" w:fill="auto"/>
            <w:vAlign w:val="bottom"/>
          </w:tcPr>
          <w:p w14:paraId="0DC4A141"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r>
      <w:tr w:rsidR="00724AB5" w14:paraId="1F7A3DC0" w14:textId="77777777">
        <w:trPr>
          <w:trHeight w:val="20"/>
        </w:trPr>
        <w:tc>
          <w:tcPr>
            <w:tcW w:w="2070" w:type="dxa"/>
            <w:tcBorders>
              <w:top w:val="nil"/>
              <w:left w:val="nil"/>
              <w:bottom w:val="nil"/>
              <w:right w:val="nil"/>
            </w:tcBorders>
            <w:shd w:val="clear" w:color="auto" w:fill="auto"/>
            <w:vAlign w:val="bottom"/>
          </w:tcPr>
          <w:p w14:paraId="606D97D4"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Tribe or ethnic group</w:t>
            </w:r>
          </w:p>
        </w:tc>
        <w:tc>
          <w:tcPr>
            <w:tcW w:w="1727" w:type="dxa"/>
            <w:tcBorders>
              <w:top w:val="nil"/>
              <w:left w:val="nil"/>
              <w:bottom w:val="nil"/>
              <w:right w:val="nil"/>
            </w:tcBorders>
            <w:shd w:val="clear" w:color="auto" w:fill="auto"/>
            <w:vAlign w:val="bottom"/>
          </w:tcPr>
          <w:p w14:paraId="67668012" w14:textId="77777777" w:rsidR="00724AB5" w:rsidRDefault="00724AB5">
            <w:pPr>
              <w:spacing w:after="0" w:line="240" w:lineRule="auto"/>
              <w:rPr>
                <w:rFonts w:ascii="Times New Roman" w:eastAsia="Times New Roman" w:hAnsi="Times New Roman" w:cs="Times New Roman"/>
                <w:color w:val="000000"/>
                <w:sz w:val="20"/>
                <w:szCs w:val="20"/>
              </w:rPr>
            </w:pPr>
          </w:p>
        </w:tc>
        <w:tc>
          <w:tcPr>
            <w:tcW w:w="1558" w:type="dxa"/>
            <w:tcBorders>
              <w:top w:val="nil"/>
              <w:left w:val="nil"/>
              <w:bottom w:val="nil"/>
              <w:right w:val="nil"/>
            </w:tcBorders>
            <w:shd w:val="clear" w:color="auto" w:fill="auto"/>
            <w:vAlign w:val="bottom"/>
          </w:tcPr>
          <w:p w14:paraId="624C2D7F" w14:textId="77777777" w:rsidR="00724AB5" w:rsidRDefault="00724AB5">
            <w:pPr>
              <w:spacing w:after="0" w:line="240" w:lineRule="auto"/>
              <w:jc w:val="center"/>
              <w:rPr>
                <w:rFonts w:ascii="Times New Roman" w:eastAsia="Times New Roman" w:hAnsi="Times New Roman" w:cs="Times New Roman"/>
                <w:sz w:val="20"/>
                <w:szCs w:val="20"/>
              </w:rPr>
            </w:pPr>
          </w:p>
        </w:tc>
      </w:tr>
      <w:tr w:rsidR="00724AB5" w14:paraId="42582B74" w14:textId="77777777">
        <w:trPr>
          <w:trHeight w:val="20"/>
        </w:trPr>
        <w:tc>
          <w:tcPr>
            <w:tcW w:w="2070" w:type="dxa"/>
            <w:tcBorders>
              <w:top w:val="nil"/>
              <w:left w:val="nil"/>
              <w:bottom w:val="nil"/>
              <w:right w:val="nil"/>
            </w:tcBorders>
            <w:shd w:val="clear" w:color="auto" w:fill="auto"/>
            <w:vAlign w:val="bottom"/>
          </w:tcPr>
          <w:p w14:paraId="2F9FB5B5"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Béti      </w:t>
            </w:r>
          </w:p>
        </w:tc>
        <w:tc>
          <w:tcPr>
            <w:tcW w:w="1727" w:type="dxa"/>
            <w:tcBorders>
              <w:top w:val="nil"/>
              <w:left w:val="nil"/>
              <w:bottom w:val="nil"/>
              <w:right w:val="nil"/>
            </w:tcBorders>
            <w:shd w:val="clear" w:color="auto" w:fill="auto"/>
            <w:vAlign w:val="bottom"/>
          </w:tcPr>
          <w:p w14:paraId="1D0ABB1F"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558" w:type="dxa"/>
            <w:tcBorders>
              <w:top w:val="nil"/>
              <w:left w:val="nil"/>
              <w:bottom w:val="nil"/>
              <w:right w:val="nil"/>
            </w:tcBorders>
            <w:shd w:val="clear" w:color="auto" w:fill="auto"/>
            <w:vAlign w:val="bottom"/>
          </w:tcPr>
          <w:p w14:paraId="3FB949FC"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r>
      <w:tr w:rsidR="00724AB5" w14:paraId="2804022C" w14:textId="77777777">
        <w:trPr>
          <w:trHeight w:val="20"/>
        </w:trPr>
        <w:tc>
          <w:tcPr>
            <w:tcW w:w="2070" w:type="dxa"/>
            <w:tcBorders>
              <w:top w:val="nil"/>
              <w:left w:val="nil"/>
              <w:bottom w:val="nil"/>
              <w:right w:val="nil"/>
            </w:tcBorders>
            <w:shd w:val="clear" w:color="auto" w:fill="auto"/>
            <w:vAlign w:val="bottom"/>
          </w:tcPr>
          <w:p w14:paraId="4B87D1FD"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Bamiléké  </w:t>
            </w:r>
          </w:p>
        </w:tc>
        <w:tc>
          <w:tcPr>
            <w:tcW w:w="1727" w:type="dxa"/>
            <w:tcBorders>
              <w:top w:val="nil"/>
              <w:left w:val="nil"/>
              <w:bottom w:val="nil"/>
              <w:right w:val="nil"/>
            </w:tcBorders>
            <w:shd w:val="clear" w:color="auto" w:fill="auto"/>
            <w:vAlign w:val="bottom"/>
          </w:tcPr>
          <w:p w14:paraId="348FB060"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1558" w:type="dxa"/>
            <w:tcBorders>
              <w:top w:val="nil"/>
              <w:left w:val="nil"/>
              <w:bottom w:val="nil"/>
              <w:right w:val="nil"/>
            </w:tcBorders>
            <w:shd w:val="clear" w:color="auto" w:fill="auto"/>
            <w:vAlign w:val="bottom"/>
          </w:tcPr>
          <w:p w14:paraId="076E2812"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r>
      <w:tr w:rsidR="00724AB5" w14:paraId="79CF8A38" w14:textId="77777777">
        <w:trPr>
          <w:trHeight w:val="20"/>
        </w:trPr>
        <w:tc>
          <w:tcPr>
            <w:tcW w:w="2070" w:type="dxa"/>
            <w:tcBorders>
              <w:top w:val="nil"/>
              <w:left w:val="nil"/>
              <w:bottom w:val="nil"/>
              <w:right w:val="nil"/>
            </w:tcBorders>
            <w:shd w:val="clear" w:color="auto" w:fill="auto"/>
            <w:vAlign w:val="bottom"/>
          </w:tcPr>
          <w:p w14:paraId="3CD41E56"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Bulu      </w:t>
            </w:r>
          </w:p>
        </w:tc>
        <w:tc>
          <w:tcPr>
            <w:tcW w:w="1727" w:type="dxa"/>
            <w:tcBorders>
              <w:top w:val="nil"/>
              <w:left w:val="nil"/>
              <w:bottom w:val="nil"/>
              <w:right w:val="nil"/>
            </w:tcBorders>
            <w:shd w:val="clear" w:color="auto" w:fill="auto"/>
            <w:vAlign w:val="bottom"/>
          </w:tcPr>
          <w:p w14:paraId="309CA69B"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1558" w:type="dxa"/>
            <w:tcBorders>
              <w:top w:val="nil"/>
              <w:left w:val="nil"/>
              <w:bottom w:val="nil"/>
              <w:right w:val="nil"/>
            </w:tcBorders>
            <w:shd w:val="clear" w:color="auto" w:fill="auto"/>
            <w:vAlign w:val="bottom"/>
          </w:tcPr>
          <w:p w14:paraId="04B0483A"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r>
      <w:tr w:rsidR="00724AB5" w14:paraId="2C9EB699" w14:textId="77777777">
        <w:trPr>
          <w:trHeight w:val="20"/>
        </w:trPr>
        <w:tc>
          <w:tcPr>
            <w:tcW w:w="2070" w:type="dxa"/>
            <w:tcBorders>
              <w:top w:val="nil"/>
              <w:left w:val="nil"/>
              <w:bottom w:val="nil"/>
              <w:right w:val="nil"/>
            </w:tcBorders>
            <w:shd w:val="clear" w:color="auto" w:fill="auto"/>
            <w:vAlign w:val="bottom"/>
          </w:tcPr>
          <w:p w14:paraId="29F68C8B"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Bassa     </w:t>
            </w:r>
          </w:p>
        </w:tc>
        <w:tc>
          <w:tcPr>
            <w:tcW w:w="1727" w:type="dxa"/>
            <w:tcBorders>
              <w:top w:val="nil"/>
              <w:left w:val="nil"/>
              <w:bottom w:val="nil"/>
              <w:right w:val="nil"/>
            </w:tcBorders>
            <w:shd w:val="clear" w:color="auto" w:fill="auto"/>
            <w:vAlign w:val="bottom"/>
          </w:tcPr>
          <w:p w14:paraId="727A7042"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558" w:type="dxa"/>
            <w:tcBorders>
              <w:top w:val="nil"/>
              <w:left w:val="nil"/>
              <w:bottom w:val="nil"/>
              <w:right w:val="nil"/>
            </w:tcBorders>
            <w:shd w:val="clear" w:color="auto" w:fill="auto"/>
            <w:vAlign w:val="bottom"/>
          </w:tcPr>
          <w:p w14:paraId="5E3183EB"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r>
      <w:tr w:rsidR="00724AB5" w14:paraId="0DEAE3A2" w14:textId="77777777">
        <w:trPr>
          <w:trHeight w:val="20"/>
        </w:trPr>
        <w:tc>
          <w:tcPr>
            <w:tcW w:w="2070" w:type="dxa"/>
            <w:tcBorders>
              <w:top w:val="nil"/>
              <w:left w:val="nil"/>
              <w:bottom w:val="nil"/>
              <w:right w:val="nil"/>
            </w:tcBorders>
            <w:shd w:val="clear" w:color="auto" w:fill="auto"/>
            <w:vAlign w:val="bottom"/>
          </w:tcPr>
          <w:p w14:paraId="5FCFD875"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Éton      </w:t>
            </w:r>
          </w:p>
        </w:tc>
        <w:tc>
          <w:tcPr>
            <w:tcW w:w="1727" w:type="dxa"/>
            <w:tcBorders>
              <w:top w:val="nil"/>
              <w:left w:val="nil"/>
              <w:bottom w:val="nil"/>
              <w:right w:val="nil"/>
            </w:tcBorders>
            <w:shd w:val="clear" w:color="auto" w:fill="auto"/>
            <w:vAlign w:val="bottom"/>
          </w:tcPr>
          <w:p w14:paraId="43AFE848"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558" w:type="dxa"/>
            <w:tcBorders>
              <w:top w:val="nil"/>
              <w:left w:val="nil"/>
              <w:bottom w:val="nil"/>
              <w:right w:val="nil"/>
            </w:tcBorders>
            <w:shd w:val="clear" w:color="auto" w:fill="auto"/>
            <w:vAlign w:val="bottom"/>
          </w:tcPr>
          <w:p w14:paraId="4E6EDB96"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r>
      <w:tr w:rsidR="00724AB5" w14:paraId="26327792" w14:textId="77777777">
        <w:trPr>
          <w:trHeight w:val="20"/>
        </w:trPr>
        <w:tc>
          <w:tcPr>
            <w:tcW w:w="2070" w:type="dxa"/>
            <w:tcBorders>
              <w:top w:val="nil"/>
              <w:left w:val="nil"/>
              <w:bottom w:val="nil"/>
              <w:right w:val="nil"/>
            </w:tcBorders>
            <w:shd w:val="clear" w:color="auto" w:fill="auto"/>
            <w:vAlign w:val="bottom"/>
          </w:tcPr>
          <w:p w14:paraId="072B850A"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Ewondo    </w:t>
            </w:r>
          </w:p>
        </w:tc>
        <w:tc>
          <w:tcPr>
            <w:tcW w:w="1727" w:type="dxa"/>
            <w:tcBorders>
              <w:top w:val="nil"/>
              <w:left w:val="nil"/>
              <w:bottom w:val="nil"/>
              <w:right w:val="nil"/>
            </w:tcBorders>
            <w:shd w:val="clear" w:color="auto" w:fill="auto"/>
            <w:vAlign w:val="bottom"/>
          </w:tcPr>
          <w:p w14:paraId="2B9B732D"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558" w:type="dxa"/>
            <w:tcBorders>
              <w:top w:val="nil"/>
              <w:left w:val="nil"/>
              <w:bottom w:val="nil"/>
              <w:right w:val="nil"/>
            </w:tcBorders>
            <w:shd w:val="clear" w:color="auto" w:fill="auto"/>
            <w:vAlign w:val="bottom"/>
          </w:tcPr>
          <w:p w14:paraId="059E5513"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r>
      <w:tr w:rsidR="00724AB5" w14:paraId="1396EBF2" w14:textId="77777777">
        <w:trPr>
          <w:trHeight w:val="20"/>
        </w:trPr>
        <w:tc>
          <w:tcPr>
            <w:tcW w:w="2070" w:type="dxa"/>
            <w:tcBorders>
              <w:top w:val="nil"/>
              <w:left w:val="nil"/>
              <w:bottom w:val="nil"/>
              <w:right w:val="nil"/>
            </w:tcBorders>
            <w:shd w:val="clear" w:color="auto" w:fill="auto"/>
            <w:vAlign w:val="bottom"/>
          </w:tcPr>
          <w:p w14:paraId="7921E252"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Bamoun    </w:t>
            </w:r>
          </w:p>
        </w:tc>
        <w:tc>
          <w:tcPr>
            <w:tcW w:w="1727" w:type="dxa"/>
            <w:tcBorders>
              <w:top w:val="nil"/>
              <w:left w:val="nil"/>
              <w:bottom w:val="nil"/>
              <w:right w:val="nil"/>
            </w:tcBorders>
            <w:shd w:val="clear" w:color="auto" w:fill="auto"/>
            <w:vAlign w:val="bottom"/>
          </w:tcPr>
          <w:p w14:paraId="23F44C2B"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558" w:type="dxa"/>
            <w:tcBorders>
              <w:top w:val="nil"/>
              <w:left w:val="nil"/>
              <w:bottom w:val="nil"/>
              <w:right w:val="nil"/>
            </w:tcBorders>
            <w:shd w:val="clear" w:color="auto" w:fill="auto"/>
            <w:vAlign w:val="bottom"/>
          </w:tcPr>
          <w:p w14:paraId="6E1AC225"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724AB5" w14:paraId="7F84BDD6" w14:textId="77777777">
        <w:trPr>
          <w:trHeight w:val="20"/>
        </w:trPr>
        <w:tc>
          <w:tcPr>
            <w:tcW w:w="2070" w:type="dxa"/>
            <w:tcBorders>
              <w:top w:val="nil"/>
              <w:left w:val="nil"/>
              <w:bottom w:val="nil"/>
              <w:right w:val="nil"/>
            </w:tcBorders>
            <w:shd w:val="clear" w:color="auto" w:fill="auto"/>
            <w:vAlign w:val="bottom"/>
          </w:tcPr>
          <w:p w14:paraId="1FE668F9"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Mbamois   </w:t>
            </w:r>
          </w:p>
        </w:tc>
        <w:tc>
          <w:tcPr>
            <w:tcW w:w="1727" w:type="dxa"/>
            <w:tcBorders>
              <w:top w:val="nil"/>
              <w:left w:val="nil"/>
              <w:bottom w:val="nil"/>
              <w:right w:val="nil"/>
            </w:tcBorders>
            <w:shd w:val="clear" w:color="auto" w:fill="auto"/>
            <w:vAlign w:val="bottom"/>
          </w:tcPr>
          <w:p w14:paraId="6555EBED"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558" w:type="dxa"/>
            <w:tcBorders>
              <w:top w:val="nil"/>
              <w:left w:val="nil"/>
              <w:bottom w:val="nil"/>
              <w:right w:val="nil"/>
            </w:tcBorders>
            <w:shd w:val="clear" w:color="auto" w:fill="auto"/>
            <w:vAlign w:val="bottom"/>
          </w:tcPr>
          <w:p w14:paraId="2C48CA47"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724AB5" w14:paraId="67F40E6D" w14:textId="77777777">
        <w:trPr>
          <w:trHeight w:val="20"/>
        </w:trPr>
        <w:tc>
          <w:tcPr>
            <w:tcW w:w="2070" w:type="dxa"/>
            <w:tcBorders>
              <w:top w:val="nil"/>
              <w:left w:val="nil"/>
              <w:bottom w:val="nil"/>
              <w:right w:val="nil"/>
            </w:tcBorders>
            <w:shd w:val="clear" w:color="auto" w:fill="auto"/>
            <w:vAlign w:val="bottom"/>
          </w:tcPr>
          <w:p w14:paraId="2273B5DA"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Hausa     </w:t>
            </w:r>
          </w:p>
        </w:tc>
        <w:tc>
          <w:tcPr>
            <w:tcW w:w="1727" w:type="dxa"/>
            <w:tcBorders>
              <w:top w:val="nil"/>
              <w:left w:val="nil"/>
              <w:bottom w:val="nil"/>
              <w:right w:val="nil"/>
            </w:tcBorders>
            <w:shd w:val="clear" w:color="auto" w:fill="auto"/>
            <w:vAlign w:val="bottom"/>
          </w:tcPr>
          <w:p w14:paraId="4C143074"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558" w:type="dxa"/>
            <w:tcBorders>
              <w:top w:val="nil"/>
              <w:left w:val="nil"/>
              <w:bottom w:val="nil"/>
              <w:right w:val="nil"/>
            </w:tcBorders>
            <w:shd w:val="clear" w:color="auto" w:fill="auto"/>
            <w:vAlign w:val="bottom"/>
          </w:tcPr>
          <w:p w14:paraId="3D93BE30"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724AB5" w14:paraId="2A0A02A4" w14:textId="77777777">
        <w:trPr>
          <w:trHeight w:val="20"/>
        </w:trPr>
        <w:tc>
          <w:tcPr>
            <w:tcW w:w="2070" w:type="dxa"/>
            <w:tcBorders>
              <w:top w:val="nil"/>
              <w:left w:val="nil"/>
              <w:bottom w:val="nil"/>
              <w:right w:val="nil"/>
            </w:tcBorders>
            <w:shd w:val="clear" w:color="auto" w:fill="auto"/>
            <w:vAlign w:val="bottom"/>
          </w:tcPr>
          <w:p w14:paraId="18DA6762"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Yambassa  </w:t>
            </w:r>
          </w:p>
        </w:tc>
        <w:tc>
          <w:tcPr>
            <w:tcW w:w="1727" w:type="dxa"/>
            <w:tcBorders>
              <w:top w:val="nil"/>
              <w:left w:val="nil"/>
              <w:bottom w:val="nil"/>
              <w:right w:val="nil"/>
            </w:tcBorders>
            <w:shd w:val="clear" w:color="auto" w:fill="auto"/>
            <w:vAlign w:val="bottom"/>
          </w:tcPr>
          <w:p w14:paraId="0DBCD0C7"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558" w:type="dxa"/>
            <w:tcBorders>
              <w:top w:val="nil"/>
              <w:left w:val="nil"/>
              <w:bottom w:val="nil"/>
              <w:right w:val="nil"/>
            </w:tcBorders>
            <w:shd w:val="clear" w:color="auto" w:fill="auto"/>
            <w:vAlign w:val="bottom"/>
          </w:tcPr>
          <w:p w14:paraId="1FA22249"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724AB5" w14:paraId="3A026DC3" w14:textId="77777777">
        <w:trPr>
          <w:trHeight w:val="20"/>
        </w:trPr>
        <w:tc>
          <w:tcPr>
            <w:tcW w:w="2070" w:type="dxa"/>
            <w:tcBorders>
              <w:top w:val="nil"/>
              <w:left w:val="nil"/>
              <w:bottom w:val="nil"/>
              <w:right w:val="nil"/>
            </w:tcBorders>
            <w:shd w:val="clear" w:color="auto" w:fill="auto"/>
            <w:vAlign w:val="bottom"/>
          </w:tcPr>
          <w:p w14:paraId="5D14294A"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Douala     </w:t>
            </w:r>
          </w:p>
        </w:tc>
        <w:tc>
          <w:tcPr>
            <w:tcW w:w="1727" w:type="dxa"/>
            <w:tcBorders>
              <w:top w:val="nil"/>
              <w:left w:val="nil"/>
              <w:bottom w:val="nil"/>
              <w:right w:val="nil"/>
            </w:tcBorders>
            <w:shd w:val="clear" w:color="auto" w:fill="auto"/>
            <w:vAlign w:val="bottom"/>
          </w:tcPr>
          <w:p w14:paraId="6980E24F"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558" w:type="dxa"/>
            <w:tcBorders>
              <w:top w:val="nil"/>
              <w:left w:val="nil"/>
              <w:bottom w:val="nil"/>
              <w:right w:val="nil"/>
            </w:tcBorders>
            <w:shd w:val="clear" w:color="auto" w:fill="auto"/>
            <w:vAlign w:val="bottom"/>
          </w:tcPr>
          <w:p w14:paraId="1076D628"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724AB5" w14:paraId="61C95142" w14:textId="77777777">
        <w:trPr>
          <w:trHeight w:val="20"/>
        </w:trPr>
        <w:tc>
          <w:tcPr>
            <w:tcW w:w="2070" w:type="dxa"/>
            <w:tcBorders>
              <w:top w:val="nil"/>
              <w:left w:val="nil"/>
              <w:bottom w:val="nil"/>
              <w:right w:val="nil"/>
            </w:tcBorders>
            <w:shd w:val="clear" w:color="auto" w:fill="auto"/>
            <w:vAlign w:val="bottom"/>
          </w:tcPr>
          <w:p w14:paraId="0A399248"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Bayangi   </w:t>
            </w:r>
          </w:p>
        </w:tc>
        <w:tc>
          <w:tcPr>
            <w:tcW w:w="1727" w:type="dxa"/>
            <w:tcBorders>
              <w:top w:val="nil"/>
              <w:left w:val="nil"/>
              <w:bottom w:val="nil"/>
              <w:right w:val="nil"/>
            </w:tcBorders>
            <w:shd w:val="clear" w:color="auto" w:fill="auto"/>
            <w:vAlign w:val="bottom"/>
          </w:tcPr>
          <w:p w14:paraId="5DAD8FB9"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558" w:type="dxa"/>
            <w:tcBorders>
              <w:top w:val="nil"/>
              <w:left w:val="nil"/>
              <w:bottom w:val="nil"/>
              <w:right w:val="nil"/>
            </w:tcBorders>
            <w:shd w:val="clear" w:color="auto" w:fill="auto"/>
            <w:vAlign w:val="bottom"/>
          </w:tcPr>
          <w:p w14:paraId="666F958E"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724AB5" w14:paraId="4BE40EC0" w14:textId="77777777">
        <w:trPr>
          <w:trHeight w:val="20"/>
        </w:trPr>
        <w:tc>
          <w:tcPr>
            <w:tcW w:w="2070" w:type="dxa"/>
            <w:tcBorders>
              <w:top w:val="nil"/>
              <w:left w:val="nil"/>
              <w:bottom w:val="nil"/>
              <w:right w:val="nil"/>
            </w:tcBorders>
            <w:shd w:val="clear" w:color="auto" w:fill="auto"/>
            <w:vAlign w:val="bottom"/>
          </w:tcPr>
          <w:p w14:paraId="033F47AB"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Bené      </w:t>
            </w:r>
          </w:p>
        </w:tc>
        <w:tc>
          <w:tcPr>
            <w:tcW w:w="1727" w:type="dxa"/>
            <w:tcBorders>
              <w:top w:val="nil"/>
              <w:left w:val="nil"/>
              <w:bottom w:val="nil"/>
              <w:right w:val="nil"/>
            </w:tcBorders>
            <w:shd w:val="clear" w:color="auto" w:fill="auto"/>
            <w:vAlign w:val="bottom"/>
          </w:tcPr>
          <w:p w14:paraId="2DAD13CF"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558" w:type="dxa"/>
            <w:tcBorders>
              <w:top w:val="nil"/>
              <w:left w:val="nil"/>
              <w:bottom w:val="nil"/>
              <w:right w:val="nil"/>
            </w:tcBorders>
            <w:shd w:val="clear" w:color="auto" w:fill="auto"/>
            <w:vAlign w:val="bottom"/>
          </w:tcPr>
          <w:p w14:paraId="63DDB7E1"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724AB5" w14:paraId="534A853A" w14:textId="77777777">
        <w:trPr>
          <w:trHeight w:val="20"/>
        </w:trPr>
        <w:tc>
          <w:tcPr>
            <w:tcW w:w="2070" w:type="dxa"/>
            <w:tcBorders>
              <w:top w:val="nil"/>
              <w:left w:val="nil"/>
              <w:bottom w:val="nil"/>
              <w:right w:val="nil"/>
            </w:tcBorders>
            <w:shd w:val="clear" w:color="auto" w:fill="auto"/>
            <w:vAlign w:val="bottom"/>
          </w:tcPr>
          <w:p w14:paraId="0716B7B1"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Mankong   </w:t>
            </w:r>
          </w:p>
        </w:tc>
        <w:tc>
          <w:tcPr>
            <w:tcW w:w="1727" w:type="dxa"/>
            <w:tcBorders>
              <w:top w:val="nil"/>
              <w:left w:val="nil"/>
              <w:bottom w:val="nil"/>
              <w:right w:val="nil"/>
            </w:tcBorders>
            <w:shd w:val="clear" w:color="auto" w:fill="auto"/>
            <w:vAlign w:val="bottom"/>
          </w:tcPr>
          <w:p w14:paraId="0D91AFE9"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558" w:type="dxa"/>
            <w:tcBorders>
              <w:top w:val="nil"/>
              <w:left w:val="nil"/>
              <w:bottom w:val="nil"/>
              <w:right w:val="nil"/>
            </w:tcBorders>
            <w:shd w:val="clear" w:color="auto" w:fill="auto"/>
            <w:vAlign w:val="bottom"/>
          </w:tcPr>
          <w:p w14:paraId="2916305F"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724AB5" w14:paraId="21135562" w14:textId="77777777">
        <w:trPr>
          <w:trHeight w:val="20"/>
        </w:trPr>
        <w:tc>
          <w:tcPr>
            <w:tcW w:w="2070" w:type="dxa"/>
            <w:tcBorders>
              <w:top w:val="nil"/>
              <w:left w:val="nil"/>
              <w:bottom w:val="single" w:sz="8" w:space="0" w:color="000000"/>
              <w:right w:val="nil"/>
            </w:tcBorders>
            <w:shd w:val="clear" w:color="auto" w:fill="auto"/>
            <w:vAlign w:val="bottom"/>
          </w:tcPr>
          <w:p w14:paraId="6CE5DE4E"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Others*</w:t>
            </w:r>
          </w:p>
        </w:tc>
        <w:tc>
          <w:tcPr>
            <w:tcW w:w="1727" w:type="dxa"/>
            <w:tcBorders>
              <w:top w:val="nil"/>
              <w:left w:val="nil"/>
              <w:bottom w:val="single" w:sz="8" w:space="0" w:color="000000"/>
              <w:right w:val="nil"/>
            </w:tcBorders>
            <w:shd w:val="clear" w:color="auto" w:fill="auto"/>
            <w:vAlign w:val="bottom"/>
          </w:tcPr>
          <w:p w14:paraId="498E472D"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558" w:type="dxa"/>
            <w:tcBorders>
              <w:top w:val="nil"/>
              <w:left w:val="nil"/>
              <w:bottom w:val="single" w:sz="8" w:space="0" w:color="000000"/>
              <w:right w:val="nil"/>
            </w:tcBorders>
            <w:shd w:val="clear" w:color="auto" w:fill="auto"/>
            <w:vAlign w:val="bottom"/>
          </w:tcPr>
          <w:p w14:paraId="724D7877"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r>
      <w:tr w:rsidR="00724AB5" w14:paraId="306C64DE" w14:textId="77777777">
        <w:trPr>
          <w:trHeight w:val="20"/>
        </w:trPr>
        <w:tc>
          <w:tcPr>
            <w:tcW w:w="5355" w:type="dxa"/>
            <w:gridSpan w:val="3"/>
            <w:tcBorders>
              <w:top w:val="single" w:sz="8" w:space="0" w:color="000000"/>
              <w:left w:val="nil"/>
              <w:bottom w:val="nil"/>
              <w:right w:val="nil"/>
            </w:tcBorders>
            <w:shd w:val="clear" w:color="auto" w:fill="auto"/>
            <w:vAlign w:val="center"/>
          </w:tcPr>
          <w:p w14:paraId="7DBF56A8" w14:textId="77777777" w:rsidR="00724AB5" w:rsidRDefault="007D385F">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color w:val="000000"/>
                <w:sz w:val="18"/>
                <w:szCs w:val="18"/>
              </w:rPr>
              <w:t xml:space="preserve">* Ethnic groups with a single participant: </w:t>
            </w:r>
            <w:r>
              <w:rPr>
                <w:rFonts w:ascii="Times New Roman" w:eastAsia="Times New Roman" w:hAnsi="Times New Roman" w:cs="Times New Roman"/>
                <w:i/>
                <w:sz w:val="18"/>
                <w:szCs w:val="18"/>
              </w:rPr>
              <w:t>Bafut, Bakaka, Bakossi, Bakweri, Bama'a, Bamvélé, Banen, Bangwa, Banna'a, Bayangam, Gbaya, Guiziga, Maka, Mbam, Mbo, Mbouda, Ngemba, Ngimba, Nguemba, Ngwo, Ntumu, Nzambo, Podoko, Tika, Widikum, Wom, Yabassi, Zimé</w:t>
            </w:r>
          </w:p>
        </w:tc>
      </w:tr>
    </w:tbl>
    <w:p w14:paraId="4966599C" w14:textId="77777777" w:rsidR="00724AB5" w:rsidRDefault="00724AB5">
      <w:pPr>
        <w:spacing w:after="0" w:line="240" w:lineRule="auto"/>
        <w:jc w:val="both"/>
        <w:rPr>
          <w:rFonts w:ascii="Times New Roman" w:eastAsia="Times New Roman" w:hAnsi="Times New Roman" w:cs="Times New Roman"/>
          <w:sz w:val="24"/>
          <w:szCs w:val="24"/>
        </w:rPr>
      </w:pPr>
    </w:p>
    <w:p w14:paraId="7688A204" w14:textId="77777777"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average PSS score was 56.7 (SD 23.3; range 0−100), while the average perceived anxiety score was 57.5 (SD 8.5; range 37.1−78.2). No significant difference in PSS score or perceived anxiety score were observed across ages (see supplemental Table S1). Th</w:t>
      </w:r>
      <w:r>
        <w:rPr>
          <w:rFonts w:ascii="Times New Roman" w:eastAsia="Times New Roman" w:hAnsi="Times New Roman" w:cs="Times New Roman"/>
          <w:sz w:val="24"/>
          <w:szCs w:val="24"/>
        </w:rPr>
        <w:t>e most frequent stress triggers reported by patients included cold weather, academic or work-related demands, financial difficulties, and the anticipation of pain (Figure 1). However, in patients aged 25 years and older, lack of sleep emerged as a signific</w:t>
      </w:r>
      <w:r>
        <w:rPr>
          <w:rFonts w:ascii="Times New Roman" w:eastAsia="Times New Roman" w:hAnsi="Times New Roman" w:cs="Times New Roman"/>
          <w:sz w:val="24"/>
          <w:szCs w:val="24"/>
        </w:rPr>
        <w:t xml:space="preserve">ant source of stress. A mild positive correlation was observed between the number of stressful events to which a patient was susceptible (stress triggers) and their PSS score (r=0.23,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=.01). The relation was more pronounced in patients who experienced at </w:t>
      </w:r>
      <w:r>
        <w:rPr>
          <w:rFonts w:ascii="Times New Roman" w:eastAsia="Times New Roman" w:hAnsi="Times New Roman" w:cs="Times New Roman"/>
          <w:sz w:val="24"/>
          <w:szCs w:val="24"/>
        </w:rPr>
        <w:t xml:space="preserve">least six of the nine identified stressful events. </w:t>
      </w:r>
    </w:p>
    <w:p w14:paraId="72BC6651" w14:textId="37AA4FAA"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patients aged 17 and older, SCD had a mild to extreme impact on daily life, affecting their ability to engage in physical activities, attend school or meet </w:t>
      </w:r>
      <w:r w:rsidR="0015133F">
        <w:rPr>
          <w:rFonts w:ascii="Times New Roman" w:eastAsia="Times New Roman" w:hAnsi="Times New Roman" w:cs="Times New Roman"/>
          <w:sz w:val="24"/>
          <w:szCs w:val="24"/>
        </w:rPr>
        <w:t>work</w:t>
      </w:r>
      <w:r>
        <w:rPr>
          <w:rFonts w:ascii="Times New Roman" w:eastAsia="Times New Roman" w:hAnsi="Times New Roman" w:cs="Times New Roman"/>
          <w:sz w:val="24"/>
          <w:szCs w:val="24"/>
        </w:rPr>
        <w:t xml:space="preserve"> demands, perform household tasks, and participate in family and social activities. Among these patients, school or work demands had the greatest impact on daily life (71%), Additionally, a limited ability to engage in physical activity and difficulty perf</w:t>
      </w:r>
      <w:r>
        <w:rPr>
          <w:rFonts w:ascii="Times New Roman" w:eastAsia="Times New Roman" w:hAnsi="Times New Roman" w:cs="Times New Roman"/>
          <w:sz w:val="24"/>
          <w:szCs w:val="24"/>
        </w:rPr>
        <w:t>orming household chores were other factors reported as significantly affecting daily life (Figure 1).</w:t>
      </w:r>
    </w:p>
    <w:p w14:paraId="40AE1CCC" w14:textId="77777777" w:rsidR="00724AB5" w:rsidRDefault="007D385F">
      <w:pPr>
        <w:keepNext/>
        <w:spacing w:after="0" w:line="240" w:lineRule="auto"/>
        <w:ind w:firstLine="720"/>
        <w:jc w:val="both"/>
      </w:pPr>
      <w:r>
        <w:rPr>
          <w:rFonts w:ascii="Times New Roman" w:eastAsia="Times New Roman" w:hAnsi="Times New Roman" w:cs="Times New Roman"/>
          <w:noProof/>
          <w:sz w:val="24"/>
          <w:szCs w:val="24"/>
        </w:rPr>
        <w:lastRenderedPageBreak/>
        <w:drawing>
          <wp:inline distT="0" distB="0" distL="0" distR="0" wp14:anchorId="097DDE41" wp14:editId="3CC41F7B">
            <wp:extent cx="5626100" cy="4775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r="1839"/>
                    <a:stretch>
                      <a:fillRect/>
                    </a:stretch>
                  </pic:blipFill>
                  <pic:spPr>
                    <a:xfrm>
                      <a:off x="0" y="0"/>
                      <a:ext cx="5626100" cy="4775200"/>
                    </a:xfrm>
                    <a:prstGeom prst="rect">
                      <a:avLst/>
                    </a:prstGeom>
                    <a:ln/>
                  </pic:spPr>
                </pic:pic>
              </a:graphicData>
            </a:graphic>
          </wp:inline>
        </w:drawing>
      </w:r>
    </w:p>
    <w:p w14:paraId="7293A32F" w14:textId="77777777" w:rsidR="00724AB5" w:rsidRDefault="007D385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bookmarkStart w:id="7" w:name="_ik00yp24lwi9" w:colFirst="0" w:colLast="0"/>
      <w:bookmarkEnd w:id="7"/>
      <w:r>
        <w:rPr>
          <w:rFonts w:ascii="Times New Roman" w:eastAsia="Times New Roman" w:hAnsi="Times New Roman" w:cs="Times New Roman"/>
          <w:color w:val="000000"/>
          <w:sz w:val="20"/>
          <w:szCs w:val="20"/>
        </w:rPr>
        <w:t xml:space="preserve">Figure 1. Impact of SCA on well-being among patients aged 17 and older. </w:t>
      </w:r>
      <w:r>
        <w:rPr>
          <w:rFonts w:ascii="Times New Roman" w:eastAsia="Times New Roman" w:hAnsi="Times New Roman" w:cs="Times New Roman"/>
          <w:b/>
          <w:color w:val="000000"/>
          <w:sz w:val="20"/>
          <w:szCs w:val="20"/>
        </w:rPr>
        <w:t>(a)</w:t>
      </w:r>
      <w:r>
        <w:rPr>
          <w:rFonts w:ascii="Times New Roman" w:eastAsia="Times New Roman" w:hAnsi="Times New Roman" w:cs="Times New Roman"/>
          <w:color w:val="000000"/>
          <w:sz w:val="20"/>
          <w:szCs w:val="20"/>
        </w:rPr>
        <w:t xml:space="preserve"> Most stressful events experienced by patients as a result of living with SCA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(b)</w:t>
      </w:r>
      <w:r>
        <w:rPr>
          <w:rFonts w:ascii="Times New Roman" w:eastAsia="Times New Roman" w:hAnsi="Times New Roman" w:cs="Times New Roman"/>
          <w:color w:val="000000"/>
          <w:sz w:val="20"/>
          <w:szCs w:val="20"/>
        </w:rPr>
        <w:t xml:space="preserve"> Degree to which SCA impacts patients’ day-to-day life.</w:t>
      </w:r>
    </w:p>
    <w:p w14:paraId="24E8438D" w14:textId="77777777" w:rsidR="00724AB5" w:rsidRDefault="00724AB5">
      <w:pPr>
        <w:spacing w:after="0" w:line="240" w:lineRule="auto"/>
      </w:pPr>
    </w:p>
    <w:p w14:paraId="7D744D43" w14:textId="581FC45E" w:rsidR="00724AB5" w:rsidRDefault="007D385F">
      <w:pPr>
        <w:spacing w:after="0" w:line="240" w:lineRule="auto"/>
        <w:ind w:firstLine="720"/>
        <w:jc w:val="both"/>
        <w:rPr>
          <w:rFonts w:ascii="Times New Roman" w:eastAsia="Times New Roman" w:hAnsi="Times New Roman" w:cs="Times New Roman"/>
          <w:sz w:val="24"/>
          <w:szCs w:val="24"/>
        </w:rPr>
      </w:pPr>
      <w:bookmarkStart w:id="8" w:name="_g3upru6y34t" w:colFirst="0" w:colLast="0"/>
      <w:bookmarkEnd w:id="8"/>
      <w:r>
        <w:rPr>
          <w:rFonts w:ascii="Times New Roman" w:eastAsia="Times New Roman" w:hAnsi="Times New Roman" w:cs="Times New Roman"/>
          <w:sz w:val="24"/>
          <w:szCs w:val="24"/>
        </w:rPr>
        <w:t>A limited proportion of patients engaged in moderate-to high-intensity aerobic physical activity daily (11%, n=21), while 18% (n=33) reported engaging in physical activity 3 to 6 times per week.</w:t>
      </w:r>
      <w:r>
        <w:rPr>
          <w:rFonts w:ascii="Times New Roman" w:eastAsia="Times New Roman" w:hAnsi="Times New Roman" w:cs="Times New Roman"/>
          <w:sz w:val="24"/>
          <w:szCs w:val="24"/>
        </w:rPr>
        <w:t xml:space="preserve"> Most patients either exercised fewer than three times per week (35%, n=65) or did not engage in physical activity at all (36%, n=66). The majority of those who exercised daily were children (under 17 years old). Among individuals aged 17 or older, three (</w:t>
      </w:r>
      <w:r>
        <w:rPr>
          <w:rFonts w:ascii="Times New Roman" w:eastAsia="Times New Roman" w:hAnsi="Times New Roman" w:cs="Times New Roman"/>
          <w:sz w:val="24"/>
          <w:szCs w:val="24"/>
        </w:rPr>
        <w:t>2%) were smokers. Daily water intake exceeded 1 Liter for most patients (81%, n=150), compared to 15% (n=27) who drank about 1 Liter/day</w:t>
      </w:r>
      <w:r w:rsidR="008D0C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4% (n=8) who usually drank less. Although many patients reported adequate hydration, a notable proportion of those</w:t>
      </w:r>
      <w:r>
        <w:rPr>
          <w:rFonts w:ascii="Times New Roman" w:eastAsia="Times New Roman" w:hAnsi="Times New Roman" w:cs="Times New Roman"/>
          <w:sz w:val="24"/>
          <w:szCs w:val="24"/>
        </w:rPr>
        <w:t xml:space="preserve"> consuming one liter or less per day were under the age of 17. Sixty percent (n=111) of patients reported consuming on average 3 to 4 main meals per day, whereas 31% consumed only 1 to 2 meals daily, with 43% of this group being young adults aged between 1</w:t>
      </w:r>
      <w:r>
        <w:rPr>
          <w:rFonts w:ascii="Times New Roman" w:eastAsia="Times New Roman" w:hAnsi="Times New Roman" w:cs="Times New Roman"/>
          <w:sz w:val="24"/>
          <w:szCs w:val="24"/>
        </w:rPr>
        <w:t>7 to 25. Only a small proportion of patients regularly consumed fruits (16%, n=30) and leafy vegetables (6%, n=11). The average number of routine checkups was 2.</w:t>
      </w:r>
      <w:r w:rsidR="006C6338">
        <w:rPr>
          <w:rFonts w:ascii="Times New Roman" w:eastAsia="Times New Roman" w:hAnsi="Times New Roman" w:cs="Times New Roman"/>
          <w:sz w:val="24"/>
          <w:szCs w:val="24"/>
        </w:rPr>
        <w:t>36</w:t>
      </w:r>
      <w:r>
        <w:rPr>
          <w:rFonts w:ascii="Times New Roman" w:eastAsia="Times New Roman" w:hAnsi="Times New Roman" w:cs="Times New Roman"/>
          <w:sz w:val="24"/>
          <w:szCs w:val="24"/>
        </w:rPr>
        <w:t xml:space="preserve"> (SD </w:t>
      </w:r>
      <w:r w:rsidR="008D74C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43) per year and showed a mildly negative correlation with age (r=-0.21,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=.003). Pati</w:t>
      </w:r>
      <w:r>
        <w:rPr>
          <w:rFonts w:ascii="Times New Roman" w:eastAsia="Times New Roman" w:hAnsi="Times New Roman" w:cs="Times New Roman"/>
          <w:sz w:val="24"/>
          <w:szCs w:val="24"/>
        </w:rPr>
        <w:t>ents younger than 17 had on average 3.40 (SD 2.44) checkups per year, while the average for those aged 17 to 25 was 1.61 (SD 2.13), 1.73 (SD 1.98) for those 26 to 35 years and 2.44 (SD 2.77) for patients older than 35 years.</w:t>
      </w:r>
    </w:p>
    <w:p w14:paraId="71C509C2" w14:textId="77777777" w:rsidR="00724AB5" w:rsidRDefault="007D385F">
      <w:pPr>
        <w:spacing w:after="0" w:line="240" w:lineRule="auto"/>
        <w:ind w:firstLine="720"/>
        <w:jc w:val="both"/>
        <w:rPr>
          <w:rFonts w:ascii="Times New Roman" w:eastAsia="Times New Roman" w:hAnsi="Times New Roman" w:cs="Times New Roman"/>
          <w:sz w:val="24"/>
          <w:szCs w:val="24"/>
        </w:rPr>
      </w:pPr>
      <w:bookmarkStart w:id="9" w:name="_fwj3wz2r15dz" w:colFirst="0" w:colLast="0"/>
      <w:bookmarkEnd w:id="9"/>
      <w:r>
        <w:rPr>
          <w:rFonts w:ascii="Times New Roman" w:eastAsia="Times New Roman" w:hAnsi="Times New Roman" w:cs="Times New Roman"/>
          <w:sz w:val="24"/>
          <w:szCs w:val="24"/>
        </w:rPr>
        <w:t>The seasonal influence on sickl</w:t>
      </w:r>
      <w:r>
        <w:rPr>
          <w:rFonts w:ascii="Times New Roman" w:eastAsia="Times New Roman" w:hAnsi="Times New Roman" w:cs="Times New Roman"/>
          <w:sz w:val="24"/>
          <w:szCs w:val="24"/>
        </w:rPr>
        <w:t>e cell crises varied among patients: 44% (n=81) reported frequent painful crisis episodes during the rainy season, 5% (n=9) during the dry season, and 51% (n=95) across both seasons without a consistent seasonal pattern over the years. A substantial propor</w:t>
      </w:r>
      <w:r>
        <w:rPr>
          <w:rFonts w:ascii="Times New Roman" w:eastAsia="Times New Roman" w:hAnsi="Times New Roman" w:cs="Times New Roman"/>
          <w:sz w:val="24"/>
          <w:szCs w:val="24"/>
        </w:rPr>
        <w:t xml:space="preserve">tion of patients reported multiple weather-related triggers for sickle cell </w:t>
      </w:r>
      <w:r>
        <w:rPr>
          <w:rFonts w:ascii="Times New Roman" w:eastAsia="Times New Roman" w:hAnsi="Times New Roman" w:cs="Times New Roman"/>
          <w:sz w:val="24"/>
          <w:szCs w:val="24"/>
        </w:rPr>
        <w:lastRenderedPageBreak/>
        <w:t>crises, with 84% (n=155) identifying cold weather, 36% (n=66) high humidity, 29% (n=54) hot weather, and 26% (n=48) windy conditions as contributing factors. Remarkably, only 5% of</w:t>
      </w:r>
      <w:r>
        <w:rPr>
          <w:rFonts w:ascii="Times New Roman" w:eastAsia="Times New Roman" w:hAnsi="Times New Roman" w:cs="Times New Roman"/>
          <w:sz w:val="24"/>
          <w:szCs w:val="24"/>
        </w:rPr>
        <w:t xml:space="preserve"> patients reported no discernible weather-related VOC trend over recent years. Regarding road dust and smoke fumes exposure as potential triggers, 19% (n=35) cited frequent exposure to road dust and 17% (n=31) reported smoke fumes as preceding their crises</w:t>
      </w:r>
      <w:r>
        <w:rPr>
          <w:rFonts w:ascii="Times New Roman" w:eastAsia="Times New Roman" w:hAnsi="Times New Roman" w:cs="Times New Roman"/>
          <w:sz w:val="24"/>
          <w:szCs w:val="24"/>
        </w:rPr>
        <w:t>. Importantly, the proportion of individuals impacted by these environmental factors appeared to increase with age (Figure 2).</w:t>
      </w:r>
    </w:p>
    <w:p w14:paraId="2F145296" w14:textId="77777777" w:rsidR="00724AB5" w:rsidRDefault="007D385F">
      <w:pPr>
        <w:keepNext/>
        <w:spacing w:after="0" w:line="240" w:lineRule="auto"/>
        <w:jc w:val="both"/>
      </w:pPr>
      <w:r>
        <w:rPr>
          <w:rFonts w:ascii="Times New Roman" w:eastAsia="Times New Roman" w:hAnsi="Times New Roman" w:cs="Times New Roman"/>
          <w:noProof/>
          <w:sz w:val="24"/>
          <w:szCs w:val="24"/>
        </w:rPr>
        <w:drawing>
          <wp:inline distT="0" distB="0" distL="0" distR="0" wp14:anchorId="4AF8908B" wp14:editId="3CCDFCB0">
            <wp:extent cx="5346700" cy="275082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4432" r="2282"/>
                    <a:stretch>
                      <a:fillRect/>
                    </a:stretch>
                  </pic:blipFill>
                  <pic:spPr>
                    <a:xfrm>
                      <a:off x="0" y="0"/>
                      <a:ext cx="5346700" cy="2750820"/>
                    </a:xfrm>
                    <a:prstGeom prst="rect">
                      <a:avLst/>
                    </a:prstGeom>
                    <a:ln/>
                  </pic:spPr>
                </pic:pic>
              </a:graphicData>
            </a:graphic>
          </wp:inline>
        </w:drawing>
      </w:r>
    </w:p>
    <w:p w14:paraId="39B108C1" w14:textId="77777777" w:rsidR="00724AB5" w:rsidRDefault="007D385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bookmarkStart w:id="10" w:name="_nn1owygvqf11" w:colFirst="0" w:colLast="0"/>
      <w:bookmarkEnd w:id="10"/>
      <w:r>
        <w:rPr>
          <w:rFonts w:ascii="Times New Roman" w:eastAsia="Times New Roman" w:hAnsi="Times New Roman" w:cs="Times New Roman"/>
          <w:color w:val="000000"/>
          <w:sz w:val="20"/>
          <w:szCs w:val="20"/>
        </w:rPr>
        <w:t xml:space="preserve">Figure 2. Patient self-reported impact of smoke fumes and road dust on their health: Proportion of patients </w:t>
      </w:r>
      <w:r>
        <w:rPr>
          <w:rFonts w:ascii="Times New Roman" w:eastAsia="Times New Roman" w:hAnsi="Times New Roman" w:cs="Times New Roman"/>
          <w:color w:val="000000"/>
          <w:sz w:val="20"/>
          <w:szCs w:val="20"/>
        </w:rPr>
        <w:t>frequently experiencing ill-health 1 to 3 days post-exposure across all ages.</w:t>
      </w:r>
    </w:p>
    <w:p w14:paraId="57A999CC" w14:textId="77777777" w:rsidR="00724AB5" w:rsidRDefault="00724AB5">
      <w:pPr>
        <w:spacing w:after="0" w:line="240" w:lineRule="auto"/>
      </w:pPr>
    </w:p>
    <w:p w14:paraId="207DFE1A" w14:textId="77777777" w:rsidR="00724AB5" w:rsidRDefault="007D385F">
      <w:pPr>
        <w:spacing w:after="0" w:line="240" w:lineRule="auto"/>
        <w:ind w:firstLine="720"/>
        <w:jc w:val="both"/>
        <w:rPr>
          <w:rFonts w:ascii="Times New Roman" w:eastAsia="Times New Roman" w:hAnsi="Times New Roman" w:cs="Times New Roman"/>
          <w:sz w:val="24"/>
          <w:szCs w:val="24"/>
        </w:rPr>
      </w:pPr>
      <w:bookmarkStart w:id="11" w:name="_4mp6j8lkk4m2" w:colFirst="0" w:colLast="0"/>
      <w:bookmarkEnd w:id="11"/>
      <w:r>
        <w:rPr>
          <w:rFonts w:ascii="Times New Roman" w:eastAsia="Times New Roman" w:hAnsi="Times New Roman" w:cs="Times New Roman"/>
          <w:sz w:val="24"/>
          <w:szCs w:val="24"/>
        </w:rPr>
        <w:t>Regarding the socioeconomic impact, the response rate for household income was low, with 72% (n=133) of participants providing an answer. Meanwhile, 28% (n=52) either lacked kno</w:t>
      </w:r>
      <w:r>
        <w:rPr>
          <w:rFonts w:ascii="Times New Roman" w:eastAsia="Times New Roman" w:hAnsi="Times New Roman" w:cs="Times New Roman"/>
          <w:sz w:val="24"/>
          <w:szCs w:val="24"/>
        </w:rPr>
        <w:t>wledge of their household income or opted not to disclose this information. Those whose household income per month was less than XAF 100,000 ($165 USD) per month stood at 29% (n=39) compared to 33% whose household income per month exceeded XAF 200.000 ($33</w:t>
      </w:r>
      <w:r>
        <w:rPr>
          <w:rFonts w:ascii="Times New Roman" w:eastAsia="Times New Roman" w:hAnsi="Times New Roman" w:cs="Times New Roman"/>
          <w:sz w:val="24"/>
          <w:szCs w:val="24"/>
        </w:rPr>
        <w:t>0 USD) (n=44). Household income for most patients ranged between XAF 100,000 to 200,000 (38%, n=50). Most patients lived in medium-sized households (four to six persons), accounting for 47% (n=38). Small households (one to three persons) made up 21% (n=38)</w:t>
      </w:r>
      <w:r>
        <w:rPr>
          <w:rFonts w:ascii="Times New Roman" w:eastAsia="Times New Roman" w:hAnsi="Times New Roman" w:cs="Times New Roman"/>
          <w:sz w:val="24"/>
          <w:szCs w:val="24"/>
        </w:rPr>
        <w:t>, while large households (more than 6 persons) comprised 32% (n=60). Most patients resided in household where two or three individuals shared a single room, with 25% classified as belonging to the low-household income (XAF &lt;100,000/month) category. Househo</w:t>
      </w:r>
      <w:r>
        <w:rPr>
          <w:rFonts w:ascii="Times New Roman" w:eastAsia="Times New Roman" w:hAnsi="Times New Roman" w:cs="Times New Roman"/>
          <w:sz w:val="24"/>
          <w:szCs w:val="24"/>
        </w:rPr>
        <w:t>lds with four or more persons per room were predominantly low-income (XAF &lt;100,000/month), whereas those with one person per room were primarily high-income (XAF &gt;200,000/month) (Figure 3). Bedroom ventilation was adequate in most households (72%, n=134) w</w:t>
      </w:r>
      <w:r>
        <w:rPr>
          <w:rFonts w:ascii="Times New Roman" w:eastAsia="Times New Roman" w:hAnsi="Times New Roman" w:cs="Times New Roman"/>
          <w:sz w:val="24"/>
          <w:szCs w:val="24"/>
        </w:rPr>
        <w:t>hile the rest either had inadequate ventilation (9%) or lacking ventilation (19%). Other socioeconomic characteristics are provided in the supplementary material (Table S2).</w:t>
      </w:r>
    </w:p>
    <w:p w14:paraId="1C8A00DE" w14:textId="77777777" w:rsidR="00724AB5" w:rsidRDefault="007D385F">
      <w:pPr>
        <w:keepNext/>
        <w:spacing w:after="0" w:line="240" w:lineRule="auto"/>
        <w:jc w:val="both"/>
      </w:pPr>
      <w:r>
        <w:rPr>
          <w:rFonts w:ascii="Times New Roman" w:eastAsia="Times New Roman" w:hAnsi="Times New Roman" w:cs="Times New Roman"/>
          <w:noProof/>
          <w:color w:val="FF0000"/>
          <w:sz w:val="24"/>
          <w:szCs w:val="24"/>
        </w:rPr>
        <w:lastRenderedPageBreak/>
        <w:drawing>
          <wp:inline distT="0" distB="0" distL="0" distR="0" wp14:anchorId="4563BDC2" wp14:editId="1E73A2CE">
            <wp:extent cx="5619750" cy="28130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1330" t="2155" r="620" b="2371"/>
                    <a:stretch>
                      <a:fillRect/>
                    </a:stretch>
                  </pic:blipFill>
                  <pic:spPr>
                    <a:xfrm>
                      <a:off x="0" y="0"/>
                      <a:ext cx="5619750" cy="2813050"/>
                    </a:xfrm>
                    <a:prstGeom prst="rect">
                      <a:avLst/>
                    </a:prstGeom>
                    <a:ln/>
                  </pic:spPr>
                </pic:pic>
              </a:graphicData>
            </a:graphic>
          </wp:inline>
        </w:drawing>
      </w:r>
    </w:p>
    <w:p w14:paraId="754FFAD2" w14:textId="15D363C4" w:rsidR="00724AB5" w:rsidRDefault="007D385F">
      <w:pPr>
        <w:pBdr>
          <w:top w:val="nil"/>
          <w:left w:val="nil"/>
          <w:bottom w:val="nil"/>
          <w:right w:val="nil"/>
          <w:between w:val="nil"/>
        </w:pBdr>
        <w:spacing w:after="0" w:line="240" w:lineRule="auto"/>
        <w:jc w:val="both"/>
        <w:rPr>
          <w:color w:val="000000"/>
          <w:sz w:val="20"/>
          <w:szCs w:val="20"/>
        </w:rPr>
      </w:pPr>
      <w:bookmarkStart w:id="12" w:name="_id5k92ogy4e4" w:colFirst="0" w:colLast="0"/>
      <w:bookmarkEnd w:id="12"/>
      <w:r>
        <w:rPr>
          <w:rFonts w:ascii="Times New Roman" w:eastAsia="Times New Roman" w:hAnsi="Times New Roman" w:cs="Times New Roman"/>
          <w:color w:val="000000"/>
          <w:sz w:val="20"/>
          <w:szCs w:val="20"/>
        </w:rPr>
        <w:t>Figure 3. Relationship between household income and the number of persons per ro</w:t>
      </w:r>
      <w:r>
        <w:rPr>
          <w:rFonts w:ascii="Times New Roman" w:eastAsia="Times New Roman" w:hAnsi="Times New Roman" w:cs="Times New Roman"/>
          <w:color w:val="000000"/>
          <w:sz w:val="20"/>
          <w:szCs w:val="20"/>
        </w:rPr>
        <w:t>om among sickle cell patients, illustrating socioeconomic conditions</w:t>
      </w:r>
      <w:r>
        <w:rPr>
          <w:color w:val="000000"/>
          <w:sz w:val="20"/>
          <w:szCs w:val="20"/>
        </w:rPr>
        <w:t xml:space="preserve">. </w:t>
      </w:r>
      <w:r>
        <w:rPr>
          <w:rFonts w:ascii="Times New Roman" w:eastAsia="Times New Roman" w:hAnsi="Times New Roman" w:cs="Times New Roman"/>
          <w:color w:val="000000"/>
          <w:sz w:val="20"/>
          <w:szCs w:val="20"/>
        </w:rPr>
        <w:t xml:space="preserve">XAF: Central African CFA Franc ($1 USD = XAF 606.35) </w:t>
      </w:r>
      <w:r>
        <w:rPr>
          <w:rFonts w:ascii="Times New Roman" w:eastAsia="Times New Roman" w:hAnsi="Times New Roman" w:cs="Times New Roman"/>
          <w:color w:val="44546A"/>
          <w:sz w:val="20"/>
          <w:szCs w:val="20"/>
        </w:rPr>
        <w:t>[2</w:t>
      </w:r>
      <w:r w:rsidR="00DF4D35">
        <w:rPr>
          <w:rFonts w:ascii="Times New Roman" w:eastAsia="Times New Roman" w:hAnsi="Times New Roman" w:cs="Times New Roman"/>
          <w:color w:val="44546A"/>
          <w:sz w:val="20"/>
          <w:szCs w:val="20"/>
        </w:rPr>
        <w:t>3</w:t>
      </w:r>
      <w:r>
        <w:rPr>
          <w:rFonts w:ascii="Times New Roman" w:eastAsia="Times New Roman" w:hAnsi="Times New Roman" w:cs="Times New Roman"/>
          <w:color w:val="44546A"/>
          <w:sz w:val="20"/>
          <w:szCs w:val="20"/>
        </w:rPr>
        <w:t>]</w:t>
      </w:r>
    </w:p>
    <w:p w14:paraId="185630A5" w14:textId="77777777" w:rsidR="00724AB5" w:rsidRDefault="00724AB5">
      <w:pPr>
        <w:spacing w:after="0" w:line="240" w:lineRule="auto"/>
      </w:pPr>
    </w:p>
    <w:p w14:paraId="3D94E237" w14:textId="5CB7A476"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3 presents the clinical characteristics of the participants in this study. The frequency of mild to severe painful episod</w:t>
      </w:r>
      <w:r>
        <w:rPr>
          <w:rFonts w:ascii="Times New Roman" w:eastAsia="Times New Roman" w:hAnsi="Times New Roman" w:cs="Times New Roman"/>
          <w:sz w:val="24"/>
          <w:szCs w:val="24"/>
        </w:rPr>
        <w:t>es in the three months preceding enrollment ranged from 0 to 15, with 37% (n=68) reporting zero to one episode and 30% (n=55) reporting more than three episodes. Among the participants, 46% frequently experienced severe pain, 23% reported moderate pain, an</w:t>
      </w:r>
      <w:r>
        <w:rPr>
          <w:rFonts w:ascii="Times New Roman" w:eastAsia="Times New Roman" w:hAnsi="Times New Roman" w:cs="Times New Roman"/>
          <w:sz w:val="24"/>
          <w:szCs w:val="24"/>
        </w:rPr>
        <w:t>d 31% described their pain as mostly mild. The number of hospitalizations ranged from 0 to 10, with 26% (n=49) reporting no hospitalization and 14% (n=25) experiencing more than three hospitalizations in the 12 months preceding enrollment. A substantial pr</w:t>
      </w:r>
      <w:r>
        <w:rPr>
          <w:rFonts w:ascii="Times New Roman" w:eastAsia="Times New Roman" w:hAnsi="Times New Roman" w:cs="Times New Roman"/>
          <w:sz w:val="24"/>
          <w:szCs w:val="24"/>
        </w:rPr>
        <w:t>oportion of patients received no blood transfusion ((51%, n=59) during the 12 months prior to enrollment. On the other hand, 29% (n=53) reported receiving 1 to 2 units of whole blood, while the remaining patients received at least 3 units. The maximum numb</w:t>
      </w:r>
      <w:r>
        <w:rPr>
          <w:rFonts w:ascii="Times New Roman" w:eastAsia="Times New Roman" w:hAnsi="Times New Roman" w:cs="Times New Roman"/>
          <w:sz w:val="24"/>
          <w:szCs w:val="24"/>
        </w:rPr>
        <w:t>er of transfusions received was 10 units (n=2). The most frequent signs and symptoms during sickle cell crisis included bone and joint pain (n=118), fever (n=93), chest pain (n=52), cough (n=46), dark urine (n=43), and abdominal pain (n=23). Among those wh</w:t>
      </w:r>
      <w:r>
        <w:rPr>
          <w:rFonts w:ascii="Times New Roman" w:eastAsia="Times New Roman" w:hAnsi="Times New Roman" w:cs="Times New Roman"/>
          <w:sz w:val="24"/>
          <w:szCs w:val="24"/>
        </w:rPr>
        <w:t xml:space="preserve">o reported abdominal pain, 74% were children under the age 17. Malaria was the most diagnosed infection during crisis, accounting for 38% (n=13) of all infections recorded in the 12 months preceding enrollment. </w:t>
      </w:r>
      <w:bookmarkStart w:id="13" w:name="_Hlk204656681"/>
      <w:r>
        <w:rPr>
          <w:rFonts w:ascii="Times New Roman" w:eastAsia="Times New Roman" w:hAnsi="Times New Roman" w:cs="Times New Roman"/>
          <w:sz w:val="24"/>
          <w:szCs w:val="24"/>
        </w:rPr>
        <w:t>Pneumonia</w:t>
      </w:r>
      <w:r w:rsidR="00CD45C9">
        <w:rPr>
          <w:rFonts w:ascii="Times New Roman" w:eastAsia="Times New Roman" w:hAnsi="Times New Roman" w:cs="Times New Roman"/>
          <w:sz w:val="24"/>
          <w:szCs w:val="24"/>
        </w:rPr>
        <w:t xml:space="preserve"> accounted for 15% of cases, making it </w:t>
      </w:r>
      <w:r>
        <w:rPr>
          <w:rFonts w:ascii="Times New Roman" w:eastAsia="Times New Roman" w:hAnsi="Times New Roman" w:cs="Times New Roman"/>
          <w:sz w:val="24"/>
          <w:szCs w:val="24"/>
        </w:rPr>
        <w:t>the second most</w:t>
      </w:r>
      <w:r w:rsidR="00CD45C9">
        <w:rPr>
          <w:rFonts w:ascii="Times New Roman" w:eastAsia="Times New Roman" w:hAnsi="Times New Roman" w:cs="Times New Roman"/>
          <w:sz w:val="24"/>
          <w:szCs w:val="24"/>
        </w:rPr>
        <w:t xml:space="preserve"> diagnosed infection</w:t>
      </w:r>
      <w:bookmarkEnd w:id="13"/>
      <w:r>
        <w:rPr>
          <w:rFonts w:ascii="Times New Roman" w:eastAsia="Times New Roman" w:hAnsi="Times New Roman" w:cs="Times New Roman"/>
          <w:sz w:val="24"/>
          <w:szCs w:val="24"/>
        </w:rPr>
        <w:t>. Seventeen patients (9%) had a history of avascular necrosis prior to study enrollment.</w:t>
      </w:r>
    </w:p>
    <w:p w14:paraId="13B71B45" w14:textId="77777777" w:rsidR="00724AB5" w:rsidRDefault="007D385F">
      <w:pPr>
        <w:keepNext/>
        <w:pBdr>
          <w:top w:val="nil"/>
          <w:left w:val="nil"/>
          <w:bottom w:val="nil"/>
          <w:right w:val="nil"/>
          <w:between w:val="nil"/>
        </w:pBdr>
        <w:spacing w:after="0" w:line="240" w:lineRule="auto"/>
        <w:rPr>
          <w:i/>
          <w:color w:val="44546A"/>
          <w:sz w:val="18"/>
          <w:szCs w:val="18"/>
        </w:rPr>
      </w:pPr>
      <w:bookmarkStart w:id="14" w:name="_plcopdcypk64" w:colFirst="0" w:colLast="0"/>
      <w:bookmarkEnd w:id="14"/>
      <w:r>
        <w:rPr>
          <w:rFonts w:ascii="Times New Roman" w:eastAsia="Times New Roman" w:hAnsi="Times New Roman" w:cs="Times New Roman"/>
          <w:color w:val="000000"/>
          <w:sz w:val="20"/>
          <w:szCs w:val="20"/>
        </w:rPr>
        <w:t xml:space="preserve">Table 3. Clinical characteristics of study participants. </w:t>
      </w:r>
    </w:p>
    <w:tbl>
      <w:tblPr>
        <w:tblStyle w:val="a1"/>
        <w:tblW w:w="5760" w:type="dxa"/>
        <w:tblInd w:w="0" w:type="dxa"/>
        <w:tblLayout w:type="fixed"/>
        <w:tblLook w:val="0400" w:firstRow="0" w:lastRow="0" w:firstColumn="0" w:lastColumn="0" w:noHBand="0" w:noVBand="1"/>
      </w:tblPr>
      <w:tblGrid>
        <w:gridCol w:w="3420"/>
        <w:gridCol w:w="1080"/>
        <w:gridCol w:w="1260"/>
      </w:tblGrid>
      <w:tr w:rsidR="00724AB5" w14:paraId="350AA195" w14:textId="77777777">
        <w:trPr>
          <w:trHeight w:val="385"/>
        </w:trPr>
        <w:tc>
          <w:tcPr>
            <w:tcW w:w="3420" w:type="dxa"/>
            <w:tcBorders>
              <w:top w:val="single" w:sz="8" w:space="0" w:color="000000"/>
              <w:left w:val="nil"/>
              <w:bottom w:val="single" w:sz="8" w:space="0" w:color="000000"/>
              <w:right w:val="nil"/>
            </w:tcBorders>
            <w:shd w:val="clear" w:color="auto" w:fill="auto"/>
            <w:vAlign w:val="center"/>
          </w:tcPr>
          <w:p w14:paraId="729DDDE3" w14:textId="77777777" w:rsidR="00724AB5" w:rsidRDefault="007D385F">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Clinical characteristic</w:t>
            </w:r>
          </w:p>
        </w:tc>
        <w:tc>
          <w:tcPr>
            <w:tcW w:w="1080" w:type="dxa"/>
            <w:tcBorders>
              <w:top w:val="single" w:sz="8" w:space="0" w:color="000000"/>
              <w:left w:val="nil"/>
              <w:bottom w:val="single" w:sz="8" w:space="0" w:color="000000"/>
              <w:right w:val="nil"/>
            </w:tcBorders>
            <w:shd w:val="clear" w:color="auto" w:fill="auto"/>
            <w:vAlign w:val="center"/>
          </w:tcPr>
          <w:p w14:paraId="2D5633AB" w14:textId="77777777" w:rsidR="00724AB5" w:rsidRDefault="007D385F">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Frequency</w:t>
            </w:r>
          </w:p>
        </w:tc>
        <w:tc>
          <w:tcPr>
            <w:tcW w:w="1260" w:type="dxa"/>
            <w:tcBorders>
              <w:top w:val="single" w:sz="8" w:space="0" w:color="000000"/>
              <w:left w:val="nil"/>
              <w:bottom w:val="single" w:sz="8" w:space="0" w:color="000000"/>
              <w:right w:val="nil"/>
            </w:tcBorders>
            <w:shd w:val="clear" w:color="auto" w:fill="auto"/>
            <w:vAlign w:val="center"/>
          </w:tcPr>
          <w:p w14:paraId="5F08F7AB" w14:textId="77777777" w:rsidR="00724AB5" w:rsidRDefault="007D385F">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Percent </w:t>
            </w:r>
          </w:p>
          <w:p w14:paraId="76123F13" w14:textId="77777777" w:rsidR="00724AB5" w:rsidRDefault="007D385F">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w:t>
            </w:r>
          </w:p>
        </w:tc>
      </w:tr>
      <w:tr w:rsidR="00724AB5" w14:paraId="31893D52" w14:textId="77777777">
        <w:trPr>
          <w:trHeight w:val="20"/>
        </w:trPr>
        <w:tc>
          <w:tcPr>
            <w:tcW w:w="3420" w:type="dxa"/>
            <w:tcBorders>
              <w:top w:val="single" w:sz="8" w:space="0" w:color="000000"/>
              <w:left w:val="nil"/>
              <w:bottom w:val="nil"/>
              <w:right w:val="nil"/>
            </w:tcBorders>
            <w:shd w:val="clear" w:color="auto" w:fill="auto"/>
            <w:vAlign w:val="center"/>
          </w:tcPr>
          <w:p w14:paraId="73E59755"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Bone/joint pain</w:t>
            </w:r>
          </w:p>
        </w:tc>
        <w:tc>
          <w:tcPr>
            <w:tcW w:w="1080" w:type="dxa"/>
            <w:tcBorders>
              <w:top w:val="single" w:sz="8" w:space="0" w:color="000000"/>
              <w:left w:val="nil"/>
              <w:bottom w:val="nil"/>
              <w:right w:val="nil"/>
            </w:tcBorders>
            <w:shd w:val="clear" w:color="auto" w:fill="auto"/>
            <w:vAlign w:val="center"/>
          </w:tcPr>
          <w:p w14:paraId="49EB9FA6"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0" w:type="dxa"/>
            <w:tcBorders>
              <w:top w:val="single" w:sz="8" w:space="0" w:color="000000"/>
              <w:left w:val="nil"/>
              <w:bottom w:val="nil"/>
              <w:right w:val="nil"/>
            </w:tcBorders>
            <w:shd w:val="clear" w:color="auto" w:fill="auto"/>
            <w:vAlign w:val="center"/>
          </w:tcPr>
          <w:p w14:paraId="6F58823C"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241D220C" w14:textId="77777777">
        <w:trPr>
          <w:trHeight w:val="20"/>
        </w:trPr>
        <w:tc>
          <w:tcPr>
            <w:tcW w:w="3420" w:type="dxa"/>
            <w:tcBorders>
              <w:top w:val="nil"/>
              <w:left w:val="nil"/>
              <w:bottom w:val="nil"/>
              <w:right w:val="nil"/>
            </w:tcBorders>
            <w:shd w:val="clear" w:color="auto" w:fill="auto"/>
            <w:vAlign w:val="center"/>
          </w:tcPr>
          <w:p w14:paraId="790240A3"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    </w:t>
            </w:r>
          </w:p>
        </w:tc>
        <w:tc>
          <w:tcPr>
            <w:tcW w:w="1080" w:type="dxa"/>
            <w:tcBorders>
              <w:top w:val="nil"/>
              <w:left w:val="nil"/>
              <w:bottom w:val="nil"/>
              <w:right w:val="nil"/>
            </w:tcBorders>
            <w:shd w:val="clear" w:color="auto" w:fill="auto"/>
            <w:vAlign w:val="center"/>
          </w:tcPr>
          <w:p w14:paraId="6676A2DA"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67</w:t>
            </w:r>
          </w:p>
        </w:tc>
        <w:tc>
          <w:tcPr>
            <w:tcW w:w="1260" w:type="dxa"/>
            <w:tcBorders>
              <w:top w:val="nil"/>
              <w:left w:val="nil"/>
              <w:bottom w:val="nil"/>
              <w:right w:val="nil"/>
            </w:tcBorders>
            <w:shd w:val="clear" w:color="auto" w:fill="auto"/>
            <w:vAlign w:val="center"/>
          </w:tcPr>
          <w:p w14:paraId="705265E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w:t>
            </w:r>
          </w:p>
        </w:tc>
      </w:tr>
      <w:tr w:rsidR="00724AB5" w14:paraId="43DF3823" w14:textId="77777777">
        <w:trPr>
          <w:trHeight w:val="20"/>
        </w:trPr>
        <w:tc>
          <w:tcPr>
            <w:tcW w:w="3420" w:type="dxa"/>
            <w:tcBorders>
              <w:top w:val="nil"/>
              <w:left w:val="nil"/>
              <w:bottom w:val="nil"/>
              <w:right w:val="nil"/>
            </w:tcBorders>
            <w:shd w:val="clear" w:color="auto" w:fill="auto"/>
            <w:vAlign w:val="center"/>
          </w:tcPr>
          <w:p w14:paraId="0CAFDE09"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Yes   </w:t>
            </w:r>
          </w:p>
        </w:tc>
        <w:tc>
          <w:tcPr>
            <w:tcW w:w="1080" w:type="dxa"/>
            <w:tcBorders>
              <w:top w:val="nil"/>
              <w:left w:val="nil"/>
              <w:bottom w:val="nil"/>
              <w:right w:val="nil"/>
            </w:tcBorders>
            <w:shd w:val="clear" w:color="auto" w:fill="auto"/>
            <w:vAlign w:val="center"/>
          </w:tcPr>
          <w:p w14:paraId="51E5B12C"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118</w:t>
            </w:r>
          </w:p>
        </w:tc>
        <w:tc>
          <w:tcPr>
            <w:tcW w:w="1260" w:type="dxa"/>
            <w:tcBorders>
              <w:top w:val="nil"/>
              <w:left w:val="nil"/>
              <w:bottom w:val="nil"/>
              <w:right w:val="nil"/>
            </w:tcBorders>
            <w:shd w:val="clear" w:color="auto" w:fill="auto"/>
            <w:vAlign w:val="center"/>
          </w:tcPr>
          <w:p w14:paraId="73CABDC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64</w:t>
            </w:r>
          </w:p>
        </w:tc>
      </w:tr>
      <w:tr w:rsidR="00724AB5" w14:paraId="4503E9BB" w14:textId="77777777">
        <w:trPr>
          <w:trHeight w:val="20"/>
        </w:trPr>
        <w:tc>
          <w:tcPr>
            <w:tcW w:w="3420" w:type="dxa"/>
            <w:tcBorders>
              <w:top w:val="nil"/>
              <w:left w:val="nil"/>
              <w:bottom w:val="nil"/>
              <w:right w:val="nil"/>
            </w:tcBorders>
            <w:shd w:val="clear" w:color="auto" w:fill="auto"/>
            <w:vAlign w:val="center"/>
          </w:tcPr>
          <w:p w14:paraId="65795D12"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Abdominal pain</w:t>
            </w:r>
          </w:p>
        </w:tc>
        <w:tc>
          <w:tcPr>
            <w:tcW w:w="1080" w:type="dxa"/>
            <w:tcBorders>
              <w:top w:val="nil"/>
              <w:left w:val="nil"/>
              <w:bottom w:val="nil"/>
              <w:right w:val="nil"/>
            </w:tcBorders>
            <w:shd w:val="clear" w:color="auto" w:fill="auto"/>
            <w:vAlign w:val="center"/>
          </w:tcPr>
          <w:p w14:paraId="7BF46AE1"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0" w:type="dxa"/>
            <w:tcBorders>
              <w:top w:val="nil"/>
              <w:left w:val="nil"/>
              <w:bottom w:val="nil"/>
              <w:right w:val="nil"/>
            </w:tcBorders>
            <w:shd w:val="clear" w:color="auto" w:fill="auto"/>
            <w:vAlign w:val="center"/>
          </w:tcPr>
          <w:p w14:paraId="6AB536CB"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76577290" w14:textId="77777777">
        <w:trPr>
          <w:trHeight w:val="20"/>
        </w:trPr>
        <w:tc>
          <w:tcPr>
            <w:tcW w:w="3420" w:type="dxa"/>
            <w:tcBorders>
              <w:top w:val="nil"/>
              <w:left w:val="nil"/>
              <w:bottom w:val="nil"/>
              <w:right w:val="nil"/>
            </w:tcBorders>
            <w:shd w:val="clear" w:color="auto" w:fill="auto"/>
            <w:vAlign w:val="center"/>
          </w:tcPr>
          <w:p w14:paraId="422A788F"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    </w:t>
            </w:r>
          </w:p>
        </w:tc>
        <w:tc>
          <w:tcPr>
            <w:tcW w:w="1080" w:type="dxa"/>
            <w:tcBorders>
              <w:top w:val="nil"/>
              <w:left w:val="nil"/>
              <w:bottom w:val="nil"/>
              <w:right w:val="nil"/>
            </w:tcBorders>
            <w:shd w:val="clear" w:color="auto" w:fill="auto"/>
            <w:vAlign w:val="center"/>
          </w:tcPr>
          <w:p w14:paraId="725FE6A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162</w:t>
            </w:r>
          </w:p>
        </w:tc>
        <w:tc>
          <w:tcPr>
            <w:tcW w:w="1260" w:type="dxa"/>
            <w:tcBorders>
              <w:top w:val="nil"/>
              <w:left w:val="nil"/>
              <w:bottom w:val="nil"/>
              <w:right w:val="nil"/>
            </w:tcBorders>
            <w:shd w:val="clear" w:color="auto" w:fill="auto"/>
            <w:vAlign w:val="center"/>
          </w:tcPr>
          <w:p w14:paraId="64218E2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w:t>
            </w:r>
          </w:p>
        </w:tc>
      </w:tr>
      <w:tr w:rsidR="00724AB5" w14:paraId="1E3993B4" w14:textId="77777777">
        <w:trPr>
          <w:trHeight w:val="20"/>
        </w:trPr>
        <w:tc>
          <w:tcPr>
            <w:tcW w:w="3420" w:type="dxa"/>
            <w:tcBorders>
              <w:top w:val="nil"/>
              <w:left w:val="nil"/>
              <w:bottom w:val="nil"/>
              <w:right w:val="nil"/>
            </w:tcBorders>
            <w:shd w:val="clear" w:color="auto" w:fill="auto"/>
            <w:vAlign w:val="center"/>
          </w:tcPr>
          <w:p w14:paraId="13D2FCF2"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Yes   </w:t>
            </w:r>
          </w:p>
        </w:tc>
        <w:tc>
          <w:tcPr>
            <w:tcW w:w="1080" w:type="dxa"/>
            <w:tcBorders>
              <w:top w:val="nil"/>
              <w:left w:val="nil"/>
              <w:bottom w:val="nil"/>
              <w:right w:val="nil"/>
            </w:tcBorders>
            <w:shd w:val="clear" w:color="auto" w:fill="auto"/>
            <w:vAlign w:val="center"/>
          </w:tcPr>
          <w:p w14:paraId="203E827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w:t>
            </w:r>
          </w:p>
        </w:tc>
        <w:tc>
          <w:tcPr>
            <w:tcW w:w="1260" w:type="dxa"/>
            <w:tcBorders>
              <w:top w:val="nil"/>
              <w:left w:val="nil"/>
              <w:bottom w:val="nil"/>
              <w:right w:val="nil"/>
            </w:tcBorders>
            <w:shd w:val="clear" w:color="auto" w:fill="auto"/>
            <w:vAlign w:val="center"/>
          </w:tcPr>
          <w:p w14:paraId="1920E68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r>
      <w:tr w:rsidR="00724AB5" w14:paraId="4AAA1B28" w14:textId="77777777">
        <w:trPr>
          <w:trHeight w:val="20"/>
        </w:trPr>
        <w:tc>
          <w:tcPr>
            <w:tcW w:w="3420" w:type="dxa"/>
            <w:tcBorders>
              <w:top w:val="nil"/>
              <w:left w:val="nil"/>
              <w:bottom w:val="nil"/>
              <w:right w:val="nil"/>
            </w:tcBorders>
            <w:shd w:val="clear" w:color="auto" w:fill="auto"/>
            <w:vAlign w:val="center"/>
          </w:tcPr>
          <w:p w14:paraId="21E42A1F"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Fever</w:t>
            </w:r>
          </w:p>
        </w:tc>
        <w:tc>
          <w:tcPr>
            <w:tcW w:w="1080" w:type="dxa"/>
            <w:tcBorders>
              <w:top w:val="nil"/>
              <w:left w:val="nil"/>
              <w:bottom w:val="nil"/>
              <w:right w:val="nil"/>
            </w:tcBorders>
            <w:shd w:val="clear" w:color="auto" w:fill="auto"/>
            <w:vAlign w:val="center"/>
          </w:tcPr>
          <w:p w14:paraId="4930B6E9"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0" w:type="dxa"/>
            <w:tcBorders>
              <w:top w:val="nil"/>
              <w:left w:val="nil"/>
              <w:bottom w:val="nil"/>
              <w:right w:val="nil"/>
            </w:tcBorders>
            <w:shd w:val="clear" w:color="auto" w:fill="auto"/>
            <w:vAlign w:val="center"/>
          </w:tcPr>
          <w:p w14:paraId="6CE5E5B4"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19433EFC" w14:textId="77777777">
        <w:trPr>
          <w:trHeight w:val="20"/>
        </w:trPr>
        <w:tc>
          <w:tcPr>
            <w:tcW w:w="3420" w:type="dxa"/>
            <w:tcBorders>
              <w:top w:val="nil"/>
              <w:left w:val="nil"/>
              <w:bottom w:val="nil"/>
              <w:right w:val="nil"/>
            </w:tcBorders>
            <w:shd w:val="clear" w:color="auto" w:fill="auto"/>
            <w:vAlign w:val="center"/>
          </w:tcPr>
          <w:p w14:paraId="7AE0B59A"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    </w:t>
            </w:r>
          </w:p>
        </w:tc>
        <w:tc>
          <w:tcPr>
            <w:tcW w:w="1080" w:type="dxa"/>
            <w:tcBorders>
              <w:top w:val="nil"/>
              <w:left w:val="nil"/>
              <w:bottom w:val="nil"/>
              <w:right w:val="nil"/>
            </w:tcBorders>
            <w:shd w:val="clear" w:color="auto" w:fill="auto"/>
            <w:vAlign w:val="center"/>
          </w:tcPr>
          <w:p w14:paraId="19A3E09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92</w:t>
            </w:r>
          </w:p>
        </w:tc>
        <w:tc>
          <w:tcPr>
            <w:tcW w:w="1260" w:type="dxa"/>
            <w:tcBorders>
              <w:top w:val="nil"/>
              <w:left w:val="nil"/>
              <w:bottom w:val="nil"/>
              <w:right w:val="nil"/>
            </w:tcBorders>
            <w:shd w:val="clear" w:color="auto" w:fill="auto"/>
            <w:vAlign w:val="center"/>
          </w:tcPr>
          <w:p w14:paraId="3EECB0B1"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w:t>
            </w:r>
          </w:p>
        </w:tc>
      </w:tr>
      <w:tr w:rsidR="00724AB5" w14:paraId="5E269096" w14:textId="77777777">
        <w:trPr>
          <w:trHeight w:val="20"/>
        </w:trPr>
        <w:tc>
          <w:tcPr>
            <w:tcW w:w="3420" w:type="dxa"/>
            <w:tcBorders>
              <w:top w:val="nil"/>
              <w:left w:val="nil"/>
              <w:bottom w:val="nil"/>
              <w:right w:val="nil"/>
            </w:tcBorders>
            <w:shd w:val="clear" w:color="auto" w:fill="auto"/>
            <w:vAlign w:val="center"/>
          </w:tcPr>
          <w:p w14:paraId="43D4045E"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Yes   </w:t>
            </w:r>
          </w:p>
        </w:tc>
        <w:tc>
          <w:tcPr>
            <w:tcW w:w="1080" w:type="dxa"/>
            <w:tcBorders>
              <w:top w:val="nil"/>
              <w:left w:val="nil"/>
              <w:bottom w:val="nil"/>
              <w:right w:val="nil"/>
            </w:tcBorders>
            <w:shd w:val="clear" w:color="auto" w:fill="auto"/>
            <w:vAlign w:val="center"/>
          </w:tcPr>
          <w:p w14:paraId="37B8542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93</w:t>
            </w:r>
          </w:p>
        </w:tc>
        <w:tc>
          <w:tcPr>
            <w:tcW w:w="1260" w:type="dxa"/>
            <w:tcBorders>
              <w:top w:val="nil"/>
              <w:left w:val="nil"/>
              <w:bottom w:val="nil"/>
              <w:right w:val="nil"/>
            </w:tcBorders>
            <w:shd w:val="clear" w:color="auto" w:fill="auto"/>
            <w:vAlign w:val="center"/>
          </w:tcPr>
          <w:p w14:paraId="35822DD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w:t>
            </w:r>
          </w:p>
        </w:tc>
      </w:tr>
      <w:tr w:rsidR="00724AB5" w14:paraId="0A68FB5E" w14:textId="77777777">
        <w:trPr>
          <w:trHeight w:val="20"/>
        </w:trPr>
        <w:tc>
          <w:tcPr>
            <w:tcW w:w="3420" w:type="dxa"/>
            <w:tcBorders>
              <w:top w:val="nil"/>
              <w:left w:val="nil"/>
              <w:bottom w:val="nil"/>
              <w:right w:val="nil"/>
            </w:tcBorders>
            <w:shd w:val="clear" w:color="auto" w:fill="auto"/>
            <w:vAlign w:val="center"/>
          </w:tcPr>
          <w:p w14:paraId="0885BCC3"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Cough</w:t>
            </w:r>
          </w:p>
        </w:tc>
        <w:tc>
          <w:tcPr>
            <w:tcW w:w="1080" w:type="dxa"/>
            <w:tcBorders>
              <w:top w:val="nil"/>
              <w:left w:val="nil"/>
              <w:bottom w:val="nil"/>
              <w:right w:val="nil"/>
            </w:tcBorders>
            <w:shd w:val="clear" w:color="auto" w:fill="auto"/>
            <w:vAlign w:val="center"/>
          </w:tcPr>
          <w:p w14:paraId="0DA73865"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0" w:type="dxa"/>
            <w:tcBorders>
              <w:top w:val="nil"/>
              <w:left w:val="nil"/>
              <w:bottom w:val="nil"/>
              <w:right w:val="nil"/>
            </w:tcBorders>
            <w:shd w:val="clear" w:color="auto" w:fill="auto"/>
            <w:vAlign w:val="center"/>
          </w:tcPr>
          <w:p w14:paraId="632B2CF7"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28131850" w14:textId="77777777">
        <w:trPr>
          <w:trHeight w:val="20"/>
        </w:trPr>
        <w:tc>
          <w:tcPr>
            <w:tcW w:w="3420" w:type="dxa"/>
            <w:tcBorders>
              <w:top w:val="nil"/>
              <w:left w:val="nil"/>
              <w:bottom w:val="nil"/>
              <w:right w:val="nil"/>
            </w:tcBorders>
            <w:shd w:val="clear" w:color="auto" w:fill="auto"/>
            <w:vAlign w:val="center"/>
          </w:tcPr>
          <w:p w14:paraId="787FED62"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    </w:t>
            </w:r>
          </w:p>
        </w:tc>
        <w:tc>
          <w:tcPr>
            <w:tcW w:w="1080" w:type="dxa"/>
            <w:tcBorders>
              <w:top w:val="nil"/>
              <w:left w:val="nil"/>
              <w:bottom w:val="nil"/>
              <w:right w:val="nil"/>
            </w:tcBorders>
            <w:shd w:val="clear" w:color="auto" w:fill="auto"/>
            <w:vAlign w:val="center"/>
          </w:tcPr>
          <w:p w14:paraId="5EC2B73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139</w:t>
            </w:r>
          </w:p>
        </w:tc>
        <w:tc>
          <w:tcPr>
            <w:tcW w:w="1260" w:type="dxa"/>
            <w:tcBorders>
              <w:top w:val="nil"/>
              <w:left w:val="nil"/>
              <w:bottom w:val="nil"/>
              <w:right w:val="nil"/>
            </w:tcBorders>
            <w:shd w:val="clear" w:color="auto" w:fill="auto"/>
            <w:vAlign w:val="center"/>
          </w:tcPr>
          <w:p w14:paraId="6EFAD6E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w:t>
            </w:r>
          </w:p>
        </w:tc>
      </w:tr>
      <w:tr w:rsidR="00724AB5" w14:paraId="35980037" w14:textId="77777777">
        <w:trPr>
          <w:trHeight w:val="20"/>
        </w:trPr>
        <w:tc>
          <w:tcPr>
            <w:tcW w:w="3420" w:type="dxa"/>
            <w:tcBorders>
              <w:top w:val="nil"/>
              <w:left w:val="nil"/>
              <w:bottom w:val="nil"/>
              <w:right w:val="nil"/>
            </w:tcBorders>
            <w:shd w:val="clear" w:color="auto" w:fill="auto"/>
            <w:vAlign w:val="center"/>
          </w:tcPr>
          <w:p w14:paraId="7F98781F"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Yes   </w:t>
            </w:r>
          </w:p>
        </w:tc>
        <w:tc>
          <w:tcPr>
            <w:tcW w:w="1080" w:type="dxa"/>
            <w:tcBorders>
              <w:top w:val="nil"/>
              <w:left w:val="nil"/>
              <w:bottom w:val="nil"/>
              <w:right w:val="nil"/>
            </w:tcBorders>
            <w:shd w:val="clear" w:color="auto" w:fill="auto"/>
            <w:vAlign w:val="center"/>
          </w:tcPr>
          <w:p w14:paraId="17452CE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w:t>
            </w:r>
          </w:p>
        </w:tc>
        <w:tc>
          <w:tcPr>
            <w:tcW w:w="1260" w:type="dxa"/>
            <w:tcBorders>
              <w:top w:val="nil"/>
              <w:left w:val="nil"/>
              <w:bottom w:val="nil"/>
              <w:right w:val="nil"/>
            </w:tcBorders>
            <w:shd w:val="clear" w:color="auto" w:fill="auto"/>
            <w:vAlign w:val="center"/>
          </w:tcPr>
          <w:p w14:paraId="53D88CA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w:t>
            </w:r>
          </w:p>
        </w:tc>
      </w:tr>
      <w:tr w:rsidR="00724AB5" w14:paraId="463C5C8B" w14:textId="77777777">
        <w:trPr>
          <w:trHeight w:val="20"/>
        </w:trPr>
        <w:tc>
          <w:tcPr>
            <w:tcW w:w="3420" w:type="dxa"/>
            <w:tcBorders>
              <w:top w:val="nil"/>
              <w:left w:val="nil"/>
              <w:bottom w:val="nil"/>
              <w:right w:val="nil"/>
            </w:tcBorders>
            <w:shd w:val="clear" w:color="auto" w:fill="auto"/>
            <w:vAlign w:val="center"/>
          </w:tcPr>
          <w:p w14:paraId="234CFDE5"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Chest pain</w:t>
            </w:r>
          </w:p>
        </w:tc>
        <w:tc>
          <w:tcPr>
            <w:tcW w:w="1080" w:type="dxa"/>
            <w:tcBorders>
              <w:top w:val="nil"/>
              <w:left w:val="nil"/>
              <w:bottom w:val="nil"/>
              <w:right w:val="nil"/>
            </w:tcBorders>
            <w:shd w:val="clear" w:color="auto" w:fill="auto"/>
            <w:vAlign w:val="center"/>
          </w:tcPr>
          <w:p w14:paraId="5BB511B5"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0" w:type="dxa"/>
            <w:tcBorders>
              <w:top w:val="nil"/>
              <w:left w:val="nil"/>
              <w:bottom w:val="nil"/>
              <w:right w:val="nil"/>
            </w:tcBorders>
            <w:shd w:val="clear" w:color="auto" w:fill="auto"/>
            <w:vAlign w:val="center"/>
          </w:tcPr>
          <w:p w14:paraId="4C752C96"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216D383E" w14:textId="77777777">
        <w:trPr>
          <w:trHeight w:val="20"/>
        </w:trPr>
        <w:tc>
          <w:tcPr>
            <w:tcW w:w="3420" w:type="dxa"/>
            <w:tcBorders>
              <w:top w:val="nil"/>
              <w:left w:val="nil"/>
              <w:bottom w:val="nil"/>
              <w:right w:val="nil"/>
            </w:tcBorders>
            <w:shd w:val="clear" w:color="auto" w:fill="auto"/>
            <w:vAlign w:val="center"/>
          </w:tcPr>
          <w:p w14:paraId="14B72979"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    </w:t>
            </w:r>
          </w:p>
        </w:tc>
        <w:tc>
          <w:tcPr>
            <w:tcW w:w="1080" w:type="dxa"/>
            <w:tcBorders>
              <w:top w:val="nil"/>
              <w:left w:val="nil"/>
              <w:bottom w:val="nil"/>
              <w:right w:val="nil"/>
            </w:tcBorders>
            <w:shd w:val="clear" w:color="auto" w:fill="auto"/>
            <w:vAlign w:val="center"/>
          </w:tcPr>
          <w:p w14:paraId="51BECCCA"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133</w:t>
            </w:r>
          </w:p>
        </w:tc>
        <w:tc>
          <w:tcPr>
            <w:tcW w:w="1260" w:type="dxa"/>
            <w:tcBorders>
              <w:top w:val="nil"/>
              <w:left w:val="nil"/>
              <w:bottom w:val="nil"/>
              <w:right w:val="nil"/>
            </w:tcBorders>
            <w:shd w:val="clear" w:color="auto" w:fill="auto"/>
            <w:vAlign w:val="center"/>
          </w:tcPr>
          <w:p w14:paraId="1FC34650"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w:t>
            </w:r>
          </w:p>
        </w:tc>
      </w:tr>
      <w:tr w:rsidR="00724AB5" w14:paraId="397452EE" w14:textId="77777777">
        <w:trPr>
          <w:trHeight w:val="20"/>
        </w:trPr>
        <w:tc>
          <w:tcPr>
            <w:tcW w:w="3420" w:type="dxa"/>
            <w:tcBorders>
              <w:top w:val="nil"/>
              <w:left w:val="nil"/>
              <w:bottom w:val="nil"/>
              <w:right w:val="nil"/>
            </w:tcBorders>
            <w:shd w:val="clear" w:color="auto" w:fill="auto"/>
            <w:vAlign w:val="center"/>
          </w:tcPr>
          <w:p w14:paraId="76135971"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Yes   </w:t>
            </w:r>
          </w:p>
        </w:tc>
        <w:tc>
          <w:tcPr>
            <w:tcW w:w="1080" w:type="dxa"/>
            <w:tcBorders>
              <w:top w:val="nil"/>
              <w:left w:val="nil"/>
              <w:bottom w:val="nil"/>
              <w:right w:val="nil"/>
            </w:tcBorders>
            <w:shd w:val="clear" w:color="auto" w:fill="auto"/>
            <w:vAlign w:val="center"/>
          </w:tcPr>
          <w:p w14:paraId="5F5B49B9"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w:t>
            </w:r>
          </w:p>
        </w:tc>
        <w:tc>
          <w:tcPr>
            <w:tcW w:w="1260" w:type="dxa"/>
            <w:tcBorders>
              <w:top w:val="nil"/>
              <w:left w:val="nil"/>
              <w:bottom w:val="nil"/>
              <w:right w:val="nil"/>
            </w:tcBorders>
            <w:shd w:val="clear" w:color="auto" w:fill="auto"/>
            <w:vAlign w:val="center"/>
          </w:tcPr>
          <w:p w14:paraId="4C2819D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w:t>
            </w:r>
          </w:p>
        </w:tc>
      </w:tr>
      <w:tr w:rsidR="00724AB5" w14:paraId="7DE14DDD" w14:textId="77777777">
        <w:trPr>
          <w:trHeight w:val="20"/>
        </w:trPr>
        <w:tc>
          <w:tcPr>
            <w:tcW w:w="3420" w:type="dxa"/>
            <w:tcBorders>
              <w:top w:val="nil"/>
              <w:left w:val="nil"/>
              <w:bottom w:val="nil"/>
              <w:right w:val="nil"/>
            </w:tcBorders>
            <w:shd w:val="clear" w:color="auto" w:fill="auto"/>
            <w:vAlign w:val="center"/>
          </w:tcPr>
          <w:p w14:paraId="3E9E37AC"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Dark urine</w:t>
            </w:r>
          </w:p>
        </w:tc>
        <w:tc>
          <w:tcPr>
            <w:tcW w:w="1080" w:type="dxa"/>
            <w:tcBorders>
              <w:top w:val="nil"/>
              <w:left w:val="nil"/>
              <w:bottom w:val="nil"/>
              <w:right w:val="nil"/>
            </w:tcBorders>
            <w:shd w:val="clear" w:color="auto" w:fill="auto"/>
            <w:vAlign w:val="center"/>
          </w:tcPr>
          <w:p w14:paraId="56CA98B3"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0" w:type="dxa"/>
            <w:tcBorders>
              <w:top w:val="nil"/>
              <w:left w:val="nil"/>
              <w:bottom w:val="nil"/>
              <w:right w:val="nil"/>
            </w:tcBorders>
            <w:shd w:val="clear" w:color="auto" w:fill="auto"/>
            <w:vAlign w:val="center"/>
          </w:tcPr>
          <w:p w14:paraId="3550F55A"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345EC7D6" w14:textId="77777777">
        <w:trPr>
          <w:trHeight w:val="20"/>
        </w:trPr>
        <w:tc>
          <w:tcPr>
            <w:tcW w:w="3420" w:type="dxa"/>
            <w:tcBorders>
              <w:top w:val="nil"/>
              <w:left w:val="nil"/>
              <w:bottom w:val="nil"/>
              <w:right w:val="nil"/>
            </w:tcBorders>
            <w:shd w:val="clear" w:color="auto" w:fill="auto"/>
            <w:vAlign w:val="center"/>
          </w:tcPr>
          <w:p w14:paraId="47752520"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No    </w:t>
            </w:r>
          </w:p>
        </w:tc>
        <w:tc>
          <w:tcPr>
            <w:tcW w:w="1080" w:type="dxa"/>
            <w:tcBorders>
              <w:top w:val="nil"/>
              <w:left w:val="nil"/>
              <w:bottom w:val="nil"/>
              <w:right w:val="nil"/>
            </w:tcBorders>
            <w:shd w:val="clear" w:color="auto" w:fill="auto"/>
            <w:vAlign w:val="center"/>
          </w:tcPr>
          <w:p w14:paraId="741E109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142</w:t>
            </w:r>
          </w:p>
        </w:tc>
        <w:tc>
          <w:tcPr>
            <w:tcW w:w="1260" w:type="dxa"/>
            <w:tcBorders>
              <w:top w:val="nil"/>
              <w:left w:val="nil"/>
              <w:bottom w:val="nil"/>
              <w:right w:val="nil"/>
            </w:tcBorders>
            <w:shd w:val="clear" w:color="auto" w:fill="auto"/>
            <w:vAlign w:val="center"/>
          </w:tcPr>
          <w:p w14:paraId="40706EF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w:t>
            </w:r>
          </w:p>
        </w:tc>
      </w:tr>
      <w:tr w:rsidR="00724AB5" w14:paraId="74845DD1" w14:textId="77777777">
        <w:trPr>
          <w:trHeight w:val="20"/>
        </w:trPr>
        <w:tc>
          <w:tcPr>
            <w:tcW w:w="3420" w:type="dxa"/>
            <w:tcBorders>
              <w:top w:val="nil"/>
              <w:left w:val="nil"/>
              <w:bottom w:val="nil"/>
              <w:right w:val="nil"/>
            </w:tcBorders>
            <w:shd w:val="clear" w:color="auto" w:fill="auto"/>
            <w:vAlign w:val="center"/>
          </w:tcPr>
          <w:p w14:paraId="3325341C"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Yes   </w:t>
            </w:r>
          </w:p>
        </w:tc>
        <w:tc>
          <w:tcPr>
            <w:tcW w:w="1080" w:type="dxa"/>
            <w:tcBorders>
              <w:top w:val="nil"/>
              <w:left w:val="nil"/>
              <w:bottom w:val="nil"/>
              <w:right w:val="nil"/>
            </w:tcBorders>
            <w:shd w:val="clear" w:color="auto" w:fill="auto"/>
            <w:vAlign w:val="center"/>
          </w:tcPr>
          <w:p w14:paraId="354CE81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w:t>
            </w:r>
          </w:p>
        </w:tc>
        <w:tc>
          <w:tcPr>
            <w:tcW w:w="1260" w:type="dxa"/>
            <w:tcBorders>
              <w:top w:val="nil"/>
              <w:left w:val="nil"/>
              <w:bottom w:val="nil"/>
              <w:right w:val="nil"/>
            </w:tcBorders>
            <w:shd w:val="clear" w:color="auto" w:fill="auto"/>
            <w:vAlign w:val="center"/>
          </w:tcPr>
          <w:p w14:paraId="626FC27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w:t>
            </w:r>
          </w:p>
        </w:tc>
      </w:tr>
      <w:tr w:rsidR="00724AB5" w14:paraId="5EDD2BF2" w14:textId="77777777">
        <w:trPr>
          <w:trHeight w:val="20"/>
        </w:trPr>
        <w:tc>
          <w:tcPr>
            <w:tcW w:w="3420" w:type="dxa"/>
            <w:tcBorders>
              <w:top w:val="nil"/>
              <w:left w:val="nil"/>
              <w:bottom w:val="nil"/>
              <w:right w:val="nil"/>
            </w:tcBorders>
            <w:shd w:val="clear" w:color="auto" w:fill="auto"/>
            <w:vAlign w:val="center"/>
          </w:tcPr>
          <w:p w14:paraId="15100E2B"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Other </w:t>
            </w:r>
            <w:r>
              <w:rPr>
                <w:rFonts w:ascii="Times New Roman" w:eastAsia="Times New Roman" w:hAnsi="Times New Roman" w:cs="Times New Roman"/>
                <w:color w:val="000000"/>
                <w:sz w:val="18"/>
                <w:szCs w:val="18"/>
              </w:rPr>
              <w:t>symptoms and diagnosis</w:t>
            </w:r>
          </w:p>
        </w:tc>
        <w:tc>
          <w:tcPr>
            <w:tcW w:w="1080" w:type="dxa"/>
            <w:tcBorders>
              <w:top w:val="nil"/>
              <w:left w:val="nil"/>
              <w:bottom w:val="nil"/>
              <w:right w:val="nil"/>
            </w:tcBorders>
            <w:shd w:val="clear" w:color="auto" w:fill="auto"/>
            <w:vAlign w:val="center"/>
          </w:tcPr>
          <w:p w14:paraId="23FC492F"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0" w:type="dxa"/>
            <w:tcBorders>
              <w:top w:val="nil"/>
              <w:left w:val="nil"/>
              <w:bottom w:val="nil"/>
              <w:right w:val="nil"/>
            </w:tcBorders>
            <w:shd w:val="clear" w:color="auto" w:fill="auto"/>
            <w:vAlign w:val="center"/>
          </w:tcPr>
          <w:p w14:paraId="20906771"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22B33ABA" w14:textId="77777777">
        <w:trPr>
          <w:trHeight w:val="20"/>
        </w:trPr>
        <w:tc>
          <w:tcPr>
            <w:tcW w:w="3420" w:type="dxa"/>
            <w:tcBorders>
              <w:top w:val="nil"/>
              <w:left w:val="nil"/>
              <w:bottom w:val="nil"/>
              <w:right w:val="nil"/>
            </w:tcBorders>
            <w:shd w:val="clear" w:color="auto" w:fill="auto"/>
            <w:vAlign w:val="center"/>
          </w:tcPr>
          <w:p w14:paraId="65EBD135"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Cholecystitis</w:t>
            </w:r>
          </w:p>
        </w:tc>
        <w:tc>
          <w:tcPr>
            <w:tcW w:w="1080" w:type="dxa"/>
            <w:tcBorders>
              <w:top w:val="nil"/>
              <w:left w:val="nil"/>
              <w:bottom w:val="nil"/>
              <w:right w:val="nil"/>
            </w:tcBorders>
            <w:shd w:val="clear" w:color="auto" w:fill="auto"/>
            <w:vAlign w:val="center"/>
          </w:tcPr>
          <w:p w14:paraId="22C5C67B"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260" w:type="dxa"/>
            <w:tcBorders>
              <w:top w:val="nil"/>
              <w:left w:val="nil"/>
              <w:bottom w:val="nil"/>
              <w:right w:val="nil"/>
            </w:tcBorders>
            <w:shd w:val="clear" w:color="auto" w:fill="auto"/>
            <w:vAlign w:val="center"/>
          </w:tcPr>
          <w:p w14:paraId="185C2990"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w:t>
            </w:r>
          </w:p>
        </w:tc>
      </w:tr>
      <w:tr w:rsidR="00724AB5" w14:paraId="4ABDA03F" w14:textId="77777777">
        <w:trPr>
          <w:trHeight w:val="20"/>
        </w:trPr>
        <w:tc>
          <w:tcPr>
            <w:tcW w:w="3420" w:type="dxa"/>
            <w:tcBorders>
              <w:top w:val="nil"/>
              <w:left w:val="nil"/>
              <w:bottom w:val="nil"/>
              <w:right w:val="nil"/>
            </w:tcBorders>
            <w:shd w:val="clear" w:color="auto" w:fill="auto"/>
            <w:vAlign w:val="center"/>
          </w:tcPr>
          <w:p w14:paraId="50E0BB00"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Dyspnea</w:t>
            </w:r>
          </w:p>
        </w:tc>
        <w:tc>
          <w:tcPr>
            <w:tcW w:w="1080" w:type="dxa"/>
            <w:tcBorders>
              <w:top w:val="nil"/>
              <w:left w:val="nil"/>
              <w:bottom w:val="nil"/>
              <w:right w:val="nil"/>
            </w:tcBorders>
            <w:shd w:val="clear" w:color="auto" w:fill="auto"/>
            <w:vAlign w:val="center"/>
          </w:tcPr>
          <w:p w14:paraId="5872C92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260" w:type="dxa"/>
            <w:tcBorders>
              <w:top w:val="nil"/>
              <w:left w:val="nil"/>
              <w:bottom w:val="nil"/>
              <w:right w:val="nil"/>
            </w:tcBorders>
            <w:shd w:val="clear" w:color="auto" w:fill="auto"/>
            <w:vAlign w:val="center"/>
          </w:tcPr>
          <w:p w14:paraId="469B314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r>
      <w:tr w:rsidR="00724AB5" w14:paraId="2A3D55DC" w14:textId="77777777">
        <w:trPr>
          <w:trHeight w:val="20"/>
        </w:trPr>
        <w:tc>
          <w:tcPr>
            <w:tcW w:w="3420" w:type="dxa"/>
            <w:tcBorders>
              <w:top w:val="nil"/>
              <w:left w:val="nil"/>
              <w:bottom w:val="nil"/>
              <w:right w:val="nil"/>
            </w:tcBorders>
            <w:shd w:val="clear" w:color="auto" w:fill="auto"/>
            <w:vAlign w:val="center"/>
          </w:tcPr>
          <w:p w14:paraId="67B9609C"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Periorbital edema</w:t>
            </w:r>
          </w:p>
        </w:tc>
        <w:tc>
          <w:tcPr>
            <w:tcW w:w="1080" w:type="dxa"/>
            <w:tcBorders>
              <w:top w:val="nil"/>
              <w:left w:val="nil"/>
              <w:bottom w:val="nil"/>
              <w:right w:val="nil"/>
            </w:tcBorders>
            <w:shd w:val="clear" w:color="auto" w:fill="auto"/>
            <w:vAlign w:val="center"/>
          </w:tcPr>
          <w:p w14:paraId="4DBC24B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260" w:type="dxa"/>
            <w:tcBorders>
              <w:top w:val="nil"/>
              <w:left w:val="nil"/>
              <w:bottom w:val="nil"/>
              <w:right w:val="nil"/>
            </w:tcBorders>
            <w:shd w:val="clear" w:color="auto" w:fill="auto"/>
            <w:vAlign w:val="center"/>
          </w:tcPr>
          <w:p w14:paraId="45D8D3AC"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r>
      <w:tr w:rsidR="00724AB5" w14:paraId="25D1240C" w14:textId="77777777">
        <w:trPr>
          <w:trHeight w:val="20"/>
        </w:trPr>
        <w:tc>
          <w:tcPr>
            <w:tcW w:w="3420" w:type="dxa"/>
            <w:tcBorders>
              <w:top w:val="nil"/>
              <w:left w:val="nil"/>
              <w:bottom w:val="nil"/>
              <w:right w:val="nil"/>
            </w:tcBorders>
            <w:shd w:val="clear" w:color="auto" w:fill="auto"/>
            <w:vAlign w:val="center"/>
          </w:tcPr>
          <w:p w14:paraId="0E13B3BD"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Malaise</w:t>
            </w:r>
          </w:p>
        </w:tc>
        <w:tc>
          <w:tcPr>
            <w:tcW w:w="1080" w:type="dxa"/>
            <w:tcBorders>
              <w:top w:val="nil"/>
              <w:left w:val="nil"/>
              <w:bottom w:val="nil"/>
              <w:right w:val="nil"/>
            </w:tcBorders>
            <w:shd w:val="clear" w:color="auto" w:fill="auto"/>
            <w:vAlign w:val="center"/>
          </w:tcPr>
          <w:p w14:paraId="24E312D5"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260" w:type="dxa"/>
            <w:tcBorders>
              <w:top w:val="nil"/>
              <w:left w:val="nil"/>
              <w:bottom w:val="nil"/>
              <w:right w:val="nil"/>
            </w:tcBorders>
            <w:shd w:val="clear" w:color="auto" w:fill="auto"/>
            <w:vAlign w:val="center"/>
          </w:tcPr>
          <w:p w14:paraId="36563F8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r>
      <w:tr w:rsidR="00724AB5" w14:paraId="0203CC68" w14:textId="77777777">
        <w:trPr>
          <w:trHeight w:val="20"/>
        </w:trPr>
        <w:tc>
          <w:tcPr>
            <w:tcW w:w="3420" w:type="dxa"/>
            <w:tcBorders>
              <w:top w:val="nil"/>
              <w:left w:val="nil"/>
              <w:bottom w:val="nil"/>
              <w:right w:val="nil"/>
            </w:tcBorders>
            <w:shd w:val="clear" w:color="auto" w:fill="auto"/>
            <w:vAlign w:val="center"/>
          </w:tcPr>
          <w:p w14:paraId="6360A4B1"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Cholelithiasis</w:t>
            </w:r>
          </w:p>
        </w:tc>
        <w:tc>
          <w:tcPr>
            <w:tcW w:w="1080" w:type="dxa"/>
            <w:tcBorders>
              <w:top w:val="nil"/>
              <w:left w:val="nil"/>
              <w:bottom w:val="nil"/>
              <w:right w:val="nil"/>
            </w:tcBorders>
            <w:shd w:val="clear" w:color="auto" w:fill="auto"/>
            <w:vAlign w:val="center"/>
          </w:tcPr>
          <w:p w14:paraId="0D9B0D5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260" w:type="dxa"/>
            <w:tcBorders>
              <w:top w:val="nil"/>
              <w:left w:val="nil"/>
              <w:bottom w:val="nil"/>
              <w:right w:val="nil"/>
            </w:tcBorders>
            <w:shd w:val="clear" w:color="auto" w:fill="auto"/>
            <w:vAlign w:val="center"/>
          </w:tcPr>
          <w:p w14:paraId="105AAF4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r>
      <w:tr w:rsidR="00724AB5" w14:paraId="7BB4CBF4" w14:textId="77777777">
        <w:trPr>
          <w:trHeight w:val="20"/>
        </w:trPr>
        <w:tc>
          <w:tcPr>
            <w:tcW w:w="3420" w:type="dxa"/>
            <w:tcBorders>
              <w:top w:val="nil"/>
              <w:left w:val="nil"/>
              <w:bottom w:val="nil"/>
              <w:right w:val="nil"/>
            </w:tcBorders>
            <w:shd w:val="clear" w:color="auto" w:fill="auto"/>
            <w:vAlign w:val="center"/>
          </w:tcPr>
          <w:p w14:paraId="66C5646E"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Acute chest syndrome</w:t>
            </w:r>
          </w:p>
        </w:tc>
        <w:tc>
          <w:tcPr>
            <w:tcW w:w="1080" w:type="dxa"/>
            <w:tcBorders>
              <w:top w:val="nil"/>
              <w:left w:val="nil"/>
              <w:bottom w:val="nil"/>
              <w:right w:val="nil"/>
            </w:tcBorders>
            <w:shd w:val="clear" w:color="auto" w:fill="auto"/>
            <w:vAlign w:val="center"/>
          </w:tcPr>
          <w:p w14:paraId="3DAAC81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260" w:type="dxa"/>
            <w:tcBorders>
              <w:top w:val="nil"/>
              <w:left w:val="nil"/>
              <w:bottom w:val="nil"/>
              <w:right w:val="nil"/>
            </w:tcBorders>
            <w:shd w:val="clear" w:color="auto" w:fill="auto"/>
            <w:vAlign w:val="center"/>
          </w:tcPr>
          <w:p w14:paraId="5BCA51E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r>
      <w:tr w:rsidR="00724AB5" w14:paraId="6C9D11D5" w14:textId="77777777">
        <w:trPr>
          <w:trHeight w:val="20"/>
        </w:trPr>
        <w:tc>
          <w:tcPr>
            <w:tcW w:w="3420" w:type="dxa"/>
            <w:tcBorders>
              <w:top w:val="nil"/>
              <w:left w:val="nil"/>
              <w:bottom w:val="nil"/>
              <w:right w:val="nil"/>
            </w:tcBorders>
            <w:shd w:val="clear" w:color="auto" w:fill="auto"/>
            <w:vAlign w:val="center"/>
          </w:tcPr>
          <w:p w14:paraId="620142F4"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Others </w:t>
            </w:r>
            <w:r>
              <w:rPr>
                <w:rFonts w:ascii="Times New Roman" w:eastAsia="Times New Roman" w:hAnsi="Times New Roman" w:cs="Times New Roman"/>
                <w:b/>
                <w:color w:val="000000"/>
                <w:sz w:val="18"/>
                <w:szCs w:val="18"/>
                <w:vertAlign w:val="superscript"/>
              </w:rPr>
              <w:t>a</w:t>
            </w:r>
          </w:p>
        </w:tc>
        <w:tc>
          <w:tcPr>
            <w:tcW w:w="1080" w:type="dxa"/>
            <w:tcBorders>
              <w:top w:val="nil"/>
              <w:left w:val="nil"/>
              <w:bottom w:val="nil"/>
              <w:right w:val="nil"/>
            </w:tcBorders>
            <w:shd w:val="clear" w:color="auto" w:fill="auto"/>
            <w:vAlign w:val="center"/>
          </w:tcPr>
          <w:p w14:paraId="65727975"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260" w:type="dxa"/>
            <w:tcBorders>
              <w:top w:val="nil"/>
              <w:left w:val="nil"/>
              <w:bottom w:val="nil"/>
              <w:right w:val="nil"/>
            </w:tcBorders>
            <w:shd w:val="clear" w:color="auto" w:fill="auto"/>
            <w:vAlign w:val="center"/>
          </w:tcPr>
          <w:p w14:paraId="73AA702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w:t>
            </w:r>
          </w:p>
        </w:tc>
      </w:tr>
      <w:tr w:rsidR="00724AB5" w14:paraId="4DCEAD99" w14:textId="77777777">
        <w:trPr>
          <w:trHeight w:val="20"/>
        </w:trPr>
        <w:tc>
          <w:tcPr>
            <w:tcW w:w="3420" w:type="dxa"/>
            <w:tcBorders>
              <w:top w:val="nil"/>
              <w:left w:val="nil"/>
              <w:bottom w:val="nil"/>
              <w:right w:val="nil"/>
            </w:tcBorders>
            <w:shd w:val="clear" w:color="auto" w:fill="auto"/>
            <w:vAlign w:val="center"/>
          </w:tcPr>
          <w:p w14:paraId="60C202DA"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Avascular Necrosis</w:t>
            </w:r>
          </w:p>
        </w:tc>
        <w:tc>
          <w:tcPr>
            <w:tcW w:w="1080" w:type="dxa"/>
            <w:tcBorders>
              <w:top w:val="nil"/>
              <w:left w:val="nil"/>
              <w:bottom w:val="nil"/>
              <w:right w:val="nil"/>
            </w:tcBorders>
            <w:shd w:val="clear" w:color="auto" w:fill="auto"/>
            <w:vAlign w:val="center"/>
          </w:tcPr>
          <w:p w14:paraId="0DF44362"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0" w:type="dxa"/>
            <w:tcBorders>
              <w:top w:val="nil"/>
              <w:left w:val="nil"/>
              <w:bottom w:val="nil"/>
              <w:right w:val="nil"/>
            </w:tcBorders>
            <w:shd w:val="clear" w:color="auto" w:fill="auto"/>
            <w:vAlign w:val="center"/>
          </w:tcPr>
          <w:p w14:paraId="6EC9C670"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4D915949" w14:textId="77777777">
        <w:trPr>
          <w:trHeight w:val="20"/>
        </w:trPr>
        <w:tc>
          <w:tcPr>
            <w:tcW w:w="3420" w:type="dxa"/>
            <w:tcBorders>
              <w:top w:val="nil"/>
              <w:left w:val="nil"/>
              <w:bottom w:val="nil"/>
              <w:right w:val="nil"/>
            </w:tcBorders>
            <w:shd w:val="clear" w:color="auto" w:fill="auto"/>
            <w:vAlign w:val="center"/>
          </w:tcPr>
          <w:p w14:paraId="0CE6AA9D"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    </w:t>
            </w:r>
          </w:p>
        </w:tc>
        <w:tc>
          <w:tcPr>
            <w:tcW w:w="1080" w:type="dxa"/>
            <w:tcBorders>
              <w:top w:val="nil"/>
              <w:left w:val="nil"/>
              <w:bottom w:val="nil"/>
              <w:right w:val="nil"/>
            </w:tcBorders>
            <w:shd w:val="clear" w:color="auto" w:fill="auto"/>
            <w:vAlign w:val="center"/>
          </w:tcPr>
          <w:p w14:paraId="082C0F5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168</w:t>
            </w:r>
          </w:p>
        </w:tc>
        <w:tc>
          <w:tcPr>
            <w:tcW w:w="1260" w:type="dxa"/>
            <w:tcBorders>
              <w:top w:val="nil"/>
              <w:left w:val="nil"/>
              <w:bottom w:val="nil"/>
              <w:right w:val="nil"/>
            </w:tcBorders>
            <w:shd w:val="clear" w:color="auto" w:fill="auto"/>
            <w:vAlign w:val="center"/>
          </w:tcPr>
          <w:p w14:paraId="1D547EC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w:t>
            </w:r>
          </w:p>
        </w:tc>
      </w:tr>
      <w:tr w:rsidR="00724AB5" w14:paraId="76B087CE" w14:textId="77777777">
        <w:trPr>
          <w:trHeight w:val="20"/>
        </w:trPr>
        <w:tc>
          <w:tcPr>
            <w:tcW w:w="3420" w:type="dxa"/>
            <w:tcBorders>
              <w:top w:val="nil"/>
              <w:left w:val="nil"/>
              <w:bottom w:val="nil"/>
              <w:right w:val="nil"/>
            </w:tcBorders>
            <w:shd w:val="clear" w:color="auto" w:fill="auto"/>
            <w:vAlign w:val="center"/>
          </w:tcPr>
          <w:p w14:paraId="5C1B250D"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Yes   </w:t>
            </w:r>
          </w:p>
        </w:tc>
        <w:tc>
          <w:tcPr>
            <w:tcW w:w="1080" w:type="dxa"/>
            <w:tcBorders>
              <w:top w:val="nil"/>
              <w:left w:val="nil"/>
              <w:bottom w:val="nil"/>
              <w:right w:val="nil"/>
            </w:tcBorders>
            <w:shd w:val="clear" w:color="auto" w:fill="auto"/>
            <w:vAlign w:val="center"/>
          </w:tcPr>
          <w:p w14:paraId="18695445"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w:t>
            </w:r>
          </w:p>
        </w:tc>
        <w:tc>
          <w:tcPr>
            <w:tcW w:w="1260" w:type="dxa"/>
            <w:tcBorders>
              <w:top w:val="nil"/>
              <w:left w:val="nil"/>
              <w:bottom w:val="nil"/>
              <w:right w:val="nil"/>
            </w:tcBorders>
            <w:shd w:val="clear" w:color="auto" w:fill="auto"/>
            <w:vAlign w:val="center"/>
          </w:tcPr>
          <w:p w14:paraId="1BD287C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r>
      <w:tr w:rsidR="00724AB5" w14:paraId="67C7C3DE" w14:textId="77777777">
        <w:trPr>
          <w:trHeight w:val="20"/>
        </w:trPr>
        <w:tc>
          <w:tcPr>
            <w:tcW w:w="3420" w:type="dxa"/>
            <w:tcBorders>
              <w:top w:val="nil"/>
              <w:left w:val="nil"/>
              <w:bottom w:val="nil"/>
              <w:right w:val="nil"/>
            </w:tcBorders>
            <w:shd w:val="clear" w:color="auto" w:fill="auto"/>
            <w:vAlign w:val="center"/>
          </w:tcPr>
          <w:p w14:paraId="6D56DCD9"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Infection</w:t>
            </w:r>
          </w:p>
        </w:tc>
        <w:tc>
          <w:tcPr>
            <w:tcW w:w="1080" w:type="dxa"/>
            <w:tcBorders>
              <w:top w:val="nil"/>
              <w:left w:val="nil"/>
              <w:bottom w:val="nil"/>
              <w:right w:val="nil"/>
            </w:tcBorders>
            <w:shd w:val="clear" w:color="auto" w:fill="auto"/>
            <w:vAlign w:val="center"/>
          </w:tcPr>
          <w:p w14:paraId="38636A24"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0" w:type="dxa"/>
            <w:tcBorders>
              <w:top w:val="nil"/>
              <w:left w:val="nil"/>
              <w:bottom w:val="nil"/>
              <w:right w:val="nil"/>
            </w:tcBorders>
            <w:shd w:val="clear" w:color="auto" w:fill="auto"/>
            <w:vAlign w:val="center"/>
          </w:tcPr>
          <w:p w14:paraId="58EBC3EA"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6BFE96D2" w14:textId="77777777">
        <w:trPr>
          <w:trHeight w:val="20"/>
        </w:trPr>
        <w:tc>
          <w:tcPr>
            <w:tcW w:w="3420" w:type="dxa"/>
            <w:tcBorders>
              <w:top w:val="nil"/>
              <w:left w:val="nil"/>
              <w:bottom w:val="nil"/>
              <w:right w:val="nil"/>
            </w:tcBorders>
            <w:shd w:val="clear" w:color="auto" w:fill="auto"/>
            <w:vAlign w:val="center"/>
          </w:tcPr>
          <w:p w14:paraId="75B21002"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Malaria</w:t>
            </w:r>
          </w:p>
        </w:tc>
        <w:tc>
          <w:tcPr>
            <w:tcW w:w="1080" w:type="dxa"/>
            <w:tcBorders>
              <w:top w:val="nil"/>
              <w:left w:val="nil"/>
              <w:bottom w:val="nil"/>
              <w:right w:val="nil"/>
            </w:tcBorders>
            <w:shd w:val="clear" w:color="auto" w:fill="auto"/>
            <w:vAlign w:val="center"/>
          </w:tcPr>
          <w:p w14:paraId="4B1D204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260" w:type="dxa"/>
            <w:tcBorders>
              <w:top w:val="nil"/>
              <w:left w:val="nil"/>
              <w:bottom w:val="nil"/>
              <w:right w:val="nil"/>
            </w:tcBorders>
            <w:shd w:val="clear" w:color="auto" w:fill="auto"/>
            <w:vAlign w:val="center"/>
          </w:tcPr>
          <w:p w14:paraId="376D0250"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w:t>
            </w:r>
          </w:p>
        </w:tc>
      </w:tr>
      <w:tr w:rsidR="00724AB5" w14:paraId="69BE6C54" w14:textId="77777777">
        <w:trPr>
          <w:trHeight w:val="20"/>
        </w:trPr>
        <w:tc>
          <w:tcPr>
            <w:tcW w:w="3420" w:type="dxa"/>
            <w:tcBorders>
              <w:top w:val="nil"/>
              <w:left w:val="nil"/>
              <w:bottom w:val="nil"/>
              <w:right w:val="nil"/>
            </w:tcBorders>
            <w:shd w:val="clear" w:color="auto" w:fill="auto"/>
            <w:vAlign w:val="center"/>
          </w:tcPr>
          <w:p w14:paraId="20ECD560"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Pneumonia</w:t>
            </w:r>
          </w:p>
        </w:tc>
        <w:tc>
          <w:tcPr>
            <w:tcW w:w="1080" w:type="dxa"/>
            <w:tcBorders>
              <w:top w:val="nil"/>
              <w:left w:val="nil"/>
              <w:bottom w:val="nil"/>
              <w:right w:val="nil"/>
            </w:tcBorders>
            <w:shd w:val="clear" w:color="auto" w:fill="auto"/>
            <w:vAlign w:val="center"/>
          </w:tcPr>
          <w:p w14:paraId="38C28AA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260" w:type="dxa"/>
            <w:tcBorders>
              <w:top w:val="nil"/>
              <w:left w:val="nil"/>
              <w:bottom w:val="nil"/>
              <w:right w:val="nil"/>
            </w:tcBorders>
            <w:shd w:val="clear" w:color="auto" w:fill="auto"/>
            <w:vAlign w:val="center"/>
          </w:tcPr>
          <w:p w14:paraId="1A4F2801"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r>
      <w:tr w:rsidR="00724AB5" w14:paraId="7C7577E2" w14:textId="77777777">
        <w:trPr>
          <w:trHeight w:val="20"/>
        </w:trPr>
        <w:tc>
          <w:tcPr>
            <w:tcW w:w="3420" w:type="dxa"/>
            <w:tcBorders>
              <w:top w:val="nil"/>
              <w:left w:val="nil"/>
              <w:bottom w:val="nil"/>
              <w:right w:val="nil"/>
            </w:tcBorders>
            <w:shd w:val="clear" w:color="auto" w:fill="auto"/>
            <w:vAlign w:val="center"/>
          </w:tcPr>
          <w:p w14:paraId="494EB4AC"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Pulmonary infection</w:t>
            </w:r>
          </w:p>
        </w:tc>
        <w:tc>
          <w:tcPr>
            <w:tcW w:w="1080" w:type="dxa"/>
            <w:tcBorders>
              <w:top w:val="nil"/>
              <w:left w:val="nil"/>
              <w:bottom w:val="nil"/>
              <w:right w:val="nil"/>
            </w:tcBorders>
            <w:shd w:val="clear" w:color="auto" w:fill="auto"/>
            <w:vAlign w:val="center"/>
          </w:tcPr>
          <w:p w14:paraId="6B76025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260" w:type="dxa"/>
            <w:tcBorders>
              <w:top w:val="nil"/>
              <w:left w:val="nil"/>
              <w:bottom w:val="nil"/>
              <w:right w:val="nil"/>
            </w:tcBorders>
            <w:shd w:val="clear" w:color="auto" w:fill="auto"/>
            <w:vAlign w:val="center"/>
          </w:tcPr>
          <w:p w14:paraId="2945F930"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r>
      <w:tr w:rsidR="00724AB5" w14:paraId="4D6D341E" w14:textId="77777777">
        <w:trPr>
          <w:trHeight w:val="20"/>
        </w:trPr>
        <w:tc>
          <w:tcPr>
            <w:tcW w:w="3420" w:type="dxa"/>
            <w:tcBorders>
              <w:top w:val="nil"/>
              <w:left w:val="nil"/>
              <w:bottom w:val="nil"/>
              <w:right w:val="nil"/>
            </w:tcBorders>
            <w:shd w:val="clear" w:color="auto" w:fill="auto"/>
            <w:vAlign w:val="center"/>
          </w:tcPr>
          <w:p w14:paraId="418503F3"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Hepatitis A</w:t>
            </w:r>
          </w:p>
        </w:tc>
        <w:tc>
          <w:tcPr>
            <w:tcW w:w="1080" w:type="dxa"/>
            <w:tcBorders>
              <w:top w:val="nil"/>
              <w:left w:val="nil"/>
              <w:bottom w:val="nil"/>
              <w:right w:val="nil"/>
            </w:tcBorders>
            <w:shd w:val="clear" w:color="auto" w:fill="auto"/>
            <w:vAlign w:val="center"/>
          </w:tcPr>
          <w:p w14:paraId="26F55C0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260" w:type="dxa"/>
            <w:tcBorders>
              <w:top w:val="nil"/>
              <w:left w:val="nil"/>
              <w:bottom w:val="nil"/>
              <w:right w:val="nil"/>
            </w:tcBorders>
            <w:shd w:val="clear" w:color="auto" w:fill="auto"/>
            <w:vAlign w:val="center"/>
          </w:tcPr>
          <w:p w14:paraId="2DD7DE05"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r>
      <w:tr w:rsidR="00724AB5" w14:paraId="57632FE6" w14:textId="77777777">
        <w:trPr>
          <w:trHeight w:val="20"/>
        </w:trPr>
        <w:tc>
          <w:tcPr>
            <w:tcW w:w="3420" w:type="dxa"/>
            <w:tcBorders>
              <w:top w:val="nil"/>
              <w:left w:val="nil"/>
              <w:bottom w:val="nil"/>
              <w:right w:val="nil"/>
            </w:tcBorders>
            <w:shd w:val="clear" w:color="auto" w:fill="auto"/>
            <w:vAlign w:val="center"/>
          </w:tcPr>
          <w:p w14:paraId="7175359E"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Pyelonephritis</w:t>
            </w:r>
          </w:p>
        </w:tc>
        <w:tc>
          <w:tcPr>
            <w:tcW w:w="1080" w:type="dxa"/>
            <w:tcBorders>
              <w:top w:val="nil"/>
              <w:left w:val="nil"/>
              <w:bottom w:val="nil"/>
              <w:right w:val="nil"/>
            </w:tcBorders>
            <w:shd w:val="clear" w:color="auto" w:fill="auto"/>
            <w:vAlign w:val="center"/>
          </w:tcPr>
          <w:p w14:paraId="3896DC9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260" w:type="dxa"/>
            <w:tcBorders>
              <w:top w:val="nil"/>
              <w:left w:val="nil"/>
              <w:bottom w:val="nil"/>
              <w:right w:val="nil"/>
            </w:tcBorders>
            <w:shd w:val="clear" w:color="auto" w:fill="auto"/>
            <w:vAlign w:val="center"/>
          </w:tcPr>
          <w:p w14:paraId="0E9A7ABC"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r>
      <w:tr w:rsidR="00724AB5" w14:paraId="6761931F" w14:textId="77777777">
        <w:trPr>
          <w:trHeight w:val="20"/>
        </w:trPr>
        <w:tc>
          <w:tcPr>
            <w:tcW w:w="3420" w:type="dxa"/>
            <w:tcBorders>
              <w:top w:val="nil"/>
              <w:left w:val="nil"/>
              <w:bottom w:val="nil"/>
              <w:right w:val="nil"/>
            </w:tcBorders>
            <w:shd w:val="clear" w:color="auto" w:fill="auto"/>
            <w:vAlign w:val="center"/>
          </w:tcPr>
          <w:p w14:paraId="13316DD6"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Tuberculosis</w:t>
            </w:r>
          </w:p>
        </w:tc>
        <w:tc>
          <w:tcPr>
            <w:tcW w:w="1080" w:type="dxa"/>
            <w:tcBorders>
              <w:top w:val="nil"/>
              <w:left w:val="nil"/>
              <w:bottom w:val="nil"/>
              <w:right w:val="nil"/>
            </w:tcBorders>
            <w:shd w:val="clear" w:color="auto" w:fill="auto"/>
            <w:vAlign w:val="center"/>
          </w:tcPr>
          <w:p w14:paraId="6A4F7811"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260" w:type="dxa"/>
            <w:tcBorders>
              <w:top w:val="nil"/>
              <w:left w:val="nil"/>
              <w:bottom w:val="nil"/>
              <w:right w:val="nil"/>
            </w:tcBorders>
            <w:shd w:val="clear" w:color="auto" w:fill="auto"/>
            <w:vAlign w:val="center"/>
          </w:tcPr>
          <w:p w14:paraId="05BE0F67"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r>
      <w:tr w:rsidR="00724AB5" w14:paraId="7C2FB113" w14:textId="77777777">
        <w:trPr>
          <w:trHeight w:val="20"/>
        </w:trPr>
        <w:tc>
          <w:tcPr>
            <w:tcW w:w="3420" w:type="dxa"/>
            <w:tcBorders>
              <w:top w:val="nil"/>
              <w:left w:val="nil"/>
              <w:bottom w:val="nil"/>
              <w:right w:val="nil"/>
            </w:tcBorders>
            <w:shd w:val="clear" w:color="auto" w:fill="auto"/>
            <w:vAlign w:val="center"/>
          </w:tcPr>
          <w:p w14:paraId="2555E8A6"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Urinary tract infection</w:t>
            </w:r>
          </w:p>
        </w:tc>
        <w:tc>
          <w:tcPr>
            <w:tcW w:w="1080" w:type="dxa"/>
            <w:tcBorders>
              <w:top w:val="nil"/>
              <w:left w:val="nil"/>
              <w:bottom w:val="nil"/>
              <w:right w:val="nil"/>
            </w:tcBorders>
            <w:shd w:val="clear" w:color="auto" w:fill="auto"/>
            <w:vAlign w:val="center"/>
          </w:tcPr>
          <w:p w14:paraId="6BCB00B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260" w:type="dxa"/>
            <w:tcBorders>
              <w:top w:val="nil"/>
              <w:left w:val="nil"/>
              <w:bottom w:val="nil"/>
              <w:right w:val="nil"/>
            </w:tcBorders>
            <w:shd w:val="clear" w:color="auto" w:fill="auto"/>
            <w:vAlign w:val="center"/>
          </w:tcPr>
          <w:p w14:paraId="65E7799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r>
      <w:tr w:rsidR="00724AB5" w14:paraId="7E40B612" w14:textId="77777777">
        <w:trPr>
          <w:trHeight w:val="20"/>
        </w:trPr>
        <w:tc>
          <w:tcPr>
            <w:tcW w:w="3420" w:type="dxa"/>
            <w:tcBorders>
              <w:top w:val="nil"/>
              <w:left w:val="nil"/>
              <w:bottom w:val="nil"/>
              <w:right w:val="nil"/>
            </w:tcBorders>
            <w:shd w:val="clear" w:color="auto" w:fill="auto"/>
            <w:vAlign w:val="center"/>
          </w:tcPr>
          <w:p w14:paraId="4CA91A57"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Other types of infections </w:t>
            </w:r>
            <w:r>
              <w:rPr>
                <w:rFonts w:ascii="Times New Roman" w:eastAsia="Times New Roman" w:hAnsi="Times New Roman" w:cs="Times New Roman"/>
                <w:b/>
                <w:color w:val="000000"/>
                <w:sz w:val="18"/>
                <w:szCs w:val="18"/>
                <w:vertAlign w:val="superscript"/>
              </w:rPr>
              <w:t>b</w:t>
            </w:r>
          </w:p>
        </w:tc>
        <w:tc>
          <w:tcPr>
            <w:tcW w:w="1080" w:type="dxa"/>
            <w:tcBorders>
              <w:top w:val="nil"/>
              <w:left w:val="nil"/>
              <w:bottom w:val="nil"/>
              <w:right w:val="nil"/>
            </w:tcBorders>
            <w:shd w:val="clear" w:color="auto" w:fill="auto"/>
            <w:vAlign w:val="center"/>
          </w:tcPr>
          <w:p w14:paraId="0E645FF0"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260" w:type="dxa"/>
            <w:tcBorders>
              <w:top w:val="nil"/>
              <w:left w:val="nil"/>
              <w:bottom w:val="nil"/>
              <w:right w:val="nil"/>
            </w:tcBorders>
            <w:shd w:val="clear" w:color="auto" w:fill="auto"/>
            <w:vAlign w:val="center"/>
          </w:tcPr>
          <w:p w14:paraId="3BC135FB"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r>
      <w:tr w:rsidR="00724AB5" w14:paraId="249F1627" w14:textId="77777777">
        <w:trPr>
          <w:trHeight w:val="20"/>
        </w:trPr>
        <w:tc>
          <w:tcPr>
            <w:tcW w:w="3420" w:type="dxa"/>
            <w:tcBorders>
              <w:top w:val="nil"/>
              <w:left w:val="nil"/>
              <w:bottom w:val="nil"/>
              <w:right w:val="nil"/>
            </w:tcBorders>
            <w:shd w:val="clear" w:color="auto" w:fill="auto"/>
            <w:vAlign w:val="center"/>
          </w:tcPr>
          <w:p w14:paraId="1395D338"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Ulceration</w:t>
            </w:r>
          </w:p>
        </w:tc>
        <w:tc>
          <w:tcPr>
            <w:tcW w:w="1080" w:type="dxa"/>
            <w:tcBorders>
              <w:top w:val="nil"/>
              <w:left w:val="nil"/>
              <w:bottom w:val="nil"/>
              <w:right w:val="nil"/>
            </w:tcBorders>
            <w:shd w:val="clear" w:color="auto" w:fill="auto"/>
            <w:vAlign w:val="center"/>
          </w:tcPr>
          <w:p w14:paraId="75D4B66D"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0" w:type="dxa"/>
            <w:tcBorders>
              <w:top w:val="nil"/>
              <w:left w:val="nil"/>
              <w:bottom w:val="nil"/>
              <w:right w:val="nil"/>
            </w:tcBorders>
            <w:shd w:val="clear" w:color="auto" w:fill="auto"/>
            <w:vAlign w:val="center"/>
          </w:tcPr>
          <w:p w14:paraId="7C675E71"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3B383865" w14:textId="77777777">
        <w:trPr>
          <w:trHeight w:val="20"/>
        </w:trPr>
        <w:tc>
          <w:tcPr>
            <w:tcW w:w="3420" w:type="dxa"/>
            <w:tcBorders>
              <w:top w:val="nil"/>
              <w:left w:val="nil"/>
              <w:bottom w:val="nil"/>
              <w:right w:val="nil"/>
            </w:tcBorders>
            <w:shd w:val="clear" w:color="auto" w:fill="auto"/>
            <w:vAlign w:val="center"/>
          </w:tcPr>
          <w:p w14:paraId="0621AED0"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vAlign w:val="center"/>
          </w:tcPr>
          <w:p w14:paraId="553C1077"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179</w:t>
            </w:r>
          </w:p>
        </w:tc>
        <w:tc>
          <w:tcPr>
            <w:tcW w:w="1260" w:type="dxa"/>
            <w:tcBorders>
              <w:top w:val="nil"/>
              <w:left w:val="nil"/>
              <w:bottom w:val="nil"/>
              <w:right w:val="nil"/>
            </w:tcBorders>
            <w:shd w:val="clear" w:color="auto" w:fill="auto"/>
            <w:vAlign w:val="center"/>
          </w:tcPr>
          <w:p w14:paraId="7C509A31"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97</w:t>
            </w:r>
          </w:p>
        </w:tc>
      </w:tr>
      <w:tr w:rsidR="00724AB5" w14:paraId="620F2C8A" w14:textId="77777777">
        <w:trPr>
          <w:trHeight w:val="20"/>
        </w:trPr>
        <w:tc>
          <w:tcPr>
            <w:tcW w:w="3420" w:type="dxa"/>
            <w:tcBorders>
              <w:top w:val="nil"/>
              <w:left w:val="nil"/>
              <w:bottom w:val="nil"/>
              <w:right w:val="nil"/>
            </w:tcBorders>
            <w:shd w:val="clear" w:color="auto" w:fill="auto"/>
            <w:vAlign w:val="center"/>
          </w:tcPr>
          <w:p w14:paraId="76D8586C"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Yes   </w:t>
            </w:r>
          </w:p>
        </w:tc>
        <w:tc>
          <w:tcPr>
            <w:tcW w:w="1080" w:type="dxa"/>
            <w:tcBorders>
              <w:top w:val="nil"/>
              <w:left w:val="nil"/>
              <w:bottom w:val="nil"/>
              <w:right w:val="nil"/>
            </w:tcBorders>
            <w:shd w:val="clear" w:color="auto" w:fill="auto"/>
            <w:vAlign w:val="center"/>
          </w:tcPr>
          <w:p w14:paraId="64C5305A"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260" w:type="dxa"/>
            <w:tcBorders>
              <w:top w:val="nil"/>
              <w:left w:val="nil"/>
              <w:bottom w:val="nil"/>
              <w:right w:val="nil"/>
            </w:tcBorders>
            <w:shd w:val="clear" w:color="auto" w:fill="auto"/>
            <w:vAlign w:val="center"/>
          </w:tcPr>
          <w:p w14:paraId="7BDCD61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724AB5" w14:paraId="3E5F1A99" w14:textId="77777777">
        <w:trPr>
          <w:trHeight w:val="20"/>
        </w:trPr>
        <w:tc>
          <w:tcPr>
            <w:tcW w:w="3420" w:type="dxa"/>
            <w:tcBorders>
              <w:top w:val="nil"/>
              <w:left w:val="nil"/>
              <w:bottom w:val="nil"/>
              <w:right w:val="nil"/>
            </w:tcBorders>
            <w:shd w:val="clear" w:color="auto" w:fill="auto"/>
            <w:vAlign w:val="center"/>
          </w:tcPr>
          <w:p w14:paraId="7B2C9CD8"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Stroke</w:t>
            </w:r>
          </w:p>
        </w:tc>
        <w:tc>
          <w:tcPr>
            <w:tcW w:w="1080" w:type="dxa"/>
            <w:tcBorders>
              <w:top w:val="nil"/>
              <w:left w:val="nil"/>
              <w:bottom w:val="nil"/>
              <w:right w:val="nil"/>
            </w:tcBorders>
            <w:shd w:val="clear" w:color="auto" w:fill="auto"/>
            <w:vAlign w:val="center"/>
          </w:tcPr>
          <w:p w14:paraId="798A0E31"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0" w:type="dxa"/>
            <w:tcBorders>
              <w:top w:val="nil"/>
              <w:left w:val="nil"/>
              <w:bottom w:val="nil"/>
              <w:right w:val="nil"/>
            </w:tcBorders>
            <w:shd w:val="clear" w:color="auto" w:fill="auto"/>
            <w:vAlign w:val="center"/>
          </w:tcPr>
          <w:p w14:paraId="404F543A"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7E92777B" w14:textId="77777777">
        <w:trPr>
          <w:trHeight w:val="20"/>
        </w:trPr>
        <w:tc>
          <w:tcPr>
            <w:tcW w:w="3420" w:type="dxa"/>
            <w:tcBorders>
              <w:top w:val="nil"/>
              <w:left w:val="nil"/>
              <w:bottom w:val="nil"/>
              <w:right w:val="nil"/>
            </w:tcBorders>
            <w:shd w:val="clear" w:color="auto" w:fill="auto"/>
            <w:vAlign w:val="center"/>
          </w:tcPr>
          <w:p w14:paraId="618C3E24"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vAlign w:val="center"/>
          </w:tcPr>
          <w:p w14:paraId="5C38CDC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183</w:t>
            </w:r>
          </w:p>
        </w:tc>
        <w:tc>
          <w:tcPr>
            <w:tcW w:w="1260" w:type="dxa"/>
            <w:tcBorders>
              <w:top w:val="nil"/>
              <w:left w:val="nil"/>
              <w:bottom w:val="nil"/>
              <w:right w:val="nil"/>
            </w:tcBorders>
            <w:shd w:val="clear" w:color="auto" w:fill="auto"/>
            <w:vAlign w:val="center"/>
          </w:tcPr>
          <w:p w14:paraId="0A3A6DC9"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r>
      <w:tr w:rsidR="00724AB5" w14:paraId="77919959" w14:textId="77777777">
        <w:trPr>
          <w:trHeight w:val="20"/>
        </w:trPr>
        <w:tc>
          <w:tcPr>
            <w:tcW w:w="3420" w:type="dxa"/>
            <w:tcBorders>
              <w:top w:val="nil"/>
              <w:left w:val="nil"/>
              <w:bottom w:val="nil"/>
              <w:right w:val="nil"/>
            </w:tcBorders>
            <w:shd w:val="clear" w:color="auto" w:fill="auto"/>
            <w:vAlign w:val="center"/>
          </w:tcPr>
          <w:p w14:paraId="53FEA41E"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vAlign w:val="center"/>
          </w:tcPr>
          <w:p w14:paraId="6AEAE53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260" w:type="dxa"/>
            <w:tcBorders>
              <w:top w:val="nil"/>
              <w:left w:val="nil"/>
              <w:bottom w:val="nil"/>
              <w:right w:val="nil"/>
            </w:tcBorders>
            <w:shd w:val="clear" w:color="auto" w:fill="auto"/>
            <w:vAlign w:val="center"/>
          </w:tcPr>
          <w:p w14:paraId="50696D4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724AB5" w14:paraId="6D0229C6" w14:textId="77777777">
        <w:trPr>
          <w:trHeight w:val="20"/>
        </w:trPr>
        <w:tc>
          <w:tcPr>
            <w:tcW w:w="3420" w:type="dxa"/>
            <w:tcBorders>
              <w:top w:val="nil"/>
              <w:left w:val="nil"/>
              <w:bottom w:val="nil"/>
              <w:right w:val="nil"/>
            </w:tcBorders>
            <w:shd w:val="clear" w:color="auto" w:fill="auto"/>
            <w:vAlign w:val="center"/>
          </w:tcPr>
          <w:p w14:paraId="27B4EEC2"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Cardiopulmonary</w:t>
            </w:r>
          </w:p>
        </w:tc>
        <w:tc>
          <w:tcPr>
            <w:tcW w:w="1080" w:type="dxa"/>
            <w:tcBorders>
              <w:top w:val="nil"/>
              <w:left w:val="nil"/>
              <w:bottom w:val="nil"/>
              <w:right w:val="nil"/>
            </w:tcBorders>
            <w:shd w:val="clear" w:color="auto" w:fill="auto"/>
            <w:vAlign w:val="center"/>
          </w:tcPr>
          <w:p w14:paraId="63385307"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0" w:type="dxa"/>
            <w:tcBorders>
              <w:top w:val="nil"/>
              <w:left w:val="nil"/>
              <w:bottom w:val="nil"/>
              <w:right w:val="nil"/>
            </w:tcBorders>
            <w:shd w:val="clear" w:color="auto" w:fill="auto"/>
            <w:vAlign w:val="center"/>
          </w:tcPr>
          <w:p w14:paraId="02D6297C"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6479B8F8" w14:textId="77777777">
        <w:trPr>
          <w:trHeight w:val="20"/>
        </w:trPr>
        <w:tc>
          <w:tcPr>
            <w:tcW w:w="3420" w:type="dxa"/>
            <w:tcBorders>
              <w:top w:val="nil"/>
              <w:left w:val="nil"/>
              <w:bottom w:val="nil"/>
              <w:right w:val="nil"/>
            </w:tcBorders>
            <w:shd w:val="clear" w:color="auto" w:fill="auto"/>
            <w:vAlign w:val="center"/>
          </w:tcPr>
          <w:p w14:paraId="070985D3"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vAlign w:val="center"/>
          </w:tcPr>
          <w:p w14:paraId="135FA1A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168</w:t>
            </w:r>
          </w:p>
        </w:tc>
        <w:tc>
          <w:tcPr>
            <w:tcW w:w="1260" w:type="dxa"/>
            <w:tcBorders>
              <w:top w:val="nil"/>
              <w:left w:val="nil"/>
              <w:bottom w:val="nil"/>
              <w:right w:val="nil"/>
            </w:tcBorders>
            <w:shd w:val="clear" w:color="auto" w:fill="auto"/>
            <w:vAlign w:val="center"/>
          </w:tcPr>
          <w:p w14:paraId="56C87D3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w:t>
            </w:r>
          </w:p>
        </w:tc>
      </w:tr>
      <w:tr w:rsidR="00724AB5" w14:paraId="333AC388" w14:textId="77777777">
        <w:trPr>
          <w:trHeight w:val="20"/>
        </w:trPr>
        <w:tc>
          <w:tcPr>
            <w:tcW w:w="3420" w:type="dxa"/>
            <w:tcBorders>
              <w:top w:val="nil"/>
              <w:left w:val="nil"/>
              <w:bottom w:val="nil"/>
              <w:right w:val="nil"/>
            </w:tcBorders>
            <w:shd w:val="clear" w:color="auto" w:fill="auto"/>
            <w:vAlign w:val="center"/>
          </w:tcPr>
          <w:p w14:paraId="2CB9EF31"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Yes   </w:t>
            </w:r>
          </w:p>
        </w:tc>
        <w:tc>
          <w:tcPr>
            <w:tcW w:w="1080" w:type="dxa"/>
            <w:tcBorders>
              <w:top w:val="nil"/>
              <w:left w:val="nil"/>
              <w:bottom w:val="nil"/>
              <w:right w:val="nil"/>
            </w:tcBorders>
            <w:shd w:val="clear" w:color="auto" w:fill="auto"/>
            <w:vAlign w:val="center"/>
          </w:tcPr>
          <w:p w14:paraId="7419F04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w:t>
            </w:r>
          </w:p>
        </w:tc>
        <w:tc>
          <w:tcPr>
            <w:tcW w:w="1260" w:type="dxa"/>
            <w:tcBorders>
              <w:top w:val="nil"/>
              <w:left w:val="nil"/>
              <w:bottom w:val="nil"/>
              <w:right w:val="nil"/>
            </w:tcBorders>
            <w:shd w:val="clear" w:color="auto" w:fill="auto"/>
            <w:vAlign w:val="center"/>
          </w:tcPr>
          <w:p w14:paraId="2222FC6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r>
      <w:tr w:rsidR="00724AB5" w14:paraId="068F20F0" w14:textId="77777777">
        <w:trPr>
          <w:trHeight w:val="20"/>
        </w:trPr>
        <w:tc>
          <w:tcPr>
            <w:tcW w:w="3420" w:type="dxa"/>
            <w:tcBorders>
              <w:top w:val="nil"/>
              <w:left w:val="nil"/>
              <w:bottom w:val="nil"/>
              <w:right w:val="nil"/>
            </w:tcBorders>
            <w:shd w:val="clear" w:color="auto" w:fill="auto"/>
            <w:vAlign w:val="center"/>
          </w:tcPr>
          <w:p w14:paraId="706BFB64"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Other comorbidities</w:t>
            </w:r>
          </w:p>
        </w:tc>
        <w:tc>
          <w:tcPr>
            <w:tcW w:w="1080" w:type="dxa"/>
            <w:tcBorders>
              <w:top w:val="nil"/>
              <w:left w:val="nil"/>
              <w:bottom w:val="nil"/>
              <w:right w:val="nil"/>
            </w:tcBorders>
            <w:shd w:val="clear" w:color="auto" w:fill="auto"/>
            <w:vAlign w:val="center"/>
          </w:tcPr>
          <w:p w14:paraId="79981400"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0" w:type="dxa"/>
            <w:tcBorders>
              <w:top w:val="nil"/>
              <w:left w:val="nil"/>
              <w:bottom w:val="nil"/>
              <w:right w:val="nil"/>
            </w:tcBorders>
            <w:shd w:val="clear" w:color="auto" w:fill="auto"/>
            <w:vAlign w:val="center"/>
          </w:tcPr>
          <w:p w14:paraId="5A443AC3"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0449324F" w14:textId="77777777">
        <w:trPr>
          <w:trHeight w:val="20"/>
        </w:trPr>
        <w:tc>
          <w:tcPr>
            <w:tcW w:w="3420" w:type="dxa"/>
            <w:tcBorders>
              <w:top w:val="nil"/>
              <w:left w:val="nil"/>
              <w:bottom w:val="nil"/>
              <w:right w:val="nil"/>
            </w:tcBorders>
            <w:shd w:val="clear" w:color="auto" w:fill="auto"/>
            <w:vAlign w:val="center"/>
          </w:tcPr>
          <w:p w14:paraId="3BEF3F5A"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Asthma</w:t>
            </w:r>
          </w:p>
        </w:tc>
        <w:tc>
          <w:tcPr>
            <w:tcW w:w="1080" w:type="dxa"/>
            <w:tcBorders>
              <w:top w:val="nil"/>
              <w:left w:val="nil"/>
              <w:bottom w:val="nil"/>
              <w:right w:val="nil"/>
            </w:tcBorders>
            <w:shd w:val="clear" w:color="auto" w:fill="auto"/>
            <w:vAlign w:val="center"/>
          </w:tcPr>
          <w:p w14:paraId="645E20F5"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260" w:type="dxa"/>
            <w:tcBorders>
              <w:top w:val="nil"/>
              <w:left w:val="nil"/>
              <w:bottom w:val="nil"/>
              <w:right w:val="nil"/>
            </w:tcBorders>
            <w:shd w:val="clear" w:color="auto" w:fill="auto"/>
            <w:vAlign w:val="center"/>
          </w:tcPr>
          <w:p w14:paraId="0A2338D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w:t>
            </w:r>
          </w:p>
        </w:tc>
      </w:tr>
      <w:tr w:rsidR="00724AB5" w14:paraId="655CC3F6" w14:textId="77777777">
        <w:trPr>
          <w:trHeight w:val="20"/>
        </w:trPr>
        <w:tc>
          <w:tcPr>
            <w:tcW w:w="3420" w:type="dxa"/>
            <w:tcBorders>
              <w:top w:val="nil"/>
              <w:left w:val="nil"/>
              <w:bottom w:val="nil"/>
              <w:right w:val="nil"/>
            </w:tcBorders>
            <w:shd w:val="clear" w:color="auto" w:fill="auto"/>
            <w:vAlign w:val="center"/>
          </w:tcPr>
          <w:p w14:paraId="071BA0C6"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Ocular condition</w:t>
            </w:r>
          </w:p>
        </w:tc>
        <w:tc>
          <w:tcPr>
            <w:tcW w:w="1080" w:type="dxa"/>
            <w:tcBorders>
              <w:top w:val="nil"/>
              <w:left w:val="nil"/>
              <w:bottom w:val="nil"/>
              <w:right w:val="nil"/>
            </w:tcBorders>
            <w:shd w:val="clear" w:color="auto" w:fill="auto"/>
            <w:vAlign w:val="center"/>
          </w:tcPr>
          <w:p w14:paraId="49F3758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260" w:type="dxa"/>
            <w:tcBorders>
              <w:top w:val="nil"/>
              <w:left w:val="nil"/>
              <w:bottom w:val="nil"/>
              <w:right w:val="nil"/>
            </w:tcBorders>
            <w:shd w:val="clear" w:color="auto" w:fill="auto"/>
            <w:vAlign w:val="center"/>
          </w:tcPr>
          <w:p w14:paraId="1BF01B87"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w:t>
            </w:r>
          </w:p>
        </w:tc>
      </w:tr>
      <w:tr w:rsidR="00724AB5" w14:paraId="5673E52A" w14:textId="77777777">
        <w:trPr>
          <w:trHeight w:val="20"/>
        </w:trPr>
        <w:tc>
          <w:tcPr>
            <w:tcW w:w="3420" w:type="dxa"/>
            <w:tcBorders>
              <w:top w:val="nil"/>
              <w:left w:val="nil"/>
              <w:bottom w:val="nil"/>
              <w:right w:val="nil"/>
            </w:tcBorders>
            <w:shd w:val="clear" w:color="auto" w:fill="auto"/>
            <w:vAlign w:val="center"/>
          </w:tcPr>
          <w:p w14:paraId="32D69DDE"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Vascular epilepsy</w:t>
            </w:r>
          </w:p>
        </w:tc>
        <w:tc>
          <w:tcPr>
            <w:tcW w:w="1080" w:type="dxa"/>
            <w:tcBorders>
              <w:top w:val="nil"/>
              <w:left w:val="nil"/>
              <w:bottom w:val="nil"/>
              <w:right w:val="nil"/>
            </w:tcBorders>
            <w:shd w:val="clear" w:color="auto" w:fill="auto"/>
            <w:vAlign w:val="center"/>
          </w:tcPr>
          <w:p w14:paraId="6E731DE5"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260" w:type="dxa"/>
            <w:tcBorders>
              <w:top w:val="nil"/>
              <w:left w:val="nil"/>
              <w:bottom w:val="nil"/>
              <w:right w:val="nil"/>
            </w:tcBorders>
            <w:shd w:val="clear" w:color="auto" w:fill="auto"/>
            <w:vAlign w:val="center"/>
          </w:tcPr>
          <w:p w14:paraId="514EC8A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r>
      <w:tr w:rsidR="00724AB5" w14:paraId="27FA0E6C" w14:textId="77777777">
        <w:trPr>
          <w:trHeight w:val="20"/>
        </w:trPr>
        <w:tc>
          <w:tcPr>
            <w:tcW w:w="3420" w:type="dxa"/>
            <w:tcBorders>
              <w:top w:val="nil"/>
              <w:left w:val="nil"/>
              <w:bottom w:val="nil"/>
              <w:right w:val="nil"/>
            </w:tcBorders>
            <w:shd w:val="clear" w:color="auto" w:fill="auto"/>
            <w:vAlign w:val="center"/>
          </w:tcPr>
          <w:p w14:paraId="372B4ED4"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Psychomotor development retardation</w:t>
            </w:r>
          </w:p>
        </w:tc>
        <w:tc>
          <w:tcPr>
            <w:tcW w:w="1080" w:type="dxa"/>
            <w:tcBorders>
              <w:top w:val="nil"/>
              <w:left w:val="nil"/>
              <w:bottom w:val="nil"/>
              <w:right w:val="nil"/>
            </w:tcBorders>
            <w:shd w:val="clear" w:color="auto" w:fill="auto"/>
            <w:vAlign w:val="center"/>
          </w:tcPr>
          <w:p w14:paraId="137BFB4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260" w:type="dxa"/>
            <w:tcBorders>
              <w:top w:val="nil"/>
              <w:left w:val="nil"/>
              <w:bottom w:val="nil"/>
              <w:right w:val="nil"/>
            </w:tcBorders>
            <w:shd w:val="clear" w:color="auto" w:fill="auto"/>
            <w:vAlign w:val="center"/>
          </w:tcPr>
          <w:p w14:paraId="16647C1C"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r>
      <w:tr w:rsidR="00724AB5" w14:paraId="5C9F6EEA" w14:textId="77777777">
        <w:trPr>
          <w:trHeight w:val="20"/>
        </w:trPr>
        <w:tc>
          <w:tcPr>
            <w:tcW w:w="3420" w:type="dxa"/>
            <w:tcBorders>
              <w:top w:val="nil"/>
              <w:left w:val="nil"/>
              <w:bottom w:val="nil"/>
              <w:right w:val="nil"/>
            </w:tcBorders>
            <w:shd w:val="clear" w:color="auto" w:fill="auto"/>
            <w:vAlign w:val="center"/>
          </w:tcPr>
          <w:p w14:paraId="3F080D51"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Mitral valve regurgitation</w:t>
            </w:r>
          </w:p>
        </w:tc>
        <w:tc>
          <w:tcPr>
            <w:tcW w:w="1080" w:type="dxa"/>
            <w:tcBorders>
              <w:top w:val="nil"/>
              <w:left w:val="nil"/>
              <w:bottom w:val="nil"/>
              <w:right w:val="nil"/>
            </w:tcBorders>
            <w:shd w:val="clear" w:color="auto" w:fill="auto"/>
            <w:vAlign w:val="center"/>
          </w:tcPr>
          <w:p w14:paraId="32F3AC3A"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260" w:type="dxa"/>
            <w:tcBorders>
              <w:top w:val="nil"/>
              <w:left w:val="nil"/>
              <w:bottom w:val="nil"/>
              <w:right w:val="nil"/>
            </w:tcBorders>
            <w:shd w:val="clear" w:color="auto" w:fill="auto"/>
            <w:vAlign w:val="center"/>
          </w:tcPr>
          <w:p w14:paraId="4922F1B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r>
      <w:tr w:rsidR="00724AB5" w14:paraId="1E316010" w14:textId="77777777">
        <w:trPr>
          <w:trHeight w:val="20"/>
        </w:trPr>
        <w:tc>
          <w:tcPr>
            <w:tcW w:w="3420" w:type="dxa"/>
            <w:tcBorders>
              <w:top w:val="nil"/>
              <w:left w:val="nil"/>
              <w:right w:val="nil"/>
            </w:tcBorders>
            <w:shd w:val="clear" w:color="auto" w:fill="auto"/>
            <w:vAlign w:val="center"/>
          </w:tcPr>
          <w:p w14:paraId="6B6EEFC1"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HIV</w:t>
            </w:r>
          </w:p>
        </w:tc>
        <w:tc>
          <w:tcPr>
            <w:tcW w:w="1080" w:type="dxa"/>
            <w:tcBorders>
              <w:top w:val="nil"/>
              <w:left w:val="nil"/>
              <w:right w:val="nil"/>
            </w:tcBorders>
            <w:shd w:val="clear" w:color="auto" w:fill="auto"/>
            <w:vAlign w:val="center"/>
          </w:tcPr>
          <w:p w14:paraId="19F0BCC5"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260" w:type="dxa"/>
            <w:tcBorders>
              <w:top w:val="nil"/>
              <w:left w:val="nil"/>
              <w:right w:val="nil"/>
            </w:tcBorders>
            <w:shd w:val="clear" w:color="auto" w:fill="auto"/>
            <w:vAlign w:val="center"/>
          </w:tcPr>
          <w:p w14:paraId="43869C9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r>
      <w:tr w:rsidR="00724AB5" w14:paraId="308144E3" w14:textId="77777777">
        <w:trPr>
          <w:trHeight w:val="20"/>
        </w:trPr>
        <w:tc>
          <w:tcPr>
            <w:tcW w:w="3420" w:type="dxa"/>
            <w:tcBorders>
              <w:left w:val="nil"/>
              <w:right w:val="nil"/>
            </w:tcBorders>
            <w:shd w:val="clear" w:color="auto" w:fill="auto"/>
            <w:vAlign w:val="center"/>
          </w:tcPr>
          <w:p w14:paraId="673F032D"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Hospitalizations </w:t>
            </w:r>
            <w:r>
              <w:rPr>
                <w:rFonts w:ascii="Times New Roman" w:eastAsia="Times New Roman" w:hAnsi="Times New Roman" w:cs="Times New Roman"/>
                <w:b/>
                <w:color w:val="000000"/>
                <w:sz w:val="18"/>
                <w:szCs w:val="18"/>
                <w:vertAlign w:val="superscript"/>
              </w:rPr>
              <w:t>c</w:t>
            </w:r>
          </w:p>
        </w:tc>
        <w:tc>
          <w:tcPr>
            <w:tcW w:w="1080" w:type="dxa"/>
            <w:tcBorders>
              <w:left w:val="nil"/>
              <w:right w:val="nil"/>
            </w:tcBorders>
            <w:shd w:val="clear" w:color="auto" w:fill="auto"/>
            <w:vAlign w:val="center"/>
          </w:tcPr>
          <w:p w14:paraId="7769CC7B"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0" w:type="dxa"/>
            <w:tcBorders>
              <w:left w:val="nil"/>
              <w:right w:val="nil"/>
            </w:tcBorders>
            <w:shd w:val="clear" w:color="auto" w:fill="auto"/>
            <w:vAlign w:val="center"/>
          </w:tcPr>
          <w:p w14:paraId="30D6838B"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7ABE77B1" w14:textId="77777777">
        <w:trPr>
          <w:trHeight w:val="20"/>
        </w:trPr>
        <w:tc>
          <w:tcPr>
            <w:tcW w:w="3420" w:type="dxa"/>
            <w:tcBorders>
              <w:left w:val="nil"/>
              <w:right w:val="nil"/>
            </w:tcBorders>
            <w:shd w:val="clear" w:color="auto" w:fill="auto"/>
            <w:vAlign w:val="center"/>
          </w:tcPr>
          <w:p w14:paraId="6A3C86B0"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Zero</w:t>
            </w:r>
          </w:p>
        </w:tc>
        <w:tc>
          <w:tcPr>
            <w:tcW w:w="1080" w:type="dxa"/>
            <w:tcBorders>
              <w:left w:val="nil"/>
              <w:right w:val="nil"/>
            </w:tcBorders>
            <w:shd w:val="clear" w:color="auto" w:fill="auto"/>
            <w:vAlign w:val="center"/>
          </w:tcPr>
          <w:p w14:paraId="2F08000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49</w:t>
            </w:r>
          </w:p>
        </w:tc>
        <w:tc>
          <w:tcPr>
            <w:tcW w:w="1260" w:type="dxa"/>
            <w:tcBorders>
              <w:left w:val="nil"/>
              <w:right w:val="nil"/>
            </w:tcBorders>
            <w:shd w:val="clear" w:color="auto" w:fill="auto"/>
            <w:vAlign w:val="center"/>
          </w:tcPr>
          <w:p w14:paraId="60F6E510"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w:t>
            </w:r>
          </w:p>
        </w:tc>
      </w:tr>
      <w:tr w:rsidR="00724AB5" w14:paraId="74936C97" w14:textId="77777777">
        <w:trPr>
          <w:trHeight w:val="20"/>
        </w:trPr>
        <w:tc>
          <w:tcPr>
            <w:tcW w:w="3420" w:type="dxa"/>
            <w:tcBorders>
              <w:left w:val="nil"/>
              <w:right w:val="nil"/>
            </w:tcBorders>
            <w:shd w:val="clear" w:color="auto" w:fill="auto"/>
            <w:vAlign w:val="center"/>
          </w:tcPr>
          <w:p w14:paraId="7802BC2E"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080" w:type="dxa"/>
            <w:tcBorders>
              <w:left w:val="nil"/>
              <w:right w:val="nil"/>
            </w:tcBorders>
            <w:shd w:val="clear" w:color="auto" w:fill="auto"/>
            <w:vAlign w:val="center"/>
          </w:tcPr>
          <w:p w14:paraId="1BFA2CB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111</w:t>
            </w:r>
          </w:p>
        </w:tc>
        <w:tc>
          <w:tcPr>
            <w:tcW w:w="1260" w:type="dxa"/>
            <w:tcBorders>
              <w:left w:val="nil"/>
              <w:right w:val="nil"/>
            </w:tcBorders>
            <w:shd w:val="clear" w:color="auto" w:fill="auto"/>
            <w:vAlign w:val="center"/>
          </w:tcPr>
          <w:p w14:paraId="679259F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w:t>
            </w:r>
          </w:p>
        </w:tc>
      </w:tr>
      <w:tr w:rsidR="00724AB5" w14:paraId="5AB4933E" w14:textId="77777777">
        <w:trPr>
          <w:trHeight w:val="20"/>
        </w:trPr>
        <w:tc>
          <w:tcPr>
            <w:tcW w:w="3420" w:type="dxa"/>
            <w:tcBorders>
              <w:left w:val="nil"/>
              <w:right w:val="nil"/>
            </w:tcBorders>
            <w:shd w:val="clear" w:color="auto" w:fill="auto"/>
            <w:vAlign w:val="center"/>
          </w:tcPr>
          <w:p w14:paraId="56B9DEB5"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&gt;3</w:t>
            </w:r>
          </w:p>
        </w:tc>
        <w:tc>
          <w:tcPr>
            <w:tcW w:w="1080" w:type="dxa"/>
            <w:tcBorders>
              <w:left w:val="nil"/>
              <w:right w:val="nil"/>
            </w:tcBorders>
            <w:shd w:val="clear" w:color="auto" w:fill="auto"/>
            <w:vAlign w:val="center"/>
          </w:tcPr>
          <w:p w14:paraId="33A1975A"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w:t>
            </w:r>
          </w:p>
        </w:tc>
        <w:tc>
          <w:tcPr>
            <w:tcW w:w="1260" w:type="dxa"/>
            <w:tcBorders>
              <w:left w:val="nil"/>
              <w:right w:val="nil"/>
            </w:tcBorders>
            <w:shd w:val="clear" w:color="auto" w:fill="auto"/>
            <w:vAlign w:val="center"/>
          </w:tcPr>
          <w:p w14:paraId="59382A1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r>
      <w:tr w:rsidR="00724AB5" w14:paraId="2F548D1A" w14:textId="77777777">
        <w:trPr>
          <w:trHeight w:val="20"/>
        </w:trPr>
        <w:tc>
          <w:tcPr>
            <w:tcW w:w="3420" w:type="dxa"/>
            <w:tcBorders>
              <w:left w:val="nil"/>
              <w:right w:val="nil"/>
            </w:tcBorders>
            <w:shd w:val="clear" w:color="auto" w:fill="auto"/>
            <w:vAlign w:val="center"/>
          </w:tcPr>
          <w:p w14:paraId="5C81A343" w14:textId="455160C5"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Painful episode</w:t>
            </w:r>
            <w:r w:rsidR="00A65BE2">
              <w:rPr>
                <w:rFonts w:ascii="Times New Roman" w:eastAsia="Times New Roman" w:hAnsi="Times New Roman" w:cs="Times New Roman"/>
                <w:color w:val="000000"/>
                <w:sz w:val="18"/>
                <w:szCs w:val="18"/>
              </w:rPr>
              <w:t>s</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color w:val="000000"/>
                <w:sz w:val="18"/>
                <w:szCs w:val="18"/>
                <w:vertAlign w:val="superscript"/>
              </w:rPr>
              <w:t>d</w:t>
            </w:r>
          </w:p>
        </w:tc>
        <w:tc>
          <w:tcPr>
            <w:tcW w:w="1080" w:type="dxa"/>
            <w:tcBorders>
              <w:left w:val="nil"/>
              <w:right w:val="nil"/>
            </w:tcBorders>
            <w:shd w:val="clear" w:color="auto" w:fill="auto"/>
            <w:vAlign w:val="center"/>
          </w:tcPr>
          <w:p w14:paraId="74613733"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0" w:type="dxa"/>
            <w:tcBorders>
              <w:left w:val="nil"/>
              <w:right w:val="nil"/>
            </w:tcBorders>
            <w:shd w:val="clear" w:color="auto" w:fill="auto"/>
            <w:vAlign w:val="center"/>
          </w:tcPr>
          <w:p w14:paraId="508F9504"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069AC982" w14:textId="77777777">
        <w:trPr>
          <w:trHeight w:val="20"/>
        </w:trPr>
        <w:tc>
          <w:tcPr>
            <w:tcW w:w="3420" w:type="dxa"/>
            <w:tcBorders>
              <w:left w:val="nil"/>
              <w:right w:val="nil"/>
            </w:tcBorders>
            <w:shd w:val="clear" w:color="auto" w:fill="auto"/>
            <w:vAlign w:val="center"/>
          </w:tcPr>
          <w:p w14:paraId="59B5DF55"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w:t>
            </w:r>
          </w:p>
        </w:tc>
        <w:tc>
          <w:tcPr>
            <w:tcW w:w="1080" w:type="dxa"/>
            <w:tcBorders>
              <w:left w:val="nil"/>
              <w:right w:val="nil"/>
            </w:tcBorders>
            <w:shd w:val="clear" w:color="auto" w:fill="auto"/>
            <w:vAlign w:val="center"/>
          </w:tcPr>
          <w:p w14:paraId="3145A54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68</w:t>
            </w:r>
          </w:p>
        </w:tc>
        <w:tc>
          <w:tcPr>
            <w:tcW w:w="1260" w:type="dxa"/>
            <w:tcBorders>
              <w:left w:val="nil"/>
              <w:right w:val="nil"/>
            </w:tcBorders>
            <w:shd w:val="clear" w:color="auto" w:fill="auto"/>
            <w:vAlign w:val="center"/>
          </w:tcPr>
          <w:p w14:paraId="57E1A599"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w:t>
            </w:r>
          </w:p>
        </w:tc>
      </w:tr>
      <w:tr w:rsidR="00724AB5" w14:paraId="0F9B02E0" w14:textId="77777777">
        <w:trPr>
          <w:trHeight w:val="20"/>
        </w:trPr>
        <w:tc>
          <w:tcPr>
            <w:tcW w:w="3420" w:type="dxa"/>
            <w:tcBorders>
              <w:left w:val="nil"/>
              <w:right w:val="nil"/>
            </w:tcBorders>
            <w:shd w:val="clear" w:color="auto" w:fill="auto"/>
            <w:vAlign w:val="center"/>
          </w:tcPr>
          <w:p w14:paraId="7B313B6B"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w:t>
            </w:r>
          </w:p>
        </w:tc>
        <w:tc>
          <w:tcPr>
            <w:tcW w:w="1080" w:type="dxa"/>
            <w:tcBorders>
              <w:left w:val="nil"/>
              <w:right w:val="nil"/>
            </w:tcBorders>
            <w:shd w:val="clear" w:color="auto" w:fill="auto"/>
            <w:vAlign w:val="center"/>
          </w:tcPr>
          <w:p w14:paraId="2AC164B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w:t>
            </w:r>
          </w:p>
        </w:tc>
        <w:tc>
          <w:tcPr>
            <w:tcW w:w="1260" w:type="dxa"/>
            <w:tcBorders>
              <w:left w:val="nil"/>
              <w:right w:val="nil"/>
            </w:tcBorders>
            <w:shd w:val="clear" w:color="auto" w:fill="auto"/>
            <w:vAlign w:val="center"/>
          </w:tcPr>
          <w:p w14:paraId="5842A40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w:t>
            </w:r>
          </w:p>
        </w:tc>
      </w:tr>
      <w:tr w:rsidR="00724AB5" w14:paraId="4DA2CD28" w14:textId="77777777">
        <w:trPr>
          <w:trHeight w:val="20"/>
        </w:trPr>
        <w:tc>
          <w:tcPr>
            <w:tcW w:w="3420" w:type="dxa"/>
            <w:tcBorders>
              <w:left w:val="nil"/>
              <w:right w:val="nil"/>
            </w:tcBorders>
            <w:shd w:val="clear" w:color="auto" w:fill="auto"/>
            <w:vAlign w:val="center"/>
          </w:tcPr>
          <w:p w14:paraId="48CA018C"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&gt;3</w:t>
            </w:r>
          </w:p>
        </w:tc>
        <w:tc>
          <w:tcPr>
            <w:tcW w:w="1080" w:type="dxa"/>
            <w:tcBorders>
              <w:left w:val="nil"/>
              <w:right w:val="nil"/>
            </w:tcBorders>
            <w:shd w:val="clear" w:color="auto" w:fill="auto"/>
            <w:vAlign w:val="center"/>
          </w:tcPr>
          <w:p w14:paraId="08AA3E37"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w:t>
            </w:r>
          </w:p>
        </w:tc>
        <w:tc>
          <w:tcPr>
            <w:tcW w:w="1260" w:type="dxa"/>
            <w:tcBorders>
              <w:left w:val="nil"/>
              <w:right w:val="nil"/>
            </w:tcBorders>
            <w:shd w:val="clear" w:color="auto" w:fill="auto"/>
            <w:vAlign w:val="center"/>
          </w:tcPr>
          <w:p w14:paraId="06217C1B"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r w:rsidR="00724AB5" w14:paraId="0D616C44" w14:textId="77777777">
        <w:trPr>
          <w:trHeight w:val="20"/>
        </w:trPr>
        <w:tc>
          <w:tcPr>
            <w:tcW w:w="3420" w:type="dxa"/>
            <w:tcBorders>
              <w:left w:val="nil"/>
              <w:right w:val="nil"/>
            </w:tcBorders>
            <w:shd w:val="clear" w:color="auto" w:fill="auto"/>
            <w:vAlign w:val="center"/>
          </w:tcPr>
          <w:p w14:paraId="79A55DF4"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Transfusions </w:t>
            </w:r>
            <w:r>
              <w:rPr>
                <w:rFonts w:ascii="Times New Roman" w:eastAsia="Times New Roman" w:hAnsi="Times New Roman" w:cs="Times New Roman"/>
                <w:b/>
                <w:color w:val="000000"/>
                <w:sz w:val="18"/>
                <w:szCs w:val="18"/>
                <w:vertAlign w:val="superscript"/>
              </w:rPr>
              <w:t>c</w:t>
            </w:r>
          </w:p>
        </w:tc>
        <w:tc>
          <w:tcPr>
            <w:tcW w:w="1080" w:type="dxa"/>
            <w:tcBorders>
              <w:left w:val="nil"/>
              <w:right w:val="nil"/>
            </w:tcBorders>
            <w:shd w:val="clear" w:color="auto" w:fill="auto"/>
            <w:vAlign w:val="center"/>
          </w:tcPr>
          <w:p w14:paraId="58126575"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0" w:type="dxa"/>
            <w:tcBorders>
              <w:left w:val="nil"/>
              <w:right w:val="nil"/>
            </w:tcBorders>
            <w:shd w:val="clear" w:color="auto" w:fill="auto"/>
            <w:vAlign w:val="center"/>
          </w:tcPr>
          <w:p w14:paraId="54CB113E"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12322C19" w14:textId="77777777">
        <w:trPr>
          <w:trHeight w:val="20"/>
        </w:trPr>
        <w:tc>
          <w:tcPr>
            <w:tcW w:w="3420" w:type="dxa"/>
            <w:tcBorders>
              <w:left w:val="nil"/>
              <w:right w:val="nil"/>
            </w:tcBorders>
            <w:shd w:val="clear" w:color="auto" w:fill="auto"/>
            <w:vAlign w:val="center"/>
          </w:tcPr>
          <w:p w14:paraId="6D832007"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Zero</w:t>
            </w:r>
          </w:p>
        </w:tc>
        <w:tc>
          <w:tcPr>
            <w:tcW w:w="1080" w:type="dxa"/>
            <w:tcBorders>
              <w:left w:val="nil"/>
              <w:right w:val="nil"/>
            </w:tcBorders>
            <w:shd w:val="clear" w:color="auto" w:fill="auto"/>
            <w:vAlign w:val="center"/>
          </w:tcPr>
          <w:p w14:paraId="5A7096A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59</w:t>
            </w:r>
          </w:p>
        </w:tc>
        <w:tc>
          <w:tcPr>
            <w:tcW w:w="1260" w:type="dxa"/>
            <w:tcBorders>
              <w:left w:val="nil"/>
              <w:right w:val="nil"/>
            </w:tcBorders>
            <w:shd w:val="clear" w:color="auto" w:fill="auto"/>
            <w:vAlign w:val="center"/>
          </w:tcPr>
          <w:p w14:paraId="2C4FF33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51</w:t>
            </w:r>
          </w:p>
        </w:tc>
      </w:tr>
      <w:tr w:rsidR="00724AB5" w14:paraId="2B80A956" w14:textId="77777777">
        <w:trPr>
          <w:trHeight w:val="20"/>
        </w:trPr>
        <w:tc>
          <w:tcPr>
            <w:tcW w:w="3420" w:type="dxa"/>
            <w:tcBorders>
              <w:left w:val="nil"/>
              <w:right w:val="nil"/>
            </w:tcBorders>
            <w:shd w:val="clear" w:color="auto" w:fill="auto"/>
            <w:vAlign w:val="center"/>
          </w:tcPr>
          <w:p w14:paraId="29D26784"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080" w:type="dxa"/>
            <w:tcBorders>
              <w:left w:val="nil"/>
              <w:right w:val="nil"/>
            </w:tcBorders>
            <w:shd w:val="clear" w:color="auto" w:fill="auto"/>
            <w:vAlign w:val="center"/>
          </w:tcPr>
          <w:p w14:paraId="07DA01C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53</w:t>
            </w:r>
          </w:p>
        </w:tc>
        <w:tc>
          <w:tcPr>
            <w:tcW w:w="1260" w:type="dxa"/>
            <w:tcBorders>
              <w:left w:val="nil"/>
              <w:right w:val="nil"/>
            </w:tcBorders>
            <w:shd w:val="clear" w:color="auto" w:fill="auto"/>
            <w:vAlign w:val="center"/>
          </w:tcPr>
          <w:p w14:paraId="51830C6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w:t>
            </w:r>
          </w:p>
        </w:tc>
      </w:tr>
      <w:tr w:rsidR="00724AB5" w14:paraId="570FF85E" w14:textId="77777777">
        <w:trPr>
          <w:trHeight w:val="20"/>
        </w:trPr>
        <w:tc>
          <w:tcPr>
            <w:tcW w:w="3420" w:type="dxa"/>
            <w:tcBorders>
              <w:left w:val="nil"/>
              <w:right w:val="nil"/>
            </w:tcBorders>
            <w:shd w:val="clear" w:color="auto" w:fill="auto"/>
            <w:vAlign w:val="center"/>
          </w:tcPr>
          <w:p w14:paraId="01ED05C3"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w:t>
            </w:r>
          </w:p>
        </w:tc>
        <w:tc>
          <w:tcPr>
            <w:tcW w:w="1080" w:type="dxa"/>
            <w:tcBorders>
              <w:left w:val="nil"/>
              <w:right w:val="nil"/>
            </w:tcBorders>
            <w:shd w:val="clear" w:color="auto" w:fill="auto"/>
            <w:vAlign w:val="center"/>
          </w:tcPr>
          <w:p w14:paraId="7D02C22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c>
          <w:tcPr>
            <w:tcW w:w="1260" w:type="dxa"/>
            <w:tcBorders>
              <w:left w:val="nil"/>
              <w:right w:val="nil"/>
            </w:tcBorders>
            <w:shd w:val="clear" w:color="auto" w:fill="auto"/>
            <w:vAlign w:val="center"/>
          </w:tcPr>
          <w:p w14:paraId="6DE075B1"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r>
      <w:tr w:rsidR="00724AB5" w14:paraId="3871B5AE" w14:textId="77777777">
        <w:trPr>
          <w:trHeight w:val="20"/>
        </w:trPr>
        <w:tc>
          <w:tcPr>
            <w:tcW w:w="3420" w:type="dxa"/>
            <w:tcBorders>
              <w:left w:val="nil"/>
              <w:right w:val="nil"/>
            </w:tcBorders>
            <w:shd w:val="clear" w:color="auto" w:fill="auto"/>
            <w:vAlign w:val="center"/>
          </w:tcPr>
          <w:p w14:paraId="1AB80BBD"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5-6</w:t>
            </w:r>
          </w:p>
        </w:tc>
        <w:tc>
          <w:tcPr>
            <w:tcW w:w="1080" w:type="dxa"/>
            <w:tcBorders>
              <w:left w:val="nil"/>
              <w:right w:val="nil"/>
            </w:tcBorders>
            <w:shd w:val="clear" w:color="auto" w:fill="auto"/>
            <w:vAlign w:val="center"/>
          </w:tcPr>
          <w:p w14:paraId="21A7001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260" w:type="dxa"/>
            <w:tcBorders>
              <w:left w:val="nil"/>
              <w:right w:val="nil"/>
            </w:tcBorders>
            <w:shd w:val="clear" w:color="auto" w:fill="auto"/>
            <w:vAlign w:val="center"/>
          </w:tcPr>
          <w:p w14:paraId="1EBC4A0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r>
      <w:tr w:rsidR="00724AB5" w14:paraId="020FAE52" w14:textId="77777777">
        <w:trPr>
          <w:trHeight w:val="20"/>
        </w:trPr>
        <w:tc>
          <w:tcPr>
            <w:tcW w:w="3420" w:type="dxa"/>
            <w:tcBorders>
              <w:left w:val="nil"/>
              <w:bottom w:val="single" w:sz="8" w:space="0" w:color="000000"/>
              <w:right w:val="nil"/>
            </w:tcBorders>
            <w:shd w:val="clear" w:color="auto" w:fill="auto"/>
            <w:vAlign w:val="center"/>
          </w:tcPr>
          <w:p w14:paraId="7D53AFB2"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&gt;6</w:t>
            </w:r>
          </w:p>
        </w:tc>
        <w:tc>
          <w:tcPr>
            <w:tcW w:w="1080" w:type="dxa"/>
            <w:tcBorders>
              <w:left w:val="nil"/>
              <w:bottom w:val="single" w:sz="8" w:space="0" w:color="000000"/>
              <w:right w:val="nil"/>
            </w:tcBorders>
            <w:shd w:val="clear" w:color="auto" w:fill="auto"/>
            <w:vAlign w:val="center"/>
          </w:tcPr>
          <w:p w14:paraId="0E88378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260" w:type="dxa"/>
            <w:tcBorders>
              <w:left w:val="nil"/>
              <w:bottom w:val="single" w:sz="8" w:space="0" w:color="000000"/>
              <w:right w:val="nil"/>
            </w:tcBorders>
            <w:shd w:val="clear" w:color="auto" w:fill="auto"/>
            <w:vAlign w:val="center"/>
          </w:tcPr>
          <w:p w14:paraId="1AC7E7A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724AB5" w14:paraId="4677EE96" w14:textId="77777777">
        <w:trPr>
          <w:trHeight w:val="540"/>
        </w:trPr>
        <w:tc>
          <w:tcPr>
            <w:tcW w:w="5760" w:type="dxa"/>
            <w:gridSpan w:val="3"/>
            <w:tcBorders>
              <w:top w:val="single" w:sz="8" w:space="0" w:color="000000"/>
              <w:left w:val="nil"/>
              <w:right w:val="nil"/>
            </w:tcBorders>
            <w:shd w:val="clear" w:color="auto" w:fill="auto"/>
            <w:vAlign w:val="center"/>
          </w:tcPr>
          <w:p w14:paraId="2E9F246E"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vertAlign w:val="superscript"/>
              </w:rPr>
              <w:t>a</w:t>
            </w:r>
            <w:r>
              <w:rPr>
                <w:rFonts w:ascii="Times New Roman" w:eastAsia="Times New Roman" w:hAnsi="Times New Roman" w:cs="Times New Roman"/>
                <w:color w:val="000000"/>
                <w:sz w:val="18"/>
                <w:szCs w:val="18"/>
              </w:rPr>
              <w:t xml:space="preserve"> Symptoms and diagnosis with a single case: Angina, Dysphagia, Gynecomastia, chronic Sciatica, Osteitis, Priapism, Supraclavicular Swollen Lymph and Tachycardia.</w:t>
            </w:r>
          </w:p>
          <w:p w14:paraId="2A4562FC"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vertAlign w:val="superscript"/>
              </w:rPr>
              <w:t xml:space="preserve">b </w:t>
            </w:r>
            <w:r>
              <w:rPr>
                <w:rFonts w:ascii="Times New Roman" w:eastAsia="Times New Roman" w:hAnsi="Times New Roman" w:cs="Times New Roman"/>
                <w:color w:val="000000"/>
                <w:sz w:val="18"/>
                <w:szCs w:val="18"/>
              </w:rPr>
              <w:t>Infections with a single case: Helicobacter pylori, Osteomyelitis, Otitis, Salmonellosis and</w:t>
            </w:r>
            <w:r>
              <w:rPr>
                <w:rFonts w:ascii="Times New Roman" w:eastAsia="Times New Roman" w:hAnsi="Times New Roman" w:cs="Times New Roman"/>
                <w:color w:val="000000"/>
                <w:sz w:val="18"/>
                <w:szCs w:val="18"/>
              </w:rPr>
              <w:t xml:space="preserve"> Tonsillitis.</w:t>
            </w:r>
          </w:p>
          <w:p w14:paraId="42F331EB"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vertAlign w:val="superscript"/>
              </w:rPr>
              <w:t>c</w:t>
            </w:r>
            <w:r>
              <w:rPr>
                <w:rFonts w:ascii="Times New Roman" w:eastAsia="Times New Roman" w:hAnsi="Times New Roman" w:cs="Times New Roman"/>
                <w:color w:val="000000"/>
                <w:sz w:val="18"/>
                <w:szCs w:val="18"/>
              </w:rPr>
              <w:t xml:space="preserve"> Number of hospitalizations and transfusions during the past 12 months preceding hospitalization.</w:t>
            </w:r>
          </w:p>
          <w:p w14:paraId="06CECC15"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vertAlign w:val="superscript"/>
              </w:rPr>
              <w:t>d</w:t>
            </w:r>
            <w:r>
              <w:rPr>
                <w:rFonts w:ascii="Times New Roman" w:eastAsia="Times New Roman" w:hAnsi="Times New Roman" w:cs="Times New Roman"/>
                <w:color w:val="000000"/>
                <w:sz w:val="18"/>
                <w:szCs w:val="18"/>
              </w:rPr>
              <w:t xml:space="preserve"> Number of mild to severe painful episodes over the past three months preceding enrollment.</w:t>
            </w:r>
          </w:p>
        </w:tc>
      </w:tr>
    </w:tbl>
    <w:p w14:paraId="0208C9BC" w14:textId="77777777" w:rsidR="00724AB5" w:rsidRDefault="00724AB5">
      <w:pPr>
        <w:spacing w:after="0" w:line="240" w:lineRule="auto"/>
        <w:jc w:val="both"/>
        <w:rPr>
          <w:rFonts w:ascii="Times New Roman" w:eastAsia="Times New Roman" w:hAnsi="Times New Roman" w:cs="Times New Roman"/>
          <w:sz w:val="24"/>
          <w:szCs w:val="24"/>
        </w:rPr>
      </w:pPr>
    </w:p>
    <w:p w14:paraId="262FF196" w14:textId="44118FFA"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identified two clusters of sickle cell patien</w:t>
      </w:r>
      <w:r>
        <w:rPr>
          <w:rFonts w:ascii="Times New Roman" w:eastAsia="Times New Roman" w:hAnsi="Times New Roman" w:cs="Times New Roman"/>
          <w:sz w:val="24"/>
          <w:szCs w:val="24"/>
        </w:rPr>
        <w:t xml:space="preserve">ts in the Centre region of Cameroon based on the predefined clinical characteristics, as described in the Methods section (Table 1), which we referred to as Cluster 1 and Cluster 2. Cluster 1 comprised 56 patients, while Cluster </w:t>
      </w:r>
      <w:r>
        <w:rPr>
          <w:rFonts w:ascii="Times New Roman" w:eastAsia="Times New Roman" w:hAnsi="Times New Roman" w:cs="Times New Roman"/>
          <w:sz w:val="24"/>
          <w:szCs w:val="24"/>
        </w:rPr>
        <w:lastRenderedPageBreak/>
        <w:t>2 included</w:t>
      </w:r>
      <w:r w:rsidR="005E7F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129 patients, ap</w:t>
      </w:r>
      <w:r>
        <w:rPr>
          <w:rFonts w:ascii="Times New Roman" w:eastAsia="Times New Roman" w:hAnsi="Times New Roman" w:cs="Times New Roman"/>
          <w:sz w:val="24"/>
          <w:szCs w:val="24"/>
        </w:rPr>
        <w:t>proximately 50% of whom were aged 17 or younger. The odds of being classified in Cluster 2 (compared to Cluster 1) were significantly lower</w:t>
      </w:r>
      <w:r w:rsidR="00634D08">
        <w:rPr>
          <w:rFonts w:ascii="Times New Roman" w:eastAsia="Times New Roman" w:hAnsi="Times New Roman" w:cs="Times New Roman"/>
          <w:sz w:val="24"/>
          <w:szCs w:val="24"/>
        </w:rPr>
        <w:t xml:space="preserve"> </w:t>
      </w:r>
      <w:bookmarkStart w:id="15" w:name="_Hlk204658151"/>
      <w:r w:rsidR="00634D08">
        <w:rPr>
          <w:rFonts w:ascii="Times New Roman" w:eastAsia="Times New Roman" w:hAnsi="Times New Roman" w:cs="Times New Roman"/>
          <w:sz w:val="24"/>
          <w:szCs w:val="24"/>
        </w:rPr>
        <w:t xml:space="preserve">with each additional </w:t>
      </w:r>
      <w:bookmarkEnd w:id="15"/>
      <w:r>
        <w:rPr>
          <w:rFonts w:ascii="Times New Roman" w:eastAsia="Times New Roman" w:hAnsi="Times New Roman" w:cs="Times New Roman"/>
          <w:sz w:val="24"/>
          <w:szCs w:val="24"/>
        </w:rPr>
        <w:t xml:space="preserve">hospitalization per year (OR 0.45, 95% CI 0.34−0.58,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&lt;.001), transfusion units per year (OR 0.37, 95% CI 0.26−0.48,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&lt;.001)</w:t>
      </w:r>
      <w:r w:rsidR="007867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mild to severe painful episodes</w:t>
      </w:r>
      <w:r w:rsidR="007867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0.27, 95% CI 0.17−0.39,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&lt;.001). The clusters also exhibited significant differences in the proportion of patients reporting severe pain (70% in</w:t>
      </w:r>
      <w:r>
        <w:rPr>
          <w:rFonts w:ascii="Times New Roman" w:eastAsia="Times New Roman" w:hAnsi="Times New Roman" w:cs="Times New Roman"/>
          <w:sz w:val="24"/>
          <w:szCs w:val="24"/>
        </w:rPr>
        <w:t xml:space="preserve"> Cluster 1 vs. 50% in Cluster 2; </w:t>
      </w:r>
      <w:r>
        <w:rPr>
          <w:rFonts w:ascii="Times New Roman" w:eastAsia="Times New Roman" w:hAnsi="Times New Roman" w:cs="Times New Roman"/>
          <w:i/>
          <w:sz w:val="24"/>
          <w:szCs w:val="24"/>
        </w:rPr>
        <w:t>Z</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=7.93,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=.005) and cough (11% in Cluster 1 vs. 31% in Cluster 2; </w:t>
      </w:r>
      <w:r>
        <w:rPr>
          <w:rFonts w:ascii="Times New Roman" w:eastAsia="Times New Roman" w:hAnsi="Times New Roman" w:cs="Times New Roman"/>
          <w:i/>
          <w:sz w:val="24"/>
          <w:szCs w:val="24"/>
        </w:rPr>
        <w:t>Z</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=7.56,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=.006) (see supplemental Table S3 and Figure S1). Notably, the clusters exhibited overlap in terms of common symptoms and</w:t>
      </w:r>
      <w:r w:rsidR="005E7F2C">
        <w:rPr>
          <w:rFonts w:ascii="Times New Roman" w:eastAsia="Times New Roman" w:hAnsi="Times New Roman" w:cs="Times New Roman"/>
          <w:sz w:val="24"/>
          <w:szCs w:val="24"/>
        </w:rPr>
        <w:t xml:space="preserve"> most</w:t>
      </w:r>
      <w:r>
        <w:rPr>
          <w:rFonts w:ascii="Times New Roman" w:eastAsia="Times New Roman" w:hAnsi="Times New Roman" w:cs="Times New Roman"/>
          <w:sz w:val="24"/>
          <w:szCs w:val="24"/>
        </w:rPr>
        <w:t xml:space="preserve"> sickle related co</w:t>
      </w:r>
      <w:r>
        <w:rPr>
          <w:rFonts w:ascii="Times New Roman" w:eastAsia="Times New Roman" w:hAnsi="Times New Roman" w:cs="Times New Roman"/>
          <w:sz w:val="24"/>
          <w:szCs w:val="24"/>
        </w:rPr>
        <w:t>mplications (Figure 4).</w:t>
      </w:r>
    </w:p>
    <w:p w14:paraId="1853DB7E" w14:textId="1030A7AC" w:rsidR="00724AB5" w:rsidRDefault="006E3FA5">
      <w:pPr>
        <w:keepNext/>
        <w:spacing w:after="0" w:line="240" w:lineRule="auto"/>
        <w:jc w:val="both"/>
      </w:pPr>
      <w:r>
        <w:rPr>
          <w:noProof/>
        </w:rPr>
        <w:drawing>
          <wp:inline distT="0" distB="0" distL="0" distR="0" wp14:anchorId="359D3752" wp14:editId="179A7871">
            <wp:extent cx="5765800" cy="1994535"/>
            <wp:effectExtent l="0" t="0" r="6350" b="5715"/>
            <wp:docPr id="12046622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62266" name="Picture 1204662266"/>
                    <pic:cNvPicPr/>
                  </pic:nvPicPr>
                  <pic:blipFill rotWithShape="1">
                    <a:blip r:embed="rId10" cstate="print">
                      <a:extLst>
                        <a:ext uri="{BEBA8EAE-BF5A-486C-A8C5-ECC9F3942E4B}">
                          <a14:imgProps xmlns:a14="http://schemas.microsoft.com/office/drawing/2010/main">
                            <a14:imgLayer r:embed="rId11">
                              <a14:imgEffect>
                                <a14:brightnessContrast contrast="20000"/>
                              </a14:imgEffect>
                            </a14:imgLayer>
                          </a14:imgProps>
                        </a:ext>
                        <a:ext uri="{28A0092B-C50C-407E-A947-70E740481C1C}">
                          <a14:useLocalDpi xmlns:a14="http://schemas.microsoft.com/office/drawing/2010/main" val="0"/>
                        </a:ext>
                      </a:extLst>
                    </a:blip>
                    <a:srcRect l="665" t="14599" r="2292" b="14057"/>
                    <a:stretch/>
                  </pic:blipFill>
                  <pic:spPr bwMode="auto">
                    <a:xfrm>
                      <a:off x="0" y="0"/>
                      <a:ext cx="5766005" cy="1994606"/>
                    </a:xfrm>
                    <a:prstGeom prst="rect">
                      <a:avLst/>
                    </a:prstGeom>
                    <a:ln>
                      <a:noFill/>
                    </a:ln>
                    <a:extLst>
                      <a:ext uri="{53640926-AAD7-44D8-BBD7-CCE9431645EC}">
                        <a14:shadowObscured xmlns:a14="http://schemas.microsoft.com/office/drawing/2010/main"/>
                      </a:ext>
                    </a:extLst>
                  </pic:spPr>
                </pic:pic>
              </a:graphicData>
            </a:graphic>
          </wp:inline>
        </w:drawing>
      </w:r>
    </w:p>
    <w:p w14:paraId="64182CA4" w14:textId="1E0DA150" w:rsidR="00724AB5" w:rsidRDefault="007D385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bookmarkStart w:id="16" w:name="_c9ihoy7eg1rn" w:colFirst="0" w:colLast="0"/>
      <w:bookmarkEnd w:id="16"/>
      <w:r>
        <w:rPr>
          <w:rFonts w:ascii="Times New Roman" w:eastAsia="Times New Roman" w:hAnsi="Times New Roman" w:cs="Times New Roman"/>
          <w:color w:val="000000"/>
          <w:sz w:val="20"/>
          <w:szCs w:val="20"/>
        </w:rPr>
        <w:t xml:space="preserve">Figure 4. Patient clusters based on clinical characteristics projected onto the first two-dimensions of Factor Analysis of Mixed Data. </w:t>
      </w:r>
      <w:r>
        <w:rPr>
          <w:rFonts w:ascii="Times New Roman" w:eastAsia="Times New Roman" w:hAnsi="Times New Roman" w:cs="Times New Roman"/>
          <w:b/>
          <w:color w:val="000000"/>
          <w:sz w:val="20"/>
          <w:szCs w:val="20"/>
        </w:rPr>
        <w:t>(a)</w:t>
      </w:r>
      <w:r>
        <w:rPr>
          <w:rFonts w:ascii="Times New Roman" w:eastAsia="Times New Roman" w:hAnsi="Times New Roman" w:cs="Times New Roman"/>
          <w:color w:val="000000"/>
          <w:sz w:val="20"/>
          <w:szCs w:val="20"/>
        </w:rPr>
        <w:t xml:space="preserve"> Cluster representation: Ellipses denote Cluster 1 and Cluster 2, derived using KAy-means for Mixed Large data. </w:t>
      </w:r>
      <w:r>
        <w:rPr>
          <w:rFonts w:ascii="Times New Roman" w:eastAsia="Times New Roman" w:hAnsi="Times New Roman" w:cs="Times New Roman"/>
          <w:b/>
          <w:color w:val="000000"/>
          <w:sz w:val="20"/>
          <w:szCs w:val="20"/>
        </w:rPr>
        <w:t>(b)</w:t>
      </w:r>
      <w:r>
        <w:rPr>
          <w:rFonts w:ascii="Times New Roman" w:eastAsia="Times New Roman" w:hAnsi="Times New Roman" w:cs="Times New Roman"/>
          <w:color w:val="000000"/>
          <w:sz w:val="20"/>
          <w:szCs w:val="20"/>
        </w:rPr>
        <w:t xml:space="preserve"> Cl</w:t>
      </w:r>
      <w:r>
        <w:rPr>
          <w:rFonts w:ascii="Times New Roman" w:eastAsia="Times New Roman" w:hAnsi="Times New Roman" w:cs="Times New Roman"/>
          <w:color w:val="000000"/>
          <w:sz w:val="20"/>
          <w:szCs w:val="20"/>
        </w:rPr>
        <w:t>inical features plot: Gradient scale represents</w:t>
      </w:r>
      <w:r w:rsidR="00F520E1">
        <w:rPr>
          <w:rFonts w:ascii="Times New Roman" w:eastAsia="Times New Roman" w:hAnsi="Times New Roman" w:cs="Times New Roman"/>
          <w:color w:val="000000"/>
          <w:sz w:val="20"/>
          <w:szCs w:val="20"/>
        </w:rPr>
        <w:t xml:space="preserve"> the nine must contributing</w:t>
      </w:r>
      <w:r>
        <w:rPr>
          <w:rFonts w:ascii="Times New Roman" w:eastAsia="Times New Roman" w:hAnsi="Times New Roman" w:cs="Times New Roman"/>
          <w:color w:val="000000"/>
          <w:sz w:val="20"/>
          <w:szCs w:val="20"/>
        </w:rPr>
        <w:t xml:space="preserve"> variable</w:t>
      </w:r>
      <w:r w:rsidR="00F520E1">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and vector length indicates importance. Arrow direction shows the influence of the clinical feature on cluster groups.</w:t>
      </w:r>
    </w:p>
    <w:p w14:paraId="0E756E71" w14:textId="77777777"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4 summarizes the associations between </w:t>
      </w:r>
      <w:r>
        <w:rPr>
          <w:rFonts w:ascii="Times New Roman" w:eastAsia="Times New Roman" w:hAnsi="Times New Roman" w:cs="Times New Roman"/>
          <w:sz w:val="24"/>
          <w:szCs w:val="24"/>
        </w:rPr>
        <w:t>lifestyle, environmental and socioeconomic factors and the clusters. Emotional variables were significantly associated with cluster membership. Patients in Cluster 1 exhibited higher average scores for PSS, perceived anxiety and stress triggers compared to</w:t>
      </w:r>
      <w:r>
        <w:rPr>
          <w:rFonts w:ascii="Times New Roman" w:eastAsia="Times New Roman" w:hAnsi="Times New Roman" w:cs="Times New Roman"/>
          <w:sz w:val="24"/>
          <w:szCs w:val="24"/>
        </w:rPr>
        <w:t xml:space="preserve"> Cluster 2.</w:t>
      </w:r>
    </w:p>
    <w:p w14:paraId="4A1A96E1" w14:textId="77777777" w:rsidR="00724AB5" w:rsidRDefault="007D385F">
      <w:pPr>
        <w:keepNext/>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17" w:name="_95pvl9lpgtwi" w:colFirst="0" w:colLast="0"/>
      <w:bookmarkEnd w:id="17"/>
      <w:r>
        <w:rPr>
          <w:rFonts w:ascii="Times New Roman" w:eastAsia="Times New Roman" w:hAnsi="Times New Roman" w:cs="Times New Roman"/>
          <w:color w:val="000000"/>
          <w:sz w:val="20"/>
          <w:szCs w:val="20"/>
        </w:rPr>
        <w:t>Table 4. Association between cluster groups and lifestyle, environmental influences and Socioeconomic factors.</w:t>
      </w:r>
    </w:p>
    <w:tbl>
      <w:tblPr>
        <w:tblStyle w:val="a2"/>
        <w:tblW w:w="9719" w:type="dxa"/>
        <w:tblInd w:w="0" w:type="dxa"/>
        <w:tblLayout w:type="fixed"/>
        <w:tblLook w:val="0400" w:firstRow="0" w:lastRow="0" w:firstColumn="0" w:lastColumn="0" w:noHBand="0" w:noVBand="1"/>
      </w:tblPr>
      <w:tblGrid>
        <w:gridCol w:w="2246"/>
        <w:gridCol w:w="1261"/>
        <w:gridCol w:w="1262"/>
        <w:gridCol w:w="1081"/>
        <w:gridCol w:w="811"/>
        <w:gridCol w:w="805"/>
        <w:gridCol w:w="721"/>
        <w:gridCol w:w="721"/>
        <w:gridCol w:w="811"/>
      </w:tblGrid>
      <w:tr w:rsidR="00724AB5" w14:paraId="0FE9244B" w14:textId="77777777">
        <w:trPr>
          <w:trHeight w:val="20"/>
        </w:trPr>
        <w:tc>
          <w:tcPr>
            <w:tcW w:w="2246" w:type="dxa"/>
            <w:tcBorders>
              <w:top w:val="single" w:sz="8" w:space="0" w:color="000000"/>
              <w:left w:val="nil"/>
              <w:right w:val="nil"/>
            </w:tcBorders>
            <w:shd w:val="clear" w:color="auto" w:fill="auto"/>
            <w:vAlign w:val="center"/>
          </w:tcPr>
          <w:p w14:paraId="791B078F" w14:textId="77777777" w:rsidR="00724AB5" w:rsidRDefault="00724AB5">
            <w:pPr>
              <w:spacing w:after="0" w:line="240" w:lineRule="auto"/>
              <w:rPr>
                <w:rFonts w:ascii="Times New Roman" w:eastAsia="Times New Roman" w:hAnsi="Times New Roman" w:cs="Times New Roman"/>
                <w:b/>
                <w:sz w:val="18"/>
                <w:szCs w:val="18"/>
              </w:rPr>
            </w:pPr>
          </w:p>
        </w:tc>
        <w:tc>
          <w:tcPr>
            <w:tcW w:w="1261" w:type="dxa"/>
            <w:tcBorders>
              <w:top w:val="single" w:sz="8" w:space="0" w:color="000000"/>
              <w:left w:val="nil"/>
              <w:bottom w:val="single" w:sz="8" w:space="0" w:color="000000"/>
              <w:right w:val="nil"/>
            </w:tcBorders>
            <w:shd w:val="clear" w:color="auto" w:fill="auto"/>
            <w:vAlign w:val="center"/>
          </w:tcPr>
          <w:p w14:paraId="1CFDE047" w14:textId="77777777" w:rsidR="00724AB5" w:rsidRDefault="007D385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Cluster 1</w:t>
            </w:r>
          </w:p>
        </w:tc>
        <w:tc>
          <w:tcPr>
            <w:tcW w:w="1262" w:type="dxa"/>
            <w:tcBorders>
              <w:top w:val="single" w:sz="8" w:space="0" w:color="000000"/>
              <w:left w:val="nil"/>
              <w:bottom w:val="single" w:sz="8" w:space="0" w:color="000000"/>
              <w:right w:val="nil"/>
            </w:tcBorders>
            <w:shd w:val="clear" w:color="auto" w:fill="auto"/>
            <w:vAlign w:val="center"/>
          </w:tcPr>
          <w:p w14:paraId="5291C9DA" w14:textId="77777777" w:rsidR="00724AB5" w:rsidRDefault="007D385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Cluster 2</w:t>
            </w:r>
          </w:p>
        </w:tc>
        <w:tc>
          <w:tcPr>
            <w:tcW w:w="1081" w:type="dxa"/>
            <w:tcBorders>
              <w:top w:val="single" w:sz="8" w:space="0" w:color="000000"/>
              <w:left w:val="nil"/>
              <w:right w:val="nil"/>
            </w:tcBorders>
            <w:shd w:val="clear" w:color="auto" w:fill="auto"/>
            <w:vAlign w:val="center"/>
          </w:tcPr>
          <w:p w14:paraId="3DF983AA" w14:textId="77777777" w:rsidR="00724AB5" w:rsidRDefault="00724AB5">
            <w:pPr>
              <w:spacing w:after="0" w:line="240" w:lineRule="auto"/>
              <w:jc w:val="center"/>
              <w:rPr>
                <w:rFonts w:ascii="Times New Roman" w:eastAsia="Times New Roman" w:hAnsi="Times New Roman" w:cs="Times New Roman"/>
                <w:b/>
                <w:sz w:val="18"/>
                <w:szCs w:val="18"/>
              </w:rPr>
            </w:pPr>
          </w:p>
        </w:tc>
        <w:tc>
          <w:tcPr>
            <w:tcW w:w="811" w:type="dxa"/>
            <w:tcBorders>
              <w:top w:val="single" w:sz="8" w:space="0" w:color="000000"/>
              <w:left w:val="nil"/>
              <w:right w:val="single" w:sz="8" w:space="0" w:color="000000"/>
            </w:tcBorders>
            <w:shd w:val="clear" w:color="auto" w:fill="auto"/>
            <w:vAlign w:val="center"/>
          </w:tcPr>
          <w:p w14:paraId="283CF7F0" w14:textId="77777777" w:rsidR="00724AB5" w:rsidRDefault="00724AB5">
            <w:pPr>
              <w:spacing w:after="0" w:line="240" w:lineRule="auto"/>
              <w:jc w:val="center"/>
              <w:rPr>
                <w:rFonts w:ascii="Times New Roman" w:eastAsia="Times New Roman" w:hAnsi="Times New Roman" w:cs="Times New Roman"/>
                <w:b/>
                <w:sz w:val="18"/>
                <w:szCs w:val="18"/>
              </w:rPr>
            </w:pPr>
          </w:p>
        </w:tc>
        <w:tc>
          <w:tcPr>
            <w:tcW w:w="805" w:type="dxa"/>
            <w:tcBorders>
              <w:top w:val="single" w:sz="8" w:space="0" w:color="000000"/>
              <w:left w:val="single" w:sz="8" w:space="0" w:color="000000"/>
              <w:right w:val="nil"/>
            </w:tcBorders>
            <w:shd w:val="clear" w:color="auto" w:fill="auto"/>
            <w:vAlign w:val="center"/>
          </w:tcPr>
          <w:p w14:paraId="46006A3C" w14:textId="77777777" w:rsidR="00724AB5" w:rsidRDefault="00724AB5">
            <w:pPr>
              <w:spacing w:after="0" w:line="240" w:lineRule="auto"/>
              <w:jc w:val="center"/>
              <w:rPr>
                <w:rFonts w:ascii="Times New Roman" w:eastAsia="Times New Roman" w:hAnsi="Times New Roman" w:cs="Times New Roman"/>
                <w:b/>
                <w:sz w:val="18"/>
                <w:szCs w:val="18"/>
              </w:rPr>
            </w:pPr>
          </w:p>
        </w:tc>
        <w:tc>
          <w:tcPr>
            <w:tcW w:w="1442" w:type="dxa"/>
            <w:gridSpan w:val="2"/>
            <w:tcBorders>
              <w:top w:val="single" w:sz="8" w:space="0" w:color="000000"/>
              <w:left w:val="nil"/>
              <w:bottom w:val="single" w:sz="8" w:space="0" w:color="000000"/>
              <w:right w:val="nil"/>
            </w:tcBorders>
            <w:shd w:val="clear" w:color="auto" w:fill="auto"/>
            <w:vAlign w:val="center"/>
          </w:tcPr>
          <w:p w14:paraId="18F8548B" w14:textId="77777777" w:rsidR="00724AB5" w:rsidRDefault="007D385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95% Confidence Interval</w:t>
            </w:r>
          </w:p>
        </w:tc>
        <w:tc>
          <w:tcPr>
            <w:tcW w:w="811" w:type="dxa"/>
            <w:tcBorders>
              <w:top w:val="single" w:sz="8" w:space="0" w:color="000000"/>
              <w:left w:val="nil"/>
              <w:right w:val="nil"/>
            </w:tcBorders>
            <w:vAlign w:val="center"/>
          </w:tcPr>
          <w:p w14:paraId="09D01CAF" w14:textId="77777777" w:rsidR="00724AB5" w:rsidRDefault="00724AB5">
            <w:pPr>
              <w:spacing w:after="0" w:line="240" w:lineRule="auto"/>
              <w:jc w:val="center"/>
              <w:rPr>
                <w:rFonts w:ascii="Times New Roman" w:eastAsia="Times New Roman" w:hAnsi="Times New Roman" w:cs="Times New Roman"/>
                <w:b/>
                <w:sz w:val="18"/>
                <w:szCs w:val="18"/>
              </w:rPr>
            </w:pPr>
          </w:p>
        </w:tc>
      </w:tr>
      <w:tr w:rsidR="00724AB5" w14:paraId="5DF75F8E" w14:textId="77777777">
        <w:trPr>
          <w:trHeight w:val="20"/>
        </w:trPr>
        <w:tc>
          <w:tcPr>
            <w:tcW w:w="2246" w:type="dxa"/>
            <w:tcBorders>
              <w:top w:val="nil"/>
              <w:left w:val="nil"/>
              <w:bottom w:val="single" w:sz="8" w:space="0" w:color="000000"/>
              <w:right w:val="nil"/>
            </w:tcBorders>
            <w:shd w:val="clear" w:color="auto" w:fill="auto"/>
            <w:vAlign w:val="center"/>
          </w:tcPr>
          <w:p w14:paraId="7E2205FE" w14:textId="77777777" w:rsidR="00724AB5" w:rsidRDefault="007D385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Factor</w:t>
            </w:r>
          </w:p>
        </w:tc>
        <w:tc>
          <w:tcPr>
            <w:tcW w:w="1261" w:type="dxa"/>
            <w:tcBorders>
              <w:top w:val="single" w:sz="8" w:space="0" w:color="000000"/>
              <w:left w:val="nil"/>
              <w:bottom w:val="single" w:sz="8" w:space="0" w:color="000000"/>
              <w:right w:val="nil"/>
            </w:tcBorders>
            <w:shd w:val="clear" w:color="auto" w:fill="auto"/>
            <w:vAlign w:val="center"/>
          </w:tcPr>
          <w:p w14:paraId="7A4CDCAD" w14:textId="77777777" w:rsidR="00724AB5" w:rsidRDefault="007D385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Mean (SD)</w:t>
            </w:r>
          </w:p>
        </w:tc>
        <w:tc>
          <w:tcPr>
            <w:tcW w:w="1262" w:type="dxa"/>
            <w:tcBorders>
              <w:top w:val="single" w:sz="8" w:space="0" w:color="000000"/>
              <w:left w:val="nil"/>
              <w:bottom w:val="single" w:sz="8" w:space="0" w:color="000000"/>
              <w:right w:val="nil"/>
            </w:tcBorders>
            <w:shd w:val="clear" w:color="auto" w:fill="auto"/>
            <w:vAlign w:val="center"/>
          </w:tcPr>
          <w:p w14:paraId="71BADF57" w14:textId="77777777" w:rsidR="00724AB5" w:rsidRDefault="007D385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Mean (SD)</w:t>
            </w:r>
          </w:p>
        </w:tc>
        <w:tc>
          <w:tcPr>
            <w:tcW w:w="1081" w:type="dxa"/>
            <w:tcBorders>
              <w:top w:val="nil"/>
              <w:left w:val="nil"/>
              <w:bottom w:val="single" w:sz="8" w:space="0" w:color="000000"/>
              <w:right w:val="nil"/>
            </w:tcBorders>
            <w:shd w:val="clear" w:color="auto" w:fill="auto"/>
            <w:vAlign w:val="center"/>
          </w:tcPr>
          <w:p w14:paraId="29170E9C" w14:textId="77777777" w:rsidR="00724AB5" w:rsidRDefault="007D385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Chi-square(</w:t>
            </w:r>
            <w:r>
              <w:rPr>
                <w:rFonts w:ascii="Times New Roman" w:eastAsia="Times New Roman" w:hAnsi="Times New Roman" w:cs="Times New Roman"/>
                <w:b/>
                <w:i/>
                <w:sz w:val="18"/>
                <w:szCs w:val="18"/>
              </w:rPr>
              <w:t>df)</w:t>
            </w:r>
          </w:p>
        </w:tc>
        <w:tc>
          <w:tcPr>
            <w:tcW w:w="811" w:type="dxa"/>
            <w:tcBorders>
              <w:top w:val="nil"/>
              <w:left w:val="nil"/>
              <w:bottom w:val="single" w:sz="8" w:space="0" w:color="000000"/>
              <w:right w:val="single" w:sz="8" w:space="0" w:color="000000"/>
            </w:tcBorders>
            <w:shd w:val="clear" w:color="auto" w:fill="auto"/>
            <w:vAlign w:val="center"/>
          </w:tcPr>
          <w:p w14:paraId="74982FD7" w14:textId="77777777" w:rsidR="00724AB5" w:rsidRDefault="007D385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p</w:t>
            </w:r>
            <w:r>
              <w:rPr>
                <w:rFonts w:ascii="Times New Roman" w:eastAsia="Times New Roman" w:hAnsi="Times New Roman" w:cs="Times New Roman"/>
                <w:b/>
                <w:sz w:val="18"/>
                <w:szCs w:val="18"/>
              </w:rPr>
              <w:t xml:space="preserve"> Value</w:t>
            </w:r>
          </w:p>
        </w:tc>
        <w:tc>
          <w:tcPr>
            <w:tcW w:w="805" w:type="dxa"/>
            <w:tcBorders>
              <w:top w:val="nil"/>
              <w:left w:val="single" w:sz="8" w:space="0" w:color="000000"/>
              <w:bottom w:val="single" w:sz="8" w:space="0" w:color="000000"/>
              <w:right w:val="nil"/>
            </w:tcBorders>
            <w:shd w:val="clear" w:color="auto" w:fill="auto"/>
            <w:vAlign w:val="center"/>
          </w:tcPr>
          <w:p w14:paraId="0D703BA7" w14:textId="77777777" w:rsidR="00724AB5" w:rsidRDefault="007D385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Odds Ratio </w:t>
            </w:r>
            <w:r>
              <w:rPr>
                <w:rFonts w:ascii="Times New Roman" w:eastAsia="Times New Roman" w:hAnsi="Times New Roman" w:cs="Times New Roman"/>
                <w:b/>
                <w:sz w:val="18"/>
                <w:szCs w:val="18"/>
                <w:vertAlign w:val="superscript"/>
              </w:rPr>
              <w:t>a</w:t>
            </w:r>
          </w:p>
        </w:tc>
        <w:tc>
          <w:tcPr>
            <w:tcW w:w="721" w:type="dxa"/>
            <w:tcBorders>
              <w:top w:val="single" w:sz="8" w:space="0" w:color="000000"/>
              <w:left w:val="nil"/>
              <w:bottom w:val="single" w:sz="8" w:space="0" w:color="000000"/>
              <w:right w:val="nil"/>
            </w:tcBorders>
            <w:shd w:val="clear" w:color="auto" w:fill="auto"/>
            <w:vAlign w:val="center"/>
          </w:tcPr>
          <w:p w14:paraId="25AD228D" w14:textId="77777777" w:rsidR="00724AB5" w:rsidRDefault="007D385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Lower</w:t>
            </w:r>
          </w:p>
        </w:tc>
        <w:tc>
          <w:tcPr>
            <w:tcW w:w="721" w:type="dxa"/>
            <w:tcBorders>
              <w:top w:val="single" w:sz="8" w:space="0" w:color="000000"/>
              <w:left w:val="nil"/>
              <w:bottom w:val="single" w:sz="8" w:space="0" w:color="000000"/>
              <w:right w:val="nil"/>
            </w:tcBorders>
            <w:shd w:val="clear" w:color="auto" w:fill="auto"/>
            <w:vAlign w:val="center"/>
          </w:tcPr>
          <w:p w14:paraId="7E134D7E" w14:textId="77777777" w:rsidR="00724AB5" w:rsidRDefault="007D385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Upper</w:t>
            </w:r>
          </w:p>
        </w:tc>
        <w:tc>
          <w:tcPr>
            <w:tcW w:w="811" w:type="dxa"/>
            <w:tcBorders>
              <w:top w:val="nil"/>
              <w:left w:val="nil"/>
              <w:bottom w:val="single" w:sz="8" w:space="0" w:color="000000"/>
              <w:right w:val="nil"/>
            </w:tcBorders>
            <w:shd w:val="clear" w:color="auto" w:fill="auto"/>
            <w:vAlign w:val="center"/>
          </w:tcPr>
          <w:p w14:paraId="4590C58C" w14:textId="77777777" w:rsidR="00724AB5" w:rsidRDefault="007D385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p</w:t>
            </w:r>
            <w:r>
              <w:rPr>
                <w:rFonts w:ascii="Times New Roman" w:eastAsia="Times New Roman" w:hAnsi="Times New Roman" w:cs="Times New Roman"/>
                <w:b/>
                <w:sz w:val="18"/>
                <w:szCs w:val="18"/>
              </w:rPr>
              <w:t xml:space="preserve"> Value</w:t>
            </w:r>
          </w:p>
        </w:tc>
      </w:tr>
      <w:tr w:rsidR="00724AB5" w14:paraId="3ED07E91" w14:textId="77777777">
        <w:trPr>
          <w:trHeight w:val="288"/>
        </w:trPr>
        <w:tc>
          <w:tcPr>
            <w:tcW w:w="2246" w:type="dxa"/>
            <w:tcBorders>
              <w:top w:val="single" w:sz="8" w:space="0" w:color="000000"/>
              <w:left w:val="nil"/>
              <w:bottom w:val="nil"/>
              <w:right w:val="nil"/>
            </w:tcBorders>
            <w:shd w:val="clear" w:color="auto" w:fill="auto"/>
            <w:vAlign w:val="center"/>
          </w:tcPr>
          <w:p w14:paraId="7619A04D" w14:textId="77777777" w:rsidR="00724AB5" w:rsidRDefault="007D385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PSS score</w:t>
            </w:r>
          </w:p>
        </w:tc>
        <w:tc>
          <w:tcPr>
            <w:tcW w:w="1261" w:type="dxa"/>
            <w:tcBorders>
              <w:top w:val="single" w:sz="8" w:space="0" w:color="000000"/>
              <w:left w:val="nil"/>
              <w:bottom w:val="nil"/>
              <w:right w:val="nil"/>
            </w:tcBorders>
            <w:shd w:val="clear" w:color="auto" w:fill="auto"/>
            <w:vAlign w:val="center"/>
          </w:tcPr>
          <w:p w14:paraId="5027A262"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63.37 (20.09)</w:t>
            </w:r>
          </w:p>
        </w:tc>
        <w:tc>
          <w:tcPr>
            <w:tcW w:w="1262" w:type="dxa"/>
            <w:tcBorders>
              <w:top w:val="single" w:sz="8" w:space="0" w:color="000000"/>
              <w:left w:val="nil"/>
              <w:bottom w:val="nil"/>
              <w:right w:val="nil"/>
            </w:tcBorders>
            <w:shd w:val="clear" w:color="auto" w:fill="auto"/>
            <w:vAlign w:val="center"/>
          </w:tcPr>
          <w:p w14:paraId="1B8D5F8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51.25 (24.54)</w:t>
            </w:r>
          </w:p>
        </w:tc>
        <w:tc>
          <w:tcPr>
            <w:tcW w:w="1081" w:type="dxa"/>
            <w:tcBorders>
              <w:top w:val="single" w:sz="8" w:space="0" w:color="000000"/>
              <w:left w:val="nil"/>
              <w:bottom w:val="nil"/>
              <w:right w:val="nil"/>
            </w:tcBorders>
            <w:shd w:val="clear" w:color="auto" w:fill="auto"/>
            <w:vAlign w:val="center"/>
          </w:tcPr>
          <w:p w14:paraId="19973E73"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single" w:sz="8" w:space="0" w:color="000000"/>
              <w:left w:val="nil"/>
              <w:bottom w:val="nil"/>
              <w:right w:val="single" w:sz="8" w:space="0" w:color="000000"/>
            </w:tcBorders>
            <w:shd w:val="clear" w:color="auto" w:fill="auto"/>
            <w:vAlign w:val="center"/>
          </w:tcPr>
          <w:p w14:paraId="5A438B48"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single" w:sz="8" w:space="0" w:color="000000"/>
              <w:left w:val="single" w:sz="8" w:space="0" w:color="000000"/>
              <w:bottom w:val="nil"/>
              <w:right w:val="nil"/>
            </w:tcBorders>
            <w:shd w:val="clear" w:color="auto" w:fill="auto"/>
            <w:vAlign w:val="center"/>
          </w:tcPr>
          <w:p w14:paraId="6C432A4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0.98</w:t>
            </w:r>
          </w:p>
        </w:tc>
        <w:tc>
          <w:tcPr>
            <w:tcW w:w="721" w:type="dxa"/>
            <w:tcBorders>
              <w:top w:val="single" w:sz="8" w:space="0" w:color="000000"/>
              <w:left w:val="nil"/>
              <w:bottom w:val="nil"/>
              <w:right w:val="nil"/>
            </w:tcBorders>
            <w:shd w:val="clear" w:color="auto" w:fill="auto"/>
            <w:vAlign w:val="center"/>
          </w:tcPr>
          <w:p w14:paraId="67B935C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0.96</w:t>
            </w:r>
          </w:p>
        </w:tc>
        <w:tc>
          <w:tcPr>
            <w:tcW w:w="721" w:type="dxa"/>
            <w:tcBorders>
              <w:top w:val="single" w:sz="8" w:space="0" w:color="000000"/>
              <w:left w:val="nil"/>
              <w:bottom w:val="nil"/>
              <w:right w:val="nil"/>
            </w:tcBorders>
            <w:shd w:val="clear" w:color="auto" w:fill="auto"/>
            <w:vAlign w:val="center"/>
          </w:tcPr>
          <w:p w14:paraId="4750698F"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0.99</w:t>
            </w:r>
          </w:p>
        </w:tc>
        <w:tc>
          <w:tcPr>
            <w:tcW w:w="811" w:type="dxa"/>
            <w:tcBorders>
              <w:top w:val="single" w:sz="8" w:space="0" w:color="000000"/>
              <w:left w:val="nil"/>
              <w:bottom w:val="nil"/>
              <w:right w:val="nil"/>
            </w:tcBorders>
            <w:vAlign w:val="center"/>
          </w:tcPr>
          <w:p w14:paraId="72EE661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.006</w:t>
            </w:r>
          </w:p>
        </w:tc>
      </w:tr>
      <w:tr w:rsidR="00724AB5" w14:paraId="79EC8EF7" w14:textId="77777777">
        <w:trPr>
          <w:trHeight w:val="288"/>
        </w:trPr>
        <w:tc>
          <w:tcPr>
            <w:tcW w:w="2246" w:type="dxa"/>
            <w:tcBorders>
              <w:top w:val="nil"/>
              <w:left w:val="nil"/>
              <w:bottom w:val="nil"/>
              <w:right w:val="nil"/>
            </w:tcBorders>
            <w:shd w:val="clear" w:color="auto" w:fill="auto"/>
            <w:vAlign w:val="center"/>
          </w:tcPr>
          <w:p w14:paraId="5F944948" w14:textId="77777777" w:rsidR="00724AB5" w:rsidRDefault="007D385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 Score</w:t>
            </w:r>
          </w:p>
        </w:tc>
        <w:tc>
          <w:tcPr>
            <w:tcW w:w="1261" w:type="dxa"/>
            <w:tcBorders>
              <w:top w:val="nil"/>
              <w:left w:val="nil"/>
              <w:bottom w:val="nil"/>
              <w:right w:val="nil"/>
            </w:tcBorders>
            <w:shd w:val="clear" w:color="auto" w:fill="auto"/>
            <w:vAlign w:val="center"/>
          </w:tcPr>
          <w:p w14:paraId="56CC295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59.75 (7.59)</w:t>
            </w:r>
          </w:p>
        </w:tc>
        <w:tc>
          <w:tcPr>
            <w:tcW w:w="1262" w:type="dxa"/>
            <w:tcBorders>
              <w:top w:val="nil"/>
              <w:left w:val="nil"/>
              <w:bottom w:val="nil"/>
              <w:right w:val="nil"/>
            </w:tcBorders>
            <w:shd w:val="clear" w:color="auto" w:fill="auto"/>
            <w:vAlign w:val="center"/>
          </w:tcPr>
          <w:p w14:paraId="715BEFA9"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55.71 (8.79)</w:t>
            </w:r>
          </w:p>
        </w:tc>
        <w:tc>
          <w:tcPr>
            <w:tcW w:w="1081" w:type="dxa"/>
            <w:tcBorders>
              <w:top w:val="nil"/>
              <w:left w:val="nil"/>
              <w:bottom w:val="nil"/>
              <w:right w:val="nil"/>
            </w:tcBorders>
            <w:shd w:val="clear" w:color="auto" w:fill="auto"/>
            <w:vAlign w:val="center"/>
          </w:tcPr>
          <w:p w14:paraId="6F06118A"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56DBD1BE"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4A0A548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0.94</w:t>
            </w:r>
          </w:p>
        </w:tc>
        <w:tc>
          <w:tcPr>
            <w:tcW w:w="721" w:type="dxa"/>
            <w:tcBorders>
              <w:top w:val="nil"/>
              <w:left w:val="nil"/>
              <w:bottom w:val="nil"/>
              <w:right w:val="nil"/>
            </w:tcBorders>
            <w:shd w:val="clear" w:color="auto" w:fill="auto"/>
            <w:vAlign w:val="center"/>
          </w:tcPr>
          <w:p w14:paraId="095A2F44"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0.90</w:t>
            </w:r>
          </w:p>
        </w:tc>
        <w:tc>
          <w:tcPr>
            <w:tcW w:w="721" w:type="dxa"/>
            <w:tcBorders>
              <w:top w:val="nil"/>
              <w:left w:val="nil"/>
              <w:bottom w:val="nil"/>
              <w:right w:val="nil"/>
            </w:tcBorders>
            <w:shd w:val="clear" w:color="auto" w:fill="auto"/>
            <w:vAlign w:val="center"/>
          </w:tcPr>
          <w:p w14:paraId="63D4043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0.99</w:t>
            </w:r>
          </w:p>
        </w:tc>
        <w:tc>
          <w:tcPr>
            <w:tcW w:w="811" w:type="dxa"/>
            <w:tcBorders>
              <w:top w:val="nil"/>
              <w:left w:val="nil"/>
              <w:bottom w:val="nil"/>
              <w:right w:val="nil"/>
            </w:tcBorders>
            <w:vAlign w:val="center"/>
          </w:tcPr>
          <w:p w14:paraId="57B29AE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.012</w:t>
            </w:r>
          </w:p>
        </w:tc>
      </w:tr>
      <w:tr w:rsidR="00724AB5" w14:paraId="632232A2" w14:textId="77777777">
        <w:trPr>
          <w:trHeight w:val="288"/>
        </w:trPr>
        <w:tc>
          <w:tcPr>
            <w:tcW w:w="2246" w:type="dxa"/>
            <w:tcBorders>
              <w:top w:val="nil"/>
              <w:left w:val="nil"/>
              <w:bottom w:val="nil"/>
              <w:right w:val="nil"/>
            </w:tcBorders>
            <w:shd w:val="clear" w:color="auto" w:fill="auto"/>
            <w:vAlign w:val="center"/>
          </w:tcPr>
          <w:p w14:paraId="033582C9" w14:textId="77777777" w:rsidR="00724AB5" w:rsidRDefault="007D385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Number of stress triggers</w:t>
            </w:r>
          </w:p>
        </w:tc>
        <w:tc>
          <w:tcPr>
            <w:tcW w:w="1261" w:type="dxa"/>
            <w:tcBorders>
              <w:top w:val="nil"/>
              <w:left w:val="nil"/>
              <w:bottom w:val="nil"/>
              <w:right w:val="nil"/>
            </w:tcBorders>
            <w:shd w:val="clear" w:color="auto" w:fill="auto"/>
            <w:vAlign w:val="center"/>
          </w:tcPr>
          <w:p w14:paraId="36E6FF9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3.75 (1.73)</w:t>
            </w:r>
          </w:p>
        </w:tc>
        <w:tc>
          <w:tcPr>
            <w:tcW w:w="1262" w:type="dxa"/>
            <w:tcBorders>
              <w:top w:val="nil"/>
              <w:left w:val="nil"/>
              <w:bottom w:val="nil"/>
              <w:right w:val="nil"/>
            </w:tcBorders>
            <w:shd w:val="clear" w:color="auto" w:fill="auto"/>
            <w:vAlign w:val="center"/>
          </w:tcPr>
          <w:p w14:paraId="56E8CC0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2.97 (1.57)</w:t>
            </w:r>
          </w:p>
        </w:tc>
        <w:tc>
          <w:tcPr>
            <w:tcW w:w="1081" w:type="dxa"/>
            <w:tcBorders>
              <w:top w:val="nil"/>
              <w:left w:val="nil"/>
              <w:bottom w:val="nil"/>
              <w:right w:val="nil"/>
            </w:tcBorders>
            <w:shd w:val="clear" w:color="auto" w:fill="auto"/>
            <w:vAlign w:val="center"/>
          </w:tcPr>
          <w:p w14:paraId="3BE91166"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774D4780"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6ABCE458"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0.74</w:t>
            </w:r>
          </w:p>
        </w:tc>
        <w:tc>
          <w:tcPr>
            <w:tcW w:w="721" w:type="dxa"/>
            <w:tcBorders>
              <w:top w:val="nil"/>
              <w:left w:val="nil"/>
              <w:bottom w:val="nil"/>
              <w:right w:val="nil"/>
            </w:tcBorders>
            <w:shd w:val="clear" w:color="auto" w:fill="auto"/>
            <w:vAlign w:val="center"/>
          </w:tcPr>
          <w:p w14:paraId="6B91051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0.58</w:t>
            </w:r>
          </w:p>
        </w:tc>
        <w:tc>
          <w:tcPr>
            <w:tcW w:w="721" w:type="dxa"/>
            <w:tcBorders>
              <w:top w:val="nil"/>
              <w:left w:val="nil"/>
              <w:bottom w:val="nil"/>
              <w:right w:val="nil"/>
            </w:tcBorders>
            <w:shd w:val="clear" w:color="auto" w:fill="auto"/>
            <w:vAlign w:val="center"/>
          </w:tcPr>
          <w:p w14:paraId="357C5C1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0.94</w:t>
            </w:r>
          </w:p>
        </w:tc>
        <w:tc>
          <w:tcPr>
            <w:tcW w:w="811" w:type="dxa"/>
            <w:tcBorders>
              <w:top w:val="nil"/>
              <w:left w:val="nil"/>
              <w:bottom w:val="nil"/>
              <w:right w:val="nil"/>
            </w:tcBorders>
            <w:vAlign w:val="center"/>
          </w:tcPr>
          <w:p w14:paraId="7EE6464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.015</w:t>
            </w:r>
          </w:p>
        </w:tc>
      </w:tr>
      <w:tr w:rsidR="00724AB5" w14:paraId="174EE312" w14:textId="77777777">
        <w:trPr>
          <w:trHeight w:val="288"/>
        </w:trPr>
        <w:tc>
          <w:tcPr>
            <w:tcW w:w="2246" w:type="dxa"/>
            <w:tcBorders>
              <w:top w:val="nil"/>
              <w:left w:val="nil"/>
              <w:bottom w:val="single" w:sz="8" w:space="0" w:color="000000"/>
              <w:right w:val="nil"/>
            </w:tcBorders>
            <w:shd w:val="clear" w:color="auto" w:fill="auto"/>
            <w:vAlign w:val="center"/>
          </w:tcPr>
          <w:p w14:paraId="31FD56FB" w14:textId="77777777" w:rsidR="00724AB5" w:rsidRDefault="007D385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Routine checkups</w:t>
            </w:r>
          </w:p>
        </w:tc>
        <w:tc>
          <w:tcPr>
            <w:tcW w:w="1261" w:type="dxa"/>
            <w:tcBorders>
              <w:top w:val="nil"/>
              <w:left w:val="nil"/>
              <w:bottom w:val="single" w:sz="8" w:space="0" w:color="000000"/>
              <w:right w:val="nil"/>
            </w:tcBorders>
            <w:shd w:val="clear" w:color="auto" w:fill="auto"/>
            <w:vAlign w:val="center"/>
          </w:tcPr>
          <w:p w14:paraId="5EFEA4C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 (1.98)</w:t>
            </w:r>
          </w:p>
        </w:tc>
        <w:tc>
          <w:tcPr>
            <w:tcW w:w="1262" w:type="dxa"/>
            <w:tcBorders>
              <w:top w:val="nil"/>
              <w:left w:val="nil"/>
              <w:bottom w:val="single" w:sz="8" w:space="0" w:color="000000"/>
              <w:right w:val="nil"/>
            </w:tcBorders>
            <w:shd w:val="clear" w:color="auto" w:fill="auto"/>
            <w:vAlign w:val="center"/>
          </w:tcPr>
          <w:p w14:paraId="6A03B4EA"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2.84(2.46)</w:t>
            </w:r>
          </w:p>
        </w:tc>
        <w:tc>
          <w:tcPr>
            <w:tcW w:w="1081" w:type="dxa"/>
            <w:tcBorders>
              <w:top w:val="nil"/>
              <w:left w:val="nil"/>
              <w:bottom w:val="single" w:sz="8" w:space="0" w:color="000000"/>
              <w:right w:val="nil"/>
            </w:tcBorders>
            <w:shd w:val="clear" w:color="auto" w:fill="auto"/>
            <w:vAlign w:val="center"/>
          </w:tcPr>
          <w:p w14:paraId="2B405A50"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single" w:sz="8" w:space="0" w:color="000000"/>
              <w:right w:val="single" w:sz="8" w:space="0" w:color="000000"/>
            </w:tcBorders>
            <w:shd w:val="clear" w:color="auto" w:fill="auto"/>
            <w:vAlign w:val="center"/>
          </w:tcPr>
          <w:p w14:paraId="5ED578B7"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single" w:sz="8" w:space="0" w:color="000000"/>
              <w:right w:val="nil"/>
            </w:tcBorders>
            <w:shd w:val="clear" w:color="auto" w:fill="auto"/>
            <w:vAlign w:val="center"/>
          </w:tcPr>
          <w:p w14:paraId="3E84F386"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1.45</w:t>
            </w:r>
          </w:p>
        </w:tc>
        <w:tc>
          <w:tcPr>
            <w:tcW w:w="721" w:type="dxa"/>
            <w:tcBorders>
              <w:top w:val="nil"/>
              <w:left w:val="nil"/>
              <w:bottom w:val="single" w:sz="8" w:space="0" w:color="000000"/>
              <w:right w:val="nil"/>
            </w:tcBorders>
            <w:shd w:val="clear" w:color="auto" w:fill="auto"/>
            <w:vAlign w:val="center"/>
          </w:tcPr>
          <w:p w14:paraId="0D7F3CDD"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w:t>
            </w:r>
          </w:p>
        </w:tc>
        <w:tc>
          <w:tcPr>
            <w:tcW w:w="721" w:type="dxa"/>
            <w:tcBorders>
              <w:top w:val="nil"/>
              <w:left w:val="nil"/>
              <w:bottom w:val="single" w:sz="8" w:space="0" w:color="000000"/>
              <w:right w:val="nil"/>
            </w:tcBorders>
            <w:shd w:val="clear" w:color="auto" w:fill="auto"/>
            <w:vAlign w:val="center"/>
          </w:tcPr>
          <w:p w14:paraId="654EB450"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1.76</w:t>
            </w:r>
          </w:p>
        </w:tc>
        <w:tc>
          <w:tcPr>
            <w:tcW w:w="811" w:type="dxa"/>
            <w:tcBorders>
              <w:top w:val="nil"/>
              <w:left w:val="nil"/>
              <w:bottom w:val="single" w:sz="8" w:space="0" w:color="000000"/>
              <w:right w:val="nil"/>
            </w:tcBorders>
            <w:vAlign w:val="center"/>
          </w:tcPr>
          <w:p w14:paraId="17684C96"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&lt;.001</w:t>
            </w:r>
          </w:p>
        </w:tc>
      </w:tr>
      <w:tr w:rsidR="00724AB5" w14:paraId="29A03C5D" w14:textId="77777777">
        <w:trPr>
          <w:trHeight w:val="297"/>
        </w:trPr>
        <w:tc>
          <w:tcPr>
            <w:tcW w:w="2246" w:type="dxa"/>
            <w:tcBorders>
              <w:top w:val="single" w:sz="8" w:space="0" w:color="000000"/>
              <w:left w:val="nil"/>
              <w:bottom w:val="single" w:sz="8" w:space="0" w:color="000000"/>
            </w:tcBorders>
            <w:shd w:val="clear" w:color="auto" w:fill="auto"/>
            <w:vAlign w:val="center"/>
          </w:tcPr>
          <w:p w14:paraId="4869F571" w14:textId="77777777" w:rsidR="00724AB5" w:rsidRDefault="00724AB5">
            <w:pPr>
              <w:spacing w:after="0" w:line="240" w:lineRule="auto"/>
              <w:jc w:val="center"/>
              <w:rPr>
                <w:rFonts w:ascii="Times New Roman" w:eastAsia="Times New Roman" w:hAnsi="Times New Roman" w:cs="Times New Roman"/>
                <w:sz w:val="18"/>
                <w:szCs w:val="18"/>
              </w:rPr>
            </w:pPr>
          </w:p>
        </w:tc>
        <w:tc>
          <w:tcPr>
            <w:tcW w:w="1261" w:type="dxa"/>
            <w:tcBorders>
              <w:top w:val="single" w:sz="8" w:space="0" w:color="000000"/>
              <w:bottom w:val="single" w:sz="8" w:space="0" w:color="000000"/>
            </w:tcBorders>
            <w:shd w:val="clear" w:color="auto" w:fill="auto"/>
            <w:vAlign w:val="center"/>
          </w:tcPr>
          <w:p w14:paraId="23F9C9F7" w14:textId="77777777" w:rsidR="00724AB5" w:rsidRDefault="007D385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Count (%)</w:t>
            </w:r>
          </w:p>
        </w:tc>
        <w:tc>
          <w:tcPr>
            <w:tcW w:w="1262" w:type="dxa"/>
            <w:tcBorders>
              <w:top w:val="single" w:sz="8" w:space="0" w:color="000000"/>
              <w:bottom w:val="single" w:sz="8" w:space="0" w:color="000000"/>
            </w:tcBorders>
            <w:shd w:val="clear" w:color="auto" w:fill="auto"/>
            <w:vAlign w:val="center"/>
          </w:tcPr>
          <w:p w14:paraId="40C5E15F" w14:textId="77777777" w:rsidR="00724AB5" w:rsidRDefault="007D385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Count (%)</w:t>
            </w:r>
          </w:p>
        </w:tc>
        <w:tc>
          <w:tcPr>
            <w:tcW w:w="1081" w:type="dxa"/>
            <w:tcBorders>
              <w:top w:val="single" w:sz="8" w:space="0" w:color="000000"/>
              <w:bottom w:val="single" w:sz="8" w:space="0" w:color="000000"/>
            </w:tcBorders>
            <w:shd w:val="clear" w:color="auto" w:fill="auto"/>
            <w:vAlign w:val="center"/>
          </w:tcPr>
          <w:p w14:paraId="0263CEC9"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single" w:sz="8" w:space="0" w:color="000000"/>
              <w:bottom w:val="single" w:sz="8" w:space="0" w:color="000000"/>
              <w:right w:val="single" w:sz="8" w:space="0" w:color="000000"/>
            </w:tcBorders>
            <w:shd w:val="clear" w:color="auto" w:fill="auto"/>
            <w:vAlign w:val="center"/>
          </w:tcPr>
          <w:p w14:paraId="4A009D41"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single" w:sz="8" w:space="0" w:color="000000"/>
              <w:left w:val="single" w:sz="8" w:space="0" w:color="000000"/>
              <w:bottom w:val="single" w:sz="8" w:space="0" w:color="000000"/>
            </w:tcBorders>
            <w:shd w:val="clear" w:color="auto" w:fill="auto"/>
            <w:vAlign w:val="center"/>
          </w:tcPr>
          <w:p w14:paraId="149DB536"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single" w:sz="8" w:space="0" w:color="000000"/>
              <w:bottom w:val="single" w:sz="8" w:space="0" w:color="000000"/>
            </w:tcBorders>
            <w:shd w:val="clear" w:color="auto" w:fill="auto"/>
            <w:vAlign w:val="center"/>
          </w:tcPr>
          <w:p w14:paraId="013DA6FF"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single" w:sz="8" w:space="0" w:color="000000"/>
              <w:bottom w:val="single" w:sz="8" w:space="0" w:color="000000"/>
            </w:tcBorders>
            <w:shd w:val="clear" w:color="auto" w:fill="auto"/>
            <w:vAlign w:val="center"/>
          </w:tcPr>
          <w:p w14:paraId="353C37F7"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single" w:sz="8" w:space="0" w:color="000000"/>
              <w:bottom w:val="single" w:sz="8" w:space="0" w:color="000000"/>
              <w:right w:val="nil"/>
            </w:tcBorders>
            <w:shd w:val="clear" w:color="auto" w:fill="auto"/>
            <w:vAlign w:val="center"/>
          </w:tcPr>
          <w:p w14:paraId="623BC277"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10F695F6" w14:textId="77777777">
        <w:trPr>
          <w:trHeight w:val="20"/>
        </w:trPr>
        <w:tc>
          <w:tcPr>
            <w:tcW w:w="2246" w:type="dxa"/>
            <w:tcBorders>
              <w:top w:val="single" w:sz="8" w:space="0" w:color="000000"/>
              <w:left w:val="nil"/>
              <w:bottom w:val="nil"/>
              <w:right w:val="nil"/>
            </w:tcBorders>
            <w:shd w:val="clear" w:color="auto" w:fill="auto"/>
            <w:vAlign w:val="center"/>
          </w:tcPr>
          <w:p w14:paraId="033897F3" w14:textId="77777777" w:rsidR="00724AB5" w:rsidRDefault="007D385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Season</w:t>
            </w:r>
          </w:p>
        </w:tc>
        <w:tc>
          <w:tcPr>
            <w:tcW w:w="1261" w:type="dxa"/>
            <w:tcBorders>
              <w:top w:val="single" w:sz="8" w:space="0" w:color="000000"/>
              <w:left w:val="nil"/>
              <w:bottom w:val="nil"/>
              <w:right w:val="nil"/>
            </w:tcBorders>
            <w:shd w:val="clear" w:color="auto" w:fill="auto"/>
            <w:vAlign w:val="center"/>
          </w:tcPr>
          <w:p w14:paraId="2D2A08CA" w14:textId="77777777" w:rsidR="00724AB5" w:rsidRDefault="00724AB5">
            <w:pPr>
              <w:spacing w:after="0" w:line="240" w:lineRule="auto"/>
              <w:jc w:val="center"/>
              <w:rPr>
                <w:rFonts w:ascii="Times New Roman" w:eastAsia="Times New Roman" w:hAnsi="Times New Roman" w:cs="Times New Roman"/>
                <w:sz w:val="18"/>
                <w:szCs w:val="18"/>
              </w:rPr>
            </w:pPr>
          </w:p>
        </w:tc>
        <w:tc>
          <w:tcPr>
            <w:tcW w:w="1262" w:type="dxa"/>
            <w:tcBorders>
              <w:top w:val="single" w:sz="8" w:space="0" w:color="000000"/>
              <w:left w:val="nil"/>
              <w:bottom w:val="nil"/>
              <w:right w:val="nil"/>
            </w:tcBorders>
            <w:shd w:val="clear" w:color="auto" w:fill="auto"/>
            <w:vAlign w:val="center"/>
          </w:tcPr>
          <w:p w14:paraId="409FFA1D" w14:textId="77777777" w:rsidR="00724AB5" w:rsidRDefault="00724AB5">
            <w:pPr>
              <w:spacing w:after="0" w:line="240" w:lineRule="auto"/>
              <w:jc w:val="center"/>
              <w:rPr>
                <w:rFonts w:ascii="Times New Roman" w:eastAsia="Times New Roman" w:hAnsi="Times New Roman" w:cs="Times New Roman"/>
                <w:sz w:val="18"/>
                <w:szCs w:val="18"/>
              </w:rPr>
            </w:pPr>
          </w:p>
        </w:tc>
        <w:tc>
          <w:tcPr>
            <w:tcW w:w="1081" w:type="dxa"/>
            <w:tcBorders>
              <w:top w:val="single" w:sz="8" w:space="0" w:color="000000"/>
              <w:left w:val="nil"/>
              <w:bottom w:val="nil"/>
              <w:right w:val="nil"/>
            </w:tcBorders>
            <w:shd w:val="clear" w:color="auto" w:fill="auto"/>
            <w:vAlign w:val="center"/>
          </w:tcPr>
          <w:p w14:paraId="544AF50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0.66*</w:t>
            </w:r>
          </w:p>
        </w:tc>
        <w:tc>
          <w:tcPr>
            <w:tcW w:w="811" w:type="dxa"/>
            <w:tcBorders>
              <w:top w:val="single" w:sz="8" w:space="0" w:color="000000"/>
              <w:left w:val="nil"/>
              <w:bottom w:val="nil"/>
              <w:right w:val="single" w:sz="8" w:space="0" w:color="000000"/>
            </w:tcBorders>
            <w:shd w:val="clear" w:color="auto" w:fill="auto"/>
            <w:vAlign w:val="center"/>
          </w:tcPr>
          <w:p w14:paraId="5AA6630F"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.745</w:t>
            </w:r>
          </w:p>
        </w:tc>
        <w:tc>
          <w:tcPr>
            <w:tcW w:w="805" w:type="dxa"/>
            <w:tcBorders>
              <w:top w:val="single" w:sz="8" w:space="0" w:color="000000"/>
              <w:left w:val="single" w:sz="8" w:space="0" w:color="000000"/>
              <w:bottom w:val="nil"/>
              <w:right w:val="nil"/>
            </w:tcBorders>
            <w:shd w:val="clear" w:color="auto" w:fill="auto"/>
            <w:vAlign w:val="center"/>
          </w:tcPr>
          <w:p w14:paraId="3C3310AA"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single" w:sz="8" w:space="0" w:color="000000"/>
              <w:left w:val="nil"/>
              <w:bottom w:val="nil"/>
              <w:right w:val="nil"/>
            </w:tcBorders>
            <w:shd w:val="clear" w:color="auto" w:fill="auto"/>
            <w:vAlign w:val="center"/>
          </w:tcPr>
          <w:p w14:paraId="0E1317E9"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single" w:sz="8" w:space="0" w:color="000000"/>
              <w:left w:val="nil"/>
              <w:bottom w:val="nil"/>
              <w:right w:val="nil"/>
            </w:tcBorders>
            <w:shd w:val="clear" w:color="auto" w:fill="auto"/>
            <w:vAlign w:val="center"/>
          </w:tcPr>
          <w:p w14:paraId="0D890A6F"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single" w:sz="8" w:space="0" w:color="000000"/>
              <w:left w:val="nil"/>
              <w:bottom w:val="nil"/>
              <w:right w:val="nil"/>
            </w:tcBorders>
            <w:vAlign w:val="center"/>
          </w:tcPr>
          <w:p w14:paraId="5D61EE0F"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6CBFD637" w14:textId="77777777">
        <w:trPr>
          <w:trHeight w:val="20"/>
        </w:trPr>
        <w:tc>
          <w:tcPr>
            <w:tcW w:w="2246" w:type="dxa"/>
            <w:tcBorders>
              <w:top w:val="nil"/>
              <w:left w:val="nil"/>
              <w:bottom w:val="nil"/>
              <w:right w:val="nil"/>
            </w:tcBorders>
            <w:shd w:val="clear" w:color="auto" w:fill="auto"/>
            <w:vAlign w:val="center"/>
          </w:tcPr>
          <w:p w14:paraId="5EE3B00B"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Dry season         </w:t>
            </w:r>
          </w:p>
        </w:tc>
        <w:tc>
          <w:tcPr>
            <w:tcW w:w="1261" w:type="dxa"/>
            <w:tcBorders>
              <w:top w:val="nil"/>
              <w:left w:val="nil"/>
              <w:bottom w:val="nil"/>
              <w:right w:val="nil"/>
            </w:tcBorders>
            <w:shd w:val="clear" w:color="auto" w:fill="auto"/>
            <w:vAlign w:val="center"/>
          </w:tcPr>
          <w:p w14:paraId="5FE5803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 (3.6)</w:t>
            </w:r>
          </w:p>
        </w:tc>
        <w:tc>
          <w:tcPr>
            <w:tcW w:w="1262" w:type="dxa"/>
            <w:tcBorders>
              <w:top w:val="nil"/>
              <w:left w:val="nil"/>
              <w:bottom w:val="nil"/>
              <w:right w:val="nil"/>
            </w:tcBorders>
            <w:shd w:val="clear" w:color="auto" w:fill="auto"/>
            <w:vAlign w:val="bottom"/>
          </w:tcPr>
          <w:p w14:paraId="0275BA19"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 (5.4)</w:t>
            </w:r>
          </w:p>
        </w:tc>
        <w:tc>
          <w:tcPr>
            <w:tcW w:w="1081" w:type="dxa"/>
            <w:tcBorders>
              <w:top w:val="nil"/>
              <w:left w:val="nil"/>
              <w:bottom w:val="nil"/>
              <w:right w:val="nil"/>
            </w:tcBorders>
            <w:shd w:val="clear" w:color="auto" w:fill="auto"/>
            <w:vAlign w:val="center"/>
          </w:tcPr>
          <w:p w14:paraId="7970EFF3"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7CB2372F"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5BFC0B38"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3.50</w:t>
            </w:r>
          </w:p>
        </w:tc>
        <w:tc>
          <w:tcPr>
            <w:tcW w:w="721" w:type="dxa"/>
            <w:tcBorders>
              <w:top w:val="nil"/>
              <w:left w:val="nil"/>
              <w:bottom w:val="nil"/>
              <w:right w:val="nil"/>
            </w:tcBorders>
            <w:shd w:val="clear" w:color="auto" w:fill="auto"/>
            <w:vAlign w:val="center"/>
          </w:tcPr>
          <w:p w14:paraId="6F475B00"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0.84</w:t>
            </w:r>
          </w:p>
        </w:tc>
        <w:tc>
          <w:tcPr>
            <w:tcW w:w="721" w:type="dxa"/>
            <w:tcBorders>
              <w:top w:val="nil"/>
              <w:left w:val="nil"/>
              <w:bottom w:val="nil"/>
              <w:right w:val="nil"/>
            </w:tcBorders>
            <w:shd w:val="clear" w:color="auto" w:fill="auto"/>
            <w:vAlign w:val="center"/>
          </w:tcPr>
          <w:p w14:paraId="1F7B124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23.49</w:t>
            </w:r>
          </w:p>
        </w:tc>
        <w:tc>
          <w:tcPr>
            <w:tcW w:w="811" w:type="dxa"/>
            <w:tcBorders>
              <w:top w:val="nil"/>
              <w:left w:val="nil"/>
              <w:bottom w:val="nil"/>
              <w:right w:val="nil"/>
            </w:tcBorders>
            <w:vAlign w:val="center"/>
          </w:tcPr>
          <w:p w14:paraId="4F78EA42"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.118</w:t>
            </w:r>
          </w:p>
        </w:tc>
      </w:tr>
      <w:tr w:rsidR="00724AB5" w14:paraId="19AC7B7A" w14:textId="77777777">
        <w:trPr>
          <w:trHeight w:val="20"/>
        </w:trPr>
        <w:tc>
          <w:tcPr>
            <w:tcW w:w="2246" w:type="dxa"/>
            <w:tcBorders>
              <w:top w:val="nil"/>
              <w:left w:val="nil"/>
              <w:bottom w:val="nil"/>
              <w:right w:val="nil"/>
            </w:tcBorders>
            <w:shd w:val="clear" w:color="auto" w:fill="auto"/>
            <w:vAlign w:val="center"/>
          </w:tcPr>
          <w:p w14:paraId="1689FFEF"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Rainy season       </w:t>
            </w:r>
          </w:p>
        </w:tc>
        <w:tc>
          <w:tcPr>
            <w:tcW w:w="1261" w:type="dxa"/>
            <w:tcBorders>
              <w:top w:val="nil"/>
              <w:left w:val="nil"/>
              <w:bottom w:val="nil"/>
              <w:right w:val="nil"/>
            </w:tcBorders>
            <w:shd w:val="clear" w:color="auto" w:fill="auto"/>
            <w:vAlign w:val="center"/>
          </w:tcPr>
          <w:p w14:paraId="472C225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 (41.1)</w:t>
            </w:r>
          </w:p>
        </w:tc>
        <w:tc>
          <w:tcPr>
            <w:tcW w:w="1262" w:type="dxa"/>
            <w:tcBorders>
              <w:top w:val="nil"/>
              <w:left w:val="nil"/>
              <w:bottom w:val="nil"/>
              <w:right w:val="nil"/>
            </w:tcBorders>
            <w:shd w:val="clear" w:color="auto" w:fill="auto"/>
            <w:vAlign w:val="bottom"/>
          </w:tcPr>
          <w:p w14:paraId="032ECF2F"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58 (45)</w:t>
            </w:r>
          </w:p>
        </w:tc>
        <w:tc>
          <w:tcPr>
            <w:tcW w:w="1081" w:type="dxa"/>
            <w:tcBorders>
              <w:top w:val="nil"/>
              <w:left w:val="nil"/>
              <w:bottom w:val="nil"/>
              <w:right w:val="nil"/>
            </w:tcBorders>
            <w:shd w:val="clear" w:color="auto" w:fill="auto"/>
            <w:vAlign w:val="center"/>
          </w:tcPr>
          <w:p w14:paraId="35CEF48C"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5F887AB9"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11D8F03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0.72</w:t>
            </w:r>
          </w:p>
        </w:tc>
        <w:tc>
          <w:tcPr>
            <w:tcW w:w="721" w:type="dxa"/>
            <w:tcBorders>
              <w:top w:val="nil"/>
              <w:left w:val="nil"/>
              <w:bottom w:val="nil"/>
              <w:right w:val="nil"/>
            </w:tcBorders>
            <w:shd w:val="clear" w:color="auto" w:fill="auto"/>
            <w:vAlign w:val="center"/>
          </w:tcPr>
          <w:p w14:paraId="4A841BC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0.10</w:t>
            </w:r>
          </w:p>
        </w:tc>
        <w:tc>
          <w:tcPr>
            <w:tcW w:w="721" w:type="dxa"/>
            <w:tcBorders>
              <w:top w:val="nil"/>
              <w:left w:val="nil"/>
              <w:bottom w:val="nil"/>
              <w:right w:val="nil"/>
            </w:tcBorders>
            <w:shd w:val="clear" w:color="auto" w:fill="auto"/>
            <w:vAlign w:val="center"/>
          </w:tcPr>
          <w:p w14:paraId="4929E10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3.25</w:t>
            </w:r>
          </w:p>
        </w:tc>
        <w:tc>
          <w:tcPr>
            <w:tcW w:w="811" w:type="dxa"/>
            <w:tcBorders>
              <w:top w:val="nil"/>
              <w:left w:val="nil"/>
              <w:bottom w:val="nil"/>
              <w:right w:val="nil"/>
            </w:tcBorders>
            <w:vAlign w:val="center"/>
          </w:tcPr>
          <w:p w14:paraId="66A9C30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.696</w:t>
            </w:r>
          </w:p>
        </w:tc>
      </w:tr>
      <w:tr w:rsidR="00724AB5" w14:paraId="4812B9C3" w14:textId="77777777">
        <w:trPr>
          <w:trHeight w:val="20"/>
        </w:trPr>
        <w:tc>
          <w:tcPr>
            <w:tcW w:w="2246" w:type="dxa"/>
            <w:tcBorders>
              <w:top w:val="nil"/>
              <w:left w:val="nil"/>
              <w:bottom w:val="nil"/>
              <w:right w:val="nil"/>
            </w:tcBorders>
            <w:shd w:val="clear" w:color="auto" w:fill="auto"/>
            <w:vAlign w:val="center"/>
          </w:tcPr>
          <w:p w14:paraId="0909C22D"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No specific season</w:t>
            </w:r>
          </w:p>
        </w:tc>
        <w:tc>
          <w:tcPr>
            <w:tcW w:w="1261" w:type="dxa"/>
            <w:tcBorders>
              <w:top w:val="nil"/>
              <w:left w:val="nil"/>
              <w:bottom w:val="nil"/>
              <w:right w:val="nil"/>
            </w:tcBorders>
            <w:shd w:val="clear" w:color="auto" w:fill="auto"/>
            <w:vAlign w:val="center"/>
          </w:tcPr>
          <w:p w14:paraId="566AFD6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 (55.4)</w:t>
            </w:r>
          </w:p>
        </w:tc>
        <w:tc>
          <w:tcPr>
            <w:tcW w:w="1262" w:type="dxa"/>
            <w:tcBorders>
              <w:top w:val="nil"/>
              <w:left w:val="nil"/>
              <w:bottom w:val="nil"/>
              <w:right w:val="nil"/>
            </w:tcBorders>
            <w:shd w:val="clear" w:color="auto" w:fill="auto"/>
            <w:vAlign w:val="bottom"/>
          </w:tcPr>
          <w:p w14:paraId="618950E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 (49.6)</w:t>
            </w:r>
          </w:p>
        </w:tc>
        <w:tc>
          <w:tcPr>
            <w:tcW w:w="1081" w:type="dxa"/>
            <w:tcBorders>
              <w:top w:val="nil"/>
              <w:left w:val="nil"/>
              <w:bottom w:val="nil"/>
              <w:right w:val="nil"/>
            </w:tcBorders>
            <w:shd w:val="clear" w:color="auto" w:fill="auto"/>
            <w:vAlign w:val="center"/>
          </w:tcPr>
          <w:p w14:paraId="6BF2B0D8"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58774E5F"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74066EBF"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0.59</w:t>
            </w:r>
          </w:p>
        </w:tc>
        <w:tc>
          <w:tcPr>
            <w:tcW w:w="721" w:type="dxa"/>
            <w:tcBorders>
              <w:top w:val="nil"/>
              <w:left w:val="nil"/>
              <w:bottom w:val="nil"/>
              <w:right w:val="nil"/>
            </w:tcBorders>
            <w:shd w:val="clear" w:color="auto" w:fill="auto"/>
            <w:vAlign w:val="center"/>
          </w:tcPr>
          <w:p w14:paraId="35D3863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0.08</w:t>
            </w:r>
          </w:p>
        </w:tc>
        <w:tc>
          <w:tcPr>
            <w:tcW w:w="721" w:type="dxa"/>
            <w:tcBorders>
              <w:top w:val="nil"/>
              <w:left w:val="nil"/>
              <w:bottom w:val="nil"/>
              <w:right w:val="nil"/>
            </w:tcBorders>
            <w:shd w:val="clear" w:color="auto" w:fill="auto"/>
            <w:vAlign w:val="center"/>
          </w:tcPr>
          <w:p w14:paraId="0ED14E3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2.61</w:t>
            </w:r>
          </w:p>
        </w:tc>
        <w:tc>
          <w:tcPr>
            <w:tcW w:w="811" w:type="dxa"/>
            <w:tcBorders>
              <w:top w:val="nil"/>
              <w:left w:val="nil"/>
              <w:bottom w:val="nil"/>
              <w:right w:val="nil"/>
            </w:tcBorders>
            <w:vAlign w:val="center"/>
          </w:tcPr>
          <w:p w14:paraId="0EB16F9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.525</w:t>
            </w:r>
          </w:p>
        </w:tc>
      </w:tr>
      <w:tr w:rsidR="00724AB5" w14:paraId="69F20314" w14:textId="77777777">
        <w:trPr>
          <w:trHeight w:val="288"/>
        </w:trPr>
        <w:tc>
          <w:tcPr>
            <w:tcW w:w="2246" w:type="dxa"/>
            <w:tcBorders>
              <w:top w:val="nil"/>
              <w:left w:val="nil"/>
              <w:bottom w:val="nil"/>
              <w:right w:val="nil"/>
            </w:tcBorders>
            <w:shd w:val="clear" w:color="auto" w:fill="auto"/>
            <w:vAlign w:val="center"/>
          </w:tcPr>
          <w:p w14:paraId="116D59BD" w14:textId="77777777" w:rsidR="00724AB5" w:rsidRDefault="007D385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Weather</w:t>
            </w:r>
          </w:p>
        </w:tc>
        <w:tc>
          <w:tcPr>
            <w:tcW w:w="1261" w:type="dxa"/>
            <w:tcBorders>
              <w:top w:val="nil"/>
              <w:left w:val="nil"/>
              <w:bottom w:val="nil"/>
              <w:right w:val="nil"/>
            </w:tcBorders>
            <w:shd w:val="clear" w:color="auto" w:fill="auto"/>
            <w:vAlign w:val="center"/>
          </w:tcPr>
          <w:p w14:paraId="2B1870B8" w14:textId="77777777" w:rsidR="00724AB5" w:rsidRDefault="00724AB5">
            <w:pPr>
              <w:spacing w:after="0" w:line="240" w:lineRule="auto"/>
              <w:jc w:val="center"/>
              <w:rPr>
                <w:rFonts w:ascii="Times New Roman" w:eastAsia="Times New Roman" w:hAnsi="Times New Roman" w:cs="Times New Roman"/>
                <w:sz w:val="18"/>
                <w:szCs w:val="18"/>
              </w:rPr>
            </w:pPr>
          </w:p>
        </w:tc>
        <w:tc>
          <w:tcPr>
            <w:tcW w:w="1262" w:type="dxa"/>
            <w:tcBorders>
              <w:top w:val="nil"/>
              <w:left w:val="nil"/>
              <w:bottom w:val="nil"/>
              <w:right w:val="nil"/>
            </w:tcBorders>
            <w:shd w:val="clear" w:color="auto" w:fill="auto"/>
            <w:vAlign w:val="center"/>
          </w:tcPr>
          <w:p w14:paraId="63A8FA24" w14:textId="77777777" w:rsidR="00724AB5" w:rsidRDefault="00724AB5">
            <w:pPr>
              <w:spacing w:after="0" w:line="240" w:lineRule="auto"/>
              <w:jc w:val="center"/>
              <w:rPr>
                <w:rFonts w:ascii="Times New Roman" w:eastAsia="Times New Roman" w:hAnsi="Times New Roman" w:cs="Times New Roman"/>
                <w:sz w:val="18"/>
                <w:szCs w:val="18"/>
              </w:rPr>
            </w:pPr>
          </w:p>
        </w:tc>
        <w:tc>
          <w:tcPr>
            <w:tcW w:w="1081" w:type="dxa"/>
            <w:tcBorders>
              <w:top w:val="nil"/>
              <w:left w:val="nil"/>
              <w:bottom w:val="nil"/>
              <w:right w:val="nil"/>
            </w:tcBorders>
            <w:shd w:val="clear" w:color="auto" w:fill="auto"/>
            <w:vAlign w:val="center"/>
          </w:tcPr>
          <w:p w14:paraId="649112DD"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2C8D95AF"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4EB4158B"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6DAB4D76"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5FC78B25"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nil"/>
            </w:tcBorders>
            <w:vAlign w:val="center"/>
          </w:tcPr>
          <w:p w14:paraId="0531FE36"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42E41188" w14:textId="77777777">
        <w:trPr>
          <w:trHeight w:val="20"/>
        </w:trPr>
        <w:tc>
          <w:tcPr>
            <w:tcW w:w="2246" w:type="dxa"/>
            <w:tcBorders>
              <w:top w:val="nil"/>
              <w:left w:val="nil"/>
              <w:bottom w:val="nil"/>
              <w:right w:val="nil"/>
            </w:tcBorders>
            <w:shd w:val="clear" w:color="auto" w:fill="auto"/>
            <w:vAlign w:val="center"/>
          </w:tcPr>
          <w:p w14:paraId="046D0F94"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Cold</w:t>
            </w:r>
          </w:p>
        </w:tc>
        <w:tc>
          <w:tcPr>
            <w:tcW w:w="1261" w:type="dxa"/>
            <w:tcBorders>
              <w:top w:val="nil"/>
              <w:left w:val="nil"/>
              <w:bottom w:val="nil"/>
              <w:right w:val="nil"/>
            </w:tcBorders>
            <w:shd w:val="clear" w:color="auto" w:fill="auto"/>
            <w:vAlign w:val="center"/>
          </w:tcPr>
          <w:p w14:paraId="66FB5729" w14:textId="77777777" w:rsidR="00724AB5" w:rsidRDefault="00724AB5">
            <w:pPr>
              <w:spacing w:after="0" w:line="240" w:lineRule="auto"/>
              <w:jc w:val="center"/>
              <w:rPr>
                <w:rFonts w:ascii="Times New Roman" w:eastAsia="Times New Roman" w:hAnsi="Times New Roman" w:cs="Times New Roman"/>
                <w:sz w:val="18"/>
                <w:szCs w:val="18"/>
              </w:rPr>
            </w:pPr>
          </w:p>
        </w:tc>
        <w:tc>
          <w:tcPr>
            <w:tcW w:w="1262" w:type="dxa"/>
            <w:tcBorders>
              <w:top w:val="nil"/>
              <w:left w:val="nil"/>
              <w:bottom w:val="nil"/>
              <w:right w:val="nil"/>
            </w:tcBorders>
            <w:shd w:val="clear" w:color="auto" w:fill="auto"/>
            <w:vAlign w:val="center"/>
          </w:tcPr>
          <w:p w14:paraId="534BBB27" w14:textId="77777777" w:rsidR="00724AB5" w:rsidRDefault="00724AB5">
            <w:pPr>
              <w:spacing w:after="0" w:line="240" w:lineRule="auto"/>
              <w:jc w:val="center"/>
              <w:rPr>
                <w:rFonts w:ascii="Times New Roman" w:eastAsia="Times New Roman" w:hAnsi="Times New Roman" w:cs="Times New Roman"/>
                <w:sz w:val="18"/>
                <w:szCs w:val="18"/>
              </w:rPr>
            </w:pPr>
          </w:p>
        </w:tc>
        <w:tc>
          <w:tcPr>
            <w:tcW w:w="1081" w:type="dxa"/>
            <w:tcBorders>
              <w:top w:val="nil"/>
              <w:left w:val="nil"/>
              <w:bottom w:val="nil"/>
              <w:right w:val="nil"/>
            </w:tcBorders>
            <w:shd w:val="clear" w:color="auto" w:fill="auto"/>
            <w:vAlign w:val="center"/>
          </w:tcPr>
          <w:p w14:paraId="1B57994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2.42(1)</w:t>
            </w:r>
          </w:p>
        </w:tc>
        <w:tc>
          <w:tcPr>
            <w:tcW w:w="811" w:type="dxa"/>
            <w:tcBorders>
              <w:top w:val="nil"/>
              <w:left w:val="nil"/>
              <w:bottom w:val="nil"/>
              <w:right w:val="single" w:sz="8" w:space="0" w:color="000000"/>
            </w:tcBorders>
            <w:shd w:val="clear" w:color="auto" w:fill="auto"/>
            <w:vAlign w:val="center"/>
          </w:tcPr>
          <w:p w14:paraId="0AA088B9"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805" w:type="dxa"/>
            <w:tcBorders>
              <w:top w:val="nil"/>
              <w:left w:val="single" w:sz="8" w:space="0" w:color="000000"/>
              <w:bottom w:val="nil"/>
              <w:right w:val="nil"/>
            </w:tcBorders>
            <w:shd w:val="clear" w:color="auto" w:fill="auto"/>
            <w:vAlign w:val="center"/>
          </w:tcPr>
          <w:p w14:paraId="4BA9D6B5"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4D9EABC1"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5B2FE853"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nil"/>
            </w:tcBorders>
            <w:vAlign w:val="center"/>
          </w:tcPr>
          <w:p w14:paraId="57F0907E"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6BDB7B1E" w14:textId="77777777">
        <w:trPr>
          <w:trHeight w:val="20"/>
        </w:trPr>
        <w:tc>
          <w:tcPr>
            <w:tcW w:w="2246" w:type="dxa"/>
            <w:tcBorders>
              <w:top w:val="nil"/>
              <w:left w:val="nil"/>
              <w:bottom w:val="nil"/>
              <w:right w:val="nil"/>
            </w:tcBorders>
            <w:shd w:val="clear" w:color="auto" w:fill="auto"/>
            <w:vAlign w:val="center"/>
          </w:tcPr>
          <w:p w14:paraId="42816D7E" w14:textId="77777777" w:rsidR="00724AB5" w:rsidRDefault="007D385F">
            <w:pPr>
              <w:spacing w:after="0" w:line="240" w:lineRule="auto"/>
              <w:ind w:firstLine="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    </w:t>
            </w:r>
          </w:p>
        </w:tc>
        <w:tc>
          <w:tcPr>
            <w:tcW w:w="1261" w:type="dxa"/>
            <w:tcBorders>
              <w:top w:val="nil"/>
              <w:left w:val="nil"/>
              <w:bottom w:val="nil"/>
              <w:right w:val="nil"/>
            </w:tcBorders>
            <w:shd w:val="clear" w:color="auto" w:fill="auto"/>
            <w:vAlign w:val="bottom"/>
          </w:tcPr>
          <w:p w14:paraId="7A52418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(8.9)</w:t>
            </w:r>
          </w:p>
        </w:tc>
        <w:tc>
          <w:tcPr>
            <w:tcW w:w="1262" w:type="dxa"/>
            <w:tcBorders>
              <w:top w:val="nil"/>
              <w:left w:val="nil"/>
              <w:bottom w:val="nil"/>
              <w:right w:val="nil"/>
            </w:tcBorders>
            <w:shd w:val="clear" w:color="auto" w:fill="auto"/>
            <w:vAlign w:val="bottom"/>
          </w:tcPr>
          <w:p w14:paraId="40A7DDAF"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 (19.4)</w:t>
            </w:r>
          </w:p>
        </w:tc>
        <w:tc>
          <w:tcPr>
            <w:tcW w:w="1081" w:type="dxa"/>
            <w:tcBorders>
              <w:top w:val="nil"/>
              <w:left w:val="nil"/>
              <w:bottom w:val="nil"/>
              <w:right w:val="nil"/>
            </w:tcBorders>
            <w:shd w:val="clear" w:color="auto" w:fill="auto"/>
            <w:vAlign w:val="center"/>
          </w:tcPr>
          <w:p w14:paraId="02F06B1A"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5C4986D5"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0BC670AD"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w:t>
            </w:r>
          </w:p>
        </w:tc>
        <w:tc>
          <w:tcPr>
            <w:tcW w:w="721" w:type="dxa"/>
            <w:tcBorders>
              <w:top w:val="nil"/>
              <w:left w:val="nil"/>
              <w:bottom w:val="nil"/>
              <w:right w:val="nil"/>
            </w:tcBorders>
            <w:shd w:val="clear" w:color="auto" w:fill="auto"/>
            <w:vAlign w:val="center"/>
          </w:tcPr>
          <w:p w14:paraId="56DD586A"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2.08</w:t>
            </w:r>
          </w:p>
        </w:tc>
        <w:tc>
          <w:tcPr>
            <w:tcW w:w="721" w:type="dxa"/>
            <w:tcBorders>
              <w:top w:val="nil"/>
              <w:left w:val="nil"/>
              <w:bottom w:val="nil"/>
              <w:right w:val="nil"/>
            </w:tcBorders>
            <w:shd w:val="clear" w:color="auto" w:fill="auto"/>
            <w:vAlign w:val="center"/>
          </w:tcPr>
          <w:p w14:paraId="0495C3D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14.81</w:t>
            </w:r>
          </w:p>
        </w:tc>
        <w:tc>
          <w:tcPr>
            <w:tcW w:w="811" w:type="dxa"/>
            <w:tcBorders>
              <w:top w:val="nil"/>
              <w:left w:val="nil"/>
              <w:bottom w:val="nil"/>
              <w:right w:val="nil"/>
            </w:tcBorders>
            <w:vAlign w:val="center"/>
          </w:tcPr>
          <w:p w14:paraId="0087913D"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.001</w:t>
            </w:r>
          </w:p>
        </w:tc>
      </w:tr>
      <w:tr w:rsidR="00724AB5" w14:paraId="0C244573" w14:textId="77777777">
        <w:trPr>
          <w:trHeight w:val="20"/>
        </w:trPr>
        <w:tc>
          <w:tcPr>
            <w:tcW w:w="2246" w:type="dxa"/>
            <w:tcBorders>
              <w:top w:val="nil"/>
              <w:left w:val="nil"/>
              <w:bottom w:val="nil"/>
              <w:right w:val="nil"/>
            </w:tcBorders>
            <w:shd w:val="clear" w:color="auto" w:fill="auto"/>
            <w:vAlign w:val="center"/>
          </w:tcPr>
          <w:p w14:paraId="5E0F2350" w14:textId="77777777" w:rsidR="00724AB5" w:rsidRDefault="007D385F">
            <w:pPr>
              <w:spacing w:after="0" w:line="240" w:lineRule="auto"/>
              <w:ind w:firstLine="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Yes   </w:t>
            </w:r>
          </w:p>
        </w:tc>
        <w:tc>
          <w:tcPr>
            <w:tcW w:w="1261" w:type="dxa"/>
            <w:tcBorders>
              <w:top w:val="nil"/>
              <w:left w:val="nil"/>
              <w:bottom w:val="nil"/>
              <w:right w:val="nil"/>
            </w:tcBorders>
            <w:shd w:val="clear" w:color="auto" w:fill="auto"/>
            <w:vAlign w:val="bottom"/>
          </w:tcPr>
          <w:p w14:paraId="05CA8B5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 (91.1)</w:t>
            </w:r>
          </w:p>
        </w:tc>
        <w:tc>
          <w:tcPr>
            <w:tcW w:w="1262" w:type="dxa"/>
            <w:tcBorders>
              <w:top w:val="nil"/>
              <w:left w:val="nil"/>
              <w:bottom w:val="nil"/>
              <w:right w:val="nil"/>
            </w:tcBorders>
            <w:shd w:val="clear" w:color="auto" w:fill="auto"/>
            <w:vAlign w:val="bottom"/>
          </w:tcPr>
          <w:p w14:paraId="4650ECFD"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104 (80.6)</w:t>
            </w:r>
          </w:p>
        </w:tc>
        <w:tc>
          <w:tcPr>
            <w:tcW w:w="1081" w:type="dxa"/>
            <w:tcBorders>
              <w:top w:val="nil"/>
              <w:left w:val="nil"/>
              <w:bottom w:val="nil"/>
              <w:right w:val="nil"/>
            </w:tcBorders>
            <w:shd w:val="clear" w:color="auto" w:fill="auto"/>
            <w:vAlign w:val="center"/>
          </w:tcPr>
          <w:p w14:paraId="29A071F7"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0B40D239"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50CD7EB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0.41</w:t>
            </w:r>
          </w:p>
        </w:tc>
        <w:tc>
          <w:tcPr>
            <w:tcW w:w="721" w:type="dxa"/>
            <w:tcBorders>
              <w:top w:val="nil"/>
              <w:left w:val="nil"/>
              <w:bottom w:val="nil"/>
              <w:right w:val="nil"/>
            </w:tcBorders>
            <w:shd w:val="clear" w:color="auto" w:fill="auto"/>
            <w:vAlign w:val="center"/>
          </w:tcPr>
          <w:p w14:paraId="7684150A"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0.13</w:t>
            </w:r>
          </w:p>
        </w:tc>
        <w:tc>
          <w:tcPr>
            <w:tcW w:w="721" w:type="dxa"/>
            <w:tcBorders>
              <w:top w:val="nil"/>
              <w:left w:val="nil"/>
              <w:bottom w:val="nil"/>
              <w:right w:val="nil"/>
            </w:tcBorders>
            <w:shd w:val="clear" w:color="auto" w:fill="auto"/>
            <w:vAlign w:val="center"/>
          </w:tcPr>
          <w:p w14:paraId="44280E8D"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811" w:type="dxa"/>
            <w:tcBorders>
              <w:top w:val="nil"/>
              <w:left w:val="nil"/>
              <w:bottom w:val="nil"/>
              <w:right w:val="nil"/>
            </w:tcBorders>
            <w:vAlign w:val="center"/>
          </w:tcPr>
          <w:p w14:paraId="4FC3230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.084</w:t>
            </w:r>
          </w:p>
        </w:tc>
      </w:tr>
      <w:tr w:rsidR="00724AB5" w14:paraId="26A4DE62" w14:textId="77777777">
        <w:trPr>
          <w:trHeight w:val="20"/>
        </w:trPr>
        <w:tc>
          <w:tcPr>
            <w:tcW w:w="2246" w:type="dxa"/>
            <w:tcBorders>
              <w:top w:val="nil"/>
              <w:left w:val="nil"/>
              <w:bottom w:val="nil"/>
              <w:right w:val="nil"/>
            </w:tcBorders>
            <w:shd w:val="clear" w:color="auto" w:fill="auto"/>
            <w:vAlign w:val="center"/>
          </w:tcPr>
          <w:p w14:paraId="66890832"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Hot</w:t>
            </w:r>
          </w:p>
        </w:tc>
        <w:tc>
          <w:tcPr>
            <w:tcW w:w="1261" w:type="dxa"/>
            <w:tcBorders>
              <w:top w:val="nil"/>
              <w:left w:val="nil"/>
              <w:bottom w:val="nil"/>
              <w:right w:val="nil"/>
            </w:tcBorders>
            <w:shd w:val="clear" w:color="auto" w:fill="auto"/>
            <w:vAlign w:val="center"/>
          </w:tcPr>
          <w:p w14:paraId="320C4194" w14:textId="77777777" w:rsidR="00724AB5" w:rsidRDefault="00724AB5">
            <w:pPr>
              <w:spacing w:after="0" w:line="240" w:lineRule="auto"/>
              <w:jc w:val="center"/>
              <w:rPr>
                <w:rFonts w:ascii="Times New Roman" w:eastAsia="Times New Roman" w:hAnsi="Times New Roman" w:cs="Times New Roman"/>
                <w:sz w:val="18"/>
                <w:szCs w:val="18"/>
              </w:rPr>
            </w:pPr>
          </w:p>
        </w:tc>
        <w:tc>
          <w:tcPr>
            <w:tcW w:w="1262" w:type="dxa"/>
            <w:tcBorders>
              <w:top w:val="nil"/>
              <w:left w:val="nil"/>
              <w:bottom w:val="nil"/>
              <w:right w:val="nil"/>
            </w:tcBorders>
            <w:shd w:val="clear" w:color="auto" w:fill="auto"/>
            <w:vAlign w:val="center"/>
          </w:tcPr>
          <w:p w14:paraId="1B3C9552" w14:textId="77777777" w:rsidR="00724AB5" w:rsidRDefault="00724AB5">
            <w:pPr>
              <w:spacing w:after="0" w:line="240" w:lineRule="auto"/>
              <w:jc w:val="center"/>
              <w:rPr>
                <w:rFonts w:ascii="Times New Roman" w:eastAsia="Times New Roman" w:hAnsi="Times New Roman" w:cs="Times New Roman"/>
                <w:sz w:val="18"/>
                <w:szCs w:val="18"/>
              </w:rPr>
            </w:pPr>
          </w:p>
        </w:tc>
        <w:tc>
          <w:tcPr>
            <w:tcW w:w="1081" w:type="dxa"/>
            <w:tcBorders>
              <w:top w:val="nil"/>
              <w:left w:val="nil"/>
              <w:bottom w:val="nil"/>
              <w:right w:val="nil"/>
            </w:tcBorders>
            <w:shd w:val="clear" w:color="auto" w:fill="auto"/>
            <w:vAlign w:val="center"/>
          </w:tcPr>
          <w:p w14:paraId="7E393A5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2.91(1)</w:t>
            </w:r>
          </w:p>
        </w:tc>
        <w:tc>
          <w:tcPr>
            <w:tcW w:w="811" w:type="dxa"/>
            <w:tcBorders>
              <w:top w:val="nil"/>
              <w:left w:val="nil"/>
              <w:bottom w:val="nil"/>
              <w:right w:val="single" w:sz="8" w:space="0" w:color="000000"/>
            </w:tcBorders>
            <w:shd w:val="clear" w:color="auto" w:fill="auto"/>
            <w:vAlign w:val="center"/>
          </w:tcPr>
          <w:p w14:paraId="7480D7E0"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.088</w:t>
            </w:r>
          </w:p>
        </w:tc>
        <w:tc>
          <w:tcPr>
            <w:tcW w:w="805" w:type="dxa"/>
            <w:tcBorders>
              <w:top w:val="nil"/>
              <w:left w:val="single" w:sz="8" w:space="0" w:color="000000"/>
              <w:bottom w:val="nil"/>
              <w:right w:val="nil"/>
            </w:tcBorders>
            <w:shd w:val="clear" w:color="auto" w:fill="auto"/>
            <w:vAlign w:val="center"/>
          </w:tcPr>
          <w:p w14:paraId="0DE6A157"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63C84EE9"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1688255A"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nil"/>
            </w:tcBorders>
            <w:vAlign w:val="center"/>
          </w:tcPr>
          <w:p w14:paraId="000DA5F8"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4C5E5638" w14:textId="77777777">
        <w:trPr>
          <w:trHeight w:val="20"/>
        </w:trPr>
        <w:tc>
          <w:tcPr>
            <w:tcW w:w="2246" w:type="dxa"/>
            <w:tcBorders>
              <w:top w:val="nil"/>
              <w:left w:val="nil"/>
              <w:bottom w:val="nil"/>
              <w:right w:val="nil"/>
            </w:tcBorders>
            <w:shd w:val="clear" w:color="auto" w:fill="auto"/>
            <w:vAlign w:val="center"/>
          </w:tcPr>
          <w:p w14:paraId="1DF40D6D" w14:textId="77777777" w:rsidR="00724AB5" w:rsidRDefault="007D385F">
            <w:pPr>
              <w:spacing w:after="0" w:line="240" w:lineRule="auto"/>
              <w:ind w:firstLine="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    </w:t>
            </w:r>
          </w:p>
        </w:tc>
        <w:tc>
          <w:tcPr>
            <w:tcW w:w="1261" w:type="dxa"/>
            <w:tcBorders>
              <w:top w:val="nil"/>
              <w:left w:val="nil"/>
              <w:bottom w:val="nil"/>
              <w:right w:val="nil"/>
            </w:tcBorders>
            <w:shd w:val="clear" w:color="auto" w:fill="auto"/>
            <w:vAlign w:val="bottom"/>
          </w:tcPr>
          <w:p w14:paraId="36B3DC1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 (80.4)</w:t>
            </w:r>
          </w:p>
        </w:tc>
        <w:tc>
          <w:tcPr>
            <w:tcW w:w="1262" w:type="dxa"/>
            <w:tcBorders>
              <w:top w:val="nil"/>
              <w:left w:val="nil"/>
              <w:bottom w:val="nil"/>
              <w:right w:val="nil"/>
            </w:tcBorders>
            <w:shd w:val="clear" w:color="auto" w:fill="auto"/>
            <w:vAlign w:val="bottom"/>
          </w:tcPr>
          <w:p w14:paraId="2D0E97B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 (66.7)</w:t>
            </w:r>
          </w:p>
        </w:tc>
        <w:tc>
          <w:tcPr>
            <w:tcW w:w="1081" w:type="dxa"/>
            <w:tcBorders>
              <w:top w:val="nil"/>
              <w:left w:val="nil"/>
              <w:bottom w:val="nil"/>
              <w:right w:val="nil"/>
            </w:tcBorders>
            <w:shd w:val="clear" w:color="auto" w:fill="auto"/>
            <w:vAlign w:val="center"/>
          </w:tcPr>
          <w:p w14:paraId="23DE7CDB"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29689455"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2C0F524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1.91</w:t>
            </w:r>
          </w:p>
        </w:tc>
        <w:tc>
          <w:tcPr>
            <w:tcW w:w="721" w:type="dxa"/>
            <w:tcBorders>
              <w:top w:val="nil"/>
              <w:left w:val="nil"/>
              <w:bottom w:val="nil"/>
              <w:right w:val="nil"/>
            </w:tcBorders>
            <w:shd w:val="clear" w:color="auto" w:fill="auto"/>
            <w:vAlign w:val="center"/>
          </w:tcPr>
          <w:p w14:paraId="62D3452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1.34</w:t>
            </w:r>
          </w:p>
        </w:tc>
        <w:tc>
          <w:tcPr>
            <w:tcW w:w="721" w:type="dxa"/>
            <w:tcBorders>
              <w:top w:val="nil"/>
              <w:left w:val="nil"/>
              <w:bottom w:val="nil"/>
              <w:right w:val="nil"/>
            </w:tcBorders>
            <w:shd w:val="clear" w:color="auto" w:fill="auto"/>
            <w:vAlign w:val="center"/>
          </w:tcPr>
          <w:p w14:paraId="5E0FE1B2"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2.76</w:t>
            </w:r>
          </w:p>
        </w:tc>
        <w:tc>
          <w:tcPr>
            <w:tcW w:w="811" w:type="dxa"/>
            <w:tcBorders>
              <w:top w:val="nil"/>
              <w:left w:val="nil"/>
              <w:bottom w:val="nil"/>
              <w:right w:val="nil"/>
            </w:tcBorders>
            <w:vAlign w:val="center"/>
          </w:tcPr>
          <w:p w14:paraId="22525A49"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&lt;.001</w:t>
            </w:r>
          </w:p>
        </w:tc>
      </w:tr>
      <w:tr w:rsidR="00724AB5" w14:paraId="08FD6831" w14:textId="77777777">
        <w:trPr>
          <w:trHeight w:val="20"/>
        </w:trPr>
        <w:tc>
          <w:tcPr>
            <w:tcW w:w="2246" w:type="dxa"/>
            <w:tcBorders>
              <w:top w:val="nil"/>
              <w:left w:val="nil"/>
              <w:bottom w:val="nil"/>
              <w:right w:val="nil"/>
            </w:tcBorders>
            <w:shd w:val="clear" w:color="auto" w:fill="auto"/>
            <w:vAlign w:val="center"/>
          </w:tcPr>
          <w:p w14:paraId="5A1E88EB" w14:textId="77777777" w:rsidR="00724AB5" w:rsidRDefault="007D385F">
            <w:pPr>
              <w:spacing w:after="0" w:line="240" w:lineRule="auto"/>
              <w:ind w:firstLine="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Yes   </w:t>
            </w:r>
          </w:p>
        </w:tc>
        <w:tc>
          <w:tcPr>
            <w:tcW w:w="1261" w:type="dxa"/>
            <w:tcBorders>
              <w:top w:val="nil"/>
              <w:left w:val="nil"/>
              <w:bottom w:val="nil"/>
              <w:right w:val="nil"/>
            </w:tcBorders>
            <w:shd w:val="clear" w:color="auto" w:fill="auto"/>
            <w:vAlign w:val="bottom"/>
          </w:tcPr>
          <w:p w14:paraId="607792C2"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 (19.6)</w:t>
            </w:r>
          </w:p>
        </w:tc>
        <w:tc>
          <w:tcPr>
            <w:tcW w:w="1262" w:type="dxa"/>
            <w:tcBorders>
              <w:top w:val="nil"/>
              <w:left w:val="nil"/>
              <w:bottom w:val="nil"/>
              <w:right w:val="nil"/>
            </w:tcBorders>
            <w:shd w:val="clear" w:color="auto" w:fill="auto"/>
            <w:vAlign w:val="bottom"/>
          </w:tcPr>
          <w:p w14:paraId="66461230"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 (33.3)</w:t>
            </w:r>
          </w:p>
        </w:tc>
        <w:tc>
          <w:tcPr>
            <w:tcW w:w="1081" w:type="dxa"/>
            <w:tcBorders>
              <w:top w:val="nil"/>
              <w:left w:val="nil"/>
              <w:bottom w:val="nil"/>
              <w:right w:val="nil"/>
            </w:tcBorders>
            <w:shd w:val="clear" w:color="auto" w:fill="auto"/>
            <w:vAlign w:val="center"/>
          </w:tcPr>
          <w:p w14:paraId="2934A2FD"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635D9ECC"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19A1DE9D"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2.04</w:t>
            </w:r>
          </w:p>
        </w:tc>
        <w:tc>
          <w:tcPr>
            <w:tcW w:w="721" w:type="dxa"/>
            <w:tcBorders>
              <w:top w:val="nil"/>
              <w:left w:val="nil"/>
              <w:bottom w:val="nil"/>
              <w:right w:val="nil"/>
            </w:tcBorders>
            <w:shd w:val="clear" w:color="auto" w:fill="auto"/>
            <w:vAlign w:val="center"/>
          </w:tcPr>
          <w:p w14:paraId="71E5F31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0.99</w:t>
            </w:r>
          </w:p>
        </w:tc>
        <w:tc>
          <w:tcPr>
            <w:tcW w:w="721" w:type="dxa"/>
            <w:tcBorders>
              <w:top w:val="nil"/>
              <w:left w:val="nil"/>
              <w:bottom w:val="nil"/>
              <w:right w:val="nil"/>
            </w:tcBorders>
            <w:shd w:val="clear" w:color="auto" w:fill="auto"/>
            <w:vAlign w:val="center"/>
          </w:tcPr>
          <w:p w14:paraId="1DABB33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4.52</w:t>
            </w:r>
          </w:p>
        </w:tc>
        <w:tc>
          <w:tcPr>
            <w:tcW w:w="811" w:type="dxa"/>
            <w:tcBorders>
              <w:top w:val="nil"/>
              <w:left w:val="nil"/>
              <w:bottom w:val="nil"/>
              <w:right w:val="nil"/>
            </w:tcBorders>
            <w:vAlign w:val="center"/>
          </w:tcPr>
          <w:p w14:paraId="5F061FC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.063</w:t>
            </w:r>
          </w:p>
        </w:tc>
      </w:tr>
      <w:tr w:rsidR="00724AB5" w14:paraId="18BA79B9" w14:textId="77777777">
        <w:trPr>
          <w:trHeight w:val="20"/>
        </w:trPr>
        <w:tc>
          <w:tcPr>
            <w:tcW w:w="2246" w:type="dxa"/>
            <w:tcBorders>
              <w:top w:val="nil"/>
              <w:left w:val="nil"/>
              <w:bottom w:val="nil"/>
              <w:right w:val="nil"/>
            </w:tcBorders>
            <w:shd w:val="clear" w:color="auto" w:fill="auto"/>
            <w:vAlign w:val="center"/>
          </w:tcPr>
          <w:p w14:paraId="7C92C5F0"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High Winds</w:t>
            </w:r>
          </w:p>
        </w:tc>
        <w:tc>
          <w:tcPr>
            <w:tcW w:w="1261" w:type="dxa"/>
            <w:tcBorders>
              <w:top w:val="nil"/>
              <w:left w:val="nil"/>
              <w:bottom w:val="nil"/>
              <w:right w:val="nil"/>
            </w:tcBorders>
            <w:shd w:val="clear" w:color="auto" w:fill="auto"/>
            <w:vAlign w:val="center"/>
          </w:tcPr>
          <w:p w14:paraId="25C0737D" w14:textId="77777777" w:rsidR="00724AB5" w:rsidRDefault="00724AB5">
            <w:pPr>
              <w:spacing w:after="0" w:line="240" w:lineRule="auto"/>
              <w:jc w:val="center"/>
              <w:rPr>
                <w:rFonts w:ascii="Times New Roman" w:eastAsia="Times New Roman" w:hAnsi="Times New Roman" w:cs="Times New Roman"/>
                <w:sz w:val="18"/>
                <w:szCs w:val="18"/>
              </w:rPr>
            </w:pPr>
          </w:p>
        </w:tc>
        <w:tc>
          <w:tcPr>
            <w:tcW w:w="1262" w:type="dxa"/>
            <w:tcBorders>
              <w:top w:val="nil"/>
              <w:left w:val="nil"/>
              <w:bottom w:val="nil"/>
              <w:right w:val="nil"/>
            </w:tcBorders>
            <w:shd w:val="clear" w:color="auto" w:fill="auto"/>
            <w:vAlign w:val="center"/>
          </w:tcPr>
          <w:p w14:paraId="631B3A14" w14:textId="77777777" w:rsidR="00724AB5" w:rsidRDefault="00724AB5">
            <w:pPr>
              <w:spacing w:after="0" w:line="240" w:lineRule="auto"/>
              <w:jc w:val="center"/>
              <w:rPr>
                <w:rFonts w:ascii="Times New Roman" w:eastAsia="Times New Roman" w:hAnsi="Times New Roman" w:cs="Times New Roman"/>
                <w:sz w:val="18"/>
                <w:szCs w:val="18"/>
              </w:rPr>
            </w:pPr>
          </w:p>
        </w:tc>
        <w:tc>
          <w:tcPr>
            <w:tcW w:w="1081" w:type="dxa"/>
            <w:tcBorders>
              <w:top w:val="nil"/>
              <w:left w:val="nil"/>
              <w:bottom w:val="nil"/>
              <w:right w:val="nil"/>
            </w:tcBorders>
            <w:shd w:val="clear" w:color="auto" w:fill="auto"/>
            <w:vAlign w:val="center"/>
          </w:tcPr>
          <w:p w14:paraId="26900FE5"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4.75(1)</w:t>
            </w:r>
          </w:p>
        </w:tc>
        <w:tc>
          <w:tcPr>
            <w:tcW w:w="811" w:type="dxa"/>
            <w:tcBorders>
              <w:top w:val="nil"/>
              <w:left w:val="nil"/>
              <w:bottom w:val="nil"/>
              <w:right w:val="single" w:sz="8" w:space="0" w:color="000000"/>
            </w:tcBorders>
            <w:shd w:val="clear" w:color="auto" w:fill="auto"/>
            <w:vAlign w:val="center"/>
          </w:tcPr>
          <w:p w14:paraId="7FBE9CFA"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.029</w:t>
            </w:r>
          </w:p>
        </w:tc>
        <w:tc>
          <w:tcPr>
            <w:tcW w:w="805" w:type="dxa"/>
            <w:tcBorders>
              <w:top w:val="nil"/>
              <w:left w:val="single" w:sz="8" w:space="0" w:color="000000"/>
              <w:bottom w:val="nil"/>
              <w:right w:val="nil"/>
            </w:tcBorders>
            <w:shd w:val="clear" w:color="auto" w:fill="auto"/>
            <w:vAlign w:val="center"/>
          </w:tcPr>
          <w:p w14:paraId="4E992C63"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6548BEAF"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32C82EEB"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nil"/>
            </w:tcBorders>
            <w:vAlign w:val="center"/>
          </w:tcPr>
          <w:p w14:paraId="44BCC410"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704B68E7" w14:textId="77777777">
        <w:trPr>
          <w:trHeight w:val="20"/>
        </w:trPr>
        <w:tc>
          <w:tcPr>
            <w:tcW w:w="2246" w:type="dxa"/>
            <w:tcBorders>
              <w:top w:val="nil"/>
              <w:left w:val="nil"/>
              <w:bottom w:val="nil"/>
              <w:right w:val="nil"/>
            </w:tcBorders>
            <w:shd w:val="clear" w:color="auto" w:fill="auto"/>
            <w:vAlign w:val="center"/>
          </w:tcPr>
          <w:p w14:paraId="44DC74DD" w14:textId="77777777" w:rsidR="00724AB5" w:rsidRDefault="007D385F">
            <w:pPr>
              <w:spacing w:after="0" w:line="240" w:lineRule="auto"/>
              <w:ind w:firstLine="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    </w:t>
            </w:r>
          </w:p>
        </w:tc>
        <w:tc>
          <w:tcPr>
            <w:tcW w:w="1261" w:type="dxa"/>
            <w:tcBorders>
              <w:top w:val="nil"/>
              <w:left w:val="nil"/>
              <w:bottom w:val="nil"/>
              <w:right w:val="nil"/>
            </w:tcBorders>
            <w:shd w:val="clear" w:color="auto" w:fill="auto"/>
            <w:vAlign w:val="bottom"/>
          </w:tcPr>
          <w:p w14:paraId="587C272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 (62.5)</w:t>
            </w:r>
          </w:p>
        </w:tc>
        <w:tc>
          <w:tcPr>
            <w:tcW w:w="1262" w:type="dxa"/>
            <w:tcBorders>
              <w:top w:val="nil"/>
              <w:left w:val="nil"/>
              <w:bottom w:val="nil"/>
              <w:right w:val="nil"/>
            </w:tcBorders>
            <w:shd w:val="clear" w:color="auto" w:fill="auto"/>
            <w:vAlign w:val="bottom"/>
          </w:tcPr>
          <w:p w14:paraId="2DF6564A"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102 (79.1)</w:t>
            </w:r>
          </w:p>
        </w:tc>
        <w:tc>
          <w:tcPr>
            <w:tcW w:w="1081" w:type="dxa"/>
            <w:tcBorders>
              <w:top w:val="nil"/>
              <w:left w:val="nil"/>
              <w:bottom w:val="nil"/>
              <w:right w:val="nil"/>
            </w:tcBorders>
            <w:shd w:val="clear" w:color="auto" w:fill="auto"/>
            <w:vAlign w:val="center"/>
          </w:tcPr>
          <w:p w14:paraId="5E590FED"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19C4D609"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2F53D01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2.91</w:t>
            </w:r>
          </w:p>
        </w:tc>
        <w:tc>
          <w:tcPr>
            <w:tcW w:w="721" w:type="dxa"/>
            <w:tcBorders>
              <w:top w:val="nil"/>
              <w:left w:val="nil"/>
              <w:bottom w:val="nil"/>
              <w:right w:val="nil"/>
            </w:tcBorders>
            <w:shd w:val="clear" w:color="auto" w:fill="auto"/>
            <w:vAlign w:val="center"/>
          </w:tcPr>
          <w:p w14:paraId="3D61E9E0"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w:t>
            </w:r>
          </w:p>
        </w:tc>
        <w:tc>
          <w:tcPr>
            <w:tcW w:w="721" w:type="dxa"/>
            <w:tcBorders>
              <w:top w:val="nil"/>
              <w:left w:val="nil"/>
              <w:bottom w:val="nil"/>
              <w:right w:val="nil"/>
            </w:tcBorders>
            <w:shd w:val="clear" w:color="auto" w:fill="auto"/>
            <w:vAlign w:val="center"/>
          </w:tcPr>
          <w:p w14:paraId="70561E1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4.33</w:t>
            </w:r>
          </w:p>
        </w:tc>
        <w:tc>
          <w:tcPr>
            <w:tcW w:w="811" w:type="dxa"/>
            <w:tcBorders>
              <w:top w:val="nil"/>
              <w:left w:val="nil"/>
              <w:bottom w:val="nil"/>
              <w:right w:val="nil"/>
            </w:tcBorders>
            <w:vAlign w:val="center"/>
          </w:tcPr>
          <w:p w14:paraId="32CCA7BA"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&lt;.001</w:t>
            </w:r>
          </w:p>
        </w:tc>
      </w:tr>
      <w:tr w:rsidR="00724AB5" w14:paraId="00234D2F" w14:textId="77777777">
        <w:trPr>
          <w:trHeight w:val="20"/>
        </w:trPr>
        <w:tc>
          <w:tcPr>
            <w:tcW w:w="2246" w:type="dxa"/>
            <w:tcBorders>
              <w:top w:val="nil"/>
              <w:left w:val="nil"/>
              <w:bottom w:val="nil"/>
              <w:right w:val="nil"/>
            </w:tcBorders>
            <w:shd w:val="clear" w:color="auto" w:fill="auto"/>
            <w:vAlign w:val="center"/>
          </w:tcPr>
          <w:p w14:paraId="18045A0F" w14:textId="77777777" w:rsidR="00724AB5" w:rsidRDefault="007D385F">
            <w:pPr>
              <w:spacing w:after="0" w:line="240" w:lineRule="auto"/>
              <w:ind w:firstLine="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Yes   </w:t>
            </w:r>
          </w:p>
        </w:tc>
        <w:tc>
          <w:tcPr>
            <w:tcW w:w="1261" w:type="dxa"/>
            <w:tcBorders>
              <w:top w:val="nil"/>
              <w:left w:val="nil"/>
              <w:bottom w:val="nil"/>
              <w:right w:val="nil"/>
            </w:tcBorders>
            <w:shd w:val="clear" w:color="auto" w:fill="auto"/>
            <w:vAlign w:val="bottom"/>
          </w:tcPr>
          <w:p w14:paraId="79FFB9E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 (37.5)</w:t>
            </w:r>
          </w:p>
        </w:tc>
        <w:tc>
          <w:tcPr>
            <w:tcW w:w="1262" w:type="dxa"/>
            <w:tcBorders>
              <w:top w:val="nil"/>
              <w:left w:val="nil"/>
              <w:bottom w:val="nil"/>
              <w:right w:val="nil"/>
            </w:tcBorders>
            <w:shd w:val="clear" w:color="auto" w:fill="auto"/>
            <w:vAlign w:val="bottom"/>
          </w:tcPr>
          <w:p w14:paraId="628BC58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 (20.9)</w:t>
            </w:r>
          </w:p>
        </w:tc>
        <w:tc>
          <w:tcPr>
            <w:tcW w:w="1081" w:type="dxa"/>
            <w:tcBorders>
              <w:top w:val="nil"/>
              <w:left w:val="nil"/>
              <w:bottom w:val="nil"/>
              <w:right w:val="nil"/>
            </w:tcBorders>
            <w:shd w:val="clear" w:color="auto" w:fill="auto"/>
            <w:vAlign w:val="center"/>
          </w:tcPr>
          <w:p w14:paraId="2726D57E"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17D914BF"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7DFDB248"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0.44</w:t>
            </w:r>
          </w:p>
        </w:tc>
        <w:tc>
          <w:tcPr>
            <w:tcW w:w="721" w:type="dxa"/>
            <w:tcBorders>
              <w:top w:val="nil"/>
              <w:left w:val="nil"/>
              <w:bottom w:val="nil"/>
              <w:right w:val="nil"/>
            </w:tcBorders>
            <w:shd w:val="clear" w:color="auto" w:fill="auto"/>
            <w:vAlign w:val="center"/>
          </w:tcPr>
          <w:p w14:paraId="08AD7EA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0.22</w:t>
            </w:r>
          </w:p>
        </w:tc>
        <w:tc>
          <w:tcPr>
            <w:tcW w:w="721" w:type="dxa"/>
            <w:tcBorders>
              <w:top w:val="nil"/>
              <w:left w:val="nil"/>
              <w:bottom w:val="nil"/>
              <w:right w:val="nil"/>
            </w:tcBorders>
            <w:shd w:val="clear" w:color="auto" w:fill="auto"/>
            <w:vAlign w:val="center"/>
          </w:tcPr>
          <w:p w14:paraId="02DF8D6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0.88</w:t>
            </w:r>
          </w:p>
        </w:tc>
        <w:tc>
          <w:tcPr>
            <w:tcW w:w="811" w:type="dxa"/>
            <w:tcBorders>
              <w:top w:val="nil"/>
              <w:left w:val="nil"/>
              <w:bottom w:val="nil"/>
              <w:right w:val="nil"/>
            </w:tcBorders>
            <w:vAlign w:val="center"/>
          </w:tcPr>
          <w:p w14:paraId="553F802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.019</w:t>
            </w:r>
          </w:p>
        </w:tc>
      </w:tr>
      <w:tr w:rsidR="00724AB5" w14:paraId="07036A1E" w14:textId="77777777">
        <w:trPr>
          <w:trHeight w:val="20"/>
        </w:trPr>
        <w:tc>
          <w:tcPr>
            <w:tcW w:w="2246" w:type="dxa"/>
            <w:tcBorders>
              <w:top w:val="nil"/>
              <w:left w:val="nil"/>
              <w:bottom w:val="nil"/>
              <w:right w:val="nil"/>
            </w:tcBorders>
            <w:shd w:val="clear" w:color="auto" w:fill="auto"/>
            <w:vAlign w:val="center"/>
          </w:tcPr>
          <w:p w14:paraId="6554AA5C"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High humidity</w:t>
            </w:r>
          </w:p>
        </w:tc>
        <w:tc>
          <w:tcPr>
            <w:tcW w:w="1261" w:type="dxa"/>
            <w:tcBorders>
              <w:top w:val="nil"/>
              <w:left w:val="nil"/>
              <w:bottom w:val="nil"/>
              <w:right w:val="nil"/>
            </w:tcBorders>
            <w:shd w:val="clear" w:color="auto" w:fill="auto"/>
            <w:vAlign w:val="center"/>
          </w:tcPr>
          <w:p w14:paraId="7C1884A7" w14:textId="77777777" w:rsidR="00724AB5" w:rsidRDefault="00724AB5">
            <w:pPr>
              <w:spacing w:after="0" w:line="240" w:lineRule="auto"/>
              <w:jc w:val="center"/>
              <w:rPr>
                <w:rFonts w:ascii="Times New Roman" w:eastAsia="Times New Roman" w:hAnsi="Times New Roman" w:cs="Times New Roman"/>
                <w:sz w:val="18"/>
                <w:szCs w:val="18"/>
              </w:rPr>
            </w:pPr>
          </w:p>
        </w:tc>
        <w:tc>
          <w:tcPr>
            <w:tcW w:w="1262" w:type="dxa"/>
            <w:tcBorders>
              <w:top w:val="nil"/>
              <w:left w:val="nil"/>
              <w:bottom w:val="nil"/>
              <w:right w:val="nil"/>
            </w:tcBorders>
            <w:shd w:val="clear" w:color="auto" w:fill="auto"/>
            <w:vAlign w:val="center"/>
          </w:tcPr>
          <w:p w14:paraId="53A60536" w14:textId="77777777" w:rsidR="00724AB5" w:rsidRDefault="00724AB5">
            <w:pPr>
              <w:spacing w:after="0" w:line="240" w:lineRule="auto"/>
              <w:jc w:val="center"/>
              <w:rPr>
                <w:rFonts w:ascii="Times New Roman" w:eastAsia="Times New Roman" w:hAnsi="Times New Roman" w:cs="Times New Roman"/>
                <w:sz w:val="18"/>
                <w:szCs w:val="18"/>
              </w:rPr>
            </w:pPr>
          </w:p>
        </w:tc>
        <w:tc>
          <w:tcPr>
            <w:tcW w:w="1081" w:type="dxa"/>
            <w:tcBorders>
              <w:top w:val="nil"/>
              <w:left w:val="nil"/>
              <w:bottom w:val="nil"/>
              <w:right w:val="nil"/>
            </w:tcBorders>
            <w:shd w:val="clear" w:color="auto" w:fill="auto"/>
            <w:vAlign w:val="center"/>
          </w:tcPr>
          <w:p w14:paraId="2322BCEA"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10.12(1)</w:t>
            </w:r>
          </w:p>
        </w:tc>
        <w:tc>
          <w:tcPr>
            <w:tcW w:w="811" w:type="dxa"/>
            <w:tcBorders>
              <w:top w:val="nil"/>
              <w:left w:val="nil"/>
              <w:bottom w:val="nil"/>
              <w:right w:val="single" w:sz="8" w:space="0" w:color="000000"/>
            </w:tcBorders>
            <w:shd w:val="clear" w:color="auto" w:fill="auto"/>
            <w:vAlign w:val="center"/>
          </w:tcPr>
          <w:p w14:paraId="06B61DC0"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.001</w:t>
            </w:r>
          </w:p>
        </w:tc>
        <w:tc>
          <w:tcPr>
            <w:tcW w:w="805" w:type="dxa"/>
            <w:tcBorders>
              <w:top w:val="nil"/>
              <w:left w:val="single" w:sz="8" w:space="0" w:color="000000"/>
              <w:bottom w:val="nil"/>
              <w:right w:val="nil"/>
            </w:tcBorders>
            <w:shd w:val="clear" w:color="auto" w:fill="auto"/>
            <w:vAlign w:val="center"/>
          </w:tcPr>
          <w:p w14:paraId="139FFFD5"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7C2640E1"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6293E1E9"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nil"/>
            </w:tcBorders>
            <w:vAlign w:val="center"/>
          </w:tcPr>
          <w:p w14:paraId="5E4E9051"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44CD6D63" w14:textId="77777777">
        <w:trPr>
          <w:trHeight w:val="20"/>
        </w:trPr>
        <w:tc>
          <w:tcPr>
            <w:tcW w:w="2246" w:type="dxa"/>
            <w:tcBorders>
              <w:top w:val="nil"/>
              <w:left w:val="nil"/>
              <w:bottom w:val="nil"/>
              <w:right w:val="nil"/>
            </w:tcBorders>
            <w:shd w:val="clear" w:color="auto" w:fill="auto"/>
            <w:vAlign w:val="center"/>
          </w:tcPr>
          <w:p w14:paraId="290AA996" w14:textId="77777777" w:rsidR="00724AB5" w:rsidRDefault="007D385F">
            <w:pPr>
              <w:spacing w:after="0" w:line="240" w:lineRule="auto"/>
              <w:ind w:firstLine="3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No    </w:t>
            </w:r>
          </w:p>
        </w:tc>
        <w:tc>
          <w:tcPr>
            <w:tcW w:w="1261" w:type="dxa"/>
            <w:tcBorders>
              <w:top w:val="nil"/>
              <w:left w:val="nil"/>
              <w:bottom w:val="nil"/>
              <w:right w:val="nil"/>
            </w:tcBorders>
            <w:shd w:val="clear" w:color="auto" w:fill="auto"/>
            <w:vAlign w:val="bottom"/>
          </w:tcPr>
          <w:p w14:paraId="1918AB2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 (46.4)</w:t>
            </w:r>
          </w:p>
        </w:tc>
        <w:tc>
          <w:tcPr>
            <w:tcW w:w="1262" w:type="dxa"/>
            <w:tcBorders>
              <w:top w:val="nil"/>
              <w:left w:val="nil"/>
              <w:bottom w:val="nil"/>
              <w:right w:val="nil"/>
            </w:tcBorders>
            <w:shd w:val="clear" w:color="auto" w:fill="auto"/>
            <w:vAlign w:val="bottom"/>
          </w:tcPr>
          <w:p w14:paraId="626B7BF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93 (72.1)</w:t>
            </w:r>
          </w:p>
        </w:tc>
        <w:tc>
          <w:tcPr>
            <w:tcW w:w="1081" w:type="dxa"/>
            <w:tcBorders>
              <w:top w:val="nil"/>
              <w:left w:val="nil"/>
              <w:bottom w:val="nil"/>
              <w:right w:val="nil"/>
            </w:tcBorders>
            <w:shd w:val="clear" w:color="auto" w:fill="auto"/>
            <w:vAlign w:val="center"/>
          </w:tcPr>
          <w:p w14:paraId="5080A447"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722B0BEF"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7875CF59"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3.58</w:t>
            </w:r>
          </w:p>
        </w:tc>
        <w:tc>
          <w:tcPr>
            <w:tcW w:w="721" w:type="dxa"/>
            <w:tcBorders>
              <w:top w:val="nil"/>
              <w:left w:val="nil"/>
              <w:bottom w:val="nil"/>
              <w:right w:val="nil"/>
            </w:tcBorders>
            <w:shd w:val="clear" w:color="auto" w:fill="auto"/>
            <w:vAlign w:val="center"/>
          </w:tcPr>
          <w:p w14:paraId="5AA08F8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2.35</w:t>
            </w:r>
          </w:p>
        </w:tc>
        <w:tc>
          <w:tcPr>
            <w:tcW w:w="721" w:type="dxa"/>
            <w:tcBorders>
              <w:top w:val="nil"/>
              <w:left w:val="nil"/>
              <w:bottom w:val="nil"/>
              <w:right w:val="nil"/>
            </w:tcBorders>
            <w:shd w:val="clear" w:color="auto" w:fill="auto"/>
            <w:vAlign w:val="center"/>
          </w:tcPr>
          <w:p w14:paraId="5CAF142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5.63</w:t>
            </w:r>
          </w:p>
        </w:tc>
        <w:tc>
          <w:tcPr>
            <w:tcW w:w="811" w:type="dxa"/>
            <w:tcBorders>
              <w:top w:val="nil"/>
              <w:left w:val="nil"/>
              <w:bottom w:val="nil"/>
              <w:right w:val="nil"/>
            </w:tcBorders>
            <w:vAlign w:val="center"/>
          </w:tcPr>
          <w:p w14:paraId="43A5A590"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&lt;.001</w:t>
            </w:r>
          </w:p>
        </w:tc>
      </w:tr>
      <w:tr w:rsidR="00724AB5" w14:paraId="7E7565FF" w14:textId="77777777">
        <w:trPr>
          <w:trHeight w:val="20"/>
        </w:trPr>
        <w:tc>
          <w:tcPr>
            <w:tcW w:w="2246" w:type="dxa"/>
            <w:tcBorders>
              <w:top w:val="nil"/>
              <w:left w:val="nil"/>
              <w:bottom w:val="nil"/>
              <w:right w:val="nil"/>
            </w:tcBorders>
            <w:shd w:val="clear" w:color="auto" w:fill="auto"/>
            <w:vAlign w:val="center"/>
          </w:tcPr>
          <w:p w14:paraId="17EA5445" w14:textId="77777777" w:rsidR="00724AB5" w:rsidRDefault="007D385F">
            <w:pPr>
              <w:spacing w:after="0" w:line="240" w:lineRule="auto"/>
              <w:ind w:firstLine="360"/>
              <w:rPr>
                <w:rFonts w:ascii="Times New Roman" w:eastAsia="Times New Roman" w:hAnsi="Times New Roman" w:cs="Times New Roman"/>
                <w:sz w:val="18"/>
                <w:szCs w:val="18"/>
              </w:rPr>
            </w:pPr>
            <w:bookmarkStart w:id="18" w:name="_uibxng3b95t1" w:colFirst="0" w:colLast="0"/>
            <w:bookmarkEnd w:id="18"/>
            <w:r>
              <w:rPr>
                <w:rFonts w:ascii="Times New Roman" w:eastAsia="Times New Roman" w:hAnsi="Times New Roman" w:cs="Times New Roman"/>
                <w:sz w:val="18"/>
                <w:szCs w:val="18"/>
              </w:rPr>
              <w:t xml:space="preserve">Yes   </w:t>
            </w:r>
          </w:p>
        </w:tc>
        <w:tc>
          <w:tcPr>
            <w:tcW w:w="1261" w:type="dxa"/>
            <w:tcBorders>
              <w:top w:val="nil"/>
              <w:left w:val="nil"/>
              <w:bottom w:val="nil"/>
              <w:right w:val="nil"/>
            </w:tcBorders>
            <w:shd w:val="clear" w:color="auto" w:fill="auto"/>
            <w:vAlign w:val="bottom"/>
          </w:tcPr>
          <w:p w14:paraId="13AFA4B9"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30 </w:t>
            </w:r>
            <w:r>
              <w:rPr>
                <w:rFonts w:ascii="Times New Roman" w:eastAsia="Times New Roman" w:hAnsi="Times New Roman" w:cs="Times New Roman"/>
                <w:sz w:val="18"/>
                <w:szCs w:val="18"/>
              </w:rPr>
              <w:t>(53.6)</w:t>
            </w:r>
          </w:p>
        </w:tc>
        <w:tc>
          <w:tcPr>
            <w:tcW w:w="1262" w:type="dxa"/>
            <w:tcBorders>
              <w:top w:val="nil"/>
              <w:left w:val="nil"/>
              <w:bottom w:val="nil"/>
              <w:right w:val="nil"/>
            </w:tcBorders>
            <w:shd w:val="clear" w:color="auto" w:fill="auto"/>
            <w:vAlign w:val="bottom"/>
          </w:tcPr>
          <w:p w14:paraId="544F15E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 (27.9)</w:t>
            </w:r>
          </w:p>
        </w:tc>
        <w:tc>
          <w:tcPr>
            <w:tcW w:w="1081" w:type="dxa"/>
            <w:tcBorders>
              <w:top w:val="nil"/>
              <w:left w:val="nil"/>
              <w:bottom w:val="nil"/>
              <w:right w:val="nil"/>
            </w:tcBorders>
            <w:shd w:val="clear" w:color="auto" w:fill="auto"/>
            <w:vAlign w:val="center"/>
          </w:tcPr>
          <w:p w14:paraId="790786A5"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30C55856"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1DDAA06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0.33</w:t>
            </w:r>
          </w:p>
        </w:tc>
        <w:tc>
          <w:tcPr>
            <w:tcW w:w="721" w:type="dxa"/>
            <w:tcBorders>
              <w:top w:val="nil"/>
              <w:left w:val="nil"/>
              <w:bottom w:val="nil"/>
              <w:right w:val="nil"/>
            </w:tcBorders>
            <w:shd w:val="clear" w:color="auto" w:fill="auto"/>
            <w:vAlign w:val="center"/>
          </w:tcPr>
          <w:p w14:paraId="67485BF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0.17</w:t>
            </w:r>
          </w:p>
        </w:tc>
        <w:tc>
          <w:tcPr>
            <w:tcW w:w="721" w:type="dxa"/>
            <w:tcBorders>
              <w:top w:val="nil"/>
              <w:left w:val="nil"/>
              <w:bottom w:val="nil"/>
              <w:right w:val="nil"/>
            </w:tcBorders>
            <w:shd w:val="clear" w:color="auto" w:fill="auto"/>
            <w:vAlign w:val="center"/>
          </w:tcPr>
          <w:p w14:paraId="5DFE118A"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0.64</w:t>
            </w:r>
          </w:p>
        </w:tc>
        <w:tc>
          <w:tcPr>
            <w:tcW w:w="811" w:type="dxa"/>
            <w:tcBorders>
              <w:top w:val="nil"/>
              <w:left w:val="nil"/>
              <w:bottom w:val="nil"/>
              <w:right w:val="nil"/>
            </w:tcBorders>
            <w:vAlign w:val="center"/>
          </w:tcPr>
          <w:p w14:paraId="76F3B50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.001</w:t>
            </w:r>
          </w:p>
        </w:tc>
      </w:tr>
      <w:tr w:rsidR="00724AB5" w14:paraId="7B1AD6D9" w14:textId="77777777">
        <w:trPr>
          <w:trHeight w:val="108"/>
        </w:trPr>
        <w:tc>
          <w:tcPr>
            <w:tcW w:w="2246" w:type="dxa"/>
            <w:tcBorders>
              <w:top w:val="nil"/>
              <w:left w:val="nil"/>
              <w:bottom w:val="nil"/>
              <w:right w:val="nil"/>
            </w:tcBorders>
            <w:shd w:val="clear" w:color="auto" w:fill="auto"/>
            <w:vAlign w:val="center"/>
          </w:tcPr>
          <w:p w14:paraId="78D6E357" w14:textId="77777777" w:rsidR="00724AB5" w:rsidRDefault="007D385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Dust exposure</w:t>
            </w:r>
          </w:p>
        </w:tc>
        <w:tc>
          <w:tcPr>
            <w:tcW w:w="1261" w:type="dxa"/>
            <w:tcBorders>
              <w:top w:val="nil"/>
              <w:left w:val="nil"/>
              <w:bottom w:val="nil"/>
              <w:right w:val="nil"/>
            </w:tcBorders>
            <w:shd w:val="clear" w:color="auto" w:fill="auto"/>
            <w:vAlign w:val="center"/>
          </w:tcPr>
          <w:p w14:paraId="66DC7C9C" w14:textId="77777777" w:rsidR="00724AB5" w:rsidRDefault="00724AB5">
            <w:pPr>
              <w:spacing w:after="0" w:line="240" w:lineRule="auto"/>
              <w:jc w:val="center"/>
              <w:rPr>
                <w:rFonts w:ascii="Times New Roman" w:eastAsia="Times New Roman" w:hAnsi="Times New Roman" w:cs="Times New Roman"/>
                <w:sz w:val="18"/>
                <w:szCs w:val="18"/>
              </w:rPr>
            </w:pPr>
          </w:p>
        </w:tc>
        <w:tc>
          <w:tcPr>
            <w:tcW w:w="1262" w:type="dxa"/>
            <w:tcBorders>
              <w:top w:val="nil"/>
              <w:left w:val="nil"/>
              <w:bottom w:val="nil"/>
              <w:right w:val="nil"/>
            </w:tcBorders>
            <w:shd w:val="clear" w:color="auto" w:fill="auto"/>
            <w:vAlign w:val="center"/>
          </w:tcPr>
          <w:p w14:paraId="33A55E30" w14:textId="77777777" w:rsidR="00724AB5" w:rsidRDefault="00724AB5">
            <w:pPr>
              <w:spacing w:after="0" w:line="240" w:lineRule="auto"/>
              <w:jc w:val="center"/>
              <w:rPr>
                <w:rFonts w:ascii="Times New Roman" w:eastAsia="Times New Roman" w:hAnsi="Times New Roman" w:cs="Times New Roman"/>
                <w:sz w:val="18"/>
                <w:szCs w:val="18"/>
              </w:rPr>
            </w:pPr>
          </w:p>
        </w:tc>
        <w:tc>
          <w:tcPr>
            <w:tcW w:w="1081" w:type="dxa"/>
            <w:tcBorders>
              <w:top w:val="nil"/>
              <w:left w:val="nil"/>
              <w:bottom w:val="nil"/>
              <w:right w:val="nil"/>
            </w:tcBorders>
            <w:shd w:val="clear" w:color="auto" w:fill="auto"/>
            <w:vAlign w:val="center"/>
          </w:tcPr>
          <w:p w14:paraId="6A1B3864"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7.96(1)</w:t>
            </w:r>
          </w:p>
        </w:tc>
        <w:tc>
          <w:tcPr>
            <w:tcW w:w="811" w:type="dxa"/>
            <w:tcBorders>
              <w:top w:val="nil"/>
              <w:left w:val="nil"/>
              <w:bottom w:val="nil"/>
              <w:right w:val="single" w:sz="8" w:space="0" w:color="000000"/>
            </w:tcBorders>
            <w:shd w:val="clear" w:color="auto" w:fill="auto"/>
            <w:vAlign w:val="center"/>
          </w:tcPr>
          <w:p w14:paraId="314F562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.005</w:t>
            </w:r>
          </w:p>
        </w:tc>
        <w:tc>
          <w:tcPr>
            <w:tcW w:w="805" w:type="dxa"/>
            <w:tcBorders>
              <w:top w:val="nil"/>
              <w:left w:val="single" w:sz="8" w:space="0" w:color="000000"/>
              <w:bottom w:val="nil"/>
              <w:right w:val="nil"/>
            </w:tcBorders>
            <w:shd w:val="clear" w:color="auto" w:fill="auto"/>
            <w:vAlign w:val="center"/>
          </w:tcPr>
          <w:p w14:paraId="4BA9F43C"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520B6D40"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1B6B06B8"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nil"/>
            </w:tcBorders>
            <w:vAlign w:val="center"/>
          </w:tcPr>
          <w:p w14:paraId="73ED8BD8"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164EBCA0" w14:textId="77777777">
        <w:trPr>
          <w:trHeight w:val="20"/>
        </w:trPr>
        <w:tc>
          <w:tcPr>
            <w:tcW w:w="2246" w:type="dxa"/>
            <w:tcBorders>
              <w:top w:val="nil"/>
              <w:left w:val="nil"/>
              <w:bottom w:val="nil"/>
              <w:right w:val="nil"/>
            </w:tcBorders>
            <w:shd w:val="clear" w:color="auto" w:fill="auto"/>
            <w:vAlign w:val="center"/>
          </w:tcPr>
          <w:p w14:paraId="4FB14CED"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    </w:t>
            </w:r>
          </w:p>
        </w:tc>
        <w:tc>
          <w:tcPr>
            <w:tcW w:w="1261" w:type="dxa"/>
            <w:tcBorders>
              <w:top w:val="nil"/>
              <w:left w:val="nil"/>
              <w:bottom w:val="nil"/>
              <w:right w:val="nil"/>
            </w:tcBorders>
            <w:shd w:val="clear" w:color="auto" w:fill="auto"/>
            <w:vAlign w:val="bottom"/>
          </w:tcPr>
          <w:p w14:paraId="5FE0F0F2"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 (67.9)</w:t>
            </w:r>
          </w:p>
        </w:tc>
        <w:tc>
          <w:tcPr>
            <w:tcW w:w="1262" w:type="dxa"/>
            <w:tcBorders>
              <w:top w:val="nil"/>
              <w:left w:val="nil"/>
              <w:bottom w:val="nil"/>
              <w:right w:val="nil"/>
            </w:tcBorders>
            <w:shd w:val="clear" w:color="auto" w:fill="auto"/>
            <w:vAlign w:val="bottom"/>
          </w:tcPr>
          <w:p w14:paraId="53884D6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112 (86.8)</w:t>
            </w:r>
          </w:p>
        </w:tc>
        <w:tc>
          <w:tcPr>
            <w:tcW w:w="1081" w:type="dxa"/>
            <w:tcBorders>
              <w:top w:val="nil"/>
              <w:left w:val="nil"/>
              <w:bottom w:val="nil"/>
              <w:right w:val="nil"/>
            </w:tcBorders>
            <w:shd w:val="clear" w:color="auto" w:fill="auto"/>
            <w:vAlign w:val="center"/>
          </w:tcPr>
          <w:p w14:paraId="2F0D576F"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2DE004F5"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062AF75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2.95</w:t>
            </w:r>
          </w:p>
        </w:tc>
        <w:tc>
          <w:tcPr>
            <w:tcW w:w="721" w:type="dxa"/>
            <w:tcBorders>
              <w:top w:val="nil"/>
              <w:left w:val="nil"/>
              <w:bottom w:val="nil"/>
              <w:right w:val="nil"/>
            </w:tcBorders>
            <w:shd w:val="clear" w:color="auto" w:fill="auto"/>
            <w:vAlign w:val="center"/>
          </w:tcPr>
          <w:p w14:paraId="39603B6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2.06</w:t>
            </w:r>
          </w:p>
        </w:tc>
        <w:tc>
          <w:tcPr>
            <w:tcW w:w="721" w:type="dxa"/>
            <w:tcBorders>
              <w:top w:val="nil"/>
              <w:left w:val="nil"/>
              <w:bottom w:val="nil"/>
              <w:right w:val="nil"/>
            </w:tcBorders>
            <w:shd w:val="clear" w:color="auto" w:fill="auto"/>
            <w:vAlign w:val="center"/>
          </w:tcPr>
          <w:p w14:paraId="3BD45E26"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4.31</w:t>
            </w:r>
          </w:p>
        </w:tc>
        <w:tc>
          <w:tcPr>
            <w:tcW w:w="811" w:type="dxa"/>
            <w:tcBorders>
              <w:top w:val="nil"/>
              <w:left w:val="nil"/>
              <w:bottom w:val="nil"/>
              <w:right w:val="nil"/>
            </w:tcBorders>
            <w:vAlign w:val="center"/>
          </w:tcPr>
          <w:p w14:paraId="5D2CAF52"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&lt;.001</w:t>
            </w:r>
          </w:p>
        </w:tc>
      </w:tr>
      <w:tr w:rsidR="00724AB5" w14:paraId="727D9074" w14:textId="77777777">
        <w:trPr>
          <w:trHeight w:val="20"/>
        </w:trPr>
        <w:tc>
          <w:tcPr>
            <w:tcW w:w="2246" w:type="dxa"/>
            <w:tcBorders>
              <w:top w:val="nil"/>
              <w:left w:val="nil"/>
              <w:bottom w:val="nil"/>
              <w:right w:val="nil"/>
            </w:tcBorders>
            <w:shd w:val="clear" w:color="auto" w:fill="auto"/>
            <w:vAlign w:val="center"/>
          </w:tcPr>
          <w:p w14:paraId="65A705D0"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Yes   </w:t>
            </w:r>
          </w:p>
        </w:tc>
        <w:tc>
          <w:tcPr>
            <w:tcW w:w="1261" w:type="dxa"/>
            <w:tcBorders>
              <w:top w:val="nil"/>
              <w:left w:val="nil"/>
              <w:bottom w:val="nil"/>
              <w:right w:val="nil"/>
            </w:tcBorders>
            <w:shd w:val="clear" w:color="auto" w:fill="auto"/>
            <w:vAlign w:val="bottom"/>
          </w:tcPr>
          <w:p w14:paraId="5396E589"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 (32.1)</w:t>
            </w:r>
          </w:p>
        </w:tc>
        <w:tc>
          <w:tcPr>
            <w:tcW w:w="1262" w:type="dxa"/>
            <w:tcBorders>
              <w:top w:val="nil"/>
              <w:left w:val="nil"/>
              <w:bottom w:val="nil"/>
              <w:right w:val="nil"/>
            </w:tcBorders>
            <w:shd w:val="clear" w:color="auto" w:fill="auto"/>
            <w:vAlign w:val="bottom"/>
          </w:tcPr>
          <w:p w14:paraId="5EF0A4F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 (13.2)</w:t>
            </w:r>
          </w:p>
        </w:tc>
        <w:tc>
          <w:tcPr>
            <w:tcW w:w="1081" w:type="dxa"/>
            <w:tcBorders>
              <w:top w:val="nil"/>
              <w:left w:val="nil"/>
              <w:bottom w:val="nil"/>
              <w:right w:val="nil"/>
            </w:tcBorders>
            <w:shd w:val="clear" w:color="auto" w:fill="auto"/>
            <w:vAlign w:val="center"/>
          </w:tcPr>
          <w:p w14:paraId="50F57CA8"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74BC2C91"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7206BA52"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0.32</w:t>
            </w:r>
          </w:p>
        </w:tc>
        <w:tc>
          <w:tcPr>
            <w:tcW w:w="721" w:type="dxa"/>
            <w:tcBorders>
              <w:top w:val="nil"/>
              <w:left w:val="nil"/>
              <w:bottom w:val="nil"/>
              <w:right w:val="nil"/>
            </w:tcBorders>
            <w:shd w:val="clear" w:color="auto" w:fill="auto"/>
            <w:vAlign w:val="center"/>
          </w:tcPr>
          <w:p w14:paraId="0726E18A"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0.15</w:t>
            </w:r>
          </w:p>
        </w:tc>
        <w:tc>
          <w:tcPr>
            <w:tcW w:w="721" w:type="dxa"/>
            <w:tcBorders>
              <w:top w:val="nil"/>
              <w:left w:val="nil"/>
              <w:bottom w:val="nil"/>
              <w:right w:val="nil"/>
            </w:tcBorders>
            <w:shd w:val="clear" w:color="auto" w:fill="auto"/>
            <w:vAlign w:val="center"/>
          </w:tcPr>
          <w:p w14:paraId="79A72772"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0.68</w:t>
            </w:r>
          </w:p>
        </w:tc>
        <w:tc>
          <w:tcPr>
            <w:tcW w:w="811" w:type="dxa"/>
            <w:tcBorders>
              <w:top w:val="nil"/>
              <w:left w:val="nil"/>
              <w:bottom w:val="nil"/>
              <w:right w:val="nil"/>
            </w:tcBorders>
            <w:vAlign w:val="center"/>
          </w:tcPr>
          <w:p w14:paraId="1CA14916"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.003</w:t>
            </w:r>
          </w:p>
        </w:tc>
      </w:tr>
      <w:tr w:rsidR="00724AB5" w14:paraId="4831A00E" w14:textId="77777777">
        <w:trPr>
          <w:trHeight w:val="288"/>
        </w:trPr>
        <w:tc>
          <w:tcPr>
            <w:tcW w:w="2246" w:type="dxa"/>
            <w:tcBorders>
              <w:top w:val="nil"/>
              <w:left w:val="nil"/>
              <w:bottom w:val="nil"/>
              <w:right w:val="nil"/>
            </w:tcBorders>
            <w:shd w:val="clear" w:color="auto" w:fill="auto"/>
            <w:vAlign w:val="center"/>
          </w:tcPr>
          <w:p w14:paraId="561BAC93" w14:textId="77777777" w:rsidR="00724AB5" w:rsidRDefault="007D385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Smoke exposure</w:t>
            </w:r>
          </w:p>
        </w:tc>
        <w:tc>
          <w:tcPr>
            <w:tcW w:w="1261" w:type="dxa"/>
            <w:tcBorders>
              <w:top w:val="nil"/>
              <w:left w:val="nil"/>
              <w:bottom w:val="nil"/>
              <w:right w:val="nil"/>
            </w:tcBorders>
            <w:shd w:val="clear" w:color="auto" w:fill="auto"/>
            <w:vAlign w:val="center"/>
          </w:tcPr>
          <w:p w14:paraId="7EB855BF" w14:textId="77777777" w:rsidR="00724AB5" w:rsidRDefault="00724AB5">
            <w:pPr>
              <w:spacing w:after="0" w:line="240" w:lineRule="auto"/>
              <w:jc w:val="center"/>
              <w:rPr>
                <w:rFonts w:ascii="Times New Roman" w:eastAsia="Times New Roman" w:hAnsi="Times New Roman" w:cs="Times New Roman"/>
                <w:sz w:val="18"/>
                <w:szCs w:val="18"/>
              </w:rPr>
            </w:pPr>
          </w:p>
        </w:tc>
        <w:tc>
          <w:tcPr>
            <w:tcW w:w="1262" w:type="dxa"/>
            <w:tcBorders>
              <w:top w:val="nil"/>
              <w:left w:val="nil"/>
              <w:bottom w:val="nil"/>
              <w:right w:val="nil"/>
            </w:tcBorders>
            <w:shd w:val="clear" w:color="auto" w:fill="auto"/>
            <w:vAlign w:val="center"/>
          </w:tcPr>
          <w:p w14:paraId="00BE7222" w14:textId="77777777" w:rsidR="00724AB5" w:rsidRDefault="00724AB5">
            <w:pPr>
              <w:spacing w:after="0" w:line="240" w:lineRule="auto"/>
              <w:jc w:val="center"/>
              <w:rPr>
                <w:rFonts w:ascii="Times New Roman" w:eastAsia="Times New Roman" w:hAnsi="Times New Roman" w:cs="Times New Roman"/>
                <w:sz w:val="18"/>
                <w:szCs w:val="18"/>
              </w:rPr>
            </w:pPr>
          </w:p>
        </w:tc>
        <w:tc>
          <w:tcPr>
            <w:tcW w:w="1081" w:type="dxa"/>
            <w:tcBorders>
              <w:top w:val="nil"/>
              <w:left w:val="nil"/>
              <w:bottom w:val="nil"/>
              <w:right w:val="nil"/>
            </w:tcBorders>
            <w:shd w:val="clear" w:color="auto" w:fill="auto"/>
            <w:vAlign w:val="center"/>
          </w:tcPr>
          <w:p w14:paraId="252D2BA4"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6.87(1)</w:t>
            </w:r>
          </w:p>
        </w:tc>
        <w:tc>
          <w:tcPr>
            <w:tcW w:w="811" w:type="dxa"/>
            <w:tcBorders>
              <w:top w:val="nil"/>
              <w:left w:val="nil"/>
              <w:bottom w:val="nil"/>
              <w:right w:val="single" w:sz="8" w:space="0" w:color="000000"/>
            </w:tcBorders>
            <w:shd w:val="clear" w:color="auto" w:fill="auto"/>
            <w:vAlign w:val="center"/>
          </w:tcPr>
          <w:p w14:paraId="50EFE94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.008</w:t>
            </w:r>
          </w:p>
        </w:tc>
        <w:tc>
          <w:tcPr>
            <w:tcW w:w="805" w:type="dxa"/>
            <w:tcBorders>
              <w:top w:val="nil"/>
              <w:left w:val="single" w:sz="8" w:space="0" w:color="000000"/>
              <w:bottom w:val="nil"/>
              <w:right w:val="nil"/>
            </w:tcBorders>
            <w:shd w:val="clear" w:color="auto" w:fill="auto"/>
            <w:vAlign w:val="center"/>
          </w:tcPr>
          <w:p w14:paraId="1ED51EB3"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71078959"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492D10BF"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nil"/>
            </w:tcBorders>
            <w:vAlign w:val="center"/>
          </w:tcPr>
          <w:p w14:paraId="60E83B23"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142A1668" w14:textId="77777777">
        <w:trPr>
          <w:trHeight w:val="20"/>
        </w:trPr>
        <w:tc>
          <w:tcPr>
            <w:tcW w:w="2246" w:type="dxa"/>
            <w:tcBorders>
              <w:top w:val="nil"/>
              <w:left w:val="nil"/>
              <w:bottom w:val="nil"/>
              <w:right w:val="nil"/>
            </w:tcBorders>
            <w:shd w:val="clear" w:color="auto" w:fill="auto"/>
            <w:vAlign w:val="center"/>
          </w:tcPr>
          <w:p w14:paraId="32D619F8"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    </w:t>
            </w:r>
          </w:p>
        </w:tc>
        <w:tc>
          <w:tcPr>
            <w:tcW w:w="1261" w:type="dxa"/>
            <w:tcBorders>
              <w:top w:val="nil"/>
              <w:left w:val="nil"/>
              <w:bottom w:val="nil"/>
              <w:right w:val="nil"/>
            </w:tcBorders>
            <w:shd w:val="clear" w:color="auto" w:fill="auto"/>
            <w:vAlign w:val="bottom"/>
          </w:tcPr>
          <w:p w14:paraId="5AAF139D"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 (71.4)</w:t>
            </w:r>
          </w:p>
        </w:tc>
        <w:tc>
          <w:tcPr>
            <w:tcW w:w="1262" w:type="dxa"/>
            <w:tcBorders>
              <w:top w:val="nil"/>
              <w:left w:val="nil"/>
              <w:bottom w:val="nil"/>
              <w:right w:val="nil"/>
            </w:tcBorders>
            <w:shd w:val="clear" w:color="auto" w:fill="auto"/>
            <w:vAlign w:val="center"/>
          </w:tcPr>
          <w:p w14:paraId="099043AF"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114 (88.4)</w:t>
            </w:r>
          </w:p>
        </w:tc>
        <w:tc>
          <w:tcPr>
            <w:tcW w:w="1081" w:type="dxa"/>
            <w:tcBorders>
              <w:top w:val="nil"/>
              <w:left w:val="nil"/>
              <w:bottom w:val="nil"/>
              <w:right w:val="nil"/>
            </w:tcBorders>
            <w:shd w:val="clear" w:color="auto" w:fill="auto"/>
            <w:vAlign w:val="center"/>
          </w:tcPr>
          <w:p w14:paraId="7E813549"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3DE631DF"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431417B2"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2.85</w:t>
            </w:r>
          </w:p>
        </w:tc>
        <w:tc>
          <w:tcPr>
            <w:tcW w:w="721" w:type="dxa"/>
            <w:tcBorders>
              <w:top w:val="nil"/>
              <w:left w:val="nil"/>
              <w:bottom w:val="nil"/>
              <w:right w:val="nil"/>
            </w:tcBorders>
            <w:shd w:val="clear" w:color="auto" w:fill="auto"/>
            <w:vAlign w:val="center"/>
          </w:tcPr>
          <w:p w14:paraId="74DDDFC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p>
        </w:tc>
        <w:tc>
          <w:tcPr>
            <w:tcW w:w="721" w:type="dxa"/>
            <w:tcBorders>
              <w:top w:val="nil"/>
              <w:left w:val="nil"/>
              <w:bottom w:val="nil"/>
              <w:right w:val="nil"/>
            </w:tcBorders>
            <w:shd w:val="clear" w:color="auto" w:fill="auto"/>
            <w:vAlign w:val="center"/>
          </w:tcPr>
          <w:p w14:paraId="7EDEC682"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4.13</w:t>
            </w:r>
          </w:p>
        </w:tc>
        <w:tc>
          <w:tcPr>
            <w:tcW w:w="811" w:type="dxa"/>
            <w:tcBorders>
              <w:top w:val="nil"/>
              <w:left w:val="nil"/>
              <w:bottom w:val="nil"/>
              <w:right w:val="nil"/>
            </w:tcBorders>
            <w:vAlign w:val="center"/>
          </w:tcPr>
          <w:p w14:paraId="437254C0"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&lt;.001</w:t>
            </w:r>
          </w:p>
        </w:tc>
      </w:tr>
      <w:tr w:rsidR="00724AB5" w14:paraId="410F07B1" w14:textId="77777777">
        <w:trPr>
          <w:trHeight w:val="20"/>
        </w:trPr>
        <w:tc>
          <w:tcPr>
            <w:tcW w:w="2246" w:type="dxa"/>
            <w:tcBorders>
              <w:top w:val="nil"/>
              <w:left w:val="nil"/>
              <w:bottom w:val="nil"/>
              <w:right w:val="nil"/>
            </w:tcBorders>
            <w:shd w:val="clear" w:color="auto" w:fill="auto"/>
            <w:vAlign w:val="center"/>
          </w:tcPr>
          <w:p w14:paraId="2DAA404A" w14:textId="77777777" w:rsidR="00724AB5" w:rsidRDefault="007D385F">
            <w:pPr>
              <w:spacing w:after="0" w:line="240" w:lineRule="auto"/>
              <w:ind w:firstLine="180"/>
              <w:rPr>
                <w:rFonts w:ascii="Times New Roman" w:eastAsia="Times New Roman" w:hAnsi="Times New Roman" w:cs="Times New Roman"/>
                <w:sz w:val="18"/>
                <w:szCs w:val="18"/>
              </w:rPr>
            </w:pPr>
            <w:bookmarkStart w:id="19" w:name="_a3az9r4dpiqm" w:colFirst="0" w:colLast="0"/>
            <w:bookmarkEnd w:id="19"/>
            <w:r>
              <w:rPr>
                <w:rFonts w:ascii="Times New Roman" w:eastAsia="Times New Roman" w:hAnsi="Times New Roman" w:cs="Times New Roman"/>
                <w:sz w:val="18"/>
                <w:szCs w:val="18"/>
              </w:rPr>
              <w:t xml:space="preserve">Yes   </w:t>
            </w:r>
          </w:p>
        </w:tc>
        <w:tc>
          <w:tcPr>
            <w:tcW w:w="1261" w:type="dxa"/>
            <w:tcBorders>
              <w:top w:val="nil"/>
              <w:left w:val="nil"/>
              <w:bottom w:val="nil"/>
              <w:right w:val="nil"/>
            </w:tcBorders>
            <w:shd w:val="clear" w:color="auto" w:fill="auto"/>
            <w:vAlign w:val="bottom"/>
          </w:tcPr>
          <w:p w14:paraId="77712CA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 (28.6)</w:t>
            </w:r>
          </w:p>
        </w:tc>
        <w:tc>
          <w:tcPr>
            <w:tcW w:w="1262" w:type="dxa"/>
            <w:tcBorders>
              <w:top w:val="nil"/>
              <w:left w:val="nil"/>
              <w:bottom w:val="nil"/>
              <w:right w:val="nil"/>
            </w:tcBorders>
            <w:shd w:val="clear" w:color="auto" w:fill="auto"/>
            <w:vAlign w:val="center"/>
          </w:tcPr>
          <w:p w14:paraId="4BCBC1DD"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 (11.6)</w:t>
            </w:r>
          </w:p>
        </w:tc>
        <w:tc>
          <w:tcPr>
            <w:tcW w:w="1081" w:type="dxa"/>
            <w:tcBorders>
              <w:top w:val="nil"/>
              <w:left w:val="nil"/>
              <w:bottom w:val="nil"/>
              <w:right w:val="nil"/>
            </w:tcBorders>
            <w:shd w:val="clear" w:color="auto" w:fill="auto"/>
            <w:vAlign w:val="center"/>
          </w:tcPr>
          <w:p w14:paraId="62D90D08"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3BD5CC44"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140A16CF"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0.33</w:t>
            </w:r>
          </w:p>
        </w:tc>
        <w:tc>
          <w:tcPr>
            <w:tcW w:w="721" w:type="dxa"/>
            <w:tcBorders>
              <w:top w:val="nil"/>
              <w:left w:val="nil"/>
              <w:bottom w:val="nil"/>
              <w:right w:val="nil"/>
            </w:tcBorders>
            <w:shd w:val="clear" w:color="auto" w:fill="auto"/>
            <w:vAlign w:val="center"/>
          </w:tcPr>
          <w:p w14:paraId="6219CF5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0.15</w:t>
            </w:r>
          </w:p>
        </w:tc>
        <w:tc>
          <w:tcPr>
            <w:tcW w:w="721" w:type="dxa"/>
            <w:tcBorders>
              <w:top w:val="nil"/>
              <w:left w:val="nil"/>
              <w:bottom w:val="nil"/>
              <w:right w:val="nil"/>
            </w:tcBorders>
            <w:shd w:val="clear" w:color="auto" w:fill="auto"/>
            <w:vAlign w:val="center"/>
          </w:tcPr>
          <w:p w14:paraId="133391F9"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0.73</w:t>
            </w:r>
          </w:p>
        </w:tc>
        <w:tc>
          <w:tcPr>
            <w:tcW w:w="811" w:type="dxa"/>
            <w:tcBorders>
              <w:top w:val="nil"/>
              <w:left w:val="nil"/>
              <w:bottom w:val="nil"/>
              <w:right w:val="nil"/>
            </w:tcBorders>
            <w:vAlign w:val="center"/>
          </w:tcPr>
          <w:p w14:paraId="3C73C9B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.006</w:t>
            </w:r>
          </w:p>
        </w:tc>
      </w:tr>
      <w:tr w:rsidR="00724AB5" w14:paraId="34FEC3D5" w14:textId="77777777">
        <w:trPr>
          <w:trHeight w:val="288"/>
        </w:trPr>
        <w:tc>
          <w:tcPr>
            <w:tcW w:w="2246" w:type="dxa"/>
            <w:tcBorders>
              <w:top w:val="nil"/>
              <w:left w:val="nil"/>
              <w:bottom w:val="nil"/>
              <w:right w:val="nil"/>
            </w:tcBorders>
            <w:shd w:val="clear" w:color="auto" w:fill="auto"/>
            <w:vAlign w:val="center"/>
          </w:tcPr>
          <w:p w14:paraId="78A6D555" w14:textId="77777777" w:rsidR="00724AB5" w:rsidRDefault="007D385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Exercise</w:t>
            </w:r>
          </w:p>
        </w:tc>
        <w:tc>
          <w:tcPr>
            <w:tcW w:w="1261" w:type="dxa"/>
            <w:tcBorders>
              <w:top w:val="nil"/>
              <w:left w:val="nil"/>
              <w:bottom w:val="nil"/>
              <w:right w:val="nil"/>
            </w:tcBorders>
            <w:shd w:val="clear" w:color="auto" w:fill="auto"/>
            <w:vAlign w:val="center"/>
          </w:tcPr>
          <w:p w14:paraId="33531B63" w14:textId="77777777" w:rsidR="00724AB5" w:rsidRDefault="00724AB5">
            <w:pPr>
              <w:spacing w:after="0" w:line="240" w:lineRule="auto"/>
              <w:jc w:val="center"/>
              <w:rPr>
                <w:rFonts w:ascii="Times New Roman" w:eastAsia="Times New Roman" w:hAnsi="Times New Roman" w:cs="Times New Roman"/>
                <w:sz w:val="18"/>
                <w:szCs w:val="18"/>
              </w:rPr>
            </w:pPr>
          </w:p>
        </w:tc>
        <w:tc>
          <w:tcPr>
            <w:tcW w:w="1262" w:type="dxa"/>
            <w:tcBorders>
              <w:top w:val="nil"/>
              <w:left w:val="nil"/>
              <w:bottom w:val="nil"/>
              <w:right w:val="nil"/>
            </w:tcBorders>
            <w:shd w:val="clear" w:color="auto" w:fill="auto"/>
            <w:vAlign w:val="center"/>
          </w:tcPr>
          <w:p w14:paraId="164E6209" w14:textId="77777777" w:rsidR="00724AB5" w:rsidRDefault="00724AB5">
            <w:pPr>
              <w:spacing w:after="0" w:line="240" w:lineRule="auto"/>
              <w:jc w:val="center"/>
              <w:rPr>
                <w:rFonts w:ascii="Times New Roman" w:eastAsia="Times New Roman" w:hAnsi="Times New Roman" w:cs="Times New Roman"/>
                <w:sz w:val="18"/>
                <w:szCs w:val="18"/>
              </w:rPr>
            </w:pPr>
          </w:p>
        </w:tc>
        <w:tc>
          <w:tcPr>
            <w:tcW w:w="1081" w:type="dxa"/>
            <w:tcBorders>
              <w:top w:val="nil"/>
              <w:left w:val="nil"/>
              <w:bottom w:val="nil"/>
              <w:right w:val="nil"/>
            </w:tcBorders>
            <w:shd w:val="clear" w:color="auto" w:fill="auto"/>
            <w:vAlign w:val="center"/>
          </w:tcPr>
          <w:p w14:paraId="5813A82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22.86(3)</w:t>
            </w:r>
          </w:p>
        </w:tc>
        <w:tc>
          <w:tcPr>
            <w:tcW w:w="811" w:type="dxa"/>
            <w:tcBorders>
              <w:top w:val="nil"/>
              <w:left w:val="nil"/>
              <w:bottom w:val="nil"/>
              <w:right w:val="single" w:sz="8" w:space="0" w:color="000000"/>
            </w:tcBorders>
            <w:shd w:val="clear" w:color="auto" w:fill="auto"/>
            <w:vAlign w:val="center"/>
          </w:tcPr>
          <w:p w14:paraId="05275C9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&lt;.001</w:t>
            </w:r>
          </w:p>
        </w:tc>
        <w:tc>
          <w:tcPr>
            <w:tcW w:w="805" w:type="dxa"/>
            <w:tcBorders>
              <w:top w:val="nil"/>
              <w:left w:val="single" w:sz="8" w:space="0" w:color="000000"/>
              <w:bottom w:val="nil"/>
              <w:right w:val="nil"/>
            </w:tcBorders>
            <w:shd w:val="clear" w:color="auto" w:fill="auto"/>
            <w:vAlign w:val="center"/>
          </w:tcPr>
          <w:p w14:paraId="521857C3"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0AEBA930"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0DC645A5"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nil"/>
            </w:tcBorders>
            <w:vAlign w:val="center"/>
          </w:tcPr>
          <w:p w14:paraId="0A6A8F0E"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5456D68C" w14:textId="77777777">
        <w:trPr>
          <w:trHeight w:val="20"/>
        </w:trPr>
        <w:tc>
          <w:tcPr>
            <w:tcW w:w="2246" w:type="dxa"/>
            <w:tcBorders>
              <w:top w:val="nil"/>
              <w:left w:val="nil"/>
              <w:bottom w:val="nil"/>
              <w:right w:val="nil"/>
            </w:tcBorders>
            <w:shd w:val="clear" w:color="auto" w:fill="auto"/>
            <w:vAlign w:val="center"/>
          </w:tcPr>
          <w:p w14:paraId="2CABA19D"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Never             </w:t>
            </w:r>
          </w:p>
        </w:tc>
        <w:tc>
          <w:tcPr>
            <w:tcW w:w="1261" w:type="dxa"/>
            <w:tcBorders>
              <w:top w:val="nil"/>
              <w:left w:val="nil"/>
              <w:bottom w:val="nil"/>
              <w:right w:val="nil"/>
            </w:tcBorders>
            <w:shd w:val="clear" w:color="auto" w:fill="auto"/>
            <w:vAlign w:val="center"/>
          </w:tcPr>
          <w:p w14:paraId="4F63D8B4"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 (60.7)</w:t>
            </w:r>
          </w:p>
        </w:tc>
        <w:tc>
          <w:tcPr>
            <w:tcW w:w="1262" w:type="dxa"/>
            <w:tcBorders>
              <w:top w:val="nil"/>
              <w:left w:val="nil"/>
              <w:bottom w:val="nil"/>
              <w:right w:val="nil"/>
            </w:tcBorders>
            <w:shd w:val="clear" w:color="auto" w:fill="auto"/>
            <w:vAlign w:val="center"/>
          </w:tcPr>
          <w:p w14:paraId="447D54F8"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 (24.8)</w:t>
            </w:r>
          </w:p>
        </w:tc>
        <w:tc>
          <w:tcPr>
            <w:tcW w:w="1081" w:type="dxa"/>
            <w:tcBorders>
              <w:top w:val="nil"/>
              <w:left w:val="nil"/>
              <w:bottom w:val="nil"/>
              <w:right w:val="nil"/>
            </w:tcBorders>
            <w:shd w:val="clear" w:color="auto" w:fill="auto"/>
            <w:vAlign w:val="center"/>
          </w:tcPr>
          <w:p w14:paraId="1731974C"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6485F2FB"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01C7861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0.94</w:t>
            </w:r>
          </w:p>
        </w:tc>
        <w:tc>
          <w:tcPr>
            <w:tcW w:w="721" w:type="dxa"/>
            <w:tcBorders>
              <w:top w:val="nil"/>
              <w:left w:val="nil"/>
              <w:bottom w:val="nil"/>
              <w:right w:val="nil"/>
            </w:tcBorders>
            <w:shd w:val="clear" w:color="auto" w:fill="auto"/>
            <w:vAlign w:val="center"/>
          </w:tcPr>
          <w:p w14:paraId="5E70D4D5"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0.58</w:t>
            </w:r>
          </w:p>
        </w:tc>
        <w:tc>
          <w:tcPr>
            <w:tcW w:w="721" w:type="dxa"/>
            <w:tcBorders>
              <w:top w:val="nil"/>
              <w:left w:val="nil"/>
              <w:bottom w:val="nil"/>
              <w:right w:val="nil"/>
            </w:tcBorders>
            <w:shd w:val="clear" w:color="auto" w:fill="auto"/>
            <w:vAlign w:val="center"/>
          </w:tcPr>
          <w:p w14:paraId="29A1E878"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1.53</w:t>
            </w:r>
          </w:p>
        </w:tc>
        <w:tc>
          <w:tcPr>
            <w:tcW w:w="811" w:type="dxa"/>
            <w:tcBorders>
              <w:top w:val="nil"/>
              <w:left w:val="nil"/>
              <w:bottom w:val="nil"/>
              <w:right w:val="nil"/>
            </w:tcBorders>
            <w:vAlign w:val="center"/>
          </w:tcPr>
          <w:p w14:paraId="435FFC1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.805</w:t>
            </w:r>
          </w:p>
        </w:tc>
      </w:tr>
      <w:tr w:rsidR="00724AB5" w14:paraId="16E947AC" w14:textId="77777777">
        <w:trPr>
          <w:trHeight w:val="20"/>
        </w:trPr>
        <w:tc>
          <w:tcPr>
            <w:tcW w:w="2246" w:type="dxa"/>
            <w:tcBorders>
              <w:top w:val="nil"/>
              <w:left w:val="nil"/>
              <w:bottom w:val="nil"/>
              <w:right w:val="nil"/>
            </w:tcBorders>
            <w:shd w:val="clear" w:color="auto" w:fill="auto"/>
            <w:vAlign w:val="center"/>
          </w:tcPr>
          <w:p w14:paraId="22718AAF"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&lt;3 times/week     </w:t>
            </w:r>
          </w:p>
        </w:tc>
        <w:tc>
          <w:tcPr>
            <w:tcW w:w="1261" w:type="dxa"/>
            <w:tcBorders>
              <w:top w:val="nil"/>
              <w:left w:val="nil"/>
              <w:bottom w:val="nil"/>
              <w:right w:val="nil"/>
            </w:tcBorders>
            <w:shd w:val="clear" w:color="auto" w:fill="auto"/>
            <w:vAlign w:val="center"/>
          </w:tcPr>
          <w:p w14:paraId="78E21C89"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 (25)</w:t>
            </w:r>
          </w:p>
        </w:tc>
        <w:tc>
          <w:tcPr>
            <w:tcW w:w="1262" w:type="dxa"/>
            <w:tcBorders>
              <w:top w:val="nil"/>
              <w:left w:val="nil"/>
              <w:bottom w:val="nil"/>
              <w:right w:val="nil"/>
            </w:tcBorders>
            <w:shd w:val="clear" w:color="auto" w:fill="auto"/>
            <w:vAlign w:val="center"/>
          </w:tcPr>
          <w:p w14:paraId="156DA01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 (39.5)</w:t>
            </w:r>
          </w:p>
        </w:tc>
        <w:tc>
          <w:tcPr>
            <w:tcW w:w="1081" w:type="dxa"/>
            <w:tcBorders>
              <w:top w:val="nil"/>
              <w:left w:val="nil"/>
              <w:bottom w:val="nil"/>
              <w:right w:val="nil"/>
            </w:tcBorders>
            <w:shd w:val="clear" w:color="auto" w:fill="auto"/>
            <w:vAlign w:val="center"/>
          </w:tcPr>
          <w:p w14:paraId="29A46B8D"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23BED318"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6AB51582"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3.87</w:t>
            </w:r>
          </w:p>
        </w:tc>
        <w:tc>
          <w:tcPr>
            <w:tcW w:w="721" w:type="dxa"/>
            <w:tcBorders>
              <w:top w:val="nil"/>
              <w:left w:val="nil"/>
              <w:bottom w:val="nil"/>
              <w:right w:val="nil"/>
            </w:tcBorders>
            <w:shd w:val="clear" w:color="auto" w:fill="auto"/>
            <w:vAlign w:val="center"/>
          </w:tcPr>
          <w:p w14:paraId="40071B9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1.83</w:t>
            </w:r>
          </w:p>
        </w:tc>
        <w:tc>
          <w:tcPr>
            <w:tcW w:w="721" w:type="dxa"/>
            <w:tcBorders>
              <w:top w:val="nil"/>
              <w:left w:val="nil"/>
              <w:bottom w:val="nil"/>
              <w:right w:val="nil"/>
            </w:tcBorders>
            <w:shd w:val="clear" w:color="auto" w:fill="auto"/>
            <w:vAlign w:val="center"/>
          </w:tcPr>
          <w:p w14:paraId="6BBADB0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8.51</w:t>
            </w:r>
          </w:p>
        </w:tc>
        <w:tc>
          <w:tcPr>
            <w:tcW w:w="811" w:type="dxa"/>
            <w:tcBorders>
              <w:top w:val="nil"/>
              <w:left w:val="nil"/>
              <w:bottom w:val="nil"/>
              <w:right w:val="nil"/>
            </w:tcBorders>
            <w:vAlign w:val="center"/>
          </w:tcPr>
          <w:p w14:paraId="7A72887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&lt;.001</w:t>
            </w:r>
          </w:p>
        </w:tc>
      </w:tr>
      <w:tr w:rsidR="00724AB5" w14:paraId="59D36A44" w14:textId="77777777">
        <w:trPr>
          <w:trHeight w:val="20"/>
        </w:trPr>
        <w:tc>
          <w:tcPr>
            <w:tcW w:w="2246" w:type="dxa"/>
            <w:tcBorders>
              <w:top w:val="nil"/>
              <w:left w:val="nil"/>
              <w:bottom w:val="nil"/>
              <w:right w:val="nil"/>
            </w:tcBorders>
            <w:shd w:val="clear" w:color="auto" w:fill="auto"/>
            <w:vAlign w:val="center"/>
          </w:tcPr>
          <w:p w14:paraId="0E6F4543"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to 6 times/week </w:t>
            </w:r>
          </w:p>
        </w:tc>
        <w:tc>
          <w:tcPr>
            <w:tcW w:w="1261" w:type="dxa"/>
            <w:tcBorders>
              <w:top w:val="nil"/>
              <w:left w:val="nil"/>
              <w:bottom w:val="nil"/>
              <w:right w:val="nil"/>
            </w:tcBorders>
            <w:shd w:val="clear" w:color="auto" w:fill="auto"/>
            <w:vAlign w:val="center"/>
          </w:tcPr>
          <w:p w14:paraId="5DC0E285"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(7.1)</w:t>
            </w:r>
          </w:p>
        </w:tc>
        <w:tc>
          <w:tcPr>
            <w:tcW w:w="1262" w:type="dxa"/>
            <w:tcBorders>
              <w:top w:val="nil"/>
              <w:left w:val="nil"/>
              <w:bottom w:val="nil"/>
              <w:right w:val="nil"/>
            </w:tcBorders>
            <w:shd w:val="clear" w:color="auto" w:fill="auto"/>
            <w:vAlign w:val="center"/>
          </w:tcPr>
          <w:p w14:paraId="4BBEF796"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29 </w:t>
            </w:r>
            <w:r>
              <w:rPr>
                <w:rFonts w:ascii="Times New Roman" w:eastAsia="Times New Roman" w:hAnsi="Times New Roman" w:cs="Times New Roman"/>
                <w:sz w:val="18"/>
                <w:szCs w:val="18"/>
              </w:rPr>
              <w:t>(22.5)</w:t>
            </w:r>
          </w:p>
        </w:tc>
        <w:tc>
          <w:tcPr>
            <w:tcW w:w="1081" w:type="dxa"/>
            <w:tcBorders>
              <w:top w:val="nil"/>
              <w:left w:val="nil"/>
              <w:bottom w:val="nil"/>
              <w:right w:val="nil"/>
            </w:tcBorders>
            <w:shd w:val="clear" w:color="auto" w:fill="auto"/>
            <w:vAlign w:val="center"/>
          </w:tcPr>
          <w:p w14:paraId="782D0536"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722DF302"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67D08072"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7.70</w:t>
            </w:r>
          </w:p>
        </w:tc>
        <w:tc>
          <w:tcPr>
            <w:tcW w:w="721" w:type="dxa"/>
            <w:tcBorders>
              <w:top w:val="nil"/>
              <w:left w:val="nil"/>
              <w:bottom w:val="nil"/>
              <w:right w:val="nil"/>
            </w:tcBorders>
            <w:shd w:val="clear" w:color="auto" w:fill="auto"/>
            <w:vAlign w:val="center"/>
          </w:tcPr>
          <w:p w14:paraId="44DC84D5"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2.67</w:t>
            </w:r>
          </w:p>
        </w:tc>
        <w:tc>
          <w:tcPr>
            <w:tcW w:w="721" w:type="dxa"/>
            <w:tcBorders>
              <w:top w:val="nil"/>
              <w:left w:val="nil"/>
              <w:bottom w:val="nil"/>
              <w:right w:val="nil"/>
            </w:tcBorders>
            <w:shd w:val="clear" w:color="auto" w:fill="auto"/>
            <w:vAlign w:val="center"/>
          </w:tcPr>
          <w:p w14:paraId="5AE0BD0A"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28.15</w:t>
            </w:r>
          </w:p>
        </w:tc>
        <w:tc>
          <w:tcPr>
            <w:tcW w:w="811" w:type="dxa"/>
            <w:tcBorders>
              <w:top w:val="nil"/>
              <w:left w:val="nil"/>
              <w:bottom w:val="nil"/>
              <w:right w:val="nil"/>
            </w:tcBorders>
            <w:vAlign w:val="center"/>
          </w:tcPr>
          <w:p w14:paraId="7AC1046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&lt;.001</w:t>
            </w:r>
          </w:p>
        </w:tc>
      </w:tr>
      <w:tr w:rsidR="00724AB5" w14:paraId="4E6FA828" w14:textId="77777777">
        <w:trPr>
          <w:trHeight w:val="20"/>
        </w:trPr>
        <w:tc>
          <w:tcPr>
            <w:tcW w:w="2246" w:type="dxa"/>
            <w:tcBorders>
              <w:top w:val="nil"/>
              <w:left w:val="nil"/>
              <w:bottom w:val="nil"/>
              <w:right w:val="nil"/>
            </w:tcBorders>
            <w:shd w:val="clear" w:color="auto" w:fill="auto"/>
            <w:vAlign w:val="center"/>
          </w:tcPr>
          <w:p w14:paraId="1EA0940A"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Daily             </w:t>
            </w:r>
          </w:p>
        </w:tc>
        <w:tc>
          <w:tcPr>
            <w:tcW w:w="1261" w:type="dxa"/>
            <w:tcBorders>
              <w:top w:val="nil"/>
              <w:left w:val="nil"/>
              <w:bottom w:val="nil"/>
              <w:right w:val="nil"/>
            </w:tcBorders>
            <w:shd w:val="clear" w:color="auto" w:fill="auto"/>
            <w:vAlign w:val="center"/>
          </w:tcPr>
          <w:p w14:paraId="115BF53D"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(7.1)</w:t>
            </w:r>
          </w:p>
        </w:tc>
        <w:tc>
          <w:tcPr>
            <w:tcW w:w="1262" w:type="dxa"/>
            <w:tcBorders>
              <w:top w:val="nil"/>
              <w:left w:val="nil"/>
              <w:bottom w:val="nil"/>
              <w:right w:val="nil"/>
            </w:tcBorders>
            <w:shd w:val="clear" w:color="auto" w:fill="auto"/>
            <w:vAlign w:val="center"/>
          </w:tcPr>
          <w:p w14:paraId="0FDBE215"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 (13.2)</w:t>
            </w:r>
          </w:p>
        </w:tc>
        <w:tc>
          <w:tcPr>
            <w:tcW w:w="1081" w:type="dxa"/>
            <w:tcBorders>
              <w:top w:val="nil"/>
              <w:left w:val="nil"/>
              <w:bottom w:val="nil"/>
              <w:right w:val="nil"/>
            </w:tcBorders>
            <w:shd w:val="clear" w:color="auto" w:fill="auto"/>
            <w:vAlign w:val="center"/>
          </w:tcPr>
          <w:p w14:paraId="017CE699"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2FA71A14"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38A04856"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4.51</w:t>
            </w:r>
          </w:p>
        </w:tc>
        <w:tc>
          <w:tcPr>
            <w:tcW w:w="721" w:type="dxa"/>
            <w:tcBorders>
              <w:top w:val="nil"/>
              <w:left w:val="nil"/>
              <w:bottom w:val="nil"/>
              <w:right w:val="nil"/>
            </w:tcBorders>
            <w:shd w:val="clear" w:color="auto" w:fill="auto"/>
            <w:vAlign w:val="center"/>
          </w:tcPr>
          <w:p w14:paraId="7803CCC4"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1.48</w:t>
            </w:r>
          </w:p>
        </w:tc>
        <w:tc>
          <w:tcPr>
            <w:tcW w:w="721" w:type="dxa"/>
            <w:tcBorders>
              <w:top w:val="nil"/>
              <w:left w:val="nil"/>
              <w:bottom w:val="nil"/>
              <w:right w:val="nil"/>
            </w:tcBorders>
            <w:shd w:val="clear" w:color="auto" w:fill="auto"/>
            <w:vAlign w:val="center"/>
          </w:tcPr>
          <w:p w14:paraId="44D3624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16.99</w:t>
            </w:r>
          </w:p>
        </w:tc>
        <w:tc>
          <w:tcPr>
            <w:tcW w:w="811" w:type="dxa"/>
            <w:tcBorders>
              <w:top w:val="nil"/>
              <w:left w:val="nil"/>
              <w:bottom w:val="nil"/>
              <w:right w:val="nil"/>
            </w:tcBorders>
            <w:vAlign w:val="center"/>
          </w:tcPr>
          <w:p w14:paraId="7C6F21C6"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.013</w:t>
            </w:r>
          </w:p>
        </w:tc>
      </w:tr>
      <w:tr w:rsidR="00724AB5" w14:paraId="10DFA410" w14:textId="77777777">
        <w:trPr>
          <w:trHeight w:val="288"/>
        </w:trPr>
        <w:tc>
          <w:tcPr>
            <w:tcW w:w="2246" w:type="dxa"/>
            <w:tcBorders>
              <w:top w:val="nil"/>
              <w:left w:val="nil"/>
              <w:bottom w:val="nil"/>
              <w:right w:val="nil"/>
            </w:tcBorders>
            <w:shd w:val="clear" w:color="auto" w:fill="auto"/>
            <w:vAlign w:val="center"/>
          </w:tcPr>
          <w:p w14:paraId="2C92F0DB" w14:textId="77777777" w:rsidR="00724AB5" w:rsidRDefault="007D385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Hydration</w:t>
            </w:r>
          </w:p>
        </w:tc>
        <w:tc>
          <w:tcPr>
            <w:tcW w:w="1261" w:type="dxa"/>
            <w:tcBorders>
              <w:top w:val="nil"/>
              <w:left w:val="nil"/>
              <w:bottom w:val="nil"/>
              <w:right w:val="nil"/>
            </w:tcBorders>
            <w:shd w:val="clear" w:color="auto" w:fill="auto"/>
            <w:vAlign w:val="center"/>
          </w:tcPr>
          <w:p w14:paraId="1C2ED1BC" w14:textId="77777777" w:rsidR="00724AB5" w:rsidRDefault="00724AB5">
            <w:pPr>
              <w:spacing w:after="0" w:line="240" w:lineRule="auto"/>
              <w:jc w:val="center"/>
              <w:rPr>
                <w:rFonts w:ascii="Times New Roman" w:eastAsia="Times New Roman" w:hAnsi="Times New Roman" w:cs="Times New Roman"/>
                <w:sz w:val="18"/>
                <w:szCs w:val="18"/>
              </w:rPr>
            </w:pPr>
          </w:p>
        </w:tc>
        <w:tc>
          <w:tcPr>
            <w:tcW w:w="1262" w:type="dxa"/>
            <w:tcBorders>
              <w:top w:val="nil"/>
              <w:left w:val="nil"/>
              <w:bottom w:val="nil"/>
              <w:right w:val="nil"/>
            </w:tcBorders>
            <w:shd w:val="clear" w:color="auto" w:fill="auto"/>
            <w:vAlign w:val="center"/>
          </w:tcPr>
          <w:p w14:paraId="4B30DA69" w14:textId="77777777" w:rsidR="00724AB5" w:rsidRDefault="00724AB5">
            <w:pPr>
              <w:spacing w:after="0" w:line="240" w:lineRule="auto"/>
              <w:jc w:val="center"/>
              <w:rPr>
                <w:rFonts w:ascii="Times New Roman" w:eastAsia="Times New Roman" w:hAnsi="Times New Roman" w:cs="Times New Roman"/>
                <w:sz w:val="18"/>
                <w:szCs w:val="18"/>
              </w:rPr>
            </w:pPr>
          </w:p>
        </w:tc>
        <w:tc>
          <w:tcPr>
            <w:tcW w:w="1081" w:type="dxa"/>
            <w:tcBorders>
              <w:top w:val="nil"/>
              <w:left w:val="nil"/>
              <w:bottom w:val="nil"/>
              <w:right w:val="nil"/>
            </w:tcBorders>
            <w:shd w:val="clear" w:color="auto" w:fill="auto"/>
            <w:vAlign w:val="center"/>
          </w:tcPr>
          <w:p w14:paraId="2C37C21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1.97(2)</w:t>
            </w:r>
          </w:p>
        </w:tc>
        <w:tc>
          <w:tcPr>
            <w:tcW w:w="811" w:type="dxa"/>
            <w:tcBorders>
              <w:top w:val="nil"/>
              <w:left w:val="nil"/>
              <w:bottom w:val="nil"/>
              <w:right w:val="single" w:sz="8" w:space="0" w:color="000000"/>
            </w:tcBorders>
            <w:shd w:val="clear" w:color="auto" w:fill="auto"/>
            <w:vAlign w:val="center"/>
          </w:tcPr>
          <w:p w14:paraId="721CCA6F"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.356</w:t>
            </w:r>
          </w:p>
        </w:tc>
        <w:tc>
          <w:tcPr>
            <w:tcW w:w="805" w:type="dxa"/>
            <w:tcBorders>
              <w:top w:val="nil"/>
              <w:left w:val="single" w:sz="8" w:space="0" w:color="000000"/>
              <w:bottom w:val="nil"/>
              <w:right w:val="nil"/>
            </w:tcBorders>
            <w:shd w:val="clear" w:color="auto" w:fill="auto"/>
            <w:vAlign w:val="center"/>
          </w:tcPr>
          <w:p w14:paraId="558EF05F"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67A843A7"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3D384106"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nil"/>
            </w:tcBorders>
            <w:vAlign w:val="center"/>
          </w:tcPr>
          <w:p w14:paraId="3223577A"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23083242" w14:textId="77777777">
        <w:trPr>
          <w:trHeight w:val="20"/>
        </w:trPr>
        <w:tc>
          <w:tcPr>
            <w:tcW w:w="2246" w:type="dxa"/>
            <w:tcBorders>
              <w:top w:val="nil"/>
              <w:left w:val="nil"/>
              <w:bottom w:val="nil"/>
              <w:right w:val="nil"/>
            </w:tcBorders>
            <w:shd w:val="clear" w:color="auto" w:fill="auto"/>
            <w:vAlign w:val="center"/>
          </w:tcPr>
          <w:p w14:paraId="6EA5AAE3"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Less than 1L </w:t>
            </w:r>
          </w:p>
        </w:tc>
        <w:tc>
          <w:tcPr>
            <w:tcW w:w="1261" w:type="dxa"/>
            <w:tcBorders>
              <w:top w:val="nil"/>
              <w:left w:val="nil"/>
              <w:bottom w:val="nil"/>
              <w:right w:val="nil"/>
            </w:tcBorders>
            <w:shd w:val="clear" w:color="auto" w:fill="auto"/>
            <w:vAlign w:val="center"/>
          </w:tcPr>
          <w:p w14:paraId="6499C5B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(5.4)</w:t>
            </w:r>
          </w:p>
        </w:tc>
        <w:tc>
          <w:tcPr>
            <w:tcW w:w="1262" w:type="dxa"/>
            <w:tcBorders>
              <w:top w:val="nil"/>
              <w:left w:val="nil"/>
              <w:bottom w:val="nil"/>
              <w:right w:val="nil"/>
            </w:tcBorders>
            <w:shd w:val="clear" w:color="auto" w:fill="auto"/>
            <w:vAlign w:val="center"/>
          </w:tcPr>
          <w:p w14:paraId="7A42019F"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(3.9)</w:t>
            </w:r>
          </w:p>
        </w:tc>
        <w:tc>
          <w:tcPr>
            <w:tcW w:w="1081" w:type="dxa"/>
            <w:tcBorders>
              <w:top w:val="nil"/>
              <w:left w:val="nil"/>
              <w:bottom w:val="nil"/>
              <w:right w:val="nil"/>
            </w:tcBorders>
            <w:shd w:val="clear" w:color="auto" w:fill="auto"/>
            <w:vAlign w:val="center"/>
          </w:tcPr>
          <w:p w14:paraId="5145274C"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6501763C"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0421BDA8"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1.67</w:t>
            </w:r>
          </w:p>
        </w:tc>
        <w:tc>
          <w:tcPr>
            <w:tcW w:w="721" w:type="dxa"/>
            <w:tcBorders>
              <w:top w:val="nil"/>
              <w:left w:val="nil"/>
              <w:bottom w:val="nil"/>
              <w:right w:val="nil"/>
            </w:tcBorders>
            <w:shd w:val="clear" w:color="auto" w:fill="auto"/>
            <w:vAlign w:val="center"/>
          </w:tcPr>
          <w:p w14:paraId="1D75920D"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0.41</w:t>
            </w:r>
          </w:p>
        </w:tc>
        <w:tc>
          <w:tcPr>
            <w:tcW w:w="721" w:type="dxa"/>
            <w:tcBorders>
              <w:top w:val="nil"/>
              <w:left w:val="nil"/>
              <w:bottom w:val="nil"/>
              <w:right w:val="nil"/>
            </w:tcBorders>
            <w:shd w:val="clear" w:color="auto" w:fill="auto"/>
            <w:vAlign w:val="center"/>
          </w:tcPr>
          <w:p w14:paraId="4270C328"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8.13</w:t>
            </w:r>
          </w:p>
        </w:tc>
        <w:tc>
          <w:tcPr>
            <w:tcW w:w="811" w:type="dxa"/>
            <w:tcBorders>
              <w:top w:val="nil"/>
              <w:left w:val="nil"/>
              <w:bottom w:val="nil"/>
              <w:right w:val="nil"/>
            </w:tcBorders>
            <w:vAlign w:val="center"/>
          </w:tcPr>
          <w:p w14:paraId="7AFBA57A"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.484</w:t>
            </w:r>
          </w:p>
        </w:tc>
      </w:tr>
      <w:tr w:rsidR="00724AB5" w14:paraId="686FFFC4" w14:textId="77777777">
        <w:trPr>
          <w:trHeight w:val="20"/>
        </w:trPr>
        <w:tc>
          <w:tcPr>
            <w:tcW w:w="2246" w:type="dxa"/>
            <w:tcBorders>
              <w:top w:val="nil"/>
              <w:left w:val="nil"/>
              <w:bottom w:val="nil"/>
              <w:right w:val="nil"/>
            </w:tcBorders>
            <w:shd w:val="clear" w:color="auto" w:fill="auto"/>
            <w:vAlign w:val="center"/>
          </w:tcPr>
          <w:p w14:paraId="0C7CC80D"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About 1L     </w:t>
            </w:r>
          </w:p>
        </w:tc>
        <w:tc>
          <w:tcPr>
            <w:tcW w:w="1261" w:type="dxa"/>
            <w:tcBorders>
              <w:top w:val="nil"/>
              <w:left w:val="nil"/>
              <w:bottom w:val="nil"/>
              <w:right w:val="nil"/>
            </w:tcBorders>
            <w:shd w:val="clear" w:color="auto" w:fill="auto"/>
            <w:vAlign w:val="center"/>
          </w:tcPr>
          <w:p w14:paraId="2A13456F"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 (19.6)</w:t>
            </w:r>
          </w:p>
        </w:tc>
        <w:tc>
          <w:tcPr>
            <w:tcW w:w="1262" w:type="dxa"/>
            <w:tcBorders>
              <w:top w:val="nil"/>
              <w:left w:val="nil"/>
              <w:bottom w:val="nil"/>
              <w:right w:val="nil"/>
            </w:tcBorders>
            <w:shd w:val="clear" w:color="auto" w:fill="auto"/>
            <w:vAlign w:val="center"/>
          </w:tcPr>
          <w:p w14:paraId="405B7B55"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 (12.4)</w:t>
            </w:r>
          </w:p>
        </w:tc>
        <w:tc>
          <w:tcPr>
            <w:tcW w:w="1081" w:type="dxa"/>
            <w:tcBorders>
              <w:top w:val="nil"/>
              <w:left w:val="nil"/>
              <w:bottom w:val="nil"/>
              <w:right w:val="nil"/>
            </w:tcBorders>
            <w:shd w:val="clear" w:color="auto" w:fill="auto"/>
            <w:vAlign w:val="center"/>
          </w:tcPr>
          <w:p w14:paraId="109734B6"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13CDF2E0"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5EEB3D29"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0.87</w:t>
            </w:r>
          </w:p>
        </w:tc>
        <w:tc>
          <w:tcPr>
            <w:tcW w:w="721" w:type="dxa"/>
            <w:tcBorders>
              <w:top w:val="nil"/>
              <w:left w:val="nil"/>
              <w:bottom w:val="nil"/>
              <w:right w:val="nil"/>
            </w:tcBorders>
            <w:shd w:val="clear" w:color="auto" w:fill="auto"/>
            <w:vAlign w:val="center"/>
          </w:tcPr>
          <w:p w14:paraId="01963A2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0.15</w:t>
            </w:r>
          </w:p>
        </w:tc>
        <w:tc>
          <w:tcPr>
            <w:tcW w:w="721" w:type="dxa"/>
            <w:tcBorders>
              <w:top w:val="nil"/>
              <w:left w:val="nil"/>
              <w:bottom w:val="nil"/>
              <w:right w:val="nil"/>
            </w:tcBorders>
            <w:shd w:val="clear" w:color="auto" w:fill="auto"/>
            <w:vAlign w:val="center"/>
          </w:tcPr>
          <w:p w14:paraId="7B42492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4.34</w:t>
            </w:r>
          </w:p>
        </w:tc>
        <w:tc>
          <w:tcPr>
            <w:tcW w:w="811" w:type="dxa"/>
            <w:tcBorders>
              <w:top w:val="nil"/>
              <w:left w:val="nil"/>
              <w:bottom w:val="nil"/>
              <w:right w:val="nil"/>
            </w:tcBorders>
            <w:vAlign w:val="center"/>
          </w:tcPr>
          <w:p w14:paraId="38FD4C9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.869</w:t>
            </w:r>
          </w:p>
        </w:tc>
      </w:tr>
      <w:tr w:rsidR="00724AB5" w14:paraId="6609E60F" w14:textId="77777777">
        <w:trPr>
          <w:trHeight w:val="20"/>
        </w:trPr>
        <w:tc>
          <w:tcPr>
            <w:tcW w:w="2246" w:type="dxa"/>
            <w:tcBorders>
              <w:top w:val="nil"/>
              <w:left w:val="nil"/>
              <w:bottom w:val="nil"/>
              <w:right w:val="nil"/>
            </w:tcBorders>
            <w:shd w:val="clear" w:color="auto" w:fill="auto"/>
            <w:vAlign w:val="center"/>
          </w:tcPr>
          <w:p w14:paraId="2BB3E3E9"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More than 1L </w:t>
            </w:r>
          </w:p>
        </w:tc>
        <w:tc>
          <w:tcPr>
            <w:tcW w:w="1261" w:type="dxa"/>
            <w:tcBorders>
              <w:top w:val="nil"/>
              <w:left w:val="nil"/>
              <w:bottom w:val="nil"/>
              <w:right w:val="nil"/>
            </w:tcBorders>
            <w:shd w:val="clear" w:color="auto" w:fill="auto"/>
            <w:vAlign w:val="center"/>
          </w:tcPr>
          <w:p w14:paraId="2F3B361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 (75)</w:t>
            </w:r>
          </w:p>
        </w:tc>
        <w:tc>
          <w:tcPr>
            <w:tcW w:w="1262" w:type="dxa"/>
            <w:tcBorders>
              <w:top w:val="nil"/>
              <w:left w:val="nil"/>
              <w:bottom w:val="nil"/>
              <w:right w:val="nil"/>
            </w:tcBorders>
            <w:shd w:val="clear" w:color="auto" w:fill="auto"/>
            <w:vAlign w:val="center"/>
          </w:tcPr>
          <w:p w14:paraId="0D96DF09"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108 (83.7)</w:t>
            </w:r>
          </w:p>
        </w:tc>
        <w:tc>
          <w:tcPr>
            <w:tcW w:w="1081" w:type="dxa"/>
            <w:tcBorders>
              <w:top w:val="nil"/>
              <w:left w:val="nil"/>
              <w:bottom w:val="nil"/>
              <w:right w:val="nil"/>
            </w:tcBorders>
            <w:shd w:val="clear" w:color="auto" w:fill="auto"/>
            <w:vAlign w:val="center"/>
          </w:tcPr>
          <w:p w14:paraId="6FF7051A"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728BB66C"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74E2305D"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1.54</w:t>
            </w:r>
          </w:p>
        </w:tc>
        <w:tc>
          <w:tcPr>
            <w:tcW w:w="721" w:type="dxa"/>
            <w:tcBorders>
              <w:top w:val="nil"/>
              <w:left w:val="nil"/>
              <w:bottom w:val="nil"/>
              <w:right w:val="nil"/>
            </w:tcBorders>
            <w:shd w:val="clear" w:color="auto" w:fill="auto"/>
            <w:vAlign w:val="center"/>
          </w:tcPr>
          <w:p w14:paraId="2466459D"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0.30</w:t>
            </w:r>
          </w:p>
        </w:tc>
        <w:tc>
          <w:tcPr>
            <w:tcW w:w="721" w:type="dxa"/>
            <w:tcBorders>
              <w:top w:val="nil"/>
              <w:left w:val="nil"/>
              <w:bottom w:val="nil"/>
              <w:right w:val="nil"/>
            </w:tcBorders>
            <w:shd w:val="clear" w:color="auto" w:fill="auto"/>
            <w:vAlign w:val="center"/>
          </w:tcPr>
          <w:p w14:paraId="02896C2F"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6.57</w:t>
            </w:r>
          </w:p>
        </w:tc>
        <w:tc>
          <w:tcPr>
            <w:tcW w:w="811" w:type="dxa"/>
            <w:tcBorders>
              <w:top w:val="nil"/>
              <w:left w:val="nil"/>
              <w:bottom w:val="nil"/>
              <w:right w:val="nil"/>
            </w:tcBorders>
            <w:vAlign w:val="center"/>
          </w:tcPr>
          <w:p w14:paraId="6D07F9E0"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.564</w:t>
            </w:r>
          </w:p>
        </w:tc>
      </w:tr>
      <w:tr w:rsidR="00724AB5" w14:paraId="01006B4F" w14:textId="77777777">
        <w:trPr>
          <w:trHeight w:val="288"/>
        </w:trPr>
        <w:tc>
          <w:tcPr>
            <w:tcW w:w="2246" w:type="dxa"/>
            <w:tcBorders>
              <w:top w:val="nil"/>
              <w:left w:val="nil"/>
              <w:bottom w:val="nil"/>
              <w:right w:val="nil"/>
            </w:tcBorders>
            <w:shd w:val="clear" w:color="auto" w:fill="auto"/>
            <w:vAlign w:val="center"/>
          </w:tcPr>
          <w:p w14:paraId="24CBBC92" w14:textId="77777777" w:rsidR="00724AB5" w:rsidRDefault="007D385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Meals per day</w:t>
            </w:r>
          </w:p>
        </w:tc>
        <w:tc>
          <w:tcPr>
            <w:tcW w:w="1261" w:type="dxa"/>
            <w:tcBorders>
              <w:top w:val="nil"/>
              <w:left w:val="nil"/>
              <w:bottom w:val="nil"/>
              <w:right w:val="nil"/>
            </w:tcBorders>
            <w:shd w:val="clear" w:color="auto" w:fill="auto"/>
            <w:vAlign w:val="center"/>
          </w:tcPr>
          <w:p w14:paraId="370DEED4" w14:textId="77777777" w:rsidR="00724AB5" w:rsidRDefault="00724AB5">
            <w:pPr>
              <w:spacing w:after="0" w:line="240" w:lineRule="auto"/>
              <w:jc w:val="center"/>
              <w:rPr>
                <w:rFonts w:ascii="Times New Roman" w:eastAsia="Times New Roman" w:hAnsi="Times New Roman" w:cs="Times New Roman"/>
                <w:sz w:val="18"/>
                <w:szCs w:val="18"/>
              </w:rPr>
            </w:pPr>
          </w:p>
        </w:tc>
        <w:tc>
          <w:tcPr>
            <w:tcW w:w="1262" w:type="dxa"/>
            <w:tcBorders>
              <w:top w:val="nil"/>
              <w:left w:val="nil"/>
              <w:bottom w:val="nil"/>
              <w:right w:val="nil"/>
            </w:tcBorders>
            <w:shd w:val="clear" w:color="auto" w:fill="auto"/>
            <w:vAlign w:val="center"/>
          </w:tcPr>
          <w:p w14:paraId="2C9000ED" w14:textId="77777777" w:rsidR="00724AB5" w:rsidRDefault="00724AB5">
            <w:pPr>
              <w:spacing w:after="0" w:line="240" w:lineRule="auto"/>
              <w:jc w:val="center"/>
              <w:rPr>
                <w:rFonts w:ascii="Times New Roman" w:eastAsia="Times New Roman" w:hAnsi="Times New Roman" w:cs="Times New Roman"/>
                <w:sz w:val="18"/>
                <w:szCs w:val="18"/>
              </w:rPr>
            </w:pPr>
          </w:p>
        </w:tc>
        <w:tc>
          <w:tcPr>
            <w:tcW w:w="1081" w:type="dxa"/>
            <w:tcBorders>
              <w:top w:val="nil"/>
              <w:left w:val="nil"/>
              <w:bottom w:val="nil"/>
              <w:right w:val="nil"/>
            </w:tcBorders>
            <w:shd w:val="clear" w:color="auto" w:fill="auto"/>
            <w:vAlign w:val="center"/>
          </w:tcPr>
          <w:p w14:paraId="2B8049A2"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2.91(1)</w:t>
            </w:r>
          </w:p>
        </w:tc>
        <w:tc>
          <w:tcPr>
            <w:tcW w:w="811" w:type="dxa"/>
            <w:tcBorders>
              <w:top w:val="nil"/>
              <w:left w:val="nil"/>
              <w:bottom w:val="nil"/>
              <w:right w:val="single" w:sz="8" w:space="0" w:color="000000"/>
            </w:tcBorders>
            <w:shd w:val="clear" w:color="auto" w:fill="auto"/>
            <w:vAlign w:val="center"/>
          </w:tcPr>
          <w:p w14:paraId="739594E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.088</w:t>
            </w:r>
          </w:p>
        </w:tc>
        <w:tc>
          <w:tcPr>
            <w:tcW w:w="805" w:type="dxa"/>
            <w:tcBorders>
              <w:top w:val="nil"/>
              <w:left w:val="single" w:sz="8" w:space="0" w:color="000000"/>
              <w:bottom w:val="nil"/>
              <w:right w:val="nil"/>
            </w:tcBorders>
            <w:shd w:val="clear" w:color="auto" w:fill="auto"/>
            <w:vAlign w:val="center"/>
          </w:tcPr>
          <w:p w14:paraId="4C7E65F1"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2819AA7D"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7BAE5260"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nil"/>
            </w:tcBorders>
            <w:vAlign w:val="center"/>
          </w:tcPr>
          <w:p w14:paraId="699B2C53"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4CF34A1F" w14:textId="77777777">
        <w:trPr>
          <w:trHeight w:val="20"/>
        </w:trPr>
        <w:tc>
          <w:tcPr>
            <w:tcW w:w="2246" w:type="dxa"/>
            <w:tcBorders>
              <w:top w:val="nil"/>
              <w:left w:val="nil"/>
              <w:bottom w:val="nil"/>
              <w:right w:val="nil"/>
            </w:tcBorders>
            <w:shd w:val="clear" w:color="auto" w:fill="auto"/>
            <w:vAlign w:val="center"/>
          </w:tcPr>
          <w:p w14:paraId="0821728B"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to 2      </w:t>
            </w:r>
          </w:p>
        </w:tc>
        <w:tc>
          <w:tcPr>
            <w:tcW w:w="1261" w:type="dxa"/>
            <w:tcBorders>
              <w:top w:val="nil"/>
              <w:left w:val="nil"/>
              <w:bottom w:val="nil"/>
              <w:right w:val="nil"/>
            </w:tcBorders>
            <w:shd w:val="clear" w:color="auto" w:fill="auto"/>
            <w:vAlign w:val="center"/>
          </w:tcPr>
          <w:p w14:paraId="063404D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 (41.1)</w:t>
            </w:r>
          </w:p>
        </w:tc>
        <w:tc>
          <w:tcPr>
            <w:tcW w:w="1262" w:type="dxa"/>
            <w:tcBorders>
              <w:top w:val="nil"/>
              <w:left w:val="nil"/>
              <w:bottom w:val="nil"/>
              <w:right w:val="nil"/>
            </w:tcBorders>
            <w:shd w:val="clear" w:color="auto" w:fill="auto"/>
            <w:vAlign w:val="center"/>
          </w:tcPr>
          <w:p w14:paraId="14AB1A0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 (27.1)</w:t>
            </w:r>
          </w:p>
        </w:tc>
        <w:tc>
          <w:tcPr>
            <w:tcW w:w="1081" w:type="dxa"/>
            <w:tcBorders>
              <w:top w:val="nil"/>
              <w:left w:val="nil"/>
              <w:bottom w:val="nil"/>
              <w:right w:val="nil"/>
            </w:tcBorders>
            <w:shd w:val="clear" w:color="auto" w:fill="auto"/>
            <w:vAlign w:val="center"/>
          </w:tcPr>
          <w:p w14:paraId="0312D6FA"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04CDEEC8"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6B4E2218"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1.52</w:t>
            </w:r>
          </w:p>
        </w:tc>
        <w:tc>
          <w:tcPr>
            <w:tcW w:w="721" w:type="dxa"/>
            <w:tcBorders>
              <w:top w:val="nil"/>
              <w:left w:val="nil"/>
              <w:bottom w:val="nil"/>
              <w:right w:val="nil"/>
            </w:tcBorders>
            <w:shd w:val="clear" w:color="auto" w:fill="auto"/>
            <w:vAlign w:val="center"/>
          </w:tcPr>
          <w:p w14:paraId="2F7EEB15"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0.90</w:t>
            </w:r>
          </w:p>
        </w:tc>
        <w:tc>
          <w:tcPr>
            <w:tcW w:w="721" w:type="dxa"/>
            <w:tcBorders>
              <w:top w:val="nil"/>
              <w:left w:val="nil"/>
              <w:bottom w:val="nil"/>
              <w:right w:val="nil"/>
            </w:tcBorders>
            <w:shd w:val="clear" w:color="auto" w:fill="auto"/>
            <w:vAlign w:val="center"/>
          </w:tcPr>
          <w:p w14:paraId="330D5B06"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2.61</w:t>
            </w:r>
          </w:p>
        </w:tc>
        <w:tc>
          <w:tcPr>
            <w:tcW w:w="811" w:type="dxa"/>
            <w:tcBorders>
              <w:top w:val="nil"/>
              <w:left w:val="nil"/>
              <w:bottom w:val="nil"/>
              <w:right w:val="nil"/>
            </w:tcBorders>
            <w:vAlign w:val="center"/>
          </w:tcPr>
          <w:p w14:paraId="2269B93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.118</w:t>
            </w:r>
          </w:p>
        </w:tc>
      </w:tr>
      <w:tr w:rsidR="00724AB5" w14:paraId="15D09EC0" w14:textId="77777777">
        <w:trPr>
          <w:trHeight w:val="20"/>
        </w:trPr>
        <w:tc>
          <w:tcPr>
            <w:tcW w:w="2246" w:type="dxa"/>
            <w:tcBorders>
              <w:top w:val="nil"/>
              <w:left w:val="nil"/>
              <w:bottom w:val="nil"/>
              <w:right w:val="nil"/>
            </w:tcBorders>
            <w:shd w:val="clear" w:color="auto" w:fill="auto"/>
            <w:vAlign w:val="center"/>
          </w:tcPr>
          <w:p w14:paraId="2C6F6A9E"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or more    </w:t>
            </w:r>
          </w:p>
        </w:tc>
        <w:tc>
          <w:tcPr>
            <w:tcW w:w="1261" w:type="dxa"/>
            <w:tcBorders>
              <w:top w:val="nil"/>
              <w:left w:val="nil"/>
              <w:bottom w:val="nil"/>
              <w:right w:val="nil"/>
            </w:tcBorders>
            <w:shd w:val="clear" w:color="auto" w:fill="auto"/>
            <w:vAlign w:val="center"/>
          </w:tcPr>
          <w:p w14:paraId="495A03B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 (58.9)</w:t>
            </w:r>
          </w:p>
        </w:tc>
        <w:tc>
          <w:tcPr>
            <w:tcW w:w="1262" w:type="dxa"/>
            <w:tcBorders>
              <w:top w:val="nil"/>
              <w:left w:val="nil"/>
              <w:bottom w:val="nil"/>
              <w:right w:val="nil"/>
            </w:tcBorders>
            <w:shd w:val="clear" w:color="auto" w:fill="auto"/>
            <w:vAlign w:val="center"/>
          </w:tcPr>
          <w:p w14:paraId="1D4C8468"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94 (72.9)</w:t>
            </w:r>
          </w:p>
        </w:tc>
        <w:tc>
          <w:tcPr>
            <w:tcW w:w="1081" w:type="dxa"/>
            <w:tcBorders>
              <w:top w:val="nil"/>
              <w:left w:val="nil"/>
              <w:bottom w:val="nil"/>
              <w:right w:val="nil"/>
            </w:tcBorders>
            <w:shd w:val="clear" w:color="auto" w:fill="auto"/>
            <w:vAlign w:val="center"/>
          </w:tcPr>
          <w:p w14:paraId="1B803ADD"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215EE2CA"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502F233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1.87</w:t>
            </w:r>
          </w:p>
        </w:tc>
        <w:tc>
          <w:tcPr>
            <w:tcW w:w="721" w:type="dxa"/>
            <w:tcBorders>
              <w:top w:val="nil"/>
              <w:left w:val="nil"/>
              <w:bottom w:val="nil"/>
              <w:right w:val="nil"/>
            </w:tcBorders>
            <w:shd w:val="clear" w:color="auto" w:fill="auto"/>
            <w:vAlign w:val="center"/>
          </w:tcPr>
          <w:p w14:paraId="3B65F76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0.96</w:t>
            </w:r>
          </w:p>
        </w:tc>
        <w:tc>
          <w:tcPr>
            <w:tcW w:w="721" w:type="dxa"/>
            <w:tcBorders>
              <w:top w:val="nil"/>
              <w:left w:val="nil"/>
              <w:bottom w:val="nil"/>
              <w:right w:val="nil"/>
            </w:tcBorders>
            <w:shd w:val="clear" w:color="auto" w:fill="auto"/>
            <w:vAlign w:val="center"/>
          </w:tcPr>
          <w:p w14:paraId="51D0F3C6"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3.62</w:t>
            </w:r>
          </w:p>
        </w:tc>
        <w:tc>
          <w:tcPr>
            <w:tcW w:w="811" w:type="dxa"/>
            <w:tcBorders>
              <w:top w:val="nil"/>
              <w:left w:val="nil"/>
              <w:bottom w:val="nil"/>
              <w:right w:val="nil"/>
            </w:tcBorders>
            <w:vAlign w:val="center"/>
          </w:tcPr>
          <w:p w14:paraId="5824C619"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.062</w:t>
            </w:r>
          </w:p>
        </w:tc>
      </w:tr>
      <w:tr w:rsidR="00724AB5" w14:paraId="0C34E283" w14:textId="77777777">
        <w:trPr>
          <w:trHeight w:val="288"/>
        </w:trPr>
        <w:tc>
          <w:tcPr>
            <w:tcW w:w="2246" w:type="dxa"/>
            <w:tcBorders>
              <w:top w:val="nil"/>
              <w:left w:val="nil"/>
              <w:bottom w:val="nil"/>
              <w:right w:val="nil"/>
            </w:tcBorders>
            <w:shd w:val="clear" w:color="auto" w:fill="auto"/>
            <w:vAlign w:val="center"/>
          </w:tcPr>
          <w:p w14:paraId="7F66F447" w14:textId="77777777" w:rsidR="00724AB5" w:rsidRDefault="007D385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Fruit per day</w:t>
            </w:r>
          </w:p>
        </w:tc>
        <w:tc>
          <w:tcPr>
            <w:tcW w:w="1261" w:type="dxa"/>
            <w:tcBorders>
              <w:top w:val="nil"/>
              <w:left w:val="nil"/>
              <w:bottom w:val="nil"/>
              <w:right w:val="nil"/>
            </w:tcBorders>
            <w:shd w:val="clear" w:color="auto" w:fill="auto"/>
            <w:vAlign w:val="center"/>
          </w:tcPr>
          <w:p w14:paraId="2BB64167" w14:textId="77777777" w:rsidR="00724AB5" w:rsidRDefault="00724AB5">
            <w:pPr>
              <w:spacing w:after="0" w:line="240" w:lineRule="auto"/>
              <w:jc w:val="center"/>
              <w:rPr>
                <w:rFonts w:ascii="Times New Roman" w:eastAsia="Times New Roman" w:hAnsi="Times New Roman" w:cs="Times New Roman"/>
                <w:sz w:val="18"/>
                <w:szCs w:val="18"/>
              </w:rPr>
            </w:pPr>
          </w:p>
        </w:tc>
        <w:tc>
          <w:tcPr>
            <w:tcW w:w="1262" w:type="dxa"/>
            <w:tcBorders>
              <w:top w:val="nil"/>
              <w:left w:val="nil"/>
              <w:bottom w:val="nil"/>
              <w:right w:val="nil"/>
            </w:tcBorders>
            <w:shd w:val="clear" w:color="auto" w:fill="auto"/>
            <w:vAlign w:val="center"/>
          </w:tcPr>
          <w:p w14:paraId="09F7DEC5" w14:textId="77777777" w:rsidR="00724AB5" w:rsidRDefault="00724AB5">
            <w:pPr>
              <w:spacing w:after="0" w:line="240" w:lineRule="auto"/>
              <w:jc w:val="center"/>
              <w:rPr>
                <w:rFonts w:ascii="Times New Roman" w:eastAsia="Times New Roman" w:hAnsi="Times New Roman" w:cs="Times New Roman"/>
                <w:sz w:val="18"/>
                <w:szCs w:val="18"/>
              </w:rPr>
            </w:pPr>
          </w:p>
        </w:tc>
        <w:tc>
          <w:tcPr>
            <w:tcW w:w="1081" w:type="dxa"/>
            <w:tcBorders>
              <w:top w:val="nil"/>
              <w:left w:val="nil"/>
              <w:bottom w:val="nil"/>
              <w:right w:val="nil"/>
            </w:tcBorders>
            <w:shd w:val="clear" w:color="auto" w:fill="auto"/>
            <w:vAlign w:val="center"/>
          </w:tcPr>
          <w:p w14:paraId="0529D096"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0.064(1)</w:t>
            </w:r>
          </w:p>
        </w:tc>
        <w:tc>
          <w:tcPr>
            <w:tcW w:w="811" w:type="dxa"/>
            <w:tcBorders>
              <w:top w:val="nil"/>
              <w:left w:val="nil"/>
              <w:bottom w:val="nil"/>
              <w:right w:val="single" w:sz="8" w:space="0" w:color="000000"/>
            </w:tcBorders>
            <w:shd w:val="clear" w:color="auto" w:fill="auto"/>
            <w:vAlign w:val="center"/>
          </w:tcPr>
          <w:p w14:paraId="3033B3A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.800</w:t>
            </w:r>
          </w:p>
        </w:tc>
        <w:tc>
          <w:tcPr>
            <w:tcW w:w="805" w:type="dxa"/>
            <w:tcBorders>
              <w:top w:val="nil"/>
              <w:left w:val="single" w:sz="8" w:space="0" w:color="000000"/>
              <w:bottom w:val="nil"/>
              <w:right w:val="nil"/>
            </w:tcBorders>
            <w:shd w:val="clear" w:color="auto" w:fill="auto"/>
            <w:vAlign w:val="center"/>
          </w:tcPr>
          <w:p w14:paraId="4A7EF69D"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03C7B7AF"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1FDE7577"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nil"/>
            </w:tcBorders>
            <w:vAlign w:val="center"/>
          </w:tcPr>
          <w:p w14:paraId="344D153F"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377E9BBD" w14:textId="77777777">
        <w:trPr>
          <w:trHeight w:val="20"/>
        </w:trPr>
        <w:tc>
          <w:tcPr>
            <w:tcW w:w="2246" w:type="dxa"/>
            <w:tcBorders>
              <w:top w:val="nil"/>
              <w:left w:val="nil"/>
              <w:bottom w:val="nil"/>
              <w:right w:val="nil"/>
            </w:tcBorders>
            <w:shd w:val="clear" w:color="auto" w:fill="auto"/>
            <w:vAlign w:val="center"/>
          </w:tcPr>
          <w:p w14:paraId="63E28026"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Not daily </w:t>
            </w:r>
          </w:p>
        </w:tc>
        <w:tc>
          <w:tcPr>
            <w:tcW w:w="1261" w:type="dxa"/>
            <w:tcBorders>
              <w:top w:val="nil"/>
              <w:left w:val="nil"/>
              <w:bottom w:val="nil"/>
              <w:right w:val="nil"/>
            </w:tcBorders>
            <w:shd w:val="clear" w:color="auto" w:fill="auto"/>
            <w:vAlign w:val="center"/>
          </w:tcPr>
          <w:p w14:paraId="035B135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48 (85.7)</w:t>
            </w:r>
          </w:p>
        </w:tc>
        <w:tc>
          <w:tcPr>
            <w:tcW w:w="1262" w:type="dxa"/>
            <w:tcBorders>
              <w:top w:val="nil"/>
              <w:left w:val="nil"/>
              <w:bottom w:val="nil"/>
              <w:right w:val="nil"/>
            </w:tcBorders>
            <w:shd w:val="clear" w:color="auto" w:fill="auto"/>
            <w:vAlign w:val="center"/>
          </w:tcPr>
          <w:p w14:paraId="58029D4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107 (83)</w:t>
            </w:r>
          </w:p>
        </w:tc>
        <w:tc>
          <w:tcPr>
            <w:tcW w:w="1081" w:type="dxa"/>
            <w:tcBorders>
              <w:top w:val="nil"/>
              <w:left w:val="nil"/>
              <w:bottom w:val="nil"/>
              <w:right w:val="nil"/>
            </w:tcBorders>
            <w:shd w:val="clear" w:color="auto" w:fill="auto"/>
            <w:vAlign w:val="center"/>
          </w:tcPr>
          <w:p w14:paraId="77591D29"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30C0A2B6"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692EDA7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2.23</w:t>
            </w:r>
          </w:p>
        </w:tc>
        <w:tc>
          <w:tcPr>
            <w:tcW w:w="721" w:type="dxa"/>
            <w:tcBorders>
              <w:top w:val="nil"/>
              <w:left w:val="nil"/>
              <w:bottom w:val="nil"/>
              <w:right w:val="nil"/>
            </w:tcBorders>
            <w:shd w:val="clear" w:color="auto" w:fill="auto"/>
            <w:vAlign w:val="center"/>
          </w:tcPr>
          <w:p w14:paraId="4580B3F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1.60</w:t>
            </w:r>
          </w:p>
        </w:tc>
        <w:tc>
          <w:tcPr>
            <w:tcW w:w="721" w:type="dxa"/>
            <w:tcBorders>
              <w:top w:val="nil"/>
              <w:left w:val="nil"/>
              <w:bottom w:val="nil"/>
              <w:right w:val="nil"/>
            </w:tcBorders>
            <w:shd w:val="clear" w:color="auto" w:fill="auto"/>
            <w:vAlign w:val="center"/>
          </w:tcPr>
          <w:p w14:paraId="7585F528"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3.16</w:t>
            </w:r>
          </w:p>
        </w:tc>
        <w:tc>
          <w:tcPr>
            <w:tcW w:w="811" w:type="dxa"/>
            <w:tcBorders>
              <w:top w:val="nil"/>
              <w:left w:val="nil"/>
              <w:bottom w:val="nil"/>
              <w:right w:val="nil"/>
            </w:tcBorders>
            <w:vAlign w:val="center"/>
          </w:tcPr>
          <w:p w14:paraId="2F1AF03A"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&lt;.001</w:t>
            </w:r>
          </w:p>
        </w:tc>
      </w:tr>
      <w:tr w:rsidR="00724AB5" w14:paraId="40F07CD9" w14:textId="77777777">
        <w:trPr>
          <w:trHeight w:val="20"/>
        </w:trPr>
        <w:tc>
          <w:tcPr>
            <w:tcW w:w="2246" w:type="dxa"/>
            <w:tcBorders>
              <w:top w:val="nil"/>
              <w:left w:val="nil"/>
              <w:bottom w:val="nil"/>
              <w:right w:val="nil"/>
            </w:tcBorders>
            <w:shd w:val="clear" w:color="auto" w:fill="auto"/>
            <w:vAlign w:val="center"/>
          </w:tcPr>
          <w:p w14:paraId="0F29841F"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Daily         </w:t>
            </w:r>
          </w:p>
        </w:tc>
        <w:tc>
          <w:tcPr>
            <w:tcW w:w="1261" w:type="dxa"/>
            <w:tcBorders>
              <w:top w:val="nil"/>
              <w:left w:val="nil"/>
              <w:bottom w:val="nil"/>
              <w:right w:val="nil"/>
            </w:tcBorders>
            <w:shd w:val="clear" w:color="auto" w:fill="auto"/>
            <w:vAlign w:val="center"/>
          </w:tcPr>
          <w:p w14:paraId="46BE404D"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 (14.3)</w:t>
            </w:r>
          </w:p>
        </w:tc>
        <w:tc>
          <w:tcPr>
            <w:tcW w:w="1262" w:type="dxa"/>
            <w:tcBorders>
              <w:top w:val="nil"/>
              <w:left w:val="nil"/>
              <w:bottom w:val="nil"/>
              <w:right w:val="nil"/>
            </w:tcBorders>
            <w:shd w:val="clear" w:color="auto" w:fill="auto"/>
            <w:vAlign w:val="center"/>
          </w:tcPr>
          <w:p w14:paraId="0BB595C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 (17.1)</w:t>
            </w:r>
          </w:p>
        </w:tc>
        <w:tc>
          <w:tcPr>
            <w:tcW w:w="1081" w:type="dxa"/>
            <w:tcBorders>
              <w:top w:val="nil"/>
              <w:left w:val="nil"/>
              <w:bottom w:val="nil"/>
              <w:right w:val="nil"/>
            </w:tcBorders>
            <w:shd w:val="clear" w:color="auto" w:fill="auto"/>
            <w:vAlign w:val="center"/>
          </w:tcPr>
          <w:p w14:paraId="5040AC6B"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5C2361A2"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546558BF"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721" w:type="dxa"/>
            <w:tcBorders>
              <w:top w:val="nil"/>
              <w:left w:val="nil"/>
              <w:bottom w:val="nil"/>
              <w:right w:val="nil"/>
            </w:tcBorders>
            <w:shd w:val="clear" w:color="auto" w:fill="auto"/>
            <w:vAlign w:val="center"/>
          </w:tcPr>
          <w:p w14:paraId="4F0A6982"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0.53</w:t>
            </w:r>
          </w:p>
        </w:tc>
        <w:tc>
          <w:tcPr>
            <w:tcW w:w="721" w:type="dxa"/>
            <w:tcBorders>
              <w:top w:val="nil"/>
              <w:left w:val="nil"/>
              <w:bottom w:val="nil"/>
              <w:right w:val="nil"/>
            </w:tcBorders>
            <w:shd w:val="clear" w:color="auto" w:fill="auto"/>
            <w:vAlign w:val="center"/>
          </w:tcPr>
          <w:p w14:paraId="5D7E7D10"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3.13</w:t>
            </w:r>
          </w:p>
        </w:tc>
        <w:tc>
          <w:tcPr>
            <w:tcW w:w="811" w:type="dxa"/>
            <w:tcBorders>
              <w:top w:val="nil"/>
              <w:left w:val="nil"/>
              <w:bottom w:val="nil"/>
              <w:right w:val="nil"/>
            </w:tcBorders>
            <w:vAlign w:val="center"/>
          </w:tcPr>
          <w:p w14:paraId="5890AAA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.639</w:t>
            </w:r>
          </w:p>
        </w:tc>
      </w:tr>
      <w:tr w:rsidR="00724AB5" w14:paraId="17D97C0E" w14:textId="77777777">
        <w:trPr>
          <w:trHeight w:val="288"/>
        </w:trPr>
        <w:tc>
          <w:tcPr>
            <w:tcW w:w="2246" w:type="dxa"/>
            <w:tcBorders>
              <w:top w:val="nil"/>
              <w:left w:val="nil"/>
              <w:bottom w:val="nil"/>
              <w:right w:val="nil"/>
            </w:tcBorders>
            <w:shd w:val="clear" w:color="auto" w:fill="auto"/>
            <w:vAlign w:val="center"/>
          </w:tcPr>
          <w:p w14:paraId="64F26E0A" w14:textId="77777777" w:rsidR="00724AB5" w:rsidRDefault="007D385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Vegetable per day</w:t>
            </w:r>
          </w:p>
        </w:tc>
        <w:tc>
          <w:tcPr>
            <w:tcW w:w="1261" w:type="dxa"/>
            <w:tcBorders>
              <w:top w:val="nil"/>
              <w:left w:val="nil"/>
              <w:bottom w:val="nil"/>
              <w:right w:val="nil"/>
            </w:tcBorders>
            <w:shd w:val="clear" w:color="auto" w:fill="auto"/>
            <w:vAlign w:val="center"/>
          </w:tcPr>
          <w:p w14:paraId="43747456" w14:textId="77777777" w:rsidR="00724AB5" w:rsidRDefault="00724AB5">
            <w:pPr>
              <w:spacing w:after="0" w:line="240" w:lineRule="auto"/>
              <w:jc w:val="center"/>
              <w:rPr>
                <w:rFonts w:ascii="Times New Roman" w:eastAsia="Times New Roman" w:hAnsi="Times New Roman" w:cs="Times New Roman"/>
                <w:sz w:val="18"/>
                <w:szCs w:val="18"/>
              </w:rPr>
            </w:pPr>
          </w:p>
        </w:tc>
        <w:tc>
          <w:tcPr>
            <w:tcW w:w="1262" w:type="dxa"/>
            <w:tcBorders>
              <w:top w:val="nil"/>
              <w:left w:val="nil"/>
              <w:bottom w:val="nil"/>
              <w:right w:val="nil"/>
            </w:tcBorders>
            <w:shd w:val="clear" w:color="auto" w:fill="auto"/>
            <w:vAlign w:val="center"/>
          </w:tcPr>
          <w:p w14:paraId="659FE700" w14:textId="77777777" w:rsidR="00724AB5" w:rsidRDefault="00724AB5">
            <w:pPr>
              <w:spacing w:after="0" w:line="240" w:lineRule="auto"/>
              <w:jc w:val="center"/>
              <w:rPr>
                <w:rFonts w:ascii="Times New Roman" w:eastAsia="Times New Roman" w:hAnsi="Times New Roman" w:cs="Times New Roman"/>
                <w:sz w:val="18"/>
                <w:szCs w:val="18"/>
              </w:rPr>
            </w:pPr>
          </w:p>
        </w:tc>
        <w:tc>
          <w:tcPr>
            <w:tcW w:w="1081" w:type="dxa"/>
            <w:tcBorders>
              <w:top w:val="nil"/>
              <w:left w:val="nil"/>
              <w:bottom w:val="nil"/>
              <w:right w:val="nil"/>
            </w:tcBorders>
            <w:shd w:val="clear" w:color="auto" w:fill="auto"/>
            <w:vAlign w:val="center"/>
          </w:tcPr>
          <w:p w14:paraId="426DCA16"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2.48*</w:t>
            </w:r>
          </w:p>
        </w:tc>
        <w:tc>
          <w:tcPr>
            <w:tcW w:w="811" w:type="dxa"/>
            <w:tcBorders>
              <w:top w:val="nil"/>
              <w:left w:val="nil"/>
              <w:bottom w:val="nil"/>
              <w:right w:val="single" w:sz="8" w:space="0" w:color="000000"/>
            </w:tcBorders>
            <w:shd w:val="clear" w:color="auto" w:fill="auto"/>
            <w:vAlign w:val="center"/>
          </w:tcPr>
          <w:p w14:paraId="08EE74BA"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.171</w:t>
            </w:r>
          </w:p>
        </w:tc>
        <w:tc>
          <w:tcPr>
            <w:tcW w:w="805" w:type="dxa"/>
            <w:tcBorders>
              <w:top w:val="nil"/>
              <w:left w:val="single" w:sz="8" w:space="0" w:color="000000"/>
              <w:bottom w:val="nil"/>
              <w:right w:val="nil"/>
            </w:tcBorders>
            <w:shd w:val="clear" w:color="auto" w:fill="auto"/>
            <w:vAlign w:val="center"/>
          </w:tcPr>
          <w:p w14:paraId="3F00C907"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1C2CF9FF"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047F670F"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nil"/>
            </w:tcBorders>
            <w:vAlign w:val="center"/>
          </w:tcPr>
          <w:p w14:paraId="26A15F80"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53DE1944" w14:textId="77777777">
        <w:trPr>
          <w:trHeight w:val="20"/>
        </w:trPr>
        <w:tc>
          <w:tcPr>
            <w:tcW w:w="2246" w:type="dxa"/>
            <w:tcBorders>
              <w:top w:val="nil"/>
              <w:left w:val="nil"/>
              <w:bottom w:val="nil"/>
              <w:right w:val="nil"/>
            </w:tcBorders>
            <w:shd w:val="clear" w:color="auto" w:fill="auto"/>
            <w:vAlign w:val="center"/>
          </w:tcPr>
          <w:p w14:paraId="0D78F4AA"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Not daily </w:t>
            </w:r>
          </w:p>
        </w:tc>
        <w:tc>
          <w:tcPr>
            <w:tcW w:w="1261" w:type="dxa"/>
            <w:tcBorders>
              <w:top w:val="nil"/>
              <w:left w:val="nil"/>
              <w:bottom w:val="nil"/>
              <w:right w:val="nil"/>
            </w:tcBorders>
            <w:shd w:val="clear" w:color="auto" w:fill="auto"/>
            <w:vAlign w:val="center"/>
          </w:tcPr>
          <w:p w14:paraId="744ECD7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55 (98.2)</w:t>
            </w:r>
          </w:p>
        </w:tc>
        <w:tc>
          <w:tcPr>
            <w:tcW w:w="1262" w:type="dxa"/>
            <w:tcBorders>
              <w:top w:val="nil"/>
              <w:left w:val="nil"/>
              <w:bottom w:val="nil"/>
              <w:right w:val="nil"/>
            </w:tcBorders>
            <w:shd w:val="clear" w:color="auto" w:fill="auto"/>
            <w:vAlign w:val="center"/>
          </w:tcPr>
          <w:p w14:paraId="0E2E02F0"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119 (92.3)</w:t>
            </w:r>
          </w:p>
        </w:tc>
        <w:tc>
          <w:tcPr>
            <w:tcW w:w="1081" w:type="dxa"/>
            <w:tcBorders>
              <w:top w:val="nil"/>
              <w:left w:val="nil"/>
              <w:bottom w:val="nil"/>
              <w:right w:val="nil"/>
            </w:tcBorders>
            <w:shd w:val="clear" w:color="auto" w:fill="auto"/>
            <w:vAlign w:val="center"/>
          </w:tcPr>
          <w:p w14:paraId="16337274"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4EBA87A2"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64F2343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2.16</w:t>
            </w:r>
          </w:p>
        </w:tc>
        <w:tc>
          <w:tcPr>
            <w:tcW w:w="721" w:type="dxa"/>
            <w:tcBorders>
              <w:top w:val="nil"/>
              <w:left w:val="nil"/>
              <w:bottom w:val="nil"/>
              <w:right w:val="nil"/>
            </w:tcBorders>
            <w:shd w:val="clear" w:color="auto" w:fill="auto"/>
            <w:vAlign w:val="center"/>
          </w:tcPr>
          <w:p w14:paraId="3ACAA83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1.58</w:t>
            </w:r>
          </w:p>
        </w:tc>
        <w:tc>
          <w:tcPr>
            <w:tcW w:w="721" w:type="dxa"/>
            <w:tcBorders>
              <w:top w:val="nil"/>
              <w:left w:val="nil"/>
              <w:bottom w:val="nil"/>
              <w:right w:val="nil"/>
            </w:tcBorders>
            <w:shd w:val="clear" w:color="auto" w:fill="auto"/>
            <w:vAlign w:val="center"/>
          </w:tcPr>
          <w:p w14:paraId="0BA4AF6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811" w:type="dxa"/>
            <w:tcBorders>
              <w:top w:val="nil"/>
              <w:left w:val="nil"/>
              <w:bottom w:val="nil"/>
              <w:right w:val="nil"/>
            </w:tcBorders>
            <w:vAlign w:val="center"/>
          </w:tcPr>
          <w:p w14:paraId="47E9152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&lt;.001</w:t>
            </w:r>
          </w:p>
        </w:tc>
      </w:tr>
      <w:tr w:rsidR="00724AB5" w14:paraId="048575D1" w14:textId="77777777">
        <w:trPr>
          <w:trHeight w:val="20"/>
        </w:trPr>
        <w:tc>
          <w:tcPr>
            <w:tcW w:w="2246" w:type="dxa"/>
            <w:tcBorders>
              <w:top w:val="nil"/>
              <w:left w:val="nil"/>
              <w:bottom w:val="nil"/>
              <w:right w:val="nil"/>
            </w:tcBorders>
            <w:shd w:val="clear" w:color="auto" w:fill="auto"/>
            <w:vAlign w:val="center"/>
          </w:tcPr>
          <w:p w14:paraId="0A7C2F35"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Daily         </w:t>
            </w:r>
          </w:p>
        </w:tc>
        <w:tc>
          <w:tcPr>
            <w:tcW w:w="1261" w:type="dxa"/>
            <w:tcBorders>
              <w:top w:val="nil"/>
              <w:left w:val="nil"/>
              <w:bottom w:val="nil"/>
              <w:right w:val="nil"/>
            </w:tcBorders>
            <w:shd w:val="clear" w:color="auto" w:fill="auto"/>
            <w:vAlign w:val="center"/>
          </w:tcPr>
          <w:p w14:paraId="592BAE2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(1.8)</w:t>
            </w:r>
          </w:p>
        </w:tc>
        <w:tc>
          <w:tcPr>
            <w:tcW w:w="1262" w:type="dxa"/>
            <w:tcBorders>
              <w:top w:val="nil"/>
              <w:left w:val="nil"/>
              <w:bottom w:val="nil"/>
              <w:right w:val="nil"/>
            </w:tcBorders>
            <w:shd w:val="clear" w:color="auto" w:fill="auto"/>
            <w:vAlign w:val="center"/>
          </w:tcPr>
          <w:p w14:paraId="7BC46328"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 (7.8)</w:t>
            </w:r>
          </w:p>
        </w:tc>
        <w:tc>
          <w:tcPr>
            <w:tcW w:w="1081" w:type="dxa"/>
            <w:tcBorders>
              <w:top w:val="nil"/>
              <w:left w:val="nil"/>
              <w:bottom w:val="nil"/>
              <w:right w:val="nil"/>
            </w:tcBorders>
            <w:shd w:val="clear" w:color="auto" w:fill="auto"/>
            <w:vAlign w:val="center"/>
          </w:tcPr>
          <w:p w14:paraId="381CEBB2"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488AD060"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1068BC02"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4.62</w:t>
            </w:r>
          </w:p>
        </w:tc>
        <w:tc>
          <w:tcPr>
            <w:tcW w:w="721" w:type="dxa"/>
            <w:tcBorders>
              <w:top w:val="nil"/>
              <w:left w:val="nil"/>
              <w:bottom w:val="nil"/>
              <w:right w:val="nil"/>
            </w:tcBorders>
            <w:shd w:val="clear" w:color="auto" w:fill="auto"/>
            <w:vAlign w:val="center"/>
          </w:tcPr>
          <w:p w14:paraId="1D0156FF"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0.85</w:t>
            </w:r>
          </w:p>
        </w:tc>
        <w:tc>
          <w:tcPr>
            <w:tcW w:w="721" w:type="dxa"/>
            <w:tcBorders>
              <w:top w:val="nil"/>
              <w:left w:val="nil"/>
              <w:bottom w:val="nil"/>
              <w:right w:val="nil"/>
            </w:tcBorders>
            <w:shd w:val="clear" w:color="auto" w:fill="auto"/>
            <w:vAlign w:val="center"/>
          </w:tcPr>
          <w:p w14:paraId="577325F0"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85.87</w:t>
            </w:r>
          </w:p>
        </w:tc>
        <w:tc>
          <w:tcPr>
            <w:tcW w:w="811" w:type="dxa"/>
            <w:tcBorders>
              <w:top w:val="nil"/>
              <w:left w:val="nil"/>
              <w:bottom w:val="nil"/>
              <w:right w:val="nil"/>
            </w:tcBorders>
            <w:vAlign w:val="center"/>
          </w:tcPr>
          <w:p w14:paraId="778355F4"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.149</w:t>
            </w:r>
          </w:p>
        </w:tc>
      </w:tr>
      <w:tr w:rsidR="00724AB5" w14:paraId="2559308E" w14:textId="77777777">
        <w:trPr>
          <w:trHeight w:val="288"/>
        </w:trPr>
        <w:tc>
          <w:tcPr>
            <w:tcW w:w="4769" w:type="dxa"/>
            <w:gridSpan w:val="3"/>
            <w:tcBorders>
              <w:top w:val="nil"/>
              <w:left w:val="nil"/>
              <w:bottom w:val="nil"/>
              <w:right w:val="nil"/>
            </w:tcBorders>
            <w:shd w:val="clear" w:color="auto" w:fill="auto"/>
            <w:vAlign w:val="center"/>
          </w:tcPr>
          <w:p w14:paraId="0F05964A" w14:textId="77777777" w:rsidR="00724AB5" w:rsidRDefault="007D385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Socioeconomic factors </w:t>
            </w:r>
          </w:p>
        </w:tc>
        <w:tc>
          <w:tcPr>
            <w:tcW w:w="1081" w:type="dxa"/>
            <w:tcBorders>
              <w:top w:val="nil"/>
              <w:left w:val="nil"/>
              <w:bottom w:val="nil"/>
              <w:right w:val="nil"/>
            </w:tcBorders>
            <w:shd w:val="clear" w:color="auto" w:fill="auto"/>
            <w:vAlign w:val="center"/>
          </w:tcPr>
          <w:p w14:paraId="646353AC"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518DCF91"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4860BE99"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427CD404"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49DE6E86"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nil"/>
            </w:tcBorders>
            <w:vAlign w:val="center"/>
          </w:tcPr>
          <w:p w14:paraId="7542F90C"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238C0EEB" w14:textId="77777777">
        <w:trPr>
          <w:trHeight w:val="20"/>
        </w:trPr>
        <w:tc>
          <w:tcPr>
            <w:tcW w:w="3507" w:type="dxa"/>
            <w:gridSpan w:val="2"/>
            <w:tcBorders>
              <w:top w:val="nil"/>
              <w:left w:val="nil"/>
              <w:bottom w:val="nil"/>
              <w:right w:val="nil"/>
            </w:tcBorders>
            <w:shd w:val="clear" w:color="auto" w:fill="auto"/>
            <w:vAlign w:val="center"/>
          </w:tcPr>
          <w:p w14:paraId="69A88057" w14:textId="77777777" w:rsidR="00724AB5" w:rsidRDefault="007D385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Household income (XAF/month) </w:t>
            </w:r>
            <w:r>
              <w:rPr>
                <w:rFonts w:ascii="Times New Roman" w:eastAsia="Times New Roman" w:hAnsi="Times New Roman" w:cs="Times New Roman"/>
                <w:b/>
                <w:sz w:val="18"/>
                <w:szCs w:val="18"/>
                <w:vertAlign w:val="superscript"/>
              </w:rPr>
              <w:t>b</w:t>
            </w:r>
          </w:p>
        </w:tc>
        <w:tc>
          <w:tcPr>
            <w:tcW w:w="1262" w:type="dxa"/>
            <w:tcBorders>
              <w:top w:val="nil"/>
              <w:left w:val="nil"/>
              <w:bottom w:val="nil"/>
              <w:right w:val="nil"/>
            </w:tcBorders>
            <w:shd w:val="clear" w:color="auto" w:fill="auto"/>
            <w:vAlign w:val="center"/>
          </w:tcPr>
          <w:p w14:paraId="005071C3" w14:textId="77777777" w:rsidR="00724AB5" w:rsidRDefault="00724AB5">
            <w:pPr>
              <w:spacing w:after="0" w:line="240" w:lineRule="auto"/>
              <w:jc w:val="center"/>
              <w:rPr>
                <w:rFonts w:ascii="Times New Roman" w:eastAsia="Times New Roman" w:hAnsi="Times New Roman" w:cs="Times New Roman"/>
                <w:sz w:val="18"/>
                <w:szCs w:val="18"/>
              </w:rPr>
            </w:pPr>
          </w:p>
        </w:tc>
        <w:tc>
          <w:tcPr>
            <w:tcW w:w="1081" w:type="dxa"/>
            <w:tcBorders>
              <w:top w:val="nil"/>
              <w:left w:val="nil"/>
              <w:bottom w:val="nil"/>
              <w:right w:val="nil"/>
            </w:tcBorders>
            <w:shd w:val="clear" w:color="auto" w:fill="auto"/>
            <w:vAlign w:val="center"/>
          </w:tcPr>
          <w:p w14:paraId="2928E56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1.22(2)</w:t>
            </w:r>
          </w:p>
        </w:tc>
        <w:tc>
          <w:tcPr>
            <w:tcW w:w="811" w:type="dxa"/>
            <w:tcBorders>
              <w:top w:val="nil"/>
              <w:left w:val="nil"/>
              <w:bottom w:val="nil"/>
              <w:right w:val="single" w:sz="8" w:space="0" w:color="000000"/>
            </w:tcBorders>
            <w:shd w:val="clear" w:color="auto" w:fill="auto"/>
            <w:vAlign w:val="center"/>
          </w:tcPr>
          <w:p w14:paraId="20F4CC8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.542</w:t>
            </w:r>
          </w:p>
        </w:tc>
        <w:tc>
          <w:tcPr>
            <w:tcW w:w="805" w:type="dxa"/>
            <w:tcBorders>
              <w:top w:val="nil"/>
              <w:left w:val="single" w:sz="8" w:space="0" w:color="000000"/>
              <w:bottom w:val="nil"/>
              <w:right w:val="nil"/>
            </w:tcBorders>
            <w:shd w:val="clear" w:color="auto" w:fill="auto"/>
            <w:vAlign w:val="center"/>
          </w:tcPr>
          <w:p w14:paraId="6A5621F0"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0560F36B"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736713AE"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nil"/>
            </w:tcBorders>
            <w:vAlign w:val="center"/>
          </w:tcPr>
          <w:p w14:paraId="546AE2CF"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0C3EC403" w14:textId="77777777">
        <w:trPr>
          <w:trHeight w:val="20"/>
        </w:trPr>
        <w:tc>
          <w:tcPr>
            <w:tcW w:w="2246" w:type="dxa"/>
            <w:tcBorders>
              <w:top w:val="nil"/>
              <w:left w:val="nil"/>
              <w:bottom w:val="nil"/>
              <w:right w:val="nil"/>
            </w:tcBorders>
            <w:shd w:val="clear" w:color="auto" w:fill="auto"/>
            <w:vAlign w:val="bottom"/>
          </w:tcPr>
          <w:p w14:paraId="4F25208A"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&lt;100,000           </w:t>
            </w:r>
          </w:p>
        </w:tc>
        <w:tc>
          <w:tcPr>
            <w:tcW w:w="1261" w:type="dxa"/>
            <w:tcBorders>
              <w:top w:val="nil"/>
              <w:left w:val="nil"/>
              <w:bottom w:val="nil"/>
              <w:right w:val="nil"/>
            </w:tcBorders>
            <w:shd w:val="clear" w:color="auto" w:fill="auto"/>
            <w:vAlign w:val="bottom"/>
          </w:tcPr>
          <w:p w14:paraId="5E5E3FC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 (36.1)</w:t>
            </w:r>
          </w:p>
        </w:tc>
        <w:tc>
          <w:tcPr>
            <w:tcW w:w="1262" w:type="dxa"/>
            <w:tcBorders>
              <w:top w:val="nil"/>
              <w:left w:val="nil"/>
              <w:bottom w:val="nil"/>
              <w:right w:val="nil"/>
            </w:tcBorders>
            <w:shd w:val="clear" w:color="auto" w:fill="auto"/>
            <w:vAlign w:val="bottom"/>
          </w:tcPr>
          <w:p w14:paraId="60C26400"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 (26.8)</w:t>
            </w:r>
          </w:p>
        </w:tc>
        <w:tc>
          <w:tcPr>
            <w:tcW w:w="1081" w:type="dxa"/>
            <w:tcBorders>
              <w:top w:val="nil"/>
              <w:left w:val="nil"/>
              <w:bottom w:val="nil"/>
              <w:right w:val="nil"/>
            </w:tcBorders>
            <w:shd w:val="clear" w:color="auto" w:fill="auto"/>
            <w:vAlign w:val="center"/>
          </w:tcPr>
          <w:p w14:paraId="1C834D9C"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74452BF1"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1CB3A75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p>
        </w:tc>
        <w:tc>
          <w:tcPr>
            <w:tcW w:w="721" w:type="dxa"/>
            <w:tcBorders>
              <w:top w:val="nil"/>
              <w:left w:val="nil"/>
              <w:bottom w:val="nil"/>
              <w:right w:val="nil"/>
            </w:tcBorders>
            <w:shd w:val="clear" w:color="auto" w:fill="auto"/>
            <w:vAlign w:val="center"/>
          </w:tcPr>
          <w:p w14:paraId="3326EED9"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721" w:type="dxa"/>
            <w:tcBorders>
              <w:top w:val="nil"/>
              <w:left w:val="nil"/>
              <w:bottom w:val="nil"/>
              <w:right w:val="nil"/>
            </w:tcBorders>
            <w:shd w:val="clear" w:color="auto" w:fill="auto"/>
            <w:vAlign w:val="center"/>
          </w:tcPr>
          <w:p w14:paraId="77A5D08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4.01</w:t>
            </w:r>
          </w:p>
        </w:tc>
        <w:tc>
          <w:tcPr>
            <w:tcW w:w="811" w:type="dxa"/>
            <w:tcBorders>
              <w:top w:val="nil"/>
              <w:left w:val="nil"/>
              <w:bottom w:val="nil"/>
              <w:right w:val="nil"/>
            </w:tcBorders>
            <w:vAlign w:val="center"/>
          </w:tcPr>
          <w:p w14:paraId="2F3E8345"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.041</w:t>
            </w:r>
          </w:p>
        </w:tc>
      </w:tr>
      <w:tr w:rsidR="00724AB5" w14:paraId="0D766CAD" w14:textId="77777777">
        <w:trPr>
          <w:trHeight w:val="20"/>
        </w:trPr>
        <w:tc>
          <w:tcPr>
            <w:tcW w:w="2246" w:type="dxa"/>
            <w:tcBorders>
              <w:top w:val="nil"/>
              <w:left w:val="nil"/>
              <w:bottom w:val="nil"/>
              <w:right w:val="nil"/>
            </w:tcBorders>
            <w:shd w:val="clear" w:color="auto" w:fill="auto"/>
            <w:vAlign w:val="bottom"/>
          </w:tcPr>
          <w:p w14:paraId="5EF267AD"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100,000-200,000 </w:t>
            </w:r>
          </w:p>
        </w:tc>
        <w:tc>
          <w:tcPr>
            <w:tcW w:w="1261" w:type="dxa"/>
            <w:tcBorders>
              <w:top w:val="nil"/>
              <w:left w:val="nil"/>
              <w:bottom w:val="nil"/>
              <w:right w:val="nil"/>
            </w:tcBorders>
            <w:shd w:val="clear" w:color="auto" w:fill="auto"/>
            <w:vAlign w:val="bottom"/>
          </w:tcPr>
          <w:p w14:paraId="148047B8"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 (36.1)</w:t>
            </w:r>
          </w:p>
        </w:tc>
        <w:tc>
          <w:tcPr>
            <w:tcW w:w="1262" w:type="dxa"/>
            <w:tcBorders>
              <w:top w:val="nil"/>
              <w:left w:val="nil"/>
              <w:bottom w:val="nil"/>
              <w:right w:val="nil"/>
            </w:tcBorders>
            <w:shd w:val="clear" w:color="auto" w:fill="auto"/>
            <w:vAlign w:val="bottom"/>
          </w:tcPr>
          <w:p w14:paraId="184C189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 (38.1)</w:t>
            </w:r>
          </w:p>
        </w:tc>
        <w:tc>
          <w:tcPr>
            <w:tcW w:w="1081" w:type="dxa"/>
            <w:tcBorders>
              <w:top w:val="nil"/>
              <w:left w:val="nil"/>
              <w:bottom w:val="nil"/>
              <w:right w:val="nil"/>
            </w:tcBorders>
            <w:shd w:val="clear" w:color="auto" w:fill="auto"/>
            <w:vAlign w:val="center"/>
          </w:tcPr>
          <w:p w14:paraId="3A581BEB"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6133CFA6"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1BB205DF"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1.42</w:t>
            </w:r>
          </w:p>
        </w:tc>
        <w:tc>
          <w:tcPr>
            <w:tcW w:w="721" w:type="dxa"/>
            <w:tcBorders>
              <w:top w:val="nil"/>
              <w:left w:val="nil"/>
              <w:bottom w:val="nil"/>
              <w:right w:val="nil"/>
            </w:tcBorders>
            <w:shd w:val="clear" w:color="auto" w:fill="auto"/>
            <w:vAlign w:val="center"/>
          </w:tcPr>
          <w:p w14:paraId="17980B70"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0.57</w:t>
            </w:r>
          </w:p>
        </w:tc>
        <w:tc>
          <w:tcPr>
            <w:tcW w:w="721" w:type="dxa"/>
            <w:tcBorders>
              <w:top w:val="nil"/>
              <w:left w:val="nil"/>
              <w:bottom w:val="nil"/>
              <w:right w:val="nil"/>
            </w:tcBorders>
            <w:shd w:val="clear" w:color="auto" w:fill="auto"/>
            <w:vAlign w:val="center"/>
          </w:tcPr>
          <w:p w14:paraId="3EFB8FD8"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3.59</w:t>
            </w:r>
          </w:p>
        </w:tc>
        <w:tc>
          <w:tcPr>
            <w:tcW w:w="811" w:type="dxa"/>
            <w:tcBorders>
              <w:top w:val="nil"/>
              <w:left w:val="nil"/>
              <w:bottom w:val="nil"/>
              <w:right w:val="nil"/>
            </w:tcBorders>
            <w:vAlign w:val="center"/>
          </w:tcPr>
          <w:p w14:paraId="53CA283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.451</w:t>
            </w:r>
          </w:p>
        </w:tc>
      </w:tr>
      <w:tr w:rsidR="00724AB5" w14:paraId="31A99CA2" w14:textId="77777777">
        <w:trPr>
          <w:trHeight w:val="20"/>
        </w:trPr>
        <w:tc>
          <w:tcPr>
            <w:tcW w:w="2246" w:type="dxa"/>
            <w:tcBorders>
              <w:top w:val="nil"/>
              <w:left w:val="nil"/>
              <w:bottom w:val="nil"/>
              <w:right w:val="nil"/>
            </w:tcBorders>
            <w:shd w:val="clear" w:color="auto" w:fill="auto"/>
            <w:vAlign w:val="bottom"/>
          </w:tcPr>
          <w:p w14:paraId="1333EB63"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&gt;200,000           </w:t>
            </w:r>
          </w:p>
        </w:tc>
        <w:tc>
          <w:tcPr>
            <w:tcW w:w="1261" w:type="dxa"/>
            <w:tcBorders>
              <w:top w:val="nil"/>
              <w:left w:val="nil"/>
              <w:bottom w:val="nil"/>
              <w:right w:val="nil"/>
            </w:tcBorders>
            <w:shd w:val="clear" w:color="auto" w:fill="auto"/>
            <w:vAlign w:val="bottom"/>
          </w:tcPr>
          <w:p w14:paraId="49D9F3D4"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 (27.8)</w:t>
            </w:r>
          </w:p>
        </w:tc>
        <w:tc>
          <w:tcPr>
            <w:tcW w:w="1262" w:type="dxa"/>
            <w:tcBorders>
              <w:top w:val="nil"/>
              <w:left w:val="nil"/>
              <w:bottom w:val="nil"/>
              <w:right w:val="nil"/>
            </w:tcBorders>
            <w:shd w:val="clear" w:color="auto" w:fill="auto"/>
            <w:vAlign w:val="bottom"/>
          </w:tcPr>
          <w:p w14:paraId="496BF51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 (35.1)</w:t>
            </w:r>
          </w:p>
        </w:tc>
        <w:tc>
          <w:tcPr>
            <w:tcW w:w="1081" w:type="dxa"/>
            <w:tcBorders>
              <w:top w:val="nil"/>
              <w:left w:val="nil"/>
              <w:bottom w:val="nil"/>
              <w:right w:val="nil"/>
            </w:tcBorders>
            <w:shd w:val="clear" w:color="auto" w:fill="auto"/>
            <w:vAlign w:val="center"/>
          </w:tcPr>
          <w:p w14:paraId="4DA559FA"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5B79ACA0"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65E06A09"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1.70</w:t>
            </w:r>
          </w:p>
        </w:tc>
        <w:tc>
          <w:tcPr>
            <w:tcW w:w="721" w:type="dxa"/>
            <w:tcBorders>
              <w:top w:val="nil"/>
              <w:left w:val="nil"/>
              <w:bottom w:val="nil"/>
              <w:right w:val="nil"/>
            </w:tcBorders>
            <w:shd w:val="clear" w:color="auto" w:fill="auto"/>
            <w:vAlign w:val="center"/>
          </w:tcPr>
          <w:p w14:paraId="6D50DB65"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0.65</w:t>
            </w:r>
          </w:p>
        </w:tc>
        <w:tc>
          <w:tcPr>
            <w:tcW w:w="721" w:type="dxa"/>
            <w:tcBorders>
              <w:top w:val="nil"/>
              <w:left w:val="nil"/>
              <w:bottom w:val="nil"/>
              <w:right w:val="nil"/>
            </w:tcBorders>
            <w:shd w:val="clear" w:color="auto" w:fill="auto"/>
            <w:vAlign w:val="center"/>
          </w:tcPr>
          <w:p w14:paraId="51FDA2C2"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4.57</w:t>
            </w:r>
          </w:p>
        </w:tc>
        <w:tc>
          <w:tcPr>
            <w:tcW w:w="811" w:type="dxa"/>
            <w:tcBorders>
              <w:top w:val="nil"/>
              <w:left w:val="nil"/>
              <w:bottom w:val="nil"/>
              <w:right w:val="nil"/>
            </w:tcBorders>
            <w:vAlign w:val="center"/>
          </w:tcPr>
          <w:p w14:paraId="0A59CA1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.283</w:t>
            </w:r>
          </w:p>
        </w:tc>
      </w:tr>
      <w:tr w:rsidR="00724AB5" w14:paraId="21D3E75E" w14:textId="77777777">
        <w:trPr>
          <w:trHeight w:val="288"/>
        </w:trPr>
        <w:tc>
          <w:tcPr>
            <w:tcW w:w="3507" w:type="dxa"/>
            <w:gridSpan w:val="2"/>
            <w:tcBorders>
              <w:top w:val="nil"/>
              <w:left w:val="nil"/>
              <w:bottom w:val="nil"/>
              <w:right w:val="nil"/>
            </w:tcBorders>
            <w:shd w:val="clear" w:color="auto" w:fill="auto"/>
            <w:vAlign w:val="center"/>
          </w:tcPr>
          <w:p w14:paraId="52EABE01" w14:textId="77777777" w:rsidR="00724AB5" w:rsidRDefault="007D385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Household size</w:t>
            </w:r>
          </w:p>
        </w:tc>
        <w:tc>
          <w:tcPr>
            <w:tcW w:w="1262" w:type="dxa"/>
            <w:tcBorders>
              <w:top w:val="nil"/>
              <w:left w:val="nil"/>
              <w:bottom w:val="nil"/>
              <w:right w:val="nil"/>
            </w:tcBorders>
            <w:shd w:val="clear" w:color="auto" w:fill="auto"/>
            <w:vAlign w:val="center"/>
          </w:tcPr>
          <w:p w14:paraId="12880D53" w14:textId="77777777" w:rsidR="00724AB5" w:rsidRDefault="00724AB5">
            <w:pPr>
              <w:spacing w:after="0" w:line="240" w:lineRule="auto"/>
              <w:jc w:val="center"/>
              <w:rPr>
                <w:rFonts w:ascii="Times New Roman" w:eastAsia="Times New Roman" w:hAnsi="Times New Roman" w:cs="Times New Roman"/>
                <w:sz w:val="18"/>
                <w:szCs w:val="18"/>
              </w:rPr>
            </w:pPr>
          </w:p>
        </w:tc>
        <w:tc>
          <w:tcPr>
            <w:tcW w:w="1081" w:type="dxa"/>
            <w:tcBorders>
              <w:top w:val="nil"/>
              <w:left w:val="nil"/>
              <w:bottom w:val="nil"/>
              <w:right w:val="nil"/>
            </w:tcBorders>
            <w:shd w:val="clear" w:color="auto" w:fill="auto"/>
            <w:vAlign w:val="center"/>
          </w:tcPr>
          <w:p w14:paraId="0873DE48"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6.0(2)</w:t>
            </w:r>
          </w:p>
        </w:tc>
        <w:tc>
          <w:tcPr>
            <w:tcW w:w="811" w:type="dxa"/>
            <w:tcBorders>
              <w:top w:val="nil"/>
              <w:left w:val="nil"/>
              <w:bottom w:val="nil"/>
              <w:right w:val="single" w:sz="8" w:space="0" w:color="000000"/>
            </w:tcBorders>
            <w:shd w:val="clear" w:color="auto" w:fill="auto"/>
            <w:vAlign w:val="center"/>
          </w:tcPr>
          <w:p w14:paraId="60231B50"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.049</w:t>
            </w:r>
          </w:p>
        </w:tc>
        <w:tc>
          <w:tcPr>
            <w:tcW w:w="805" w:type="dxa"/>
            <w:tcBorders>
              <w:top w:val="nil"/>
              <w:left w:val="single" w:sz="8" w:space="0" w:color="000000"/>
              <w:bottom w:val="nil"/>
              <w:right w:val="nil"/>
            </w:tcBorders>
            <w:shd w:val="clear" w:color="auto" w:fill="auto"/>
            <w:vAlign w:val="center"/>
          </w:tcPr>
          <w:p w14:paraId="3DDBBDE1"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32103735"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3322B742"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nil"/>
            </w:tcBorders>
            <w:vAlign w:val="center"/>
          </w:tcPr>
          <w:p w14:paraId="55DD31FF"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0D141799" w14:textId="77777777">
        <w:trPr>
          <w:trHeight w:val="20"/>
        </w:trPr>
        <w:tc>
          <w:tcPr>
            <w:tcW w:w="2246" w:type="dxa"/>
            <w:tcBorders>
              <w:top w:val="nil"/>
              <w:left w:val="nil"/>
              <w:bottom w:val="nil"/>
              <w:right w:val="nil"/>
            </w:tcBorders>
            <w:shd w:val="clear" w:color="auto" w:fill="auto"/>
            <w:vAlign w:val="center"/>
          </w:tcPr>
          <w:p w14:paraId="595FD1EB"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1 to 3</w:t>
            </w:r>
          </w:p>
        </w:tc>
        <w:tc>
          <w:tcPr>
            <w:tcW w:w="1261" w:type="dxa"/>
            <w:tcBorders>
              <w:top w:val="nil"/>
              <w:left w:val="nil"/>
              <w:bottom w:val="nil"/>
              <w:right w:val="nil"/>
            </w:tcBorders>
            <w:shd w:val="clear" w:color="auto" w:fill="auto"/>
            <w:vAlign w:val="bottom"/>
          </w:tcPr>
          <w:p w14:paraId="4C051D3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 (30.4)</w:t>
            </w:r>
          </w:p>
        </w:tc>
        <w:tc>
          <w:tcPr>
            <w:tcW w:w="1262" w:type="dxa"/>
            <w:tcBorders>
              <w:top w:val="nil"/>
              <w:left w:val="nil"/>
              <w:bottom w:val="nil"/>
              <w:right w:val="nil"/>
            </w:tcBorders>
            <w:shd w:val="clear" w:color="auto" w:fill="auto"/>
            <w:vAlign w:val="bottom"/>
          </w:tcPr>
          <w:p w14:paraId="7B3F39BF"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 (16.3)</w:t>
            </w:r>
          </w:p>
        </w:tc>
        <w:tc>
          <w:tcPr>
            <w:tcW w:w="1081" w:type="dxa"/>
            <w:tcBorders>
              <w:top w:val="nil"/>
              <w:left w:val="nil"/>
              <w:bottom w:val="nil"/>
              <w:right w:val="nil"/>
            </w:tcBorders>
            <w:shd w:val="clear" w:color="auto" w:fill="auto"/>
            <w:vAlign w:val="center"/>
          </w:tcPr>
          <w:p w14:paraId="43974202"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1CCC16AD"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5C8EBD6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721" w:type="dxa"/>
            <w:tcBorders>
              <w:top w:val="nil"/>
              <w:left w:val="nil"/>
              <w:bottom w:val="nil"/>
              <w:right w:val="nil"/>
            </w:tcBorders>
            <w:shd w:val="clear" w:color="auto" w:fill="auto"/>
            <w:vAlign w:val="center"/>
          </w:tcPr>
          <w:p w14:paraId="6B05922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0.65</w:t>
            </w:r>
          </w:p>
        </w:tc>
        <w:tc>
          <w:tcPr>
            <w:tcW w:w="721" w:type="dxa"/>
            <w:tcBorders>
              <w:top w:val="nil"/>
              <w:left w:val="nil"/>
              <w:bottom w:val="nil"/>
              <w:right w:val="nil"/>
            </w:tcBorders>
            <w:shd w:val="clear" w:color="auto" w:fill="auto"/>
            <w:vAlign w:val="center"/>
          </w:tcPr>
          <w:p w14:paraId="4FC4CBA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2.37</w:t>
            </w:r>
          </w:p>
        </w:tc>
        <w:tc>
          <w:tcPr>
            <w:tcW w:w="811" w:type="dxa"/>
            <w:tcBorders>
              <w:top w:val="nil"/>
              <w:left w:val="nil"/>
              <w:bottom w:val="nil"/>
              <w:right w:val="nil"/>
            </w:tcBorders>
            <w:vAlign w:val="center"/>
          </w:tcPr>
          <w:p w14:paraId="4BC62F5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.517</w:t>
            </w:r>
          </w:p>
        </w:tc>
      </w:tr>
      <w:tr w:rsidR="00724AB5" w14:paraId="48B46471" w14:textId="77777777">
        <w:trPr>
          <w:trHeight w:val="20"/>
        </w:trPr>
        <w:tc>
          <w:tcPr>
            <w:tcW w:w="2246" w:type="dxa"/>
            <w:tcBorders>
              <w:top w:val="nil"/>
              <w:left w:val="nil"/>
              <w:bottom w:val="nil"/>
              <w:right w:val="nil"/>
            </w:tcBorders>
            <w:shd w:val="clear" w:color="auto" w:fill="auto"/>
            <w:vAlign w:val="center"/>
          </w:tcPr>
          <w:p w14:paraId="56D9F204" w14:textId="77777777" w:rsidR="00724AB5" w:rsidRDefault="007D385F">
            <w:pPr>
              <w:spacing w:after="0" w:line="240" w:lineRule="auto"/>
              <w:ind w:firstLine="180"/>
              <w:rPr>
                <w:rFonts w:ascii="Times New Roman" w:eastAsia="Times New Roman" w:hAnsi="Times New Roman" w:cs="Times New Roman"/>
                <w:sz w:val="18"/>
                <w:szCs w:val="18"/>
              </w:rPr>
            </w:pPr>
            <w:bookmarkStart w:id="20" w:name="_keo5lfyw9xls" w:colFirst="0" w:colLast="0"/>
            <w:bookmarkEnd w:id="20"/>
            <w:r>
              <w:rPr>
                <w:rFonts w:ascii="Times New Roman" w:eastAsia="Times New Roman" w:hAnsi="Times New Roman" w:cs="Times New Roman"/>
                <w:sz w:val="18"/>
                <w:szCs w:val="18"/>
              </w:rPr>
              <w:t xml:space="preserve">   4 to 6</w:t>
            </w:r>
          </w:p>
        </w:tc>
        <w:tc>
          <w:tcPr>
            <w:tcW w:w="1261" w:type="dxa"/>
            <w:tcBorders>
              <w:top w:val="nil"/>
              <w:left w:val="nil"/>
              <w:bottom w:val="nil"/>
              <w:right w:val="nil"/>
            </w:tcBorders>
            <w:shd w:val="clear" w:color="auto" w:fill="auto"/>
            <w:vAlign w:val="bottom"/>
          </w:tcPr>
          <w:p w14:paraId="02266E74"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 (35.7)</w:t>
            </w:r>
          </w:p>
        </w:tc>
        <w:tc>
          <w:tcPr>
            <w:tcW w:w="1262" w:type="dxa"/>
            <w:tcBorders>
              <w:top w:val="nil"/>
              <w:left w:val="nil"/>
              <w:bottom w:val="nil"/>
              <w:right w:val="nil"/>
            </w:tcBorders>
            <w:shd w:val="clear" w:color="auto" w:fill="auto"/>
            <w:vAlign w:val="bottom"/>
          </w:tcPr>
          <w:p w14:paraId="17681A4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67 (51.9)</w:t>
            </w:r>
          </w:p>
        </w:tc>
        <w:tc>
          <w:tcPr>
            <w:tcW w:w="1081" w:type="dxa"/>
            <w:tcBorders>
              <w:top w:val="nil"/>
              <w:left w:val="nil"/>
              <w:bottom w:val="nil"/>
              <w:right w:val="nil"/>
            </w:tcBorders>
            <w:shd w:val="clear" w:color="auto" w:fill="auto"/>
            <w:vAlign w:val="center"/>
          </w:tcPr>
          <w:p w14:paraId="0FC5E4BA"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35E47B81"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1962C5BA"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2.71</w:t>
            </w:r>
          </w:p>
        </w:tc>
        <w:tc>
          <w:tcPr>
            <w:tcW w:w="721" w:type="dxa"/>
            <w:tcBorders>
              <w:top w:val="nil"/>
              <w:left w:val="nil"/>
              <w:bottom w:val="nil"/>
              <w:right w:val="nil"/>
            </w:tcBorders>
            <w:shd w:val="clear" w:color="auto" w:fill="auto"/>
            <w:vAlign w:val="center"/>
          </w:tcPr>
          <w:p w14:paraId="7D483D7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1.20</w:t>
            </w:r>
          </w:p>
        </w:tc>
        <w:tc>
          <w:tcPr>
            <w:tcW w:w="721" w:type="dxa"/>
            <w:tcBorders>
              <w:top w:val="nil"/>
              <w:left w:val="nil"/>
              <w:bottom w:val="nil"/>
              <w:right w:val="nil"/>
            </w:tcBorders>
            <w:shd w:val="clear" w:color="auto" w:fill="auto"/>
            <w:vAlign w:val="center"/>
          </w:tcPr>
          <w:p w14:paraId="576A2630"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6.15</w:t>
            </w:r>
          </w:p>
        </w:tc>
        <w:tc>
          <w:tcPr>
            <w:tcW w:w="811" w:type="dxa"/>
            <w:tcBorders>
              <w:top w:val="nil"/>
              <w:left w:val="nil"/>
              <w:bottom w:val="nil"/>
              <w:right w:val="nil"/>
            </w:tcBorders>
            <w:vAlign w:val="center"/>
          </w:tcPr>
          <w:p w14:paraId="1E47EF4F"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.016</w:t>
            </w:r>
          </w:p>
        </w:tc>
      </w:tr>
      <w:tr w:rsidR="00724AB5" w14:paraId="3B3BF2E4" w14:textId="77777777">
        <w:trPr>
          <w:trHeight w:val="20"/>
        </w:trPr>
        <w:tc>
          <w:tcPr>
            <w:tcW w:w="2246" w:type="dxa"/>
            <w:tcBorders>
              <w:top w:val="nil"/>
              <w:left w:val="nil"/>
              <w:bottom w:val="nil"/>
              <w:right w:val="nil"/>
            </w:tcBorders>
            <w:shd w:val="clear" w:color="auto" w:fill="auto"/>
            <w:vAlign w:val="center"/>
          </w:tcPr>
          <w:p w14:paraId="4B7E2C79"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&gt; 6</w:t>
            </w:r>
          </w:p>
        </w:tc>
        <w:tc>
          <w:tcPr>
            <w:tcW w:w="1261" w:type="dxa"/>
            <w:tcBorders>
              <w:top w:val="nil"/>
              <w:left w:val="nil"/>
              <w:bottom w:val="nil"/>
              <w:right w:val="nil"/>
            </w:tcBorders>
            <w:shd w:val="clear" w:color="auto" w:fill="auto"/>
            <w:vAlign w:val="bottom"/>
          </w:tcPr>
          <w:p w14:paraId="427D0D9A"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 (33.9)</w:t>
            </w:r>
          </w:p>
        </w:tc>
        <w:tc>
          <w:tcPr>
            <w:tcW w:w="1262" w:type="dxa"/>
            <w:tcBorders>
              <w:top w:val="nil"/>
              <w:left w:val="nil"/>
              <w:bottom w:val="nil"/>
              <w:right w:val="nil"/>
            </w:tcBorders>
            <w:shd w:val="clear" w:color="auto" w:fill="auto"/>
            <w:vAlign w:val="bottom"/>
          </w:tcPr>
          <w:p w14:paraId="527F9926"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 (31.8)</w:t>
            </w:r>
          </w:p>
        </w:tc>
        <w:tc>
          <w:tcPr>
            <w:tcW w:w="1081" w:type="dxa"/>
            <w:tcBorders>
              <w:top w:val="nil"/>
              <w:left w:val="nil"/>
              <w:bottom w:val="nil"/>
              <w:right w:val="nil"/>
            </w:tcBorders>
            <w:shd w:val="clear" w:color="auto" w:fill="auto"/>
            <w:vAlign w:val="center"/>
          </w:tcPr>
          <w:p w14:paraId="0423163C"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51189D97"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386280A0"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tc>
        <w:tc>
          <w:tcPr>
            <w:tcW w:w="721" w:type="dxa"/>
            <w:tcBorders>
              <w:top w:val="nil"/>
              <w:left w:val="nil"/>
              <w:bottom w:val="nil"/>
              <w:right w:val="nil"/>
            </w:tcBorders>
            <w:shd w:val="clear" w:color="auto" w:fill="auto"/>
            <w:vAlign w:val="center"/>
          </w:tcPr>
          <w:p w14:paraId="35ED3AA4"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0.75</w:t>
            </w:r>
          </w:p>
        </w:tc>
        <w:tc>
          <w:tcPr>
            <w:tcW w:w="721" w:type="dxa"/>
            <w:tcBorders>
              <w:top w:val="nil"/>
              <w:left w:val="nil"/>
              <w:bottom w:val="nil"/>
              <w:right w:val="nil"/>
            </w:tcBorders>
            <w:shd w:val="clear" w:color="auto" w:fill="auto"/>
            <w:vAlign w:val="center"/>
          </w:tcPr>
          <w:p w14:paraId="68EF681D"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4.07</w:t>
            </w:r>
          </w:p>
        </w:tc>
        <w:tc>
          <w:tcPr>
            <w:tcW w:w="811" w:type="dxa"/>
            <w:tcBorders>
              <w:top w:val="nil"/>
              <w:left w:val="nil"/>
              <w:bottom w:val="nil"/>
              <w:right w:val="nil"/>
            </w:tcBorders>
            <w:vAlign w:val="center"/>
          </w:tcPr>
          <w:p w14:paraId="437A05C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.193</w:t>
            </w:r>
          </w:p>
        </w:tc>
      </w:tr>
      <w:tr w:rsidR="00724AB5" w14:paraId="651D456C" w14:textId="77777777">
        <w:trPr>
          <w:trHeight w:val="288"/>
        </w:trPr>
        <w:tc>
          <w:tcPr>
            <w:tcW w:w="3507" w:type="dxa"/>
            <w:gridSpan w:val="2"/>
            <w:tcBorders>
              <w:top w:val="nil"/>
              <w:left w:val="nil"/>
              <w:bottom w:val="nil"/>
              <w:right w:val="nil"/>
            </w:tcBorders>
            <w:shd w:val="clear" w:color="auto" w:fill="auto"/>
            <w:vAlign w:val="center"/>
          </w:tcPr>
          <w:p w14:paraId="05E1E1A2" w14:textId="77777777" w:rsidR="00724AB5" w:rsidRDefault="007D385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Bedroom ventilation </w:t>
            </w:r>
          </w:p>
        </w:tc>
        <w:tc>
          <w:tcPr>
            <w:tcW w:w="1262" w:type="dxa"/>
            <w:tcBorders>
              <w:top w:val="nil"/>
              <w:left w:val="nil"/>
              <w:bottom w:val="nil"/>
              <w:right w:val="nil"/>
            </w:tcBorders>
            <w:shd w:val="clear" w:color="auto" w:fill="auto"/>
            <w:vAlign w:val="center"/>
          </w:tcPr>
          <w:p w14:paraId="4599BE4C" w14:textId="77777777" w:rsidR="00724AB5" w:rsidRDefault="00724AB5">
            <w:pPr>
              <w:spacing w:after="0" w:line="240" w:lineRule="auto"/>
              <w:jc w:val="center"/>
              <w:rPr>
                <w:rFonts w:ascii="Times New Roman" w:eastAsia="Times New Roman" w:hAnsi="Times New Roman" w:cs="Times New Roman"/>
                <w:sz w:val="18"/>
                <w:szCs w:val="18"/>
              </w:rPr>
            </w:pPr>
          </w:p>
        </w:tc>
        <w:tc>
          <w:tcPr>
            <w:tcW w:w="1081" w:type="dxa"/>
            <w:tcBorders>
              <w:top w:val="nil"/>
              <w:left w:val="nil"/>
              <w:bottom w:val="nil"/>
              <w:right w:val="nil"/>
            </w:tcBorders>
            <w:shd w:val="clear" w:color="auto" w:fill="auto"/>
            <w:vAlign w:val="center"/>
          </w:tcPr>
          <w:p w14:paraId="36263729"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2.70(2)</w:t>
            </w:r>
          </w:p>
        </w:tc>
        <w:tc>
          <w:tcPr>
            <w:tcW w:w="811" w:type="dxa"/>
            <w:tcBorders>
              <w:top w:val="nil"/>
              <w:left w:val="nil"/>
              <w:bottom w:val="nil"/>
              <w:right w:val="single" w:sz="8" w:space="0" w:color="000000"/>
            </w:tcBorders>
            <w:shd w:val="clear" w:color="auto" w:fill="auto"/>
            <w:vAlign w:val="center"/>
          </w:tcPr>
          <w:p w14:paraId="731EF9A8"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.259</w:t>
            </w:r>
          </w:p>
        </w:tc>
        <w:tc>
          <w:tcPr>
            <w:tcW w:w="805" w:type="dxa"/>
            <w:tcBorders>
              <w:top w:val="nil"/>
              <w:left w:val="single" w:sz="8" w:space="0" w:color="000000"/>
              <w:bottom w:val="nil"/>
              <w:right w:val="nil"/>
            </w:tcBorders>
            <w:shd w:val="clear" w:color="auto" w:fill="auto"/>
            <w:vAlign w:val="center"/>
          </w:tcPr>
          <w:p w14:paraId="065C931A"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288403AB"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6B8D8BF0"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nil"/>
            </w:tcBorders>
            <w:vAlign w:val="center"/>
          </w:tcPr>
          <w:p w14:paraId="303E67B5"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33637588" w14:textId="77777777">
        <w:trPr>
          <w:trHeight w:val="20"/>
        </w:trPr>
        <w:tc>
          <w:tcPr>
            <w:tcW w:w="2246" w:type="dxa"/>
            <w:tcBorders>
              <w:top w:val="nil"/>
              <w:left w:val="nil"/>
              <w:bottom w:val="nil"/>
              <w:right w:val="nil"/>
            </w:tcBorders>
            <w:shd w:val="clear" w:color="auto" w:fill="auto"/>
            <w:vAlign w:val="bottom"/>
          </w:tcPr>
          <w:p w14:paraId="2EFD22B1"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No ventilation         </w:t>
            </w:r>
          </w:p>
        </w:tc>
        <w:tc>
          <w:tcPr>
            <w:tcW w:w="1261" w:type="dxa"/>
            <w:tcBorders>
              <w:top w:val="nil"/>
              <w:left w:val="nil"/>
              <w:bottom w:val="nil"/>
              <w:right w:val="nil"/>
            </w:tcBorders>
            <w:shd w:val="clear" w:color="auto" w:fill="auto"/>
            <w:vAlign w:val="bottom"/>
          </w:tcPr>
          <w:p w14:paraId="4028ADB4"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 (25)</w:t>
            </w:r>
          </w:p>
        </w:tc>
        <w:tc>
          <w:tcPr>
            <w:tcW w:w="1262" w:type="dxa"/>
            <w:tcBorders>
              <w:top w:val="nil"/>
              <w:left w:val="nil"/>
              <w:bottom w:val="nil"/>
              <w:right w:val="nil"/>
            </w:tcBorders>
            <w:shd w:val="clear" w:color="auto" w:fill="auto"/>
            <w:vAlign w:val="bottom"/>
          </w:tcPr>
          <w:p w14:paraId="739C9E37"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 (16.3)</w:t>
            </w:r>
          </w:p>
        </w:tc>
        <w:tc>
          <w:tcPr>
            <w:tcW w:w="1081" w:type="dxa"/>
            <w:tcBorders>
              <w:top w:val="nil"/>
              <w:left w:val="nil"/>
              <w:bottom w:val="nil"/>
              <w:right w:val="nil"/>
            </w:tcBorders>
            <w:shd w:val="clear" w:color="auto" w:fill="auto"/>
            <w:vAlign w:val="center"/>
          </w:tcPr>
          <w:p w14:paraId="5A6E9D4A"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6094FCB8"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4EAFFAB5"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1.50</w:t>
            </w:r>
          </w:p>
        </w:tc>
        <w:tc>
          <w:tcPr>
            <w:tcW w:w="721" w:type="dxa"/>
            <w:tcBorders>
              <w:top w:val="nil"/>
              <w:left w:val="nil"/>
              <w:bottom w:val="nil"/>
              <w:right w:val="nil"/>
            </w:tcBorders>
            <w:shd w:val="clear" w:color="auto" w:fill="auto"/>
            <w:vAlign w:val="center"/>
          </w:tcPr>
          <w:p w14:paraId="5031BFC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0.77</w:t>
            </w:r>
          </w:p>
        </w:tc>
        <w:tc>
          <w:tcPr>
            <w:tcW w:w="721" w:type="dxa"/>
            <w:tcBorders>
              <w:top w:val="nil"/>
              <w:left w:val="nil"/>
              <w:bottom w:val="nil"/>
              <w:right w:val="nil"/>
            </w:tcBorders>
            <w:shd w:val="clear" w:color="auto" w:fill="auto"/>
            <w:vAlign w:val="center"/>
          </w:tcPr>
          <w:p w14:paraId="1F962C54"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3.01</w:t>
            </w:r>
          </w:p>
        </w:tc>
        <w:tc>
          <w:tcPr>
            <w:tcW w:w="811" w:type="dxa"/>
            <w:tcBorders>
              <w:top w:val="nil"/>
              <w:left w:val="nil"/>
              <w:bottom w:val="nil"/>
              <w:right w:val="nil"/>
            </w:tcBorders>
            <w:vAlign w:val="center"/>
          </w:tcPr>
          <w:p w14:paraId="5F2F447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.240</w:t>
            </w:r>
          </w:p>
        </w:tc>
      </w:tr>
      <w:tr w:rsidR="00724AB5" w14:paraId="678350DF" w14:textId="77777777">
        <w:trPr>
          <w:trHeight w:val="20"/>
        </w:trPr>
        <w:tc>
          <w:tcPr>
            <w:tcW w:w="2246" w:type="dxa"/>
            <w:tcBorders>
              <w:top w:val="nil"/>
              <w:left w:val="nil"/>
              <w:bottom w:val="nil"/>
              <w:right w:val="nil"/>
            </w:tcBorders>
            <w:shd w:val="clear" w:color="auto" w:fill="auto"/>
            <w:vAlign w:val="bottom"/>
          </w:tcPr>
          <w:p w14:paraId="09A0C17E"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Inadequate ventilation </w:t>
            </w:r>
          </w:p>
        </w:tc>
        <w:tc>
          <w:tcPr>
            <w:tcW w:w="1261" w:type="dxa"/>
            <w:tcBorders>
              <w:top w:val="nil"/>
              <w:left w:val="nil"/>
              <w:bottom w:val="nil"/>
              <w:right w:val="nil"/>
            </w:tcBorders>
            <w:shd w:val="clear" w:color="auto" w:fill="auto"/>
            <w:vAlign w:val="bottom"/>
          </w:tcPr>
          <w:p w14:paraId="772BC58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 (10.7)</w:t>
            </w:r>
          </w:p>
        </w:tc>
        <w:tc>
          <w:tcPr>
            <w:tcW w:w="1262" w:type="dxa"/>
            <w:tcBorders>
              <w:top w:val="nil"/>
              <w:left w:val="nil"/>
              <w:bottom w:val="nil"/>
              <w:right w:val="nil"/>
            </w:tcBorders>
            <w:shd w:val="clear" w:color="auto" w:fill="auto"/>
            <w:vAlign w:val="bottom"/>
          </w:tcPr>
          <w:p w14:paraId="6544D1AF"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 (7.8)</w:t>
            </w:r>
          </w:p>
        </w:tc>
        <w:tc>
          <w:tcPr>
            <w:tcW w:w="1081" w:type="dxa"/>
            <w:tcBorders>
              <w:top w:val="nil"/>
              <w:left w:val="nil"/>
              <w:bottom w:val="nil"/>
              <w:right w:val="nil"/>
            </w:tcBorders>
            <w:shd w:val="clear" w:color="auto" w:fill="auto"/>
            <w:vAlign w:val="center"/>
          </w:tcPr>
          <w:p w14:paraId="1C2D0F1A"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07A91AD6"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7D7734AB"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p>
        </w:tc>
        <w:tc>
          <w:tcPr>
            <w:tcW w:w="721" w:type="dxa"/>
            <w:tcBorders>
              <w:top w:val="nil"/>
              <w:left w:val="nil"/>
              <w:bottom w:val="nil"/>
              <w:right w:val="nil"/>
            </w:tcBorders>
            <w:shd w:val="clear" w:color="auto" w:fill="auto"/>
            <w:vAlign w:val="center"/>
          </w:tcPr>
          <w:p w14:paraId="612C7569"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0.33</w:t>
            </w:r>
          </w:p>
        </w:tc>
        <w:tc>
          <w:tcPr>
            <w:tcW w:w="721" w:type="dxa"/>
            <w:tcBorders>
              <w:top w:val="nil"/>
              <w:left w:val="nil"/>
              <w:bottom w:val="nil"/>
              <w:right w:val="nil"/>
            </w:tcBorders>
            <w:shd w:val="clear" w:color="auto" w:fill="auto"/>
            <w:vAlign w:val="center"/>
          </w:tcPr>
          <w:p w14:paraId="01A12F90"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3.91</w:t>
            </w:r>
          </w:p>
        </w:tc>
        <w:tc>
          <w:tcPr>
            <w:tcW w:w="811" w:type="dxa"/>
            <w:tcBorders>
              <w:top w:val="nil"/>
              <w:left w:val="nil"/>
              <w:bottom w:val="nil"/>
              <w:right w:val="nil"/>
            </w:tcBorders>
            <w:vAlign w:val="center"/>
          </w:tcPr>
          <w:p w14:paraId="1FAA68CD"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.865</w:t>
            </w:r>
          </w:p>
        </w:tc>
      </w:tr>
      <w:tr w:rsidR="00724AB5" w14:paraId="2D732966" w14:textId="77777777">
        <w:trPr>
          <w:trHeight w:val="20"/>
        </w:trPr>
        <w:tc>
          <w:tcPr>
            <w:tcW w:w="2246" w:type="dxa"/>
            <w:tcBorders>
              <w:top w:val="nil"/>
              <w:left w:val="nil"/>
              <w:bottom w:val="nil"/>
              <w:right w:val="nil"/>
            </w:tcBorders>
            <w:shd w:val="clear" w:color="auto" w:fill="auto"/>
            <w:vAlign w:val="bottom"/>
          </w:tcPr>
          <w:p w14:paraId="33C25C88"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Well ventilated        </w:t>
            </w:r>
          </w:p>
        </w:tc>
        <w:tc>
          <w:tcPr>
            <w:tcW w:w="1261" w:type="dxa"/>
            <w:tcBorders>
              <w:top w:val="nil"/>
              <w:left w:val="nil"/>
              <w:bottom w:val="nil"/>
              <w:right w:val="nil"/>
            </w:tcBorders>
            <w:shd w:val="clear" w:color="auto" w:fill="auto"/>
            <w:vAlign w:val="bottom"/>
          </w:tcPr>
          <w:p w14:paraId="4264A39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 (64.3)</w:t>
            </w:r>
          </w:p>
        </w:tc>
        <w:tc>
          <w:tcPr>
            <w:tcW w:w="1262" w:type="dxa"/>
            <w:tcBorders>
              <w:top w:val="nil"/>
              <w:left w:val="nil"/>
              <w:bottom w:val="nil"/>
              <w:right w:val="nil"/>
            </w:tcBorders>
            <w:shd w:val="clear" w:color="auto" w:fill="auto"/>
            <w:vAlign w:val="bottom"/>
          </w:tcPr>
          <w:p w14:paraId="29E413E6"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 (76)</w:t>
            </w:r>
          </w:p>
        </w:tc>
        <w:tc>
          <w:tcPr>
            <w:tcW w:w="1081" w:type="dxa"/>
            <w:tcBorders>
              <w:top w:val="nil"/>
              <w:left w:val="nil"/>
              <w:bottom w:val="nil"/>
              <w:right w:val="nil"/>
            </w:tcBorders>
            <w:shd w:val="clear" w:color="auto" w:fill="auto"/>
            <w:vAlign w:val="center"/>
          </w:tcPr>
          <w:p w14:paraId="2DDC1BB3"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701F5DE4"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7E61F90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1.81</w:t>
            </w:r>
          </w:p>
        </w:tc>
        <w:tc>
          <w:tcPr>
            <w:tcW w:w="721" w:type="dxa"/>
            <w:tcBorders>
              <w:top w:val="nil"/>
              <w:left w:val="nil"/>
              <w:bottom w:val="nil"/>
              <w:right w:val="nil"/>
            </w:tcBorders>
            <w:shd w:val="clear" w:color="auto" w:fill="auto"/>
            <w:vAlign w:val="center"/>
          </w:tcPr>
          <w:p w14:paraId="0F9C4011"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0.82</w:t>
            </w:r>
          </w:p>
        </w:tc>
        <w:tc>
          <w:tcPr>
            <w:tcW w:w="721" w:type="dxa"/>
            <w:tcBorders>
              <w:top w:val="nil"/>
              <w:left w:val="nil"/>
              <w:bottom w:val="nil"/>
              <w:right w:val="nil"/>
            </w:tcBorders>
            <w:shd w:val="clear" w:color="auto" w:fill="auto"/>
            <w:vAlign w:val="center"/>
          </w:tcPr>
          <w:p w14:paraId="785285A5"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3.93</w:t>
            </w:r>
          </w:p>
        </w:tc>
        <w:tc>
          <w:tcPr>
            <w:tcW w:w="811" w:type="dxa"/>
            <w:tcBorders>
              <w:top w:val="nil"/>
              <w:left w:val="nil"/>
              <w:bottom w:val="nil"/>
              <w:right w:val="nil"/>
            </w:tcBorders>
            <w:vAlign w:val="center"/>
          </w:tcPr>
          <w:p w14:paraId="10DDF0FF"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.132</w:t>
            </w:r>
          </w:p>
        </w:tc>
      </w:tr>
      <w:tr w:rsidR="00724AB5" w14:paraId="73F93DD1" w14:textId="77777777">
        <w:trPr>
          <w:trHeight w:val="288"/>
        </w:trPr>
        <w:tc>
          <w:tcPr>
            <w:tcW w:w="3507" w:type="dxa"/>
            <w:gridSpan w:val="2"/>
            <w:tcBorders>
              <w:top w:val="nil"/>
              <w:left w:val="nil"/>
              <w:bottom w:val="nil"/>
              <w:right w:val="nil"/>
            </w:tcBorders>
            <w:shd w:val="clear" w:color="auto" w:fill="auto"/>
            <w:vAlign w:val="center"/>
          </w:tcPr>
          <w:p w14:paraId="360801D3" w14:textId="77777777" w:rsidR="00724AB5" w:rsidRDefault="007D385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Parental level of education</w:t>
            </w:r>
          </w:p>
        </w:tc>
        <w:tc>
          <w:tcPr>
            <w:tcW w:w="1262" w:type="dxa"/>
            <w:tcBorders>
              <w:top w:val="nil"/>
              <w:left w:val="nil"/>
              <w:bottom w:val="nil"/>
              <w:right w:val="nil"/>
            </w:tcBorders>
            <w:shd w:val="clear" w:color="auto" w:fill="auto"/>
            <w:vAlign w:val="center"/>
          </w:tcPr>
          <w:p w14:paraId="6C3AD856" w14:textId="77777777" w:rsidR="00724AB5" w:rsidRDefault="00724AB5">
            <w:pPr>
              <w:spacing w:after="0" w:line="240" w:lineRule="auto"/>
              <w:jc w:val="center"/>
              <w:rPr>
                <w:rFonts w:ascii="Times New Roman" w:eastAsia="Times New Roman" w:hAnsi="Times New Roman" w:cs="Times New Roman"/>
                <w:sz w:val="18"/>
                <w:szCs w:val="18"/>
              </w:rPr>
            </w:pPr>
          </w:p>
        </w:tc>
        <w:tc>
          <w:tcPr>
            <w:tcW w:w="1081" w:type="dxa"/>
            <w:tcBorders>
              <w:top w:val="nil"/>
              <w:left w:val="nil"/>
              <w:bottom w:val="nil"/>
              <w:right w:val="nil"/>
            </w:tcBorders>
            <w:shd w:val="clear" w:color="auto" w:fill="auto"/>
            <w:vAlign w:val="center"/>
          </w:tcPr>
          <w:p w14:paraId="288A4F88"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1.03(3)</w:t>
            </w:r>
          </w:p>
        </w:tc>
        <w:tc>
          <w:tcPr>
            <w:tcW w:w="811" w:type="dxa"/>
            <w:tcBorders>
              <w:top w:val="nil"/>
              <w:left w:val="nil"/>
              <w:bottom w:val="nil"/>
              <w:right w:val="single" w:sz="8" w:space="0" w:color="000000"/>
            </w:tcBorders>
            <w:shd w:val="clear" w:color="auto" w:fill="auto"/>
            <w:vAlign w:val="center"/>
          </w:tcPr>
          <w:p w14:paraId="5D19EAA6"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.795</w:t>
            </w:r>
          </w:p>
        </w:tc>
        <w:tc>
          <w:tcPr>
            <w:tcW w:w="805" w:type="dxa"/>
            <w:tcBorders>
              <w:top w:val="nil"/>
              <w:left w:val="single" w:sz="8" w:space="0" w:color="000000"/>
              <w:bottom w:val="nil"/>
              <w:right w:val="nil"/>
            </w:tcBorders>
            <w:shd w:val="clear" w:color="auto" w:fill="auto"/>
            <w:vAlign w:val="center"/>
          </w:tcPr>
          <w:p w14:paraId="464BBEC4"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62E24496" w14:textId="77777777" w:rsidR="00724AB5" w:rsidRDefault="00724AB5">
            <w:pPr>
              <w:spacing w:after="0" w:line="240" w:lineRule="auto"/>
              <w:jc w:val="center"/>
              <w:rPr>
                <w:rFonts w:ascii="Times New Roman" w:eastAsia="Times New Roman" w:hAnsi="Times New Roman" w:cs="Times New Roman"/>
                <w:sz w:val="18"/>
                <w:szCs w:val="18"/>
              </w:rPr>
            </w:pPr>
          </w:p>
        </w:tc>
        <w:tc>
          <w:tcPr>
            <w:tcW w:w="721" w:type="dxa"/>
            <w:tcBorders>
              <w:top w:val="nil"/>
              <w:left w:val="nil"/>
              <w:bottom w:val="nil"/>
              <w:right w:val="nil"/>
            </w:tcBorders>
            <w:shd w:val="clear" w:color="auto" w:fill="auto"/>
            <w:vAlign w:val="center"/>
          </w:tcPr>
          <w:p w14:paraId="1D6E111A"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nil"/>
            </w:tcBorders>
            <w:vAlign w:val="center"/>
          </w:tcPr>
          <w:p w14:paraId="2292C76C"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36C772C1" w14:textId="77777777">
        <w:trPr>
          <w:trHeight w:val="20"/>
        </w:trPr>
        <w:tc>
          <w:tcPr>
            <w:tcW w:w="2246" w:type="dxa"/>
            <w:tcBorders>
              <w:top w:val="nil"/>
              <w:left w:val="nil"/>
              <w:bottom w:val="nil"/>
              <w:right w:val="nil"/>
            </w:tcBorders>
            <w:shd w:val="clear" w:color="auto" w:fill="auto"/>
            <w:vAlign w:val="bottom"/>
          </w:tcPr>
          <w:p w14:paraId="3BC574FC"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Primary                </w:t>
            </w:r>
          </w:p>
        </w:tc>
        <w:tc>
          <w:tcPr>
            <w:tcW w:w="1261" w:type="dxa"/>
            <w:tcBorders>
              <w:top w:val="nil"/>
              <w:left w:val="nil"/>
              <w:bottom w:val="nil"/>
              <w:right w:val="nil"/>
            </w:tcBorders>
            <w:shd w:val="clear" w:color="auto" w:fill="auto"/>
            <w:vAlign w:val="bottom"/>
          </w:tcPr>
          <w:p w14:paraId="2125BD58"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(6.3)</w:t>
            </w:r>
          </w:p>
        </w:tc>
        <w:tc>
          <w:tcPr>
            <w:tcW w:w="1262" w:type="dxa"/>
            <w:tcBorders>
              <w:top w:val="nil"/>
              <w:left w:val="nil"/>
              <w:bottom w:val="nil"/>
              <w:right w:val="nil"/>
            </w:tcBorders>
            <w:shd w:val="clear" w:color="auto" w:fill="auto"/>
            <w:vAlign w:val="bottom"/>
          </w:tcPr>
          <w:p w14:paraId="3FDD8B9F"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 (6.7)</w:t>
            </w:r>
          </w:p>
        </w:tc>
        <w:tc>
          <w:tcPr>
            <w:tcW w:w="1081" w:type="dxa"/>
            <w:tcBorders>
              <w:top w:val="nil"/>
              <w:left w:val="nil"/>
              <w:bottom w:val="nil"/>
              <w:right w:val="nil"/>
            </w:tcBorders>
            <w:shd w:val="clear" w:color="auto" w:fill="auto"/>
            <w:vAlign w:val="center"/>
          </w:tcPr>
          <w:p w14:paraId="31422482"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517F6F95"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20E89799"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2.67</w:t>
            </w:r>
          </w:p>
        </w:tc>
        <w:tc>
          <w:tcPr>
            <w:tcW w:w="721" w:type="dxa"/>
            <w:tcBorders>
              <w:top w:val="nil"/>
              <w:left w:val="nil"/>
              <w:bottom w:val="nil"/>
              <w:right w:val="nil"/>
            </w:tcBorders>
            <w:shd w:val="clear" w:color="auto" w:fill="auto"/>
            <w:vAlign w:val="center"/>
          </w:tcPr>
          <w:p w14:paraId="160C94B6"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0.77</w:t>
            </w:r>
          </w:p>
        </w:tc>
        <w:tc>
          <w:tcPr>
            <w:tcW w:w="721" w:type="dxa"/>
            <w:tcBorders>
              <w:top w:val="nil"/>
              <w:left w:val="nil"/>
              <w:bottom w:val="nil"/>
              <w:right w:val="nil"/>
            </w:tcBorders>
            <w:shd w:val="clear" w:color="auto" w:fill="auto"/>
            <w:vAlign w:val="center"/>
          </w:tcPr>
          <w:p w14:paraId="7BB1D292"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12.17</w:t>
            </w:r>
          </w:p>
        </w:tc>
        <w:tc>
          <w:tcPr>
            <w:tcW w:w="811" w:type="dxa"/>
            <w:tcBorders>
              <w:top w:val="nil"/>
              <w:left w:val="nil"/>
              <w:bottom w:val="nil"/>
              <w:right w:val="nil"/>
            </w:tcBorders>
            <w:vAlign w:val="center"/>
          </w:tcPr>
          <w:p w14:paraId="6FE81DAD"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.147</w:t>
            </w:r>
          </w:p>
        </w:tc>
      </w:tr>
      <w:tr w:rsidR="00724AB5" w14:paraId="67D96B2D" w14:textId="77777777">
        <w:trPr>
          <w:trHeight w:val="20"/>
        </w:trPr>
        <w:tc>
          <w:tcPr>
            <w:tcW w:w="2246" w:type="dxa"/>
            <w:tcBorders>
              <w:top w:val="nil"/>
              <w:left w:val="nil"/>
              <w:bottom w:val="nil"/>
              <w:right w:val="nil"/>
            </w:tcBorders>
            <w:shd w:val="clear" w:color="auto" w:fill="auto"/>
            <w:vAlign w:val="bottom"/>
          </w:tcPr>
          <w:p w14:paraId="1C8A282A"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Secondary              </w:t>
            </w:r>
          </w:p>
        </w:tc>
        <w:tc>
          <w:tcPr>
            <w:tcW w:w="1261" w:type="dxa"/>
            <w:tcBorders>
              <w:top w:val="nil"/>
              <w:left w:val="nil"/>
              <w:bottom w:val="nil"/>
              <w:right w:val="nil"/>
            </w:tcBorders>
            <w:shd w:val="clear" w:color="auto" w:fill="auto"/>
            <w:vAlign w:val="bottom"/>
          </w:tcPr>
          <w:p w14:paraId="7B3382C2"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 (22.9)</w:t>
            </w:r>
          </w:p>
        </w:tc>
        <w:tc>
          <w:tcPr>
            <w:tcW w:w="1262" w:type="dxa"/>
            <w:tcBorders>
              <w:top w:val="nil"/>
              <w:left w:val="nil"/>
              <w:bottom w:val="nil"/>
              <w:right w:val="nil"/>
            </w:tcBorders>
            <w:shd w:val="clear" w:color="auto" w:fill="auto"/>
            <w:vAlign w:val="bottom"/>
          </w:tcPr>
          <w:p w14:paraId="022C52D4"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 (16.8)</w:t>
            </w:r>
          </w:p>
        </w:tc>
        <w:tc>
          <w:tcPr>
            <w:tcW w:w="1081" w:type="dxa"/>
            <w:tcBorders>
              <w:top w:val="nil"/>
              <w:left w:val="nil"/>
              <w:bottom w:val="nil"/>
              <w:right w:val="nil"/>
            </w:tcBorders>
            <w:shd w:val="clear" w:color="auto" w:fill="auto"/>
            <w:vAlign w:val="center"/>
          </w:tcPr>
          <w:p w14:paraId="7972365A"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2D9C0266"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5514DC98"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0.68</w:t>
            </w:r>
          </w:p>
        </w:tc>
        <w:tc>
          <w:tcPr>
            <w:tcW w:w="721" w:type="dxa"/>
            <w:tcBorders>
              <w:top w:val="nil"/>
              <w:left w:val="nil"/>
              <w:bottom w:val="nil"/>
              <w:right w:val="nil"/>
            </w:tcBorders>
            <w:shd w:val="clear" w:color="auto" w:fill="auto"/>
            <w:vAlign w:val="center"/>
          </w:tcPr>
          <w:p w14:paraId="1C5F8F62"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0.13</w:t>
            </w:r>
          </w:p>
        </w:tc>
        <w:tc>
          <w:tcPr>
            <w:tcW w:w="721" w:type="dxa"/>
            <w:tcBorders>
              <w:top w:val="nil"/>
              <w:left w:val="nil"/>
              <w:bottom w:val="nil"/>
              <w:right w:val="nil"/>
            </w:tcBorders>
            <w:shd w:val="clear" w:color="auto" w:fill="auto"/>
            <w:vAlign w:val="center"/>
          </w:tcPr>
          <w:p w14:paraId="190C661D"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2.93</w:t>
            </w:r>
          </w:p>
        </w:tc>
        <w:tc>
          <w:tcPr>
            <w:tcW w:w="811" w:type="dxa"/>
            <w:tcBorders>
              <w:top w:val="nil"/>
              <w:left w:val="nil"/>
              <w:bottom w:val="nil"/>
              <w:right w:val="nil"/>
            </w:tcBorders>
            <w:vAlign w:val="center"/>
          </w:tcPr>
          <w:p w14:paraId="0BB63344"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.621</w:t>
            </w:r>
          </w:p>
        </w:tc>
      </w:tr>
      <w:tr w:rsidR="00724AB5" w14:paraId="5ADFCA93" w14:textId="77777777">
        <w:trPr>
          <w:trHeight w:val="20"/>
        </w:trPr>
        <w:tc>
          <w:tcPr>
            <w:tcW w:w="2246" w:type="dxa"/>
            <w:tcBorders>
              <w:top w:val="nil"/>
              <w:left w:val="nil"/>
              <w:bottom w:val="nil"/>
              <w:right w:val="nil"/>
            </w:tcBorders>
            <w:shd w:val="clear" w:color="auto" w:fill="auto"/>
            <w:vAlign w:val="bottom"/>
          </w:tcPr>
          <w:p w14:paraId="1AF19563"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High school/vocational </w:t>
            </w:r>
          </w:p>
        </w:tc>
        <w:tc>
          <w:tcPr>
            <w:tcW w:w="1261" w:type="dxa"/>
            <w:tcBorders>
              <w:top w:val="nil"/>
              <w:left w:val="nil"/>
              <w:bottom w:val="nil"/>
              <w:right w:val="nil"/>
            </w:tcBorders>
            <w:shd w:val="clear" w:color="auto" w:fill="auto"/>
            <w:vAlign w:val="bottom"/>
          </w:tcPr>
          <w:p w14:paraId="40FCA9FE"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 (27.1)</w:t>
            </w:r>
          </w:p>
        </w:tc>
        <w:tc>
          <w:tcPr>
            <w:tcW w:w="1262" w:type="dxa"/>
            <w:tcBorders>
              <w:top w:val="nil"/>
              <w:left w:val="nil"/>
              <w:bottom w:val="nil"/>
              <w:right w:val="nil"/>
            </w:tcBorders>
            <w:shd w:val="clear" w:color="auto" w:fill="auto"/>
            <w:vAlign w:val="bottom"/>
          </w:tcPr>
          <w:p w14:paraId="38124380"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 (26.1)</w:t>
            </w:r>
          </w:p>
        </w:tc>
        <w:tc>
          <w:tcPr>
            <w:tcW w:w="1081" w:type="dxa"/>
            <w:tcBorders>
              <w:top w:val="nil"/>
              <w:left w:val="nil"/>
              <w:bottom w:val="nil"/>
              <w:right w:val="nil"/>
            </w:tcBorders>
            <w:shd w:val="clear" w:color="auto" w:fill="auto"/>
            <w:vAlign w:val="center"/>
          </w:tcPr>
          <w:p w14:paraId="2FB45141"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nil"/>
              <w:right w:val="single" w:sz="8" w:space="0" w:color="000000"/>
            </w:tcBorders>
            <w:shd w:val="clear" w:color="auto" w:fill="auto"/>
            <w:vAlign w:val="center"/>
          </w:tcPr>
          <w:p w14:paraId="339DF697"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nil"/>
              <w:right w:val="nil"/>
            </w:tcBorders>
            <w:shd w:val="clear" w:color="auto" w:fill="auto"/>
            <w:vAlign w:val="center"/>
          </w:tcPr>
          <w:p w14:paraId="4E09DFBD"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0.89</w:t>
            </w:r>
          </w:p>
        </w:tc>
        <w:tc>
          <w:tcPr>
            <w:tcW w:w="721" w:type="dxa"/>
            <w:tcBorders>
              <w:top w:val="nil"/>
              <w:left w:val="nil"/>
              <w:bottom w:val="nil"/>
              <w:right w:val="nil"/>
            </w:tcBorders>
            <w:shd w:val="clear" w:color="auto" w:fill="auto"/>
            <w:vAlign w:val="center"/>
          </w:tcPr>
          <w:p w14:paraId="6BD92A2D"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0.17</w:t>
            </w:r>
          </w:p>
        </w:tc>
        <w:tc>
          <w:tcPr>
            <w:tcW w:w="721" w:type="dxa"/>
            <w:tcBorders>
              <w:top w:val="nil"/>
              <w:left w:val="nil"/>
              <w:bottom w:val="nil"/>
              <w:right w:val="nil"/>
            </w:tcBorders>
            <w:shd w:val="clear" w:color="auto" w:fill="auto"/>
            <w:vAlign w:val="center"/>
          </w:tcPr>
          <w:p w14:paraId="0533FC5C"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3.67</w:t>
            </w:r>
          </w:p>
        </w:tc>
        <w:tc>
          <w:tcPr>
            <w:tcW w:w="811" w:type="dxa"/>
            <w:tcBorders>
              <w:top w:val="nil"/>
              <w:left w:val="nil"/>
              <w:bottom w:val="nil"/>
              <w:right w:val="nil"/>
            </w:tcBorders>
            <w:vAlign w:val="center"/>
          </w:tcPr>
          <w:p w14:paraId="3664FA36"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.882</w:t>
            </w:r>
          </w:p>
        </w:tc>
      </w:tr>
      <w:tr w:rsidR="00724AB5" w14:paraId="4DCEFB4D" w14:textId="77777777">
        <w:trPr>
          <w:trHeight w:val="20"/>
        </w:trPr>
        <w:tc>
          <w:tcPr>
            <w:tcW w:w="2246" w:type="dxa"/>
            <w:tcBorders>
              <w:top w:val="nil"/>
              <w:left w:val="nil"/>
              <w:bottom w:val="nil"/>
              <w:right w:val="nil"/>
            </w:tcBorders>
            <w:shd w:val="clear" w:color="auto" w:fill="auto"/>
            <w:vAlign w:val="bottom"/>
          </w:tcPr>
          <w:p w14:paraId="566B44E4" w14:textId="77777777" w:rsidR="00724AB5" w:rsidRDefault="007D385F">
            <w:pPr>
              <w:spacing w:after="0" w:line="240" w:lineRule="auto"/>
              <w:ind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University             </w:t>
            </w:r>
          </w:p>
        </w:tc>
        <w:tc>
          <w:tcPr>
            <w:tcW w:w="1261" w:type="dxa"/>
            <w:tcBorders>
              <w:top w:val="nil"/>
              <w:left w:val="nil"/>
              <w:bottom w:val="nil"/>
              <w:right w:val="nil"/>
            </w:tcBorders>
            <w:shd w:val="clear" w:color="auto" w:fill="auto"/>
            <w:vAlign w:val="bottom"/>
          </w:tcPr>
          <w:p w14:paraId="6C3EB059"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 (43.8)</w:t>
            </w:r>
          </w:p>
        </w:tc>
        <w:tc>
          <w:tcPr>
            <w:tcW w:w="1262" w:type="dxa"/>
            <w:tcBorders>
              <w:top w:val="nil"/>
              <w:left w:val="nil"/>
              <w:bottom w:val="nil"/>
              <w:right w:val="nil"/>
            </w:tcBorders>
            <w:shd w:val="clear" w:color="auto" w:fill="auto"/>
            <w:vAlign w:val="bottom"/>
          </w:tcPr>
          <w:p w14:paraId="3C003826"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 (50.4)</w:t>
            </w:r>
          </w:p>
        </w:tc>
        <w:tc>
          <w:tcPr>
            <w:tcW w:w="1081" w:type="dxa"/>
            <w:tcBorders>
              <w:top w:val="nil"/>
              <w:left w:val="nil"/>
              <w:bottom w:val="single" w:sz="8" w:space="0" w:color="000000"/>
              <w:right w:val="nil"/>
            </w:tcBorders>
            <w:shd w:val="clear" w:color="auto" w:fill="auto"/>
            <w:vAlign w:val="center"/>
          </w:tcPr>
          <w:p w14:paraId="6F76E058" w14:textId="77777777" w:rsidR="00724AB5" w:rsidRDefault="00724AB5">
            <w:pPr>
              <w:spacing w:after="0" w:line="240" w:lineRule="auto"/>
              <w:jc w:val="center"/>
              <w:rPr>
                <w:rFonts w:ascii="Times New Roman" w:eastAsia="Times New Roman" w:hAnsi="Times New Roman" w:cs="Times New Roman"/>
                <w:sz w:val="18"/>
                <w:szCs w:val="18"/>
              </w:rPr>
            </w:pPr>
          </w:p>
        </w:tc>
        <w:tc>
          <w:tcPr>
            <w:tcW w:w="811" w:type="dxa"/>
            <w:tcBorders>
              <w:top w:val="nil"/>
              <w:left w:val="nil"/>
              <w:bottom w:val="single" w:sz="8" w:space="0" w:color="000000"/>
              <w:right w:val="single" w:sz="8" w:space="0" w:color="000000"/>
            </w:tcBorders>
            <w:shd w:val="clear" w:color="auto" w:fill="auto"/>
            <w:vAlign w:val="center"/>
          </w:tcPr>
          <w:p w14:paraId="3E89884E" w14:textId="77777777" w:rsidR="00724AB5" w:rsidRDefault="00724AB5">
            <w:pPr>
              <w:spacing w:after="0" w:line="240" w:lineRule="auto"/>
              <w:jc w:val="center"/>
              <w:rPr>
                <w:rFonts w:ascii="Times New Roman" w:eastAsia="Times New Roman" w:hAnsi="Times New Roman" w:cs="Times New Roman"/>
                <w:sz w:val="18"/>
                <w:szCs w:val="18"/>
              </w:rPr>
            </w:pPr>
          </w:p>
        </w:tc>
        <w:tc>
          <w:tcPr>
            <w:tcW w:w="805" w:type="dxa"/>
            <w:tcBorders>
              <w:top w:val="nil"/>
              <w:left w:val="single" w:sz="8" w:space="0" w:color="000000"/>
              <w:bottom w:val="single" w:sz="8" w:space="0" w:color="000000"/>
              <w:right w:val="nil"/>
            </w:tcBorders>
            <w:shd w:val="clear" w:color="auto" w:fill="auto"/>
            <w:vAlign w:val="center"/>
          </w:tcPr>
          <w:p w14:paraId="3D3EE76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1.07</w:t>
            </w:r>
          </w:p>
        </w:tc>
        <w:tc>
          <w:tcPr>
            <w:tcW w:w="721" w:type="dxa"/>
            <w:tcBorders>
              <w:top w:val="nil"/>
              <w:left w:val="nil"/>
              <w:bottom w:val="single" w:sz="8" w:space="0" w:color="000000"/>
              <w:right w:val="nil"/>
            </w:tcBorders>
            <w:shd w:val="clear" w:color="auto" w:fill="auto"/>
            <w:vAlign w:val="center"/>
          </w:tcPr>
          <w:p w14:paraId="313F8CA5"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0.22</w:t>
            </w:r>
          </w:p>
        </w:tc>
        <w:tc>
          <w:tcPr>
            <w:tcW w:w="721" w:type="dxa"/>
            <w:tcBorders>
              <w:top w:val="nil"/>
              <w:left w:val="nil"/>
              <w:bottom w:val="single" w:sz="8" w:space="0" w:color="000000"/>
              <w:right w:val="nil"/>
            </w:tcBorders>
            <w:shd w:val="clear" w:color="auto" w:fill="auto"/>
            <w:vAlign w:val="center"/>
          </w:tcPr>
          <w:p w14:paraId="6E035AF3"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w:t>
            </w:r>
          </w:p>
        </w:tc>
        <w:tc>
          <w:tcPr>
            <w:tcW w:w="811" w:type="dxa"/>
            <w:tcBorders>
              <w:top w:val="nil"/>
              <w:left w:val="nil"/>
              <w:bottom w:val="single" w:sz="8" w:space="0" w:color="000000"/>
              <w:right w:val="nil"/>
            </w:tcBorders>
            <w:vAlign w:val="center"/>
          </w:tcPr>
          <w:p w14:paraId="11C50149" w14:textId="77777777" w:rsidR="00724AB5" w:rsidRDefault="007D38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.924</w:t>
            </w:r>
          </w:p>
        </w:tc>
      </w:tr>
      <w:tr w:rsidR="00724AB5" w14:paraId="2B185CE9" w14:textId="77777777">
        <w:trPr>
          <w:trHeight w:val="20"/>
        </w:trPr>
        <w:tc>
          <w:tcPr>
            <w:tcW w:w="9719" w:type="dxa"/>
            <w:gridSpan w:val="9"/>
            <w:tcBorders>
              <w:top w:val="single" w:sz="8" w:space="0" w:color="000000"/>
              <w:left w:val="nil"/>
              <w:bottom w:val="nil"/>
              <w:right w:val="nil"/>
            </w:tcBorders>
            <w:shd w:val="clear" w:color="auto" w:fill="auto"/>
            <w:vAlign w:val="center"/>
          </w:tcPr>
          <w:p w14:paraId="188B9224" w14:textId="77777777" w:rsidR="00724AB5" w:rsidRDefault="007D385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a</w:t>
            </w:r>
            <w:r>
              <w:rPr>
                <w:rFonts w:ascii="Times New Roman" w:eastAsia="Times New Roman" w:hAnsi="Times New Roman" w:cs="Times New Roman"/>
                <w:sz w:val="18"/>
                <w:szCs w:val="18"/>
              </w:rPr>
              <w:t xml:space="preserve"> Odds ratio using unadjusted logistic regression.</w:t>
            </w:r>
          </w:p>
          <w:p w14:paraId="3D722866" w14:textId="19841342" w:rsidR="00724AB5" w:rsidRDefault="007D385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b</w:t>
            </w:r>
            <w:r>
              <w:rPr>
                <w:rFonts w:ascii="Times New Roman" w:eastAsia="Times New Roman" w:hAnsi="Times New Roman" w:cs="Times New Roman"/>
                <w:sz w:val="18"/>
                <w:szCs w:val="18"/>
              </w:rPr>
              <w:t xml:space="preserve"> XAF: Central African CFA Franc ($1 USD = XAF 606.35) [2</w:t>
            </w:r>
            <w:r w:rsidR="00A47C79">
              <w:rPr>
                <w:rFonts w:ascii="Times New Roman" w:eastAsia="Times New Roman" w:hAnsi="Times New Roman" w:cs="Times New Roman"/>
                <w:sz w:val="18"/>
                <w:szCs w:val="18"/>
              </w:rPr>
              <w:t>3</w:t>
            </w:r>
            <w:r>
              <w:rPr>
                <w:rFonts w:ascii="Times New Roman" w:eastAsia="Times New Roman" w:hAnsi="Times New Roman" w:cs="Times New Roman"/>
                <w:sz w:val="18"/>
                <w:szCs w:val="18"/>
              </w:rPr>
              <w:t>].</w:t>
            </w:r>
          </w:p>
          <w:p w14:paraId="5F84A92B" w14:textId="77777777" w:rsidR="00724AB5" w:rsidRDefault="007D385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Approximation using Monte Carlo simulation.</w:t>
            </w:r>
          </w:p>
          <w:p w14:paraId="7F5AC7D6" w14:textId="77777777" w:rsidR="00724AB5" w:rsidRDefault="007D385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 Perceived </w:t>
            </w:r>
            <w:r>
              <w:rPr>
                <w:rFonts w:ascii="Times New Roman" w:eastAsia="Times New Roman" w:hAnsi="Times New Roman" w:cs="Times New Roman"/>
                <w:sz w:val="18"/>
                <w:szCs w:val="18"/>
              </w:rPr>
              <w:t>anxiety.</w:t>
            </w:r>
          </w:p>
          <w:p w14:paraId="58B14830" w14:textId="77777777" w:rsidR="00724AB5" w:rsidRDefault="007D385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PSS: Perceived Stress Scale.</w:t>
            </w:r>
          </w:p>
          <w:p w14:paraId="242B4590" w14:textId="77777777" w:rsidR="00724AB5" w:rsidRDefault="007D385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All analysis were performed at 0.05 significance level.</w:t>
            </w:r>
          </w:p>
        </w:tc>
      </w:tr>
    </w:tbl>
    <w:p w14:paraId="60B127F1" w14:textId="77777777" w:rsidR="00724AB5" w:rsidRDefault="00724AB5">
      <w:pPr>
        <w:spacing w:after="0" w:line="240" w:lineRule="auto"/>
        <w:jc w:val="both"/>
        <w:rPr>
          <w:rFonts w:ascii="Times New Roman" w:eastAsia="Times New Roman" w:hAnsi="Times New Roman" w:cs="Times New Roman"/>
          <w:sz w:val="24"/>
          <w:szCs w:val="24"/>
        </w:rPr>
      </w:pPr>
    </w:p>
    <w:p w14:paraId="07562577" w14:textId="726DCDAE"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shown in Figure 5, a larger proportion of individuals in Cluster 1 experienced high emotional distress. In unadjusted logistics regression analysis, each uni</w:t>
      </w:r>
      <w:r>
        <w:rPr>
          <w:rFonts w:ascii="Times New Roman" w:eastAsia="Times New Roman" w:hAnsi="Times New Roman" w:cs="Times New Roman"/>
          <w:sz w:val="24"/>
          <w:szCs w:val="24"/>
        </w:rPr>
        <w:t xml:space="preserve">t increase in PSS score was associated with significantly lower odds of being classified in Cluster 2 (vs. Cluster 1) (OR 0.98, 95% CI 0.96–0.99,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=.006). Likewise,</w:t>
      </w:r>
      <w:r w:rsidR="001A5F7D">
        <w:rPr>
          <w:rFonts w:ascii="Times New Roman" w:eastAsia="Times New Roman" w:hAnsi="Times New Roman" w:cs="Times New Roman"/>
          <w:sz w:val="24"/>
          <w:szCs w:val="24"/>
        </w:rPr>
        <w:t xml:space="preserve"> </w:t>
      </w:r>
      <w:r w:rsidR="00EE618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unit increase in perceived anxiety was associated with significantly lower odds of being classified in Cluster 2 (OR 0.94, 95% CI 0.90–0.99,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=.012).</w:t>
      </w:r>
    </w:p>
    <w:p w14:paraId="0EE802B3" w14:textId="77777777" w:rsidR="00724AB5" w:rsidRDefault="007D385F">
      <w:pPr>
        <w:keepNext/>
        <w:spacing w:after="0" w:line="240" w:lineRule="auto"/>
        <w:jc w:val="both"/>
      </w:pPr>
      <w:r>
        <w:rPr>
          <w:noProof/>
        </w:rPr>
        <w:lastRenderedPageBreak/>
        <w:drawing>
          <wp:inline distT="0" distB="0" distL="0" distR="0" wp14:anchorId="6A81D2AE" wp14:editId="117C3B40">
            <wp:extent cx="5568950" cy="327533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l="1440" r="1395"/>
                    <a:stretch>
                      <a:fillRect/>
                    </a:stretch>
                  </pic:blipFill>
                  <pic:spPr>
                    <a:xfrm>
                      <a:off x="0" y="0"/>
                      <a:ext cx="5568950" cy="3275330"/>
                    </a:xfrm>
                    <a:prstGeom prst="rect">
                      <a:avLst/>
                    </a:prstGeom>
                    <a:ln/>
                  </pic:spPr>
                </pic:pic>
              </a:graphicData>
            </a:graphic>
          </wp:inline>
        </w:drawing>
      </w:r>
    </w:p>
    <w:p w14:paraId="75BC56E7" w14:textId="77777777" w:rsidR="00724AB5" w:rsidRDefault="007D385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bookmarkStart w:id="21" w:name="_mcdmp4fyntl8" w:colFirst="0" w:colLast="0"/>
      <w:bookmarkEnd w:id="21"/>
      <w:r>
        <w:rPr>
          <w:rFonts w:ascii="Times New Roman" w:eastAsia="Times New Roman" w:hAnsi="Times New Roman" w:cs="Times New Roman"/>
          <w:color w:val="000000"/>
          <w:sz w:val="20"/>
          <w:szCs w:val="20"/>
        </w:rPr>
        <w:t xml:space="preserve">Figure 5. Distribution of emotional factors across cluster groups. </w:t>
      </w:r>
      <w:r>
        <w:rPr>
          <w:rFonts w:ascii="Times New Roman" w:eastAsia="Times New Roman" w:hAnsi="Times New Roman" w:cs="Times New Roman"/>
          <w:b/>
          <w:color w:val="000000"/>
          <w:sz w:val="20"/>
          <w:szCs w:val="20"/>
        </w:rPr>
        <w:t>(a)</w:t>
      </w:r>
      <w:r>
        <w:rPr>
          <w:rFonts w:ascii="Times New Roman" w:eastAsia="Times New Roman" w:hAnsi="Times New Roman" w:cs="Times New Roman"/>
          <w:color w:val="000000"/>
          <w:sz w:val="20"/>
          <w:szCs w:val="20"/>
        </w:rPr>
        <w:t xml:space="preserve"> Violin plot comparing perceived </w:t>
      </w:r>
      <w:r>
        <w:rPr>
          <w:rFonts w:ascii="Times New Roman" w:eastAsia="Times New Roman" w:hAnsi="Times New Roman" w:cs="Times New Roman"/>
          <w:color w:val="000000"/>
          <w:sz w:val="20"/>
          <w:szCs w:val="20"/>
        </w:rPr>
        <w:t xml:space="preserve">stress scale (PSS) score, perceived anxiety (PA) score and number of stress triggers between Cluster 1 and Cluster 2. Each plot displays the median as well as the 25th and 75th percentiles. Dots represent individual patients’ data. </w:t>
      </w:r>
      <w:r>
        <w:rPr>
          <w:rFonts w:ascii="Times New Roman" w:eastAsia="Times New Roman" w:hAnsi="Times New Roman" w:cs="Times New Roman"/>
          <w:b/>
          <w:color w:val="000000"/>
          <w:sz w:val="20"/>
          <w:szCs w:val="20"/>
        </w:rPr>
        <w:t>(b)</w:t>
      </w:r>
      <w:r>
        <w:rPr>
          <w:rFonts w:ascii="Times New Roman" w:eastAsia="Times New Roman" w:hAnsi="Times New Roman" w:cs="Times New Roman"/>
          <w:color w:val="000000"/>
          <w:sz w:val="20"/>
          <w:szCs w:val="20"/>
        </w:rPr>
        <w:t xml:space="preserve"> Conditional density </w:t>
      </w:r>
      <w:r>
        <w:rPr>
          <w:rFonts w:ascii="Times New Roman" w:eastAsia="Times New Roman" w:hAnsi="Times New Roman" w:cs="Times New Roman"/>
          <w:color w:val="000000"/>
          <w:sz w:val="20"/>
          <w:szCs w:val="20"/>
        </w:rPr>
        <w:t>plots illustrating the distribution and variation of PSS score, PA score and number of stress triggers within each Cluster.</w:t>
      </w:r>
    </w:p>
    <w:p w14:paraId="555EDFDE" w14:textId="77777777"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significant association was observed between cluster membership and the proportion of patient engaging in physical activity (χ</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2.86,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&lt;.001). Many patients in Cluster 1 never engaged in moderate to high-intensity aerobic physical activity, whereas a substantial proportion of patients in Cluster 2 reported exercising at least once per week. No significant association was observed b</w:t>
      </w:r>
      <w:r>
        <w:rPr>
          <w:rFonts w:ascii="Times New Roman" w:eastAsia="Times New Roman" w:hAnsi="Times New Roman" w:cs="Times New Roman"/>
          <w:sz w:val="24"/>
          <w:szCs w:val="24"/>
        </w:rPr>
        <w:t>etween cluster membership and average daily water intake. Similarly, there were no direct associations between cluster membership and nutritional factors (Figure 6).</w:t>
      </w:r>
    </w:p>
    <w:p w14:paraId="33BF1C8B" w14:textId="77777777" w:rsidR="00724AB5" w:rsidRDefault="007D385F">
      <w:pPr>
        <w:keepNext/>
        <w:spacing w:after="0" w:line="240" w:lineRule="auto"/>
        <w:jc w:val="both"/>
      </w:pPr>
      <w:r>
        <w:rPr>
          <w:rFonts w:ascii="Times New Roman" w:eastAsia="Times New Roman" w:hAnsi="Times New Roman" w:cs="Times New Roman"/>
          <w:noProof/>
          <w:sz w:val="24"/>
          <w:szCs w:val="24"/>
        </w:rPr>
        <w:lastRenderedPageBreak/>
        <w:drawing>
          <wp:inline distT="0" distB="0" distL="0" distR="0" wp14:anchorId="65F9B826" wp14:editId="381A88F5">
            <wp:extent cx="5731510" cy="6877685"/>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731510" cy="6877685"/>
                    </a:xfrm>
                    <a:prstGeom prst="rect">
                      <a:avLst/>
                    </a:prstGeom>
                    <a:ln/>
                  </pic:spPr>
                </pic:pic>
              </a:graphicData>
            </a:graphic>
          </wp:inline>
        </w:drawing>
      </w:r>
    </w:p>
    <w:p w14:paraId="45B6D29E" w14:textId="77777777" w:rsidR="00724AB5" w:rsidRDefault="007D385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bookmarkStart w:id="22" w:name="_83ys7pc6su70" w:colFirst="0" w:colLast="0"/>
      <w:bookmarkEnd w:id="22"/>
      <w:r>
        <w:rPr>
          <w:rFonts w:ascii="Times New Roman" w:eastAsia="Times New Roman" w:hAnsi="Times New Roman" w:cs="Times New Roman"/>
          <w:color w:val="000000"/>
          <w:sz w:val="20"/>
          <w:szCs w:val="20"/>
        </w:rPr>
        <w:t xml:space="preserve">Figure 6. Relationships between lifestyle factors and cluster groups </w:t>
      </w:r>
      <w:r>
        <w:rPr>
          <w:rFonts w:ascii="Times New Roman" w:eastAsia="Times New Roman" w:hAnsi="Times New Roman" w:cs="Times New Roman"/>
          <w:b/>
          <w:color w:val="000000"/>
          <w:sz w:val="20"/>
          <w:szCs w:val="20"/>
        </w:rPr>
        <w:t>(a)</w:t>
      </w:r>
      <w:r>
        <w:rPr>
          <w:rFonts w:ascii="Times New Roman" w:eastAsia="Times New Roman" w:hAnsi="Times New Roman" w:cs="Times New Roman"/>
          <w:color w:val="000000"/>
          <w:sz w:val="20"/>
          <w:szCs w:val="20"/>
        </w:rPr>
        <w:t xml:space="preserve"> Four-way mosaic plot of cluster groups vs. nutritional lifestyle. Tile width represents proportion of patients in each category combination, shading indicates magnitude of differences</w:t>
      </w:r>
      <w:r>
        <w:rPr>
          <w:rFonts w:ascii="Times New Roman" w:eastAsia="Times New Roman" w:hAnsi="Times New Roman" w:cs="Times New Roman"/>
          <w:color w:val="000000"/>
          <w:sz w:val="20"/>
          <w:szCs w:val="20"/>
        </w:rPr>
        <w:t xml:space="preserve"> between observed and expected frequencies. </w:t>
      </w:r>
      <w:r>
        <w:rPr>
          <w:rFonts w:ascii="Times New Roman" w:eastAsia="Times New Roman" w:hAnsi="Times New Roman" w:cs="Times New Roman"/>
          <w:b/>
          <w:color w:val="000000"/>
          <w:sz w:val="20"/>
          <w:szCs w:val="20"/>
        </w:rPr>
        <w:t>(b)</w:t>
      </w:r>
      <w:r>
        <w:rPr>
          <w:rFonts w:ascii="Times New Roman" w:eastAsia="Times New Roman" w:hAnsi="Times New Roman" w:cs="Times New Roman"/>
          <w:color w:val="000000"/>
          <w:sz w:val="20"/>
          <w:szCs w:val="20"/>
        </w:rPr>
        <w:t xml:space="preserve"> Association plot: Cluster group vs. frequency of moderate to high aerobic physical activity over the past 12 months. </w:t>
      </w:r>
      <w:r>
        <w:rPr>
          <w:rFonts w:ascii="Times New Roman" w:eastAsia="Times New Roman" w:hAnsi="Times New Roman" w:cs="Times New Roman"/>
          <w:b/>
          <w:color w:val="000000"/>
          <w:sz w:val="20"/>
          <w:szCs w:val="20"/>
        </w:rPr>
        <w:t>(c)</w:t>
      </w:r>
      <w:r>
        <w:rPr>
          <w:rFonts w:ascii="Times New Roman" w:eastAsia="Times New Roman" w:hAnsi="Times New Roman" w:cs="Times New Roman"/>
          <w:color w:val="000000"/>
          <w:sz w:val="20"/>
          <w:szCs w:val="20"/>
        </w:rPr>
        <w:t xml:space="preserve"> Association plot: Cluster group vs. average daily water intake frequency over the past </w:t>
      </w:r>
      <w:r>
        <w:rPr>
          <w:rFonts w:ascii="Times New Roman" w:eastAsia="Times New Roman" w:hAnsi="Times New Roman" w:cs="Times New Roman"/>
          <w:color w:val="000000"/>
          <w:sz w:val="20"/>
          <w:szCs w:val="20"/>
        </w:rPr>
        <w:t>12 months.</w:t>
      </w:r>
    </w:p>
    <w:p w14:paraId="11BAD43D"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6CDDA9" w14:textId="66F2411A"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mean number of scheduled routine clinical checkups per year was 1.27 (SD 1.98) in Cluster 1 and 2.84 (SD 2.46) in Cluster 2. Each additional checkup per year was associated with significantly higher odds of being classified in Cluster 2 (OR 1.45, 95% C</w:t>
      </w:r>
      <w:r>
        <w:rPr>
          <w:rFonts w:ascii="Times New Roman" w:eastAsia="Times New Roman" w:hAnsi="Times New Roman" w:cs="Times New Roman"/>
          <w:sz w:val="24"/>
          <w:szCs w:val="24"/>
        </w:rPr>
        <w:t xml:space="preserve">I 1.21–1.76,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&lt;.001),</w:t>
      </w:r>
      <w:r w:rsidR="001A5F7D">
        <w:rPr>
          <w:rFonts w:ascii="Times New Roman" w:eastAsia="Times New Roman" w:hAnsi="Times New Roman" w:cs="Times New Roman"/>
          <w:sz w:val="24"/>
          <w:szCs w:val="24"/>
        </w:rPr>
        <w:t xml:space="preserve"> controlling</w:t>
      </w:r>
      <w:r>
        <w:rPr>
          <w:rFonts w:ascii="Times New Roman" w:eastAsia="Times New Roman" w:hAnsi="Times New Roman" w:cs="Times New Roman"/>
          <w:sz w:val="24"/>
          <w:szCs w:val="24"/>
        </w:rPr>
        <w:t xml:space="preserve"> for</w:t>
      </w:r>
      <w:r w:rsidR="001A5F7D">
        <w:rPr>
          <w:rFonts w:ascii="Times New Roman" w:eastAsia="Times New Roman" w:hAnsi="Times New Roman" w:cs="Times New Roman"/>
          <w:sz w:val="24"/>
          <w:szCs w:val="24"/>
        </w:rPr>
        <w:t xml:space="preserve"> the effects of</w:t>
      </w:r>
      <w:r>
        <w:rPr>
          <w:rFonts w:ascii="Times New Roman" w:eastAsia="Times New Roman" w:hAnsi="Times New Roman" w:cs="Times New Roman"/>
          <w:sz w:val="24"/>
          <w:szCs w:val="24"/>
        </w:rPr>
        <w:t xml:space="preserve"> household income.</w:t>
      </w:r>
    </w:p>
    <w:p w14:paraId="36806A65" w14:textId="407F88EF"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7 and Figure 8 illustrate the associations between cluster membership and environmental factors. While a substantial proportion of patients in both clusters reported being </w:t>
      </w:r>
      <w:r>
        <w:rPr>
          <w:rFonts w:ascii="Times New Roman" w:eastAsia="Times New Roman" w:hAnsi="Times New Roman" w:cs="Times New Roman"/>
          <w:sz w:val="24"/>
          <w:szCs w:val="24"/>
        </w:rPr>
        <w:lastRenderedPageBreak/>
        <w:t xml:space="preserve">prone </w:t>
      </w:r>
      <w:r>
        <w:rPr>
          <w:rFonts w:ascii="Times New Roman" w:eastAsia="Times New Roman" w:hAnsi="Times New Roman" w:cs="Times New Roman"/>
          <w:sz w:val="24"/>
          <w:szCs w:val="24"/>
        </w:rPr>
        <w:t>to VOC during cold weather, exposure to cold, hot weather, and seasonal variations was not associated with cluster classification. In contrast, high humidity (</w:t>
      </w:r>
      <w:r>
        <w:rPr>
          <w:rFonts w:ascii="Times New Roman" w:eastAsia="Times New Roman" w:hAnsi="Times New Roman" w:cs="Times New Roman"/>
          <w:i/>
          <w:sz w:val="24"/>
          <w:szCs w:val="24"/>
        </w:rPr>
        <w:t>χ</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=10.12,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=.001) and windy conditions (</w:t>
      </w:r>
      <w:r>
        <w:rPr>
          <w:rFonts w:ascii="Times New Roman" w:eastAsia="Times New Roman" w:hAnsi="Times New Roman" w:cs="Times New Roman"/>
          <w:i/>
          <w:sz w:val="24"/>
          <w:szCs w:val="24"/>
        </w:rPr>
        <w:t>χ</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=4.75,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=.029) were significantly associated with clu</w:t>
      </w:r>
      <w:r>
        <w:rPr>
          <w:rFonts w:ascii="Times New Roman" w:eastAsia="Times New Roman" w:hAnsi="Times New Roman" w:cs="Times New Roman"/>
          <w:sz w:val="24"/>
          <w:szCs w:val="24"/>
        </w:rPr>
        <w:t xml:space="preserve">ster membership, based on chi-square tests of independence. Patients belonging to Cluster 2 had significantly lower odds of reporting sensitivity to high humidity (OR 0.33, 95% CI 0.17–0.64,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=.001) </w:t>
      </w:r>
      <w:r w:rsidR="00292E76">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windy conditions (OR 0.44, 95% CI 0.22–0.88,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=.019).</w:t>
      </w:r>
      <w:r>
        <w:rPr>
          <w:rFonts w:ascii="Times New Roman" w:eastAsia="Times New Roman" w:hAnsi="Times New Roman" w:cs="Times New Roman"/>
          <w:sz w:val="24"/>
          <w:szCs w:val="24"/>
        </w:rPr>
        <w:t xml:space="preserve"> Similarly, self-reported sensitivity to environmental pollutants−specifically road dust (</w:t>
      </w:r>
      <w:r>
        <w:rPr>
          <w:rFonts w:ascii="Times New Roman" w:eastAsia="Times New Roman" w:hAnsi="Times New Roman" w:cs="Times New Roman"/>
          <w:i/>
          <w:sz w:val="24"/>
          <w:szCs w:val="24"/>
        </w:rPr>
        <w:t>χ</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=7.96,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=.005) and smoke fumes (</w:t>
      </w:r>
      <w:r>
        <w:rPr>
          <w:rFonts w:ascii="Times New Roman" w:eastAsia="Times New Roman" w:hAnsi="Times New Roman" w:cs="Times New Roman"/>
          <w:i/>
          <w:sz w:val="24"/>
          <w:szCs w:val="24"/>
        </w:rPr>
        <w:t>χ</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=6.87,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=.008), was significantly associated with cluster membership. Patients in Cluster 2 had significantly lower odds of repo</w:t>
      </w:r>
      <w:r>
        <w:rPr>
          <w:rFonts w:ascii="Times New Roman" w:eastAsia="Times New Roman" w:hAnsi="Times New Roman" w:cs="Times New Roman"/>
          <w:sz w:val="24"/>
          <w:szCs w:val="24"/>
        </w:rPr>
        <w:t xml:space="preserve">rting sensitivity to road dust (OR 0.32, 95% CI 0.15–0.68,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=.003) </w:t>
      </w:r>
      <w:r w:rsidR="00292E76">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smoke fumes (OR 0.33, 95% CI 0.15–0.73,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=.006).</w:t>
      </w:r>
    </w:p>
    <w:p w14:paraId="777E81E6" w14:textId="77777777" w:rsidR="00724AB5" w:rsidRDefault="007D385F">
      <w:pPr>
        <w:keepNext/>
        <w:spacing w:after="0" w:line="240" w:lineRule="auto"/>
        <w:jc w:val="both"/>
      </w:pPr>
      <w:r>
        <w:rPr>
          <w:rFonts w:ascii="Times New Roman" w:eastAsia="Times New Roman" w:hAnsi="Times New Roman" w:cs="Times New Roman"/>
          <w:noProof/>
          <w:sz w:val="24"/>
          <w:szCs w:val="24"/>
        </w:rPr>
        <w:lastRenderedPageBreak/>
        <w:drawing>
          <wp:inline distT="0" distB="0" distL="0" distR="0" wp14:anchorId="6D050235" wp14:editId="743297F9">
            <wp:extent cx="5731510" cy="687768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731510" cy="6877685"/>
                    </a:xfrm>
                    <a:prstGeom prst="rect">
                      <a:avLst/>
                    </a:prstGeom>
                    <a:ln/>
                  </pic:spPr>
                </pic:pic>
              </a:graphicData>
            </a:graphic>
          </wp:inline>
        </w:drawing>
      </w:r>
    </w:p>
    <w:p w14:paraId="4B4A5342" w14:textId="77777777" w:rsidR="00724AB5" w:rsidRDefault="007D385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bookmarkStart w:id="23" w:name="_z9yw4xlqsb21" w:colFirst="0" w:colLast="0"/>
      <w:bookmarkEnd w:id="23"/>
      <w:r>
        <w:rPr>
          <w:rFonts w:ascii="Times New Roman" w:eastAsia="Times New Roman" w:hAnsi="Times New Roman" w:cs="Times New Roman"/>
          <w:color w:val="000000"/>
          <w:sz w:val="20"/>
          <w:szCs w:val="20"/>
        </w:rPr>
        <w:t xml:space="preserve">Figure 7. Association between self-reported sensitivity to seasonal variations and weather conditions across cluster groups over the past 12 months. The area of each tile represents the relative proportions across clusters. </w:t>
      </w:r>
      <w:r>
        <w:rPr>
          <w:rFonts w:ascii="Times New Roman" w:eastAsia="Times New Roman" w:hAnsi="Times New Roman" w:cs="Times New Roman"/>
          <w:b/>
          <w:color w:val="000000"/>
          <w:sz w:val="20"/>
          <w:szCs w:val="20"/>
        </w:rPr>
        <w:t>(a)</w:t>
      </w:r>
      <w:r>
        <w:rPr>
          <w:rFonts w:ascii="Times New Roman" w:eastAsia="Times New Roman" w:hAnsi="Times New Roman" w:cs="Times New Roman"/>
          <w:color w:val="000000"/>
          <w:sz w:val="20"/>
          <w:szCs w:val="20"/>
        </w:rPr>
        <w:t xml:space="preserve"> Association plot illustratin</w:t>
      </w:r>
      <w:r>
        <w:rPr>
          <w:rFonts w:ascii="Times New Roman" w:eastAsia="Times New Roman" w:hAnsi="Times New Roman" w:cs="Times New Roman"/>
          <w:color w:val="000000"/>
          <w:sz w:val="20"/>
          <w:szCs w:val="20"/>
        </w:rPr>
        <w:t xml:space="preserve">g the relationship between cluster membership and sensitivity to seasonal variation. </w:t>
      </w:r>
      <w:r>
        <w:rPr>
          <w:rFonts w:ascii="Times New Roman" w:eastAsia="Times New Roman" w:hAnsi="Times New Roman" w:cs="Times New Roman"/>
          <w:b/>
          <w:color w:val="000000"/>
          <w:sz w:val="20"/>
          <w:szCs w:val="20"/>
        </w:rPr>
        <w:t>(b)</w:t>
      </w:r>
      <w:r>
        <w:rPr>
          <w:rFonts w:ascii="Times New Roman" w:eastAsia="Times New Roman" w:hAnsi="Times New Roman" w:cs="Times New Roman"/>
          <w:color w:val="000000"/>
          <w:sz w:val="20"/>
          <w:szCs w:val="20"/>
        </w:rPr>
        <w:t xml:space="preserve"> Mosaic plot showing the association between sensitivity to cold and hot weather and cluster membership. </w:t>
      </w:r>
      <w:r>
        <w:rPr>
          <w:rFonts w:ascii="Times New Roman" w:eastAsia="Times New Roman" w:hAnsi="Times New Roman" w:cs="Times New Roman"/>
          <w:b/>
          <w:color w:val="000000"/>
          <w:sz w:val="20"/>
          <w:szCs w:val="20"/>
        </w:rPr>
        <w:t>(c)</w:t>
      </w:r>
      <w:r>
        <w:rPr>
          <w:rFonts w:ascii="Times New Roman" w:eastAsia="Times New Roman" w:hAnsi="Times New Roman" w:cs="Times New Roman"/>
          <w:color w:val="000000"/>
          <w:sz w:val="20"/>
          <w:szCs w:val="20"/>
        </w:rPr>
        <w:t xml:space="preserve"> Mosaic plot showing the association between sensitivity to </w:t>
      </w:r>
      <w:r>
        <w:rPr>
          <w:rFonts w:ascii="Times New Roman" w:eastAsia="Times New Roman" w:hAnsi="Times New Roman" w:cs="Times New Roman"/>
          <w:color w:val="000000"/>
          <w:sz w:val="20"/>
          <w:szCs w:val="20"/>
        </w:rPr>
        <w:t>windy and humid conditions and cluster membership.</w:t>
      </w:r>
    </w:p>
    <w:p w14:paraId="7D68EACE" w14:textId="77777777" w:rsidR="00724AB5" w:rsidRDefault="00724AB5">
      <w:pPr>
        <w:spacing w:after="0" w:line="240" w:lineRule="auto"/>
      </w:pPr>
    </w:p>
    <w:p w14:paraId="3D04ED41" w14:textId="77777777" w:rsidR="00724AB5" w:rsidRDefault="007D385F">
      <w:pPr>
        <w:keepNext/>
        <w:spacing w:after="0" w:line="240" w:lineRule="auto"/>
      </w:pPr>
      <w:r>
        <w:rPr>
          <w:noProof/>
        </w:rPr>
        <w:lastRenderedPageBreak/>
        <w:drawing>
          <wp:inline distT="0" distB="0" distL="0" distR="0" wp14:anchorId="53FD1AE0" wp14:editId="2FFCE11D">
            <wp:extent cx="5715000" cy="390525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5715000" cy="3905250"/>
                    </a:xfrm>
                    <a:prstGeom prst="rect">
                      <a:avLst/>
                    </a:prstGeom>
                    <a:ln/>
                  </pic:spPr>
                </pic:pic>
              </a:graphicData>
            </a:graphic>
          </wp:inline>
        </w:drawing>
      </w:r>
    </w:p>
    <w:p w14:paraId="010E9961" w14:textId="77777777" w:rsidR="00724AB5" w:rsidRDefault="007D385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24" w:name="_iximf5g0p8y9" w:colFirst="0" w:colLast="0"/>
      <w:bookmarkEnd w:id="24"/>
      <w:r>
        <w:rPr>
          <w:rFonts w:ascii="Times New Roman" w:eastAsia="Times New Roman" w:hAnsi="Times New Roman" w:cs="Times New Roman"/>
          <w:color w:val="000000"/>
          <w:sz w:val="20"/>
          <w:szCs w:val="20"/>
        </w:rPr>
        <w:t>Figure 8. Mosaic plot of self-reported sensitivity to dust and smoke. Patients reported whether exposure to road dust and smoke-fumes consistently triggered mild-to-severe painful episodes or other symp</w:t>
      </w:r>
      <w:r>
        <w:rPr>
          <w:rFonts w:ascii="Times New Roman" w:eastAsia="Times New Roman" w:hAnsi="Times New Roman" w:cs="Times New Roman"/>
          <w:color w:val="000000"/>
          <w:sz w:val="20"/>
          <w:szCs w:val="20"/>
        </w:rPr>
        <w:t>toms within 1−3 days post-exposure over the past 12 months. Pearson residuals represent standardized differences between observed and expected frequencies across cluster groups. SR; Self-reported.</w:t>
      </w:r>
    </w:p>
    <w:p w14:paraId="281ECBA6" w14:textId="77777777" w:rsidR="00724AB5" w:rsidRDefault="00724AB5">
      <w:pPr>
        <w:spacing w:after="0" w:line="240" w:lineRule="auto"/>
      </w:pPr>
    </w:p>
    <w:p w14:paraId="407755A1" w14:textId="3D3DA5A2"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Socioeconomic factors, including household income, parenta</w:t>
      </w:r>
      <w:r>
        <w:rPr>
          <w:rFonts w:ascii="Times New Roman" w:eastAsia="Times New Roman" w:hAnsi="Times New Roman" w:cs="Times New Roman"/>
          <w:sz w:val="24"/>
          <w:szCs w:val="24"/>
        </w:rPr>
        <w:t>l educational level, and bedroom ventilation, were not associated with cluster membership (Figure 9). However, household size demonstrated a modest associated (</w:t>
      </w:r>
      <w:r>
        <w:rPr>
          <w:rFonts w:ascii="Times New Roman" w:eastAsia="Times New Roman" w:hAnsi="Times New Roman" w:cs="Times New Roman"/>
          <w:i/>
          <w:sz w:val="24"/>
          <w:szCs w:val="24"/>
        </w:rPr>
        <w:t>χ</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=6.0,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=.049). Patients from medium households (4−6 persons) had significantly higher odds of</w:t>
      </w:r>
      <w:r>
        <w:rPr>
          <w:rFonts w:ascii="Times New Roman" w:eastAsia="Times New Roman" w:hAnsi="Times New Roman" w:cs="Times New Roman"/>
          <w:sz w:val="24"/>
          <w:szCs w:val="24"/>
        </w:rPr>
        <w:t xml:space="preserve"> </w:t>
      </w:r>
      <w:r w:rsidR="00C35ACE">
        <w:rPr>
          <w:rFonts w:ascii="Times New Roman" w:eastAsia="Times New Roman" w:hAnsi="Times New Roman" w:cs="Times New Roman"/>
          <w:sz w:val="24"/>
          <w:szCs w:val="24"/>
        </w:rPr>
        <w:t xml:space="preserve">being classified in </w:t>
      </w:r>
      <w:r>
        <w:rPr>
          <w:rFonts w:ascii="Times New Roman" w:eastAsia="Times New Roman" w:hAnsi="Times New Roman" w:cs="Times New Roman"/>
          <w:sz w:val="24"/>
          <w:szCs w:val="24"/>
        </w:rPr>
        <w:t xml:space="preserve">Cluster 2 compared to those from smaller households (1−3 persons) (OR 2.7, 95% CI 1.2−6.15,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=.016). No significant differences in cluster membership were observed among participants from large households (&gt;6 persons).</w:t>
      </w:r>
    </w:p>
    <w:p w14:paraId="3D1CDAEA" w14:textId="77777777" w:rsidR="00724AB5" w:rsidRDefault="007D385F">
      <w:pPr>
        <w:keepNext/>
        <w:spacing w:after="0" w:line="240" w:lineRule="auto"/>
        <w:jc w:val="both"/>
      </w:pPr>
      <w:r>
        <w:rPr>
          <w:noProof/>
        </w:rPr>
        <w:lastRenderedPageBreak/>
        <w:drawing>
          <wp:inline distT="0" distB="0" distL="0" distR="0" wp14:anchorId="1354D1EE" wp14:editId="38065A5F">
            <wp:extent cx="5200650" cy="343916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r="9262"/>
                    <a:stretch>
                      <a:fillRect/>
                    </a:stretch>
                  </pic:blipFill>
                  <pic:spPr>
                    <a:xfrm>
                      <a:off x="0" y="0"/>
                      <a:ext cx="5200650" cy="3439160"/>
                    </a:xfrm>
                    <a:prstGeom prst="rect">
                      <a:avLst/>
                    </a:prstGeom>
                    <a:ln/>
                  </pic:spPr>
                </pic:pic>
              </a:graphicData>
            </a:graphic>
          </wp:inline>
        </w:drawing>
      </w:r>
    </w:p>
    <w:p w14:paraId="170727DD" w14:textId="77777777" w:rsidR="00724AB5" w:rsidRDefault="007D385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Figure 9. Association plots between socioeconomic factors and cluster groups. Each plot shows how the proportion of patients is distributed across different socioeconomic categories and cluster membership. </w:t>
      </w:r>
      <w:r>
        <w:rPr>
          <w:rFonts w:ascii="Times New Roman" w:eastAsia="Times New Roman" w:hAnsi="Times New Roman" w:cs="Times New Roman"/>
          <w:b/>
          <w:color w:val="000000"/>
          <w:sz w:val="20"/>
          <w:szCs w:val="20"/>
        </w:rPr>
        <w:t>(a)</w:t>
      </w:r>
      <w:r>
        <w:rPr>
          <w:rFonts w:ascii="Times New Roman" w:eastAsia="Times New Roman" w:hAnsi="Times New Roman" w:cs="Times New Roman"/>
          <w:color w:val="000000"/>
          <w:sz w:val="20"/>
          <w:szCs w:val="20"/>
        </w:rPr>
        <w:t xml:space="preserve"> Monthly household income and cluster membership (</w:t>
      </w:r>
      <w:r>
        <w:rPr>
          <w:rFonts w:ascii="Times New Roman" w:eastAsia="Times New Roman" w:hAnsi="Times New Roman" w:cs="Times New Roman"/>
          <w:i/>
          <w:color w:val="000000"/>
          <w:sz w:val="20"/>
          <w:szCs w:val="20"/>
        </w:rPr>
        <w:t>XAF: Central African CFA Franc, $1 USD = XAF 606.35</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44546A"/>
          <w:sz w:val="20"/>
          <w:szCs w:val="20"/>
        </w:rPr>
        <w:t>[22]</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(b)</w:t>
      </w:r>
      <w:r>
        <w:rPr>
          <w:rFonts w:ascii="Times New Roman" w:eastAsia="Times New Roman" w:hAnsi="Times New Roman" w:cs="Times New Roman"/>
          <w:color w:val="000000"/>
          <w:sz w:val="20"/>
          <w:szCs w:val="20"/>
        </w:rPr>
        <w:t xml:space="preserve"> Household size (number of persons per home) and cluster memberships. </w:t>
      </w:r>
      <w:r>
        <w:rPr>
          <w:rFonts w:ascii="Times New Roman" w:eastAsia="Times New Roman" w:hAnsi="Times New Roman" w:cs="Times New Roman"/>
          <w:b/>
          <w:color w:val="000000"/>
          <w:sz w:val="20"/>
          <w:szCs w:val="20"/>
        </w:rPr>
        <w:t>(c)</w:t>
      </w:r>
      <w:r>
        <w:rPr>
          <w:rFonts w:ascii="Times New Roman" w:eastAsia="Times New Roman" w:hAnsi="Times New Roman" w:cs="Times New Roman"/>
          <w:color w:val="000000"/>
          <w:sz w:val="20"/>
          <w:szCs w:val="20"/>
        </w:rPr>
        <w:t xml:space="preserve"> Parental educational level and cluster membership. </w:t>
      </w:r>
      <w:r>
        <w:rPr>
          <w:rFonts w:ascii="Times New Roman" w:eastAsia="Times New Roman" w:hAnsi="Times New Roman" w:cs="Times New Roman"/>
          <w:b/>
          <w:color w:val="000000"/>
          <w:sz w:val="20"/>
          <w:szCs w:val="20"/>
        </w:rPr>
        <w:t>(d)</w:t>
      </w:r>
      <w:r>
        <w:rPr>
          <w:rFonts w:ascii="Times New Roman" w:eastAsia="Times New Roman" w:hAnsi="Times New Roman" w:cs="Times New Roman"/>
          <w:color w:val="000000"/>
          <w:sz w:val="20"/>
          <w:szCs w:val="20"/>
        </w:rPr>
        <w:t xml:space="preserve"> Association bet</w:t>
      </w:r>
      <w:r>
        <w:rPr>
          <w:rFonts w:ascii="Times New Roman" w:eastAsia="Times New Roman" w:hAnsi="Times New Roman" w:cs="Times New Roman"/>
          <w:color w:val="000000"/>
          <w:sz w:val="20"/>
          <w:szCs w:val="20"/>
        </w:rPr>
        <w:t>ween bedroom ventilation adequacy (natural airflow between indoor and outdoor spaces) and cluster membership.</w:t>
      </w:r>
    </w:p>
    <w:p w14:paraId="08910F7F" w14:textId="77777777" w:rsidR="00724AB5" w:rsidRDefault="00724AB5">
      <w:pPr>
        <w:spacing w:after="0" w:line="240" w:lineRule="auto"/>
      </w:pPr>
    </w:p>
    <w:p w14:paraId="400C362E"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Discussion</w:t>
      </w:r>
    </w:p>
    <w:p w14:paraId="2F8761A5" w14:textId="2B9A9692"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Numerous studies have investigated the impact of environmental factors on SCD, employing varied approaches such as retrospective or pr</w:t>
      </w:r>
      <w:r>
        <w:rPr>
          <w:rFonts w:ascii="Times New Roman" w:eastAsia="Times New Roman" w:hAnsi="Times New Roman" w:cs="Times New Roman"/>
          <w:sz w:val="24"/>
          <w:szCs w:val="24"/>
        </w:rPr>
        <w:t xml:space="preserve">ospective lagged-association between hospital emergency visits </w:t>
      </w:r>
      <w:r w:rsidR="003356CF">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008B4A11">
        <w:rPr>
          <w:rFonts w:ascii="Times New Roman" w:eastAsia="Times New Roman" w:hAnsi="Times New Roman" w:cs="Times New Roman"/>
          <w:sz w:val="24"/>
          <w:szCs w:val="24"/>
        </w:rPr>
        <w:t>meteorological</w:t>
      </w:r>
      <w:r>
        <w:rPr>
          <w:rFonts w:ascii="Times New Roman" w:eastAsia="Times New Roman" w:hAnsi="Times New Roman" w:cs="Times New Roman"/>
          <w:sz w:val="24"/>
          <w:szCs w:val="24"/>
        </w:rPr>
        <w:t xml:space="preserve"> data [</w:t>
      </w:r>
      <w:r w:rsidR="00A72FF5">
        <w:rPr>
          <w:rFonts w:ascii="Times New Roman" w:eastAsia="Times New Roman" w:hAnsi="Times New Roman" w:cs="Times New Roman"/>
          <w:sz w:val="24"/>
          <w:szCs w:val="24"/>
        </w:rPr>
        <w:t>7</w:t>
      </w:r>
      <w:r>
        <w:rPr>
          <w:rFonts w:ascii="Times New Roman" w:eastAsia="Times New Roman" w:hAnsi="Times New Roman" w:cs="Times New Roman"/>
          <w:sz w:val="24"/>
          <w:szCs w:val="24"/>
        </w:rPr>
        <w:t>,1</w:t>
      </w:r>
      <w:r w:rsidR="00A72FF5">
        <w:rPr>
          <w:rFonts w:ascii="Times New Roman" w:eastAsia="Times New Roman" w:hAnsi="Times New Roman" w:cs="Times New Roman"/>
          <w:sz w:val="24"/>
          <w:szCs w:val="24"/>
        </w:rPr>
        <w:t>3</w:t>
      </w:r>
      <w:r>
        <w:rPr>
          <w:rFonts w:ascii="Times New Roman" w:eastAsia="Times New Roman" w:hAnsi="Times New Roman" w:cs="Times New Roman"/>
          <w:sz w:val="24"/>
          <w:szCs w:val="24"/>
        </w:rPr>
        <w:t>]. However, the lack of readily accessible meteorological records and emergency hospital visit data in the Centre region of Cameroon poses significant challenges to</w:t>
      </w:r>
      <w:r>
        <w:rPr>
          <w:rFonts w:ascii="Times New Roman" w:eastAsia="Times New Roman" w:hAnsi="Times New Roman" w:cs="Times New Roman"/>
          <w:sz w:val="24"/>
          <w:szCs w:val="24"/>
        </w:rPr>
        <w:t xml:space="preserve"> conducting similar studies. In this study, we employed a cross-sectional exploratory approach to examine </w:t>
      </w:r>
      <w:r w:rsidR="00302459">
        <w:rPr>
          <w:rFonts w:ascii="Times New Roman" w:eastAsia="Times New Roman" w:hAnsi="Times New Roman" w:cs="Times New Roman"/>
          <w:sz w:val="24"/>
          <w:szCs w:val="24"/>
        </w:rPr>
        <w:t>how self</w:t>
      </w:r>
      <w:r w:rsidR="00601759">
        <w:rPr>
          <w:rFonts w:ascii="Times New Roman" w:eastAsia="Times New Roman" w:hAnsi="Times New Roman" w:cs="Times New Roman"/>
          <w:sz w:val="24"/>
          <w:szCs w:val="24"/>
        </w:rPr>
        <w:t>-reported</w:t>
      </w:r>
      <w:r>
        <w:rPr>
          <w:rFonts w:ascii="Times New Roman" w:eastAsia="Times New Roman" w:hAnsi="Times New Roman" w:cs="Times New Roman"/>
          <w:sz w:val="24"/>
          <w:szCs w:val="24"/>
        </w:rPr>
        <w:t xml:space="preserve"> lifestyle, environmental exposure and socioeconomic conditions influences the clinical severity of SCA patients not undergoing disease-modifying treatment with hydroxyurea. Given the absence of an established clinical severity scoring system for SCA in Ca</w:t>
      </w:r>
      <w:r>
        <w:rPr>
          <w:rFonts w:ascii="Times New Roman" w:eastAsia="Times New Roman" w:hAnsi="Times New Roman" w:cs="Times New Roman"/>
          <w:sz w:val="24"/>
          <w:szCs w:val="24"/>
        </w:rPr>
        <w:t>meroon and recognizing that a single outcome variable-such as the number of hospitalizations or painful crises is insufficient to comprehensively reflect disease severity, clustering was employed. This approach grouped patients based on multiple easily obt</w:t>
      </w:r>
      <w:r>
        <w:rPr>
          <w:rFonts w:ascii="Times New Roman" w:eastAsia="Times New Roman" w:hAnsi="Times New Roman" w:cs="Times New Roman"/>
          <w:sz w:val="24"/>
          <w:szCs w:val="24"/>
        </w:rPr>
        <w:t>ainable clinical characteristics commonly recorded in primary healthcare settings across Cameroon.</w:t>
      </w:r>
    </w:p>
    <w:p w14:paraId="77B9D619" w14:textId="46B965EC"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study, 51% of patients reported experiencing VOC year-round, while 44% indicated that VOC episodes were more frequent during the rainy season, which </w:t>
      </w:r>
      <w:r>
        <w:rPr>
          <w:rFonts w:ascii="Times New Roman" w:eastAsia="Times New Roman" w:hAnsi="Times New Roman" w:cs="Times New Roman"/>
          <w:sz w:val="24"/>
          <w:szCs w:val="24"/>
        </w:rPr>
        <w:t>in the Centre region typically spans from early April to early November and is characterized by light to heavy rainfall and fluctuating temperatures [2</w:t>
      </w:r>
      <w:r w:rsidR="00A72FF5">
        <w:rPr>
          <w:rFonts w:ascii="Times New Roman" w:eastAsia="Times New Roman" w:hAnsi="Times New Roman" w:cs="Times New Roman"/>
          <w:sz w:val="24"/>
          <w:szCs w:val="24"/>
        </w:rPr>
        <w:t>9</w:t>
      </w:r>
      <w:r>
        <w:rPr>
          <w:rFonts w:ascii="Times New Roman" w:eastAsia="Times New Roman" w:hAnsi="Times New Roman" w:cs="Times New Roman"/>
          <w:sz w:val="24"/>
          <w:szCs w:val="24"/>
        </w:rPr>
        <w:t>]. In addition, a significant proportion of participants (84%) identified cold exposure as a trigger for</w:t>
      </w:r>
      <w:r>
        <w:rPr>
          <w:rFonts w:ascii="Times New Roman" w:eastAsia="Times New Roman" w:hAnsi="Times New Roman" w:cs="Times New Roman"/>
          <w:sz w:val="24"/>
          <w:szCs w:val="24"/>
        </w:rPr>
        <w:t xml:space="preserve"> illness episodes. These findings are consistent with previous studies conducted in both temperate and tropical regions which, despite differing annual temperature ranges have shown associations between annual temperatures, seasonal fluctuations, and incre</w:t>
      </w:r>
      <w:r>
        <w:rPr>
          <w:rFonts w:ascii="Times New Roman" w:eastAsia="Times New Roman" w:hAnsi="Times New Roman" w:cs="Times New Roman"/>
          <w:sz w:val="24"/>
          <w:szCs w:val="24"/>
        </w:rPr>
        <w:t>ased hospitalization rates [</w:t>
      </w:r>
      <w:r w:rsidR="00A72FF5">
        <w:rPr>
          <w:rFonts w:ascii="Times New Roman" w:eastAsia="Times New Roman" w:hAnsi="Times New Roman" w:cs="Times New Roman"/>
          <w:sz w:val="24"/>
          <w:szCs w:val="24"/>
        </w:rPr>
        <w:t>7</w:t>
      </w:r>
      <w:r>
        <w:rPr>
          <w:rFonts w:ascii="Times New Roman" w:eastAsia="Times New Roman" w:hAnsi="Times New Roman" w:cs="Times New Roman"/>
          <w:sz w:val="24"/>
          <w:szCs w:val="24"/>
        </w:rPr>
        <w:t>,1</w:t>
      </w:r>
      <w:r w:rsidR="00A72FF5">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A72FF5">
        <w:rPr>
          <w:rFonts w:ascii="Times New Roman" w:eastAsia="Times New Roman" w:hAnsi="Times New Roman" w:cs="Times New Roman"/>
          <w:sz w:val="24"/>
          <w:szCs w:val="24"/>
        </w:rPr>
        <w:t>30</w:t>
      </w:r>
      <w:r>
        <w:rPr>
          <w:rFonts w:ascii="Times New Roman" w:eastAsia="Times New Roman" w:hAnsi="Times New Roman" w:cs="Times New Roman"/>
          <w:sz w:val="24"/>
          <w:szCs w:val="24"/>
        </w:rPr>
        <w:t>–3</w:t>
      </w:r>
      <w:r w:rsidR="00A72FF5">
        <w:rPr>
          <w:rFonts w:ascii="Times New Roman" w:eastAsia="Times New Roman" w:hAnsi="Times New Roman" w:cs="Times New Roman"/>
          <w:sz w:val="24"/>
          <w:szCs w:val="24"/>
        </w:rPr>
        <w:t>2</w:t>
      </w:r>
      <w:r>
        <w:rPr>
          <w:rFonts w:ascii="Times New Roman" w:eastAsia="Times New Roman" w:hAnsi="Times New Roman" w:cs="Times New Roman"/>
          <w:sz w:val="24"/>
          <w:szCs w:val="24"/>
        </w:rPr>
        <w:t>]. This underscores the potential role of weather variations as significant contributors to disease exacerbation. Sickle cell disease patients are believed to be more sensitive to temperature fluctuations compared to i</w:t>
      </w:r>
      <w:r>
        <w:rPr>
          <w:rFonts w:ascii="Times New Roman" w:eastAsia="Times New Roman" w:hAnsi="Times New Roman" w:cs="Times New Roman"/>
          <w:sz w:val="24"/>
          <w:szCs w:val="24"/>
        </w:rPr>
        <w:t xml:space="preserve">ndividuals </w:t>
      </w:r>
      <w:r>
        <w:rPr>
          <w:rFonts w:ascii="Times New Roman" w:eastAsia="Times New Roman" w:hAnsi="Times New Roman" w:cs="Times New Roman"/>
          <w:sz w:val="24"/>
          <w:szCs w:val="24"/>
        </w:rPr>
        <w:lastRenderedPageBreak/>
        <w:t>without SCD [3</w:t>
      </w:r>
      <w:r w:rsidR="00270216">
        <w:rPr>
          <w:rFonts w:ascii="Times New Roman" w:eastAsia="Times New Roman" w:hAnsi="Times New Roman" w:cs="Times New Roman"/>
          <w:sz w:val="24"/>
          <w:szCs w:val="24"/>
        </w:rPr>
        <w:t>3</w:t>
      </w:r>
      <w:r>
        <w:rPr>
          <w:rFonts w:ascii="Times New Roman" w:eastAsia="Times New Roman" w:hAnsi="Times New Roman" w:cs="Times New Roman"/>
          <w:sz w:val="24"/>
          <w:szCs w:val="24"/>
        </w:rPr>
        <w:t>]. This increased sensitivity has been linked to a persistent reflex vasoconstriction response during rapid body cooling, which may contribute to the onset of vaso-occlusion [3</w:t>
      </w:r>
      <w:r w:rsidR="00270216">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possibly due to increased transit time of RBCs in </w:t>
      </w:r>
      <w:r>
        <w:rPr>
          <w:rFonts w:ascii="Times New Roman" w:eastAsia="Times New Roman" w:hAnsi="Times New Roman" w:cs="Times New Roman"/>
          <w:sz w:val="24"/>
          <w:szCs w:val="24"/>
        </w:rPr>
        <w:t>the microvasculature [3</w:t>
      </w:r>
      <w:r w:rsidR="00270216">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p w14:paraId="2F577126" w14:textId="0BF95998"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minority of patients reported road dust (19%) and smoke fumes (17%) as perceived triggers of VOC preceding their crises. Noticeably, the proportion of individuals who identified these environmental exposures as precipitating fa</w:t>
      </w:r>
      <w:r>
        <w:rPr>
          <w:rFonts w:ascii="Times New Roman" w:eastAsia="Times New Roman" w:hAnsi="Times New Roman" w:cs="Times New Roman"/>
          <w:sz w:val="24"/>
          <w:szCs w:val="24"/>
        </w:rPr>
        <w:t>ctors increased with age. This trend may reflect age-related decline in respiratory function of individuals with SCD, potentially enhanced by chronic inflammation and recurrent VOC events, which are known to cause progressive pulmonary damage and reduced l</w:t>
      </w:r>
      <w:r>
        <w:rPr>
          <w:rFonts w:ascii="Times New Roman" w:eastAsia="Times New Roman" w:hAnsi="Times New Roman" w:cs="Times New Roman"/>
          <w:sz w:val="24"/>
          <w:szCs w:val="24"/>
        </w:rPr>
        <w:t>ung function over time [3</w:t>
      </w:r>
      <w:r w:rsidR="00270216">
        <w:rPr>
          <w:rFonts w:ascii="Times New Roman" w:eastAsia="Times New Roman" w:hAnsi="Times New Roman" w:cs="Times New Roman"/>
          <w:sz w:val="24"/>
          <w:szCs w:val="24"/>
        </w:rPr>
        <w:t>6</w:t>
      </w:r>
      <w:r>
        <w:rPr>
          <w:rFonts w:ascii="Times New Roman" w:eastAsia="Times New Roman" w:hAnsi="Times New Roman" w:cs="Times New Roman"/>
          <w:sz w:val="24"/>
          <w:szCs w:val="24"/>
        </w:rPr>
        <w:t>,3</w:t>
      </w:r>
      <w:r w:rsidR="00270216">
        <w:rPr>
          <w:rFonts w:ascii="Times New Roman" w:eastAsia="Times New Roman" w:hAnsi="Times New Roman" w:cs="Times New Roman"/>
          <w:sz w:val="24"/>
          <w:szCs w:val="24"/>
        </w:rPr>
        <w:t>7</w:t>
      </w:r>
      <w:r>
        <w:rPr>
          <w:rFonts w:ascii="Times New Roman" w:eastAsia="Times New Roman" w:hAnsi="Times New Roman" w:cs="Times New Roman"/>
          <w:sz w:val="24"/>
          <w:szCs w:val="24"/>
        </w:rPr>
        <w:t>]. Yaoundé, which is Cameroon’s second largest city, is characterized by heavy road traffic, unpaved roads in many neighborhoods, widespread use of old vehicles, and the use of biomass for cooking in some households, all of whi</w:t>
      </w:r>
      <w:r>
        <w:rPr>
          <w:rFonts w:ascii="Times New Roman" w:eastAsia="Times New Roman" w:hAnsi="Times New Roman" w:cs="Times New Roman"/>
          <w:sz w:val="24"/>
          <w:szCs w:val="24"/>
        </w:rPr>
        <w:t>ch likely contributed to elevated levels of fine particulate matter (PM2.5</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and PM10) surpassing the World Health Organizations’ guideline limits [3</w:t>
      </w:r>
      <w:r w:rsidR="00270216">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Previous studies demonstrated positive association between exposure to both PM2.5 and PM10 and increased </w:t>
      </w:r>
      <w:r>
        <w:rPr>
          <w:rFonts w:ascii="Times New Roman" w:eastAsia="Times New Roman" w:hAnsi="Times New Roman" w:cs="Times New Roman"/>
          <w:sz w:val="24"/>
          <w:szCs w:val="24"/>
        </w:rPr>
        <w:t>emergency department visits [11,38]. Particulate matter-10 exposure has been specifically linked to increased blood velocity in the extracranial internal carotid artery</w:t>
      </w:r>
      <w:r w:rsidR="00416F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children with SCA [</w:t>
      </w:r>
      <w:r w:rsidR="00870DA8">
        <w:rPr>
          <w:rFonts w:ascii="Times New Roman" w:eastAsia="Times New Roman" w:hAnsi="Times New Roman" w:cs="Times New Roman"/>
          <w:sz w:val="24"/>
          <w:szCs w:val="24"/>
        </w:rPr>
        <w:t>20</w:t>
      </w:r>
      <w:r>
        <w:rPr>
          <w:rFonts w:ascii="Times New Roman" w:eastAsia="Times New Roman" w:hAnsi="Times New Roman" w:cs="Times New Roman"/>
          <w:sz w:val="24"/>
          <w:szCs w:val="24"/>
        </w:rPr>
        <w:t>]. Examining the relationship between environmental factors and</w:t>
      </w:r>
      <w:r>
        <w:rPr>
          <w:rFonts w:ascii="Times New Roman" w:eastAsia="Times New Roman" w:hAnsi="Times New Roman" w:cs="Times New Roman"/>
          <w:sz w:val="24"/>
          <w:szCs w:val="24"/>
        </w:rPr>
        <w:t xml:space="preserve"> cluster membership revealed that patients in Cluster 1 were more likely to report adverse effects from dust exposure, smoke fumes, high winds and high humidity compared to those in Cluster 2. While a causal link cannot be inferred, one possible explanatio</w:t>
      </w:r>
      <w:r>
        <w:rPr>
          <w:rFonts w:ascii="Times New Roman" w:eastAsia="Times New Roman" w:hAnsi="Times New Roman" w:cs="Times New Roman"/>
          <w:sz w:val="24"/>
          <w:szCs w:val="24"/>
        </w:rPr>
        <w:t>n is that Cluster 1 patients maybe more vulnerable to inflammation and oxidative stress triggered by air pollution and meteorological changes due to compromised cardiopulmonary function. This observation aligns with previous studies on environmental influe</w:t>
      </w:r>
      <w:r>
        <w:rPr>
          <w:rFonts w:ascii="Times New Roman" w:eastAsia="Times New Roman" w:hAnsi="Times New Roman" w:cs="Times New Roman"/>
          <w:sz w:val="24"/>
          <w:szCs w:val="24"/>
        </w:rPr>
        <w:t>nces in SCD, which primarily focused on association with hospitalization rates and emergency visits following exposure lags.</w:t>
      </w:r>
    </w:p>
    <w:p w14:paraId="489C8038" w14:textId="1BD40A9A"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study revealed that most patients experienced moderate to high stress sensitivity as measured by the PSS. </w:t>
      </w:r>
      <w:r w:rsidR="00B920E5">
        <w:rPr>
          <w:rFonts w:ascii="Times New Roman" w:eastAsia="Times New Roman" w:hAnsi="Times New Roman" w:cs="Times New Roman"/>
          <w:sz w:val="24"/>
          <w:szCs w:val="24"/>
        </w:rPr>
        <w:t>Patients’</w:t>
      </w:r>
      <w:r>
        <w:rPr>
          <w:rFonts w:ascii="Times New Roman" w:eastAsia="Times New Roman" w:hAnsi="Times New Roman" w:cs="Times New Roman"/>
          <w:sz w:val="24"/>
          <w:szCs w:val="24"/>
        </w:rPr>
        <w:t xml:space="preserve"> average anx</w:t>
      </w:r>
      <w:r>
        <w:rPr>
          <w:rFonts w:ascii="Times New Roman" w:eastAsia="Times New Roman" w:hAnsi="Times New Roman" w:cs="Times New Roman"/>
          <w:sz w:val="24"/>
          <w:szCs w:val="24"/>
        </w:rPr>
        <w:t>iety score was 7.5 points higher (T score 57.5) than the standardized average of 50 in the US general population [1</w:t>
      </w:r>
      <w:r w:rsidR="00667CA5">
        <w:rPr>
          <w:rFonts w:ascii="Times New Roman" w:eastAsia="Times New Roman" w:hAnsi="Times New Roman" w:cs="Times New Roman"/>
          <w:sz w:val="24"/>
          <w:szCs w:val="24"/>
        </w:rPr>
        <w:t>8</w:t>
      </w:r>
      <w:r>
        <w:rPr>
          <w:rFonts w:ascii="Times New Roman" w:eastAsia="Times New Roman" w:hAnsi="Times New Roman" w:cs="Times New Roman"/>
          <w:sz w:val="24"/>
          <w:szCs w:val="24"/>
        </w:rPr>
        <w:t>]. The primary stressors identified were cold weather, academic or work-related demands, and financial difficulties. Patients in Cluster 1 r</w:t>
      </w:r>
      <w:r>
        <w:rPr>
          <w:rFonts w:ascii="Times New Roman" w:eastAsia="Times New Roman" w:hAnsi="Times New Roman" w:cs="Times New Roman"/>
          <w:sz w:val="24"/>
          <w:szCs w:val="24"/>
        </w:rPr>
        <w:t>eported higher levels of stress, anxiety and stressors compared to those in Cluster 2, highlighting the significant mental and physical burden associated with living with a chronic condition. This finding is consistent with previous research showing that h</w:t>
      </w:r>
      <w:r>
        <w:rPr>
          <w:rFonts w:ascii="Times New Roman" w:eastAsia="Times New Roman" w:hAnsi="Times New Roman" w:cs="Times New Roman"/>
          <w:sz w:val="24"/>
          <w:szCs w:val="24"/>
        </w:rPr>
        <w:t>igh stress and negative mood are associated with painful episodes in SCD adolescents [</w:t>
      </w:r>
      <w:r w:rsidR="00667CA5">
        <w:rPr>
          <w:rFonts w:ascii="Times New Roman" w:eastAsia="Times New Roman" w:hAnsi="Times New Roman" w:cs="Times New Roman"/>
          <w:sz w:val="24"/>
          <w:szCs w:val="24"/>
        </w:rPr>
        <w:t>40</w:t>
      </w:r>
      <w:r>
        <w:rPr>
          <w:rFonts w:ascii="Times New Roman" w:eastAsia="Times New Roman" w:hAnsi="Times New Roman" w:cs="Times New Roman"/>
          <w:sz w:val="24"/>
          <w:szCs w:val="24"/>
        </w:rPr>
        <w:t>]. Furthermore, a study among SCD youths ages 8 to 17 suggested that anxiety may influence pain and social functioning [4</w:t>
      </w:r>
      <w:r w:rsidR="00667CA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Repeated exposure to stress may </w:t>
      </w:r>
      <w:r>
        <w:rPr>
          <w:rFonts w:ascii="Times New Roman" w:eastAsia="Times New Roman" w:hAnsi="Times New Roman" w:cs="Times New Roman"/>
          <w:sz w:val="24"/>
          <w:szCs w:val="24"/>
        </w:rPr>
        <w:t>increase the risk of VOC by inducing vasoconstriction, reducing microvascular flow and enhancing the prospect of RBC getting entrapped [4</w:t>
      </w:r>
      <w:r w:rsidR="00667CA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This potential mechanism may partly explain why patients in Cluster 1, who exhibited more severe clinical outcome, </w:t>
      </w:r>
      <w:r>
        <w:rPr>
          <w:rFonts w:ascii="Times New Roman" w:eastAsia="Times New Roman" w:hAnsi="Times New Roman" w:cs="Times New Roman"/>
          <w:sz w:val="24"/>
          <w:szCs w:val="24"/>
        </w:rPr>
        <w:t xml:space="preserve">also reported higher stress and anxiety levels. The role of stress triggers is increasing becoming a major focus in the standard management of VOC, serving as a non-pharmacological adjunct to personalized interventions specific to individual patient needs </w:t>
      </w:r>
      <w:r>
        <w:rPr>
          <w:rFonts w:ascii="Times New Roman" w:eastAsia="Times New Roman" w:hAnsi="Times New Roman" w:cs="Times New Roman"/>
          <w:sz w:val="24"/>
          <w:szCs w:val="24"/>
        </w:rPr>
        <w:t>and circumstances. This dual approach to VOC management can be particularly beneficial in primary healthcare settings with limited resources.</w:t>
      </w:r>
    </w:p>
    <w:p w14:paraId="36EFADC6" w14:textId="47AD63E6"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significant lifestyle-related difference was observed in the frequency of routine checkups between pediatric pat</w:t>
      </w:r>
      <w:r>
        <w:rPr>
          <w:rFonts w:ascii="Times New Roman" w:eastAsia="Times New Roman" w:hAnsi="Times New Roman" w:cs="Times New Roman"/>
          <w:sz w:val="24"/>
          <w:szCs w:val="24"/>
        </w:rPr>
        <w:t>ients (&lt;17 years), and younger adults who have transitioned to adult care (17 to 25 years), and adults aged 25 to 35. This disparity may be attributed to the increased parental involvement in pediatric care, where parents or caregivers often facilitate and</w:t>
      </w:r>
      <w:r>
        <w:rPr>
          <w:rFonts w:ascii="Times New Roman" w:eastAsia="Times New Roman" w:hAnsi="Times New Roman" w:cs="Times New Roman"/>
          <w:sz w:val="24"/>
          <w:szCs w:val="24"/>
        </w:rPr>
        <w:t xml:space="preserve"> accompany children to scheduled checkup appointments, in contrast to adult patients who may assume full responsibility for their appointments. Regular checkups are important for preventing complications and morbidity, as they provide opportunities for cou</w:t>
      </w:r>
      <w:r>
        <w:rPr>
          <w:rFonts w:ascii="Times New Roman" w:eastAsia="Times New Roman" w:hAnsi="Times New Roman" w:cs="Times New Roman"/>
          <w:sz w:val="24"/>
          <w:szCs w:val="24"/>
        </w:rPr>
        <w:t>nseling, emotional support, education, vital signs monitoring, routine laboratory tests, and early detection of organ damage. These benefits can lead to reduced hospitalizations, shorter hospital stays, reduced need of blood transfusion, and lower healthca</w:t>
      </w:r>
      <w:r>
        <w:rPr>
          <w:rFonts w:ascii="Times New Roman" w:eastAsia="Times New Roman" w:hAnsi="Times New Roman" w:cs="Times New Roman"/>
          <w:sz w:val="24"/>
          <w:szCs w:val="24"/>
        </w:rPr>
        <w:t>re costs [4</w:t>
      </w:r>
      <w:r w:rsidR="00752F00">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00752F00">
        <w:rPr>
          <w:rFonts w:ascii="Times New Roman" w:eastAsia="Times New Roman" w:hAnsi="Times New Roman" w:cs="Times New Roman"/>
          <w:sz w:val="24"/>
          <w:szCs w:val="24"/>
        </w:rPr>
        <w:t>4</w:t>
      </w:r>
      <w:r>
        <w:rPr>
          <w:rFonts w:ascii="Times New Roman" w:eastAsia="Times New Roman" w:hAnsi="Times New Roman" w:cs="Times New Roman"/>
          <w:sz w:val="24"/>
          <w:szCs w:val="24"/>
        </w:rPr>
        <w:t>]. Our analysis showed that each additional checkup per year, increased 1.45 times the odds of being classified in Cluster 2, characterized by less severe clinical features compared to Cluster 1. Furthermore, the frequency of routine checkup</w:t>
      </w:r>
      <w:r>
        <w:rPr>
          <w:rFonts w:ascii="Times New Roman" w:eastAsia="Times New Roman" w:hAnsi="Times New Roman" w:cs="Times New Roman"/>
          <w:sz w:val="24"/>
          <w:szCs w:val="24"/>
        </w:rPr>
        <w:t>s was not associated with household income, even after adjusting for household size using hurdle model. This suggest that financial means may not be a primary determinant of patients’ ability to attend scheduled checkups among the study population</w:t>
      </w:r>
      <w:r w:rsidR="000920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Impleme</w:t>
      </w:r>
      <w:r>
        <w:rPr>
          <w:rFonts w:ascii="Times New Roman" w:eastAsia="Times New Roman" w:hAnsi="Times New Roman" w:cs="Times New Roman"/>
          <w:sz w:val="24"/>
          <w:szCs w:val="24"/>
        </w:rPr>
        <w:t>nting strategies to remind SCD patients in Cameroon of upcoming appointments may help reduce unnecessary hospital resource utilization and improve patients’ quality of life.</w:t>
      </w:r>
    </w:p>
    <w:p w14:paraId="23EA5F12" w14:textId="1E84471B"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association between aerobic physical activity and cluster group, where most pa</w:t>
      </w:r>
      <w:r>
        <w:rPr>
          <w:rFonts w:ascii="Times New Roman" w:eastAsia="Times New Roman" w:hAnsi="Times New Roman" w:cs="Times New Roman"/>
          <w:sz w:val="24"/>
          <w:szCs w:val="24"/>
        </w:rPr>
        <w:t xml:space="preserve">tients with more severe disease (Cluster 1) reported no engagement in physical activity, may be attributed to concerns about triggering VOC, fatigue and worsening health condition. Previous studies have shown that mild to moderate aerobic exercise is safe </w:t>
      </w:r>
      <w:r>
        <w:rPr>
          <w:rFonts w:ascii="Times New Roman" w:eastAsia="Times New Roman" w:hAnsi="Times New Roman" w:cs="Times New Roman"/>
          <w:sz w:val="24"/>
          <w:szCs w:val="24"/>
        </w:rPr>
        <w:t>and potentially beneficial for patients with SCD, without precipitating inflammation or oxidative stress [4</w:t>
      </w:r>
      <w:r w:rsidR="000A2F8A">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000A2F8A">
        <w:rPr>
          <w:rFonts w:ascii="Times New Roman" w:eastAsia="Times New Roman" w:hAnsi="Times New Roman" w:cs="Times New Roman"/>
          <w:sz w:val="24"/>
          <w:szCs w:val="24"/>
        </w:rPr>
        <w:t>6</w:t>
      </w:r>
      <w:r>
        <w:rPr>
          <w:rFonts w:ascii="Times New Roman" w:eastAsia="Times New Roman" w:hAnsi="Times New Roman" w:cs="Times New Roman"/>
          <w:sz w:val="24"/>
          <w:szCs w:val="24"/>
        </w:rPr>
        <w:t>]. Moreover, mild endurance exercise has not been associated with substantial peripheral oxygen desaturation or lactate accumulation in SCD patie</w:t>
      </w:r>
      <w:r>
        <w:rPr>
          <w:rFonts w:ascii="Times New Roman" w:eastAsia="Times New Roman" w:hAnsi="Times New Roman" w:cs="Times New Roman"/>
          <w:sz w:val="24"/>
          <w:szCs w:val="24"/>
        </w:rPr>
        <w:t>nts [4</w:t>
      </w:r>
      <w:r w:rsidR="008A6673">
        <w:rPr>
          <w:rFonts w:ascii="Times New Roman" w:eastAsia="Times New Roman" w:hAnsi="Times New Roman" w:cs="Times New Roman"/>
          <w:sz w:val="24"/>
          <w:szCs w:val="24"/>
        </w:rPr>
        <w:t>7</w:t>
      </w:r>
      <w:r>
        <w:rPr>
          <w:rFonts w:ascii="Times New Roman" w:eastAsia="Times New Roman" w:hAnsi="Times New Roman" w:cs="Times New Roman"/>
          <w:sz w:val="24"/>
          <w:szCs w:val="24"/>
        </w:rPr>
        <w:t>,4</w:t>
      </w:r>
      <w:r w:rsidR="008A6673">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Our observation supports these findings, suggesting that engaging in moderate to high-intensity aerobic physical activity at least once a week does not appear to have adverse effects on clinical outcomes of SCA patients. </w:t>
      </w:r>
    </w:p>
    <w:p w14:paraId="714DFCB8" w14:textId="7C7CC269"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many patients r</w:t>
      </w:r>
      <w:r>
        <w:rPr>
          <w:rFonts w:ascii="Times New Roman" w:eastAsia="Times New Roman" w:hAnsi="Times New Roman" w:cs="Times New Roman"/>
          <w:sz w:val="24"/>
          <w:szCs w:val="24"/>
        </w:rPr>
        <w:t>eported adequate daily hydration, a significant proportion of those aged 17 or younger were not hydrating adequately. This underscores the need for educating and encouraging younger children and adolescent patients on the importance of adequate hydration a</w:t>
      </w:r>
      <w:r>
        <w:rPr>
          <w:rFonts w:ascii="Times New Roman" w:eastAsia="Times New Roman" w:hAnsi="Times New Roman" w:cs="Times New Roman"/>
          <w:sz w:val="24"/>
          <w:szCs w:val="24"/>
        </w:rPr>
        <w:t>nd implementing daily follow-up strategies to monitor their fluid intake. Although our study did not reveal a significant relationship between nutritional habits and cluster membership, it does not rule out the possibility of an association between clinica</w:t>
      </w:r>
      <w:r>
        <w:rPr>
          <w:rFonts w:ascii="Times New Roman" w:eastAsia="Times New Roman" w:hAnsi="Times New Roman" w:cs="Times New Roman"/>
          <w:sz w:val="24"/>
          <w:szCs w:val="24"/>
        </w:rPr>
        <w:t>l severity of SCD and nutrition. Previous research has shown that deficiencies in macro- and micronutrients are common among SCD patients with severe disease outcome [4</w:t>
      </w:r>
      <w:r w:rsidR="00E143A9">
        <w:rPr>
          <w:rFonts w:ascii="Times New Roman" w:eastAsia="Times New Roman" w:hAnsi="Times New Roman" w:cs="Times New Roman"/>
          <w:sz w:val="24"/>
          <w:szCs w:val="24"/>
        </w:rPr>
        <w:t>9</w:t>
      </w:r>
      <w:r>
        <w:rPr>
          <w:rFonts w:ascii="Times New Roman" w:eastAsia="Times New Roman" w:hAnsi="Times New Roman" w:cs="Times New Roman"/>
          <w:sz w:val="24"/>
          <w:szCs w:val="24"/>
        </w:rPr>
        <w:t>–5</w:t>
      </w:r>
      <w:r w:rsidR="00E143A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The lack of association in our study may be attributed to the qualitative nature </w:t>
      </w:r>
      <w:r>
        <w:rPr>
          <w:rFonts w:ascii="Times New Roman" w:eastAsia="Times New Roman" w:hAnsi="Times New Roman" w:cs="Times New Roman"/>
          <w:sz w:val="24"/>
          <w:szCs w:val="24"/>
        </w:rPr>
        <w:t>of our nutritional assessment, which might not have captured the impact of dietary intake on SCD clinical severity.</w:t>
      </w:r>
    </w:p>
    <w:p w14:paraId="57E50E1C" w14:textId="0C87A789"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Patients from medium</w:t>
      </w:r>
      <w:r w:rsidR="001032A8">
        <w:rPr>
          <w:rFonts w:ascii="Times New Roman" w:eastAsia="Times New Roman" w:hAnsi="Times New Roman" w:cs="Times New Roman"/>
          <w:sz w:val="24"/>
          <w:szCs w:val="24"/>
        </w:rPr>
        <w:t>-sized</w:t>
      </w:r>
      <w:r>
        <w:rPr>
          <w:rFonts w:ascii="Times New Roman" w:eastAsia="Times New Roman" w:hAnsi="Times New Roman" w:cs="Times New Roman"/>
          <w:sz w:val="24"/>
          <w:szCs w:val="24"/>
        </w:rPr>
        <w:t xml:space="preserve"> households (4−6 persons) were more likely to be in Cluster 2 than Cluster 1, whereas no difference was observed f</w:t>
      </w:r>
      <w:r>
        <w:rPr>
          <w:rFonts w:ascii="Times New Roman" w:eastAsia="Times New Roman" w:hAnsi="Times New Roman" w:cs="Times New Roman"/>
          <w:sz w:val="24"/>
          <w:szCs w:val="24"/>
        </w:rPr>
        <w:t>or large households (&gt;6 persons). This may be attributed to the beneficial effects of day-to-day support from multiple caregivers in medium</w:t>
      </w:r>
      <w:r w:rsidR="00214477">
        <w:rPr>
          <w:rFonts w:ascii="Times New Roman" w:eastAsia="Times New Roman" w:hAnsi="Times New Roman" w:cs="Times New Roman"/>
          <w:sz w:val="24"/>
          <w:szCs w:val="24"/>
        </w:rPr>
        <w:t>-sized</w:t>
      </w:r>
      <w:r>
        <w:rPr>
          <w:rFonts w:ascii="Times New Roman" w:eastAsia="Times New Roman" w:hAnsi="Times New Roman" w:cs="Times New Roman"/>
          <w:sz w:val="24"/>
          <w:szCs w:val="24"/>
        </w:rPr>
        <w:t xml:space="preserve"> households, including symptom monitoring, emotional support, and stress/anxiety reduction. Contrary, large hou</w:t>
      </w:r>
      <w:r>
        <w:rPr>
          <w:rFonts w:ascii="Times New Roman" w:eastAsia="Times New Roman" w:hAnsi="Times New Roman" w:cs="Times New Roman"/>
          <w:sz w:val="24"/>
          <w:szCs w:val="24"/>
        </w:rPr>
        <w:t xml:space="preserve">seholds may experience resource constraints and increased stress, potentially negatively impacting patients’ quality of life and disease management. A large study exploring multimorbidity and unplanned hospitalization among older adults in Wales, observed </w:t>
      </w:r>
      <w:r>
        <w:rPr>
          <w:rFonts w:ascii="Times New Roman" w:eastAsia="Times New Roman" w:hAnsi="Times New Roman" w:cs="Times New Roman"/>
          <w:sz w:val="24"/>
          <w:szCs w:val="24"/>
        </w:rPr>
        <w:t xml:space="preserve">that individuals living with multimorbidity in household sizes of 3 or persons had the least hazard ratio of unplanned hospitalization when the co-residents did not have any multimorbidity while those living alone had the highest hazard ratio of unplanned </w:t>
      </w:r>
      <w:r>
        <w:rPr>
          <w:rFonts w:ascii="Times New Roman" w:eastAsia="Times New Roman" w:hAnsi="Times New Roman" w:cs="Times New Roman"/>
          <w:sz w:val="24"/>
          <w:szCs w:val="24"/>
        </w:rPr>
        <w:t>hospitalization and early transition to care home [5</w:t>
      </w:r>
      <w:r w:rsidR="00E4018D">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095B3E56" w14:textId="77777777" w:rsidR="00724AB5" w:rsidRDefault="007D385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has several strengths and limitations. One key strength is the inclusion of patients who had not received hydroxyurea for the past 12 months preceding enrollment, which eliminate a potential treatment factor that may bias disease severity outcom</w:t>
      </w:r>
      <w:r>
        <w:rPr>
          <w:rFonts w:ascii="Times New Roman" w:eastAsia="Times New Roman" w:hAnsi="Times New Roman" w:cs="Times New Roman"/>
          <w:sz w:val="24"/>
          <w:szCs w:val="24"/>
        </w:rPr>
        <w:t>e. Furthermore, clustering patients based on multiple clinical outcome characteristics provided a more comprehensive understanding of disease severity in the study population, rather than relying on a single outcome measure. However, several limitations sh</w:t>
      </w:r>
      <w:r>
        <w:rPr>
          <w:rFonts w:ascii="Times New Roman" w:eastAsia="Times New Roman" w:hAnsi="Times New Roman" w:cs="Times New Roman"/>
          <w:sz w:val="24"/>
          <w:szCs w:val="24"/>
        </w:rPr>
        <w:t>ould be acknowledged. The small sample size and relatively short study duration may have limited our ability to fully capture the impact of environmental factors on disease severity in the Centre region of Cameroon. Confounding intra-individual disease-mod</w:t>
      </w:r>
      <w:r>
        <w:rPr>
          <w:rFonts w:ascii="Times New Roman" w:eastAsia="Times New Roman" w:hAnsi="Times New Roman" w:cs="Times New Roman"/>
          <w:sz w:val="24"/>
          <w:szCs w:val="24"/>
        </w:rPr>
        <w:t>ifying molecular and endogenous factors that may influence disease severity were not considered. Our reliance on self-reported health information from patients and caregivers may have introduced retrospective recall bias. Finally, challenges in verifying a</w:t>
      </w:r>
      <w:r>
        <w:rPr>
          <w:rFonts w:ascii="Times New Roman" w:eastAsia="Times New Roman" w:hAnsi="Times New Roman" w:cs="Times New Roman"/>
          <w:sz w:val="24"/>
          <w:szCs w:val="24"/>
        </w:rPr>
        <w:t xml:space="preserve">nd retrieving complete patient information, as well as the absence of accessible local quantitative environmental data, further limited our ability to make inferential findings. Despite these limitations, this study is the first to explore the association </w:t>
      </w:r>
      <w:r>
        <w:rPr>
          <w:rFonts w:ascii="Times New Roman" w:eastAsia="Times New Roman" w:hAnsi="Times New Roman" w:cs="Times New Roman"/>
          <w:sz w:val="24"/>
          <w:szCs w:val="24"/>
        </w:rPr>
        <w:t>between environmental influences, lifestyle challenges, socioeconomic factors, and cluster classification of SCD patients based on select clinical outcome in Cameroon. As such, it provides a foundation for hypothesis generation, future research and develop</w:t>
      </w:r>
      <w:r>
        <w:rPr>
          <w:rFonts w:ascii="Times New Roman" w:eastAsia="Times New Roman" w:hAnsi="Times New Roman" w:cs="Times New Roman"/>
          <w:sz w:val="24"/>
          <w:szCs w:val="24"/>
        </w:rPr>
        <w:t xml:space="preserve">ment of targeted interventions to improve the outcome of patients suffering from SCD. </w:t>
      </w:r>
    </w:p>
    <w:p w14:paraId="0C732DE1" w14:textId="77777777" w:rsidR="00724AB5" w:rsidRDefault="007D38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39B3D2E7"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much remains to be understand about the influence of lifestyle, seasonal variations, meteorological patterns, pollution, and socioeconomic conditions on</w:t>
      </w:r>
      <w:r>
        <w:rPr>
          <w:rFonts w:ascii="Times New Roman" w:eastAsia="Times New Roman" w:hAnsi="Times New Roman" w:cs="Times New Roman"/>
          <w:sz w:val="24"/>
          <w:szCs w:val="24"/>
        </w:rPr>
        <w:t xml:space="preserve"> the severity of SCD, this exploratory study provides important new insights. For the first time, we report that many SCD patients in the Centre region of Cameroon experience elevated levels of stress and anxiety, which significantly impact daily functioni</w:t>
      </w:r>
      <w:r>
        <w:rPr>
          <w:rFonts w:ascii="Times New Roman" w:eastAsia="Times New Roman" w:hAnsi="Times New Roman" w:cs="Times New Roman"/>
          <w:sz w:val="24"/>
          <w:szCs w:val="24"/>
        </w:rPr>
        <w:t>ng and are closely related to VOC, particularly during the rainy season and colder weather. We also identified two severity clusters among patients, characterized by differences in select clinical features as well as significant variation in lifestyle habi</w:t>
      </w:r>
      <w:r>
        <w:rPr>
          <w:rFonts w:ascii="Times New Roman" w:eastAsia="Times New Roman" w:hAnsi="Times New Roman" w:cs="Times New Roman"/>
          <w:sz w:val="24"/>
          <w:szCs w:val="24"/>
        </w:rPr>
        <w:t>ts (stress, anxiety, frequency of medical checkups, physical activity), environmental exposures (high winds, humidity, dust, smoke fumes), and socioeconomic factors such as household size. The study lays a foundation for future investigations involving a l</w:t>
      </w:r>
      <w:r>
        <w:rPr>
          <w:rFonts w:ascii="Times New Roman" w:eastAsia="Times New Roman" w:hAnsi="Times New Roman" w:cs="Times New Roman"/>
          <w:sz w:val="24"/>
          <w:szCs w:val="24"/>
        </w:rPr>
        <w:t>arger patient population across Cameroon, with a view to exploring the complex interplay between exogenous and endogenous factors of disease severity. These study underscores the continuous need for patient and caregiver education focused on managing stres</w:t>
      </w:r>
      <w:r>
        <w:rPr>
          <w:rFonts w:ascii="Times New Roman" w:eastAsia="Times New Roman" w:hAnsi="Times New Roman" w:cs="Times New Roman"/>
          <w:sz w:val="24"/>
          <w:szCs w:val="24"/>
        </w:rPr>
        <w:t xml:space="preserve">s and anxiety, optimizing lifestyle choices and understanding the health implications of pollution and meteorological changes. Such interventions could help reduce the burden on healthcare while improving patients and their family’s mental well-being.    </w:t>
      </w:r>
    </w:p>
    <w:p w14:paraId="42AEAA4E" w14:textId="77777777" w:rsidR="00724AB5" w:rsidRDefault="007D38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abbreviations</w:t>
      </w:r>
    </w:p>
    <w:p w14:paraId="41C849A1"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KAMILA</w:t>
      </w:r>
      <w:r>
        <w:rPr>
          <w:rFonts w:ascii="Times New Roman" w:eastAsia="Times New Roman" w:hAnsi="Times New Roman" w:cs="Times New Roman"/>
          <w:sz w:val="24"/>
          <w:szCs w:val="24"/>
        </w:rPr>
        <w:tab/>
        <w:t xml:space="preserve">Kay-Means for Mixed Large Data </w:t>
      </w:r>
    </w:p>
    <w:p w14:paraId="3BBD706B"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Partitioning Around Medoids </w:t>
      </w:r>
    </w:p>
    <w:p w14:paraId="6D8E84EC"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Patient-Held Health </w:t>
      </w:r>
    </w:p>
    <w:p w14:paraId="0F8E3997"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PM2.5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Particulate Matter-2.5 </w:t>
      </w:r>
    </w:p>
    <w:p w14:paraId="5E44000A"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PM10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Particulate Matter-10 </w:t>
      </w:r>
    </w:p>
    <w:p w14:paraId="71C26396"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PMR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Patient Medical Records </w:t>
      </w:r>
    </w:p>
    <w:p w14:paraId="4973572B"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Patient-Reported Outcomes Measurement Information System </w:t>
      </w:r>
    </w:p>
    <w:p w14:paraId="68E3F931"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Perceived Stress Scale </w:t>
      </w:r>
    </w:p>
    <w:p w14:paraId="0CDBAE36"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Sickle Cell Anemia </w:t>
      </w:r>
    </w:p>
    <w:p w14:paraId="62B70630"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Sickle Cell Disease </w:t>
      </w:r>
    </w:p>
    <w:p w14:paraId="22753E99"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Vaso-Occlusion Crisis </w:t>
      </w:r>
    </w:p>
    <w:p w14:paraId="06EF4149"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XAF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Central African CFA Franc</w:t>
      </w:r>
    </w:p>
    <w:p w14:paraId="23A84EDC" w14:textId="77777777" w:rsidR="00724AB5" w:rsidRDefault="007D38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DECLARATIONS</w:t>
      </w:r>
    </w:p>
    <w:p w14:paraId="0AE61063" w14:textId="77777777" w:rsidR="00724AB5" w:rsidRDefault="007D38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Ethical approval and consent to participants</w:t>
      </w:r>
    </w:p>
    <w:p w14:paraId="370F5DDD" w14:textId="77777777" w:rsidR="00724AB5" w:rsidRDefault="007D38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rPr>
        <w:t>he study was approved by the ethical committee of each study center. Yaoundé Central Hospital, ref: 2023/463/AR/MINSANTE/SG/DHCY/UAF; Cite Vert District Hospital, ref: 024/L/MINSANTE/DRC/DSCV/HDCV; Gyneco-Obstetric and Pediatric Hospital Yaoundé, ref: 755/</w:t>
      </w:r>
      <w:r>
        <w:rPr>
          <w:rFonts w:ascii="Times New Roman" w:eastAsia="Times New Roman" w:hAnsi="Times New Roman" w:cs="Times New Roman"/>
          <w:sz w:val="24"/>
          <w:szCs w:val="24"/>
        </w:rPr>
        <w:t xml:space="preserve">CIERSH/DM/ATTD/2024; and </w:t>
      </w:r>
      <w:r>
        <w:rPr>
          <w:rFonts w:ascii="Times New Roman" w:eastAsia="Times New Roman" w:hAnsi="Times New Roman" w:cs="Times New Roman"/>
          <w:i/>
          <w:sz w:val="24"/>
          <w:szCs w:val="24"/>
        </w:rPr>
        <w:t xml:space="preserve">Centre D’animation Sociale et Sanitaire </w:t>
      </w:r>
      <w:r>
        <w:rPr>
          <w:rFonts w:ascii="Times New Roman" w:eastAsia="Times New Roman" w:hAnsi="Times New Roman" w:cs="Times New Roman"/>
          <w:sz w:val="24"/>
          <w:szCs w:val="24"/>
        </w:rPr>
        <w:t>Yaoundé, ref: OECX/07/24/080/CASS/D/CE/tge. Written informed consent was obtained from all patients or parents in the case of children, with assent obtained from children were applicable.</w:t>
      </w:r>
      <w:r>
        <w:rPr>
          <w:rFonts w:ascii="Times New Roman" w:eastAsia="Times New Roman" w:hAnsi="Times New Roman" w:cs="Times New Roman"/>
          <w:sz w:val="24"/>
          <w:szCs w:val="24"/>
        </w:rPr>
        <w:br/>
      </w:r>
    </w:p>
    <w:p w14:paraId="6390AE17" w14:textId="77777777" w:rsidR="00724AB5" w:rsidRDefault="00724AB5">
      <w:pPr>
        <w:spacing w:after="0" w:line="240" w:lineRule="auto"/>
        <w:jc w:val="both"/>
        <w:rPr>
          <w:rFonts w:ascii="Times New Roman" w:eastAsia="Times New Roman" w:hAnsi="Times New Roman" w:cs="Times New Roman"/>
          <w:sz w:val="24"/>
          <w:szCs w:val="24"/>
        </w:rPr>
      </w:pPr>
    </w:p>
    <w:p w14:paraId="40739B25" w14:textId="77777777" w:rsidR="00724AB5" w:rsidRPr="005D10E9" w:rsidRDefault="007D385F">
      <w:pPr>
        <w:rPr>
          <w:rFonts w:ascii="Times New Roman" w:hAnsi="Times New Roman" w:cs="Times New Roman"/>
          <w:b/>
          <w:bCs/>
          <w:sz w:val="24"/>
          <w:szCs w:val="24"/>
        </w:rPr>
      </w:pPr>
      <w:bookmarkStart w:id="25" w:name="_q1a5fjc3gytt" w:colFirst="0" w:colLast="0"/>
      <w:bookmarkEnd w:id="25"/>
      <w:r w:rsidRPr="005D10E9">
        <w:rPr>
          <w:rFonts w:ascii="Times New Roman" w:hAnsi="Times New Roman" w:cs="Times New Roman"/>
          <w:b/>
          <w:bCs/>
          <w:sz w:val="24"/>
          <w:szCs w:val="24"/>
        </w:rPr>
        <w:t>D</w:t>
      </w:r>
      <w:r w:rsidRPr="005D10E9">
        <w:rPr>
          <w:rFonts w:ascii="Times New Roman" w:hAnsi="Times New Roman" w:cs="Times New Roman"/>
          <w:b/>
          <w:bCs/>
          <w:sz w:val="24"/>
          <w:szCs w:val="24"/>
        </w:rPr>
        <w:t>isclaimer (Artificial intelligence)</w:t>
      </w:r>
    </w:p>
    <w:p w14:paraId="40619167" w14:textId="3EFEF42C" w:rsidR="00724AB5" w:rsidRPr="003641DF" w:rsidRDefault="007D385F" w:rsidP="003641DF">
      <w:pPr>
        <w:rPr>
          <w:rFonts w:ascii="Times New Roman" w:hAnsi="Times New Roman" w:cs="Times New Roman"/>
          <w:sz w:val="24"/>
          <w:szCs w:val="24"/>
        </w:rPr>
      </w:pPr>
      <w:r w:rsidRPr="00211D72">
        <w:rPr>
          <w:rFonts w:ascii="Times New Roman" w:hAnsi="Times New Roman" w:cs="Times New Roman"/>
          <w:sz w:val="24"/>
          <w:szCs w:val="24"/>
        </w:rPr>
        <w:t>Author(s) hereby declare that NO generative AI technologies such as Large Language Models (ChatGPT, COPILOT, etc.) and text-to-image generators have been used during the writing or editing of this manuscript.</w:t>
      </w:r>
      <w:bookmarkStart w:id="26" w:name="_jbnz8liziebu" w:colFirst="0" w:colLast="0"/>
      <w:bookmarkEnd w:id="26"/>
    </w:p>
    <w:p w14:paraId="69B02119" w14:textId="7D821418" w:rsidR="00724AB5" w:rsidRDefault="007D385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13C9FA58"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Tebbi CK. Sickle Cell Disease, a Review. Hemato. 2022 May 30;3(2):341–66. </w:t>
      </w:r>
    </w:p>
    <w:p w14:paraId="4695B4EB"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Thomson AM, McHugh TA, Oron AP, Teply C, Lonberg N, Vilchis Tella V, et al. Global, regional, and national prevalence and mortality burden of sickle cell disease, 2000–2021: a systematic analysis from the Global Burden of Disease Study 2021. The Lancet Haematology. 2023 Aug;10(8):e585–99. </w:t>
      </w:r>
    </w:p>
    <w:p w14:paraId="784A88FD"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lang w:val="fr-FR"/>
        </w:rPr>
        <w:t xml:space="preserve">De Franceschi L, Castiglioni C, Condorelli C, Valsecchi D, Premoli E, Fiocchi C, et al. </w:t>
      </w:r>
      <w:r w:rsidRPr="00E212E8">
        <w:rPr>
          <w:rFonts w:ascii="Times New Roman" w:hAnsi="Times New Roman" w:cs="Times New Roman"/>
          <w:sz w:val="20"/>
          <w:szCs w:val="20"/>
        </w:rPr>
        <w:t xml:space="preserve">Real-World Evidence on Disease Burden and Economic Impact of Sickle Cell Disease in Italy. JCM. 2022 Dec 23;12(1):117. </w:t>
      </w:r>
    </w:p>
    <w:p w14:paraId="5E764825"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lang w:val="da-DK"/>
        </w:rPr>
        <w:t xml:space="preserve">Kato GJ, Piel FB, Reid CD, Gaston MH, Ohene-Frempong K, Krishnamurti L, et al. </w:t>
      </w:r>
      <w:r w:rsidRPr="00E212E8">
        <w:rPr>
          <w:rFonts w:ascii="Times New Roman" w:hAnsi="Times New Roman" w:cs="Times New Roman"/>
          <w:sz w:val="20"/>
          <w:szCs w:val="20"/>
        </w:rPr>
        <w:t xml:space="preserve">Sickle cell disease. Nat Rev Dis Primers. 2018 Mar 15;4(1):18010. </w:t>
      </w:r>
    </w:p>
    <w:p w14:paraId="7ABAA58E"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Andong AM, Ngouadjeu EDT, Bekolo CE, Verla VS, Nebongo D, Mboue-Djieka Y, et al. Chronic complications and quality of life of patients living with sickle cell disease and receiving care in three hospitals in Cameroon: a cross-sectional study. BMC Hematol. 2017 Dec;17(1):7. </w:t>
      </w:r>
    </w:p>
    <w:p w14:paraId="656E2AED"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lang w:val="da-DK"/>
        </w:rPr>
        <w:t xml:space="preserve">Sundd P, Gladwin MT, Novelli EM. </w:t>
      </w:r>
      <w:r w:rsidRPr="00E212E8">
        <w:rPr>
          <w:rFonts w:ascii="Times New Roman" w:hAnsi="Times New Roman" w:cs="Times New Roman"/>
          <w:sz w:val="20"/>
          <w:szCs w:val="20"/>
        </w:rPr>
        <w:t xml:space="preserve">Pathophysiology of Sickle Cell Disease. Annu Rev Pathol Mech Dis. 2019 Jan 24;14(1):263–92. </w:t>
      </w:r>
    </w:p>
    <w:p w14:paraId="4E71A721"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lang w:val="fr-FR"/>
        </w:rPr>
        <w:t xml:space="preserve">Piel FB, Tewari S, Brousse V, Analitis A, Font A, Menzel S, et al. </w:t>
      </w:r>
      <w:r w:rsidRPr="00E212E8">
        <w:rPr>
          <w:rFonts w:ascii="Times New Roman" w:hAnsi="Times New Roman" w:cs="Times New Roman"/>
          <w:sz w:val="20"/>
          <w:szCs w:val="20"/>
        </w:rPr>
        <w:t xml:space="preserve">Associations between environmental factors and hospital admissions for sickle cell disease. Haematologica. 2017 Apr;102(4):666–75. </w:t>
      </w:r>
    </w:p>
    <w:p w14:paraId="79257F71"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Kayle M, Docherty S, Tanabe P, Sloane R, Maslow G, Pan W, et al. Trajectories of Sickle Cell Disease Severity during Transition to Adult Care. Blood. 2018 Nov 29;132(Supplement 1):318–318. </w:t>
      </w:r>
    </w:p>
    <w:p w14:paraId="2E9705D1"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Osarogiagbon RU, Haider SN, Tang J. Effect of Sickle Cell Disease Type, Age and Gender On the Prevalence of Chronic Organ Damage in Adults with Sickle Cell Disease. Blood. 2009 Nov 20;114(22):4607–4607. </w:t>
      </w:r>
    </w:p>
    <w:p w14:paraId="72C6EED3"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lang w:val="da-DK"/>
        </w:rPr>
        <w:t xml:space="preserve">Njoku F, Pugh N, Brambilla D, Kroner B, Shah N, Treadwell M, et al. </w:t>
      </w:r>
      <w:r w:rsidRPr="00E212E8">
        <w:rPr>
          <w:rFonts w:ascii="Times New Roman" w:hAnsi="Times New Roman" w:cs="Times New Roman"/>
          <w:sz w:val="20"/>
          <w:szCs w:val="20"/>
        </w:rPr>
        <w:t xml:space="preserve">Mortality in adults with sickle cell disease: Results from the sickle cell disease implementation consortium (SCDIC) registry. American J Hematol. 2024 May;99(5):900–9. </w:t>
      </w:r>
    </w:p>
    <w:p w14:paraId="54C514EE"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Kirkham JK, Estepp JH, Weiss MJ, Rashkin SR. Genetic Variation and Sickle Cell Disease Severity: A Systematic Review and Meta-Analysis. JAMA Netw Open. 2023 Oct 18;6(10):e2337484. </w:t>
      </w:r>
    </w:p>
    <w:p w14:paraId="27C0C71A"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lang w:val="fr-FR"/>
        </w:rPr>
      </w:pPr>
      <w:r w:rsidRPr="00E212E8">
        <w:rPr>
          <w:rFonts w:ascii="Times New Roman" w:hAnsi="Times New Roman" w:cs="Times New Roman"/>
          <w:sz w:val="20"/>
          <w:szCs w:val="20"/>
        </w:rPr>
        <w:t xml:space="preserve">Blumberg AH, Ebelt ST, Liang D, Morris CR, Sarnat JA. Ambient air pollution and sickle cell disease-related emergency department visits in Atlanta, GA. </w:t>
      </w:r>
      <w:r w:rsidRPr="00E212E8">
        <w:rPr>
          <w:rFonts w:ascii="Times New Roman" w:hAnsi="Times New Roman" w:cs="Times New Roman"/>
          <w:sz w:val="20"/>
          <w:szCs w:val="20"/>
          <w:lang w:val="fr-FR"/>
        </w:rPr>
        <w:t xml:space="preserve">Environ Res. 2020 May;184:109292. </w:t>
      </w:r>
    </w:p>
    <w:p w14:paraId="29A305B7"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B91BD2">
        <w:rPr>
          <w:rFonts w:ascii="Times New Roman" w:hAnsi="Times New Roman" w:cs="Times New Roman"/>
          <w:sz w:val="20"/>
          <w:szCs w:val="20"/>
          <w:lang w:val="en-US"/>
        </w:rPr>
        <w:t xml:space="preserve">Guerzoni ME, Marchesi S, Palazzi G, Lodi M, Pinelli M, Venturelli D, et al. </w:t>
      </w:r>
      <w:r w:rsidRPr="00E212E8">
        <w:rPr>
          <w:rFonts w:ascii="Times New Roman" w:hAnsi="Times New Roman" w:cs="Times New Roman"/>
          <w:sz w:val="20"/>
          <w:szCs w:val="20"/>
        </w:rPr>
        <w:t xml:space="preserve">Environmental Factors in Northern Italy and Sickle Cell Disease Acute Complications: A Multicentric Study. Children (Basel). 2022 Sep 27;9(10):1478. </w:t>
      </w:r>
    </w:p>
    <w:p w14:paraId="6E1F0C14"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lang w:val="da-DK"/>
        </w:rPr>
      </w:pPr>
      <w:r w:rsidRPr="00E212E8">
        <w:rPr>
          <w:rFonts w:ascii="Times New Roman" w:hAnsi="Times New Roman" w:cs="Times New Roman"/>
          <w:sz w:val="20"/>
          <w:szCs w:val="20"/>
          <w:lang w:val="fr-FR"/>
        </w:rPr>
        <w:t xml:space="preserve">Serdar CC, Cihan M, Yücel D, Serdar MA. </w:t>
      </w:r>
      <w:r w:rsidRPr="00E212E8">
        <w:rPr>
          <w:rFonts w:ascii="Times New Roman" w:hAnsi="Times New Roman" w:cs="Times New Roman"/>
          <w:sz w:val="20"/>
          <w:szCs w:val="20"/>
        </w:rPr>
        <w:t xml:space="preserve">Sample size, power and effect size revisited: simplified and practical approaches in pre-clinical, clinical and laboratory studies. </w:t>
      </w:r>
      <w:r w:rsidRPr="00E212E8">
        <w:rPr>
          <w:rFonts w:ascii="Times New Roman" w:hAnsi="Times New Roman" w:cs="Times New Roman"/>
          <w:sz w:val="20"/>
          <w:szCs w:val="20"/>
          <w:lang w:val="da-DK"/>
        </w:rPr>
        <w:t xml:space="preserve">Biochem med (Online). 2021 Feb 15;31(1):27–53. </w:t>
      </w:r>
    </w:p>
    <w:p w14:paraId="381F49DC"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lang w:val="da-DK"/>
        </w:rPr>
        <w:t xml:space="preserve">Vancampfort D, Koyanagi A, Ward PB, Veronese N, Carvalho AF, Solmi M, et al. </w:t>
      </w:r>
      <w:r w:rsidRPr="00E212E8">
        <w:rPr>
          <w:rFonts w:ascii="Times New Roman" w:hAnsi="Times New Roman" w:cs="Times New Roman"/>
          <w:sz w:val="20"/>
          <w:szCs w:val="20"/>
        </w:rPr>
        <w:t xml:space="preserve">Perceived Stress and Its Relationship With Chronic Medical Conditions and Multimorbidity Among 229,293 Community-Dwelling Adults in 44 Low- and Middle-Income Countries. American Journal of Epidemiology. 2017 Oct 15;186(8):979–89. </w:t>
      </w:r>
    </w:p>
    <w:p w14:paraId="23615AA9"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Pilkonis PA, Choi SW, Reise SP, Stover AM, Riley WT, Cella D, et al. Item Banks for Measuring Emotional Distress From the Patient-Reported Outcomes Measurement Information System (PROMIS®): Depression, Anxiety, and Anger. Assessment. 2011 Sep;18(3):263–83. </w:t>
      </w:r>
    </w:p>
    <w:p w14:paraId="68DFC1C9"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Schalet BD, Pilkonis PA, Yu L, Dodds N, Johnston KL, Yount S, et al. Clinical validity of PROMIS Depression, Anxiety, and Anger across diverse clinical samples. Journal of Clinical Epidemiology. 2016 May;73:119–27. </w:t>
      </w:r>
    </w:p>
    <w:p w14:paraId="6B1A254B"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PROMIS. Anxiety Scoring Manual. A brief guide to scoring the PROMIS Anxiety Instruments [Internet]. PROMIS; 2021 [cited 2025 May 12]. Available from: https://www.healthmeasures.net/images/PROMIS/manuals/Scoring_Manuals_/PROMIS_Anxiety_Scoring_Manual.pdf</w:t>
      </w:r>
    </w:p>
    <w:p w14:paraId="65158FF3"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World Health Organization. WHO Guidelines on Physical Activity and Sedentary Behaviour. 1st ed. Geneva: World Health Organization; 2020. 1 p. </w:t>
      </w:r>
    </w:p>
    <w:p w14:paraId="07405817"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Mittal H, Roberts L, Fuller GW, O’Driscoll S, Dick MC, Height SE, et al. The effects of air quality on haematological and clinical parameters in children with sickle cell anaemia. Ann Hematol. 2009 Jun;88(6):529–33. </w:t>
      </w:r>
    </w:p>
    <w:p w14:paraId="4A8012AB"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Lai HK, Kendall M, Ferrier H, Lindup I, Alm S, Hänninen O, et al. Personal exposures and microenvironment concentrations of PM2.5, VOC, NO2 and CO in Oxford, UK. Atmospheric Environment. 2004 Dec;38(37):6399–410. </w:t>
      </w:r>
    </w:p>
    <w:p w14:paraId="2E58F952"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lang w:val="da-DK"/>
        </w:rPr>
        <w:t xml:space="preserve">Sekhar C, Akimoto M, Fan X, Bivolarova M, Liao C, Lan L, et al. </w:t>
      </w:r>
      <w:r w:rsidRPr="00E212E8">
        <w:rPr>
          <w:rFonts w:ascii="Times New Roman" w:hAnsi="Times New Roman" w:cs="Times New Roman"/>
          <w:sz w:val="20"/>
          <w:szCs w:val="20"/>
        </w:rPr>
        <w:t xml:space="preserve">Bedroom ventilation: Review of existing evidence and current standards. Building and Environment. 2020 Oct;184:107229. </w:t>
      </w:r>
    </w:p>
    <w:p w14:paraId="26619868"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World Bank Group. Official exchange rate (LCU per US$, period dollar). International Monetary Fund, International Financial Statistics. [Internet]. 2025 [cited 2025 May 9]. Available from: https://data.worldbank.org/indicator/PA.NUS.FCRF</w:t>
      </w:r>
    </w:p>
    <w:p w14:paraId="09208A8D"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National Institute of Statistics. Fifth Cameroon household (ECAM5). Situation of household living conditions in 2021-2022 policy guidance note. [Internet]. Yaounde: National Institute of Statistics; 2024 Jan [cited 2025 Mar 20]. Report No.: 5. Available from: https://ins-cameroun.cm/stattistique/english-fifth-cameroon-household-survey-ecam5situation-of-household-living.conditions-in-2021-2022polycyguidance-noterue/</w:t>
      </w:r>
    </w:p>
    <w:p w14:paraId="4070029D"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Ortiz FO, Aldrich TK, Nagel RL, Benjamin LJ. Accuracy of pulse oximetry in sickle cell disease. Am J Respir Crit Care Med. 1999 Feb;159(2):447–51. </w:t>
      </w:r>
    </w:p>
    <w:p w14:paraId="24210E23"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Shah N, Beenhouwer D, Broder MS, Bronte-Hall L, De Castro LM, Gibbs SN, et al. Development of a Severity Classification System for Sickle Cell Disease. CEOR. 2020 Oct;Volume 12:625–33. </w:t>
      </w:r>
    </w:p>
    <w:p w14:paraId="23282B09"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Rana K, Chimoriya R. A Guide to a Mixed-Methods Approach to Healthcare Research. Encyclopedia. 2025 Apr 11;5(2):51. </w:t>
      </w:r>
    </w:p>
    <w:p w14:paraId="5707B556"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R Core Team. R: A Language and Environment for Statistical Computing. [Internet]. Vienna, Austria: R Foundation for Statistical Computing; 2023. Available from: https://www.R-project.org</w:t>
      </w:r>
    </w:p>
    <w:p w14:paraId="5DC47F81"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Fantong W Y, Fouepe A T, Issa, Djomou S L, B, Banseka H S, Anazawa K, et al. Temporal pollution by nitrate (NO3) and discharge of springs in shallow crystalline acquifers: Case of Akok Ndoue catchmen Yaounde (Cameroon). AJEST. 2013;7(5):175–91. </w:t>
      </w:r>
    </w:p>
    <w:p w14:paraId="565C5AD8"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G. Ahmed S, B Kagu M, A. Abjah U. Seasonal Variations in Frequencies of Acute Vaso-Occlusive Morbidities among Sickle Cell Anaemia Patients in Northern Nigeria. J Blood Disord Transfus [Internet]. 2012 [cited 2024 Jan 12];03(02). Available from: https://www.omicsonline.org/seasonal-variations-in-frequencies-of-acute-vaso-occlusive-morbidities-among-sickle-cell-anaemia-patients-in-northern-nigeria-2155-9864.1000120.php?aid=5675</w:t>
      </w:r>
    </w:p>
    <w:p w14:paraId="3015E849"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lang w:val="fr-FR"/>
        </w:rPr>
        <w:t xml:space="preserve">Parriault MC, Cropet C, Fahrasmane A, Rogier S, Parisot M, Nacher M, et al. </w:t>
      </w:r>
      <w:r w:rsidRPr="00E212E8">
        <w:rPr>
          <w:rFonts w:ascii="Times New Roman" w:hAnsi="Times New Roman" w:cs="Times New Roman"/>
          <w:sz w:val="20"/>
          <w:szCs w:val="20"/>
        </w:rPr>
        <w:t xml:space="preserve">Air Drep—A Retrospective Study Evaluating the Influence of Weather Conditions and Viral Epidemics on Vaso-Occlusive Crises in Patients with Sickle Cell Disease Living in French Guiana. IJERPH. 2019 Jul 31;16(15):2724. </w:t>
      </w:r>
    </w:p>
    <w:p w14:paraId="537D0DDD"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lang w:val="fr-FR"/>
        </w:rPr>
        <w:t xml:space="preserve">Mekontso Dessap A, Contou D, Dandine-Roulland C, Hemery F, Habibi A, Charles-Nelson A, et al. </w:t>
      </w:r>
      <w:r w:rsidRPr="00E212E8">
        <w:rPr>
          <w:rFonts w:ascii="Times New Roman" w:hAnsi="Times New Roman" w:cs="Times New Roman"/>
          <w:sz w:val="20"/>
          <w:szCs w:val="20"/>
        </w:rPr>
        <w:t xml:space="preserve">Environmental Influences on Daily Emergency Admissions in Sickle-Cell Disease Patients. Medicine. 2014 Dec;93(29):e280. </w:t>
      </w:r>
    </w:p>
    <w:p w14:paraId="7F89ACDA"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Brandow AM, Stucky CL, Hillery CA, Hoffmann RG, Panepinto JA. Patients with sickle cell disease have increased sensitivity to cold and heat. American J Hematol. 2013 Jan;88(1):37–43. </w:t>
      </w:r>
    </w:p>
    <w:p w14:paraId="5FB911AB"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Mohan J, Marshall JM, Reid HL, Thomas PW, Hambleton I, Serjeant GR. Peripheral vascular response to mild indirect cooling in patients with homozygous sickle cell (SS) disease and the frequency of painful crisis. Clin Sci (Lond). 1998 Feb;94(2):111–20. </w:t>
      </w:r>
    </w:p>
    <w:p w14:paraId="59E7AB4E"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Lu L, Li Z, Li H, Li X, Vekilov PG, Karniadakis GE. Quantitative prediction of erythrocyte sickling for the development of advanced sickle cell therapies. Sci Adv. 2019 Aug 2;5(8):eaax3905. </w:t>
      </w:r>
    </w:p>
    <w:p w14:paraId="27A3B58A"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MacLean JE, Atenafu E, Kirby-Allen M, MacLusky IB, Stephens D, Grasemann H, et al. Longitudinal Decline in Lung Volume in a Population of Children with Sickle Cell Disease. Am J Respir Crit Care Med. 2008 Nov 15;178(10):1055–9. </w:t>
      </w:r>
    </w:p>
    <w:p w14:paraId="4E783FAE"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Radu I, Farcas AO, Voidazan S, Radu CC, Brinzaniuc K. Is Lung Disease a Risk Factor for Sudden Cardiac Death? A Comparative Case–Control Histopathological Study. Diseases. 2025 Jan 6;13(1):8. </w:t>
      </w:r>
    </w:p>
    <w:p w14:paraId="762FDA2A"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Feuyit G, Nzali S, Lambi JN, Laminsi S. Air Quality and Human Health Risk Assessment in the Residential Areas at the Proximity of the Nkolfoulou Landfill in Yaoundé Metropolis, Cameroon. Journal of Chemistry. 2019 Jul 4;2019:1–9. </w:t>
      </w:r>
    </w:p>
    <w:p w14:paraId="24D162F0"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Barbosa SM de M, Farhat SCL, Martins LC, Pereira LAA, Saldiva PHN, Zanobetti A, et al. Air pollution and children’s health: sickle cell disease. Cad Saude Publica. 2015 Feb;31(2):265–75. </w:t>
      </w:r>
    </w:p>
    <w:p w14:paraId="0FCD5766"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Gil KM. Daily Stress and Mood and Their Association With Pain, Health-Care Use, and School Activity in Adolescents With Sickle Cell Disease. Journal of Pediatric Psychology. 2003 Jul 1;28(5):363–73. </w:t>
      </w:r>
    </w:p>
    <w:p w14:paraId="539E9F19"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Valrie C, Floyd A, Sisler I, Redding-Lallinger R, Fuh B. Depression and Anxiety as Moderators of the Pain-Social Functioning Relationship in Youth with Sickle Cell Disease. J Pain Res. 2020;13:729–36. </w:t>
      </w:r>
    </w:p>
    <w:p w14:paraId="074A6105"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Shah P, Khaleel M, Thuptimdang W, Sunwoo J, Veluswamy S, Chalacheva P, et al. Mental stress causes vasoconstriction in subjects with sickle cell disease and in normal controls. Haematologica. 2020 Jan;105(1):83–90. </w:t>
      </w:r>
    </w:p>
    <w:p w14:paraId="4B78B59D"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Landau DA, Steininger K, Landis E. Increased Outpatient Care Can Reduce Hospital Stays for Sickle Cell Patients. Blood. 2015 Dec 3;126(23):5578–5578. </w:t>
      </w:r>
    </w:p>
    <w:p w14:paraId="70DC15BC"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lang w:val="fr-FR"/>
        </w:rPr>
      </w:pPr>
      <w:r w:rsidRPr="00E212E8">
        <w:rPr>
          <w:rFonts w:ascii="Times New Roman" w:hAnsi="Times New Roman" w:cs="Times New Roman"/>
          <w:sz w:val="20"/>
          <w:szCs w:val="20"/>
        </w:rPr>
        <w:t xml:space="preserve">Amendah DD, Mukamah G, Komba A, Ndila C, Williams TN. Routine paediatric sickle cell disease outpatient care in a rural Kenyan hospital: utilization and cost. </w:t>
      </w:r>
      <w:r w:rsidRPr="00E212E8">
        <w:rPr>
          <w:rFonts w:ascii="Times New Roman" w:hAnsi="Times New Roman" w:cs="Times New Roman"/>
          <w:sz w:val="20"/>
          <w:szCs w:val="20"/>
          <w:lang w:val="fr-FR"/>
        </w:rPr>
        <w:t xml:space="preserve">PLOS ONE. 2013;8(4):e61130. </w:t>
      </w:r>
    </w:p>
    <w:p w14:paraId="463AB4FF"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lang w:val="fr-FR"/>
        </w:rPr>
        <w:t xml:space="preserve">Faes C, Balayssac‐Siransy E, Connes P, Hivert L, Danho C, Bogui P, et al. </w:t>
      </w:r>
      <w:r w:rsidRPr="00E212E8">
        <w:rPr>
          <w:rFonts w:ascii="Times New Roman" w:hAnsi="Times New Roman" w:cs="Times New Roman"/>
          <w:sz w:val="20"/>
          <w:szCs w:val="20"/>
        </w:rPr>
        <w:t xml:space="preserve">Moderate endurance exercise in patients with sickle cell anaemia: effects on oxidative stress and endothelial activation. Br J Haematol. 2014 Jan;164(1):124–30. </w:t>
      </w:r>
    </w:p>
    <w:p w14:paraId="553E8376"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lang w:val="fr-FR"/>
        </w:rPr>
      </w:pPr>
      <w:r w:rsidRPr="00E212E8">
        <w:rPr>
          <w:rFonts w:ascii="Times New Roman" w:hAnsi="Times New Roman" w:cs="Times New Roman"/>
          <w:sz w:val="20"/>
          <w:szCs w:val="20"/>
        </w:rPr>
        <w:t xml:space="preserve">Barbeau P, Woods KF, Ramsey LT, Litaker MS, Pollock DM, Pollock JS, et al. Exercise in Sickle Cell Anemia: Effect on Inflammatory and Vasoactive Mediators. </w:t>
      </w:r>
      <w:r w:rsidRPr="00E212E8">
        <w:rPr>
          <w:rFonts w:ascii="Times New Roman" w:hAnsi="Times New Roman" w:cs="Times New Roman"/>
          <w:sz w:val="20"/>
          <w:szCs w:val="20"/>
          <w:lang w:val="fr-FR"/>
        </w:rPr>
        <w:t xml:space="preserve">Endothelium. 2001 Jan;8(2):147–55. </w:t>
      </w:r>
    </w:p>
    <w:p w14:paraId="5A462420"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lang w:val="fr-FR"/>
        </w:rPr>
      </w:pPr>
      <w:r w:rsidRPr="00E212E8">
        <w:rPr>
          <w:rFonts w:ascii="Times New Roman" w:hAnsi="Times New Roman" w:cs="Times New Roman"/>
          <w:sz w:val="20"/>
          <w:szCs w:val="20"/>
          <w:lang w:val="fr-FR"/>
        </w:rPr>
        <w:t xml:space="preserve">Messonnier LA, Gellen B, Lacroix R, Peyrot S, Rupp T, Mira J, et al. Physiological Evaluation for Endurance Exercise Prescription in Sickle Cell Disease. Med Sci Sports Exerc. 2019 Sep;51(9):1795–801. </w:t>
      </w:r>
    </w:p>
    <w:p w14:paraId="4FE4CCCB"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lang w:val="fr-FR"/>
        </w:rPr>
        <w:t xml:space="preserve">Gellen B, Messonnier LA, Galactéros F, Audureau E, Merlet AN, Rupp T, et al. </w:t>
      </w:r>
      <w:r w:rsidRPr="00E212E8">
        <w:rPr>
          <w:rFonts w:ascii="Times New Roman" w:hAnsi="Times New Roman" w:cs="Times New Roman"/>
          <w:sz w:val="20"/>
          <w:szCs w:val="20"/>
        </w:rPr>
        <w:t xml:space="preserve">Moderate-intensity endurance-exercise training in patients with sickle-cell disease without severe chronic complications (EXDRE): an open-label randomised controlled trial. Lancet Haematol. 2018 Nov;5(11):e554–62. </w:t>
      </w:r>
    </w:p>
    <w:p w14:paraId="17917A8A"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Kamal S, Naghib MM, Al Zahrani J, Hassan H, Moawad K, Arrahman O. Influence of Nutrition on Disease Severity and Health-related Quality of Life in Adults with Sickle Cell Disease: A Prospective Study. Mediterr J Hematol Infect Dis. 2021;13(1):e2021007. </w:t>
      </w:r>
    </w:p>
    <w:p w14:paraId="4316BE19"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Martyres DJ, Vijenthira A, Barrowman N, Harris‐Janz S, Chretien C, Klaassen RJ. Nutrient Insufficiencies/Deficiencies in Children With Sickle Cell Disease and Its Association With Increased Disease Severity. Pediatric Blood &amp; Cancer. 2016 Jun;63(6):1060–4. </w:t>
      </w:r>
    </w:p>
    <w:p w14:paraId="5A87A73D"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Pereira Gomes IC, Costa Machado Teles JP, Sousa Coelho AC, Passos Cruz MC, Costa De Albuquerque L, Carvalho MA, et al. Lipid Profile, Nutritional Status and Severity Biomarkers in Adults With Sickle Cell Anemia. Clin Med�Insights�Blood�Disord. 2023 Jan;17:26348535231193889. </w:t>
      </w:r>
    </w:p>
    <w:p w14:paraId="2127A70E" w14:textId="77777777" w:rsidR="00B91BD2" w:rsidRPr="00E212E8"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 xml:space="preserve">Engle-Stone R, Williams T, Nankap M, Ndjebayi A, Gimou MM, Oyono Y, et al. Prevalence of Inherited Hemoglobin Disorders and Relationships with Anemia and Micronutrient Status among Children in Yaoundé and Douala, Cameroon. Nutrients. 2017 Jul 3;9(7):693. </w:t>
      </w:r>
    </w:p>
    <w:p w14:paraId="394F214B" w14:textId="048AC5B3" w:rsidR="00724AB5" w:rsidRPr="00B91BD2" w:rsidRDefault="00B91BD2" w:rsidP="00B91BD2">
      <w:pPr>
        <w:pStyle w:val="Bibliography"/>
        <w:numPr>
          <w:ilvl w:val="0"/>
          <w:numId w:val="1"/>
        </w:numPr>
        <w:spacing w:after="0"/>
        <w:ind w:left="540" w:hanging="540"/>
        <w:rPr>
          <w:rFonts w:ascii="Times New Roman" w:hAnsi="Times New Roman" w:cs="Times New Roman"/>
          <w:sz w:val="20"/>
          <w:szCs w:val="20"/>
        </w:rPr>
      </w:pPr>
      <w:r w:rsidRPr="00E212E8">
        <w:rPr>
          <w:rFonts w:ascii="Times New Roman" w:hAnsi="Times New Roman" w:cs="Times New Roman"/>
          <w:sz w:val="20"/>
          <w:szCs w:val="20"/>
        </w:rPr>
        <w:t>MacRae C, Mercer SW, Abubakar E, Lawson A, Lone N, Rawlings A, et al. Impact of household size and co-resident multimorbidity on unplanned hospitalisation and transition to care home. Nat Commun. 2025 Feb 17;16(1):1718.</w:t>
      </w:r>
      <w:r w:rsidRPr="00B91BD2">
        <w:rPr>
          <w:rFonts w:ascii="Times New Roman" w:eastAsia="Times New Roman" w:hAnsi="Times New Roman" w:cs="Times New Roman"/>
          <w:color w:val="000000"/>
          <w:sz w:val="20"/>
          <w:szCs w:val="20"/>
        </w:rPr>
        <w:t xml:space="preserve"> </w:t>
      </w:r>
    </w:p>
    <w:p w14:paraId="2BBD1C07" w14:textId="77777777" w:rsidR="00724AB5" w:rsidRDefault="00724AB5">
      <w:pPr>
        <w:spacing w:after="0" w:line="240" w:lineRule="auto"/>
        <w:rPr>
          <w:rFonts w:ascii="Times New Roman" w:eastAsia="Times New Roman" w:hAnsi="Times New Roman" w:cs="Times New Roman"/>
          <w:b/>
          <w:sz w:val="24"/>
          <w:szCs w:val="24"/>
        </w:rPr>
      </w:pPr>
    </w:p>
    <w:p w14:paraId="10E913F5" w14:textId="77777777" w:rsidR="00724AB5" w:rsidRDefault="00724AB5">
      <w:pPr>
        <w:spacing w:after="0" w:line="240" w:lineRule="auto"/>
        <w:rPr>
          <w:rFonts w:ascii="Times New Roman" w:eastAsia="Times New Roman" w:hAnsi="Times New Roman" w:cs="Times New Roman"/>
          <w:b/>
          <w:sz w:val="24"/>
          <w:szCs w:val="24"/>
        </w:rPr>
      </w:pPr>
    </w:p>
    <w:p w14:paraId="58AF688E" w14:textId="77777777" w:rsidR="00724AB5" w:rsidRDefault="007D385F">
      <w:pPr>
        <w:ind w:firstLine="72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Supplementary mater</w:t>
      </w:r>
      <w:r>
        <w:rPr>
          <w:rFonts w:ascii="Times New Roman" w:eastAsia="Times New Roman" w:hAnsi="Times New Roman" w:cs="Times New Roman"/>
          <w:sz w:val="32"/>
          <w:szCs w:val="32"/>
        </w:rPr>
        <w:t>ials</w:t>
      </w:r>
    </w:p>
    <w:p w14:paraId="5C4B0586" w14:textId="77777777" w:rsidR="00724AB5" w:rsidRDefault="00724AB5">
      <w:pPr>
        <w:jc w:val="center"/>
        <w:rPr>
          <w:rFonts w:ascii="Times New Roman" w:eastAsia="Times New Roman" w:hAnsi="Times New Roman" w:cs="Times New Roman"/>
          <w:sz w:val="32"/>
          <w:szCs w:val="32"/>
        </w:rPr>
      </w:pPr>
    </w:p>
    <w:p w14:paraId="451FBBC6" w14:textId="77777777" w:rsidR="00724AB5" w:rsidRDefault="007D385F">
      <w:pPr>
        <w:keepNext/>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Table S1. Perceived stress scale (PSS) score, perceived anxiety (PA) score across and stress triggers across age groups</w:t>
      </w:r>
    </w:p>
    <w:tbl>
      <w:tblPr>
        <w:tblStyle w:val="a3"/>
        <w:tblW w:w="8764" w:type="dxa"/>
        <w:tblInd w:w="-98" w:type="dxa"/>
        <w:tblLayout w:type="fixed"/>
        <w:tblLook w:val="0400" w:firstRow="0" w:lastRow="0" w:firstColumn="0" w:lastColumn="0" w:noHBand="0" w:noVBand="1"/>
      </w:tblPr>
      <w:tblGrid>
        <w:gridCol w:w="2479"/>
        <w:gridCol w:w="1219"/>
        <w:gridCol w:w="1348"/>
        <w:gridCol w:w="1262"/>
        <w:gridCol w:w="1440"/>
        <w:gridCol w:w="1016"/>
      </w:tblGrid>
      <w:tr w:rsidR="00724AB5" w14:paraId="4007E175" w14:textId="77777777">
        <w:trPr>
          <w:trHeight w:val="316"/>
        </w:trPr>
        <w:tc>
          <w:tcPr>
            <w:tcW w:w="2479" w:type="dxa"/>
            <w:tcBorders>
              <w:top w:val="single" w:sz="8" w:space="0" w:color="000000"/>
              <w:left w:val="nil"/>
              <w:bottom w:val="nil"/>
              <w:right w:val="nil"/>
            </w:tcBorders>
            <w:shd w:val="clear" w:color="auto" w:fill="auto"/>
            <w:vAlign w:val="center"/>
          </w:tcPr>
          <w:p w14:paraId="6D736974" w14:textId="77777777" w:rsidR="00724AB5" w:rsidRDefault="007D385F">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Variable</w:t>
            </w:r>
          </w:p>
        </w:tc>
        <w:tc>
          <w:tcPr>
            <w:tcW w:w="1219" w:type="dxa"/>
            <w:tcBorders>
              <w:top w:val="single" w:sz="8" w:space="0" w:color="000000"/>
              <w:left w:val="nil"/>
              <w:bottom w:val="nil"/>
              <w:right w:val="nil"/>
            </w:tcBorders>
            <w:shd w:val="clear" w:color="auto" w:fill="auto"/>
            <w:vAlign w:val="center"/>
          </w:tcPr>
          <w:p w14:paraId="7FA16EC3" w14:textId="77777777" w:rsidR="00724AB5" w:rsidRDefault="007D385F">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17 to 25 years old</w:t>
            </w:r>
          </w:p>
          <w:p w14:paraId="6F23372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(n = 74)</w:t>
            </w:r>
          </w:p>
        </w:tc>
        <w:tc>
          <w:tcPr>
            <w:tcW w:w="1348" w:type="dxa"/>
            <w:tcBorders>
              <w:top w:val="single" w:sz="8" w:space="0" w:color="000000"/>
              <w:left w:val="nil"/>
              <w:bottom w:val="nil"/>
              <w:right w:val="nil"/>
            </w:tcBorders>
            <w:shd w:val="clear" w:color="auto" w:fill="auto"/>
            <w:vAlign w:val="center"/>
          </w:tcPr>
          <w:p w14:paraId="3506FCC7" w14:textId="77777777" w:rsidR="00724AB5" w:rsidRDefault="007D385F">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26 to 35 </w:t>
            </w:r>
          </w:p>
          <w:p w14:paraId="681C27A5" w14:textId="77777777" w:rsidR="00724AB5" w:rsidRDefault="007D385F">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years old</w:t>
            </w:r>
          </w:p>
          <w:p w14:paraId="1B29DE7A"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(n = 23)</w:t>
            </w:r>
          </w:p>
        </w:tc>
        <w:tc>
          <w:tcPr>
            <w:tcW w:w="1262" w:type="dxa"/>
            <w:tcBorders>
              <w:top w:val="single" w:sz="8" w:space="0" w:color="000000"/>
              <w:left w:val="nil"/>
              <w:bottom w:val="nil"/>
              <w:right w:val="nil"/>
            </w:tcBorders>
            <w:shd w:val="clear" w:color="auto" w:fill="auto"/>
            <w:vAlign w:val="center"/>
          </w:tcPr>
          <w:p w14:paraId="3048B9A0" w14:textId="77777777" w:rsidR="00724AB5" w:rsidRDefault="007D385F">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Over 35 years old</w:t>
            </w:r>
          </w:p>
          <w:p w14:paraId="7105F7A7"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(n = 20)</w:t>
            </w:r>
          </w:p>
        </w:tc>
        <w:tc>
          <w:tcPr>
            <w:tcW w:w="1440" w:type="dxa"/>
            <w:tcBorders>
              <w:top w:val="single" w:sz="8" w:space="0" w:color="000000"/>
              <w:left w:val="nil"/>
              <w:bottom w:val="nil"/>
              <w:right w:val="nil"/>
            </w:tcBorders>
            <w:shd w:val="clear" w:color="auto" w:fill="auto"/>
            <w:vAlign w:val="center"/>
          </w:tcPr>
          <w:p w14:paraId="0CFABB4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Chi-square(</w:t>
            </w:r>
            <w:r>
              <w:rPr>
                <w:rFonts w:ascii="Times New Roman" w:eastAsia="Times New Roman" w:hAnsi="Times New Roman" w:cs="Times New Roman"/>
                <w:b/>
                <w:i/>
                <w:color w:val="000000"/>
                <w:sz w:val="18"/>
                <w:szCs w:val="18"/>
              </w:rPr>
              <w:t>df</w:t>
            </w:r>
            <w:r>
              <w:rPr>
                <w:rFonts w:ascii="Times New Roman" w:eastAsia="Times New Roman" w:hAnsi="Times New Roman" w:cs="Times New Roman"/>
                <w:b/>
                <w:color w:val="000000"/>
                <w:sz w:val="18"/>
                <w:szCs w:val="18"/>
              </w:rPr>
              <w:t>)</w:t>
            </w:r>
          </w:p>
        </w:tc>
        <w:tc>
          <w:tcPr>
            <w:tcW w:w="1016" w:type="dxa"/>
            <w:tcBorders>
              <w:top w:val="single" w:sz="8" w:space="0" w:color="000000"/>
              <w:left w:val="nil"/>
              <w:bottom w:val="nil"/>
              <w:right w:val="nil"/>
            </w:tcBorders>
            <w:shd w:val="clear" w:color="auto" w:fill="auto"/>
            <w:vAlign w:val="center"/>
          </w:tcPr>
          <w:p w14:paraId="09EF6525"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i/>
                <w:color w:val="000000"/>
                <w:sz w:val="18"/>
                <w:szCs w:val="18"/>
              </w:rPr>
              <w:t>p</w:t>
            </w:r>
            <w:r>
              <w:rPr>
                <w:rFonts w:ascii="Times New Roman" w:eastAsia="Times New Roman" w:hAnsi="Times New Roman" w:cs="Times New Roman"/>
                <w:b/>
                <w:color w:val="000000"/>
                <w:sz w:val="18"/>
                <w:szCs w:val="18"/>
              </w:rPr>
              <w:t xml:space="preserve"> Value</w:t>
            </w:r>
          </w:p>
        </w:tc>
      </w:tr>
      <w:tr w:rsidR="00724AB5" w14:paraId="129B52BB" w14:textId="77777777">
        <w:trPr>
          <w:trHeight w:val="316"/>
        </w:trPr>
        <w:tc>
          <w:tcPr>
            <w:tcW w:w="2479" w:type="dxa"/>
            <w:tcBorders>
              <w:top w:val="single" w:sz="8" w:space="0" w:color="000000"/>
              <w:left w:val="nil"/>
              <w:right w:val="nil"/>
            </w:tcBorders>
            <w:shd w:val="clear" w:color="auto" w:fill="auto"/>
            <w:vAlign w:val="center"/>
          </w:tcPr>
          <w:p w14:paraId="09611502"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PSS score; </w:t>
            </w:r>
            <w:r>
              <w:rPr>
                <w:rFonts w:ascii="Times New Roman" w:eastAsia="Times New Roman" w:hAnsi="Times New Roman" w:cs="Times New Roman"/>
                <w:b/>
                <w:color w:val="000000"/>
                <w:sz w:val="18"/>
                <w:szCs w:val="18"/>
              </w:rPr>
              <w:t>median (IQR)</w:t>
            </w:r>
          </w:p>
        </w:tc>
        <w:tc>
          <w:tcPr>
            <w:tcW w:w="1219" w:type="dxa"/>
            <w:tcBorders>
              <w:top w:val="single" w:sz="8" w:space="0" w:color="000000"/>
              <w:left w:val="nil"/>
              <w:right w:val="nil"/>
            </w:tcBorders>
            <w:shd w:val="clear" w:color="auto" w:fill="auto"/>
            <w:vAlign w:val="center"/>
          </w:tcPr>
          <w:p w14:paraId="6C6F967C"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50.3 (37.0)</w:t>
            </w:r>
          </w:p>
        </w:tc>
        <w:tc>
          <w:tcPr>
            <w:tcW w:w="1348" w:type="dxa"/>
            <w:tcBorders>
              <w:top w:val="single" w:sz="8" w:space="0" w:color="000000"/>
              <w:left w:val="nil"/>
              <w:right w:val="nil"/>
            </w:tcBorders>
            <w:shd w:val="clear" w:color="auto" w:fill="auto"/>
            <w:vAlign w:val="center"/>
          </w:tcPr>
          <w:p w14:paraId="0FED0C0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62.2 (30.7)</w:t>
            </w:r>
          </w:p>
        </w:tc>
        <w:tc>
          <w:tcPr>
            <w:tcW w:w="1262" w:type="dxa"/>
            <w:tcBorders>
              <w:top w:val="single" w:sz="8" w:space="0" w:color="000000"/>
              <w:left w:val="nil"/>
              <w:right w:val="nil"/>
            </w:tcBorders>
            <w:shd w:val="clear" w:color="auto" w:fill="auto"/>
            <w:vAlign w:val="center"/>
          </w:tcPr>
          <w:p w14:paraId="13F45C6A"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 (37.2)</w:t>
            </w:r>
          </w:p>
        </w:tc>
        <w:tc>
          <w:tcPr>
            <w:tcW w:w="1440" w:type="dxa"/>
            <w:tcBorders>
              <w:top w:val="single" w:sz="8" w:space="0" w:color="000000"/>
              <w:left w:val="nil"/>
              <w:right w:val="nil"/>
            </w:tcBorders>
            <w:vAlign w:val="center"/>
          </w:tcPr>
          <w:p w14:paraId="208A147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0.4(2) </w:t>
            </w:r>
            <w:r>
              <w:rPr>
                <w:rFonts w:ascii="Times New Roman" w:eastAsia="Times New Roman" w:hAnsi="Times New Roman" w:cs="Times New Roman"/>
                <w:b/>
                <w:color w:val="000000"/>
                <w:sz w:val="18"/>
                <w:szCs w:val="18"/>
                <w:vertAlign w:val="superscript"/>
              </w:rPr>
              <w:t>a</w:t>
            </w:r>
          </w:p>
        </w:tc>
        <w:tc>
          <w:tcPr>
            <w:tcW w:w="1016" w:type="dxa"/>
            <w:tcBorders>
              <w:top w:val="single" w:sz="8" w:space="0" w:color="000000"/>
              <w:left w:val="nil"/>
              <w:right w:val="nil"/>
            </w:tcBorders>
            <w:vAlign w:val="center"/>
          </w:tcPr>
          <w:p w14:paraId="6C40F24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.799</w:t>
            </w:r>
          </w:p>
        </w:tc>
      </w:tr>
      <w:tr w:rsidR="00724AB5" w14:paraId="5B233517" w14:textId="77777777">
        <w:trPr>
          <w:trHeight w:val="452"/>
        </w:trPr>
        <w:tc>
          <w:tcPr>
            <w:tcW w:w="2479" w:type="dxa"/>
            <w:tcBorders>
              <w:top w:val="nil"/>
              <w:left w:val="nil"/>
              <w:right w:val="nil"/>
            </w:tcBorders>
            <w:shd w:val="clear" w:color="auto" w:fill="auto"/>
            <w:vAlign w:val="center"/>
          </w:tcPr>
          <w:p w14:paraId="6BC1879A"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PA score; </w:t>
            </w:r>
            <w:r>
              <w:rPr>
                <w:rFonts w:ascii="Times New Roman" w:eastAsia="Times New Roman" w:hAnsi="Times New Roman" w:cs="Times New Roman"/>
                <w:b/>
                <w:color w:val="000000"/>
                <w:sz w:val="18"/>
                <w:szCs w:val="18"/>
              </w:rPr>
              <w:t>median (IQR)</w:t>
            </w:r>
          </w:p>
        </w:tc>
        <w:tc>
          <w:tcPr>
            <w:tcW w:w="1219" w:type="dxa"/>
            <w:tcBorders>
              <w:top w:val="nil"/>
              <w:left w:val="nil"/>
              <w:right w:val="nil"/>
            </w:tcBorders>
            <w:shd w:val="clear" w:color="auto" w:fill="auto"/>
            <w:vAlign w:val="center"/>
          </w:tcPr>
          <w:p w14:paraId="7A7C1D9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57.4 (10.4)</w:t>
            </w:r>
          </w:p>
        </w:tc>
        <w:tc>
          <w:tcPr>
            <w:tcW w:w="1348" w:type="dxa"/>
            <w:tcBorders>
              <w:top w:val="nil"/>
              <w:left w:val="nil"/>
              <w:right w:val="nil"/>
            </w:tcBorders>
            <w:shd w:val="clear" w:color="auto" w:fill="auto"/>
            <w:vAlign w:val="center"/>
          </w:tcPr>
          <w:p w14:paraId="06876959"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56.4 (12.0)</w:t>
            </w:r>
          </w:p>
        </w:tc>
        <w:tc>
          <w:tcPr>
            <w:tcW w:w="1262" w:type="dxa"/>
            <w:tcBorders>
              <w:top w:val="nil"/>
              <w:left w:val="nil"/>
              <w:right w:val="nil"/>
            </w:tcBorders>
            <w:shd w:val="clear" w:color="auto" w:fill="auto"/>
            <w:vAlign w:val="center"/>
          </w:tcPr>
          <w:p w14:paraId="13E11FD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58.4 (12.7)</w:t>
            </w:r>
          </w:p>
        </w:tc>
        <w:tc>
          <w:tcPr>
            <w:tcW w:w="1440" w:type="dxa"/>
            <w:tcBorders>
              <w:top w:val="nil"/>
              <w:left w:val="nil"/>
              <w:right w:val="nil"/>
            </w:tcBorders>
            <w:vAlign w:val="center"/>
          </w:tcPr>
          <w:p w14:paraId="3E8EA6B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0.3(2) </w:t>
            </w:r>
            <w:r>
              <w:rPr>
                <w:rFonts w:ascii="Times New Roman" w:eastAsia="Times New Roman" w:hAnsi="Times New Roman" w:cs="Times New Roman"/>
                <w:b/>
                <w:color w:val="000000"/>
                <w:sz w:val="18"/>
                <w:szCs w:val="18"/>
                <w:vertAlign w:val="superscript"/>
              </w:rPr>
              <w:t>a</w:t>
            </w:r>
          </w:p>
        </w:tc>
        <w:tc>
          <w:tcPr>
            <w:tcW w:w="1016" w:type="dxa"/>
            <w:tcBorders>
              <w:top w:val="nil"/>
              <w:left w:val="nil"/>
              <w:right w:val="nil"/>
            </w:tcBorders>
            <w:vAlign w:val="center"/>
          </w:tcPr>
          <w:p w14:paraId="019F664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.859</w:t>
            </w:r>
          </w:p>
        </w:tc>
      </w:tr>
      <w:tr w:rsidR="00724AB5" w14:paraId="364395C5" w14:textId="77777777">
        <w:trPr>
          <w:trHeight w:val="316"/>
        </w:trPr>
        <w:tc>
          <w:tcPr>
            <w:tcW w:w="2479" w:type="dxa"/>
            <w:tcBorders>
              <w:left w:val="nil"/>
              <w:bottom w:val="nil"/>
              <w:right w:val="nil"/>
            </w:tcBorders>
            <w:shd w:val="clear" w:color="auto" w:fill="auto"/>
            <w:vAlign w:val="center"/>
          </w:tcPr>
          <w:p w14:paraId="70B88CE5"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Triggers of stress; </w:t>
            </w:r>
            <w:r>
              <w:rPr>
                <w:rFonts w:ascii="Times New Roman" w:eastAsia="Times New Roman" w:hAnsi="Times New Roman" w:cs="Times New Roman"/>
                <w:b/>
                <w:color w:val="000000"/>
                <w:sz w:val="18"/>
                <w:szCs w:val="18"/>
              </w:rPr>
              <w:t>n (%)</w:t>
            </w:r>
          </w:p>
        </w:tc>
        <w:tc>
          <w:tcPr>
            <w:tcW w:w="1219" w:type="dxa"/>
            <w:tcBorders>
              <w:left w:val="nil"/>
              <w:bottom w:val="nil"/>
              <w:right w:val="nil"/>
            </w:tcBorders>
            <w:shd w:val="clear" w:color="auto" w:fill="auto"/>
            <w:vAlign w:val="center"/>
          </w:tcPr>
          <w:p w14:paraId="730214D0" w14:textId="77777777" w:rsidR="00724AB5" w:rsidRDefault="00724AB5">
            <w:pPr>
              <w:spacing w:after="0" w:line="240" w:lineRule="auto"/>
              <w:ind w:firstLine="360"/>
              <w:jc w:val="center"/>
              <w:rPr>
                <w:rFonts w:ascii="Times New Roman" w:eastAsia="Times New Roman" w:hAnsi="Times New Roman" w:cs="Times New Roman"/>
                <w:color w:val="000000"/>
                <w:sz w:val="18"/>
                <w:szCs w:val="18"/>
              </w:rPr>
            </w:pPr>
          </w:p>
        </w:tc>
        <w:tc>
          <w:tcPr>
            <w:tcW w:w="1348" w:type="dxa"/>
            <w:tcBorders>
              <w:left w:val="nil"/>
              <w:bottom w:val="nil"/>
              <w:right w:val="nil"/>
            </w:tcBorders>
            <w:shd w:val="clear" w:color="auto" w:fill="auto"/>
            <w:vAlign w:val="center"/>
          </w:tcPr>
          <w:p w14:paraId="31E577DC" w14:textId="77777777" w:rsidR="00724AB5" w:rsidRDefault="00724AB5">
            <w:pPr>
              <w:spacing w:after="0" w:line="240" w:lineRule="auto"/>
              <w:jc w:val="center"/>
              <w:rPr>
                <w:rFonts w:ascii="Times New Roman" w:eastAsia="Times New Roman" w:hAnsi="Times New Roman" w:cs="Times New Roman"/>
                <w:sz w:val="18"/>
                <w:szCs w:val="18"/>
              </w:rPr>
            </w:pPr>
          </w:p>
        </w:tc>
        <w:tc>
          <w:tcPr>
            <w:tcW w:w="1262" w:type="dxa"/>
            <w:tcBorders>
              <w:left w:val="nil"/>
              <w:bottom w:val="nil"/>
              <w:right w:val="nil"/>
            </w:tcBorders>
            <w:shd w:val="clear" w:color="auto" w:fill="auto"/>
            <w:vAlign w:val="center"/>
          </w:tcPr>
          <w:p w14:paraId="4B33F5FB" w14:textId="77777777" w:rsidR="00724AB5" w:rsidRDefault="00724AB5">
            <w:pPr>
              <w:spacing w:after="0" w:line="240" w:lineRule="auto"/>
              <w:jc w:val="center"/>
              <w:rPr>
                <w:rFonts w:ascii="Times New Roman" w:eastAsia="Times New Roman" w:hAnsi="Times New Roman" w:cs="Times New Roman"/>
                <w:sz w:val="18"/>
                <w:szCs w:val="18"/>
              </w:rPr>
            </w:pPr>
          </w:p>
        </w:tc>
        <w:tc>
          <w:tcPr>
            <w:tcW w:w="1440" w:type="dxa"/>
            <w:tcBorders>
              <w:left w:val="nil"/>
              <w:bottom w:val="nil"/>
              <w:right w:val="nil"/>
            </w:tcBorders>
            <w:vAlign w:val="center"/>
          </w:tcPr>
          <w:p w14:paraId="23708DD4" w14:textId="77777777" w:rsidR="00724AB5" w:rsidRDefault="00724AB5">
            <w:pPr>
              <w:spacing w:after="0" w:line="240" w:lineRule="auto"/>
              <w:jc w:val="center"/>
              <w:rPr>
                <w:rFonts w:ascii="Times New Roman" w:eastAsia="Times New Roman" w:hAnsi="Times New Roman" w:cs="Times New Roman"/>
                <w:b/>
                <w:sz w:val="18"/>
                <w:szCs w:val="18"/>
              </w:rPr>
            </w:pPr>
          </w:p>
        </w:tc>
        <w:tc>
          <w:tcPr>
            <w:tcW w:w="1016" w:type="dxa"/>
            <w:tcBorders>
              <w:left w:val="nil"/>
              <w:bottom w:val="nil"/>
              <w:right w:val="nil"/>
            </w:tcBorders>
            <w:vAlign w:val="center"/>
          </w:tcPr>
          <w:p w14:paraId="2FFDCA38" w14:textId="77777777" w:rsidR="00724AB5" w:rsidRDefault="00724AB5">
            <w:pPr>
              <w:spacing w:after="0" w:line="240" w:lineRule="auto"/>
              <w:jc w:val="center"/>
              <w:rPr>
                <w:rFonts w:ascii="Times New Roman" w:eastAsia="Times New Roman" w:hAnsi="Times New Roman" w:cs="Times New Roman"/>
                <w:b/>
                <w:sz w:val="18"/>
                <w:szCs w:val="18"/>
              </w:rPr>
            </w:pPr>
          </w:p>
        </w:tc>
      </w:tr>
      <w:tr w:rsidR="00724AB5" w14:paraId="0C343E28" w14:textId="77777777">
        <w:trPr>
          <w:trHeight w:val="316"/>
        </w:trPr>
        <w:tc>
          <w:tcPr>
            <w:tcW w:w="2479" w:type="dxa"/>
            <w:tcBorders>
              <w:top w:val="nil"/>
              <w:left w:val="nil"/>
              <w:bottom w:val="nil"/>
              <w:right w:val="nil"/>
            </w:tcBorders>
            <w:shd w:val="clear" w:color="auto" w:fill="auto"/>
            <w:vAlign w:val="center"/>
          </w:tcPr>
          <w:p w14:paraId="59D56EB9"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Anticipation of pain</w:t>
            </w:r>
          </w:p>
        </w:tc>
        <w:tc>
          <w:tcPr>
            <w:tcW w:w="1219" w:type="dxa"/>
            <w:tcBorders>
              <w:top w:val="nil"/>
              <w:left w:val="nil"/>
              <w:bottom w:val="nil"/>
              <w:right w:val="nil"/>
            </w:tcBorders>
            <w:shd w:val="clear" w:color="auto" w:fill="auto"/>
            <w:vAlign w:val="center"/>
          </w:tcPr>
          <w:p w14:paraId="6C0585F9"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348" w:type="dxa"/>
            <w:tcBorders>
              <w:top w:val="nil"/>
              <w:left w:val="nil"/>
              <w:bottom w:val="nil"/>
              <w:right w:val="nil"/>
            </w:tcBorders>
            <w:shd w:val="clear" w:color="auto" w:fill="auto"/>
            <w:vAlign w:val="center"/>
          </w:tcPr>
          <w:p w14:paraId="2AF18856"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2" w:type="dxa"/>
            <w:tcBorders>
              <w:top w:val="nil"/>
              <w:left w:val="nil"/>
              <w:bottom w:val="nil"/>
              <w:right w:val="nil"/>
            </w:tcBorders>
            <w:shd w:val="clear" w:color="auto" w:fill="auto"/>
            <w:vAlign w:val="center"/>
          </w:tcPr>
          <w:p w14:paraId="0F080DDB"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nil"/>
            </w:tcBorders>
            <w:vAlign w:val="center"/>
          </w:tcPr>
          <w:p w14:paraId="4308506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3.09(2)</w:t>
            </w:r>
          </w:p>
        </w:tc>
        <w:tc>
          <w:tcPr>
            <w:tcW w:w="1016" w:type="dxa"/>
            <w:tcBorders>
              <w:top w:val="nil"/>
              <w:left w:val="nil"/>
              <w:bottom w:val="nil"/>
              <w:right w:val="nil"/>
            </w:tcBorders>
            <w:vAlign w:val="center"/>
          </w:tcPr>
          <w:p w14:paraId="3100F14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.212</w:t>
            </w:r>
          </w:p>
        </w:tc>
      </w:tr>
      <w:tr w:rsidR="00724AB5" w14:paraId="5177A78C" w14:textId="77777777">
        <w:trPr>
          <w:trHeight w:val="144"/>
        </w:trPr>
        <w:tc>
          <w:tcPr>
            <w:tcW w:w="2479" w:type="dxa"/>
            <w:tcBorders>
              <w:top w:val="nil"/>
              <w:left w:val="nil"/>
              <w:bottom w:val="nil"/>
              <w:right w:val="nil"/>
            </w:tcBorders>
            <w:shd w:val="clear" w:color="auto" w:fill="auto"/>
            <w:vAlign w:val="center"/>
          </w:tcPr>
          <w:p w14:paraId="4B413B74" w14:textId="77777777" w:rsidR="00724AB5" w:rsidRDefault="007D385F">
            <w:pPr>
              <w:spacing w:after="0" w:line="240" w:lineRule="auto"/>
              <w:ind w:left="57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219" w:type="dxa"/>
            <w:tcBorders>
              <w:top w:val="nil"/>
              <w:left w:val="nil"/>
              <w:bottom w:val="nil"/>
              <w:right w:val="nil"/>
            </w:tcBorders>
            <w:shd w:val="clear" w:color="auto" w:fill="auto"/>
            <w:vAlign w:val="center"/>
          </w:tcPr>
          <w:p w14:paraId="2092B07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 (58)</w:t>
            </w:r>
          </w:p>
        </w:tc>
        <w:tc>
          <w:tcPr>
            <w:tcW w:w="1348" w:type="dxa"/>
            <w:tcBorders>
              <w:top w:val="nil"/>
              <w:left w:val="nil"/>
              <w:bottom w:val="nil"/>
              <w:right w:val="nil"/>
            </w:tcBorders>
            <w:shd w:val="clear" w:color="auto" w:fill="auto"/>
            <w:vAlign w:val="center"/>
          </w:tcPr>
          <w:p w14:paraId="3688076A"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(78)</w:t>
            </w:r>
          </w:p>
        </w:tc>
        <w:tc>
          <w:tcPr>
            <w:tcW w:w="1262" w:type="dxa"/>
            <w:tcBorders>
              <w:top w:val="nil"/>
              <w:left w:val="nil"/>
              <w:bottom w:val="nil"/>
              <w:right w:val="nil"/>
            </w:tcBorders>
            <w:shd w:val="clear" w:color="auto" w:fill="auto"/>
            <w:vAlign w:val="center"/>
          </w:tcPr>
          <w:p w14:paraId="1B914CF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 (60)</w:t>
            </w:r>
          </w:p>
        </w:tc>
        <w:tc>
          <w:tcPr>
            <w:tcW w:w="1440" w:type="dxa"/>
            <w:tcBorders>
              <w:top w:val="nil"/>
              <w:left w:val="nil"/>
              <w:bottom w:val="nil"/>
              <w:right w:val="nil"/>
            </w:tcBorders>
            <w:vAlign w:val="center"/>
          </w:tcPr>
          <w:p w14:paraId="3042894E"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039A4C8E"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1076F453" w14:textId="77777777">
        <w:trPr>
          <w:trHeight w:val="144"/>
        </w:trPr>
        <w:tc>
          <w:tcPr>
            <w:tcW w:w="2479" w:type="dxa"/>
            <w:tcBorders>
              <w:top w:val="nil"/>
              <w:left w:val="nil"/>
              <w:bottom w:val="nil"/>
              <w:right w:val="nil"/>
            </w:tcBorders>
            <w:shd w:val="clear" w:color="auto" w:fill="auto"/>
            <w:vAlign w:val="center"/>
          </w:tcPr>
          <w:p w14:paraId="76637608" w14:textId="77777777" w:rsidR="00724AB5" w:rsidRDefault="007D385F">
            <w:pPr>
              <w:spacing w:after="0" w:line="240" w:lineRule="auto"/>
              <w:ind w:left="57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219" w:type="dxa"/>
            <w:tcBorders>
              <w:top w:val="nil"/>
              <w:left w:val="nil"/>
              <w:bottom w:val="nil"/>
              <w:right w:val="nil"/>
            </w:tcBorders>
            <w:shd w:val="clear" w:color="auto" w:fill="auto"/>
            <w:vAlign w:val="center"/>
          </w:tcPr>
          <w:p w14:paraId="60B3F861"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 (42)</w:t>
            </w:r>
          </w:p>
        </w:tc>
        <w:tc>
          <w:tcPr>
            <w:tcW w:w="1348" w:type="dxa"/>
            <w:tcBorders>
              <w:top w:val="nil"/>
              <w:left w:val="nil"/>
              <w:bottom w:val="nil"/>
              <w:right w:val="nil"/>
            </w:tcBorders>
            <w:shd w:val="clear" w:color="auto" w:fill="auto"/>
            <w:vAlign w:val="center"/>
          </w:tcPr>
          <w:p w14:paraId="734C9B9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(22)</w:t>
            </w:r>
          </w:p>
        </w:tc>
        <w:tc>
          <w:tcPr>
            <w:tcW w:w="1262" w:type="dxa"/>
            <w:tcBorders>
              <w:top w:val="nil"/>
              <w:left w:val="nil"/>
              <w:bottom w:val="nil"/>
              <w:right w:val="nil"/>
            </w:tcBorders>
            <w:shd w:val="clear" w:color="auto" w:fill="auto"/>
            <w:vAlign w:val="center"/>
          </w:tcPr>
          <w:p w14:paraId="5CFA07C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(40)</w:t>
            </w:r>
          </w:p>
        </w:tc>
        <w:tc>
          <w:tcPr>
            <w:tcW w:w="1440" w:type="dxa"/>
            <w:tcBorders>
              <w:top w:val="nil"/>
              <w:left w:val="nil"/>
              <w:bottom w:val="nil"/>
              <w:right w:val="nil"/>
            </w:tcBorders>
            <w:vAlign w:val="center"/>
          </w:tcPr>
          <w:p w14:paraId="7F0A781F"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4FAF3AFE"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0EE7F8AD" w14:textId="77777777">
        <w:trPr>
          <w:trHeight w:val="316"/>
        </w:trPr>
        <w:tc>
          <w:tcPr>
            <w:tcW w:w="2479" w:type="dxa"/>
            <w:tcBorders>
              <w:top w:val="nil"/>
              <w:left w:val="nil"/>
              <w:bottom w:val="nil"/>
              <w:right w:val="nil"/>
            </w:tcBorders>
            <w:shd w:val="clear" w:color="auto" w:fill="auto"/>
            <w:vAlign w:val="center"/>
          </w:tcPr>
          <w:p w14:paraId="3E87C3A8"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Cold weather</w:t>
            </w:r>
          </w:p>
        </w:tc>
        <w:tc>
          <w:tcPr>
            <w:tcW w:w="1219" w:type="dxa"/>
            <w:tcBorders>
              <w:top w:val="nil"/>
              <w:left w:val="nil"/>
              <w:bottom w:val="nil"/>
              <w:right w:val="nil"/>
            </w:tcBorders>
            <w:shd w:val="clear" w:color="auto" w:fill="auto"/>
            <w:vAlign w:val="center"/>
          </w:tcPr>
          <w:p w14:paraId="7969E403"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348" w:type="dxa"/>
            <w:tcBorders>
              <w:top w:val="nil"/>
              <w:left w:val="nil"/>
              <w:bottom w:val="nil"/>
              <w:right w:val="nil"/>
            </w:tcBorders>
            <w:shd w:val="clear" w:color="auto" w:fill="auto"/>
            <w:vAlign w:val="center"/>
          </w:tcPr>
          <w:p w14:paraId="6E5D3B14"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2" w:type="dxa"/>
            <w:tcBorders>
              <w:top w:val="nil"/>
              <w:left w:val="nil"/>
              <w:bottom w:val="nil"/>
              <w:right w:val="nil"/>
            </w:tcBorders>
            <w:shd w:val="clear" w:color="auto" w:fill="auto"/>
            <w:vAlign w:val="center"/>
          </w:tcPr>
          <w:p w14:paraId="09B04F00"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nil"/>
            </w:tcBorders>
            <w:vAlign w:val="center"/>
          </w:tcPr>
          <w:p w14:paraId="4BD379A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0.30(2)</w:t>
            </w:r>
          </w:p>
        </w:tc>
        <w:tc>
          <w:tcPr>
            <w:tcW w:w="1016" w:type="dxa"/>
            <w:tcBorders>
              <w:top w:val="nil"/>
              <w:left w:val="nil"/>
              <w:bottom w:val="nil"/>
              <w:right w:val="nil"/>
            </w:tcBorders>
            <w:vAlign w:val="center"/>
          </w:tcPr>
          <w:p w14:paraId="0AEF06E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.860</w:t>
            </w:r>
          </w:p>
        </w:tc>
      </w:tr>
      <w:tr w:rsidR="00724AB5" w14:paraId="085B1F53" w14:textId="77777777">
        <w:trPr>
          <w:trHeight w:val="144"/>
        </w:trPr>
        <w:tc>
          <w:tcPr>
            <w:tcW w:w="2479" w:type="dxa"/>
            <w:tcBorders>
              <w:top w:val="nil"/>
              <w:left w:val="nil"/>
              <w:bottom w:val="nil"/>
              <w:right w:val="nil"/>
            </w:tcBorders>
            <w:shd w:val="clear" w:color="auto" w:fill="auto"/>
            <w:vAlign w:val="center"/>
          </w:tcPr>
          <w:p w14:paraId="743BBFE3" w14:textId="77777777" w:rsidR="00724AB5" w:rsidRDefault="007D385F">
            <w:pPr>
              <w:spacing w:after="0" w:line="240" w:lineRule="auto"/>
              <w:ind w:left="57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219" w:type="dxa"/>
            <w:tcBorders>
              <w:top w:val="nil"/>
              <w:left w:val="nil"/>
              <w:bottom w:val="nil"/>
              <w:right w:val="nil"/>
            </w:tcBorders>
            <w:shd w:val="clear" w:color="auto" w:fill="auto"/>
            <w:vAlign w:val="center"/>
          </w:tcPr>
          <w:p w14:paraId="333D6CC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 (43)</w:t>
            </w:r>
          </w:p>
        </w:tc>
        <w:tc>
          <w:tcPr>
            <w:tcW w:w="1348" w:type="dxa"/>
            <w:tcBorders>
              <w:top w:val="nil"/>
              <w:left w:val="nil"/>
              <w:bottom w:val="nil"/>
              <w:right w:val="nil"/>
            </w:tcBorders>
            <w:shd w:val="clear" w:color="auto" w:fill="auto"/>
            <w:vAlign w:val="center"/>
          </w:tcPr>
          <w:p w14:paraId="5682541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(43)</w:t>
            </w:r>
          </w:p>
        </w:tc>
        <w:tc>
          <w:tcPr>
            <w:tcW w:w="1262" w:type="dxa"/>
            <w:tcBorders>
              <w:top w:val="nil"/>
              <w:left w:val="nil"/>
              <w:bottom w:val="nil"/>
              <w:right w:val="nil"/>
            </w:tcBorders>
            <w:shd w:val="clear" w:color="auto" w:fill="auto"/>
            <w:vAlign w:val="center"/>
          </w:tcPr>
          <w:p w14:paraId="60E0319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(50)</w:t>
            </w:r>
          </w:p>
        </w:tc>
        <w:tc>
          <w:tcPr>
            <w:tcW w:w="1440" w:type="dxa"/>
            <w:tcBorders>
              <w:top w:val="nil"/>
              <w:left w:val="nil"/>
              <w:bottom w:val="nil"/>
              <w:right w:val="nil"/>
            </w:tcBorders>
            <w:vAlign w:val="center"/>
          </w:tcPr>
          <w:p w14:paraId="13DA919F"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43114399"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1CCF853D" w14:textId="77777777">
        <w:trPr>
          <w:trHeight w:val="144"/>
        </w:trPr>
        <w:tc>
          <w:tcPr>
            <w:tcW w:w="2479" w:type="dxa"/>
            <w:tcBorders>
              <w:top w:val="nil"/>
              <w:left w:val="nil"/>
              <w:bottom w:val="nil"/>
              <w:right w:val="nil"/>
            </w:tcBorders>
            <w:shd w:val="clear" w:color="auto" w:fill="auto"/>
            <w:vAlign w:val="center"/>
          </w:tcPr>
          <w:p w14:paraId="2ACD655B" w14:textId="77777777" w:rsidR="00724AB5" w:rsidRDefault="007D385F">
            <w:pPr>
              <w:spacing w:after="0" w:line="240" w:lineRule="auto"/>
              <w:ind w:left="57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219" w:type="dxa"/>
            <w:tcBorders>
              <w:top w:val="nil"/>
              <w:left w:val="nil"/>
              <w:bottom w:val="nil"/>
              <w:right w:val="nil"/>
            </w:tcBorders>
            <w:shd w:val="clear" w:color="auto" w:fill="auto"/>
            <w:vAlign w:val="center"/>
          </w:tcPr>
          <w:p w14:paraId="24B6225C"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42 (57)</w:t>
            </w:r>
          </w:p>
        </w:tc>
        <w:tc>
          <w:tcPr>
            <w:tcW w:w="1348" w:type="dxa"/>
            <w:tcBorders>
              <w:top w:val="nil"/>
              <w:left w:val="nil"/>
              <w:bottom w:val="nil"/>
              <w:right w:val="nil"/>
            </w:tcBorders>
            <w:shd w:val="clear" w:color="auto" w:fill="auto"/>
            <w:vAlign w:val="center"/>
          </w:tcPr>
          <w:p w14:paraId="7A50F62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13(57)</w:t>
            </w:r>
          </w:p>
        </w:tc>
        <w:tc>
          <w:tcPr>
            <w:tcW w:w="1262" w:type="dxa"/>
            <w:tcBorders>
              <w:top w:val="nil"/>
              <w:left w:val="nil"/>
              <w:bottom w:val="nil"/>
              <w:right w:val="nil"/>
            </w:tcBorders>
            <w:shd w:val="clear" w:color="auto" w:fill="auto"/>
            <w:vAlign w:val="center"/>
          </w:tcPr>
          <w:p w14:paraId="0EFFB14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(50)</w:t>
            </w:r>
          </w:p>
        </w:tc>
        <w:tc>
          <w:tcPr>
            <w:tcW w:w="1440" w:type="dxa"/>
            <w:tcBorders>
              <w:top w:val="nil"/>
              <w:left w:val="nil"/>
              <w:bottom w:val="nil"/>
              <w:right w:val="nil"/>
            </w:tcBorders>
            <w:vAlign w:val="center"/>
          </w:tcPr>
          <w:p w14:paraId="024191F2"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2888A285"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324285CA" w14:textId="77777777">
        <w:trPr>
          <w:trHeight w:val="316"/>
        </w:trPr>
        <w:tc>
          <w:tcPr>
            <w:tcW w:w="2479" w:type="dxa"/>
            <w:tcBorders>
              <w:top w:val="nil"/>
              <w:left w:val="nil"/>
              <w:bottom w:val="nil"/>
              <w:right w:val="nil"/>
            </w:tcBorders>
            <w:shd w:val="clear" w:color="auto" w:fill="auto"/>
            <w:vAlign w:val="center"/>
          </w:tcPr>
          <w:p w14:paraId="60373320"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Feeling dehydrated</w:t>
            </w:r>
          </w:p>
        </w:tc>
        <w:tc>
          <w:tcPr>
            <w:tcW w:w="1219" w:type="dxa"/>
            <w:tcBorders>
              <w:top w:val="nil"/>
              <w:left w:val="nil"/>
              <w:bottom w:val="nil"/>
              <w:right w:val="nil"/>
            </w:tcBorders>
            <w:shd w:val="clear" w:color="auto" w:fill="auto"/>
            <w:vAlign w:val="center"/>
          </w:tcPr>
          <w:p w14:paraId="40B134C8"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348" w:type="dxa"/>
            <w:tcBorders>
              <w:top w:val="nil"/>
              <w:left w:val="nil"/>
              <w:bottom w:val="nil"/>
              <w:right w:val="nil"/>
            </w:tcBorders>
            <w:shd w:val="clear" w:color="auto" w:fill="auto"/>
            <w:vAlign w:val="center"/>
          </w:tcPr>
          <w:p w14:paraId="6942B48C"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2" w:type="dxa"/>
            <w:tcBorders>
              <w:top w:val="nil"/>
              <w:left w:val="nil"/>
              <w:bottom w:val="nil"/>
              <w:right w:val="nil"/>
            </w:tcBorders>
            <w:shd w:val="clear" w:color="auto" w:fill="auto"/>
            <w:vAlign w:val="center"/>
          </w:tcPr>
          <w:p w14:paraId="3F153B2C"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nil"/>
            </w:tcBorders>
            <w:vAlign w:val="center"/>
          </w:tcPr>
          <w:p w14:paraId="2C8BD86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2.97(2)</w:t>
            </w:r>
          </w:p>
        </w:tc>
        <w:tc>
          <w:tcPr>
            <w:tcW w:w="1016" w:type="dxa"/>
            <w:tcBorders>
              <w:top w:val="nil"/>
              <w:left w:val="nil"/>
              <w:bottom w:val="nil"/>
              <w:right w:val="nil"/>
            </w:tcBorders>
            <w:vAlign w:val="center"/>
          </w:tcPr>
          <w:p w14:paraId="0BFADED0"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.225</w:t>
            </w:r>
          </w:p>
        </w:tc>
      </w:tr>
      <w:tr w:rsidR="00724AB5" w14:paraId="0E0FEE76" w14:textId="77777777">
        <w:trPr>
          <w:trHeight w:val="144"/>
        </w:trPr>
        <w:tc>
          <w:tcPr>
            <w:tcW w:w="2479" w:type="dxa"/>
            <w:tcBorders>
              <w:top w:val="nil"/>
              <w:left w:val="nil"/>
              <w:bottom w:val="nil"/>
              <w:right w:val="nil"/>
            </w:tcBorders>
            <w:shd w:val="clear" w:color="auto" w:fill="auto"/>
            <w:vAlign w:val="center"/>
          </w:tcPr>
          <w:p w14:paraId="3D136103" w14:textId="77777777" w:rsidR="00724AB5" w:rsidRDefault="007D385F">
            <w:pPr>
              <w:spacing w:after="0" w:line="240" w:lineRule="auto"/>
              <w:ind w:left="57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219" w:type="dxa"/>
            <w:tcBorders>
              <w:top w:val="nil"/>
              <w:left w:val="nil"/>
              <w:bottom w:val="nil"/>
              <w:right w:val="nil"/>
            </w:tcBorders>
            <w:shd w:val="clear" w:color="auto" w:fill="auto"/>
            <w:vAlign w:val="center"/>
          </w:tcPr>
          <w:p w14:paraId="2B7D86A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 (74)</w:t>
            </w:r>
          </w:p>
        </w:tc>
        <w:tc>
          <w:tcPr>
            <w:tcW w:w="1348" w:type="dxa"/>
            <w:tcBorders>
              <w:top w:val="nil"/>
              <w:left w:val="nil"/>
              <w:bottom w:val="nil"/>
              <w:right w:val="nil"/>
            </w:tcBorders>
            <w:shd w:val="clear" w:color="auto" w:fill="auto"/>
            <w:vAlign w:val="center"/>
          </w:tcPr>
          <w:p w14:paraId="09A2C6D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 (65)</w:t>
            </w:r>
          </w:p>
        </w:tc>
        <w:tc>
          <w:tcPr>
            <w:tcW w:w="1262" w:type="dxa"/>
            <w:tcBorders>
              <w:top w:val="nil"/>
              <w:left w:val="nil"/>
              <w:bottom w:val="nil"/>
              <w:right w:val="nil"/>
            </w:tcBorders>
            <w:shd w:val="clear" w:color="auto" w:fill="auto"/>
            <w:vAlign w:val="center"/>
          </w:tcPr>
          <w:p w14:paraId="44B25B8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(55)</w:t>
            </w:r>
          </w:p>
        </w:tc>
        <w:tc>
          <w:tcPr>
            <w:tcW w:w="1440" w:type="dxa"/>
            <w:tcBorders>
              <w:top w:val="nil"/>
              <w:left w:val="nil"/>
              <w:bottom w:val="nil"/>
              <w:right w:val="nil"/>
            </w:tcBorders>
            <w:vAlign w:val="center"/>
          </w:tcPr>
          <w:p w14:paraId="096F1455"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056BA7C5"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72A02B9E" w14:textId="77777777">
        <w:trPr>
          <w:trHeight w:val="144"/>
        </w:trPr>
        <w:tc>
          <w:tcPr>
            <w:tcW w:w="2479" w:type="dxa"/>
            <w:tcBorders>
              <w:top w:val="nil"/>
              <w:left w:val="nil"/>
              <w:bottom w:val="nil"/>
              <w:right w:val="nil"/>
            </w:tcBorders>
            <w:shd w:val="clear" w:color="auto" w:fill="auto"/>
            <w:vAlign w:val="center"/>
          </w:tcPr>
          <w:p w14:paraId="143BD9B2" w14:textId="77777777" w:rsidR="00724AB5" w:rsidRDefault="007D385F">
            <w:pPr>
              <w:spacing w:after="0" w:line="240" w:lineRule="auto"/>
              <w:ind w:left="57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219" w:type="dxa"/>
            <w:tcBorders>
              <w:top w:val="nil"/>
              <w:left w:val="nil"/>
              <w:bottom w:val="nil"/>
              <w:right w:val="nil"/>
            </w:tcBorders>
            <w:shd w:val="clear" w:color="auto" w:fill="auto"/>
            <w:vAlign w:val="center"/>
          </w:tcPr>
          <w:p w14:paraId="571B3750"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 (26)</w:t>
            </w:r>
          </w:p>
        </w:tc>
        <w:tc>
          <w:tcPr>
            <w:tcW w:w="1348" w:type="dxa"/>
            <w:tcBorders>
              <w:top w:val="nil"/>
              <w:left w:val="nil"/>
              <w:bottom w:val="nil"/>
              <w:right w:val="nil"/>
            </w:tcBorders>
            <w:shd w:val="clear" w:color="auto" w:fill="auto"/>
            <w:vAlign w:val="center"/>
          </w:tcPr>
          <w:p w14:paraId="4A25D400"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78 (35)</w:t>
            </w:r>
          </w:p>
        </w:tc>
        <w:tc>
          <w:tcPr>
            <w:tcW w:w="1262" w:type="dxa"/>
            <w:tcBorders>
              <w:top w:val="nil"/>
              <w:left w:val="nil"/>
              <w:bottom w:val="nil"/>
              <w:right w:val="nil"/>
            </w:tcBorders>
            <w:shd w:val="clear" w:color="auto" w:fill="auto"/>
            <w:vAlign w:val="center"/>
          </w:tcPr>
          <w:p w14:paraId="2842D8F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(45)</w:t>
            </w:r>
          </w:p>
        </w:tc>
        <w:tc>
          <w:tcPr>
            <w:tcW w:w="1440" w:type="dxa"/>
            <w:tcBorders>
              <w:top w:val="nil"/>
              <w:left w:val="nil"/>
              <w:bottom w:val="nil"/>
              <w:right w:val="nil"/>
            </w:tcBorders>
            <w:vAlign w:val="center"/>
          </w:tcPr>
          <w:p w14:paraId="278A7B2F"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06A492CB"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5E0E496F" w14:textId="77777777">
        <w:trPr>
          <w:trHeight w:val="316"/>
        </w:trPr>
        <w:tc>
          <w:tcPr>
            <w:tcW w:w="2479" w:type="dxa"/>
            <w:tcBorders>
              <w:top w:val="nil"/>
              <w:left w:val="nil"/>
              <w:bottom w:val="nil"/>
              <w:right w:val="nil"/>
            </w:tcBorders>
            <w:shd w:val="clear" w:color="auto" w:fill="auto"/>
            <w:vAlign w:val="center"/>
          </w:tcPr>
          <w:p w14:paraId="05B63D3F"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School work/job load</w:t>
            </w:r>
          </w:p>
        </w:tc>
        <w:tc>
          <w:tcPr>
            <w:tcW w:w="1219" w:type="dxa"/>
            <w:tcBorders>
              <w:top w:val="nil"/>
              <w:left w:val="nil"/>
              <w:bottom w:val="nil"/>
              <w:right w:val="nil"/>
            </w:tcBorders>
            <w:shd w:val="clear" w:color="auto" w:fill="auto"/>
            <w:vAlign w:val="center"/>
          </w:tcPr>
          <w:p w14:paraId="3B583C48"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348" w:type="dxa"/>
            <w:tcBorders>
              <w:top w:val="nil"/>
              <w:left w:val="nil"/>
              <w:bottom w:val="nil"/>
              <w:right w:val="nil"/>
            </w:tcBorders>
            <w:shd w:val="clear" w:color="auto" w:fill="auto"/>
            <w:vAlign w:val="center"/>
          </w:tcPr>
          <w:p w14:paraId="430D57F2"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2" w:type="dxa"/>
            <w:tcBorders>
              <w:top w:val="nil"/>
              <w:left w:val="nil"/>
              <w:bottom w:val="nil"/>
              <w:right w:val="nil"/>
            </w:tcBorders>
            <w:shd w:val="clear" w:color="auto" w:fill="auto"/>
            <w:vAlign w:val="center"/>
          </w:tcPr>
          <w:p w14:paraId="71F3A4D2"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nil"/>
            </w:tcBorders>
            <w:vAlign w:val="center"/>
          </w:tcPr>
          <w:p w14:paraId="2B06F830"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6.59(2)</w:t>
            </w:r>
          </w:p>
        </w:tc>
        <w:tc>
          <w:tcPr>
            <w:tcW w:w="1016" w:type="dxa"/>
            <w:tcBorders>
              <w:top w:val="nil"/>
              <w:left w:val="nil"/>
              <w:bottom w:val="nil"/>
              <w:right w:val="nil"/>
            </w:tcBorders>
            <w:vAlign w:val="center"/>
          </w:tcPr>
          <w:p w14:paraId="456C127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.037</w:t>
            </w:r>
          </w:p>
        </w:tc>
      </w:tr>
      <w:tr w:rsidR="00724AB5" w14:paraId="6036C95D" w14:textId="77777777">
        <w:trPr>
          <w:trHeight w:val="144"/>
        </w:trPr>
        <w:tc>
          <w:tcPr>
            <w:tcW w:w="2479" w:type="dxa"/>
            <w:tcBorders>
              <w:top w:val="nil"/>
              <w:left w:val="nil"/>
              <w:bottom w:val="nil"/>
              <w:right w:val="nil"/>
            </w:tcBorders>
            <w:shd w:val="clear" w:color="auto" w:fill="auto"/>
            <w:vAlign w:val="center"/>
          </w:tcPr>
          <w:p w14:paraId="6524031C" w14:textId="77777777" w:rsidR="00724AB5" w:rsidRDefault="007D385F">
            <w:pPr>
              <w:spacing w:after="0" w:line="240" w:lineRule="auto"/>
              <w:ind w:left="57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219" w:type="dxa"/>
            <w:tcBorders>
              <w:top w:val="nil"/>
              <w:left w:val="nil"/>
              <w:bottom w:val="nil"/>
              <w:right w:val="nil"/>
            </w:tcBorders>
            <w:shd w:val="clear" w:color="auto" w:fill="auto"/>
            <w:vAlign w:val="center"/>
          </w:tcPr>
          <w:p w14:paraId="3198369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29 </w:t>
            </w:r>
            <w:r>
              <w:rPr>
                <w:rFonts w:ascii="Times New Roman" w:eastAsia="Times New Roman" w:hAnsi="Times New Roman" w:cs="Times New Roman"/>
                <w:color w:val="000000"/>
                <w:sz w:val="18"/>
                <w:szCs w:val="18"/>
              </w:rPr>
              <w:t>(39)</w:t>
            </w:r>
          </w:p>
        </w:tc>
        <w:tc>
          <w:tcPr>
            <w:tcW w:w="1348" w:type="dxa"/>
            <w:tcBorders>
              <w:top w:val="nil"/>
              <w:left w:val="nil"/>
              <w:bottom w:val="nil"/>
              <w:right w:val="nil"/>
            </w:tcBorders>
            <w:shd w:val="clear" w:color="auto" w:fill="auto"/>
            <w:vAlign w:val="center"/>
          </w:tcPr>
          <w:p w14:paraId="37723A0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 (70)</w:t>
            </w:r>
          </w:p>
        </w:tc>
        <w:tc>
          <w:tcPr>
            <w:tcW w:w="1262" w:type="dxa"/>
            <w:tcBorders>
              <w:top w:val="nil"/>
              <w:left w:val="nil"/>
              <w:bottom w:val="nil"/>
              <w:right w:val="nil"/>
            </w:tcBorders>
            <w:shd w:val="clear" w:color="auto" w:fill="auto"/>
            <w:vAlign w:val="center"/>
          </w:tcPr>
          <w:p w14:paraId="342836B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(50)</w:t>
            </w:r>
          </w:p>
        </w:tc>
        <w:tc>
          <w:tcPr>
            <w:tcW w:w="1440" w:type="dxa"/>
            <w:tcBorders>
              <w:top w:val="nil"/>
              <w:left w:val="nil"/>
              <w:bottom w:val="nil"/>
              <w:right w:val="nil"/>
            </w:tcBorders>
            <w:vAlign w:val="center"/>
          </w:tcPr>
          <w:p w14:paraId="05C70796"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3F7AAC75"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57E87028" w14:textId="77777777">
        <w:trPr>
          <w:trHeight w:val="144"/>
        </w:trPr>
        <w:tc>
          <w:tcPr>
            <w:tcW w:w="2479" w:type="dxa"/>
            <w:tcBorders>
              <w:top w:val="nil"/>
              <w:left w:val="nil"/>
              <w:bottom w:val="nil"/>
              <w:right w:val="nil"/>
            </w:tcBorders>
            <w:shd w:val="clear" w:color="auto" w:fill="auto"/>
            <w:vAlign w:val="center"/>
          </w:tcPr>
          <w:p w14:paraId="30D7CBDA" w14:textId="77777777" w:rsidR="00724AB5" w:rsidRDefault="007D385F">
            <w:pPr>
              <w:spacing w:after="0" w:line="240" w:lineRule="auto"/>
              <w:ind w:left="57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219" w:type="dxa"/>
            <w:tcBorders>
              <w:top w:val="nil"/>
              <w:left w:val="nil"/>
              <w:bottom w:val="nil"/>
              <w:right w:val="nil"/>
            </w:tcBorders>
            <w:shd w:val="clear" w:color="auto" w:fill="auto"/>
            <w:vAlign w:val="center"/>
          </w:tcPr>
          <w:p w14:paraId="61B44695"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 (61)</w:t>
            </w:r>
          </w:p>
        </w:tc>
        <w:tc>
          <w:tcPr>
            <w:tcW w:w="1348" w:type="dxa"/>
            <w:tcBorders>
              <w:top w:val="nil"/>
              <w:left w:val="nil"/>
              <w:bottom w:val="nil"/>
              <w:right w:val="nil"/>
            </w:tcBorders>
            <w:shd w:val="clear" w:color="auto" w:fill="auto"/>
            <w:vAlign w:val="center"/>
          </w:tcPr>
          <w:p w14:paraId="5C049A8B"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(30)</w:t>
            </w:r>
          </w:p>
        </w:tc>
        <w:tc>
          <w:tcPr>
            <w:tcW w:w="1262" w:type="dxa"/>
            <w:tcBorders>
              <w:top w:val="nil"/>
              <w:left w:val="nil"/>
              <w:bottom w:val="nil"/>
              <w:right w:val="nil"/>
            </w:tcBorders>
            <w:shd w:val="clear" w:color="auto" w:fill="auto"/>
            <w:vAlign w:val="center"/>
          </w:tcPr>
          <w:p w14:paraId="37A9AD39"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(50)</w:t>
            </w:r>
          </w:p>
        </w:tc>
        <w:tc>
          <w:tcPr>
            <w:tcW w:w="1440" w:type="dxa"/>
            <w:tcBorders>
              <w:top w:val="nil"/>
              <w:left w:val="nil"/>
              <w:bottom w:val="nil"/>
              <w:right w:val="nil"/>
            </w:tcBorders>
            <w:vAlign w:val="center"/>
          </w:tcPr>
          <w:p w14:paraId="03673EAD"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2ADC1398"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298A3743" w14:textId="77777777">
        <w:trPr>
          <w:trHeight w:val="316"/>
        </w:trPr>
        <w:tc>
          <w:tcPr>
            <w:tcW w:w="2479" w:type="dxa"/>
            <w:tcBorders>
              <w:top w:val="nil"/>
              <w:left w:val="nil"/>
              <w:bottom w:val="nil"/>
              <w:right w:val="nil"/>
            </w:tcBorders>
            <w:shd w:val="clear" w:color="auto" w:fill="auto"/>
            <w:vAlign w:val="center"/>
          </w:tcPr>
          <w:p w14:paraId="0B238261"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Moody</w:t>
            </w:r>
          </w:p>
        </w:tc>
        <w:tc>
          <w:tcPr>
            <w:tcW w:w="1219" w:type="dxa"/>
            <w:tcBorders>
              <w:top w:val="nil"/>
              <w:left w:val="nil"/>
              <w:bottom w:val="nil"/>
              <w:right w:val="nil"/>
            </w:tcBorders>
            <w:shd w:val="clear" w:color="auto" w:fill="auto"/>
            <w:vAlign w:val="center"/>
          </w:tcPr>
          <w:p w14:paraId="6C4D8087"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348" w:type="dxa"/>
            <w:tcBorders>
              <w:top w:val="nil"/>
              <w:left w:val="nil"/>
              <w:bottom w:val="nil"/>
              <w:right w:val="nil"/>
            </w:tcBorders>
            <w:shd w:val="clear" w:color="auto" w:fill="auto"/>
            <w:vAlign w:val="center"/>
          </w:tcPr>
          <w:p w14:paraId="7448AB35"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2" w:type="dxa"/>
            <w:tcBorders>
              <w:top w:val="nil"/>
              <w:left w:val="nil"/>
              <w:bottom w:val="nil"/>
              <w:right w:val="nil"/>
            </w:tcBorders>
            <w:shd w:val="clear" w:color="auto" w:fill="auto"/>
            <w:vAlign w:val="center"/>
          </w:tcPr>
          <w:p w14:paraId="22DD0D50"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nil"/>
            </w:tcBorders>
            <w:vAlign w:val="center"/>
          </w:tcPr>
          <w:p w14:paraId="15546FA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0.04 </w:t>
            </w:r>
            <w:r>
              <w:rPr>
                <w:rFonts w:ascii="Times New Roman" w:eastAsia="Times New Roman" w:hAnsi="Times New Roman" w:cs="Times New Roman"/>
                <w:b/>
                <w:color w:val="000000"/>
                <w:sz w:val="18"/>
                <w:szCs w:val="18"/>
                <w:vertAlign w:val="superscript"/>
              </w:rPr>
              <w:t>b</w:t>
            </w:r>
          </w:p>
        </w:tc>
        <w:tc>
          <w:tcPr>
            <w:tcW w:w="1016" w:type="dxa"/>
            <w:tcBorders>
              <w:top w:val="nil"/>
              <w:left w:val="nil"/>
              <w:bottom w:val="nil"/>
              <w:right w:val="nil"/>
            </w:tcBorders>
            <w:vAlign w:val="center"/>
          </w:tcPr>
          <w:p w14:paraId="634D5A3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0.999</w:t>
            </w:r>
          </w:p>
        </w:tc>
      </w:tr>
      <w:tr w:rsidR="00724AB5" w14:paraId="1DD54C0B" w14:textId="77777777">
        <w:trPr>
          <w:trHeight w:val="144"/>
        </w:trPr>
        <w:tc>
          <w:tcPr>
            <w:tcW w:w="2479" w:type="dxa"/>
            <w:tcBorders>
              <w:top w:val="nil"/>
              <w:left w:val="nil"/>
              <w:bottom w:val="nil"/>
              <w:right w:val="nil"/>
            </w:tcBorders>
            <w:shd w:val="clear" w:color="auto" w:fill="auto"/>
            <w:vAlign w:val="center"/>
          </w:tcPr>
          <w:p w14:paraId="3676CBEC" w14:textId="77777777" w:rsidR="00724AB5" w:rsidRDefault="007D385F">
            <w:pPr>
              <w:spacing w:after="0" w:line="240" w:lineRule="auto"/>
              <w:ind w:left="57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219" w:type="dxa"/>
            <w:tcBorders>
              <w:top w:val="nil"/>
              <w:left w:val="nil"/>
              <w:bottom w:val="nil"/>
              <w:right w:val="nil"/>
            </w:tcBorders>
            <w:shd w:val="clear" w:color="auto" w:fill="auto"/>
            <w:vAlign w:val="center"/>
          </w:tcPr>
          <w:p w14:paraId="0679FAA0"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64 (86)</w:t>
            </w:r>
          </w:p>
        </w:tc>
        <w:tc>
          <w:tcPr>
            <w:tcW w:w="1348" w:type="dxa"/>
            <w:tcBorders>
              <w:top w:val="nil"/>
              <w:left w:val="nil"/>
              <w:bottom w:val="nil"/>
              <w:right w:val="nil"/>
            </w:tcBorders>
            <w:shd w:val="clear" w:color="auto" w:fill="auto"/>
            <w:vAlign w:val="center"/>
          </w:tcPr>
          <w:p w14:paraId="1090701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 (87)</w:t>
            </w:r>
          </w:p>
        </w:tc>
        <w:tc>
          <w:tcPr>
            <w:tcW w:w="1262" w:type="dxa"/>
            <w:tcBorders>
              <w:top w:val="nil"/>
              <w:left w:val="nil"/>
              <w:bottom w:val="nil"/>
              <w:right w:val="nil"/>
            </w:tcBorders>
            <w:shd w:val="clear" w:color="auto" w:fill="auto"/>
            <w:vAlign w:val="center"/>
          </w:tcPr>
          <w:p w14:paraId="1029036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 (85)</w:t>
            </w:r>
          </w:p>
        </w:tc>
        <w:tc>
          <w:tcPr>
            <w:tcW w:w="1440" w:type="dxa"/>
            <w:tcBorders>
              <w:top w:val="nil"/>
              <w:left w:val="nil"/>
              <w:bottom w:val="nil"/>
              <w:right w:val="nil"/>
            </w:tcBorders>
            <w:vAlign w:val="center"/>
          </w:tcPr>
          <w:p w14:paraId="1073CF6D"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45E92FA3"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13C791F0" w14:textId="77777777">
        <w:trPr>
          <w:trHeight w:val="144"/>
        </w:trPr>
        <w:tc>
          <w:tcPr>
            <w:tcW w:w="2479" w:type="dxa"/>
            <w:tcBorders>
              <w:top w:val="nil"/>
              <w:left w:val="nil"/>
              <w:bottom w:val="nil"/>
              <w:right w:val="nil"/>
            </w:tcBorders>
            <w:shd w:val="clear" w:color="auto" w:fill="auto"/>
            <w:vAlign w:val="center"/>
          </w:tcPr>
          <w:p w14:paraId="1AD314F2" w14:textId="77777777" w:rsidR="00724AB5" w:rsidRDefault="007D385F">
            <w:pPr>
              <w:spacing w:after="0" w:line="240" w:lineRule="auto"/>
              <w:ind w:left="57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219" w:type="dxa"/>
            <w:tcBorders>
              <w:top w:val="nil"/>
              <w:left w:val="nil"/>
              <w:bottom w:val="nil"/>
              <w:right w:val="nil"/>
            </w:tcBorders>
            <w:shd w:val="clear" w:color="auto" w:fill="auto"/>
            <w:vAlign w:val="center"/>
          </w:tcPr>
          <w:p w14:paraId="2ED73E50"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(14)</w:t>
            </w:r>
          </w:p>
        </w:tc>
        <w:tc>
          <w:tcPr>
            <w:tcW w:w="1348" w:type="dxa"/>
            <w:tcBorders>
              <w:top w:val="nil"/>
              <w:left w:val="nil"/>
              <w:bottom w:val="nil"/>
              <w:right w:val="nil"/>
            </w:tcBorders>
            <w:shd w:val="clear" w:color="auto" w:fill="auto"/>
            <w:vAlign w:val="center"/>
          </w:tcPr>
          <w:p w14:paraId="127E57F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(13)</w:t>
            </w:r>
          </w:p>
        </w:tc>
        <w:tc>
          <w:tcPr>
            <w:tcW w:w="1262" w:type="dxa"/>
            <w:tcBorders>
              <w:top w:val="nil"/>
              <w:left w:val="nil"/>
              <w:bottom w:val="nil"/>
              <w:right w:val="nil"/>
            </w:tcBorders>
            <w:shd w:val="clear" w:color="auto" w:fill="auto"/>
            <w:vAlign w:val="center"/>
          </w:tcPr>
          <w:p w14:paraId="14012421"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(15)</w:t>
            </w:r>
          </w:p>
        </w:tc>
        <w:tc>
          <w:tcPr>
            <w:tcW w:w="1440" w:type="dxa"/>
            <w:tcBorders>
              <w:top w:val="nil"/>
              <w:left w:val="nil"/>
              <w:bottom w:val="nil"/>
              <w:right w:val="nil"/>
            </w:tcBorders>
            <w:vAlign w:val="center"/>
          </w:tcPr>
          <w:p w14:paraId="0AD3BC77"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77F1D6BA"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53683EF4" w14:textId="77777777">
        <w:trPr>
          <w:trHeight w:val="316"/>
        </w:trPr>
        <w:tc>
          <w:tcPr>
            <w:tcW w:w="2479" w:type="dxa"/>
            <w:tcBorders>
              <w:top w:val="nil"/>
              <w:left w:val="nil"/>
              <w:bottom w:val="nil"/>
              <w:right w:val="nil"/>
            </w:tcBorders>
            <w:shd w:val="clear" w:color="auto" w:fill="auto"/>
            <w:vAlign w:val="center"/>
          </w:tcPr>
          <w:p w14:paraId="6A365B1C"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Lack of sleep</w:t>
            </w:r>
          </w:p>
        </w:tc>
        <w:tc>
          <w:tcPr>
            <w:tcW w:w="1219" w:type="dxa"/>
            <w:tcBorders>
              <w:top w:val="nil"/>
              <w:left w:val="nil"/>
              <w:bottom w:val="nil"/>
              <w:right w:val="nil"/>
            </w:tcBorders>
            <w:shd w:val="clear" w:color="auto" w:fill="auto"/>
            <w:vAlign w:val="center"/>
          </w:tcPr>
          <w:p w14:paraId="4252207B"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348" w:type="dxa"/>
            <w:tcBorders>
              <w:top w:val="nil"/>
              <w:left w:val="nil"/>
              <w:bottom w:val="nil"/>
              <w:right w:val="nil"/>
            </w:tcBorders>
            <w:shd w:val="clear" w:color="auto" w:fill="auto"/>
            <w:vAlign w:val="center"/>
          </w:tcPr>
          <w:p w14:paraId="63B4EA52"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2" w:type="dxa"/>
            <w:tcBorders>
              <w:top w:val="nil"/>
              <w:left w:val="nil"/>
              <w:bottom w:val="nil"/>
              <w:right w:val="nil"/>
            </w:tcBorders>
            <w:shd w:val="clear" w:color="auto" w:fill="auto"/>
            <w:vAlign w:val="center"/>
          </w:tcPr>
          <w:p w14:paraId="2E8E2B40"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nil"/>
            </w:tcBorders>
            <w:vAlign w:val="center"/>
          </w:tcPr>
          <w:p w14:paraId="1F1DF977"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16.51(2)</w:t>
            </w:r>
          </w:p>
        </w:tc>
        <w:tc>
          <w:tcPr>
            <w:tcW w:w="1016" w:type="dxa"/>
            <w:tcBorders>
              <w:top w:val="nil"/>
              <w:left w:val="nil"/>
              <w:bottom w:val="nil"/>
              <w:right w:val="nil"/>
            </w:tcBorders>
            <w:vAlign w:val="center"/>
          </w:tcPr>
          <w:p w14:paraId="5BF7FB15"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&lt;.001</w:t>
            </w:r>
          </w:p>
        </w:tc>
      </w:tr>
      <w:tr w:rsidR="00724AB5" w14:paraId="4D4BA055" w14:textId="77777777">
        <w:trPr>
          <w:trHeight w:val="144"/>
        </w:trPr>
        <w:tc>
          <w:tcPr>
            <w:tcW w:w="2479" w:type="dxa"/>
            <w:tcBorders>
              <w:top w:val="nil"/>
              <w:left w:val="nil"/>
              <w:bottom w:val="nil"/>
              <w:right w:val="nil"/>
            </w:tcBorders>
            <w:shd w:val="clear" w:color="auto" w:fill="auto"/>
            <w:vAlign w:val="center"/>
          </w:tcPr>
          <w:p w14:paraId="6143E6D0" w14:textId="77777777" w:rsidR="00724AB5" w:rsidRDefault="007D385F">
            <w:pPr>
              <w:spacing w:after="0" w:line="240" w:lineRule="auto"/>
              <w:ind w:left="57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219" w:type="dxa"/>
            <w:tcBorders>
              <w:top w:val="nil"/>
              <w:left w:val="nil"/>
              <w:bottom w:val="nil"/>
              <w:right w:val="nil"/>
            </w:tcBorders>
            <w:shd w:val="clear" w:color="auto" w:fill="auto"/>
            <w:vAlign w:val="center"/>
          </w:tcPr>
          <w:p w14:paraId="04FAA10B"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 (82)</w:t>
            </w:r>
          </w:p>
        </w:tc>
        <w:tc>
          <w:tcPr>
            <w:tcW w:w="1348" w:type="dxa"/>
            <w:tcBorders>
              <w:top w:val="nil"/>
              <w:left w:val="nil"/>
              <w:bottom w:val="nil"/>
              <w:right w:val="nil"/>
            </w:tcBorders>
            <w:shd w:val="clear" w:color="auto" w:fill="auto"/>
            <w:vAlign w:val="center"/>
          </w:tcPr>
          <w:p w14:paraId="1E00D08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(48)</w:t>
            </w:r>
          </w:p>
        </w:tc>
        <w:tc>
          <w:tcPr>
            <w:tcW w:w="1262" w:type="dxa"/>
            <w:tcBorders>
              <w:top w:val="nil"/>
              <w:left w:val="nil"/>
              <w:bottom w:val="nil"/>
              <w:right w:val="nil"/>
            </w:tcBorders>
            <w:shd w:val="clear" w:color="auto" w:fill="auto"/>
            <w:vAlign w:val="center"/>
          </w:tcPr>
          <w:p w14:paraId="204D9BD9"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(45)</w:t>
            </w:r>
          </w:p>
        </w:tc>
        <w:tc>
          <w:tcPr>
            <w:tcW w:w="1440" w:type="dxa"/>
            <w:tcBorders>
              <w:top w:val="nil"/>
              <w:left w:val="nil"/>
              <w:bottom w:val="nil"/>
              <w:right w:val="nil"/>
            </w:tcBorders>
            <w:vAlign w:val="center"/>
          </w:tcPr>
          <w:p w14:paraId="5C609984"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00EE33F3"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4AFD6276" w14:textId="77777777">
        <w:trPr>
          <w:trHeight w:val="144"/>
        </w:trPr>
        <w:tc>
          <w:tcPr>
            <w:tcW w:w="2479" w:type="dxa"/>
            <w:tcBorders>
              <w:top w:val="nil"/>
              <w:left w:val="nil"/>
              <w:bottom w:val="nil"/>
              <w:right w:val="nil"/>
            </w:tcBorders>
            <w:shd w:val="clear" w:color="auto" w:fill="auto"/>
            <w:vAlign w:val="center"/>
          </w:tcPr>
          <w:p w14:paraId="6952B96A" w14:textId="77777777" w:rsidR="00724AB5" w:rsidRDefault="007D385F">
            <w:pPr>
              <w:spacing w:after="0" w:line="240" w:lineRule="auto"/>
              <w:ind w:left="57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219" w:type="dxa"/>
            <w:tcBorders>
              <w:top w:val="nil"/>
              <w:left w:val="nil"/>
              <w:bottom w:val="nil"/>
              <w:right w:val="nil"/>
            </w:tcBorders>
            <w:shd w:val="clear" w:color="auto" w:fill="auto"/>
            <w:vAlign w:val="center"/>
          </w:tcPr>
          <w:p w14:paraId="25A0095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(18)</w:t>
            </w:r>
          </w:p>
        </w:tc>
        <w:tc>
          <w:tcPr>
            <w:tcW w:w="1348" w:type="dxa"/>
            <w:tcBorders>
              <w:top w:val="nil"/>
              <w:left w:val="nil"/>
              <w:bottom w:val="nil"/>
              <w:right w:val="nil"/>
            </w:tcBorders>
            <w:shd w:val="clear" w:color="auto" w:fill="auto"/>
            <w:vAlign w:val="center"/>
          </w:tcPr>
          <w:p w14:paraId="07928BA0"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 (52)</w:t>
            </w:r>
          </w:p>
        </w:tc>
        <w:tc>
          <w:tcPr>
            <w:tcW w:w="1262" w:type="dxa"/>
            <w:tcBorders>
              <w:top w:val="nil"/>
              <w:left w:val="nil"/>
              <w:bottom w:val="nil"/>
              <w:right w:val="nil"/>
            </w:tcBorders>
            <w:shd w:val="clear" w:color="auto" w:fill="auto"/>
            <w:vAlign w:val="center"/>
          </w:tcPr>
          <w:p w14:paraId="1C031DC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(55)</w:t>
            </w:r>
          </w:p>
        </w:tc>
        <w:tc>
          <w:tcPr>
            <w:tcW w:w="1440" w:type="dxa"/>
            <w:tcBorders>
              <w:top w:val="nil"/>
              <w:left w:val="nil"/>
              <w:bottom w:val="nil"/>
              <w:right w:val="nil"/>
            </w:tcBorders>
            <w:vAlign w:val="center"/>
          </w:tcPr>
          <w:p w14:paraId="3E99BB39"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2AB05D70"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1CFFECC9" w14:textId="77777777">
        <w:trPr>
          <w:trHeight w:val="316"/>
        </w:trPr>
        <w:tc>
          <w:tcPr>
            <w:tcW w:w="2479" w:type="dxa"/>
            <w:tcBorders>
              <w:top w:val="nil"/>
              <w:left w:val="nil"/>
              <w:bottom w:val="nil"/>
              <w:right w:val="nil"/>
            </w:tcBorders>
            <w:shd w:val="clear" w:color="auto" w:fill="auto"/>
            <w:vAlign w:val="center"/>
          </w:tcPr>
          <w:p w14:paraId="75B71B5C"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Not being </w:t>
            </w:r>
            <w:r>
              <w:rPr>
                <w:rFonts w:ascii="Times New Roman" w:eastAsia="Times New Roman" w:hAnsi="Times New Roman" w:cs="Times New Roman"/>
                <w:color w:val="000000"/>
                <w:sz w:val="18"/>
                <w:szCs w:val="18"/>
              </w:rPr>
              <w:t>physically active</w:t>
            </w:r>
          </w:p>
        </w:tc>
        <w:tc>
          <w:tcPr>
            <w:tcW w:w="1219" w:type="dxa"/>
            <w:tcBorders>
              <w:top w:val="nil"/>
              <w:left w:val="nil"/>
              <w:bottom w:val="nil"/>
              <w:right w:val="nil"/>
            </w:tcBorders>
            <w:shd w:val="clear" w:color="auto" w:fill="auto"/>
            <w:vAlign w:val="center"/>
          </w:tcPr>
          <w:p w14:paraId="0CA1981A"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348" w:type="dxa"/>
            <w:tcBorders>
              <w:top w:val="nil"/>
              <w:left w:val="nil"/>
              <w:bottom w:val="nil"/>
              <w:right w:val="nil"/>
            </w:tcBorders>
            <w:shd w:val="clear" w:color="auto" w:fill="auto"/>
            <w:vAlign w:val="center"/>
          </w:tcPr>
          <w:p w14:paraId="2E54E4B4"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2" w:type="dxa"/>
            <w:tcBorders>
              <w:top w:val="nil"/>
              <w:left w:val="nil"/>
              <w:bottom w:val="nil"/>
              <w:right w:val="nil"/>
            </w:tcBorders>
            <w:shd w:val="clear" w:color="auto" w:fill="auto"/>
            <w:vAlign w:val="center"/>
          </w:tcPr>
          <w:p w14:paraId="09D69D45"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nil"/>
            </w:tcBorders>
            <w:vAlign w:val="center"/>
          </w:tcPr>
          <w:p w14:paraId="095C054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2.70(2)</w:t>
            </w:r>
          </w:p>
        </w:tc>
        <w:tc>
          <w:tcPr>
            <w:tcW w:w="1016" w:type="dxa"/>
            <w:tcBorders>
              <w:top w:val="nil"/>
              <w:left w:val="nil"/>
              <w:bottom w:val="nil"/>
              <w:right w:val="nil"/>
            </w:tcBorders>
            <w:vAlign w:val="center"/>
          </w:tcPr>
          <w:p w14:paraId="2A4465B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.258</w:t>
            </w:r>
          </w:p>
        </w:tc>
      </w:tr>
      <w:tr w:rsidR="00724AB5" w14:paraId="2F0EEEFB" w14:textId="77777777">
        <w:trPr>
          <w:trHeight w:val="144"/>
        </w:trPr>
        <w:tc>
          <w:tcPr>
            <w:tcW w:w="2479" w:type="dxa"/>
            <w:tcBorders>
              <w:top w:val="nil"/>
              <w:left w:val="nil"/>
              <w:bottom w:val="nil"/>
              <w:right w:val="nil"/>
            </w:tcBorders>
            <w:shd w:val="clear" w:color="auto" w:fill="auto"/>
            <w:vAlign w:val="center"/>
          </w:tcPr>
          <w:p w14:paraId="212BAECB" w14:textId="77777777" w:rsidR="00724AB5" w:rsidRDefault="007D385F">
            <w:pPr>
              <w:spacing w:after="0" w:line="240" w:lineRule="auto"/>
              <w:ind w:left="57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219" w:type="dxa"/>
            <w:tcBorders>
              <w:top w:val="nil"/>
              <w:left w:val="nil"/>
              <w:bottom w:val="nil"/>
              <w:right w:val="nil"/>
            </w:tcBorders>
            <w:shd w:val="clear" w:color="auto" w:fill="auto"/>
            <w:vAlign w:val="center"/>
          </w:tcPr>
          <w:p w14:paraId="23DD581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 (65)</w:t>
            </w:r>
          </w:p>
        </w:tc>
        <w:tc>
          <w:tcPr>
            <w:tcW w:w="1348" w:type="dxa"/>
            <w:tcBorders>
              <w:top w:val="nil"/>
              <w:left w:val="nil"/>
              <w:bottom w:val="nil"/>
              <w:right w:val="nil"/>
            </w:tcBorders>
            <w:shd w:val="clear" w:color="auto" w:fill="auto"/>
            <w:vAlign w:val="center"/>
          </w:tcPr>
          <w:p w14:paraId="7D88787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 (74)</w:t>
            </w:r>
          </w:p>
        </w:tc>
        <w:tc>
          <w:tcPr>
            <w:tcW w:w="1262" w:type="dxa"/>
            <w:tcBorders>
              <w:top w:val="nil"/>
              <w:left w:val="nil"/>
              <w:bottom w:val="nil"/>
              <w:right w:val="nil"/>
            </w:tcBorders>
            <w:shd w:val="clear" w:color="auto" w:fill="auto"/>
            <w:vAlign w:val="center"/>
          </w:tcPr>
          <w:p w14:paraId="7782437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(50)</w:t>
            </w:r>
          </w:p>
        </w:tc>
        <w:tc>
          <w:tcPr>
            <w:tcW w:w="1440" w:type="dxa"/>
            <w:tcBorders>
              <w:top w:val="nil"/>
              <w:left w:val="nil"/>
              <w:bottom w:val="nil"/>
              <w:right w:val="nil"/>
            </w:tcBorders>
            <w:vAlign w:val="center"/>
          </w:tcPr>
          <w:p w14:paraId="5B63557E"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0CD3A934"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7DD36911" w14:textId="77777777">
        <w:trPr>
          <w:trHeight w:val="144"/>
        </w:trPr>
        <w:tc>
          <w:tcPr>
            <w:tcW w:w="2479" w:type="dxa"/>
            <w:tcBorders>
              <w:top w:val="nil"/>
              <w:left w:val="nil"/>
              <w:bottom w:val="nil"/>
              <w:right w:val="nil"/>
            </w:tcBorders>
            <w:shd w:val="clear" w:color="auto" w:fill="auto"/>
            <w:vAlign w:val="center"/>
          </w:tcPr>
          <w:p w14:paraId="6AF2EAC6" w14:textId="77777777" w:rsidR="00724AB5" w:rsidRDefault="007D385F">
            <w:pPr>
              <w:spacing w:after="0" w:line="240" w:lineRule="auto"/>
              <w:ind w:left="57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219" w:type="dxa"/>
            <w:tcBorders>
              <w:top w:val="nil"/>
              <w:left w:val="nil"/>
              <w:bottom w:val="nil"/>
              <w:right w:val="nil"/>
            </w:tcBorders>
            <w:shd w:val="clear" w:color="auto" w:fill="auto"/>
            <w:vAlign w:val="center"/>
          </w:tcPr>
          <w:p w14:paraId="042594BC"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 (35)</w:t>
            </w:r>
          </w:p>
        </w:tc>
        <w:tc>
          <w:tcPr>
            <w:tcW w:w="1348" w:type="dxa"/>
            <w:tcBorders>
              <w:top w:val="nil"/>
              <w:left w:val="nil"/>
              <w:bottom w:val="nil"/>
              <w:right w:val="nil"/>
            </w:tcBorders>
            <w:shd w:val="clear" w:color="auto" w:fill="auto"/>
            <w:vAlign w:val="center"/>
          </w:tcPr>
          <w:p w14:paraId="30C7ABD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(26)</w:t>
            </w:r>
          </w:p>
        </w:tc>
        <w:tc>
          <w:tcPr>
            <w:tcW w:w="1262" w:type="dxa"/>
            <w:tcBorders>
              <w:top w:val="nil"/>
              <w:left w:val="nil"/>
              <w:bottom w:val="nil"/>
              <w:right w:val="nil"/>
            </w:tcBorders>
            <w:shd w:val="clear" w:color="auto" w:fill="auto"/>
            <w:vAlign w:val="center"/>
          </w:tcPr>
          <w:p w14:paraId="771926A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10 (50)</w:t>
            </w:r>
          </w:p>
        </w:tc>
        <w:tc>
          <w:tcPr>
            <w:tcW w:w="1440" w:type="dxa"/>
            <w:tcBorders>
              <w:top w:val="nil"/>
              <w:left w:val="nil"/>
              <w:bottom w:val="nil"/>
              <w:right w:val="nil"/>
            </w:tcBorders>
            <w:vAlign w:val="center"/>
          </w:tcPr>
          <w:p w14:paraId="1AEBFD87"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vAlign w:val="center"/>
          </w:tcPr>
          <w:p w14:paraId="6A69F470"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3BC7A816" w14:textId="77777777">
        <w:trPr>
          <w:trHeight w:val="316"/>
        </w:trPr>
        <w:tc>
          <w:tcPr>
            <w:tcW w:w="2479" w:type="dxa"/>
            <w:tcBorders>
              <w:top w:val="nil"/>
              <w:left w:val="nil"/>
              <w:bottom w:val="nil"/>
              <w:right w:val="nil"/>
            </w:tcBorders>
            <w:shd w:val="clear" w:color="auto" w:fill="auto"/>
            <w:vAlign w:val="center"/>
          </w:tcPr>
          <w:p w14:paraId="32729F19"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Loneliness</w:t>
            </w:r>
          </w:p>
        </w:tc>
        <w:tc>
          <w:tcPr>
            <w:tcW w:w="1219" w:type="dxa"/>
            <w:tcBorders>
              <w:top w:val="nil"/>
              <w:left w:val="nil"/>
              <w:bottom w:val="nil"/>
              <w:right w:val="nil"/>
            </w:tcBorders>
            <w:shd w:val="clear" w:color="auto" w:fill="auto"/>
            <w:vAlign w:val="center"/>
          </w:tcPr>
          <w:p w14:paraId="724E478A"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348" w:type="dxa"/>
            <w:tcBorders>
              <w:top w:val="nil"/>
              <w:left w:val="nil"/>
              <w:bottom w:val="nil"/>
              <w:right w:val="nil"/>
            </w:tcBorders>
            <w:shd w:val="clear" w:color="auto" w:fill="auto"/>
            <w:vAlign w:val="center"/>
          </w:tcPr>
          <w:p w14:paraId="401B6195"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2" w:type="dxa"/>
            <w:tcBorders>
              <w:top w:val="nil"/>
              <w:left w:val="nil"/>
              <w:bottom w:val="nil"/>
              <w:right w:val="nil"/>
            </w:tcBorders>
            <w:shd w:val="clear" w:color="auto" w:fill="auto"/>
            <w:vAlign w:val="center"/>
          </w:tcPr>
          <w:p w14:paraId="757B730F"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nil"/>
            </w:tcBorders>
            <w:vAlign w:val="center"/>
          </w:tcPr>
          <w:p w14:paraId="1BF9EFC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2.81(2)</w:t>
            </w:r>
          </w:p>
        </w:tc>
        <w:tc>
          <w:tcPr>
            <w:tcW w:w="1016" w:type="dxa"/>
            <w:tcBorders>
              <w:top w:val="nil"/>
              <w:left w:val="nil"/>
              <w:bottom w:val="nil"/>
              <w:right w:val="nil"/>
            </w:tcBorders>
            <w:vAlign w:val="center"/>
          </w:tcPr>
          <w:p w14:paraId="5E714DE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.246</w:t>
            </w:r>
          </w:p>
        </w:tc>
      </w:tr>
      <w:tr w:rsidR="00724AB5" w14:paraId="57A77FFF" w14:textId="77777777">
        <w:trPr>
          <w:trHeight w:val="144"/>
        </w:trPr>
        <w:tc>
          <w:tcPr>
            <w:tcW w:w="2479" w:type="dxa"/>
            <w:tcBorders>
              <w:top w:val="nil"/>
              <w:left w:val="nil"/>
              <w:right w:val="nil"/>
            </w:tcBorders>
            <w:shd w:val="clear" w:color="auto" w:fill="auto"/>
            <w:vAlign w:val="center"/>
          </w:tcPr>
          <w:p w14:paraId="75881ACC" w14:textId="77777777" w:rsidR="00724AB5" w:rsidRDefault="007D385F">
            <w:pPr>
              <w:spacing w:after="0" w:line="240" w:lineRule="auto"/>
              <w:ind w:left="57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219" w:type="dxa"/>
            <w:tcBorders>
              <w:top w:val="nil"/>
              <w:left w:val="nil"/>
              <w:right w:val="nil"/>
            </w:tcBorders>
            <w:shd w:val="clear" w:color="auto" w:fill="auto"/>
            <w:vAlign w:val="center"/>
          </w:tcPr>
          <w:p w14:paraId="0178F6E7"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 (74)</w:t>
            </w:r>
          </w:p>
        </w:tc>
        <w:tc>
          <w:tcPr>
            <w:tcW w:w="1348" w:type="dxa"/>
            <w:tcBorders>
              <w:top w:val="nil"/>
              <w:left w:val="nil"/>
              <w:right w:val="nil"/>
            </w:tcBorders>
            <w:shd w:val="clear" w:color="auto" w:fill="auto"/>
            <w:vAlign w:val="center"/>
          </w:tcPr>
          <w:p w14:paraId="18A4B9E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 (70)</w:t>
            </w:r>
          </w:p>
        </w:tc>
        <w:tc>
          <w:tcPr>
            <w:tcW w:w="1262" w:type="dxa"/>
            <w:tcBorders>
              <w:top w:val="nil"/>
              <w:left w:val="nil"/>
              <w:right w:val="nil"/>
            </w:tcBorders>
            <w:shd w:val="clear" w:color="auto" w:fill="auto"/>
            <w:vAlign w:val="center"/>
          </w:tcPr>
          <w:p w14:paraId="027BF54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(55)</w:t>
            </w:r>
          </w:p>
        </w:tc>
        <w:tc>
          <w:tcPr>
            <w:tcW w:w="1440" w:type="dxa"/>
            <w:tcBorders>
              <w:top w:val="nil"/>
              <w:left w:val="nil"/>
              <w:right w:val="nil"/>
            </w:tcBorders>
            <w:vAlign w:val="center"/>
          </w:tcPr>
          <w:p w14:paraId="687CC85E"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right w:val="nil"/>
            </w:tcBorders>
            <w:vAlign w:val="center"/>
          </w:tcPr>
          <w:p w14:paraId="161FA91D"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574B7846" w14:textId="77777777">
        <w:trPr>
          <w:trHeight w:val="144"/>
        </w:trPr>
        <w:tc>
          <w:tcPr>
            <w:tcW w:w="2479" w:type="dxa"/>
            <w:tcBorders>
              <w:top w:val="nil"/>
              <w:left w:val="nil"/>
              <w:right w:val="nil"/>
            </w:tcBorders>
            <w:shd w:val="clear" w:color="auto" w:fill="auto"/>
            <w:vAlign w:val="center"/>
          </w:tcPr>
          <w:p w14:paraId="4FE637E5" w14:textId="77777777" w:rsidR="00724AB5" w:rsidRDefault="007D385F">
            <w:pPr>
              <w:spacing w:after="0" w:line="240" w:lineRule="auto"/>
              <w:ind w:left="57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219" w:type="dxa"/>
            <w:tcBorders>
              <w:top w:val="nil"/>
              <w:left w:val="nil"/>
              <w:right w:val="nil"/>
            </w:tcBorders>
            <w:shd w:val="clear" w:color="auto" w:fill="auto"/>
            <w:vAlign w:val="center"/>
          </w:tcPr>
          <w:p w14:paraId="4DFB395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 (26)</w:t>
            </w:r>
          </w:p>
        </w:tc>
        <w:tc>
          <w:tcPr>
            <w:tcW w:w="1348" w:type="dxa"/>
            <w:tcBorders>
              <w:top w:val="nil"/>
              <w:left w:val="nil"/>
              <w:right w:val="nil"/>
            </w:tcBorders>
            <w:shd w:val="clear" w:color="auto" w:fill="auto"/>
            <w:vAlign w:val="center"/>
          </w:tcPr>
          <w:p w14:paraId="39D4713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(30)</w:t>
            </w:r>
          </w:p>
        </w:tc>
        <w:tc>
          <w:tcPr>
            <w:tcW w:w="1262" w:type="dxa"/>
            <w:tcBorders>
              <w:top w:val="nil"/>
              <w:left w:val="nil"/>
              <w:right w:val="nil"/>
            </w:tcBorders>
            <w:shd w:val="clear" w:color="auto" w:fill="auto"/>
            <w:vAlign w:val="center"/>
          </w:tcPr>
          <w:p w14:paraId="260808F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(45)</w:t>
            </w:r>
          </w:p>
        </w:tc>
        <w:tc>
          <w:tcPr>
            <w:tcW w:w="1440" w:type="dxa"/>
            <w:tcBorders>
              <w:top w:val="nil"/>
              <w:left w:val="nil"/>
              <w:right w:val="nil"/>
            </w:tcBorders>
            <w:vAlign w:val="center"/>
          </w:tcPr>
          <w:p w14:paraId="1D4C0E13"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right w:val="nil"/>
            </w:tcBorders>
            <w:vAlign w:val="center"/>
          </w:tcPr>
          <w:p w14:paraId="09C4A06F"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3503448E" w14:textId="77777777">
        <w:trPr>
          <w:trHeight w:val="316"/>
        </w:trPr>
        <w:tc>
          <w:tcPr>
            <w:tcW w:w="2479" w:type="dxa"/>
            <w:tcBorders>
              <w:left w:val="nil"/>
              <w:bottom w:val="nil"/>
              <w:right w:val="nil"/>
            </w:tcBorders>
            <w:shd w:val="clear" w:color="auto" w:fill="auto"/>
            <w:vAlign w:val="center"/>
          </w:tcPr>
          <w:p w14:paraId="0551E6E1"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Financial difficulties</w:t>
            </w:r>
          </w:p>
        </w:tc>
        <w:tc>
          <w:tcPr>
            <w:tcW w:w="1219" w:type="dxa"/>
            <w:tcBorders>
              <w:left w:val="nil"/>
              <w:bottom w:val="nil"/>
              <w:right w:val="nil"/>
            </w:tcBorders>
            <w:shd w:val="clear" w:color="auto" w:fill="auto"/>
            <w:vAlign w:val="center"/>
          </w:tcPr>
          <w:p w14:paraId="32130A39"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348" w:type="dxa"/>
            <w:tcBorders>
              <w:left w:val="nil"/>
              <w:bottom w:val="nil"/>
              <w:right w:val="nil"/>
            </w:tcBorders>
            <w:shd w:val="clear" w:color="auto" w:fill="auto"/>
            <w:vAlign w:val="center"/>
          </w:tcPr>
          <w:p w14:paraId="1F7C074C"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262" w:type="dxa"/>
            <w:tcBorders>
              <w:left w:val="nil"/>
              <w:bottom w:val="nil"/>
              <w:right w:val="nil"/>
            </w:tcBorders>
            <w:shd w:val="clear" w:color="auto" w:fill="auto"/>
            <w:vAlign w:val="center"/>
          </w:tcPr>
          <w:p w14:paraId="7430B93C"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440" w:type="dxa"/>
            <w:tcBorders>
              <w:left w:val="nil"/>
              <w:bottom w:val="nil"/>
              <w:right w:val="nil"/>
            </w:tcBorders>
            <w:vAlign w:val="center"/>
          </w:tcPr>
          <w:p w14:paraId="0C3F2FB5"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2.48(2)</w:t>
            </w:r>
          </w:p>
        </w:tc>
        <w:tc>
          <w:tcPr>
            <w:tcW w:w="1016" w:type="dxa"/>
            <w:tcBorders>
              <w:left w:val="nil"/>
              <w:bottom w:val="nil"/>
              <w:right w:val="nil"/>
            </w:tcBorders>
            <w:vAlign w:val="center"/>
          </w:tcPr>
          <w:p w14:paraId="6F15DE6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.289</w:t>
            </w:r>
          </w:p>
        </w:tc>
      </w:tr>
      <w:tr w:rsidR="00724AB5" w14:paraId="05017D05" w14:textId="77777777">
        <w:trPr>
          <w:trHeight w:val="144"/>
        </w:trPr>
        <w:tc>
          <w:tcPr>
            <w:tcW w:w="2479" w:type="dxa"/>
            <w:tcBorders>
              <w:top w:val="nil"/>
              <w:left w:val="nil"/>
              <w:bottom w:val="nil"/>
              <w:right w:val="nil"/>
            </w:tcBorders>
            <w:shd w:val="clear" w:color="auto" w:fill="auto"/>
            <w:vAlign w:val="center"/>
          </w:tcPr>
          <w:p w14:paraId="5969DBB8" w14:textId="77777777" w:rsidR="00724AB5" w:rsidRDefault="007D385F">
            <w:pPr>
              <w:spacing w:after="0" w:line="240" w:lineRule="auto"/>
              <w:ind w:left="57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219" w:type="dxa"/>
            <w:tcBorders>
              <w:top w:val="nil"/>
              <w:left w:val="nil"/>
              <w:bottom w:val="nil"/>
              <w:right w:val="nil"/>
            </w:tcBorders>
            <w:shd w:val="clear" w:color="auto" w:fill="auto"/>
            <w:vAlign w:val="center"/>
          </w:tcPr>
          <w:p w14:paraId="4D1EFD6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 (59)</w:t>
            </w:r>
          </w:p>
        </w:tc>
        <w:tc>
          <w:tcPr>
            <w:tcW w:w="1348" w:type="dxa"/>
            <w:tcBorders>
              <w:top w:val="nil"/>
              <w:left w:val="nil"/>
              <w:bottom w:val="nil"/>
              <w:right w:val="nil"/>
            </w:tcBorders>
            <w:shd w:val="clear" w:color="auto" w:fill="auto"/>
            <w:vAlign w:val="center"/>
          </w:tcPr>
          <w:p w14:paraId="38EC574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 (52)</w:t>
            </w:r>
          </w:p>
        </w:tc>
        <w:tc>
          <w:tcPr>
            <w:tcW w:w="1262" w:type="dxa"/>
            <w:tcBorders>
              <w:top w:val="nil"/>
              <w:left w:val="nil"/>
              <w:bottom w:val="nil"/>
              <w:right w:val="nil"/>
            </w:tcBorders>
            <w:shd w:val="clear" w:color="auto" w:fill="auto"/>
            <w:vAlign w:val="center"/>
          </w:tcPr>
          <w:p w14:paraId="5DDCDFC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(40)</w:t>
            </w:r>
          </w:p>
        </w:tc>
        <w:tc>
          <w:tcPr>
            <w:tcW w:w="1440" w:type="dxa"/>
            <w:tcBorders>
              <w:top w:val="nil"/>
              <w:left w:val="nil"/>
              <w:bottom w:val="nil"/>
              <w:right w:val="nil"/>
            </w:tcBorders>
          </w:tcPr>
          <w:p w14:paraId="7D8112AE"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nil"/>
              <w:right w:val="nil"/>
            </w:tcBorders>
          </w:tcPr>
          <w:p w14:paraId="5BB68B0E"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740D0B5B" w14:textId="77777777">
        <w:trPr>
          <w:trHeight w:val="144"/>
        </w:trPr>
        <w:tc>
          <w:tcPr>
            <w:tcW w:w="2479" w:type="dxa"/>
            <w:tcBorders>
              <w:top w:val="nil"/>
              <w:left w:val="nil"/>
              <w:bottom w:val="single" w:sz="8" w:space="0" w:color="000000"/>
              <w:right w:val="nil"/>
            </w:tcBorders>
            <w:shd w:val="clear" w:color="auto" w:fill="auto"/>
            <w:vAlign w:val="center"/>
          </w:tcPr>
          <w:p w14:paraId="2525CFA2" w14:textId="77777777" w:rsidR="00724AB5" w:rsidRDefault="007D385F">
            <w:pPr>
              <w:spacing w:after="0" w:line="240" w:lineRule="auto"/>
              <w:ind w:left="57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219" w:type="dxa"/>
            <w:tcBorders>
              <w:top w:val="nil"/>
              <w:left w:val="nil"/>
              <w:bottom w:val="single" w:sz="8" w:space="0" w:color="000000"/>
              <w:right w:val="nil"/>
            </w:tcBorders>
            <w:shd w:val="clear" w:color="auto" w:fill="auto"/>
            <w:vAlign w:val="center"/>
          </w:tcPr>
          <w:p w14:paraId="369B30C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 (41)</w:t>
            </w:r>
          </w:p>
        </w:tc>
        <w:tc>
          <w:tcPr>
            <w:tcW w:w="1348" w:type="dxa"/>
            <w:tcBorders>
              <w:top w:val="nil"/>
              <w:left w:val="nil"/>
              <w:bottom w:val="single" w:sz="8" w:space="0" w:color="000000"/>
              <w:right w:val="nil"/>
            </w:tcBorders>
            <w:shd w:val="clear" w:color="auto" w:fill="auto"/>
            <w:vAlign w:val="center"/>
          </w:tcPr>
          <w:p w14:paraId="7AAAFB3C"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(48)</w:t>
            </w:r>
          </w:p>
        </w:tc>
        <w:tc>
          <w:tcPr>
            <w:tcW w:w="1262" w:type="dxa"/>
            <w:tcBorders>
              <w:top w:val="nil"/>
              <w:left w:val="nil"/>
              <w:bottom w:val="single" w:sz="8" w:space="0" w:color="000000"/>
              <w:right w:val="nil"/>
            </w:tcBorders>
            <w:shd w:val="clear" w:color="auto" w:fill="auto"/>
            <w:vAlign w:val="center"/>
          </w:tcPr>
          <w:p w14:paraId="0C752EC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 (60)</w:t>
            </w:r>
          </w:p>
        </w:tc>
        <w:tc>
          <w:tcPr>
            <w:tcW w:w="1440" w:type="dxa"/>
            <w:tcBorders>
              <w:top w:val="nil"/>
              <w:left w:val="nil"/>
              <w:bottom w:val="single" w:sz="8" w:space="0" w:color="000000"/>
              <w:right w:val="nil"/>
            </w:tcBorders>
          </w:tcPr>
          <w:p w14:paraId="069127A6"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1016" w:type="dxa"/>
            <w:tcBorders>
              <w:top w:val="nil"/>
              <w:left w:val="nil"/>
              <w:bottom w:val="single" w:sz="8" w:space="0" w:color="000000"/>
              <w:right w:val="nil"/>
            </w:tcBorders>
          </w:tcPr>
          <w:p w14:paraId="09AAAF20" w14:textId="77777777" w:rsidR="00724AB5" w:rsidRDefault="00724AB5">
            <w:pPr>
              <w:spacing w:after="0" w:line="240" w:lineRule="auto"/>
              <w:jc w:val="center"/>
              <w:rPr>
                <w:rFonts w:ascii="Times New Roman" w:eastAsia="Times New Roman" w:hAnsi="Times New Roman" w:cs="Times New Roman"/>
                <w:color w:val="000000"/>
                <w:sz w:val="18"/>
                <w:szCs w:val="18"/>
              </w:rPr>
            </w:pPr>
          </w:p>
        </w:tc>
      </w:tr>
      <w:tr w:rsidR="00724AB5" w14:paraId="0CFCD4B8" w14:textId="77777777">
        <w:trPr>
          <w:trHeight w:val="144"/>
        </w:trPr>
        <w:tc>
          <w:tcPr>
            <w:tcW w:w="8764" w:type="dxa"/>
            <w:gridSpan w:val="6"/>
            <w:tcBorders>
              <w:top w:val="single" w:sz="8" w:space="0" w:color="000000"/>
              <w:left w:val="nil"/>
              <w:right w:val="nil"/>
            </w:tcBorders>
            <w:shd w:val="clear" w:color="auto" w:fill="auto"/>
            <w:vAlign w:val="center"/>
          </w:tcPr>
          <w:p w14:paraId="33798CC2"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vertAlign w:val="superscript"/>
              </w:rPr>
              <w:t>a</w:t>
            </w:r>
            <w:r>
              <w:rPr>
                <w:rFonts w:ascii="Times New Roman" w:eastAsia="Times New Roman" w:hAnsi="Times New Roman" w:cs="Times New Roman"/>
                <w:color w:val="000000"/>
                <w:sz w:val="18"/>
                <w:szCs w:val="18"/>
              </w:rPr>
              <w:t xml:space="preserve"> Kruskal-Wallis chi-square</w:t>
            </w:r>
          </w:p>
          <w:p w14:paraId="5919BB21"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vertAlign w:val="superscript"/>
              </w:rPr>
              <w:t>b</w:t>
            </w:r>
            <w:r>
              <w:rPr>
                <w:rFonts w:ascii="Times New Roman" w:eastAsia="Times New Roman" w:hAnsi="Times New Roman" w:cs="Times New Roman"/>
                <w:color w:val="000000"/>
                <w:sz w:val="18"/>
                <w:szCs w:val="18"/>
              </w:rPr>
              <w:t xml:space="preserve"> Approximation using Monte Carlo simulation, no degree of freedom</w:t>
            </w:r>
          </w:p>
          <w:p w14:paraId="42740455"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PA: Perceived Anxiety, PSS: Perceived Stress Scale, IQR: Interquartile range, </w:t>
            </w:r>
            <w:r>
              <w:rPr>
                <w:rFonts w:ascii="Times New Roman" w:eastAsia="Times New Roman" w:hAnsi="Times New Roman" w:cs="Times New Roman"/>
                <w:i/>
                <w:color w:val="000000"/>
                <w:sz w:val="18"/>
                <w:szCs w:val="18"/>
              </w:rPr>
              <w:t>df</w:t>
            </w:r>
            <w:r>
              <w:rPr>
                <w:rFonts w:ascii="Times New Roman" w:eastAsia="Times New Roman" w:hAnsi="Times New Roman" w:cs="Times New Roman"/>
                <w:color w:val="000000"/>
                <w:sz w:val="18"/>
                <w:szCs w:val="18"/>
              </w:rPr>
              <w:t>: degree of freedom</w:t>
            </w:r>
          </w:p>
          <w:p w14:paraId="4B2CB3DC" w14:textId="330C6A25" w:rsidR="002C4543" w:rsidRDefault="002C454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lang w:val="en-US"/>
              </w:rPr>
              <w:t>Analysis</w:t>
            </w:r>
            <w:r w:rsidRPr="009B609F">
              <w:rPr>
                <w:rFonts w:ascii="Times New Roman" w:eastAsia="Times New Roman" w:hAnsi="Times New Roman" w:cs="Times New Roman"/>
                <w:sz w:val="18"/>
                <w:szCs w:val="18"/>
                <w:lang w:val="en-US"/>
              </w:rPr>
              <w:t xml:space="preserve"> were performed at 0.05 significance level</w:t>
            </w:r>
          </w:p>
        </w:tc>
      </w:tr>
    </w:tbl>
    <w:p w14:paraId="5A79497E" w14:textId="77777777" w:rsidR="00724AB5" w:rsidRDefault="00724AB5">
      <w:pPr>
        <w:rPr>
          <w:rFonts w:ascii="Aptos" w:eastAsia="Aptos" w:hAnsi="Aptos" w:cs="Aptos"/>
        </w:rPr>
      </w:pPr>
    </w:p>
    <w:p w14:paraId="7A055EE1" w14:textId="77777777" w:rsidR="00724AB5" w:rsidRDefault="007D385F">
      <w:pPr>
        <w:keepNext/>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Table S2. Socioeconomic characteristics of the study participants.</w:t>
      </w:r>
    </w:p>
    <w:tbl>
      <w:tblPr>
        <w:tblStyle w:val="a4"/>
        <w:tblW w:w="7110" w:type="dxa"/>
        <w:tblInd w:w="0" w:type="dxa"/>
        <w:tblLayout w:type="fixed"/>
        <w:tblLook w:val="0400" w:firstRow="0" w:lastRow="0" w:firstColumn="0" w:lastColumn="0" w:noHBand="0" w:noVBand="1"/>
      </w:tblPr>
      <w:tblGrid>
        <w:gridCol w:w="4230"/>
        <w:gridCol w:w="1440"/>
        <w:gridCol w:w="1440"/>
      </w:tblGrid>
      <w:tr w:rsidR="00724AB5" w14:paraId="481DEEBB" w14:textId="77777777">
        <w:trPr>
          <w:trHeight w:val="310"/>
        </w:trPr>
        <w:tc>
          <w:tcPr>
            <w:tcW w:w="4230" w:type="dxa"/>
            <w:tcBorders>
              <w:top w:val="single" w:sz="8" w:space="0" w:color="000000"/>
              <w:left w:val="nil"/>
              <w:bottom w:val="single" w:sz="8" w:space="0" w:color="000000"/>
              <w:right w:val="nil"/>
            </w:tcBorders>
            <w:shd w:val="clear" w:color="auto" w:fill="auto"/>
            <w:vAlign w:val="center"/>
          </w:tcPr>
          <w:p w14:paraId="3B15E476" w14:textId="77777777" w:rsidR="00724AB5" w:rsidRDefault="007D38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Variable </w:t>
            </w:r>
            <w:r>
              <w:rPr>
                <w:rFonts w:ascii="Times New Roman" w:eastAsia="Times New Roman" w:hAnsi="Times New Roman" w:cs="Times New Roman"/>
                <w:b/>
                <w:color w:val="000000"/>
                <w:sz w:val="20"/>
                <w:szCs w:val="20"/>
              </w:rPr>
              <w:t>characteristics</w:t>
            </w:r>
          </w:p>
        </w:tc>
        <w:tc>
          <w:tcPr>
            <w:tcW w:w="1440" w:type="dxa"/>
            <w:tcBorders>
              <w:top w:val="single" w:sz="8" w:space="0" w:color="000000"/>
              <w:left w:val="nil"/>
              <w:bottom w:val="single" w:sz="8" w:space="0" w:color="000000"/>
              <w:right w:val="nil"/>
            </w:tcBorders>
            <w:shd w:val="clear" w:color="auto" w:fill="auto"/>
            <w:vAlign w:val="center"/>
          </w:tcPr>
          <w:p w14:paraId="51EA4D1F" w14:textId="77777777" w:rsidR="00724AB5" w:rsidRDefault="007D38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Frequency (n)</w:t>
            </w:r>
          </w:p>
        </w:tc>
        <w:tc>
          <w:tcPr>
            <w:tcW w:w="1440" w:type="dxa"/>
            <w:tcBorders>
              <w:top w:val="single" w:sz="8" w:space="0" w:color="000000"/>
              <w:left w:val="nil"/>
              <w:bottom w:val="single" w:sz="8" w:space="0" w:color="000000"/>
              <w:right w:val="nil"/>
            </w:tcBorders>
            <w:shd w:val="clear" w:color="auto" w:fill="auto"/>
            <w:vAlign w:val="center"/>
          </w:tcPr>
          <w:p w14:paraId="249D7854" w14:textId="77777777" w:rsidR="00724AB5" w:rsidRDefault="007D38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Percent (%)</w:t>
            </w:r>
          </w:p>
        </w:tc>
      </w:tr>
      <w:tr w:rsidR="00724AB5" w14:paraId="5267D4B7" w14:textId="77777777">
        <w:trPr>
          <w:trHeight w:val="315"/>
        </w:trPr>
        <w:tc>
          <w:tcPr>
            <w:tcW w:w="7110" w:type="dxa"/>
            <w:gridSpan w:val="3"/>
            <w:tcBorders>
              <w:top w:val="single" w:sz="8" w:space="0" w:color="000000"/>
              <w:left w:val="nil"/>
              <w:bottom w:val="nil"/>
              <w:right w:val="nil"/>
            </w:tcBorders>
            <w:shd w:val="clear" w:color="auto" w:fill="auto"/>
            <w:vAlign w:val="bottom"/>
          </w:tcPr>
          <w:p w14:paraId="3F5C48F6" w14:textId="77777777" w:rsidR="00724AB5" w:rsidRDefault="007D385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Parental level of education</w:t>
            </w:r>
          </w:p>
        </w:tc>
      </w:tr>
      <w:tr w:rsidR="00724AB5" w14:paraId="0B1CF442" w14:textId="77777777">
        <w:trPr>
          <w:trHeight w:val="315"/>
        </w:trPr>
        <w:tc>
          <w:tcPr>
            <w:tcW w:w="4230" w:type="dxa"/>
            <w:tcBorders>
              <w:top w:val="nil"/>
              <w:left w:val="nil"/>
              <w:bottom w:val="nil"/>
              <w:right w:val="nil"/>
            </w:tcBorders>
            <w:shd w:val="clear" w:color="auto" w:fill="auto"/>
            <w:vAlign w:val="center"/>
          </w:tcPr>
          <w:p w14:paraId="74585807"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Primary</w:t>
            </w:r>
          </w:p>
        </w:tc>
        <w:tc>
          <w:tcPr>
            <w:tcW w:w="1440" w:type="dxa"/>
            <w:tcBorders>
              <w:top w:val="nil"/>
              <w:left w:val="nil"/>
              <w:bottom w:val="nil"/>
              <w:right w:val="nil"/>
            </w:tcBorders>
            <w:shd w:val="clear" w:color="auto" w:fill="auto"/>
            <w:vAlign w:val="center"/>
          </w:tcPr>
          <w:p w14:paraId="7C3605CA"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440" w:type="dxa"/>
            <w:tcBorders>
              <w:top w:val="nil"/>
              <w:left w:val="nil"/>
              <w:bottom w:val="nil"/>
              <w:right w:val="nil"/>
            </w:tcBorders>
            <w:shd w:val="clear" w:color="auto" w:fill="auto"/>
            <w:vAlign w:val="center"/>
          </w:tcPr>
          <w:p w14:paraId="3F892353"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r>
      <w:tr w:rsidR="00724AB5" w14:paraId="665C2B48" w14:textId="77777777">
        <w:trPr>
          <w:trHeight w:val="315"/>
        </w:trPr>
        <w:tc>
          <w:tcPr>
            <w:tcW w:w="4230" w:type="dxa"/>
            <w:tcBorders>
              <w:top w:val="nil"/>
              <w:left w:val="nil"/>
              <w:bottom w:val="nil"/>
              <w:right w:val="nil"/>
            </w:tcBorders>
            <w:shd w:val="clear" w:color="auto" w:fill="auto"/>
            <w:vAlign w:val="center"/>
          </w:tcPr>
          <w:p w14:paraId="70D337EE"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Secondary</w:t>
            </w:r>
          </w:p>
        </w:tc>
        <w:tc>
          <w:tcPr>
            <w:tcW w:w="1440" w:type="dxa"/>
            <w:tcBorders>
              <w:top w:val="nil"/>
              <w:left w:val="nil"/>
              <w:bottom w:val="nil"/>
              <w:right w:val="nil"/>
            </w:tcBorders>
            <w:shd w:val="clear" w:color="auto" w:fill="auto"/>
            <w:vAlign w:val="center"/>
          </w:tcPr>
          <w:p w14:paraId="721588E3"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1440" w:type="dxa"/>
            <w:tcBorders>
              <w:top w:val="nil"/>
              <w:left w:val="nil"/>
              <w:bottom w:val="nil"/>
              <w:right w:val="nil"/>
            </w:tcBorders>
            <w:shd w:val="clear" w:color="auto" w:fill="auto"/>
            <w:vAlign w:val="center"/>
          </w:tcPr>
          <w:p w14:paraId="3F316E2B"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16.8</w:t>
            </w:r>
          </w:p>
        </w:tc>
      </w:tr>
      <w:tr w:rsidR="00724AB5" w14:paraId="1FC614C2" w14:textId="77777777">
        <w:trPr>
          <w:trHeight w:val="315"/>
        </w:trPr>
        <w:tc>
          <w:tcPr>
            <w:tcW w:w="4230" w:type="dxa"/>
            <w:tcBorders>
              <w:top w:val="nil"/>
              <w:left w:val="nil"/>
              <w:bottom w:val="nil"/>
              <w:right w:val="nil"/>
            </w:tcBorders>
            <w:shd w:val="clear" w:color="auto" w:fill="auto"/>
            <w:vAlign w:val="center"/>
          </w:tcPr>
          <w:p w14:paraId="78F543D1"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High school or vocational training</w:t>
            </w:r>
          </w:p>
        </w:tc>
        <w:tc>
          <w:tcPr>
            <w:tcW w:w="1440" w:type="dxa"/>
            <w:tcBorders>
              <w:top w:val="nil"/>
              <w:left w:val="nil"/>
              <w:bottom w:val="nil"/>
              <w:right w:val="nil"/>
            </w:tcBorders>
            <w:shd w:val="clear" w:color="auto" w:fill="auto"/>
            <w:vAlign w:val="center"/>
          </w:tcPr>
          <w:p w14:paraId="7437A0E2"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1440" w:type="dxa"/>
            <w:tcBorders>
              <w:top w:val="nil"/>
              <w:left w:val="nil"/>
              <w:bottom w:val="nil"/>
              <w:right w:val="nil"/>
            </w:tcBorders>
            <w:shd w:val="clear" w:color="auto" w:fill="auto"/>
            <w:vAlign w:val="center"/>
          </w:tcPr>
          <w:p w14:paraId="1523F6F7"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23.8</w:t>
            </w:r>
          </w:p>
        </w:tc>
      </w:tr>
      <w:tr w:rsidR="00724AB5" w14:paraId="54EEE5C1" w14:textId="77777777">
        <w:trPr>
          <w:trHeight w:val="315"/>
        </w:trPr>
        <w:tc>
          <w:tcPr>
            <w:tcW w:w="4230" w:type="dxa"/>
            <w:tcBorders>
              <w:top w:val="nil"/>
              <w:left w:val="nil"/>
              <w:bottom w:val="nil"/>
              <w:right w:val="nil"/>
            </w:tcBorders>
            <w:shd w:val="clear" w:color="auto" w:fill="auto"/>
            <w:vAlign w:val="center"/>
          </w:tcPr>
          <w:p w14:paraId="0D1724B5"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University or higher professional training</w:t>
            </w:r>
          </w:p>
        </w:tc>
        <w:tc>
          <w:tcPr>
            <w:tcW w:w="1440" w:type="dxa"/>
            <w:tcBorders>
              <w:top w:val="nil"/>
              <w:left w:val="nil"/>
              <w:bottom w:val="nil"/>
              <w:right w:val="nil"/>
            </w:tcBorders>
            <w:shd w:val="clear" w:color="auto" w:fill="auto"/>
            <w:vAlign w:val="center"/>
          </w:tcPr>
          <w:p w14:paraId="4BE7D925"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w:t>
            </w:r>
          </w:p>
        </w:tc>
        <w:tc>
          <w:tcPr>
            <w:tcW w:w="1440" w:type="dxa"/>
            <w:tcBorders>
              <w:top w:val="nil"/>
              <w:left w:val="nil"/>
              <w:bottom w:val="nil"/>
              <w:right w:val="nil"/>
            </w:tcBorders>
            <w:shd w:val="clear" w:color="auto" w:fill="auto"/>
            <w:vAlign w:val="center"/>
          </w:tcPr>
          <w:p w14:paraId="18822C6C"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43.8</w:t>
            </w:r>
          </w:p>
        </w:tc>
      </w:tr>
      <w:tr w:rsidR="00724AB5" w14:paraId="43C54FD7" w14:textId="77777777">
        <w:trPr>
          <w:trHeight w:val="315"/>
        </w:trPr>
        <w:tc>
          <w:tcPr>
            <w:tcW w:w="4230" w:type="dxa"/>
            <w:tcBorders>
              <w:top w:val="nil"/>
              <w:left w:val="nil"/>
              <w:bottom w:val="nil"/>
              <w:right w:val="nil"/>
            </w:tcBorders>
            <w:shd w:val="clear" w:color="auto" w:fill="auto"/>
            <w:vAlign w:val="center"/>
          </w:tcPr>
          <w:p w14:paraId="6BF0F1A1"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Preferred not to disclose</w:t>
            </w:r>
          </w:p>
        </w:tc>
        <w:tc>
          <w:tcPr>
            <w:tcW w:w="1440" w:type="dxa"/>
            <w:tcBorders>
              <w:top w:val="nil"/>
              <w:left w:val="nil"/>
              <w:bottom w:val="nil"/>
              <w:right w:val="nil"/>
            </w:tcBorders>
            <w:shd w:val="clear" w:color="auto" w:fill="auto"/>
            <w:vAlign w:val="center"/>
          </w:tcPr>
          <w:p w14:paraId="1572A97F"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440" w:type="dxa"/>
            <w:tcBorders>
              <w:top w:val="nil"/>
              <w:left w:val="nil"/>
              <w:bottom w:val="nil"/>
              <w:right w:val="nil"/>
            </w:tcBorders>
            <w:shd w:val="clear" w:color="auto" w:fill="auto"/>
            <w:vAlign w:val="center"/>
          </w:tcPr>
          <w:p w14:paraId="6ADD384A"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w:t>
            </w:r>
          </w:p>
        </w:tc>
      </w:tr>
      <w:tr w:rsidR="00724AB5" w14:paraId="7D99467B" w14:textId="77777777">
        <w:trPr>
          <w:trHeight w:val="315"/>
        </w:trPr>
        <w:tc>
          <w:tcPr>
            <w:tcW w:w="7110" w:type="dxa"/>
            <w:gridSpan w:val="3"/>
            <w:tcBorders>
              <w:top w:val="nil"/>
              <w:left w:val="nil"/>
              <w:bottom w:val="nil"/>
              <w:right w:val="nil"/>
            </w:tcBorders>
            <w:shd w:val="clear" w:color="auto" w:fill="auto"/>
            <w:vAlign w:val="center"/>
          </w:tcPr>
          <w:p w14:paraId="0394C6BF" w14:textId="77777777" w:rsidR="00724AB5" w:rsidRDefault="007D38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Household size </w:t>
            </w:r>
            <w:r>
              <w:rPr>
                <w:rFonts w:ascii="Times New Roman" w:eastAsia="Times New Roman" w:hAnsi="Times New Roman" w:cs="Times New Roman"/>
                <w:b/>
                <w:color w:val="000000"/>
                <w:sz w:val="20"/>
                <w:szCs w:val="20"/>
              </w:rPr>
              <w:t>(persons/home)</w:t>
            </w:r>
          </w:p>
        </w:tc>
      </w:tr>
      <w:tr w:rsidR="00724AB5" w14:paraId="7513908F" w14:textId="77777777">
        <w:trPr>
          <w:trHeight w:val="315"/>
        </w:trPr>
        <w:tc>
          <w:tcPr>
            <w:tcW w:w="4230" w:type="dxa"/>
            <w:tcBorders>
              <w:top w:val="nil"/>
              <w:left w:val="nil"/>
              <w:bottom w:val="nil"/>
              <w:right w:val="nil"/>
            </w:tcBorders>
            <w:shd w:val="clear" w:color="auto" w:fill="auto"/>
            <w:vAlign w:val="center"/>
          </w:tcPr>
          <w:p w14:paraId="7C31C641"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One to three</w:t>
            </w:r>
          </w:p>
        </w:tc>
        <w:tc>
          <w:tcPr>
            <w:tcW w:w="1440" w:type="dxa"/>
            <w:tcBorders>
              <w:top w:val="nil"/>
              <w:left w:val="nil"/>
              <w:bottom w:val="nil"/>
              <w:right w:val="nil"/>
            </w:tcBorders>
            <w:shd w:val="clear" w:color="auto" w:fill="auto"/>
            <w:vAlign w:val="center"/>
          </w:tcPr>
          <w:p w14:paraId="1C8FA945"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1440" w:type="dxa"/>
            <w:tcBorders>
              <w:top w:val="nil"/>
              <w:left w:val="nil"/>
              <w:bottom w:val="nil"/>
              <w:right w:val="nil"/>
            </w:tcBorders>
            <w:shd w:val="clear" w:color="auto" w:fill="auto"/>
            <w:vAlign w:val="center"/>
          </w:tcPr>
          <w:p w14:paraId="4E5D8712"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w:t>
            </w:r>
          </w:p>
        </w:tc>
      </w:tr>
      <w:tr w:rsidR="00724AB5" w14:paraId="5EF4C733" w14:textId="77777777">
        <w:trPr>
          <w:trHeight w:val="315"/>
        </w:trPr>
        <w:tc>
          <w:tcPr>
            <w:tcW w:w="4230" w:type="dxa"/>
            <w:tcBorders>
              <w:top w:val="nil"/>
              <w:left w:val="nil"/>
              <w:bottom w:val="nil"/>
              <w:right w:val="nil"/>
            </w:tcBorders>
            <w:shd w:val="clear" w:color="auto" w:fill="auto"/>
            <w:vAlign w:val="center"/>
          </w:tcPr>
          <w:p w14:paraId="0A9DA1AF"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Four to six</w:t>
            </w:r>
          </w:p>
        </w:tc>
        <w:tc>
          <w:tcPr>
            <w:tcW w:w="1440" w:type="dxa"/>
            <w:tcBorders>
              <w:top w:val="nil"/>
              <w:left w:val="nil"/>
              <w:bottom w:val="nil"/>
              <w:right w:val="nil"/>
            </w:tcBorders>
            <w:shd w:val="clear" w:color="auto" w:fill="auto"/>
            <w:vAlign w:val="center"/>
          </w:tcPr>
          <w:p w14:paraId="5C50610F"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w:t>
            </w:r>
          </w:p>
        </w:tc>
        <w:tc>
          <w:tcPr>
            <w:tcW w:w="1440" w:type="dxa"/>
            <w:tcBorders>
              <w:top w:val="nil"/>
              <w:left w:val="nil"/>
              <w:bottom w:val="nil"/>
              <w:right w:val="nil"/>
            </w:tcBorders>
            <w:shd w:val="clear" w:color="auto" w:fill="auto"/>
            <w:vAlign w:val="center"/>
          </w:tcPr>
          <w:p w14:paraId="12A855EB"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47.0</w:t>
            </w:r>
          </w:p>
        </w:tc>
      </w:tr>
      <w:tr w:rsidR="00724AB5" w14:paraId="48E1C0DA" w14:textId="77777777">
        <w:trPr>
          <w:trHeight w:val="315"/>
        </w:trPr>
        <w:tc>
          <w:tcPr>
            <w:tcW w:w="4230" w:type="dxa"/>
            <w:tcBorders>
              <w:top w:val="nil"/>
              <w:left w:val="nil"/>
              <w:bottom w:val="nil"/>
              <w:right w:val="nil"/>
            </w:tcBorders>
            <w:shd w:val="clear" w:color="auto" w:fill="auto"/>
            <w:vAlign w:val="center"/>
          </w:tcPr>
          <w:p w14:paraId="6F8ADD85"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More than 6</w:t>
            </w:r>
          </w:p>
        </w:tc>
        <w:tc>
          <w:tcPr>
            <w:tcW w:w="1440" w:type="dxa"/>
            <w:tcBorders>
              <w:top w:val="nil"/>
              <w:left w:val="nil"/>
              <w:bottom w:val="nil"/>
              <w:right w:val="nil"/>
            </w:tcBorders>
            <w:shd w:val="clear" w:color="auto" w:fill="auto"/>
            <w:vAlign w:val="center"/>
          </w:tcPr>
          <w:p w14:paraId="3D612A08"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1440" w:type="dxa"/>
            <w:tcBorders>
              <w:top w:val="nil"/>
              <w:left w:val="nil"/>
              <w:bottom w:val="nil"/>
              <w:right w:val="nil"/>
            </w:tcBorders>
            <w:shd w:val="clear" w:color="auto" w:fill="auto"/>
            <w:vAlign w:val="center"/>
          </w:tcPr>
          <w:p w14:paraId="53965257"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r>
      <w:tr w:rsidR="00724AB5" w14:paraId="5F5E0710" w14:textId="77777777">
        <w:trPr>
          <w:trHeight w:val="315"/>
        </w:trPr>
        <w:tc>
          <w:tcPr>
            <w:tcW w:w="7110" w:type="dxa"/>
            <w:gridSpan w:val="3"/>
            <w:tcBorders>
              <w:top w:val="nil"/>
              <w:left w:val="nil"/>
              <w:bottom w:val="nil"/>
              <w:right w:val="nil"/>
            </w:tcBorders>
            <w:shd w:val="clear" w:color="auto" w:fill="auto"/>
            <w:vAlign w:val="center"/>
          </w:tcPr>
          <w:p w14:paraId="17B03E98" w14:textId="77777777" w:rsidR="00724AB5" w:rsidRDefault="007D385F">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Number of persons per room</w:t>
            </w:r>
          </w:p>
        </w:tc>
      </w:tr>
      <w:tr w:rsidR="00724AB5" w14:paraId="21020063" w14:textId="77777777">
        <w:trPr>
          <w:trHeight w:val="315"/>
        </w:trPr>
        <w:tc>
          <w:tcPr>
            <w:tcW w:w="4230" w:type="dxa"/>
            <w:tcBorders>
              <w:top w:val="nil"/>
              <w:left w:val="nil"/>
              <w:bottom w:val="nil"/>
              <w:right w:val="nil"/>
            </w:tcBorders>
            <w:shd w:val="clear" w:color="auto" w:fill="auto"/>
            <w:vAlign w:val="center"/>
          </w:tcPr>
          <w:p w14:paraId="3541D358"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One</w:t>
            </w:r>
          </w:p>
        </w:tc>
        <w:tc>
          <w:tcPr>
            <w:tcW w:w="1440" w:type="dxa"/>
            <w:tcBorders>
              <w:top w:val="nil"/>
              <w:left w:val="nil"/>
              <w:bottom w:val="nil"/>
              <w:right w:val="nil"/>
            </w:tcBorders>
            <w:shd w:val="clear" w:color="auto" w:fill="auto"/>
            <w:vAlign w:val="center"/>
          </w:tcPr>
          <w:p w14:paraId="3955AB57"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440" w:type="dxa"/>
            <w:tcBorders>
              <w:top w:val="nil"/>
              <w:left w:val="nil"/>
              <w:bottom w:val="nil"/>
              <w:right w:val="nil"/>
            </w:tcBorders>
            <w:shd w:val="clear" w:color="auto" w:fill="auto"/>
            <w:vAlign w:val="center"/>
          </w:tcPr>
          <w:p w14:paraId="269AF050"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15.7</w:t>
            </w:r>
          </w:p>
        </w:tc>
      </w:tr>
      <w:tr w:rsidR="00724AB5" w14:paraId="1B79B143" w14:textId="77777777">
        <w:trPr>
          <w:trHeight w:val="315"/>
        </w:trPr>
        <w:tc>
          <w:tcPr>
            <w:tcW w:w="4230" w:type="dxa"/>
            <w:tcBorders>
              <w:top w:val="nil"/>
              <w:left w:val="nil"/>
              <w:bottom w:val="nil"/>
              <w:right w:val="nil"/>
            </w:tcBorders>
            <w:shd w:val="clear" w:color="auto" w:fill="auto"/>
            <w:vAlign w:val="center"/>
          </w:tcPr>
          <w:p w14:paraId="64D588D7"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Two to three</w:t>
            </w:r>
          </w:p>
        </w:tc>
        <w:tc>
          <w:tcPr>
            <w:tcW w:w="1440" w:type="dxa"/>
            <w:tcBorders>
              <w:top w:val="nil"/>
              <w:left w:val="nil"/>
              <w:bottom w:val="nil"/>
              <w:right w:val="nil"/>
            </w:tcBorders>
            <w:shd w:val="clear" w:color="auto" w:fill="auto"/>
            <w:vAlign w:val="center"/>
          </w:tcPr>
          <w:p w14:paraId="6EEF86C1"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p>
        </w:tc>
        <w:tc>
          <w:tcPr>
            <w:tcW w:w="1440" w:type="dxa"/>
            <w:tcBorders>
              <w:top w:val="nil"/>
              <w:left w:val="nil"/>
              <w:bottom w:val="nil"/>
              <w:right w:val="nil"/>
            </w:tcBorders>
            <w:shd w:val="clear" w:color="auto" w:fill="auto"/>
            <w:vAlign w:val="center"/>
          </w:tcPr>
          <w:p w14:paraId="76119478"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63.2</w:t>
            </w:r>
          </w:p>
        </w:tc>
      </w:tr>
      <w:tr w:rsidR="00724AB5" w14:paraId="07CE12DE" w14:textId="77777777">
        <w:trPr>
          <w:trHeight w:val="315"/>
        </w:trPr>
        <w:tc>
          <w:tcPr>
            <w:tcW w:w="4230" w:type="dxa"/>
            <w:tcBorders>
              <w:top w:val="nil"/>
              <w:left w:val="nil"/>
              <w:bottom w:val="nil"/>
              <w:right w:val="nil"/>
            </w:tcBorders>
            <w:shd w:val="clear" w:color="auto" w:fill="auto"/>
            <w:vAlign w:val="center"/>
          </w:tcPr>
          <w:p w14:paraId="26921FF2"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Four or more</w:t>
            </w:r>
          </w:p>
        </w:tc>
        <w:tc>
          <w:tcPr>
            <w:tcW w:w="1440" w:type="dxa"/>
            <w:tcBorders>
              <w:top w:val="nil"/>
              <w:left w:val="nil"/>
              <w:bottom w:val="nil"/>
              <w:right w:val="nil"/>
            </w:tcBorders>
            <w:shd w:val="clear" w:color="auto" w:fill="auto"/>
            <w:vAlign w:val="center"/>
          </w:tcPr>
          <w:p w14:paraId="4EE06121"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1440" w:type="dxa"/>
            <w:tcBorders>
              <w:top w:val="nil"/>
              <w:left w:val="nil"/>
              <w:bottom w:val="nil"/>
              <w:right w:val="nil"/>
            </w:tcBorders>
            <w:shd w:val="clear" w:color="auto" w:fill="auto"/>
            <w:vAlign w:val="center"/>
          </w:tcPr>
          <w:p w14:paraId="10FAFD24"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r>
      <w:tr w:rsidR="00724AB5" w14:paraId="7E35281B" w14:textId="77777777">
        <w:trPr>
          <w:trHeight w:val="315"/>
        </w:trPr>
        <w:tc>
          <w:tcPr>
            <w:tcW w:w="7110" w:type="dxa"/>
            <w:gridSpan w:val="3"/>
            <w:tcBorders>
              <w:top w:val="nil"/>
              <w:left w:val="nil"/>
              <w:bottom w:val="nil"/>
              <w:right w:val="nil"/>
            </w:tcBorders>
            <w:shd w:val="clear" w:color="auto" w:fill="auto"/>
            <w:vAlign w:val="center"/>
          </w:tcPr>
          <w:p w14:paraId="07B67863" w14:textId="77777777" w:rsidR="00724AB5" w:rsidRDefault="007D385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Household income (XAF/month)</w:t>
            </w:r>
            <w:r>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 xml:space="preserve"> </w:t>
            </w:r>
          </w:p>
        </w:tc>
      </w:tr>
      <w:tr w:rsidR="00724AB5" w14:paraId="44FA5CAF" w14:textId="77777777">
        <w:trPr>
          <w:trHeight w:val="315"/>
        </w:trPr>
        <w:tc>
          <w:tcPr>
            <w:tcW w:w="4230" w:type="dxa"/>
            <w:tcBorders>
              <w:top w:val="nil"/>
              <w:left w:val="nil"/>
              <w:bottom w:val="nil"/>
              <w:right w:val="nil"/>
            </w:tcBorders>
            <w:shd w:val="clear" w:color="auto" w:fill="auto"/>
            <w:vAlign w:val="center"/>
          </w:tcPr>
          <w:p w14:paraId="58509236"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Less than 100,000</w:t>
            </w:r>
          </w:p>
        </w:tc>
        <w:tc>
          <w:tcPr>
            <w:tcW w:w="1440" w:type="dxa"/>
            <w:tcBorders>
              <w:top w:val="nil"/>
              <w:left w:val="nil"/>
              <w:bottom w:val="nil"/>
              <w:right w:val="nil"/>
            </w:tcBorders>
            <w:shd w:val="clear" w:color="auto" w:fill="auto"/>
            <w:vAlign w:val="center"/>
          </w:tcPr>
          <w:p w14:paraId="26060BF1"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1440" w:type="dxa"/>
            <w:tcBorders>
              <w:top w:val="nil"/>
              <w:left w:val="nil"/>
              <w:bottom w:val="nil"/>
              <w:right w:val="nil"/>
            </w:tcBorders>
            <w:shd w:val="clear" w:color="auto" w:fill="auto"/>
            <w:vAlign w:val="center"/>
          </w:tcPr>
          <w:p w14:paraId="5104ECB9"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r>
      <w:tr w:rsidR="00724AB5" w14:paraId="6455C8A6" w14:textId="77777777">
        <w:trPr>
          <w:trHeight w:val="315"/>
        </w:trPr>
        <w:tc>
          <w:tcPr>
            <w:tcW w:w="4230" w:type="dxa"/>
            <w:tcBorders>
              <w:top w:val="nil"/>
              <w:left w:val="nil"/>
              <w:bottom w:val="nil"/>
              <w:right w:val="nil"/>
            </w:tcBorders>
            <w:shd w:val="clear" w:color="auto" w:fill="auto"/>
            <w:vAlign w:val="center"/>
          </w:tcPr>
          <w:p w14:paraId="53C2797E"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Between 100,000 - </w:t>
            </w:r>
            <w:r>
              <w:rPr>
                <w:rFonts w:ascii="Times New Roman" w:eastAsia="Times New Roman" w:hAnsi="Times New Roman" w:cs="Times New Roman"/>
                <w:color w:val="000000"/>
                <w:sz w:val="20"/>
                <w:szCs w:val="20"/>
              </w:rPr>
              <w:t>200,000</w:t>
            </w:r>
          </w:p>
        </w:tc>
        <w:tc>
          <w:tcPr>
            <w:tcW w:w="1440" w:type="dxa"/>
            <w:tcBorders>
              <w:top w:val="nil"/>
              <w:left w:val="nil"/>
              <w:bottom w:val="nil"/>
              <w:right w:val="nil"/>
            </w:tcBorders>
            <w:shd w:val="clear" w:color="auto" w:fill="auto"/>
            <w:vAlign w:val="center"/>
          </w:tcPr>
          <w:p w14:paraId="66BBC165"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1440" w:type="dxa"/>
            <w:tcBorders>
              <w:top w:val="nil"/>
              <w:left w:val="nil"/>
              <w:bottom w:val="nil"/>
              <w:right w:val="nil"/>
            </w:tcBorders>
            <w:shd w:val="clear" w:color="auto" w:fill="auto"/>
            <w:vAlign w:val="center"/>
          </w:tcPr>
          <w:p w14:paraId="4BF72BBD"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27.0</w:t>
            </w:r>
          </w:p>
        </w:tc>
      </w:tr>
      <w:tr w:rsidR="00724AB5" w14:paraId="435FFA2D" w14:textId="77777777">
        <w:trPr>
          <w:trHeight w:val="315"/>
        </w:trPr>
        <w:tc>
          <w:tcPr>
            <w:tcW w:w="4230" w:type="dxa"/>
            <w:tcBorders>
              <w:top w:val="nil"/>
              <w:left w:val="nil"/>
              <w:right w:val="nil"/>
            </w:tcBorders>
            <w:shd w:val="clear" w:color="auto" w:fill="auto"/>
            <w:vAlign w:val="center"/>
          </w:tcPr>
          <w:p w14:paraId="49FF8416"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More than 200,000</w:t>
            </w:r>
          </w:p>
        </w:tc>
        <w:tc>
          <w:tcPr>
            <w:tcW w:w="1440" w:type="dxa"/>
            <w:tcBorders>
              <w:top w:val="nil"/>
              <w:left w:val="nil"/>
              <w:right w:val="nil"/>
            </w:tcBorders>
            <w:shd w:val="clear" w:color="auto" w:fill="auto"/>
            <w:vAlign w:val="center"/>
          </w:tcPr>
          <w:p w14:paraId="6A7B1C87"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1440" w:type="dxa"/>
            <w:tcBorders>
              <w:top w:val="nil"/>
              <w:left w:val="nil"/>
              <w:right w:val="nil"/>
            </w:tcBorders>
            <w:shd w:val="clear" w:color="auto" w:fill="auto"/>
            <w:vAlign w:val="center"/>
          </w:tcPr>
          <w:p w14:paraId="10024D66"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23.8</w:t>
            </w:r>
          </w:p>
        </w:tc>
      </w:tr>
      <w:tr w:rsidR="00724AB5" w14:paraId="0D69A39C" w14:textId="77777777">
        <w:trPr>
          <w:trHeight w:val="315"/>
        </w:trPr>
        <w:tc>
          <w:tcPr>
            <w:tcW w:w="4230" w:type="dxa"/>
            <w:tcBorders>
              <w:top w:val="nil"/>
              <w:left w:val="nil"/>
              <w:bottom w:val="single" w:sz="8" w:space="0" w:color="000000"/>
              <w:right w:val="nil"/>
            </w:tcBorders>
            <w:shd w:val="clear" w:color="auto" w:fill="auto"/>
            <w:vAlign w:val="center"/>
          </w:tcPr>
          <w:p w14:paraId="540D6C0F" w14:textId="77777777" w:rsidR="00724AB5" w:rsidRDefault="007D385F">
            <w:pPr>
              <w:spacing w:after="0" w:line="240" w:lineRule="auto"/>
              <w:ind w:left="2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Preferred not to disclose</w:t>
            </w:r>
          </w:p>
        </w:tc>
        <w:tc>
          <w:tcPr>
            <w:tcW w:w="1440" w:type="dxa"/>
            <w:tcBorders>
              <w:top w:val="nil"/>
              <w:left w:val="nil"/>
              <w:bottom w:val="single" w:sz="8" w:space="0" w:color="000000"/>
              <w:right w:val="nil"/>
            </w:tcBorders>
            <w:shd w:val="clear" w:color="auto" w:fill="auto"/>
            <w:vAlign w:val="center"/>
          </w:tcPr>
          <w:p w14:paraId="21F761E1"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1440" w:type="dxa"/>
            <w:tcBorders>
              <w:top w:val="nil"/>
              <w:left w:val="nil"/>
              <w:bottom w:val="single" w:sz="8" w:space="0" w:color="000000"/>
              <w:right w:val="nil"/>
            </w:tcBorders>
            <w:shd w:val="clear" w:color="auto" w:fill="auto"/>
            <w:vAlign w:val="center"/>
          </w:tcPr>
          <w:p w14:paraId="2A72B3D4" w14:textId="77777777" w:rsidR="00724AB5" w:rsidRDefault="007D38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28.1</w:t>
            </w:r>
          </w:p>
        </w:tc>
      </w:tr>
      <w:tr w:rsidR="00724AB5" w14:paraId="37602ACC" w14:textId="77777777">
        <w:trPr>
          <w:trHeight w:val="315"/>
        </w:trPr>
        <w:tc>
          <w:tcPr>
            <w:tcW w:w="7110" w:type="dxa"/>
            <w:gridSpan w:val="3"/>
            <w:tcBorders>
              <w:top w:val="single" w:sz="8" w:space="0" w:color="000000"/>
              <w:left w:val="nil"/>
              <w:bottom w:val="nil"/>
              <w:right w:val="nil"/>
            </w:tcBorders>
            <w:shd w:val="clear" w:color="auto" w:fill="auto"/>
            <w:vAlign w:val="center"/>
          </w:tcPr>
          <w:p w14:paraId="28B6581D" w14:textId="77777777" w:rsidR="00724AB5" w:rsidRDefault="00724AB5">
            <w:pPr>
              <w:spacing w:after="0" w:line="240" w:lineRule="auto"/>
              <w:rPr>
                <w:rFonts w:ascii="Times New Roman" w:eastAsia="Times New Roman" w:hAnsi="Times New Roman" w:cs="Times New Roman"/>
                <w:color w:val="000000"/>
                <w:sz w:val="18"/>
                <w:szCs w:val="18"/>
              </w:rPr>
            </w:pPr>
          </w:p>
          <w:p w14:paraId="765F0C1A"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XAF; The Central African CFA franc is the official currency of Cameroon.</w:t>
            </w:r>
          </w:p>
        </w:tc>
      </w:tr>
    </w:tbl>
    <w:p w14:paraId="7F569691" w14:textId="77777777" w:rsidR="00724AB5" w:rsidRDefault="00724AB5">
      <w:pPr>
        <w:rPr>
          <w:rFonts w:ascii="Aptos" w:eastAsia="Aptos" w:hAnsi="Aptos" w:cs="Aptos"/>
        </w:rPr>
      </w:pPr>
    </w:p>
    <w:p w14:paraId="37DB3D4D" w14:textId="77777777" w:rsidR="00724AB5" w:rsidRDefault="007D385F">
      <w:pPr>
        <w:keepNext/>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Table S3. Differences in proportions between Cluster 1 and Cluster 2. Table shows squared </w:t>
      </w:r>
      <w:r>
        <w:rPr>
          <w:rFonts w:ascii="Times New Roman" w:eastAsia="Times New Roman" w:hAnsi="Times New Roman" w:cs="Times New Roman"/>
          <w:sz w:val="20"/>
          <w:szCs w:val="20"/>
        </w:rPr>
        <w:t>z-score (chi-square approximation) of the conditional difference in proportions.</w:t>
      </w:r>
    </w:p>
    <w:tbl>
      <w:tblPr>
        <w:tblStyle w:val="a5"/>
        <w:tblW w:w="7470" w:type="dxa"/>
        <w:tblInd w:w="0" w:type="dxa"/>
        <w:tblLayout w:type="fixed"/>
        <w:tblLook w:val="0400" w:firstRow="0" w:lastRow="0" w:firstColumn="0" w:lastColumn="0" w:noHBand="0" w:noVBand="1"/>
      </w:tblPr>
      <w:tblGrid>
        <w:gridCol w:w="1620"/>
        <w:gridCol w:w="1080"/>
        <w:gridCol w:w="990"/>
        <w:gridCol w:w="1530"/>
        <w:gridCol w:w="720"/>
        <w:gridCol w:w="720"/>
        <w:gridCol w:w="810"/>
      </w:tblGrid>
      <w:tr w:rsidR="00724AB5" w14:paraId="507537A9" w14:textId="77777777">
        <w:trPr>
          <w:trHeight w:val="300"/>
        </w:trPr>
        <w:tc>
          <w:tcPr>
            <w:tcW w:w="1620" w:type="dxa"/>
            <w:tcBorders>
              <w:top w:val="single" w:sz="8" w:space="0" w:color="000000"/>
              <w:left w:val="nil"/>
              <w:bottom w:val="nil"/>
              <w:right w:val="nil"/>
            </w:tcBorders>
            <w:shd w:val="clear" w:color="auto" w:fill="auto"/>
            <w:vAlign w:val="bottom"/>
          </w:tcPr>
          <w:p w14:paraId="70CB79ED" w14:textId="77777777" w:rsidR="00724AB5" w:rsidRDefault="00724AB5">
            <w:pPr>
              <w:spacing w:after="0" w:line="240" w:lineRule="auto"/>
              <w:rPr>
                <w:rFonts w:ascii="Times New Roman" w:eastAsia="Times New Roman" w:hAnsi="Times New Roman" w:cs="Times New Roman"/>
                <w:sz w:val="18"/>
                <w:szCs w:val="18"/>
              </w:rPr>
            </w:pPr>
          </w:p>
        </w:tc>
        <w:tc>
          <w:tcPr>
            <w:tcW w:w="1080" w:type="dxa"/>
            <w:tcBorders>
              <w:top w:val="single" w:sz="8" w:space="0" w:color="000000"/>
              <w:left w:val="nil"/>
              <w:bottom w:val="nil"/>
              <w:right w:val="nil"/>
            </w:tcBorders>
            <w:shd w:val="clear" w:color="auto" w:fill="auto"/>
            <w:vAlign w:val="center"/>
          </w:tcPr>
          <w:p w14:paraId="491179D3" w14:textId="77777777" w:rsidR="00724AB5" w:rsidRDefault="00724AB5">
            <w:pPr>
              <w:spacing w:after="0" w:line="240" w:lineRule="auto"/>
              <w:rPr>
                <w:rFonts w:ascii="Times New Roman" w:eastAsia="Times New Roman" w:hAnsi="Times New Roman" w:cs="Times New Roman"/>
                <w:sz w:val="18"/>
                <w:szCs w:val="18"/>
              </w:rPr>
            </w:pPr>
          </w:p>
        </w:tc>
        <w:tc>
          <w:tcPr>
            <w:tcW w:w="990" w:type="dxa"/>
            <w:tcBorders>
              <w:top w:val="single" w:sz="8" w:space="0" w:color="000000"/>
              <w:left w:val="nil"/>
              <w:bottom w:val="nil"/>
              <w:right w:val="nil"/>
            </w:tcBorders>
            <w:shd w:val="clear" w:color="auto" w:fill="auto"/>
            <w:vAlign w:val="center"/>
          </w:tcPr>
          <w:p w14:paraId="3E7B6FE4" w14:textId="77777777" w:rsidR="00724AB5" w:rsidRDefault="00724AB5">
            <w:pPr>
              <w:spacing w:after="0" w:line="240" w:lineRule="auto"/>
              <w:jc w:val="center"/>
              <w:rPr>
                <w:rFonts w:ascii="Times New Roman" w:eastAsia="Times New Roman" w:hAnsi="Times New Roman" w:cs="Times New Roman"/>
                <w:sz w:val="18"/>
                <w:szCs w:val="18"/>
              </w:rPr>
            </w:pPr>
          </w:p>
        </w:tc>
        <w:tc>
          <w:tcPr>
            <w:tcW w:w="1530" w:type="dxa"/>
            <w:tcBorders>
              <w:top w:val="single" w:sz="8" w:space="0" w:color="000000"/>
              <w:left w:val="nil"/>
              <w:bottom w:val="nil"/>
              <w:right w:val="nil"/>
            </w:tcBorders>
            <w:shd w:val="clear" w:color="auto" w:fill="auto"/>
            <w:vAlign w:val="center"/>
          </w:tcPr>
          <w:p w14:paraId="2080484F" w14:textId="77777777" w:rsidR="00724AB5" w:rsidRDefault="00724AB5">
            <w:pPr>
              <w:spacing w:after="0" w:line="240" w:lineRule="auto"/>
              <w:jc w:val="center"/>
              <w:rPr>
                <w:rFonts w:ascii="Times New Roman" w:eastAsia="Times New Roman" w:hAnsi="Times New Roman" w:cs="Times New Roman"/>
                <w:sz w:val="18"/>
                <w:szCs w:val="18"/>
              </w:rPr>
            </w:pPr>
          </w:p>
        </w:tc>
        <w:tc>
          <w:tcPr>
            <w:tcW w:w="1440" w:type="dxa"/>
            <w:gridSpan w:val="2"/>
            <w:tcBorders>
              <w:top w:val="single" w:sz="8" w:space="0" w:color="000000"/>
              <w:left w:val="nil"/>
              <w:bottom w:val="single" w:sz="8" w:space="0" w:color="000000"/>
              <w:right w:val="nil"/>
            </w:tcBorders>
            <w:shd w:val="clear" w:color="auto" w:fill="auto"/>
            <w:vAlign w:val="center"/>
          </w:tcPr>
          <w:p w14:paraId="7462C74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95% Confidence </w:t>
            </w:r>
          </w:p>
          <w:p w14:paraId="0C84D58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interval *</w:t>
            </w:r>
          </w:p>
        </w:tc>
        <w:tc>
          <w:tcPr>
            <w:tcW w:w="810" w:type="dxa"/>
            <w:tcBorders>
              <w:top w:val="single" w:sz="8" w:space="0" w:color="000000"/>
              <w:left w:val="nil"/>
              <w:bottom w:val="nil"/>
              <w:right w:val="nil"/>
            </w:tcBorders>
            <w:shd w:val="clear" w:color="auto" w:fill="auto"/>
            <w:vAlign w:val="center"/>
          </w:tcPr>
          <w:p w14:paraId="5F01505F"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17312E67" w14:textId="77777777">
        <w:trPr>
          <w:trHeight w:val="300"/>
        </w:trPr>
        <w:tc>
          <w:tcPr>
            <w:tcW w:w="1620" w:type="dxa"/>
            <w:tcBorders>
              <w:top w:val="nil"/>
              <w:left w:val="nil"/>
              <w:bottom w:val="single" w:sz="8" w:space="0" w:color="000000"/>
              <w:right w:val="nil"/>
            </w:tcBorders>
            <w:shd w:val="clear" w:color="auto" w:fill="auto"/>
            <w:vAlign w:val="center"/>
          </w:tcPr>
          <w:p w14:paraId="3BE51E7E" w14:textId="77777777" w:rsidR="00724AB5" w:rsidRDefault="007D385F">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Outcome</w:t>
            </w:r>
          </w:p>
        </w:tc>
        <w:tc>
          <w:tcPr>
            <w:tcW w:w="1080" w:type="dxa"/>
            <w:tcBorders>
              <w:top w:val="nil"/>
              <w:left w:val="nil"/>
              <w:bottom w:val="single" w:sz="8" w:space="0" w:color="000000"/>
              <w:right w:val="nil"/>
            </w:tcBorders>
            <w:shd w:val="clear" w:color="auto" w:fill="auto"/>
            <w:vAlign w:val="center"/>
          </w:tcPr>
          <w:p w14:paraId="5FCFA848" w14:textId="77777777" w:rsidR="00724AB5" w:rsidRDefault="007D385F">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Cluster 1</w:t>
            </w:r>
          </w:p>
        </w:tc>
        <w:tc>
          <w:tcPr>
            <w:tcW w:w="990" w:type="dxa"/>
            <w:tcBorders>
              <w:top w:val="nil"/>
              <w:left w:val="nil"/>
              <w:bottom w:val="single" w:sz="8" w:space="0" w:color="000000"/>
              <w:right w:val="nil"/>
            </w:tcBorders>
            <w:shd w:val="clear" w:color="auto" w:fill="auto"/>
            <w:vAlign w:val="center"/>
          </w:tcPr>
          <w:p w14:paraId="3C77AA33" w14:textId="77777777" w:rsidR="00724AB5" w:rsidRDefault="007D385F">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Cluster 2</w:t>
            </w:r>
          </w:p>
        </w:tc>
        <w:tc>
          <w:tcPr>
            <w:tcW w:w="1530" w:type="dxa"/>
            <w:tcBorders>
              <w:top w:val="nil"/>
              <w:left w:val="nil"/>
              <w:bottom w:val="single" w:sz="8" w:space="0" w:color="000000"/>
              <w:right w:val="nil"/>
            </w:tcBorders>
            <w:shd w:val="clear" w:color="auto" w:fill="auto"/>
            <w:vAlign w:val="center"/>
          </w:tcPr>
          <w:p w14:paraId="55C92A69" w14:textId="77777777" w:rsidR="00724AB5" w:rsidRDefault="007D385F">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Z-squared (</w:t>
            </w:r>
            <w:r>
              <w:rPr>
                <w:rFonts w:ascii="Times New Roman" w:eastAsia="Times New Roman" w:hAnsi="Times New Roman" w:cs="Times New Roman"/>
                <w:b/>
                <w:i/>
                <w:color w:val="000000"/>
                <w:sz w:val="18"/>
                <w:szCs w:val="18"/>
              </w:rPr>
              <w:t>df</w:t>
            </w:r>
            <w:r>
              <w:rPr>
                <w:rFonts w:ascii="Times New Roman" w:eastAsia="Times New Roman" w:hAnsi="Times New Roman" w:cs="Times New Roman"/>
                <w:b/>
                <w:color w:val="000000"/>
                <w:sz w:val="18"/>
                <w:szCs w:val="18"/>
              </w:rPr>
              <w:t>)</w:t>
            </w:r>
          </w:p>
        </w:tc>
        <w:tc>
          <w:tcPr>
            <w:tcW w:w="720" w:type="dxa"/>
            <w:tcBorders>
              <w:top w:val="single" w:sz="8" w:space="0" w:color="000000"/>
              <w:left w:val="nil"/>
              <w:bottom w:val="single" w:sz="8" w:space="0" w:color="000000"/>
              <w:right w:val="nil"/>
            </w:tcBorders>
            <w:shd w:val="clear" w:color="auto" w:fill="auto"/>
            <w:vAlign w:val="center"/>
          </w:tcPr>
          <w:p w14:paraId="216CEDB7" w14:textId="77777777" w:rsidR="00724AB5" w:rsidRDefault="007D385F">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Lower</w:t>
            </w:r>
          </w:p>
        </w:tc>
        <w:tc>
          <w:tcPr>
            <w:tcW w:w="720" w:type="dxa"/>
            <w:tcBorders>
              <w:top w:val="single" w:sz="8" w:space="0" w:color="000000"/>
              <w:left w:val="nil"/>
              <w:bottom w:val="single" w:sz="8" w:space="0" w:color="000000"/>
              <w:right w:val="nil"/>
            </w:tcBorders>
            <w:shd w:val="clear" w:color="auto" w:fill="auto"/>
            <w:vAlign w:val="center"/>
          </w:tcPr>
          <w:p w14:paraId="6AE84AB6" w14:textId="77777777" w:rsidR="00724AB5" w:rsidRDefault="007D385F">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Upper</w:t>
            </w:r>
          </w:p>
        </w:tc>
        <w:tc>
          <w:tcPr>
            <w:tcW w:w="810" w:type="dxa"/>
            <w:tcBorders>
              <w:top w:val="nil"/>
              <w:left w:val="nil"/>
              <w:bottom w:val="single" w:sz="8" w:space="0" w:color="000000"/>
              <w:right w:val="nil"/>
            </w:tcBorders>
            <w:shd w:val="clear" w:color="auto" w:fill="auto"/>
            <w:vAlign w:val="center"/>
          </w:tcPr>
          <w:p w14:paraId="6C872206" w14:textId="77777777" w:rsidR="00724AB5" w:rsidRDefault="007D385F">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p</w:t>
            </w:r>
            <w:r>
              <w:rPr>
                <w:rFonts w:ascii="Times New Roman" w:eastAsia="Times New Roman" w:hAnsi="Times New Roman" w:cs="Times New Roman"/>
                <w:b/>
                <w:color w:val="000000"/>
                <w:sz w:val="18"/>
                <w:szCs w:val="18"/>
              </w:rPr>
              <w:t xml:space="preserve"> Value</w:t>
            </w:r>
          </w:p>
        </w:tc>
      </w:tr>
      <w:tr w:rsidR="00724AB5" w14:paraId="4D0206DF" w14:textId="77777777">
        <w:trPr>
          <w:trHeight w:val="300"/>
        </w:trPr>
        <w:tc>
          <w:tcPr>
            <w:tcW w:w="1620" w:type="dxa"/>
            <w:tcBorders>
              <w:top w:val="single" w:sz="8" w:space="0" w:color="000000"/>
              <w:left w:val="nil"/>
              <w:bottom w:val="nil"/>
              <w:right w:val="nil"/>
            </w:tcBorders>
            <w:shd w:val="clear" w:color="auto" w:fill="auto"/>
            <w:vAlign w:val="center"/>
          </w:tcPr>
          <w:p w14:paraId="54CDE063"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Pain severity</w:t>
            </w:r>
          </w:p>
        </w:tc>
        <w:tc>
          <w:tcPr>
            <w:tcW w:w="1080" w:type="dxa"/>
            <w:tcBorders>
              <w:top w:val="single" w:sz="8" w:space="0" w:color="000000"/>
              <w:left w:val="nil"/>
              <w:bottom w:val="nil"/>
              <w:right w:val="nil"/>
            </w:tcBorders>
            <w:shd w:val="clear" w:color="auto" w:fill="auto"/>
            <w:vAlign w:val="center"/>
          </w:tcPr>
          <w:p w14:paraId="79260DED" w14:textId="77777777" w:rsidR="00724AB5" w:rsidRDefault="00724AB5">
            <w:pPr>
              <w:spacing w:after="0" w:line="240" w:lineRule="auto"/>
              <w:rPr>
                <w:rFonts w:ascii="Times New Roman" w:eastAsia="Times New Roman" w:hAnsi="Times New Roman" w:cs="Times New Roman"/>
                <w:color w:val="000000"/>
                <w:sz w:val="18"/>
                <w:szCs w:val="18"/>
              </w:rPr>
            </w:pPr>
          </w:p>
        </w:tc>
        <w:tc>
          <w:tcPr>
            <w:tcW w:w="990" w:type="dxa"/>
            <w:tcBorders>
              <w:top w:val="single" w:sz="8" w:space="0" w:color="000000"/>
              <w:left w:val="nil"/>
              <w:bottom w:val="nil"/>
              <w:right w:val="nil"/>
            </w:tcBorders>
            <w:shd w:val="clear" w:color="auto" w:fill="auto"/>
            <w:vAlign w:val="center"/>
          </w:tcPr>
          <w:p w14:paraId="43F146BE" w14:textId="77777777" w:rsidR="00724AB5" w:rsidRDefault="00724AB5">
            <w:pPr>
              <w:spacing w:after="0" w:line="240" w:lineRule="auto"/>
              <w:jc w:val="center"/>
              <w:rPr>
                <w:rFonts w:ascii="Times New Roman" w:eastAsia="Times New Roman" w:hAnsi="Times New Roman" w:cs="Times New Roman"/>
                <w:sz w:val="18"/>
                <w:szCs w:val="18"/>
              </w:rPr>
            </w:pPr>
          </w:p>
        </w:tc>
        <w:tc>
          <w:tcPr>
            <w:tcW w:w="1530" w:type="dxa"/>
            <w:tcBorders>
              <w:top w:val="single" w:sz="8" w:space="0" w:color="000000"/>
              <w:left w:val="nil"/>
              <w:bottom w:val="nil"/>
              <w:right w:val="nil"/>
            </w:tcBorders>
            <w:shd w:val="clear" w:color="auto" w:fill="auto"/>
            <w:vAlign w:val="center"/>
          </w:tcPr>
          <w:p w14:paraId="1A33B46D"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single" w:sz="8" w:space="0" w:color="000000"/>
              <w:left w:val="nil"/>
              <w:bottom w:val="nil"/>
              <w:right w:val="nil"/>
            </w:tcBorders>
            <w:shd w:val="clear" w:color="auto" w:fill="auto"/>
            <w:vAlign w:val="center"/>
          </w:tcPr>
          <w:p w14:paraId="4C9D856D"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single" w:sz="8" w:space="0" w:color="000000"/>
              <w:left w:val="nil"/>
              <w:bottom w:val="nil"/>
              <w:right w:val="nil"/>
            </w:tcBorders>
            <w:shd w:val="clear" w:color="auto" w:fill="auto"/>
            <w:vAlign w:val="center"/>
          </w:tcPr>
          <w:p w14:paraId="5214798B"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single" w:sz="8" w:space="0" w:color="000000"/>
              <w:left w:val="nil"/>
              <w:bottom w:val="nil"/>
              <w:right w:val="nil"/>
            </w:tcBorders>
            <w:shd w:val="clear" w:color="auto" w:fill="auto"/>
            <w:vAlign w:val="center"/>
          </w:tcPr>
          <w:p w14:paraId="7687A641"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0411F923" w14:textId="77777777">
        <w:trPr>
          <w:trHeight w:val="300"/>
        </w:trPr>
        <w:tc>
          <w:tcPr>
            <w:tcW w:w="1620" w:type="dxa"/>
            <w:tcBorders>
              <w:top w:val="nil"/>
              <w:left w:val="nil"/>
              <w:bottom w:val="nil"/>
              <w:right w:val="nil"/>
            </w:tcBorders>
            <w:shd w:val="clear" w:color="auto" w:fill="auto"/>
            <w:vAlign w:val="center"/>
          </w:tcPr>
          <w:p w14:paraId="61CE6B35"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Mild</w:t>
            </w:r>
          </w:p>
        </w:tc>
        <w:tc>
          <w:tcPr>
            <w:tcW w:w="1080" w:type="dxa"/>
            <w:tcBorders>
              <w:top w:val="nil"/>
              <w:left w:val="nil"/>
              <w:bottom w:val="nil"/>
              <w:right w:val="nil"/>
            </w:tcBorders>
            <w:shd w:val="clear" w:color="auto" w:fill="auto"/>
            <w:vAlign w:val="center"/>
          </w:tcPr>
          <w:p w14:paraId="46F3B40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90" w:type="dxa"/>
            <w:tcBorders>
              <w:top w:val="nil"/>
              <w:left w:val="nil"/>
              <w:bottom w:val="nil"/>
              <w:right w:val="nil"/>
            </w:tcBorders>
            <w:shd w:val="clear" w:color="auto" w:fill="auto"/>
            <w:vAlign w:val="center"/>
          </w:tcPr>
          <w:p w14:paraId="0E4F7B3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c>
          <w:tcPr>
            <w:tcW w:w="1530" w:type="dxa"/>
            <w:tcBorders>
              <w:top w:val="nil"/>
              <w:left w:val="nil"/>
              <w:bottom w:val="nil"/>
              <w:right w:val="nil"/>
            </w:tcBorders>
            <w:shd w:val="clear" w:color="auto" w:fill="auto"/>
            <w:vAlign w:val="center"/>
          </w:tcPr>
          <w:p w14:paraId="1A35D52E"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vAlign w:val="center"/>
          </w:tcPr>
          <w:p w14:paraId="1E3FF90A"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1741B85F"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4F4ACFC8"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484A44BA" w14:textId="77777777">
        <w:trPr>
          <w:trHeight w:val="300"/>
        </w:trPr>
        <w:tc>
          <w:tcPr>
            <w:tcW w:w="1620" w:type="dxa"/>
            <w:tcBorders>
              <w:top w:val="nil"/>
              <w:left w:val="nil"/>
              <w:bottom w:val="nil"/>
              <w:right w:val="nil"/>
            </w:tcBorders>
            <w:shd w:val="clear" w:color="auto" w:fill="auto"/>
            <w:vAlign w:val="center"/>
          </w:tcPr>
          <w:p w14:paraId="408F6026"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Moderate</w:t>
            </w:r>
          </w:p>
        </w:tc>
        <w:tc>
          <w:tcPr>
            <w:tcW w:w="1080" w:type="dxa"/>
            <w:tcBorders>
              <w:top w:val="nil"/>
              <w:left w:val="nil"/>
              <w:bottom w:val="nil"/>
              <w:right w:val="nil"/>
            </w:tcBorders>
            <w:shd w:val="clear" w:color="auto" w:fill="auto"/>
            <w:vAlign w:val="center"/>
          </w:tcPr>
          <w:p w14:paraId="576860A1"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990" w:type="dxa"/>
            <w:tcBorders>
              <w:top w:val="nil"/>
              <w:left w:val="nil"/>
              <w:bottom w:val="nil"/>
              <w:right w:val="nil"/>
            </w:tcBorders>
            <w:shd w:val="clear" w:color="auto" w:fill="auto"/>
            <w:vAlign w:val="center"/>
          </w:tcPr>
          <w:p w14:paraId="5A4FDD9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w:t>
            </w:r>
          </w:p>
        </w:tc>
        <w:tc>
          <w:tcPr>
            <w:tcW w:w="1530" w:type="dxa"/>
            <w:tcBorders>
              <w:top w:val="nil"/>
              <w:left w:val="nil"/>
              <w:bottom w:val="nil"/>
              <w:right w:val="nil"/>
            </w:tcBorders>
            <w:shd w:val="clear" w:color="auto" w:fill="auto"/>
            <w:vAlign w:val="center"/>
          </w:tcPr>
          <w:p w14:paraId="44F6147F"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vAlign w:val="center"/>
          </w:tcPr>
          <w:p w14:paraId="2F7D3004"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70A7E829"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74825D82"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5743A189" w14:textId="77777777">
        <w:trPr>
          <w:trHeight w:val="300"/>
        </w:trPr>
        <w:tc>
          <w:tcPr>
            <w:tcW w:w="1620" w:type="dxa"/>
            <w:tcBorders>
              <w:top w:val="nil"/>
              <w:left w:val="nil"/>
              <w:bottom w:val="nil"/>
              <w:right w:val="nil"/>
            </w:tcBorders>
            <w:shd w:val="clear" w:color="auto" w:fill="auto"/>
            <w:vAlign w:val="center"/>
          </w:tcPr>
          <w:p w14:paraId="643B8130"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Severe</w:t>
            </w:r>
          </w:p>
        </w:tc>
        <w:tc>
          <w:tcPr>
            <w:tcW w:w="1080" w:type="dxa"/>
            <w:tcBorders>
              <w:top w:val="nil"/>
              <w:left w:val="nil"/>
              <w:bottom w:val="nil"/>
              <w:right w:val="nil"/>
            </w:tcBorders>
            <w:shd w:val="clear" w:color="auto" w:fill="auto"/>
            <w:vAlign w:val="center"/>
          </w:tcPr>
          <w:p w14:paraId="59D804AC"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w:t>
            </w:r>
          </w:p>
        </w:tc>
        <w:tc>
          <w:tcPr>
            <w:tcW w:w="990" w:type="dxa"/>
            <w:tcBorders>
              <w:top w:val="nil"/>
              <w:left w:val="nil"/>
              <w:bottom w:val="nil"/>
              <w:right w:val="nil"/>
            </w:tcBorders>
            <w:shd w:val="clear" w:color="auto" w:fill="auto"/>
            <w:vAlign w:val="center"/>
          </w:tcPr>
          <w:p w14:paraId="4F382C7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64</w:t>
            </w:r>
          </w:p>
        </w:tc>
        <w:tc>
          <w:tcPr>
            <w:tcW w:w="1530" w:type="dxa"/>
            <w:tcBorders>
              <w:top w:val="nil"/>
              <w:left w:val="nil"/>
              <w:bottom w:val="nil"/>
              <w:right w:val="nil"/>
            </w:tcBorders>
            <w:shd w:val="clear" w:color="auto" w:fill="auto"/>
            <w:vAlign w:val="center"/>
          </w:tcPr>
          <w:p w14:paraId="390E1C2F" w14:textId="77777777" w:rsidR="00724AB5" w:rsidRDefault="007D385F">
            <w:pPr>
              <w:spacing w:after="0" w:line="240" w:lineRule="auto"/>
              <w:jc w:val="center"/>
              <w:rPr>
                <w:rFonts w:ascii="Times New Roman" w:eastAsia="Times New Roman" w:hAnsi="Times New Roman" w:cs="Times New Roman"/>
                <w:color w:val="000000"/>
                <w:sz w:val="18"/>
                <w:szCs w:val="18"/>
              </w:rPr>
            </w:pPr>
            <w:bookmarkStart w:id="27" w:name="_ji0cyom327ht" w:colFirst="0" w:colLast="0"/>
            <w:bookmarkEnd w:id="27"/>
            <w:r>
              <w:rPr>
                <w:rFonts w:ascii="Times New Roman" w:eastAsia="Times New Roman" w:hAnsi="Times New Roman" w:cs="Times New Roman"/>
                <w:color w:val="000000"/>
                <w:sz w:val="18"/>
                <w:szCs w:val="18"/>
              </w:rPr>
              <w:t>7.93(1)</w:t>
            </w:r>
          </w:p>
        </w:tc>
        <w:tc>
          <w:tcPr>
            <w:tcW w:w="720" w:type="dxa"/>
            <w:tcBorders>
              <w:top w:val="nil"/>
              <w:left w:val="nil"/>
              <w:bottom w:val="nil"/>
              <w:right w:val="nil"/>
            </w:tcBorders>
            <w:shd w:val="clear" w:color="auto" w:fill="auto"/>
            <w:vAlign w:val="center"/>
          </w:tcPr>
          <w:p w14:paraId="6D5BF9D5"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720" w:type="dxa"/>
            <w:tcBorders>
              <w:top w:val="nil"/>
              <w:left w:val="nil"/>
              <w:bottom w:val="nil"/>
              <w:right w:val="nil"/>
            </w:tcBorders>
            <w:shd w:val="clear" w:color="auto" w:fill="auto"/>
            <w:vAlign w:val="center"/>
          </w:tcPr>
          <w:p w14:paraId="7C8C5A8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0.39</w:t>
            </w:r>
          </w:p>
        </w:tc>
        <w:tc>
          <w:tcPr>
            <w:tcW w:w="810" w:type="dxa"/>
            <w:tcBorders>
              <w:top w:val="nil"/>
              <w:left w:val="nil"/>
              <w:bottom w:val="nil"/>
              <w:right w:val="nil"/>
            </w:tcBorders>
            <w:shd w:val="clear" w:color="auto" w:fill="auto"/>
            <w:vAlign w:val="center"/>
          </w:tcPr>
          <w:p w14:paraId="2F79306D" w14:textId="77777777" w:rsidR="00724AB5" w:rsidRDefault="007D385F">
            <w:pPr>
              <w:spacing w:after="0" w:line="240" w:lineRule="auto"/>
              <w:jc w:val="center"/>
              <w:rPr>
                <w:rFonts w:ascii="Times New Roman" w:eastAsia="Times New Roman" w:hAnsi="Times New Roman" w:cs="Times New Roman"/>
                <w:color w:val="000000"/>
                <w:sz w:val="18"/>
                <w:szCs w:val="18"/>
              </w:rPr>
            </w:pPr>
            <w:bookmarkStart w:id="28" w:name="_qttyinlc6b7m" w:colFirst="0" w:colLast="0"/>
            <w:bookmarkEnd w:id="28"/>
            <w:r>
              <w:rPr>
                <w:rFonts w:ascii="Times New Roman" w:eastAsia="Times New Roman" w:hAnsi="Times New Roman" w:cs="Times New Roman"/>
                <w:color w:val="000000"/>
                <w:sz w:val="18"/>
                <w:szCs w:val="18"/>
              </w:rPr>
              <w:t>0.005</w:t>
            </w:r>
          </w:p>
        </w:tc>
      </w:tr>
      <w:tr w:rsidR="00724AB5" w14:paraId="62BE7FFB" w14:textId="77777777">
        <w:trPr>
          <w:trHeight w:val="300"/>
        </w:trPr>
        <w:tc>
          <w:tcPr>
            <w:tcW w:w="1620" w:type="dxa"/>
            <w:tcBorders>
              <w:top w:val="nil"/>
              <w:left w:val="nil"/>
              <w:bottom w:val="nil"/>
              <w:right w:val="nil"/>
            </w:tcBorders>
            <w:shd w:val="clear" w:color="auto" w:fill="auto"/>
            <w:vAlign w:val="center"/>
          </w:tcPr>
          <w:p w14:paraId="5898D9BD"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Bone pain</w:t>
            </w:r>
          </w:p>
        </w:tc>
        <w:tc>
          <w:tcPr>
            <w:tcW w:w="1080" w:type="dxa"/>
            <w:tcBorders>
              <w:top w:val="nil"/>
              <w:left w:val="nil"/>
              <w:bottom w:val="nil"/>
              <w:right w:val="nil"/>
            </w:tcBorders>
            <w:shd w:val="clear" w:color="auto" w:fill="auto"/>
            <w:vAlign w:val="center"/>
          </w:tcPr>
          <w:p w14:paraId="7AE600BF" w14:textId="77777777" w:rsidR="00724AB5" w:rsidRDefault="00724AB5">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vAlign w:val="center"/>
          </w:tcPr>
          <w:p w14:paraId="64B79E77" w14:textId="77777777" w:rsidR="00724AB5" w:rsidRDefault="00724AB5">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vAlign w:val="center"/>
          </w:tcPr>
          <w:p w14:paraId="73471777"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095C2113"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2E6D9EA9"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3E6C7B2F"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4689543D" w14:textId="77777777">
        <w:trPr>
          <w:trHeight w:val="300"/>
        </w:trPr>
        <w:tc>
          <w:tcPr>
            <w:tcW w:w="1620" w:type="dxa"/>
            <w:tcBorders>
              <w:top w:val="nil"/>
              <w:left w:val="nil"/>
              <w:bottom w:val="nil"/>
              <w:right w:val="nil"/>
            </w:tcBorders>
            <w:shd w:val="clear" w:color="auto" w:fill="auto"/>
            <w:vAlign w:val="center"/>
          </w:tcPr>
          <w:p w14:paraId="4140AC15"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vAlign w:val="center"/>
          </w:tcPr>
          <w:p w14:paraId="69166AA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w:t>
            </w:r>
          </w:p>
        </w:tc>
        <w:tc>
          <w:tcPr>
            <w:tcW w:w="990" w:type="dxa"/>
            <w:tcBorders>
              <w:top w:val="nil"/>
              <w:left w:val="nil"/>
              <w:bottom w:val="nil"/>
              <w:right w:val="nil"/>
            </w:tcBorders>
            <w:shd w:val="clear" w:color="auto" w:fill="auto"/>
            <w:vAlign w:val="center"/>
          </w:tcPr>
          <w:p w14:paraId="1C07993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w:t>
            </w:r>
          </w:p>
        </w:tc>
        <w:tc>
          <w:tcPr>
            <w:tcW w:w="1530" w:type="dxa"/>
            <w:tcBorders>
              <w:top w:val="nil"/>
              <w:left w:val="nil"/>
              <w:bottom w:val="nil"/>
              <w:right w:val="nil"/>
            </w:tcBorders>
            <w:shd w:val="clear" w:color="auto" w:fill="auto"/>
            <w:vAlign w:val="center"/>
          </w:tcPr>
          <w:p w14:paraId="6A8E6E95"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vAlign w:val="center"/>
          </w:tcPr>
          <w:p w14:paraId="75353785"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159FF104"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33EDD822"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33C5E27A" w14:textId="77777777">
        <w:trPr>
          <w:trHeight w:val="300"/>
        </w:trPr>
        <w:tc>
          <w:tcPr>
            <w:tcW w:w="1620" w:type="dxa"/>
            <w:tcBorders>
              <w:top w:val="nil"/>
              <w:left w:val="nil"/>
              <w:bottom w:val="nil"/>
              <w:right w:val="nil"/>
            </w:tcBorders>
            <w:shd w:val="clear" w:color="auto" w:fill="auto"/>
            <w:vAlign w:val="center"/>
          </w:tcPr>
          <w:p w14:paraId="1D71715E"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vAlign w:val="center"/>
          </w:tcPr>
          <w:p w14:paraId="2416E86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w:t>
            </w:r>
          </w:p>
        </w:tc>
        <w:tc>
          <w:tcPr>
            <w:tcW w:w="990" w:type="dxa"/>
            <w:tcBorders>
              <w:top w:val="nil"/>
              <w:left w:val="nil"/>
              <w:bottom w:val="nil"/>
              <w:right w:val="nil"/>
            </w:tcBorders>
            <w:shd w:val="clear" w:color="auto" w:fill="auto"/>
            <w:vAlign w:val="center"/>
          </w:tcPr>
          <w:p w14:paraId="1DDDCB2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81</w:t>
            </w:r>
          </w:p>
        </w:tc>
        <w:tc>
          <w:tcPr>
            <w:tcW w:w="1530" w:type="dxa"/>
            <w:tcBorders>
              <w:top w:val="nil"/>
              <w:left w:val="nil"/>
              <w:bottom w:val="nil"/>
              <w:right w:val="nil"/>
            </w:tcBorders>
            <w:shd w:val="clear" w:color="auto" w:fill="auto"/>
            <w:vAlign w:val="center"/>
          </w:tcPr>
          <w:p w14:paraId="60C7389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0.07(1)</w:t>
            </w:r>
          </w:p>
        </w:tc>
        <w:tc>
          <w:tcPr>
            <w:tcW w:w="720" w:type="dxa"/>
            <w:tcBorders>
              <w:top w:val="nil"/>
              <w:left w:val="nil"/>
              <w:bottom w:val="nil"/>
              <w:right w:val="nil"/>
            </w:tcBorders>
            <w:shd w:val="clear" w:color="auto" w:fill="auto"/>
            <w:vAlign w:val="center"/>
          </w:tcPr>
          <w:p w14:paraId="55D2ACC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-0.13</w:t>
            </w:r>
          </w:p>
        </w:tc>
        <w:tc>
          <w:tcPr>
            <w:tcW w:w="720" w:type="dxa"/>
            <w:tcBorders>
              <w:top w:val="nil"/>
              <w:left w:val="nil"/>
              <w:bottom w:val="nil"/>
              <w:right w:val="nil"/>
            </w:tcBorders>
            <w:shd w:val="clear" w:color="auto" w:fill="auto"/>
            <w:vAlign w:val="center"/>
          </w:tcPr>
          <w:p w14:paraId="0E3B49C7"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0.195</w:t>
            </w:r>
          </w:p>
        </w:tc>
        <w:tc>
          <w:tcPr>
            <w:tcW w:w="810" w:type="dxa"/>
            <w:tcBorders>
              <w:top w:val="nil"/>
              <w:left w:val="nil"/>
              <w:bottom w:val="nil"/>
              <w:right w:val="nil"/>
            </w:tcBorders>
            <w:shd w:val="clear" w:color="auto" w:fill="auto"/>
            <w:vAlign w:val="center"/>
          </w:tcPr>
          <w:p w14:paraId="138A17F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0.195</w:t>
            </w:r>
          </w:p>
        </w:tc>
      </w:tr>
      <w:tr w:rsidR="00724AB5" w14:paraId="206EAD90" w14:textId="77777777">
        <w:trPr>
          <w:trHeight w:val="300"/>
        </w:trPr>
        <w:tc>
          <w:tcPr>
            <w:tcW w:w="1620" w:type="dxa"/>
            <w:tcBorders>
              <w:top w:val="nil"/>
              <w:left w:val="nil"/>
              <w:bottom w:val="nil"/>
              <w:right w:val="nil"/>
            </w:tcBorders>
            <w:shd w:val="clear" w:color="auto" w:fill="auto"/>
            <w:vAlign w:val="center"/>
          </w:tcPr>
          <w:p w14:paraId="498E3F4E"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Chest pain</w:t>
            </w:r>
          </w:p>
        </w:tc>
        <w:tc>
          <w:tcPr>
            <w:tcW w:w="1080" w:type="dxa"/>
            <w:tcBorders>
              <w:top w:val="nil"/>
              <w:left w:val="nil"/>
              <w:bottom w:val="nil"/>
              <w:right w:val="nil"/>
            </w:tcBorders>
            <w:shd w:val="clear" w:color="auto" w:fill="auto"/>
            <w:vAlign w:val="center"/>
          </w:tcPr>
          <w:p w14:paraId="711F7D22" w14:textId="77777777" w:rsidR="00724AB5" w:rsidRDefault="00724AB5">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vAlign w:val="center"/>
          </w:tcPr>
          <w:p w14:paraId="60106D79" w14:textId="77777777" w:rsidR="00724AB5" w:rsidRDefault="00724AB5">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vAlign w:val="center"/>
          </w:tcPr>
          <w:p w14:paraId="714498FD"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6FAE2089"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06232714"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0D9ECEC2"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484BAB5E" w14:textId="77777777">
        <w:trPr>
          <w:trHeight w:val="300"/>
        </w:trPr>
        <w:tc>
          <w:tcPr>
            <w:tcW w:w="1620" w:type="dxa"/>
            <w:tcBorders>
              <w:top w:val="nil"/>
              <w:left w:val="nil"/>
              <w:bottom w:val="nil"/>
              <w:right w:val="nil"/>
            </w:tcBorders>
            <w:shd w:val="clear" w:color="auto" w:fill="auto"/>
            <w:vAlign w:val="center"/>
          </w:tcPr>
          <w:p w14:paraId="510532EC"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vAlign w:val="center"/>
          </w:tcPr>
          <w:p w14:paraId="4F7F57C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w:t>
            </w:r>
          </w:p>
        </w:tc>
        <w:tc>
          <w:tcPr>
            <w:tcW w:w="990" w:type="dxa"/>
            <w:tcBorders>
              <w:top w:val="nil"/>
              <w:left w:val="nil"/>
              <w:bottom w:val="nil"/>
              <w:right w:val="nil"/>
            </w:tcBorders>
            <w:shd w:val="clear" w:color="auto" w:fill="auto"/>
            <w:vAlign w:val="center"/>
          </w:tcPr>
          <w:p w14:paraId="6356870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w:t>
            </w:r>
          </w:p>
        </w:tc>
        <w:tc>
          <w:tcPr>
            <w:tcW w:w="1530" w:type="dxa"/>
            <w:tcBorders>
              <w:top w:val="nil"/>
              <w:left w:val="nil"/>
              <w:bottom w:val="nil"/>
              <w:right w:val="nil"/>
            </w:tcBorders>
            <w:shd w:val="clear" w:color="auto" w:fill="auto"/>
            <w:vAlign w:val="center"/>
          </w:tcPr>
          <w:p w14:paraId="0986809E"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vAlign w:val="center"/>
          </w:tcPr>
          <w:p w14:paraId="0800F0EA"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2726E75F"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1A87015A"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67356D9E" w14:textId="77777777">
        <w:trPr>
          <w:trHeight w:val="300"/>
        </w:trPr>
        <w:tc>
          <w:tcPr>
            <w:tcW w:w="1620" w:type="dxa"/>
            <w:tcBorders>
              <w:top w:val="nil"/>
              <w:left w:val="nil"/>
              <w:bottom w:val="nil"/>
              <w:right w:val="nil"/>
            </w:tcBorders>
            <w:shd w:val="clear" w:color="auto" w:fill="auto"/>
            <w:vAlign w:val="center"/>
          </w:tcPr>
          <w:p w14:paraId="19FA0E8A"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vAlign w:val="center"/>
          </w:tcPr>
          <w:p w14:paraId="290C925C"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990" w:type="dxa"/>
            <w:tcBorders>
              <w:top w:val="nil"/>
              <w:left w:val="nil"/>
              <w:bottom w:val="nil"/>
              <w:right w:val="nil"/>
            </w:tcBorders>
            <w:shd w:val="clear" w:color="auto" w:fill="auto"/>
            <w:vAlign w:val="center"/>
          </w:tcPr>
          <w:p w14:paraId="62579F2C"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w:t>
            </w:r>
          </w:p>
        </w:tc>
        <w:tc>
          <w:tcPr>
            <w:tcW w:w="1530" w:type="dxa"/>
            <w:tcBorders>
              <w:top w:val="nil"/>
              <w:left w:val="nil"/>
              <w:bottom w:val="nil"/>
              <w:right w:val="nil"/>
            </w:tcBorders>
            <w:shd w:val="clear" w:color="auto" w:fill="auto"/>
            <w:vAlign w:val="center"/>
          </w:tcPr>
          <w:p w14:paraId="56824D5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2.28(1)</w:t>
            </w:r>
          </w:p>
        </w:tc>
        <w:tc>
          <w:tcPr>
            <w:tcW w:w="720" w:type="dxa"/>
            <w:tcBorders>
              <w:top w:val="nil"/>
              <w:left w:val="nil"/>
              <w:bottom w:val="nil"/>
              <w:right w:val="nil"/>
            </w:tcBorders>
            <w:shd w:val="clear" w:color="auto" w:fill="auto"/>
            <w:vAlign w:val="center"/>
          </w:tcPr>
          <w:p w14:paraId="5FDD4A0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-0.26</w:t>
            </w:r>
          </w:p>
        </w:tc>
        <w:tc>
          <w:tcPr>
            <w:tcW w:w="720" w:type="dxa"/>
            <w:tcBorders>
              <w:top w:val="nil"/>
              <w:left w:val="nil"/>
              <w:bottom w:val="nil"/>
              <w:right w:val="nil"/>
            </w:tcBorders>
            <w:shd w:val="clear" w:color="auto" w:fill="auto"/>
            <w:vAlign w:val="center"/>
          </w:tcPr>
          <w:p w14:paraId="476E0FCA"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810" w:type="dxa"/>
            <w:tcBorders>
              <w:top w:val="nil"/>
              <w:left w:val="nil"/>
              <w:bottom w:val="nil"/>
              <w:right w:val="nil"/>
            </w:tcBorders>
            <w:shd w:val="clear" w:color="auto" w:fill="auto"/>
            <w:vAlign w:val="center"/>
          </w:tcPr>
          <w:p w14:paraId="64608E0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0.131</w:t>
            </w:r>
          </w:p>
        </w:tc>
      </w:tr>
      <w:tr w:rsidR="00724AB5" w14:paraId="5435D7E2" w14:textId="77777777">
        <w:trPr>
          <w:trHeight w:val="300"/>
        </w:trPr>
        <w:tc>
          <w:tcPr>
            <w:tcW w:w="1620" w:type="dxa"/>
            <w:tcBorders>
              <w:top w:val="nil"/>
              <w:left w:val="nil"/>
              <w:bottom w:val="nil"/>
              <w:right w:val="nil"/>
            </w:tcBorders>
            <w:shd w:val="clear" w:color="auto" w:fill="auto"/>
            <w:vAlign w:val="center"/>
          </w:tcPr>
          <w:p w14:paraId="07BB46C1"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Fever</w:t>
            </w:r>
          </w:p>
        </w:tc>
        <w:tc>
          <w:tcPr>
            <w:tcW w:w="1080" w:type="dxa"/>
            <w:tcBorders>
              <w:top w:val="nil"/>
              <w:left w:val="nil"/>
              <w:bottom w:val="nil"/>
              <w:right w:val="nil"/>
            </w:tcBorders>
            <w:shd w:val="clear" w:color="auto" w:fill="auto"/>
            <w:vAlign w:val="center"/>
          </w:tcPr>
          <w:p w14:paraId="3696135C" w14:textId="77777777" w:rsidR="00724AB5" w:rsidRDefault="00724AB5">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vAlign w:val="center"/>
          </w:tcPr>
          <w:p w14:paraId="36718192" w14:textId="77777777" w:rsidR="00724AB5" w:rsidRDefault="00724AB5">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vAlign w:val="center"/>
          </w:tcPr>
          <w:p w14:paraId="3B848D04"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67229729"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350DEF64"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72A58D97"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4B2859DD" w14:textId="77777777">
        <w:trPr>
          <w:trHeight w:val="300"/>
        </w:trPr>
        <w:tc>
          <w:tcPr>
            <w:tcW w:w="1620" w:type="dxa"/>
            <w:tcBorders>
              <w:top w:val="nil"/>
              <w:left w:val="nil"/>
              <w:bottom w:val="nil"/>
              <w:right w:val="nil"/>
            </w:tcBorders>
            <w:shd w:val="clear" w:color="auto" w:fill="auto"/>
            <w:vAlign w:val="center"/>
          </w:tcPr>
          <w:p w14:paraId="30A7E706"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vAlign w:val="center"/>
          </w:tcPr>
          <w:p w14:paraId="34569690"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w:t>
            </w:r>
          </w:p>
        </w:tc>
        <w:tc>
          <w:tcPr>
            <w:tcW w:w="990" w:type="dxa"/>
            <w:tcBorders>
              <w:top w:val="nil"/>
              <w:left w:val="nil"/>
              <w:bottom w:val="nil"/>
              <w:right w:val="nil"/>
            </w:tcBorders>
            <w:shd w:val="clear" w:color="auto" w:fill="auto"/>
            <w:vAlign w:val="center"/>
          </w:tcPr>
          <w:p w14:paraId="78DAF3CB"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59</w:t>
            </w:r>
          </w:p>
        </w:tc>
        <w:tc>
          <w:tcPr>
            <w:tcW w:w="1530" w:type="dxa"/>
            <w:tcBorders>
              <w:top w:val="nil"/>
              <w:left w:val="nil"/>
              <w:bottom w:val="nil"/>
              <w:right w:val="nil"/>
            </w:tcBorders>
            <w:shd w:val="clear" w:color="auto" w:fill="auto"/>
            <w:vAlign w:val="center"/>
          </w:tcPr>
          <w:p w14:paraId="02C798A7"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vAlign w:val="center"/>
          </w:tcPr>
          <w:p w14:paraId="3E37F358"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037F450D"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4488B22E"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0414BAFB" w14:textId="77777777">
        <w:trPr>
          <w:trHeight w:val="300"/>
        </w:trPr>
        <w:tc>
          <w:tcPr>
            <w:tcW w:w="1620" w:type="dxa"/>
            <w:tcBorders>
              <w:top w:val="nil"/>
              <w:left w:val="nil"/>
              <w:bottom w:val="nil"/>
              <w:right w:val="nil"/>
            </w:tcBorders>
            <w:shd w:val="clear" w:color="auto" w:fill="auto"/>
            <w:vAlign w:val="center"/>
          </w:tcPr>
          <w:p w14:paraId="660C543E"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vAlign w:val="center"/>
          </w:tcPr>
          <w:p w14:paraId="0208AA0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w:t>
            </w:r>
          </w:p>
        </w:tc>
        <w:tc>
          <w:tcPr>
            <w:tcW w:w="990" w:type="dxa"/>
            <w:tcBorders>
              <w:top w:val="nil"/>
              <w:left w:val="nil"/>
              <w:bottom w:val="nil"/>
              <w:right w:val="nil"/>
            </w:tcBorders>
            <w:shd w:val="clear" w:color="auto" w:fill="auto"/>
            <w:vAlign w:val="center"/>
          </w:tcPr>
          <w:p w14:paraId="216F069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w:t>
            </w:r>
          </w:p>
        </w:tc>
        <w:tc>
          <w:tcPr>
            <w:tcW w:w="1530" w:type="dxa"/>
            <w:tcBorders>
              <w:top w:val="nil"/>
              <w:left w:val="nil"/>
              <w:bottom w:val="nil"/>
              <w:right w:val="nil"/>
            </w:tcBorders>
            <w:shd w:val="clear" w:color="auto" w:fill="auto"/>
            <w:vAlign w:val="center"/>
          </w:tcPr>
          <w:p w14:paraId="3B5D807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2.22(1)</w:t>
            </w:r>
          </w:p>
        </w:tc>
        <w:tc>
          <w:tcPr>
            <w:tcW w:w="720" w:type="dxa"/>
            <w:tcBorders>
              <w:top w:val="nil"/>
              <w:left w:val="nil"/>
              <w:bottom w:val="nil"/>
              <w:right w:val="nil"/>
            </w:tcBorders>
            <w:shd w:val="clear" w:color="auto" w:fill="auto"/>
            <w:vAlign w:val="center"/>
          </w:tcPr>
          <w:p w14:paraId="0D1728E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w:t>
            </w:r>
          </w:p>
        </w:tc>
        <w:tc>
          <w:tcPr>
            <w:tcW w:w="720" w:type="dxa"/>
            <w:tcBorders>
              <w:top w:val="nil"/>
              <w:left w:val="nil"/>
              <w:bottom w:val="nil"/>
              <w:right w:val="nil"/>
            </w:tcBorders>
            <w:shd w:val="clear" w:color="auto" w:fill="auto"/>
            <w:vAlign w:val="center"/>
          </w:tcPr>
          <w:p w14:paraId="4C88280A"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810" w:type="dxa"/>
            <w:tcBorders>
              <w:top w:val="nil"/>
              <w:left w:val="nil"/>
              <w:bottom w:val="nil"/>
              <w:right w:val="nil"/>
            </w:tcBorders>
            <w:shd w:val="clear" w:color="auto" w:fill="auto"/>
            <w:vAlign w:val="center"/>
          </w:tcPr>
          <w:p w14:paraId="1E74DB7B"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0.137</w:t>
            </w:r>
          </w:p>
        </w:tc>
      </w:tr>
      <w:tr w:rsidR="00724AB5" w14:paraId="7A535EB9" w14:textId="77777777">
        <w:trPr>
          <w:trHeight w:val="300"/>
        </w:trPr>
        <w:tc>
          <w:tcPr>
            <w:tcW w:w="1620" w:type="dxa"/>
            <w:tcBorders>
              <w:top w:val="nil"/>
              <w:left w:val="nil"/>
              <w:bottom w:val="nil"/>
              <w:right w:val="nil"/>
            </w:tcBorders>
            <w:shd w:val="clear" w:color="auto" w:fill="auto"/>
            <w:vAlign w:val="center"/>
          </w:tcPr>
          <w:p w14:paraId="2A55D2A0"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Cough</w:t>
            </w:r>
          </w:p>
        </w:tc>
        <w:tc>
          <w:tcPr>
            <w:tcW w:w="1080" w:type="dxa"/>
            <w:tcBorders>
              <w:top w:val="nil"/>
              <w:left w:val="nil"/>
              <w:bottom w:val="nil"/>
              <w:right w:val="nil"/>
            </w:tcBorders>
            <w:shd w:val="clear" w:color="auto" w:fill="auto"/>
            <w:vAlign w:val="center"/>
          </w:tcPr>
          <w:p w14:paraId="397E1ABE" w14:textId="77777777" w:rsidR="00724AB5" w:rsidRDefault="00724AB5">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vAlign w:val="center"/>
          </w:tcPr>
          <w:p w14:paraId="35D4C3F7" w14:textId="77777777" w:rsidR="00724AB5" w:rsidRDefault="00724AB5">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vAlign w:val="center"/>
          </w:tcPr>
          <w:p w14:paraId="3E6EA582"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35D050B5"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13B4F97D"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20D3D9B3"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7B9AC4EB" w14:textId="77777777">
        <w:trPr>
          <w:trHeight w:val="300"/>
        </w:trPr>
        <w:tc>
          <w:tcPr>
            <w:tcW w:w="1620" w:type="dxa"/>
            <w:tcBorders>
              <w:top w:val="nil"/>
              <w:left w:val="nil"/>
              <w:bottom w:val="nil"/>
              <w:right w:val="nil"/>
            </w:tcBorders>
            <w:shd w:val="clear" w:color="auto" w:fill="auto"/>
            <w:vAlign w:val="center"/>
          </w:tcPr>
          <w:p w14:paraId="6B65CFF9"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vAlign w:val="center"/>
          </w:tcPr>
          <w:p w14:paraId="3BE86B8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w:t>
            </w:r>
          </w:p>
        </w:tc>
        <w:tc>
          <w:tcPr>
            <w:tcW w:w="990" w:type="dxa"/>
            <w:tcBorders>
              <w:top w:val="nil"/>
              <w:left w:val="nil"/>
              <w:bottom w:val="nil"/>
              <w:right w:val="nil"/>
            </w:tcBorders>
            <w:shd w:val="clear" w:color="auto" w:fill="auto"/>
            <w:vAlign w:val="center"/>
          </w:tcPr>
          <w:p w14:paraId="5E7225C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89</w:t>
            </w:r>
          </w:p>
        </w:tc>
        <w:tc>
          <w:tcPr>
            <w:tcW w:w="1530" w:type="dxa"/>
            <w:tcBorders>
              <w:top w:val="nil"/>
              <w:left w:val="nil"/>
              <w:bottom w:val="nil"/>
              <w:right w:val="nil"/>
            </w:tcBorders>
            <w:shd w:val="clear" w:color="auto" w:fill="auto"/>
            <w:vAlign w:val="center"/>
          </w:tcPr>
          <w:p w14:paraId="5C2060A4"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vAlign w:val="center"/>
          </w:tcPr>
          <w:p w14:paraId="61285E80"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64BE360E"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702CA3F4"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30DDB0A6" w14:textId="77777777">
        <w:trPr>
          <w:trHeight w:val="300"/>
        </w:trPr>
        <w:tc>
          <w:tcPr>
            <w:tcW w:w="1620" w:type="dxa"/>
            <w:tcBorders>
              <w:top w:val="nil"/>
              <w:left w:val="nil"/>
              <w:bottom w:val="nil"/>
              <w:right w:val="nil"/>
            </w:tcBorders>
            <w:shd w:val="clear" w:color="auto" w:fill="auto"/>
            <w:vAlign w:val="center"/>
          </w:tcPr>
          <w:p w14:paraId="7B81602E"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vAlign w:val="center"/>
          </w:tcPr>
          <w:p w14:paraId="2D53CBC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990" w:type="dxa"/>
            <w:tcBorders>
              <w:top w:val="nil"/>
              <w:left w:val="nil"/>
              <w:bottom w:val="nil"/>
              <w:right w:val="nil"/>
            </w:tcBorders>
            <w:shd w:val="clear" w:color="auto" w:fill="auto"/>
            <w:vAlign w:val="center"/>
          </w:tcPr>
          <w:p w14:paraId="02BE8ADC"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p>
        </w:tc>
        <w:tc>
          <w:tcPr>
            <w:tcW w:w="1530" w:type="dxa"/>
            <w:tcBorders>
              <w:top w:val="nil"/>
              <w:left w:val="nil"/>
              <w:bottom w:val="nil"/>
              <w:right w:val="nil"/>
            </w:tcBorders>
            <w:shd w:val="clear" w:color="auto" w:fill="auto"/>
            <w:vAlign w:val="center"/>
          </w:tcPr>
          <w:p w14:paraId="62E1D869"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7.56(1)</w:t>
            </w:r>
          </w:p>
        </w:tc>
        <w:tc>
          <w:tcPr>
            <w:tcW w:w="720" w:type="dxa"/>
            <w:tcBorders>
              <w:top w:val="nil"/>
              <w:left w:val="nil"/>
              <w:bottom w:val="nil"/>
              <w:right w:val="nil"/>
            </w:tcBorders>
            <w:shd w:val="clear" w:color="auto" w:fill="auto"/>
            <w:vAlign w:val="center"/>
          </w:tcPr>
          <w:p w14:paraId="0D3820B9"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-0.33</w:t>
            </w:r>
          </w:p>
        </w:tc>
        <w:tc>
          <w:tcPr>
            <w:tcW w:w="720" w:type="dxa"/>
            <w:tcBorders>
              <w:top w:val="nil"/>
              <w:left w:val="nil"/>
              <w:bottom w:val="nil"/>
              <w:right w:val="nil"/>
            </w:tcBorders>
            <w:shd w:val="clear" w:color="auto" w:fill="auto"/>
            <w:vAlign w:val="center"/>
          </w:tcPr>
          <w:p w14:paraId="3D4C04E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810" w:type="dxa"/>
            <w:tcBorders>
              <w:top w:val="nil"/>
              <w:left w:val="nil"/>
              <w:bottom w:val="nil"/>
              <w:right w:val="nil"/>
            </w:tcBorders>
            <w:shd w:val="clear" w:color="auto" w:fill="auto"/>
            <w:vAlign w:val="center"/>
          </w:tcPr>
          <w:p w14:paraId="286474B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0.006</w:t>
            </w:r>
          </w:p>
        </w:tc>
      </w:tr>
      <w:tr w:rsidR="00724AB5" w14:paraId="64EA72F9" w14:textId="77777777">
        <w:trPr>
          <w:trHeight w:val="300"/>
        </w:trPr>
        <w:tc>
          <w:tcPr>
            <w:tcW w:w="1620" w:type="dxa"/>
            <w:tcBorders>
              <w:top w:val="nil"/>
              <w:left w:val="nil"/>
              <w:bottom w:val="nil"/>
              <w:right w:val="nil"/>
            </w:tcBorders>
            <w:shd w:val="clear" w:color="auto" w:fill="auto"/>
            <w:vAlign w:val="center"/>
          </w:tcPr>
          <w:p w14:paraId="43CE9DEE"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Abdominal pain</w:t>
            </w:r>
          </w:p>
        </w:tc>
        <w:tc>
          <w:tcPr>
            <w:tcW w:w="1080" w:type="dxa"/>
            <w:tcBorders>
              <w:top w:val="nil"/>
              <w:left w:val="nil"/>
              <w:bottom w:val="nil"/>
              <w:right w:val="nil"/>
            </w:tcBorders>
            <w:shd w:val="clear" w:color="auto" w:fill="auto"/>
            <w:vAlign w:val="center"/>
          </w:tcPr>
          <w:p w14:paraId="688D9431" w14:textId="77777777" w:rsidR="00724AB5" w:rsidRDefault="00724AB5">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vAlign w:val="center"/>
          </w:tcPr>
          <w:p w14:paraId="1A7B08C0" w14:textId="77777777" w:rsidR="00724AB5" w:rsidRDefault="00724AB5">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vAlign w:val="center"/>
          </w:tcPr>
          <w:p w14:paraId="7D0B6545"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3938F8C2"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59AC0B82"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38425CAF"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16A353A7" w14:textId="77777777">
        <w:trPr>
          <w:trHeight w:val="300"/>
        </w:trPr>
        <w:tc>
          <w:tcPr>
            <w:tcW w:w="1620" w:type="dxa"/>
            <w:tcBorders>
              <w:top w:val="nil"/>
              <w:left w:val="nil"/>
              <w:bottom w:val="nil"/>
              <w:right w:val="nil"/>
            </w:tcBorders>
            <w:shd w:val="clear" w:color="auto" w:fill="auto"/>
            <w:vAlign w:val="center"/>
          </w:tcPr>
          <w:p w14:paraId="1149ACA7"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vAlign w:val="center"/>
          </w:tcPr>
          <w:p w14:paraId="52712F40"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53</w:t>
            </w:r>
          </w:p>
        </w:tc>
        <w:tc>
          <w:tcPr>
            <w:tcW w:w="990" w:type="dxa"/>
            <w:tcBorders>
              <w:top w:val="nil"/>
              <w:left w:val="nil"/>
              <w:bottom w:val="nil"/>
              <w:right w:val="nil"/>
            </w:tcBorders>
            <w:shd w:val="clear" w:color="auto" w:fill="auto"/>
            <w:vAlign w:val="center"/>
          </w:tcPr>
          <w:p w14:paraId="5B2E870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109</w:t>
            </w:r>
          </w:p>
        </w:tc>
        <w:tc>
          <w:tcPr>
            <w:tcW w:w="1530" w:type="dxa"/>
            <w:tcBorders>
              <w:top w:val="nil"/>
              <w:left w:val="nil"/>
              <w:bottom w:val="nil"/>
              <w:right w:val="nil"/>
            </w:tcBorders>
            <w:shd w:val="clear" w:color="auto" w:fill="auto"/>
            <w:vAlign w:val="center"/>
          </w:tcPr>
          <w:p w14:paraId="22FE52FC"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vAlign w:val="center"/>
          </w:tcPr>
          <w:p w14:paraId="11C25FAC"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68DCFFF5"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015435DF"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1FB9A228" w14:textId="77777777">
        <w:trPr>
          <w:trHeight w:val="300"/>
        </w:trPr>
        <w:tc>
          <w:tcPr>
            <w:tcW w:w="1620" w:type="dxa"/>
            <w:tcBorders>
              <w:top w:val="nil"/>
              <w:left w:val="nil"/>
              <w:bottom w:val="nil"/>
              <w:right w:val="nil"/>
            </w:tcBorders>
            <w:shd w:val="clear" w:color="auto" w:fill="auto"/>
            <w:vAlign w:val="center"/>
          </w:tcPr>
          <w:p w14:paraId="12CCE485"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vAlign w:val="center"/>
          </w:tcPr>
          <w:p w14:paraId="59677FCB"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90" w:type="dxa"/>
            <w:tcBorders>
              <w:top w:val="nil"/>
              <w:left w:val="nil"/>
              <w:bottom w:val="nil"/>
              <w:right w:val="nil"/>
            </w:tcBorders>
            <w:shd w:val="clear" w:color="auto" w:fill="auto"/>
            <w:vAlign w:val="center"/>
          </w:tcPr>
          <w:p w14:paraId="729E7D2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c>
          <w:tcPr>
            <w:tcW w:w="1530" w:type="dxa"/>
            <w:tcBorders>
              <w:top w:val="nil"/>
              <w:left w:val="nil"/>
              <w:bottom w:val="nil"/>
              <w:right w:val="nil"/>
            </w:tcBorders>
            <w:shd w:val="clear" w:color="auto" w:fill="auto"/>
            <w:vAlign w:val="center"/>
          </w:tcPr>
          <w:p w14:paraId="453420A0"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2.82(1)</w:t>
            </w:r>
          </w:p>
        </w:tc>
        <w:tc>
          <w:tcPr>
            <w:tcW w:w="720" w:type="dxa"/>
            <w:tcBorders>
              <w:top w:val="nil"/>
              <w:left w:val="nil"/>
              <w:bottom w:val="nil"/>
              <w:right w:val="nil"/>
            </w:tcBorders>
            <w:shd w:val="clear" w:color="auto" w:fill="auto"/>
            <w:vAlign w:val="center"/>
          </w:tcPr>
          <w:p w14:paraId="7BD483D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w:t>
            </w:r>
          </w:p>
        </w:tc>
        <w:tc>
          <w:tcPr>
            <w:tcW w:w="720" w:type="dxa"/>
            <w:tcBorders>
              <w:top w:val="nil"/>
              <w:left w:val="nil"/>
              <w:bottom w:val="nil"/>
              <w:right w:val="nil"/>
            </w:tcBorders>
            <w:shd w:val="clear" w:color="auto" w:fill="auto"/>
            <w:vAlign w:val="center"/>
          </w:tcPr>
          <w:p w14:paraId="22D300F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-0.003</w:t>
            </w:r>
          </w:p>
        </w:tc>
        <w:tc>
          <w:tcPr>
            <w:tcW w:w="810" w:type="dxa"/>
            <w:tcBorders>
              <w:top w:val="nil"/>
              <w:left w:val="nil"/>
              <w:bottom w:val="nil"/>
              <w:right w:val="nil"/>
            </w:tcBorders>
            <w:shd w:val="clear" w:color="auto" w:fill="auto"/>
            <w:vAlign w:val="center"/>
          </w:tcPr>
          <w:p w14:paraId="13D9A5C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0.093</w:t>
            </w:r>
          </w:p>
        </w:tc>
      </w:tr>
      <w:tr w:rsidR="00724AB5" w14:paraId="241BCB69" w14:textId="77777777">
        <w:trPr>
          <w:trHeight w:val="300"/>
        </w:trPr>
        <w:tc>
          <w:tcPr>
            <w:tcW w:w="1620" w:type="dxa"/>
            <w:tcBorders>
              <w:top w:val="nil"/>
              <w:left w:val="nil"/>
              <w:bottom w:val="nil"/>
              <w:right w:val="nil"/>
            </w:tcBorders>
            <w:shd w:val="clear" w:color="auto" w:fill="auto"/>
            <w:vAlign w:val="center"/>
          </w:tcPr>
          <w:p w14:paraId="2F8E8A5C"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Dark-brown urine</w:t>
            </w:r>
          </w:p>
        </w:tc>
        <w:tc>
          <w:tcPr>
            <w:tcW w:w="1080" w:type="dxa"/>
            <w:tcBorders>
              <w:top w:val="nil"/>
              <w:left w:val="nil"/>
              <w:bottom w:val="nil"/>
              <w:right w:val="nil"/>
            </w:tcBorders>
            <w:shd w:val="clear" w:color="auto" w:fill="auto"/>
            <w:vAlign w:val="center"/>
          </w:tcPr>
          <w:p w14:paraId="0A5EBD3F" w14:textId="77777777" w:rsidR="00724AB5" w:rsidRDefault="00724AB5">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vAlign w:val="center"/>
          </w:tcPr>
          <w:p w14:paraId="6F8EDAD9" w14:textId="77777777" w:rsidR="00724AB5" w:rsidRDefault="00724AB5">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vAlign w:val="center"/>
          </w:tcPr>
          <w:p w14:paraId="566EA32D"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6D76E85C"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05BD0AA9"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404EA4F9"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0FFAA8D8" w14:textId="77777777">
        <w:trPr>
          <w:trHeight w:val="300"/>
        </w:trPr>
        <w:tc>
          <w:tcPr>
            <w:tcW w:w="1620" w:type="dxa"/>
            <w:tcBorders>
              <w:top w:val="nil"/>
              <w:left w:val="nil"/>
              <w:bottom w:val="nil"/>
              <w:right w:val="nil"/>
            </w:tcBorders>
            <w:shd w:val="clear" w:color="auto" w:fill="auto"/>
            <w:vAlign w:val="center"/>
          </w:tcPr>
          <w:p w14:paraId="595744A6"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vAlign w:val="center"/>
          </w:tcPr>
          <w:p w14:paraId="03F1756A"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w:t>
            </w:r>
          </w:p>
        </w:tc>
        <w:tc>
          <w:tcPr>
            <w:tcW w:w="990" w:type="dxa"/>
            <w:tcBorders>
              <w:top w:val="nil"/>
              <w:left w:val="nil"/>
              <w:bottom w:val="nil"/>
              <w:right w:val="nil"/>
            </w:tcBorders>
            <w:shd w:val="clear" w:color="auto" w:fill="auto"/>
            <w:vAlign w:val="center"/>
          </w:tcPr>
          <w:p w14:paraId="61322691"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w:t>
            </w:r>
          </w:p>
        </w:tc>
        <w:tc>
          <w:tcPr>
            <w:tcW w:w="1530" w:type="dxa"/>
            <w:tcBorders>
              <w:top w:val="nil"/>
              <w:left w:val="nil"/>
              <w:bottom w:val="nil"/>
              <w:right w:val="nil"/>
            </w:tcBorders>
            <w:shd w:val="clear" w:color="auto" w:fill="auto"/>
            <w:vAlign w:val="center"/>
          </w:tcPr>
          <w:p w14:paraId="5BFE7851"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vAlign w:val="center"/>
          </w:tcPr>
          <w:p w14:paraId="4C5AADFE"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4DD1B8B2"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01A77330"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21925B93" w14:textId="77777777">
        <w:trPr>
          <w:trHeight w:val="300"/>
        </w:trPr>
        <w:tc>
          <w:tcPr>
            <w:tcW w:w="1620" w:type="dxa"/>
            <w:tcBorders>
              <w:top w:val="nil"/>
              <w:left w:val="nil"/>
              <w:bottom w:val="nil"/>
              <w:right w:val="nil"/>
            </w:tcBorders>
            <w:shd w:val="clear" w:color="auto" w:fill="auto"/>
            <w:vAlign w:val="center"/>
          </w:tcPr>
          <w:p w14:paraId="1E2C26FC"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vAlign w:val="center"/>
          </w:tcPr>
          <w:p w14:paraId="1EE05F9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990" w:type="dxa"/>
            <w:tcBorders>
              <w:top w:val="nil"/>
              <w:left w:val="nil"/>
              <w:bottom w:val="nil"/>
              <w:right w:val="nil"/>
            </w:tcBorders>
            <w:shd w:val="clear" w:color="auto" w:fill="auto"/>
            <w:vAlign w:val="center"/>
          </w:tcPr>
          <w:p w14:paraId="20BFCB0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w:t>
            </w:r>
          </w:p>
        </w:tc>
        <w:tc>
          <w:tcPr>
            <w:tcW w:w="1530" w:type="dxa"/>
            <w:tcBorders>
              <w:top w:val="nil"/>
              <w:left w:val="nil"/>
              <w:bottom w:val="nil"/>
              <w:right w:val="nil"/>
            </w:tcBorders>
            <w:shd w:val="clear" w:color="auto" w:fill="auto"/>
            <w:vAlign w:val="center"/>
          </w:tcPr>
          <w:p w14:paraId="78DBCED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0.04(1)</w:t>
            </w:r>
          </w:p>
        </w:tc>
        <w:tc>
          <w:tcPr>
            <w:tcW w:w="720" w:type="dxa"/>
            <w:tcBorders>
              <w:top w:val="nil"/>
              <w:left w:val="nil"/>
              <w:bottom w:val="nil"/>
              <w:right w:val="nil"/>
            </w:tcBorders>
            <w:shd w:val="clear" w:color="auto" w:fill="auto"/>
            <w:vAlign w:val="center"/>
          </w:tcPr>
          <w:p w14:paraId="239A549A"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-0.17</w:t>
            </w:r>
          </w:p>
        </w:tc>
        <w:tc>
          <w:tcPr>
            <w:tcW w:w="720" w:type="dxa"/>
            <w:tcBorders>
              <w:top w:val="nil"/>
              <w:left w:val="nil"/>
              <w:bottom w:val="nil"/>
              <w:right w:val="nil"/>
            </w:tcBorders>
            <w:shd w:val="clear" w:color="auto" w:fill="auto"/>
            <w:vAlign w:val="center"/>
          </w:tcPr>
          <w:p w14:paraId="72AC4F0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0.12</w:t>
            </w:r>
          </w:p>
        </w:tc>
        <w:tc>
          <w:tcPr>
            <w:tcW w:w="810" w:type="dxa"/>
            <w:tcBorders>
              <w:top w:val="nil"/>
              <w:left w:val="nil"/>
              <w:bottom w:val="nil"/>
              <w:right w:val="nil"/>
            </w:tcBorders>
            <w:shd w:val="clear" w:color="auto" w:fill="auto"/>
            <w:vAlign w:val="center"/>
          </w:tcPr>
          <w:p w14:paraId="576039B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0.845</w:t>
            </w:r>
          </w:p>
        </w:tc>
      </w:tr>
      <w:tr w:rsidR="00724AB5" w14:paraId="77603A05" w14:textId="77777777">
        <w:trPr>
          <w:trHeight w:val="300"/>
        </w:trPr>
        <w:tc>
          <w:tcPr>
            <w:tcW w:w="1620" w:type="dxa"/>
            <w:tcBorders>
              <w:top w:val="nil"/>
              <w:left w:val="nil"/>
              <w:bottom w:val="nil"/>
              <w:right w:val="nil"/>
            </w:tcBorders>
            <w:shd w:val="clear" w:color="auto" w:fill="auto"/>
            <w:vAlign w:val="center"/>
          </w:tcPr>
          <w:p w14:paraId="06CFDE30"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Other symptoms</w:t>
            </w:r>
          </w:p>
        </w:tc>
        <w:tc>
          <w:tcPr>
            <w:tcW w:w="1080" w:type="dxa"/>
            <w:tcBorders>
              <w:top w:val="nil"/>
              <w:left w:val="nil"/>
              <w:bottom w:val="nil"/>
              <w:right w:val="nil"/>
            </w:tcBorders>
            <w:shd w:val="clear" w:color="auto" w:fill="auto"/>
            <w:vAlign w:val="center"/>
          </w:tcPr>
          <w:p w14:paraId="6F8B8B5C" w14:textId="77777777" w:rsidR="00724AB5" w:rsidRDefault="00724AB5">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vAlign w:val="center"/>
          </w:tcPr>
          <w:p w14:paraId="576E43E7" w14:textId="77777777" w:rsidR="00724AB5" w:rsidRDefault="00724AB5">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vAlign w:val="center"/>
          </w:tcPr>
          <w:p w14:paraId="3C2FDBF2"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1315A364"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4029E9F3"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2300F914"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24CE99E6" w14:textId="77777777">
        <w:trPr>
          <w:trHeight w:val="300"/>
        </w:trPr>
        <w:tc>
          <w:tcPr>
            <w:tcW w:w="1620" w:type="dxa"/>
            <w:tcBorders>
              <w:top w:val="nil"/>
              <w:left w:val="nil"/>
              <w:bottom w:val="nil"/>
              <w:right w:val="nil"/>
            </w:tcBorders>
            <w:shd w:val="clear" w:color="auto" w:fill="auto"/>
            <w:vAlign w:val="center"/>
          </w:tcPr>
          <w:p w14:paraId="419ED624"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vAlign w:val="center"/>
          </w:tcPr>
          <w:p w14:paraId="0589F487"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47</w:t>
            </w:r>
          </w:p>
        </w:tc>
        <w:tc>
          <w:tcPr>
            <w:tcW w:w="990" w:type="dxa"/>
            <w:tcBorders>
              <w:top w:val="nil"/>
              <w:left w:val="nil"/>
              <w:bottom w:val="nil"/>
              <w:right w:val="nil"/>
            </w:tcBorders>
            <w:shd w:val="clear" w:color="auto" w:fill="auto"/>
            <w:vAlign w:val="center"/>
          </w:tcPr>
          <w:p w14:paraId="1876A38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116</w:t>
            </w:r>
          </w:p>
        </w:tc>
        <w:tc>
          <w:tcPr>
            <w:tcW w:w="1530" w:type="dxa"/>
            <w:tcBorders>
              <w:top w:val="nil"/>
              <w:left w:val="nil"/>
              <w:bottom w:val="nil"/>
              <w:right w:val="nil"/>
            </w:tcBorders>
            <w:shd w:val="clear" w:color="auto" w:fill="auto"/>
            <w:vAlign w:val="center"/>
          </w:tcPr>
          <w:p w14:paraId="1A6C4CA2"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vAlign w:val="center"/>
          </w:tcPr>
          <w:p w14:paraId="47C4AD7B"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5F401E39"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39D4690B"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00F0ECF7" w14:textId="77777777">
        <w:trPr>
          <w:trHeight w:val="300"/>
        </w:trPr>
        <w:tc>
          <w:tcPr>
            <w:tcW w:w="1620" w:type="dxa"/>
            <w:tcBorders>
              <w:top w:val="nil"/>
              <w:left w:val="nil"/>
              <w:bottom w:val="nil"/>
              <w:right w:val="nil"/>
            </w:tcBorders>
            <w:shd w:val="clear" w:color="auto" w:fill="auto"/>
            <w:vAlign w:val="center"/>
          </w:tcPr>
          <w:p w14:paraId="24F2CA4C"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vAlign w:val="center"/>
          </w:tcPr>
          <w:p w14:paraId="114792D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990" w:type="dxa"/>
            <w:tcBorders>
              <w:top w:val="nil"/>
              <w:left w:val="nil"/>
              <w:bottom w:val="nil"/>
              <w:right w:val="nil"/>
            </w:tcBorders>
            <w:shd w:val="clear" w:color="auto" w:fill="auto"/>
            <w:vAlign w:val="center"/>
          </w:tcPr>
          <w:p w14:paraId="01D9E62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530" w:type="dxa"/>
            <w:tcBorders>
              <w:top w:val="nil"/>
              <w:left w:val="nil"/>
              <w:bottom w:val="nil"/>
              <w:right w:val="nil"/>
            </w:tcBorders>
            <w:shd w:val="clear" w:color="auto" w:fill="auto"/>
            <w:vAlign w:val="center"/>
          </w:tcPr>
          <w:p w14:paraId="1F60278A"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0.83(1)</w:t>
            </w:r>
          </w:p>
        </w:tc>
        <w:tc>
          <w:tcPr>
            <w:tcW w:w="720" w:type="dxa"/>
            <w:tcBorders>
              <w:top w:val="nil"/>
              <w:left w:val="nil"/>
              <w:bottom w:val="nil"/>
              <w:right w:val="nil"/>
            </w:tcBorders>
            <w:shd w:val="clear" w:color="auto" w:fill="auto"/>
            <w:vAlign w:val="center"/>
          </w:tcPr>
          <w:p w14:paraId="46D98EC9"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-0.06</w:t>
            </w:r>
          </w:p>
        </w:tc>
        <w:tc>
          <w:tcPr>
            <w:tcW w:w="720" w:type="dxa"/>
            <w:tcBorders>
              <w:top w:val="nil"/>
              <w:left w:val="nil"/>
              <w:bottom w:val="nil"/>
              <w:right w:val="nil"/>
            </w:tcBorders>
            <w:shd w:val="clear" w:color="auto" w:fill="auto"/>
            <w:vAlign w:val="center"/>
          </w:tcPr>
          <w:p w14:paraId="23478199"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0.18</w:t>
            </w:r>
          </w:p>
        </w:tc>
        <w:tc>
          <w:tcPr>
            <w:tcW w:w="810" w:type="dxa"/>
            <w:tcBorders>
              <w:top w:val="nil"/>
              <w:left w:val="nil"/>
              <w:bottom w:val="nil"/>
              <w:right w:val="nil"/>
            </w:tcBorders>
            <w:shd w:val="clear" w:color="auto" w:fill="auto"/>
            <w:vAlign w:val="center"/>
          </w:tcPr>
          <w:p w14:paraId="0943967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0.363</w:t>
            </w:r>
          </w:p>
        </w:tc>
      </w:tr>
      <w:tr w:rsidR="00724AB5" w14:paraId="06218856" w14:textId="77777777">
        <w:trPr>
          <w:trHeight w:val="300"/>
        </w:trPr>
        <w:tc>
          <w:tcPr>
            <w:tcW w:w="1620" w:type="dxa"/>
            <w:tcBorders>
              <w:top w:val="nil"/>
              <w:left w:val="nil"/>
              <w:bottom w:val="nil"/>
              <w:right w:val="nil"/>
            </w:tcBorders>
            <w:shd w:val="clear" w:color="auto" w:fill="auto"/>
            <w:vAlign w:val="center"/>
          </w:tcPr>
          <w:p w14:paraId="35BF7202"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Infection</w:t>
            </w:r>
          </w:p>
        </w:tc>
        <w:tc>
          <w:tcPr>
            <w:tcW w:w="1080" w:type="dxa"/>
            <w:tcBorders>
              <w:top w:val="nil"/>
              <w:left w:val="nil"/>
              <w:bottom w:val="nil"/>
              <w:right w:val="nil"/>
            </w:tcBorders>
            <w:shd w:val="clear" w:color="auto" w:fill="auto"/>
            <w:vAlign w:val="center"/>
          </w:tcPr>
          <w:p w14:paraId="0C858C00" w14:textId="77777777" w:rsidR="00724AB5" w:rsidRDefault="00724AB5">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vAlign w:val="center"/>
          </w:tcPr>
          <w:p w14:paraId="7A588FB3" w14:textId="77777777" w:rsidR="00724AB5" w:rsidRDefault="00724AB5">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vAlign w:val="center"/>
          </w:tcPr>
          <w:p w14:paraId="328DAC9B"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0023836A"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6D752976"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42C4774C"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1FDA581B" w14:textId="77777777">
        <w:trPr>
          <w:trHeight w:val="300"/>
        </w:trPr>
        <w:tc>
          <w:tcPr>
            <w:tcW w:w="1620" w:type="dxa"/>
            <w:tcBorders>
              <w:top w:val="nil"/>
              <w:left w:val="nil"/>
              <w:bottom w:val="nil"/>
              <w:right w:val="nil"/>
            </w:tcBorders>
            <w:shd w:val="clear" w:color="auto" w:fill="auto"/>
            <w:vAlign w:val="center"/>
          </w:tcPr>
          <w:p w14:paraId="4F780A08"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vAlign w:val="center"/>
          </w:tcPr>
          <w:p w14:paraId="4B25B6F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49</w:t>
            </w:r>
          </w:p>
        </w:tc>
        <w:tc>
          <w:tcPr>
            <w:tcW w:w="990" w:type="dxa"/>
            <w:tcBorders>
              <w:top w:val="nil"/>
              <w:left w:val="nil"/>
              <w:bottom w:val="nil"/>
              <w:right w:val="nil"/>
            </w:tcBorders>
            <w:shd w:val="clear" w:color="auto" w:fill="auto"/>
            <w:vAlign w:val="center"/>
          </w:tcPr>
          <w:p w14:paraId="00E9D8D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103</w:t>
            </w:r>
          </w:p>
        </w:tc>
        <w:tc>
          <w:tcPr>
            <w:tcW w:w="1530" w:type="dxa"/>
            <w:tcBorders>
              <w:top w:val="nil"/>
              <w:left w:val="nil"/>
              <w:bottom w:val="nil"/>
              <w:right w:val="nil"/>
            </w:tcBorders>
            <w:shd w:val="clear" w:color="auto" w:fill="auto"/>
            <w:vAlign w:val="center"/>
          </w:tcPr>
          <w:p w14:paraId="263043D0"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vAlign w:val="center"/>
          </w:tcPr>
          <w:p w14:paraId="24A653A3"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1BE367BA"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7E0EFBAF"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48D75AF2" w14:textId="77777777">
        <w:trPr>
          <w:trHeight w:val="300"/>
        </w:trPr>
        <w:tc>
          <w:tcPr>
            <w:tcW w:w="1620" w:type="dxa"/>
            <w:tcBorders>
              <w:top w:val="nil"/>
              <w:left w:val="nil"/>
              <w:bottom w:val="nil"/>
              <w:right w:val="nil"/>
            </w:tcBorders>
            <w:shd w:val="clear" w:color="auto" w:fill="auto"/>
            <w:vAlign w:val="center"/>
          </w:tcPr>
          <w:p w14:paraId="1672D8DB"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vAlign w:val="center"/>
          </w:tcPr>
          <w:p w14:paraId="4EF60341"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990" w:type="dxa"/>
            <w:tcBorders>
              <w:top w:val="nil"/>
              <w:left w:val="nil"/>
              <w:bottom w:val="nil"/>
              <w:right w:val="nil"/>
            </w:tcBorders>
            <w:shd w:val="clear" w:color="auto" w:fill="auto"/>
            <w:vAlign w:val="center"/>
          </w:tcPr>
          <w:p w14:paraId="4EE7A935"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w:t>
            </w:r>
          </w:p>
        </w:tc>
        <w:tc>
          <w:tcPr>
            <w:tcW w:w="1530" w:type="dxa"/>
            <w:tcBorders>
              <w:top w:val="nil"/>
              <w:left w:val="nil"/>
              <w:bottom w:val="nil"/>
              <w:right w:val="nil"/>
            </w:tcBorders>
            <w:shd w:val="clear" w:color="auto" w:fill="auto"/>
            <w:vAlign w:val="center"/>
          </w:tcPr>
          <w:p w14:paraId="285332DE"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1.08(1)</w:t>
            </w:r>
          </w:p>
        </w:tc>
        <w:tc>
          <w:tcPr>
            <w:tcW w:w="720" w:type="dxa"/>
            <w:tcBorders>
              <w:top w:val="nil"/>
              <w:left w:val="nil"/>
              <w:bottom w:val="nil"/>
              <w:right w:val="nil"/>
            </w:tcBorders>
            <w:shd w:val="clear" w:color="auto" w:fill="auto"/>
            <w:vAlign w:val="center"/>
          </w:tcPr>
          <w:p w14:paraId="1AD3359C"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w:t>
            </w:r>
          </w:p>
        </w:tc>
        <w:tc>
          <w:tcPr>
            <w:tcW w:w="720" w:type="dxa"/>
            <w:tcBorders>
              <w:top w:val="nil"/>
              <w:left w:val="nil"/>
              <w:bottom w:val="nil"/>
              <w:right w:val="nil"/>
            </w:tcBorders>
            <w:shd w:val="clear" w:color="auto" w:fill="auto"/>
            <w:vAlign w:val="center"/>
          </w:tcPr>
          <w:p w14:paraId="33BC55AC"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0.05</w:t>
            </w:r>
          </w:p>
        </w:tc>
        <w:tc>
          <w:tcPr>
            <w:tcW w:w="810" w:type="dxa"/>
            <w:tcBorders>
              <w:top w:val="nil"/>
              <w:left w:val="nil"/>
              <w:bottom w:val="nil"/>
              <w:right w:val="nil"/>
            </w:tcBorders>
            <w:shd w:val="clear" w:color="auto" w:fill="auto"/>
            <w:vAlign w:val="center"/>
          </w:tcPr>
          <w:p w14:paraId="5B2F839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0.298</w:t>
            </w:r>
          </w:p>
        </w:tc>
      </w:tr>
      <w:tr w:rsidR="00724AB5" w14:paraId="39C70FB5" w14:textId="77777777">
        <w:trPr>
          <w:trHeight w:val="300"/>
        </w:trPr>
        <w:tc>
          <w:tcPr>
            <w:tcW w:w="2700" w:type="dxa"/>
            <w:gridSpan w:val="2"/>
            <w:tcBorders>
              <w:top w:val="nil"/>
              <w:left w:val="nil"/>
              <w:bottom w:val="nil"/>
              <w:right w:val="nil"/>
            </w:tcBorders>
            <w:shd w:val="clear" w:color="auto" w:fill="auto"/>
            <w:vAlign w:val="center"/>
          </w:tcPr>
          <w:p w14:paraId="08C8C6C4"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Avascular necrosis</w:t>
            </w:r>
          </w:p>
        </w:tc>
        <w:tc>
          <w:tcPr>
            <w:tcW w:w="990" w:type="dxa"/>
            <w:tcBorders>
              <w:top w:val="nil"/>
              <w:left w:val="nil"/>
              <w:bottom w:val="nil"/>
              <w:right w:val="nil"/>
            </w:tcBorders>
            <w:shd w:val="clear" w:color="auto" w:fill="auto"/>
            <w:vAlign w:val="center"/>
          </w:tcPr>
          <w:p w14:paraId="197E004F" w14:textId="77777777" w:rsidR="00724AB5" w:rsidRDefault="00724AB5">
            <w:pPr>
              <w:spacing w:after="0" w:line="240" w:lineRule="auto"/>
              <w:rPr>
                <w:rFonts w:ascii="Times New Roman" w:eastAsia="Times New Roman" w:hAnsi="Times New Roman" w:cs="Times New Roman"/>
                <w:color w:val="000000"/>
                <w:sz w:val="18"/>
                <w:szCs w:val="18"/>
              </w:rPr>
            </w:pPr>
          </w:p>
        </w:tc>
        <w:tc>
          <w:tcPr>
            <w:tcW w:w="1530" w:type="dxa"/>
            <w:tcBorders>
              <w:top w:val="nil"/>
              <w:left w:val="nil"/>
              <w:bottom w:val="nil"/>
              <w:right w:val="nil"/>
            </w:tcBorders>
            <w:shd w:val="clear" w:color="auto" w:fill="auto"/>
            <w:vAlign w:val="center"/>
          </w:tcPr>
          <w:p w14:paraId="11DE8588"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20B57A0A"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6D179DFB"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3E14A9E8"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0293C7F6" w14:textId="77777777">
        <w:trPr>
          <w:trHeight w:val="300"/>
        </w:trPr>
        <w:tc>
          <w:tcPr>
            <w:tcW w:w="1620" w:type="dxa"/>
            <w:tcBorders>
              <w:top w:val="nil"/>
              <w:left w:val="nil"/>
              <w:bottom w:val="nil"/>
              <w:right w:val="nil"/>
            </w:tcBorders>
            <w:shd w:val="clear" w:color="auto" w:fill="auto"/>
            <w:vAlign w:val="center"/>
          </w:tcPr>
          <w:p w14:paraId="24B27835"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vAlign w:val="center"/>
          </w:tcPr>
          <w:p w14:paraId="6DBA60D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w:t>
            </w:r>
          </w:p>
        </w:tc>
        <w:tc>
          <w:tcPr>
            <w:tcW w:w="990" w:type="dxa"/>
            <w:tcBorders>
              <w:top w:val="nil"/>
              <w:left w:val="nil"/>
              <w:bottom w:val="nil"/>
              <w:right w:val="nil"/>
            </w:tcBorders>
            <w:shd w:val="clear" w:color="auto" w:fill="auto"/>
            <w:vAlign w:val="center"/>
          </w:tcPr>
          <w:p w14:paraId="2222254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118</w:t>
            </w:r>
          </w:p>
        </w:tc>
        <w:tc>
          <w:tcPr>
            <w:tcW w:w="1530" w:type="dxa"/>
            <w:tcBorders>
              <w:top w:val="nil"/>
              <w:left w:val="nil"/>
              <w:bottom w:val="nil"/>
              <w:right w:val="nil"/>
            </w:tcBorders>
            <w:shd w:val="clear" w:color="auto" w:fill="auto"/>
            <w:vAlign w:val="center"/>
          </w:tcPr>
          <w:p w14:paraId="12FCAA00"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vAlign w:val="center"/>
          </w:tcPr>
          <w:p w14:paraId="021284FD"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1B84A039"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4A037B08"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3E93A725" w14:textId="77777777">
        <w:trPr>
          <w:trHeight w:val="300"/>
        </w:trPr>
        <w:tc>
          <w:tcPr>
            <w:tcW w:w="1620" w:type="dxa"/>
            <w:tcBorders>
              <w:top w:val="nil"/>
              <w:left w:val="nil"/>
              <w:bottom w:val="nil"/>
              <w:right w:val="nil"/>
            </w:tcBorders>
            <w:shd w:val="clear" w:color="auto" w:fill="auto"/>
            <w:vAlign w:val="center"/>
          </w:tcPr>
          <w:p w14:paraId="7A6AEAFA"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vAlign w:val="center"/>
          </w:tcPr>
          <w:p w14:paraId="72C5650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990" w:type="dxa"/>
            <w:tcBorders>
              <w:top w:val="nil"/>
              <w:left w:val="nil"/>
              <w:bottom w:val="nil"/>
              <w:right w:val="nil"/>
            </w:tcBorders>
            <w:shd w:val="clear" w:color="auto" w:fill="auto"/>
            <w:vAlign w:val="center"/>
          </w:tcPr>
          <w:p w14:paraId="19C1467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530" w:type="dxa"/>
            <w:tcBorders>
              <w:top w:val="nil"/>
              <w:left w:val="nil"/>
              <w:bottom w:val="nil"/>
              <w:right w:val="nil"/>
            </w:tcBorders>
            <w:shd w:val="clear" w:color="auto" w:fill="auto"/>
            <w:vAlign w:val="center"/>
          </w:tcPr>
          <w:p w14:paraId="26B8E80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0.04(1)</w:t>
            </w:r>
          </w:p>
        </w:tc>
        <w:tc>
          <w:tcPr>
            <w:tcW w:w="720" w:type="dxa"/>
            <w:tcBorders>
              <w:top w:val="nil"/>
              <w:left w:val="nil"/>
              <w:bottom w:val="nil"/>
              <w:right w:val="nil"/>
            </w:tcBorders>
            <w:shd w:val="clear" w:color="auto" w:fill="auto"/>
            <w:vAlign w:val="center"/>
          </w:tcPr>
          <w:p w14:paraId="1EA9E8C7"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720" w:type="dxa"/>
            <w:tcBorders>
              <w:top w:val="nil"/>
              <w:left w:val="nil"/>
              <w:bottom w:val="nil"/>
              <w:right w:val="nil"/>
            </w:tcBorders>
            <w:shd w:val="clear" w:color="auto" w:fill="auto"/>
            <w:vAlign w:val="center"/>
          </w:tcPr>
          <w:p w14:paraId="7753CF6A"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0.13</w:t>
            </w:r>
          </w:p>
        </w:tc>
        <w:tc>
          <w:tcPr>
            <w:tcW w:w="810" w:type="dxa"/>
            <w:tcBorders>
              <w:top w:val="nil"/>
              <w:left w:val="nil"/>
              <w:bottom w:val="nil"/>
              <w:right w:val="nil"/>
            </w:tcBorders>
            <w:shd w:val="clear" w:color="auto" w:fill="auto"/>
            <w:vAlign w:val="center"/>
          </w:tcPr>
          <w:p w14:paraId="65490D6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0.844</w:t>
            </w:r>
          </w:p>
        </w:tc>
      </w:tr>
      <w:tr w:rsidR="00724AB5" w14:paraId="3C02A5FA" w14:textId="77777777">
        <w:trPr>
          <w:trHeight w:val="300"/>
        </w:trPr>
        <w:tc>
          <w:tcPr>
            <w:tcW w:w="1620" w:type="dxa"/>
            <w:tcBorders>
              <w:top w:val="nil"/>
              <w:left w:val="nil"/>
              <w:bottom w:val="nil"/>
              <w:right w:val="nil"/>
            </w:tcBorders>
            <w:shd w:val="clear" w:color="auto" w:fill="auto"/>
            <w:vAlign w:val="center"/>
          </w:tcPr>
          <w:p w14:paraId="41800CE9"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Comorbidity</w:t>
            </w:r>
          </w:p>
        </w:tc>
        <w:tc>
          <w:tcPr>
            <w:tcW w:w="1080" w:type="dxa"/>
            <w:tcBorders>
              <w:top w:val="nil"/>
              <w:left w:val="nil"/>
              <w:bottom w:val="nil"/>
              <w:right w:val="nil"/>
            </w:tcBorders>
            <w:shd w:val="clear" w:color="auto" w:fill="auto"/>
            <w:vAlign w:val="center"/>
          </w:tcPr>
          <w:p w14:paraId="687C11A5" w14:textId="77777777" w:rsidR="00724AB5" w:rsidRDefault="00724AB5">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vAlign w:val="center"/>
          </w:tcPr>
          <w:p w14:paraId="7ABDE052" w14:textId="77777777" w:rsidR="00724AB5" w:rsidRDefault="00724AB5">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vAlign w:val="center"/>
          </w:tcPr>
          <w:p w14:paraId="6153B3E1"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6328B5F3"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2BD904BE"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3F97C238"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7E978AFF" w14:textId="77777777">
        <w:trPr>
          <w:trHeight w:val="300"/>
        </w:trPr>
        <w:tc>
          <w:tcPr>
            <w:tcW w:w="1620" w:type="dxa"/>
            <w:tcBorders>
              <w:top w:val="nil"/>
              <w:left w:val="nil"/>
              <w:bottom w:val="nil"/>
              <w:right w:val="nil"/>
            </w:tcBorders>
            <w:shd w:val="clear" w:color="auto" w:fill="auto"/>
            <w:vAlign w:val="center"/>
          </w:tcPr>
          <w:p w14:paraId="4CA6342C"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vAlign w:val="center"/>
          </w:tcPr>
          <w:p w14:paraId="1F2C5959"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w:t>
            </w:r>
          </w:p>
        </w:tc>
        <w:tc>
          <w:tcPr>
            <w:tcW w:w="990" w:type="dxa"/>
            <w:tcBorders>
              <w:top w:val="nil"/>
              <w:left w:val="nil"/>
              <w:bottom w:val="nil"/>
              <w:right w:val="nil"/>
            </w:tcBorders>
            <w:shd w:val="clear" w:color="auto" w:fill="auto"/>
            <w:vAlign w:val="center"/>
          </w:tcPr>
          <w:p w14:paraId="036C6B40"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w:t>
            </w:r>
          </w:p>
        </w:tc>
        <w:tc>
          <w:tcPr>
            <w:tcW w:w="1530" w:type="dxa"/>
            <w:tcBorders>
              <w:top w:val="nil"/>
              <w:left w:val="nil"/>
              <w:bottom w:val="nil"/>
              <w:right w:val="nil"/>
            </w:tcBorders>
            <w:shd w:val="clear" w:color="auto" w:fill="auto"/>
            <w:vAlign w:val="center"/>
          </w:tcPr>
          <w:p w14:paraId="715B2766"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vAlign w:val="center"/>
          </w:tcPr>
          <w:p w14:paraId="51037A40"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0D75CF61"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7BA185D1"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53D0965B" w14:textId="77777777">
        <w:trPr>
          <w:trHeight w:val="300"/>
        </w:trPr>
        <w:tc>
          <w:tcPr>
            <w:tcW w:w="1620" w:type="dxa"/>
            <w:tcBorders>
              <w:top w:val="nil"/>
              <w:left w:val="nil"/>
              <w:bottom w:val="nil"/>
              <w:right w:val="nil"/>
            </w:tcBorders>
            <w:shd w:val="clear" w:color="auto" w:fill="auto"/>
            <w:vAlign w:val="center"/>
          </w:tcPr>
          <w:p w14:paraId="16BC6461"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vAlign w:val="center"/>
          </w:tcPr>
          <w:p w14:paraId="5463ADE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90" w:type="dxa"/>
            <w:tcBorders>
              <w:top w:val="nil"/>
              <w:left w:val="nil"/>
              <w:bottom w:val="nil"/>
              <w:right w:val="nil"/>
            </w:tcBorders>
            <w:shd w:val="clear" w:color="auto" w:fill="auto"/>
            <w:vAlign w:val="center"/>
          </w:tcPr>
          <w:p w14:paraId="0F149BB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530" w:type="dxa"/>
            <w:tcBorders>
              <w:top w:val="nil"/>
              <w:left w:val="nil"/>
              <w:bottom w:val="nil"/>
              <w:right w:val="nil"/>
            </w:tcBorders>
            <w:shd w:val="clear" w:color="auto" w:fill="auto"/>
            <w:vAlign w:val="center"/>
          </w:tcPr>
          <w:p w14:paraId="24A698EB"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0.52(1)</w:t>
            </w:r>
          </w:p>
        </w:tc>
        <w:tc>
          <w:tcPr>
            <w:tcW w:w="720" w:type="dxa"/>
            <w:tcBorders>
              <w:top w:val="nil"/>
              <w:left w:val="nil"/>
              <w:bottom w:val="nil"/>
              <w:right w:val="nil"/>
            </w:tcBorders>
            <w:shd w:val="clear" w:color="auto" w:fill="auto"/>
            <w:vAlign w:val="center"/>
          </w:tcPr>
          <w:p w14:paraId="26453641"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w:t>
            </w:r>
          </w:p>
        </w:tc>
        <w:tc>
          <w:tcPr>
            <w:tcW w:w="720" w:type="dxa"/>
            <w:tcBorders>
              <w:top w:val="nil"/>
              <w:left w:val="nil"/>
              <w:bottom w:val="nil"/>
              <w:right w:val="nil"/>
            </w:tcBorders>
            <w:shd w:val="clear" w:color="auto" w:fill="auto"/>
            <w:vAlign w:val="center"/>
          </w:tcPr>
          <w:p w14:paraId="483F2F02"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810" w:type="dxa"/>
            <w:tcBorders>
              <w:top w:val="nil"/>
              <w:left w:val="nil"/>
              <w:bottom w:val="nil"/>
              <w:right w:val="nil"/>
            </w:tcBorders>
            <w:shd w:val="clear" w:color="auto" w:fill="auto"/>
            <w:vAlign w:val="center"/>
          </w:tcPr>
          <w:p w14:paraId="3AFB3FE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0.468</w:t>
            </w:r>
          </w:p>
        </w:tc>
      </w:tr>
      <w:tr w:rsidR="00724AB5" w14:paraId="587A40AB" w14:textId="77777777">
        <w:trPr>
          <w:trHeight w:val="300"/>
        </w:trPr>
        <w:tc>
          <w:tcPr>
            <w:tcW w:w="1620" w:type="dxa"/>
            <w:tcBorders>
              <w:top w:val="nil"/>
              <w:left w:val="nil"/>
              <w:bottom w:val="nil"/>
              <w:right w:val="nil"/>
            </w:tcBorders>
            <w:shd w:val="clear" w:color="auto" w:fill="auto"/>
            <w:vAlign w:val="center"/>
          </w:tcPr>
          <w:p w14:paraId="0424F56F"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Ulceration</w:t>
            </w:r>
          </w:p>
        </w:tc>
        <w:tc>
          <w:tcPr>
            <w:tcW w:w="1080" w:type="dxa"/>
            <w:tcBorders>
              <w:top w:val="nil"/>
              <w:left w:val="nil"/>
              <w:bottom w:val="nil"/>
              <w:right w:val="nil"/>
            </w:tcBorders>
            <w:shd w:val="clear" w:color="auto" w:fill="auto"/>
            <w:vAlign w:val="center"/>
          </w:tcPr>
          <w:p w14:paraId="18E844AC" w14:textId="77777777" w:rsidR="00724AB5" w:rsidRDefault="00724AB5">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vAlign w:val="center"/>
          </w:tcPr>
          <w:p w14:paraId="219F2772" w14:textId="77777777" w:rsidR="00724AB5" w:rsidRDefault="00724AB5">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vAlign w:val="center"/>
          </w:tcPr>
          <w:p w14:paraId="71B8F34A"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5F5A4488"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25040FEA"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27E35D2D"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24811F8F" w14:textId="77777777">
        <w:trPr>
          <w:trHeight w:val="300"/>
        </w:trPr>
        <w:tc>
          <w:tcPr>
            <w:tcW w:w="1620" w:type="dxa"/>
            <w:tcBorders>
              <w:top w:val="nil"/>
              <w:left w:val="nil"/>
              <w:bottom w:val="nil"/>
              <w:right w:val="nil"/>
            </w:tcBorders>
            <w:shd w:val="clear" w:color="auto" w:fill="auto"/>
            <w:vAlign w:val="center"/>
          </w:tcPr>
          <w:p w14:paraId="650FB83C"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vAlign w:val="center"/>
          </w:tcPr>
          <w:p w14:paraId="271BC70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w:t>
            </w:r>
          </w:p>
        </w:tc>
        <w:tc>
          <w:tcPr>
            <w:tcW w:w="990" w:type="dxa"/>
            <w:tcBorders>
              <w:top w:val="nil"/>
              <w:left w:val="nil"/>
              <w:bottom w:val="nil"/>
              <w:right w:val="nil"/>
            </w:tcBorders>
            <w:shd w:val="clear" w:color="auto" w:fill="auto"/>
            <w:vAlign w:val="center"/>
          </w:tcPr>
          <w:p w14:paraId="6FAEA989"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127</w:t>
            </w:r>
          </w:p>
        </w:tc>
        <w:tc>
          <w:tcPr>
            <w:tcW w:w="1530" w:type="dxa"/>
            <w:tcBorders>
              <w:top w:val="nil"/>
              <w:left w:val="nil"/>
              <w:bottom w:val="nil"/>
              <w:right w:val="nil"/>
            </w:tcBorders>
            <w:shd w:val="clear" w:color="auto" w:fill="auto"/>
            <w:vAlign w:val="center"/>
          </w:tcPr>
          <w:p w14:paraId="1AAAD8BE"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vAlign w:val="center"/>
          </w:tcPr>
          <w:p w14:paraId="2749C120"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5382A2C5"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55AB379B"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04449175" w14:textId="77777777">
        <w:trPr>
          <w:trHeight w:val="300"/>
        </w:trPr>
        <w:tc>
          <w:tcPr>
            <w:tcW w:w="1620" w:type="dxa"/>
            <w:tcBorders>
              <w:top w:val="nil"/>
              <w:left w:val="nil"/>
              <w:bottom w:val="nil"/>
              <w:right w:val="nil"/>
            </w:tcBorders>
            <w:shd w:val="clear" w:color="auto" w:fill="auto"/>
            <w:vAlign w:val="center"/>
          </w:tcPr>
          <w:p w14:paraId="08A47A28"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vAlign w:val="center"/>
          </w:tcPr>
          <w:p w14:paraId="28EF15C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990" w:type="dxa"/>
            <w:tcBorders>
              <w:top w:val="nil"/>
              <w:left w:val="nil"/>
              <w:bottom w:val="nil"/>
              <w:right w:val="nil"/>
            </w:tcBorders>
            <w:shd w:val="clear" w:color="auto" w:fill="auto"/>
            <w:vAlign w:val="center"/>
          </w:tcPr>
          <w:p w14:paraId="7722D3B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30" w:type="dxa"/>
            <w:tcBorders>
              <w:top w:val="nil"/>
              <w:left w:val="nil"/>
              <w:bottom w:val="nil"/>
              <w:right w:val="nil"/>
            </w:tcBorders>
            <w:shd w:val="clear" w:color="auto" w:fill="auto"/>
            <w:vAlign w:val="center"/>
          </w:tcPr>
          <w:p w14:paraId="0E223489"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2.31(1)</w:t>
            </w:r>
          </w:p>
        </w:tc>
        <w:tc>
          <w:tcPr>
            <w:tcW w:w="720" w:type="dxa"/>
            <w:tcBorders>
              <w:top w:val="nil"/>
              <w:left w:val="nil"/>
              <w:bottom w:val="nil"/>
              <w:right w:val="nil"/>
            </w:tcBorders>
            <w:shd w:val="clear" w:color="auto" w:fill="auto"/>
            <w:vAlign w:val="center"/>
          </w:tcPr>
          <w:p w14:paraId="51461FD8"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720" w:type="dxa"/>
            <w:tcBorders>
              <w:top w:val="nil"/>
              <w:left w:val="nil"/>
              <w:bottom w:val="nil"/>
              <w:right w:val="nil"/>
            </w:tcBorders>
            <w:shd w:val="clear" w:color="auto" w:fill="auto"/>
            <w:vAlign w:val="center"/>
          </w:tcPr>
          <w:p w14:paraId="0A408487"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0.14</w:t>
            </w:r>
          </w:p>
        </w:tc>
        <w:tc>
          <w:tcPr>
            <w:tcW w:w="810" w:type="dxa"/>
            <w:tcBorders>
              <w:top w:val="nil"/>
              <w:left w:val="nil"/>
              <w:bottom w:val="nil"/>
              <w:right w:val="nil"/>
            </w:tcBorders>
            <w:shd w:val="clear" w:color="auto" w:fill="auto"/>
            <w:vAlign w:val="center"/>
          </w:tcPr>
          <w:p w14:paraId="6828E77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0.128</w:t>
            </w:r>
          </w:p>
        </w:tc>
      </w:tr>
      <w:tr w:rsidR="00724AB5" w14:paraId="4BBB5ECF" w14:textId="77777777">
        <w:trPr>
          <w:trHeight w:val="300"/>
        </w:trPr>
        <w:tc>
          <w:tcPr>
            <w:tcW w:w="1620" w:type="dxa"/>
            <w:tcBorders>
              <w:top w:val="nil"/>
              <w:left w:val="nil"/>
              <w:bottom w:val="nil"/>
              <w:right w:val="nil"/>
            </w:tcBorders>
            <w:shd w:val="clear" w:color="auto" w:fill="auto"/>
            <w:vAlign w:val="center"/>
          </w:tcPr>
          <w:p w14:paraId="558CE515"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Cardiopulmonary</w:t>
            </w:r>
          </w:p>
        </w:tc>
        <w:tc>
          <w:tcPr>
            <w:tcW w:w="1080" w:type="dxa"/>
            <w:tcBorders>
              <w:top w:val="nil"/>
              <w:left w:val="nil"/>
              <w:bottom w:val="nil"/>
              <w:right w:val="nil"/>
            </w:tcBorders>
            <w:shd w:val="clear" w:color="auto" w:fill="auto"/>
            <w:vAlign w:val="center"/>
          </w:tcPr>
          <w:p w14:paraId="193D3D95" w14:textId="77777777" w:rsidR="00724AB5" w:rsidRDefault="00724AB5">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vAlign w:val="center"/>
          </w:tcPr>
          <w:p w14:paraId="5D7046A2" w14:textId="77777777" w:rsidR="00724AB5" w:rsidRDefault="00724AB5">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vAlign w:val="center"/>
          </w:tcPr>
          <w:p w14:paraId="375295F6"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764FC16D"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vAlign w:val="center"/>
          </w:tcPr>
          <w:p w14:paraId="6CBC623D"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vAlign w:val="center"/>
          </w:tcPr>
          <w:p w14:paraId="1211B0E1"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6366BA95" w14:textId="77777777">
        <w:trPr>
          <w:trHeight w:val="300"/>
        </w:trPr>
        <w:tc>
          <w:tcPr>
            <w:tcW w:w="1620" w:type="dxa"/>
            <w:tcBorders>
              <w:top w:val="nil"/>
              <w:left w:val="nil"/>
              <w:right w:val="nil"/>
            </w:tcBorders>
            <w:shd w:val="clear" w:color="auto" w:fill="auto"/>
            <w:vAlign w:val="center"/>
          </w:tcPr>
          <w:p w14:paraId="6E311871"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080" w:type="dxa"/>
            <w:tcBorders>
              <w:top w:val="nil"/>
              <w:left w:val="nil"/>
              <w:right w:val="nil"/>
            </w:tcBorders>
            <w:shd w:val="clear" w:color="auto" w:fill="auto"/>
            <w:vAlign w:val="center"/>
          </w:tcPr>
          <w:p w14:paraId="6C83A0CF"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w:t>
            </w:r>
          </w:p>
        </w:tc>
        <w:tc>
          <w:tcPr>
            <w:tcW w:w="990" w:type="dxa"/>
            <w:tcBorders>
              <w:top w:val="nil"/>
              <w:left w:val="nil"/>
              <w:right w:val="nil"/>
            </w:tcBorders>
            <w:shd w:val="clear" w:color="auto" w:fill="auto"/>
            <w:vAlign w:val="center"/>
          </w:tcPr>
          <w:p w14:paraId="10BD057C"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w:t>
            </w:r>
          </w:p>
        </w:tc>
        <w:tc>
          <w:tcPr>
            <w:tcW w:w="1530" w:type="dxa"/>
            <w:tcBorders>
              <w:top w:val="nil"/>
              <w:left w:val="nil"/>
              <w:right w:val="nil"/>
            </w:tcBorders>
            <w:shd w:val="clear" w:color="auto" w:fill="auto"/>
            <w:vAlign w:val="center"/>
          </w:tcPr>
          <w:p w14:paraId="3E882942" w14:textId="77777777" w:rsidR="00724AB5" w:rsidRDefault="00724AB5">
            <w:pPr>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nil"/>
              <w:right w:val="nil"/>
            </w:tcBorders>
            <w:shd w:val="clear" w:color="auto" w:fill="auto"/>
            <w:vAlign w:val="center"/>
          </w:tcPr>
          <w:p w14:paraId="08A3A032" w14:textId="77777777" w:rsidR="00724AB5" w:rsidRDefault="00724AB5">
            <w:pPr>
              <w:spacing w:after="0" w:line="240" w:lineRule="auto"/>
              <w:jc w:val="center"/>
              <w:rPr>
                <w:rFonts w:ascii="Times New Roman" w:eastAsia="Times New Roman" w:hAnsi="Times New Roman" w:cs="Times New Roman"/>
                <w:sz w:val="18"/>
                <w:szCs w:val="18"/>
              </w:rPr>
            </w:pPr>
          </w:p>
        </w:tc>
        <w:tc>
          <w:tcPr>
            <w:tcW w:w="720" w:type="dxa"/>
            <w:tcBorders>
              <w:top w:val="nil"/>
              <w:left w:val="nil"/>
              <w:right w:val="nil"/>
            </w:tcBorders>
            <w:shd w:val="clear" w:color="auto" w:fill="auto"/>
            <w:vAlign w:val="center"/>
          </w:tcPr>
          <w:p w14:paraId="08456221" w14:textId="77777777" w:rsidR="00724AB5" w:rsidRDefault="00724AB5">
            <w:pPr>
              <w:spacing w:after="0" w:line="240" w:lineRule="auto"/>
              <w:jc w:val="center"/>
              <w:rPr>
                <w:rFonts w:ascii="Times New Roman" w:eastAsia="Times New Roman" w:hAnsi="Times New Roman" w:cs="Times New Roman"/>
                <w:sz w:val="18"/>
                <w:szCs w:val="18"/>
              </w:rPr>
            </w:pPr>
          </w:p>
        </w:tc>
        <w:tc>
          <w:tcPr>
            <w:tcW w:w="810" w:type="dxa"/>
            <w:tcBorders>
              <w:top w:val="nil"/>
              <w:left w:val="nil"/>
              <w:right w:val="nil"/>
            </w:tcBorders>
            <w:shd w:val="clear" w:color="auto" w:fill="auto"/>
            <w:vAlign w:val="center"/>
          </w:tcPr>
          <w:p w14:paraId="68D235CC" w14:textId="77777777" w:rsidR="00724AB5" w:rsidRDefault="00724AB5">
            <w:pPr>
              <w:spacing w:after="0" w:line="240" w:lineRule="auto"/>
              <w:jc w:val="center"/>
              <w:rPr>
                <w:rFonts w:ascii="Times New Roman" w:eastAsia="Times New Roman" w:hAnsi="Times New Roman" w:cs="Times New Roman"/>
                <w:sz w:val="18"/>
                <w:szCs w:val="18"/>
              </w:rPr>
            </w:pPr>
          </w:p>
        </w:tc>
      </w:tr>
      <w:tr w:rsidR="00724AB5" w14:paraId="3B77335C" w14:textId="77777777">
        <w:trPr>
          <w:trHeight w:val="300"/>
        </w:trPr>
        <w:tc>
          <w:tcPr>
            <w:tcW w:w="1620" w:type="dxa"/>
            <w:tcBorders>
              <w:top w:val="nil"/>
              <w:left w:val="nil"/>
              <w:bottom w:val="single" w:sz="8" w:space="0" w:color="000000"/>
              <w:right w:val="nil"/>
            </w:tcBorders>
            <w:shd w:val="clear" w:color="auto" w:fill="auto"/>
            <w:vAlign w:val="center"/>
          </w:tcPr>
          <w:p w14:paraId="7710E069" w14:textId="77777777" w:rsidR="00724AB5" w:rsidRDefault="007D385F">
            <w:pPr>
              <w:spacing w:after="0" w:line="240" w:lineRule="auto"/>
              <w:ind w:left="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080" w:type="dxa"/>
            <w:tcBorders>
              <w:top w:val="nil"/>
              <w:left w:val="nil"/>
              <w:bottom w:val="single" w:sz="8" w:space="0" w:color="000000"/>
              <w:right w:val="nil"/>
            </w:tcBorders>
            <w:shd w:val="clear" w:color="auto" w:fill="auto"/>
            <w:vAlign w:val="center"/>
          </w:tcPr>
          <w:p w14:paraId="5D7E06C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990" w:type="dxa"/>
            <w:tcBorders>
              <w:top w:val="nil"/>
              <w:left w:val="nil"/>
              <w:bottom w:val="single" w:sz="8" w:space="0" w:color="000000"/>
              <w:right w:val="nil"/>
            </w:tcBorders>
            <w:shd w:val="clear" w:color="auto" w:fill="auto"/>
            <w:vAlign w:val="center"/>
          </w:tcPr>
          <w:p w14:paraId="46D67953"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530" w:type="dxa"/>
            <w:tcBorders>
              <w:top w:val="nil"/>
              <w:left w:val="nil"/>
              <w:bottom w:val="single" w:sz="8" w:space="0" w:color="000000"/>
              <w:right w:val="nil"/>
            </w:tcBorders>
            <w:shd w:val="clear" w:color="auto" w:fill="auto"/>
            <w:vAlign w:val="center"/>
          </w:tcPr>
          <w:p w14:paraId="2CF9431D"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1.70(1)</w:t>
            </w:r>
          </w:p>
        </w:tc>
        <w:tc>
          <w:tcPr>
            <w:tcW w:w="720" w:type="dxa"/>
            <w:tcBorders>
              <w:top w:val="nil"/>
              <w:left w:val="nil"/>
              <w:bottom w:val="single" w:sz="8" w:space="0" w:color="000000"/>
              <w:right w:val="nil"/>
            </w:tcBorders>
            <w:shd w:val="clear" w:color="auto" w:fill="auto"/>
            <w:vAlign w:val="center"/>
          </w:tcPr>
          <w:p w14:paraId="719080D4"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720" w:type="dxa"/>
            <w:tcBorders>
              <w:top w:val="nil"/>
              <w:left w:val="nil"/>
              <w:bottom w:val="single" w:sz="8" w:space="0" w:color="000000"/>
              <w:right w:val="nil"/>
            </w:tcBorders>
            <w:shd w:val="clear" w:color="auto" w:fill="auto"/>
            <w:vAlign w:val="center"/>
          </w:tcPr>
          <w:p w14:paraId="4FAB484A"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0.19</w:t>
            </w:r>
          </w:p>
        </w:tc>
        <w:tc>
          <w:tcPr>
            <w:tcW w:w="810" w:type="dxa"/>
            <w:tcBorders>
              <w:top w:val="nil"/>
              <w:left w:val="nil"/>
              <w:bottom w:val="single" w:sz="8" w:space="0" w:color="000000"/>
              <w:right w:val="nil"/>
            </w:tcBorders>
            <w:shd w:val="clear" w:color="auto" w:fill="auto"/>
            <w:vAlign w:val="center"/>
          </w:tcPr>
          <w:p w14:paraId="790121B6" w14:textId="77777777" w:rsidR="00724AB5" w:rsidRDefault="007D385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0.187</w:t>
            </w:r>
          </w:p>
        </w:tc>
      </w:tr>
      <w:tr w:rsidR="00724AB5" w14:paraId="1EBDB4CC" w14:textId="77777777">
        <w:trPr>
          <w:trHeight w:val="300"/>
        </w:trPr>
        <w:tc>
          <w:tcPr>
            <w:tcW w:w="7470" w:type="dxa"/>
            <w:gridSpan w:val="7"/>
            <w:tcBorders>
              <w:top w:val="single" w:sz="8" w:space="0" w:color="000000"/>
              <w:left w:val="nil"/>
              <w:bottom w:val="nil"/>
              <w:right w:val="nil"/>
            </w:tcBorders>
            <w:shd w:val="clear" w:color="auto" w:fill="auto"/>
            <w:vAlign w:val="center"/>
          </w:tcPr>
          <w:p w14:paraId="66FA2E28"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Confidence interval of the difference in proportions between Cluster 1 and Cluster 2 </w:t>
            </w:r>
          </w:p>
          <w:p w14:paraId="228C0F9D" w14:textId="77777777" w:rsidR="00724AB5" w:rsidRDefault="007D385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df</w:t>
            </w:r>
            <w:r>
              <w:rPr>
                <w:rFonts w:ascii="Times New Roman" w:eastAsia="Times New Roman" w:hAnsi="Times New Roman" w:cs="Times New Roman"/>
                <w:color w:val="000000"/>
                <w:sz w:val="18"/>
                <w:szCs w:val="18"/>
              </w:rPr>
              <w:t>; degree of freedom</w:t>
            </w:r>
          </w:p>
          <w:p w14:paraId="26C9974A" w14:textId="7CD38856" w:rsidR="00633F66" w:rsidRDefault="00633F6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lang w:val="en-US"/>
              </w:rPr>
              <w:t>Analysis</w:t>
            </w:r>
            <w:r w:rsidRPr="009B609F">
              <w:rPr>
                <w:rFonts w:ascii="Times New Roman" w:eastAsia="Times New Roman" w:hAnsi="Times New Roman" w:cs="Times New Roman"/>
                <w:sz w:val="18"/>
                <w:szCs w:val="18"/>
                <w:lang w:val="en-US"/>
              </w:rPr>
              <w:t xml:space="preserve"> were performed at 0.05 significance level</w:t>
            </w:r>
          </w:p>
        </w:tc>
      </w:tr>
    </w:tbl>
    <w:p w14:paraId="6ECDB173" w14:textId="77777777" w:rsidR="00724AB5" w:rsidRDefault="00724AB5">
      <w:pPr>
        <w:rPr>
          <w:rFonts w:ascii="Aptos" w:eastAsia="Aptos" w:hAnsi="Aptos" w:cs="Aptos"/>
        </w:rPr>
      </w:pPr>
    </w:p>
    <w:p w14:paraId="641D8395" w14:textId="77777777" w:rsidR="00724AB5" w:rsidRDefault="007D385F">
      <w:pPr>
        <w:keepNext/>
        <w:rPr>
          <w:rFonts w:ascii="Aptos" w:eastAsia="Aptos" w:hAnsi="Aptos" w:cs="Aptos"/>
        </w:rPr>
      </w:pPr>
      <w:r>
        <w:rPr>
          <w:rFonts w:ascii="Aptos" w:eastAsia="Aptos" w:hAnsi="Aptos" w:cs="Aptos"/>
          <w:noProof/>
        </w:rPr>
        <w:drawing>
          <wp:inline distT="0" distB="0" distL="0" distR="0" wp14:anchorId="66C5D037" wp14:editId="4DD1C8CA">
            <wp:extent cx="5731510" cy="2750185"/>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5731510" cy="2750185"/>
                    </a:xfrm>
                    <a:prstGeom prst="rect">
                      <a:avLst/>
                    </a:prstGeom>
                    <a:ln/>
                  </pic:spPr>
                </pic:pic>
              </a:graphicData>
            </a:graphic>
          </wp:inline>
        </w:drawing>
      </w:r>
    </w:p>
    <w:p w14:paraId="5B4DE03E" w14:textId="77777777" w:rsidR="00724AB5" w:rsidRDefault="007D385F">
      <w:p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Figure S1. Violin plot showing the distribution of number of hospitalizations, frequency of painful episodes and number of transfusions among patients in Cluster 1 and Cluster 2. OR: unadjusted odds ratio derived from logistics regression with cluster memb</w:t>
      </w:r>
      <w:r>
        <w:rPr>
          <w:rFonts w:ascii="Times New Roman" w:eastAsia="Times New Roman" w:hAnsi="Times New Roman" w:cs="Times New Roman"/>
          <w:sz w:val="20"/>
          <w:szCs w:val="20"/>
        </w:rPr>
        <w:t xml:space="preserve">ership as the dependent variable.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&lt;0.01</w:t>
      </w:r>
    </w:p>
    <w:p w14:paraId="55A080B1" w14:textId="77777777" w:rsidR="00724AB5" w:rsidRDefault="00724AB5">
      <w:pPr>
        <w:spacing w:after="200" w:line="240" w:lineRule="auto"/>
        <w:rPr>
          <w:rFonts w:ascii="Aptos" w:eastAsia="Aptos" w:hAnsi="Aptos" w:cs="Aptos"/>
          <w:i/>
          <w:color w:val="0E2841"/>
          <w:sz w:val="18"/>
          <w:szCs w:val="18"/>
        </w:rPr>
      </w:pPr>
    </w:p>
    <w:p w14:paraId="0975DBCC" w14:textId="77777777" w:rsidR="00724AB5" w:rsidRDefault="00724AB5">
      <w:pPr>
        <w:spacing w:after="0" w:line="240" w:lineRule="auto"/>
        <w:rPr>
          <w:rFonts w:ascii="Times New Roman" w:eastAsia="Times New Roman" w:hAnsi="Times New Roman" w:cs="Times New Roman"/>
          <w:b/>
          <w:sz w:val="24"/>
          <w:szCs w:val="24"/>
        </w:rPr>
      </w:pPr>
    </w:p>
    <w:sectPr w:rsidR="00724AB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B37E9" w14:textId="77777777" w:rsidR="007D385F" w:rsidRDefault="007D385F">
      <w:pPr>
        <w:spacing w:after="0" w:line="240" w:lineRule="auto"/>
      </w:pPr>
      <w:r>
        <w:separator/>
      </w:r>
    </w:p>
  </w:endnote>
  <w:endnote w:type="continuationSeparator" w:id="0">
    <w:p w14:paraId="3ACBA785" w14:textId="77777777" w:rsidR="007D385F" w:rsidRDefault="007D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24EE" w14:textId="77777777" w:rsidR="00724AB5" w:rsidRDefault="00724AB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5CE9F" w14:textId="77777777" w:rsidR="00724AB5" w:rsidRDefault="007D385F">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43890">
      <w:rPr>
        <w:noProof/>
        <w:color w:val="000000"/>
      </w:rPr>
      <w:t>1</w:t>
    </w:r>
    <w:r>
      <w:rPr>
        <w:color w:val="000000"/>
      </w:rPr>
      <w:fldChar w:fldCharType="end"/>
    </w:r>
  </w:p>
  <w:p w14:paraId="50E45C30" w14:textId="77777777" w:rsidR="00724AB5" w:rsidRDefault="00724AB5">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C3156" w14:textId="77777777" w:rsidR="00724AB5" w:rsidRDefault="00724AB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5085E" w14:textId="77777777" w:rsidR="007D385F" w:rsidRDefault="007D385F">
      <w:pPr>
        <w:spacing w:after="0" w:line="240" w:lineRule="auto"/>
      </w:pPr>
      <w:r>
        <w:separator/>
      </w:r>
    </w:p>
  </w:footnote>
  <w:footnote w:type="continuationSeparator" w:id="0">
    <w:p w14:paraId="46F02EB1" w14:textId="77777777" w:rsidR="007D385F" w:rsidRDefault="007D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86AD2" w14:textId="77777777" w:rsidR="00724AB5" w:rsidRDefault="007D385F">
    <w:pPr>
      <w:pBdr>
        <w:top w:val="nil"/>
        <w:left w:val="nil"/>
        <w:bottom w:val="nil"/>
        <w:right w:val="nil"/>
        <w:between w:val="nil"/>
      </w:pBdr>
      <w:tabs>
        <w:tab w:val="center" w:pos="4513"/>
        <w:tab w:val="right" w:pos="9026"/>
      </w:tabs>
      <w:spacing w:after="0" w:line="240" w:lineRule="auto"/>
      <w:rPr>
        <w:color w:val="000000"/>
      </w:rPr>
    </w:pPr>
    <w:r>
      <w:rPr>
        <w:color w:val="000000"/>
      </w:rPr>
      <w:pict w14:anchorId="3E163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35.8pt;height:100.45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A7299" w14:textId="77777777" w:rsidR="00724AB5" w:rsidRDefault="007D385F">
    <w:pPr>
      <w:pBdr>
        <w:top w:val="nil"/>
        <w:left w:val="nil"/>
        <w:bottom w:val="nil"/>
        <w:right w:val="nil"/>
        <w:between w:val="nil"/>
      </w:pBdr>
      <w:tabs>
        <w:tab w:val="center" w:pos="4513"/>
        <w:tab w:val="right" w:pos="9026"/>
      </w:tabs>
      <w:spacing w:after="0" w:line="240" w:lineRule="auto"/>
      <w:rPr>
        <w:color w:val="000000"/>
      </w:rPr>
    </w:pPr>
    <w:r>
      <w:rPr>
        <w:color w:val="000000"/>
      </w:rPr>
      <w:pict w14:anchorId="74754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35.8pt;height:100.45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1004D" w14:textId="77777777" w:rsidR="00724AB5" w:rsidRDefault="007D385F">
    <w:pPr>
      <w:pBdr>
        <w:top w:val="nil"/>
        <w:left w:val="nil"/>
        <w:bottom w:val="nil"/>
        <w:right w:val="nil"/>
        <w:between w:val="nil"/>
      </w:pBdr>
      <w:tabs>
        <w:tab w:val="center" w:pos="4513"/>
        <w:tab w:val="right" w:pos="9026"/>
      </w:tabs>
      <w:spacing w:after="0" w:line="240" w:lineRule="auto"/>
      <w:rPr>
        <w:color w:val="000000"/>
      </w:rPr>
    </w:pPr>
    <w:r>
      <w:rPr>
        <w:color w:val="000000"/>
      </w:rPr>
      <w:pict w14:anchorId="535BA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5.8pt;height:100.45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8243C"/>
    <w:multiLevelType w:val="hybridMultilevel"/>
    <w:tmpl w:val="B8B810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AB5"/>
    <w:rsid w:val="00001099"/>
    <w:rsid w:val="00022986"/>
    <w:rsid w:val="000920C4"/>
    <w:rsid w:val="00097DF0"/>
    <w:rsid w:val="000A2F8A"/>
    <w:rsid w:val="000C0119"/>
    <w:rsid w:val="000D1A6F"/>
    <w:rsid w:val="001032A8"/>
    <w:rsid w:val="0011347E"/>
    <w:rsid w:val="001160FD"/>
    <w:rsid w:val="00145A03"/>
    <w:rsid w:val="0015133F"/>
    <w:rsid w:val="00166B26"/>
    <w:rsid w:val="001706EC"/>
    <w:rsid w:val="00184AD2"/>
    <w:rsid w:val="001A139B"/>
    <w:rsid w:val="001A5F7D"/>
    <w:rsid w:val="001E2DB5"/>
    <w:rsid w:val="00210BC1"/>
    <w:rsid w:val="00211D72"/>
    <w:rsid w:val="00214477"/>
    <w:rsid w:val="00245B79"/>
    <w:rsid w:val="00260E75"/>
    <w:rsid w:val="00270216"/>
    <w:rsid w:val="00292E76"/>
    <w:rsid w:val="002B7BEA"/>
    <w:rsid w:val="002C2AFB"/>
    <w:rsid w:val="002C4543"/>
    <w:rsid w:val="002D71E5"/>
    <w:rsid w:val="002D798B"/>
    <w:rsid w:val="002E693D"/>
    <w:rsid w:val="00302459"/>
    <w:rsid w:val="003356CF"/>
    <w:rsid w:val="003641DF"/>
    <w:rsid w:val="003A152D"/>
    <w:rsid w:val="00416FBD"/>
    <w:rsid w:val="00432C9A"/>
    <w:rsid w:val="004A10BC"/>
    <w:rsid w:val="004B3C02"/>
    <w:rsid w:val="004E6132"/>
    <w:rsid w:val="004F773E"/>
    <w:rsid w:val="00501259"/>
    <w:rsid w:val="005306AF"/>
    <w:rsid w:val="005752FC"/>
    <w:rsid w:val="0058796E"/>
    <w:rsid w:val="005D10E9"/>
    <w:rsid w:val="005D6D4B"/>
    <w:rsid w:val="005E53AA"/>
    <w:rsid w:val="005E7F2C"/>
    <w:rsid w:val="005F4728"/>
    <w:rsid w:val="00601759"/>
    <w:rsid w:val="00633F66"/>
    <w:rsid w:val="00634D08"/>
    <w:rsid w:val="00645E06"/>
    <w:rsid w:val="00667CA5"/>
    <w:rsid w:val="006C6338"/>
    <w:rsid w:val="006E3FA5"/>
    <w:rsid w:val="006E59CC"/>
    <w:rsid w:val="006F6D8D"/>
    <w:rsid w:val="006F77C8"/>
    <w:rsid w:val="00724AB5"/>
    <w:rsid w:val="00743890"/>
    <w:rsid w:val="00747A98"/>
    <w:rsid w:val="00752F00"/>
    <w:rsid w:val="00771EB8"/>
    <w:rsid w:val="0078346F"/>
    <w:rsid w:val="007867B9"/>
    <w:rsid w:val="007B0360"/>
    <w:rsid w:val="007B4E8B"/>
    <w:rsid w:val="007D0976"/>
    <w:rsid w:val="007D385F"/>
    <w:rsid w:val="007E193F"/>
    <w:rsid w:val="00837CA4"/>
    <w:rsid w:val="00856C88"/>
    <w:rsid w:val="00863D4F"/>
    <w:rsid w:val="00870DA8"/>
    <w:rsid w:val="0088080C"/>
    <w:rsid w:val="008A458E"/>
    <w:rsid w:val="008A6673"/>
    <w:rsid w:val="008B4A11"/>
    <w:rsid w:val="008B5B6F"/>
    <w:rsid w:val="008C54AE"/>
    <w:rsid w:val="008D0C9F"/>
    <w:rsid w:val="008D74C2"/>
    <w:rsid w:val="008E3EF4"/>
    <w:rsid w:val="008F5E66"/>
    <w:rsid w:val="0096682A"/>
    <w:rsid w:val="009837E9"/>
    <w:rsid w:val="009A604C"/>
    <w:rsid w:val="00A47C79"/>
    <w:rsid w:val="00A57C58"/>
    <w:rsid w:val="00A65BE2"/>
    <w:rsid w:val="00A72FF5"/>
    <w:rsid w:val="00A80163"/>
    <w:rsid w:val="00AF5F8A"/>
    <w:rsid w:val="00B02940"/>
    <w:rsid w:val="00B806C6"/>
    <w:rsid w:val="00B91BD2"/>
    <w:rsid w:val="00B920E5"/>
    <w:rsid w:val="00B978F3"/>
    <w:rsid w:val="00C35ACE"/>
    <w:rsid w:val="00C47D8B"/>
    <w:rsid w:val="00C97FCC"/>
    <w:rsid w:val="00CA2E32"/>
    <w:rsid w:val="00CD45C9"/>
    <w:rsid w:val="00D311E7"/>
    <w:rsid w:val="00D96B6F"/>
    <w:rsid w:val="00DA6E10"/>
    <w:rsid w:val="00DB3A9C"/>
    <w:rsid w:val="00DE2497"/>
    <w:rsid w:val="00DF4D35"/>
    <w:rsid w:val="00E143A9"/>
    <w:rsid w:val="00E4018D"/>
    <w:rsid w:val="00E4489F"/>
    <w:rsid w:val="00E578B0"/>
    <w:rsid w:val="00E63FD4"/>
    <w:rsid w:val="00E92A65"/>
    <w:rsid w:val="00EA565C"/>
    <w:rsid w:val="00EB445E"/>
    <w:rsid w:val="00ED01D5"/>
    <w:rsid w:val="00EE6183"/>
    <w:rsid w:val="00F028A2"/>
    <w:rsid w:val="00F04989"/>
    <w:rsid w:val="00F428E3"/>
    <w:rsid w:val="00F520E1"/>
    <w:rsid w:val="00F748DD"/>
    <w:rsid w:val="00FC536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7E71DF"/>
  <w15:docId w15:val="{237AFA8C-5BF5-48D1-AF4B-2EE35A09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Bibliography">
    <w:name w:val="Bibliography"/>
    <w:basedOn w:val="Normal"/>
    <w:next w:val="Normal"/>
    <w:uiPriority w:val="37"/>
    <w:unhideWhenUsed/>
    <w:rsid w:val="00B91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10858</Words>
  <Characters>61897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2025-07-29T22:58:00Z</dcterms:created>
  <dcterms:modified xsi:type="dcterms:W3CDTF">2025-07-29T22:58:00Z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id="4stu4kgs"/&gt;&lt;style id="" hasBibliography="0" bibliographyStyleHasBeenSet="0"/&gt;&lt;prefs/&gt;&lt;/data&gt;</vt:lpwstr>
  </property>
</Properties>
</file>